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DD" w:rsidRPr="00811798" w:rsidRDefault="00772197" w:rsidP="00811798">
      <w:pPr>
        <w:pStyle w:val="Heading1"/>
        <w:rPr>
          <w:sz w:val="28"/>
        </w:rPr>
      </w:pPr>
      <w:bookmarkStart w:id="0" w:name="_Toc419801402"/>
      <w:r>
        <w:rPr>
          <w:sz w:val="28"/>
        </w:rPr>
        <w:t>7.02</w:t>
      </w:r>
      <w:r w:rsidR="00E20CDD" w:rsidRPr="00207D00">
        <w:rPr>
          <w:sz w:val="28"/>
        </w:rPr>
        <w:tab/>
      </w:r>
      <w:r w:rsidR="003A38DE">
        <w:rPr>
          <w:sz w:val="28"/>
        </w:rPr>
        <w:t>A</w:t>
      </w:r>
      <w:r w:rsidR="00E20CDD">
        <w:rPr>
          <w:sz w:val="28"/>
        </w:rPr>
        <w:t>fatinib dimaleate</w:t>
      </w:r>
      <w:r w:rsidR="00E20CDD" w:rsidRPr="00207D00">
        <w:rPr>
          <w:sz w:val="28"/>
        </w:rPr>
        <w:t xml:space="preserve">, </w:t>
      </w:r>
      <w:r w:rsidR="00E20CDD">
        <w:rPr>
          <w:caps w:val="0"/>
          <w:sz w:val="28"/>
        </w:rPr>
        <w:t>tablets</w:t>
      </w:r>
      <w:r w:rsidR="00E20CDD" w:rsidRPr="00207D00">
        <w:rPr>
          <w:sz w:val="28"/>
        </w:rPr>
        <w:t xml:space="preserve">, </w:t>
      </w:r>
      <w:r w:rsidR="00E20CDD">
        <w:rPr>
          <w:caps w:val="0"/>
          <w:sz w:val="28"/>
        </w:rPr>
        <w:t>50</w:t>
      </w:r>
      <w:r w:rsidR="008C29DA">
        <w:rPr>
          <w:caps w:val="0"/>
          <w:sz w:val="28"/>
        </w:rPr>
        <w:t> </w:t>
      </w:r>
      <w:r w:rsidR="00E20CDD">
        <w:rPr>
          <w:caps w:val="0"/>
          <w:sz w:val="28"/>
        </w:rPr>
        <w:t>mg, 40</w:t>
      </w:r>
      <w:r w:rsidR="008C29DA">
        <w:rPr>
          <w:caps w:val="0"/>
          <w:sz w:val="28"/>
        </w:rPr>
        <w:t> </w:t>
      </w:r>
      <w:r w:rsidR="00E20CDD">
        <w:rPr>
          <w:caps w:val="0"/>
          <w:sz w:val="28"/>
        </w:rPr>
        <w:t>mg, 30</w:t>
      </w:r>
      <w:r w:rsidR="008C29DA">
        <w:rPr>
          <w:caps w:val="0"/>
          <w:sz w:val="28"/>
        </w:rPr>
        <w:t> </w:t>
      </w:r>
      <w:r w:rsidR="00E20CDD">
        <w:rPr>
          <w:caps w:val="0"/>
          <w:sz w:val="28"/>
        </w:rPr>
        <w:t>mg, 20</w:t>
      </w:r>
      <w:r w:rsidR="008C29DA">
        <w:rPr>
          <w:caps w:val="0"/>
          <w:sz w:val="28"/>
        </w:rPr>
        <w:t> </w:t>
      </w:r>
      <w:r w:rsidR="00E20CDD">
        <w:rPr>
          <w:caps w:val="0"/>
          <w:sz w:val="28"/>
        </w:rPr>
        <w:t>mg</w:t>
      </w:r>
      <w:r w:rsidR="00E20CDD" w:rsidRPr="00207D00">
        <w:rPr>
          <w:sz w:val="28"/>
        </w:rPr>
        <w:t xml:space="preserve">, </w:t>
      </w:r>
      <w:r w:rsidR="00E20CDD">
        <w:rPr>
          <w:caps w:val="0"/>
          <w:sz w:val="28"/>
        </w:rPr>
        <w:t>GIOTRIF</w:t>
      </w:r>
      <w:r w:rsidR="00E20CDD" w:rsidRPr="00207D00">
        <w:rPr>
          <w:sz w:val="28"/>
          <w:vertAlign w:val="superscript"/>
        </w:rPr>
        <w:t>®</w:t>
      </w:r>
      <w:r w:rsidR="00E20CDD" w:rsidRPr="00207D00">
        <w:rPr>
          <w:sz w:val="28"/>
        </w:rPr>
        <w:t xml:space="preserve">, </w:t>
      </w:r>
      <w:r w:rsidR="00E20CDD">
        <w:rPr>
          <w:caps w:val="0"/>
          <w:sz w:val="28"/>
        </w:rPr>
        <w:t>Boehringer Ingelheim</w:t>
      </w:r>
      <w:r w:rsidR="00E20CDD" w:rsidRPr="00207D00">
        <w:rPr>
          <w:sz w:val="28"/>
        </w:rPr>
        <w:t>.</w:t>
      </w:r>
      <w:bookmarkEnd w:id="0"/>
    </w:p>
    <w:p w:rsidR="00E9366A" w:rsidRDefault="00E9366A" w:rsidP="00E20CDD"/>
    <w:p w:rsidR="00E20CDD" w:rsidRPr="00407F2D" w:rsidRDefault="00E20CDD" w:rsidP="00E20CDD">
      <w:pPr>
        <w:pStyle w:val="PBACHeading1"/>
      </w:pPr>
      <w:bookmarkStart w:id="1" w:name="_Toc419801404"/>
      <w:r w:rsidRPr="00407F2D">
        <w:t>Purpose of Application</w:t>
      </w:r>
      <w:bookmarkEnd w:id="1"/>
    </w:p>
    <w:p w:rsidR="00E20CDD" w:rsidRPr="00882085" w:rsidRDefault="00E20CDD" w:rsidP="00E20CDD">
      <w:pPr>
        <w:rPr>
          <w:szCs w:val="22"/>
        </w:rPr>
      </w:pPr>
    </w:p>
    <w:p w:rsidR="00E20CDD" w:rsidRPr="00130734" w:rsidRDefault="001F74B5" w:rsidP="0090717E">
      <w:pPr>
        <w:pStyle w:val="ListParagraph"/>
        <w:widowControl/>
        <w:numPr>
          <w:ilvl w:val="1"/>
          <w:numId w:val="1"/>
        </w:numPr>
        <w:rPr>
          <w:szCs w:val="22"/>
        </w:rPr>
      </w:pPr>
      <w:r>
        <w:t xml:space="preserve">The re-submission requested a Section 85, </w:t>
      </w:r>
      <w:r w:rsidRPr="004B3DDB">
        <w:t>Authority Required</w:t>
      </w:r>
      <w:r>
        <w:t xml:space="preserve"> </w:t>
      </w:r>
      <w:r w:rsidRPr="004B3DDB">
        <w:t xml:space="preserve">listing for </w:t>
      </w:r>
      <w:r>
        <w:t xml:space="preserve">afatinib under a special pricing arrangement (SPA). The listing was for the use of afatinib as a first or subsequent line of treatment in patients with locally advanced or metastatic non-small cell lung cancer (NSCLC) characterised by exon 19 deletion mutations of the </w:t>
      </w:r>
      <w:r w:rsidR="00ED6C4A">
        <w:t>epidermal growth factor re</w:t>
      </w:r>
      <w:r>
        <w:t>ceptor (EGFR) gene</w:t>
      </w:r>
      <w:r w:rsidRPr="004B3DDB">
        <w:t>.</w:t>
      </w:r>
    </w:p>
    <w:p w:rsidR="00E20CDD" w:rsidRDefault="00E20CDD" w:rsidP="00ED6C4A">
      <w:pPr>
        <w:widowControl/>
        <w:rPr>
          <w:szCs w:val="22"/>
        </w:rPr>
      </w:pPr>
    </w:p>
    <w:p w:rsidR="00E9366A" w:rsidRPr="00ED6C4A" w:rsidRDefault="00E9366A" w:rsidP="00ED6C4A">
      <w:pPr>
        <w:widowControl/>
        <w:rPr>
          <w:szCs w:val="22"/>
        </w:rPr>
      </w:pPr>
    </w:p>
    <w:p w:rsidR="00E20CDD" w:rsidRPr="00407F2D" w:rsidRDefault="00E20CDD" w:rsidP="00E20CDD">
      <w:pPr>
        <w:pStyle w:val="PBACHeading1"/>
      </w:pPr>
      <w:bookmarkStart w:id="2" w:name="_Toc419801405"/>
      <w:r w:rsidRPr="00407F2D">
        <w:t>Requested listing</w:t>
      </w:r>
      <w:bookmarkEnd w:id="2"/>
    </w:p>
    <w:p w:rsidR="00E20CDD" w:rsidRPr="00882085" w:rsidRDefault="00E20CDD" w:rsidP="00E20CDD"/>
    <w:p w:rsidR="00A41427" w:rsidRPr="006B41C0" w:rsidRDefault="00A41427" w:rsidP="0090717E">
      <w:pPr>
        <w:pStyle w:val="ListParagraph"/>
        <w:widowControl/>
        <w:numPr>
          <w:ilvl w:val="1"/>
          <w:numId w:val="1"/>
        </w:numPr>
        <w:rPr>
          <w:szCs w:val="22"/>
        </w:rPr>
      </w:pPr>
      <w:r w:rsidRPr="006B41C0">
        <w:rPr>
          <w:rFonts w:eastAsia="SimSun"/>
        </w:rPr>
        <w:t>Suggestions and additions proposed by the Secretariat to the requested listing are added in italics.</w:t>
      </w:r>
    </w:p>
    <w:p w:rsidR="00A41427" w:rsidRPr="00F1325C" w:rsidRDefault="00A41427" w:rsidP="00A41427">
      <w:pPr>
        <w:pStyle w:val="PBACHeading1"/>
        <w:numPr>
          <w:ilvl w:val="0"/>
          <w:numId w:val="0"/>
        </w:numPr>
        <w:ind w:left="720" w:hanging="720"/>
        <w:rPr>
          <w:b w:val="0"/>
        </w:rPr>
      </w:pPr>
    </w:p>
    <w:tbl>
      <w:tblPr>
        <w:tblW w:w="8363" w:type="dxa"/>
        <w:tblInd w:w="817" w:type="dxa"/>
        <w:tblLayout w:type="fixed"/>
        <w:tblLook w:val="0000" w:firstRow="0" w:lastRow="0" w:firstColumn="0" w:lastColumn="0" w:noHBand="0" w:noVBand="0"/>
      </w:tblPr>
      <w:tblGrid>
        <w:gridCol w:w="2126"/>
        <w:gridCol w:w="426"/>
        <w:gridCol w:w="567"/>
        <w:gridCol w:w="850"/>
        <w:gridCol w:w="1701"/>
        <w:gridCol w:w="1559"/>
        <w:gridCol w:w="1134"/>
      </w:tblGrid>
      <w:tr w:rsidR="00A41427" w:rsidRPr="00260CE3" w:rsidTr="00811798">
        <w:trPr>
          <w:cantSplit/>
          <w:trHeight w:val="471"/>
        </w:trPr>
        <w:tc>
          <w:tcPr>
            <w:tcW w:w="2552" w:type="dxa"/>
            <w:gridSpan w:val="2"/>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Name, Restriction,</w:t>
            </w:r>
          </w:p>
          <w:p w:rsidR="00A41427" w:rsidRPr="00260CE3" w:rsidRDefault="00A41427" w:rsidP="00C0180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Max.</w:t>
            </w:r>
          </w:p>
          <w:p w:rsidR="00A41427" w:rsidRPr="00260CE3" w:rsidRDefault="00A41427" w:rsidP="00C01802">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№.of</w:t>
            </w:r>
          </w:p>
          <w:p w:rsidR="00A41427" w:rsidRPr="00260CE3" w:rsidRDefault="00A41427" w:rsidP="00C01802">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Dispensed Price for Max. Qty</w:t>
            </w:r>
            <w:r>
              <w:rPr>
                <w:rFonts w:ascii="Arial Narrow" w:hAnsi="Arial Narrow"/>
                <w:sz w:val="20"/>
              </w:rPr>
              <w:t xml:space="preserve"> (effective price for Max. Qty)</w:t>
            </w:r>
          </w:p>
        </w:tc>
        <w:tc>
          <w:tcPr>
            <w:tcW w:w="2693" w:type="dxa"/>
            <w:gridSpan w:val="2"/>
            <w:tcBorders>
              <w:bottom w:val="single" w:sz="4" w:space="0" w:color="auto"/>
            </w:tcBorders>
          </w:tcPr>
          <w:p w:rsidR="00A41427" w:rsidRPr="00260CE3" w:rsidRDefault="00A41427" w:rsidP="00C01802">
            <w:pPr>
              <w:keepNext/>
              <w:rPr>
                <w:rFonts w:ascii="Arial Narrow" w:hAnsi="Arial Narrow"/>
                <w:sz w:val="20"/>
                <w:lang w:val="fr-FR"/>
              </w:rPr>
            </w:pPr>
            <w:r w:rsidRPr="00260CE3">
              <w:rPr>
                <w:rFonts w:ascii="Arial Narrow" w:hAnsi="Arial Narrow"/>
                <w:sz w:val="20"/>
              </w:rPr>
              <w:t>Proprietary Name and Manufacturer</w:t>
            </w:r>
          </w:p>
        </w:tc>
      </w:tr>
      <w:tr w:rsidR="00A41427" w:rsidRPr="00260CE3" w:rsidTr="00811798">
        <w:trPr>
          <w:cantSplit/>
          <w:trHeight w:val="577"/>
        </w:trPr>
        <w:tc>
          <w:tcPr>
            <w:tcW w:w="2552" w:type="dxa"/>
            <w:gridSpan w:val="2"/>
          </w:tcPr>
          <w:p w:rsidR="00A41427" w:rsidRPr="0001404E" w:rsidRDefault="00A41427" w:rsidP="00C01802">
            <w:pPr>
              <w:keepNext/>
              <w:ind w:left="-108"/>
              <w:rPr>
                <w:rFonts w:ascii="Arial Narrow" w:hAnsi="Arial Narrow"/>
                <w:sz w:val="20"/>
                <w:lang w:val="nb-NO"/>
              </w:rPr>
            </w:pPr>
            <w:r w:rsidRPr="0001404E">
              <w:rPr>
                <w:rFonts w:ascii="Arial Narrow" w:hAnsi="Arial Narrow"/>
                <w:smallCaps/>
                <w:sz w:val="20"/>
                <w:lang w:val="nb-NO"/>
              </w:rPr>
              <w:t>AFATINIB DIMALEATE</w:t>
            </w:r>
          </w:p>
          <w:p w:rsidR="00A41427" w:rsidRPr="0001404E" w:rsidRDefault="00A41427" w:rsidP="00C01802">
            <w:pPr>
              <w:keepNext/>
              <w:ind w:left="-108"/>
              <w:rPr>
                <w:rFonts w:ascii="Arial Narrow" w:hAnsi="Arial Narrow"/>
                <w:sz w:val="20"/>
                <w:lang w:val="nb-NO"/>
              </w:rPr>
            </w:pPr>
            <w:r w:rsidRPr="0001404E">
              <w:rPr>
                <w:rFonts w:ascii="Arial Narrow" w:hAnsi="Arial Narrow"/>
                <w:sz w:val="20"/>
                <w:lang w:val="nb-NO"/>
              </w:rPr>
              <w:t>Tablet 20 mg</w:t>
            </w:r>
          </w:p>
          <w:p w:rsidR="00A41427" w:rsidRPr="0001404E" w:rsidRDefault="00A41427" w:rsidP="00C01802">
            <w:pPr>
              <w:keepNext/>
              <w:ind w:left="-108"/>
              <w:rPr>
                <w:rFonts w:ascii="Arial Narrow" w:hAnsi="Arial Narrow"/>
                <w:sz w:val="20"/>
                <w:lang w:val="nb-NO"/>
              </w:rPr>
            </w:pPr>
            <w:r w:rsidRPr="0001404E">
              <w:rPr>
                <w:rFonts w:ascii="Arial Narrow" w:hAnsi="Arial Narrow"/>
                <w:sz w:val="20"/>
                <w:lang w:val="nb-NO"/>
              </w:rPr>
              <w:t>Tablet 30 mg</w:t>
            </w:r>
          </w:p>
          <w:p w:rsidR="00A41427" w:rsidRDefault="00A41427" w:rsidP="00C01802">
            <w:pPr>
              <w:keepNext/>
              <w:ind w:left="-108"/>
              <w:rPr>
                <w:rFonts w:ascii="Arial Narrow" w:hAnsi="Arial Narrow"/>
                <w:sz w:val="20"/>
              </w:rPr>
            </w:pPr>
            <w:r>
              <w:rPr>
                <w:rFonts w:ascii="Arial Narrow" w:hAnsi="Arial Narrow"/>
                <w:sz w:val="20"/>
              </w:rPr>
              <w:t>Tablet 40 mg</w:t>
            </w:r>
          </w:p>
          <w:p w:rsidR="00A41427" w:rsidRPr="00260CE3" w:rsidRDefault="00A41427" w:rsidP="00C01802">
            <w:pPr>
              <w:keepNext/>
              <w:ind w:left="-108"/>
              <w:rPr>
                <w:rFonts w:ascii="Arial Narrow" w:hAnsi="Arial Narrow"/>
                <w:sz w:val="20"/>
              </w:rPr>
            </w:pPr>
            <w:r>
              <w:rPr>
                <w:rFonts w:ascii="Arial Narrow" w:hAnsi="Arial Narrow"/>
                <w:sz w:val="20"/>
              </w:rPr>
              <w:t>Tablet 50 mg</w:t>
            </w:r>
          </w:p>
        </w:tc>
        <w:tc>
          <w:tcPr>
            <w:tcW w:w="567" w:type="dxa"/>
          </w:tcPr>
          <w:p w:rsidR="00A41427" w:rsidRPr="00260CE3" w:rsidRDefault="00A41427" w:rsidP="00C01802">
            <w:pPr>
              <w:keepNext/>
              <w:ind w:left="-108"/>
              <w:rPr>
                <w:rFonts w:ascii="Arial Narrow" w:hAnsi="Arial Narrow"/>
                <w:sz w:val="20"/>
              </w:rPr>
            </w:pPr>
          </w:p>
          <w:p w:rsidR="00A41427" w:rsidRDefault="00A41427" w:rsidP="00C01802">
            <w:pPr>
              <w:keepNext/>
              <w:ind w:left="-108"/>
              <w:rPr>
                <w:rFonts w:ascii="Arial Narrow" w:hAnsi="Arial Narrow"/>
                <w:sz w:val="20"/>
              </w:rPr>
            </w:pPr>
            <w:r>
              <w:rPr>
                <w:rFonts w:ascii="Arial Narrow" w:hAnsi="Arial Narrow"/>
                <w:sz w:val="20"/>
              </w:rPr>
              <w:t>28</w:t>
            </w:r>
          </w:p>
          <w:p w:rsidR="00A41427" w:rsidRDefault="00A41427" w:rsidP="00C01802">
            <w:pPr>
              <w:keepNext/>
              <w:ind w:left="-108"/>
              <w:rPr>
                <w:rFonts w:ascii="Arial Narrow" w:hAnsi="Arial Narrow"/>
                <w:sz w:val="20"/>
              </w:rPr>
            </w:pPr>
            <w:r>
              <w:rPr>
                <w:rFonts w:ascii="Arial Narrow" w:hAnsi="Arial Narrow"/>
                <w:sz w:val="20"/>
              </w:rPr>
              <w:t>28</w:t>
            </w:r>
          </w:p>
          <w:p w:rsidR="00A41427" w:rsidRDefault="00A41427" w:rsidP="00C01802">
            <w:pPr>
              <w:keepNext/>
              <w:ind w:left="-108"/>
              <w:rPr>
                <w:rFonts w:ascii="Arial Narrow" w:hAnsi="Arial Narrow"/>
                <w:sz w:val="20"/>
              </w:rPr>
            </w:pPr>
            <w:r>
              <w:rPr>
                <w:rFonts w:ascii="Arial Narrow" w:hAnsi="Arial Narrow"/>
                <w:sz w:val="20"/>
              </w:rPr>
              <w:t>28</w:t>
            </w:r>
          </w:p>
          <w:p w:rsidR="00A41427" w:rsidRPr="00260CE3" w:rsidRDefault="00A41427" w:rsidP="00C01802">
            <w:pPr>
              <w:keepNext/>
              <w:ind w:left="-108"/>
              <w:rPr>
                <w:rFonts w:ascii="Arial Narrow" w:hAnsi="Arial Narrow"/>
                <w:sz w:val="20"/>
              </w:rPr>
            </w:pPr>
            <w:r>
              <w:rPr>
                <w:rFonts w:ascii="Arial Narrow" w:hAnsi="Arial Narrow"/>
                <w:sz w:val="20"/>
              </w:rPr>
              <w:t>28</w:t>
            </w:r>
          </w:p>
        </w:tc>
        <w:tc>
          <w:tcPr>
            <w:tcW w:w="850" w:type="dxa"/>
          </w:tcPr>
          <w:p w:rsidR="00A41427" w:rsidRPr="00FE36F7" w:rsidRDefault="00A41427" w:rsidP="00C01802">
            <w:pPr>
              <w:keepNext/>
              <w:ind w:left="-108"/>
              <w:rPr>
                <w:rFonts w:ascii="Arial Narrow" w:hAnsi="Arial Narrow"/>
                <w:sz w:val="20"/>
              </w:rPr>
            </w:pPr>
          </w:p>
          <w:p w:rsidR="00A41427" w:rsidRPr="00FE36F7" w:rsidRDefault="00A41427" w:rsidP="00C01802">
            <w:pPr>
              <w:keepNext/>
              <w:ind w:left="-108"/>
              <w:rPr>
                <w:rFonts w:ascii="Arial Narrow" w:hAnsi="Arial Narrow"/>
                <w:sz w:val="20"/>
              </w:rPr>
            </w:pPr>
            <w:r w:rsidRPr="00FE36F7">
              <w:rPr>
                <w:rFonts w:ascii="Arial Narrow" w:hAnsi="Arial Narrow"/>
                <w:sz w:val="20"/>
              </w:rPr>
              <w:t>3</w:t>
            </w:r>
          </w:p>
          <w:p w:rsidR="00A41427" w:rsidRPr="00FE36F7" w:rsidRDefault="00A41427" w:rsidP="00C01802">
            <w:pPr>
              <w:keepNext/>
              <w:ind w:left="-108"/>
              <w:rPr>
                <w:rFonts w:ascii="Arial Narrow" w:hAnsi="Arial Narrow"/>
                <w:sz w:val="20"/>
              </w:rPr>
            </w:pPr>
            <w:r w:rsidRPr="00FE36F7">
              <w:rPr>
                <w:rFonts w:ascii="Arial Narrow" w:hAnsi="Arial Narrow"/>
                <w:sz w:val="20"/>
              </w:rPr>
              <w:t>3</w:t>
            </w:r>
          </w:p>
          <w:p w:rsidR="00A41427" w:rsidRPr="00FE36F7" w:rsidRDefault="00A41427" w:rsidP="00C01802">
            <w:pPr>
              <w:keepNext/>
              <w:ind w:left="-108"/>
              <w:rPr>
                <w:rFonts w:ascii="Arial Narrow" w:hAnsi="Arial Narrow"/>
                <w:sz w:val="20"/>
              </w:rPr>
            </w:pPr>
            <w:r w:rsidRPr="00FE36F7">
              <w:rPr>
                <w:rFonts w:ascii="Arial Narrow" w:hAnsi="Arial Narrow"/>
                <w:sz w:val="20"/>
              </w:rPr>
              <w:t>3</w:t>
            </w:r>
          </w:p>
          <w:p w:rsidR="00A41427" w:rsidRPr="00FE36F7" w:rsidRDefault="00A41427" w:rsidP="00C01802">
            <w:pPr>
              <w:keepNext/>
              <w:ind w:left="-108"/>
              <w:rPr>
                <w:rFonts w:ascii="Arial Narrow" w:hAnsi="Arial Narrow"/>
                <w:sz w:val="20"/>
              </w:rPr>
            </w:pPr>
            <w:r w:rsidRPr="00FE36F7">
              <w:rPr>
                <w:rFonts w:ascii="Arial Narrow" w:hAnsi="Arial Narrow"/>
                <w:sz w:val="20"/>
              </w:rPr>
              <w:t>3</w:t>
            </w:r>
          </w:p>
        </w:tc>
        <w:tc>
          <w:tcPr>
            <w:tcW w:w="1701" w:type="dxa"/>
          </w:tcPr>
          <w:p w:rsidR="00A41427" w:rsidRPr="00FE36F7" w:rsidRDefault="00A41427" w:rsidP="00C01802">
            <w:pPr>
              <w:keepNext/>
              <w:ind w:left="-108"/>
              <w:rPr>
                <w:rFonts w:ascii="Arial Narrow" w:hAnsi="Arial Narrow"/>
                <w:sz w:val="20"/>
              </w:rPr>
            </w:pP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tc>
        <w:tc>
          <w:tcPr>
            <w:tcW w:w="1559" w:type="dxa"/>
          </w:tcPr>
          <w:p w:rsidR="00A41427" w:rsidRDefault="00A41427" w:rsidP="00C01802">
            <w:pPr>
              <w:keepNext/>
              <w:rPr>
                <w:rFonts w:ascii="Arial Narrow" w:hAnsi="Arial Narrow"/>
                <w:sz w:val="20"/>
              </w:rPr>
            </w:pPr>
          </w:p>
          <w:p w:rsidR="00A41427" w:rsidRDefault="00A41427" w:rsidP="00C01802">
            <w:pPr>
              <w:keepNext/>
              <w:rPr>
                <w:rFonts w:ascii="Arial Narrow" w:hAnsi="Arial Narrow"/>
                <w:sz w:val="20"/>
              </w:rPr>
            </w:pPr>
          </w:p>
          <w:p w:rsidR="00A41427" w:rsidRPr="00A67A4A" w:rsidRDefault="00A41427" w:rsidP="00C01802">
            <w:pPr>
              <w:keepNext/>
              <w:rPr>
                <w:rFonts w:ascii="Arial Narrow" w:hAnsi="Arial Narrow"/>
                <w:sz w:val="20"/>
              </w:rPr>
            </w:pPr>
            <w:r w:rsidRPr="00A67A4A">
              <w:rPr>
                <w:rFonts w:ascii="Arial Narrow" w:hAnsi="Arial Narrow"/>
                <w:sz w:val="20"/>
                <w:lang w:eastAsia="zh-CN"/>
              </w:rPr>
              <w:t>Giotrif</w:t>
            </w:r>
            <w:r w:rsidRPr="00A67A4A">
              <w:rPr>
                <w:rFonts w:ascii="Arial Narrow" w:hAnsi="Arial Narrow"/>
                <w:sz w:val="20"/>
                <w:vertAlign w:val="superscript"/>
              </w:rPr>
              <w:t>®</w:t>
            </w:r>
          </w:p>
        </w:tc>
        <w:tc>
          <w:tcPr>
            <w:tcW w:w="1134" w:type="dxa"/>
          </w:tcPr>
          <w:p w:rsidR="00A41427" w:rsidRDefault="00A41427" w:rsidP="00C01802">
            <w:pPr>
              <w:keepNext/>
              <w:rPr>
                <w:rFonts w:ascii="Arial Narrow" w:hAnsi="Arial Narrow"/>
                <w:sz w:val="20"/>
              </w:rPr>
            </w:pPr>
          </w:p>
          <w:p w:rsidR="00A41427" w:rsidRDefault="00A41427" w:rsidP="00C01802">
            <w:pPr>
              <w:keepNext/>
              <w:rPr>
                <w:rFonts w:ascii="Arial Narrow" w:hAnsi="Arial Narrow"/>
                <w:sz w:val="20"/>
              </w:rPr>
            </w:pPr>
          </w:p>
          <w:p w:rsidR="00A41427" w:rsidRPr="00A67A4A" w:rsidRDefault="00A41427" w:rsidP="00C01802">
            <w:pPr>
              <w:keepNext/>
              <w:rPr>
                <w:rFonts w:ascii="Arial Narrow" w:hAnsi="Arial Narrow"/>
                <w:sz w:val="20"/>
              </w:rPr>
            </w:pPr>
            <w:r w:rsidRPr="00A67A4A">
              <w:rPr>
                <w:rFonts w:ascii="Arial Narrow" w:hAnsi="Arial Narrow"/>
                <w:sz w:val="20"/>
                <w:lang w:eastAsia="zh-CN"/>
              </w:rPr>
              <w:t>Boehringer Ingelheim Pty Limited</w:t>
            </w:r>
          </w:p>
        </w:tc>
      </w:tr>
      <w:tr w:rsidR="00A41427" w:rsidRPr="00260CE3" w:rsidTr="00811798">
        <w:trPr>
          <w:cantSplit/>
          <w:trHeight w:val="360"/>
        </w:trPr>
        <w:tc>
          <w:tcPr>
            <w:tcW w:w="8363" w:type="dxa"/>
            <w:gridSpan w:val="7"/>
            <w:tcBorders>
              <w:bottom w:val="single" w:sz="4" w:space="0" w:color="auto"/>
            </w:tcBorders>
          </w:tcPr>
          <w:p w:rsidR="00A41427" w:rsidRPr="00260CE3" w:rsidRDefault="00A41427" w:rsidP="00C01802">
            <w:pPr>
              <w:rPr>
                <w:rFonts w:ascii="Arial Narrow" w:hAnsi="Arial Narrow"/>
                <w:sz w:val="20"/>
              </w:rPr>
            </w:pP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260CE3">
              <w:rPr>
                <w:rFonts w:ascii="Arial Narrow" w:hAnsi="Arial Narrow"/>
                <w:sz w:val="20"/>
              </w:rPr>
              <w:t>GENERAL – General Schedule (Code GE)</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D72941">
              <w:rPr>
                <w:rFonts w:ascii="Arial Narrow" w:hAnsi="Arial Narrow"/>
                <w:sz w:val="20"/>
              </w:rPr>
              <w:fldChar w:fldCharType="begin">
                <w:ffData>
                  <w:name w:val=""/>
                  <w:enabled/>
                  <w:calcOnExit w:val="0"/>
                  <w:checkBox>
                    <w:sizeAuto/>
                    <w:default w:val="1"/>
                  </w:checkBox>
                </w:ffData>
              </w:fldChar>
            </w:r>
            <w:r w:rsidRPr="00D72941">
              <w:rPr>
                <w:rFonts w:ascii="Arial Narrow" w:hAnsi="Arial Narrow"/>
                <w:sz w:val="20"/>
              </w:rPr>
              <w:instrText xml:space="preserve"> FORMCHECKBOX </w:instrText>
            </w:r>
            <w:r w:rsidR="00393C73">
              <w:rPr>
                <w:rFonts w:ascii="Arial Narrow" w:hAnsi="Arial Narrow"/>
                <w:sz w:val="20"/>
              </w:rPr>
            </w:r>
            <w:r w:rsidR="00393C73">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Medical Practitioners  </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Severity:</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Stage IIIB (locally advanced) or Stage IV (metastatic)</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Condition:</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Non-small cell lung cancer (NSCLC)</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F85743">
              <w:rPr>
                <w:rFonts w:ascii="Arial Narrow" w:hAnsi="Arial Narrow"/>
                <w:sz w:val="20"/>
              </w:rPr>
              <w:t>Stage IIIB (locally advanced) or Stage IV (metastatic) NSCLC</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9F4317" w:rsidRDefault="00A41427" w:rsidP="00C01802">
            <w:pPr>
              <w:rPr>
                <w:rFonts w:ascii="Arial Narrow" w:hAnsi="Arial Narrow"/>
                <w:b/>
                <w:sz w:val="20"/>
              </w:rPr>
            </w:pPr>
            <w:r w:rsidRPr="00260CE3">
              <w:rPr>
                <w:rFonts w:ascii="Arial Narrow" w:hAnsi="Arial Narrow"/>
                <w:b/>
                <w:sz w:val="20"/>
              </w:rPr>
              <w:t>Treatment phase:</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F85743">
              <w:rPr>
                <w:rFonts w:ascii="Arial Narrow" w:hAnsi="Arial Narrow"/>
                <w:sz w:val="20"/>
              </w:rPr>
              <w:t>Initial treatment</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9F4317" w:rsidRDefault="00A41427" w:rsidP="00C0180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Authority required</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6C1B18">
            <w:pPr>
              <w:rPr>
                <w:rFonts w:ascii="Arial Narrow" w:hAnsi="Arial Narrow"/>
                <w:sz w:val="20"/>
              </w:rPr>
            </w:pPr>
            <w:r w:rsidRPr="00260CE3">
              <w:rPr>
                <w:rFonts w:ascii="Arial Narrow" w:hAnsi="Arial Narrow"/>
                <w:b/>
                <w:sz w:val="20"/>
              </w:rPr>
              <w:t>Clinical criteria:</w:t>
            </w:r>
          </w:p>
        </w:tc>
        <w:tc>
          <w:tcPr>
            <w:tcW w:w="6237" w:type="dxa"/>
            <w:gridSpan w:val="6"/>
            <w:tcBorders>
              <w:top w:val="single" w:sz="4" w:space="0" w:color="auto"/>
              <w:left w:val="single" w:sz="4" w:space="0" w:color="auto"/>
              <w:bottom w:val="single" w:sz="4" w:space="0" w:color="auto"/>
              <w:right w:val="single" w:sz="4" w:space="0" w:color="auto"/>
            </w:tcBorders>
          </w:tcPr>
          <w:p w:rsidR="00A41427" w:rsidRDefault="00A41427" w:rsidP="00C01802">
            <w:pPr>
              <w:rPr>
                <w:rFonts w:ascii="Arial Narrow" w:hAnsi="Arial Narrow"/>
                <w:sz w:val="20"/>
              </w:rPr>
            </w:pPr>
            <w:r w:rsidRPr="00F85743">
              <w:rPr>
                <w:rFonts w:ascii="Arial Narrow" w:hAnsi="Arial Narrow"/>
                <w:sz w:val="20"/>
              </w:rPr>
              <w:t>The treatment must be as monotherapy</w:t>
            </w:r>
          </w:p>
          <w:p w:rsidR="00A41427" w:rsidRPr="00F85743" w:rsidRDefault="00A41427" w:rsidP="00C01802">
            <w:pPr>
              <w:rPr>
                <w:rFonts w:ascii="Arial Narrow" w:hAnsi="Arial Narrow"/>
                <w:sz w:val="20"/>
              </w:rPr>
            </w:pPr>
          </w:p>
          <w:p w:rsidR="00A41427" w:rsidRDefault="00A41427" w:rsidP="00C01802">
            <w:pPr>
              <w:rPr>
                <w:rFonts w:ascii="Arial Narrow" w:hAnsi="Arial Narrow"/>
                <w:sz w:val="20"/>
              </w:rPr>
            </w:pPr>
            <w:r w:rsidRPr="00F85743">
              <w:rPr>
                <w:rFonts w:ascii="Arial Narrow" w:hAnsi="Arial Narrow"/>
                <w:sz w:val="20"/>
              </w:rPr>
              <w:t>AND</w:t>
            </w:r>
          </w:p>
          <w:p w:rsidR="00A41427" w:rsidRPr="00F85743" w:rsidRDefault="00A41427" w:rsidP="00C01802">
            <w:pPr>
              <w:rPr>
                <w:rFonts w:ascii="Arial Narrow" w:hAnsi="Arial Narrow"/>
                <w:sz w:val="20"/>
              </w:rPr>
            </w:pPr>
          </w:p>
          <w:p w:rsidR="00A41427" w:rsidRDefault="00A41427" w:rsidP="00C01802">
            <w:pPr>
              <w:rPr>
                <w:rFonts w:ascii="Arial Narrow" w:hAnsi="Arial Narrow"/>
                <w:sz w:val="20"/>
              </w:rPr>
            </w:pPr>
            <w:r w:rsidRPr="00F85743">
              <w:rPr>
                <w:rFonts w:ascii="Arial Narrow" w:hAnsi="Arial Narrow"/>
                <w:sz w:val="20"/>
              </w:rPr>
              <w:t xml:space="preserve">The condition must be non-squamous type </w:t>
            </w:r>
            <w:r>
              <w:rPr>
                <w:rFonts w:ascii="Arial Narrow" w:hAnsi="Arial Narrow"/>
                <w:sz w:val="20"/>
              </w:rPr>
              <w:t>non-small cell lung cancer (</w:t>
            </w:r>
            <w:r w:rsidRPr="00F85743">
              <w:rPr>
                <w:rFonts w:ascii="Arial Narrow" w:hAnsi="Arial Narrow"/>
                <w:sz w:val="20"/>
              </w:rPr>
              <w:t>NSCLC</w:t>
            </w:r>
            <w:r>
              <w:rPr>
                <w:rFonts w:ascii="Arial Narrow" w:hAnsi="Arial Narrow"/>
                <w:sz w:val="20"/>
              </w:rPr>
              <w:t>)</w:t>
            </w:r>
            <w:r w:rsidRPr="00F85743">
              <w:rPr>
                <w:rFonts w:ascii="Arial Narrow" w:hAnsi="Arial Narrow"/>
                <w:sz w:val="20"/>
              </w:rPr>
              <w:t xml:space="preserve"> or not otherwise specified type NSCLC</w:t>
            </w:r>
          </w:p>
          <w:p w:rsidR="00A41427" w:rsidRPr="00F85743" w:rsidRDefault="00A41427" w:rsidP="00C01802">
            <w:pPr>
              <w:rPr>
                <w:rFonts w:ascii="Arial Narrow" w:hAnsi="Arial Narrow"/>
                <w:sz w:val="20"/>
              </w:rPr>
            </w:pPr>
          </w:p>
          <w:p w:rsidR="00A41427" w:rsidRDefault="00A41427" w:rsidP="00C01802">
            <w:pPr>
              <w:rPr>
                <w:rFonts w:ascii="Arial Narrow" w:hAnsi="Arial Narrow"/>
                <w:sz w:val="20"/>
              </w:rPr>
            </w:pPr>
            <w:r w:rsidRPr="00F85743">
              <w:rPr>
                <w:rFonts w:ascii="Arial Narrow" w:hAnsi="Arial Narrow"/>
                <w:sz w:val="20"/>
              </w:rPr>
              <w:t>AND</w:t>
            </w:r>
          </w:p>
          <w:p w:rsidR="00A41427" w:rsidRPr="00F85743" w:rsidRDefault="00A41427" w:rsidP="00C01802">
            <w:pPr>
              <w:rPr>
                <w:rFonts w:ascii="Arial Narrow" w:hAnsi="Arial Narrow"/>
                <w:sz w:val="20"/>
                <w:lang w:eastAsia="zh-CN"/>
              </w:rPr>
            </w:pPr>
          </w:p>
          <w:p w:rsidR="00A41427" w:rsidRPr="00E77180" w:rsidRDefault="00A41427" w:rsidP="00C01802">
            <w:pPr>
              <w:rPr>
                <w:rFonts w:ascii="Arial Narrow" w:hAnsi="Arial Narrow"/>
                <w:sz w:val="20"/>
                <w:lang w:eastAsia="zh-CN"/>
              </w:rPr>
            </w:pPr>
            <w:r w:rsidRPr="00F85743">
              <w:rPr>
                <w:rFonts w:ascii="Arial Narrow" w:hAnsi="Arial Narrow"/>
                <w:sz w:val="20"/>
                <w:lang w:eastAsia="zh-CN"/>
              </w:rPr>
              <w:t>Patient must not have received previous PBS-subsidised treatment with another epidermal growth factor receptor (EGFR) tyrosine kinase inhibitor (TKI);</w:t>
            </w:r>
            <w:r w:rsidRPr="00E77180">
              <w:rPr>
                <w:rFonts w:ascii="Arial Narrow" w:hAnsi="Arial Narrow"/>
                <w:sz w:val="20"/>
                <w:lang w:eastAsia="zh-CN"/>
              </w:rPr>
              <w:t xml:space="preserve"> OR</w:t>
            </w:r>
          </w:p>
          <w:p w:rsidR="00A41427" w:rsidRDefault="00A41427" w:rsidP="00C01802">
            <w:pPr>
              <w:rPr>
                <w:rFonts w:ascii="Arial Narrow" w:hAnsi="Arial Narrow"/>
                <w:sz w:val="20"/>
              </w:rPr>
            </w:pPr>
            <w:r w:rsidRPr="00F85743">
              <w:rPr>
                <w:rFonts w:ascii="Arial Narrow" w:hAnsi="Arial Narrow"/>
                <w:sz w:val="20"/>
                <w:lang w:eastAsia="zh-CN"/>
              </w:rPr>
              <w:t>P</w:t>
            </w:r>
            <w:r w:rsidRPr="00F85743">
              <w:rPr>
                <w:rFonts w:ascii="Arial Narrow" w:hAnsi="Arial Narrow"/>
                <w:sz w:val="20"/>
              </w:rPr>
              <w:t xml:space="preserve">atient </w:t>
            </w:r>
            <w:r w:rsidRPr="00F85743">
              <w:rPr>
                <w:rFonts w:ascii="Arial Narrow" w:hAnsi="Arial Narrow"/>
                <w:sz w:val="20"/>
                <w:lang w:eastAsia="zh-CN"/>
              </w:rPr>
              <w:t>must have</w:t>
            </w:r>
            <w:r w:rsidRPr="00F85743">
              <w:rPr>
                <w:rFonts w:ascii="Arial Narrow" w:hAnsi="Arial Narrow"/>
                <w:sz w:val="20"/>
              </w:rPr>
              <w:t xml:space="preserve"> developed intolerance to another </w:t>
            </w:r>
            <w:r>
              <w:rPr>
                <w:rFonts w:ascii="Arial Narrow" w:hAnsi="Arial Narrow"/>
                <w:sz w:val="20"/>
              </w:rPr>
              <w:t xml:space="preserve">EGFR </w:t>
            </w:r>
            <w:r w:rsidRPr="00F85743">
              <w:rPr>
                <w:rFonts w:ascii="Arial Narrow" w:hAnsi="Arial Narrow"/>
                <w:sz w:val="20"/>
              </w:rPr>
              <w:t>TKI of a severity necessitating permanent treatment withdrawal</w:t>
            </w:r>
          </w:p>
          <w:p w:rsidR="00A41427" w:rsidRPr="00E77180" w:rsidRDefault="00A41427" w:rsidP="00C01802">
            <w:pPr>
              <w:rPr>
                <w:rFonts w:ascii="Arial Narrow" w:hAnsi="Arial Narrow"/>
                <w:sz w:val="20"/>
                <w:lang w:eastAsia="zh-CN"/>
              </w:rPr>
            </w:pPr>
          </w:p>
          <w:p w:rsidR="00A41427" w:rsidRDefault="00A41427" w:rsidP="00C01802">
            <w:pPr>
              <w:rPr>
                <w:rFonts w:ascii="Arial Narrow" w:hAnsi="Arial Narrow"/>
                <w:sz w:val="20"/>
              </w:rPr>
            </w:pPr>
            <w:r w:rsidRPr="00F85743">
              <w:rPr>
                <w:rFonts w:ascii="Arial Narrow" w:hAnsi="Arial Narrow"/>
                <w:sz w:val="20"/>
              </w:rPr>
              <w:t>AND</w:t>
            </w:r>
          </w:p>
          <w:p w:rsidR="00A41427" w:rsidRPr="00F85743" w:rsidRDefault="00A41427" w:rsidP="00C01802">
            <w:pPr>
              <w:rPr>
                <w:rFonts w:ascii="Arial Narrow" w:hAnsi="Arial Narrow"/>
                <w:sz w:val="20"/>
                <w:lang w:eastAsia="zh-CN"/>
              </w:rPr>
            </w:pPr>
          </w:p>
          <w:p w:rsidR="00A41427" w:rsidRPr="00260CE3" w:rsidRDefault="00A41427" w:rsidP="00C01802">
            <w:pPr>
              <w:rPr>
                <w:rFonts w:ascii="Arial Narrow" w:hAnsi="Arial Narrow"/>
                <w:sz w:val="20"/>
              </w:rPr>
            </w:pPr>
            <w:r w:rsidRPr="00F85743">
              <w:rPr>
                <w:rFonts w:ascii="Arial Narrow" w:hAnsi="Arial Narrow"/>
                <w:sz w:val="20"/>
              </w:rPr>
              <w:t>Patient must have a WHO performance status of 2 or less</w:t>
            </w:r>
            <w:r>
              <w:rPr>
                <w:rFonts w:ascii="Arial Narrow" w:hAnsi="Arial Narrow"/>
                <w:sz w:val="20"/>
              </w:rPr>
              <w:t>.</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lastRenderedPageBreak/>
              <w:t>Population criteria:</w:t>
            </w:r>
          </w:p>
          <w:p w:rsidR="00A41427" w:rsidRPr="00260CE3" w:rsidRDefault="00A41427" w:rsidP="00C01802">
            <w:pPr>
              <w:rPr>
                <w:rFonts w:ascii="Arial Narrow" w:hAnsi="Arial Narrow"/>
                <w:sz w:val="20"/>
              </w:rPr>
            </w:pPr>
          </w:p>
        </w:tc>
        <w:tc>
          <w:tcPr>
            <w:tcW w:w="6237" w:type="dxa"/>
            <w:gridSpan w:val="6"/>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F85743">
              <w:rPr>
                <w:rFonts w:ascii="Arial Narrow" w:hAnsi="Arial Narrow"/>
                <w:sz w:val="20"/>
              </w:rPr>
              <w:t xml:space="preserve">Patient must have evidence of exon 19 deletion mutation(s) of the </w:t>
            </w:r>
            <w:r w:rsidRPr="00F85743">
              <w:rPr>
                <w:rFonts w:ascii="Arial Narrow" w:hAnsi="Arial Narrow"/>
                <w:sz w:val="20"/>
                <w:lang w:eastAsia="zh-CN"/>
              </w:rPr>
              <w:t xml:space="preserve">epidermal growth factor receptor </w:t>
            </w:r>
            <w:r>
              <w:rPr>
                <w:rFonts w:ascii="Arial Narrow" w:hAnsi="Arial Narrow"/>
                <w:sz w:val="20"/>
                <w:lang w:eastAsia="zh-CN"/>
              </w:rPr>
              <w:t>(</w:t>
            </w:r>
            <w:r w:rsidRPr="00F85743">
              <w:rPr>
                <w:rFonts w:ascii="Arial Narrow" w:hAnsi="Arial Narrow"/>
                <w:sz w:val="20"/>
              </w:rPr>
              <w:t>EGFR</w:t>
            </w:r>
            <w:r>
              <w:rPr>
                <w:rFonts w:ascii="Arial Narrow" w:hAnsi="Arial Narrow"/>
                <w:sz w:val="20"/>
              </w:rPr>
              <w:t>)</w:t>
            </w:r>
            <w:r w:rsidRPr="00F85743">
              <w:rPr>
                <w:rFonts w:ascii="Arial Narrow" w:hAnsi="Arial Narrow"/>
                <w:sz w:val="20"/>
              </w:rPr>
              <w:t xml:space="preserve"> gene, which are known to confer sensitivity to treatment with EGFR </w:t>
            </w:r>
            <w:r w:rsidRPr="00F85743">
              <w:rPr>
                <w:rFonts w:ascii="Arial Narrow" w:hAnsi="Arial Narrow"/>
                <w:sz w:val="20"/>
                <w:lang w:eastAsia="zh-CN"/>
              </w:rPr>
              <w:t>tyrosine kinase inhibitor</w:t>
            </w:r>
            <w:r>
              <w:rPr>
                <w:rFonts w:ascii="Arial Narrow" w:hAnsi="Arial Narrow"/>
                <w:sz w:val="20"/>
                <w:lang w:eastAsia="zh-CN"/>
              </w:rPr>
              <w:t>s (</w:t>
            </w:r>
            <w:r>
              <w:rPr>
                <w:rFonts w:ascii="Arial Narrow" w:hAnsi="Arial Narrow"/>
                <w:sz w:val="20"/>
              </w:rPr>
              <w:t>TKIs)</w:t>
            </w:r>
            <w:r w:rsidRPr="00F85743">
              <w:rPr>
                <w:rFonts w:ascii="Arial Narrow" w:hAnsi="Arial Narrow"/>
                <w:sz w:val="20"/>
              </w:rPr>
              <w:t>, in tumour material.</w:t>
            </w:r>
          </w:p>
        </w:tc>
      </w:tr>
      <w:tr w:rsidR="00A41427" w:rsidRPr="00260CE3" w:rsidTr="00811798">
        <w:trPr>
          <w:cantSplit/>
        </w:trPr>
        <w:tc>
          <w:tcPr>
            <w:tcW w:w="2126" w:type="dxa"/>
            <w:tcBorders>
              <w:top w:val="single" w:sz="4" w:space="0" w:color="auto"/>
              <w:left w:val="single" w:sz="4" w:space="0" w:color="auto"/>
              <w:bottom w:val="single" w:sz="4" w:space="0" w:color="auto"/>
              <w:right w:val="single" w:sz="4" w:space="0" w:color="auto"/>
            </w:tcBorders>
          </w:tcPr>
          <w:p w:rsidR="00A41427" w:rsidRPr="002460AD" w:rsidRDefault="00A41427" w:rsidP="00C01802">
            <w:pPr>
              <w:rPr>
                <w:rFonts w:ascii="Arial Narrow" w:hAnsi="Arial Narrow"/>
                <w:b/>
                <w:sz w:val="20"/>
              </w:rPr>
            </w:pPr>
            <w:r w:rsidRPr="002460AD">
              <w:rPr>
                <w:rFonts w:ascii="Arial Narrow" w:hAnsi="Arial Narrow"/>
                <w:b/>
                <w:sz w:val="20"/>
              </w:rPr>
              <w:t>Administrative Advice:</w:t>
            </w:r>
          </w:p>
        </w:tc>
        <w:tc>
          <w:tcPr>
            <w:tcW w:w="6237" w:type="dxa"/>
            <w:gridSpan w:val="6"/>
            <w:tcBorders>
              <w:top w:val="single" w:sz="4" w:space="0" w:color="auto"/>
              <w:left w:val="single" w:sz="4" w:space="0" w:color="auto"/>
              <w:bottom w:val="single" w:sz="4" w:space="0" w:color="auto"/>
              <w:right w:val="single" w:sz="4" w:space="0" w:color="auto"/>
            </w:tcBorders>
          </w:tcPr>
          <w:p w:rsidR="00A41427" w:rsidRPr="002460AD" w:rsidRDefault="00A41427" w:rsidP="00C01802">
            <w:pPr>
              <w:rPr>
                <w:rFonts w:ascii="Arial Narrow" w:hAnsi="Arial Narrow"/>
                <w:i/>
                <w:sz w:val="20"/>
              </w:rPr>
            </w:pPr>
            <w:r w:rsidRPr="002460AD">
              <w:rPr>
                <w:rFonts w:ascii="Arial Narrow" w:hAnsi="Arial Narrow"/>
                <w:i/>
                <w:sz w:val="20"/>
              </w:rPr>
              <w:t>Special Pricing Arrangements apply.</w:t>
            </w:r>
          </w:p>
        </w:tc>
      </w:tr>
    </w:tbl>
    <w:p w:rsidR="00A41427" w:rsidRDefault="00A41427" w:rsidP="00A41427">
      <w:pPr>
        <w:rPr>
          <w:szCs w:val="22"/>
        </w:rPr>
      </w:pPr>
    </w:p>
    <w:tbl>
      <w:tblPr>
        <w:tblW w:w="8505" w:type="dxa"/>
        <w:tblInd w:w="817" w:type="dxa"/>
        <w:tblLayout w:type="fixed"/>
        <w:tblLook w:val="0000" w:firstRow="0" w:lastRow="0" w:firstColumn="0" w:lastColumn="0" w:noHBand="0" w:noVBand="0"/>
      </w:tblPr>
      <w:tblGrid>
        <w:gridCol w:w="2552"/>
        <w:gridCol w:w="567"/>
        <w:gridCol w:w="850"/>
        <w:gridCol w:w="1701"/>
        <w:gridCol w:w="1559"/>
        <w:gridCol w:w="1276"/>
      </w:tblGrid>
      <w:tr w:rsidR="00A41427" w:rsidRPr="00260CE3" w:rsidTr="00687BD2">
        <w:trPr>
          <w:cantSplit/>
          <w:trHeight w:val="471"/>
        </w:trPr>
        <w:tc>
          <w:tcPr>
            <w:tcW w:w="2552"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Name, Restriction,</w:t>
            </w:r>
          </w:p>
          <w:p w:rsidR="00A41427" w:rsidRPr="00260CE3" w:rsidRDefault="00A41427" w:rsidP="00C0180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Max.</w:t>
            </w:r>
          </w:p>
          <w:p w:rsidR="00A41427" w:rsidRPr="00260CE3" w:rsidRDefault="00A41427" w:rsidP="00C01802">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№.of</w:t>
            </w:r>
          </w:p>
          <w:p w:rsidR="00A41427" w:rsidRPr="00260CE3" w:rsidRDefault="00A41427" w:rsidP="00C01802">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A41427" w:rsidRPr="00260CE3" w:rsidRDefault="00A41427" w:rsidP="00C01802">
            <w:pPr>
              <w:keepNext/>
              <w:ind w:left="-108"/>
              <w:rPr>
                <w:rFonts w:ascii="Arial Narrow" w:hAnsi="Arial Narrow"/>
                <w:sz w:val="20"/>
              </w:rPr>
            </w:pPr>
            <w:r w:rsidRPr="00260CE3">
              <w:rPr>
                <w:rFonts w:ascii="Arial Narrow" w:hAnsi="Arial Narrow"/>
                <w:sz w:val="20"/>
              </w:rPr>
              <w:t>Dispensed Price for Max. Qty</w:t>
            </w:r>
            <w:r>
              <w:rPr>
                <w:rFonts w:ascii="Arial Narrow" w:hAnsi="Arial Narrow"/>
                <w:sz w:val="20"/>
              </w:rPr>
              <w:t xml:space="preserve"> (effective price for Max. Qty)</w:t>
            </w:r>
          </w:p>
        </w:tc>
        <w:tc>
          <w:tcPr>
            <w:tcW w:w="2835" w:type="dxa"/>
            <w:gridSpan w:val="2"/>
            <w:tcBorders>
              <w:bottom w:val="single" w:sz="4" w:space="0" w:color="auto"/>
            </w:tcBorders>
          </w:tcPr>
          <w:p w:rsidR="00A41427" w:rsidRPr="00260CE3" w:rsidRDefault="00A41427" w:rsidP="00C01802">
            <w:pPr>
              <w:keepNext/>
              <w:rPr>
                <w:rFonts w:ascii="Arial Narrow" w:hAnsi="Arial Narrow"/>
                <w:sz w:val="20"/>
                <w:lang w:val="fr-FR"/>
              </w:rPr>
            </w:pPr>
            <w:r w:rsidRPr="00260CE3">
              <w:rPr>
                <w:rFonts w:ascii="Arial Narrow" w:hAnsi="Arial Narrow"/>
                <w:sz w:val="20"/>
              </w:rPr>
              <w:t>Proprietary Name and Manufacturer</w:t>
            </w:r>
          </w:p>
        </w:tc>
      </w:tr>
      <w:tr w:rsidR="00A41427" w:rsidRPr="00A67A4A" w:rsidTr="00687BD2">
        <w:trPr>
          <w:cantSplit/>
          <w:trHeight w:val="577"/>
        </w:trPr>
        <w:tc>
          <w:tcPr>
            <w:tcW w:w="2552" w:type="dxa"/>
          </w:tcPr>
          <w:p w:rsidR="00A41427" w:rsidRPr="0001404E" w:rsidRDefault="00A41427" w:rsidP="00C01802">
            <w:pPr>
              <w:keepNext/>
              <w:ind w:left="-108"/>
              <w:rPr>
                <w:rFonts w:ascii="Arial Narrow" w:hAnsi="Arial Narrow"/>
                <w:sz w:val="20"/>
                <w:lang w:val="nb-NO"/>
              </w:rPr>
            </w:pPr>
            <w:r w:rsidRPr="0001404E">
              <w:rPr>
                <w:rFonts w:ascii="Arial Narrow" w:hAnsi="Arial Narrow"/>
                <w:smallCaps/>
                <w:sz w:val="20"/>
                <w:lang w:val="nb-NO"/>
              </w:rPr>
              <w:t>AFATINIB DIMALEATE</w:t>
            </w:r>
          </w:p>
          <w:p w:rsidR="00A41427" w:rsidRPr="0001404E" w:rsidRDefault="00A41427" w:rsidP="00C01802">
            <w:pPr>
              <w:keepNext/>
              <w:ind w:left="-108"/>
              <w:rPr>
                <w:rFonts w:ascii="Arial Narrow" w:hAnsi="Arial Narrow"/>
                <w:sz w:val="20"/>
                <w:lang w:val="nb-NO"/>
              </w:rPr>
            </w:pPr>
            <w:r w:rsidRPr="0001404E">
              <w:rPr>
                <w:rFonts w:ascii="Arial Narrow" w:hAnsi="Arial Narrow"/>
                <w:sz w:val="20"/>
                <w:lang w:val="nb-NO"/>
              </w:rPr>
              <w:t>Tablet 20 mg</w:t>
            </w:r>
          </w:p>
          <w:p w:rsidR="00A41427" w:rsidRPr="0001404E" w:rsidRDefault="00A41427" w:rsidP="00C01802">
            <w:pPr>
              <w:keepNext/>
              <w:ind w:left="-108"/>
              <w:rPr>
                <w:rFonts w:ascii="Arial Narrow" w:hAnsi="Arial Narrow"/>
                <w:sz w:val="20"/>
                <w:lang w:val="nb-NO"/>
              </w:rPr>
            </w:pPr>
            <w:r w:rsidRPr="0001404E">
              <w:rPr>
                <w:rFonts w:ascii="Arial Narrow" w:hAnsi="Arial Narrow"/>
                <w:sz w:val="20"/>
                <w:lang w:val="nb-NO"/>
              </w:rPr>
              <w:t>Tablet 30 mg</w:t>
            </w:r>
          </w:p>
          <w:p w:rsidR="00A41427" w:rsidRDefault="00A41427" w:rsidP="00C01802">
            <w:pPr>
              <w:keepNext/>
              <w:ind w:left="-108"/>
              <w:rPr>
                <w:rFonts w:ascii="Arial Narrow" w:hAnsi="Arial Narrow"/>
                <w:sz w:val="20"/>
              </w:rPr>
            </w:pPr>
            <w:r>
              <w:rPr>
                <w:rFonts w:ascii="Arial Narrow" w:hAnsi="Arial Narrow"/>
                <w:sz w:val="20"/>
              </w:rPr>
              <w:t>Tablet 40 mg</w:t>
            </w:r>
          </w:p>
          <w:p w:rsidR="00A41427" w:rsidRPr="00260CE3" w:rsidRDefault="00A41427" w:rsidP="00C01802">
            <w:pPr>
              <w:keepNext/>
              <w:ind w:left="-108"/>
              <w:rPr>
                <w:rFonts w:ascii="Arial Narrow" w:hAnsi="Arial Narrow"/>
                <w:sz w:val="20"/>
              </w:rPr>
            </w:pPr>
            <w:r>
              <w:rPr>
                <w:rFonts w:ascii="Arial Narrow" w:hAnsi="Arial Narrow"/>
                <w:sz w:val="20"/>
              </w:rPr>
              <w:t>Tablet 50 mg</w:t>
            </w:r>
          </w:p>
        </w:tc>
        <w:tc>
          <w:tcPr>
            <w:tcW w:w="567" w:type="dxa"/>
          </w:tcPr>
          <w:p w:rsidR="00A41427" w:rsidRPr="00260CE3" w:rsidRDefault="00A41427" w:rsidP="00C01802">
            <w:pPr>
              <w:keepNext/>
              <w:ind w:left="-108"/>
              <w:rPr>
                <w:rFonts w:ascii="Arial Narrow" w:hAnsi="Arial Narrow"/>
                <w:sz w:val="20"/>
              </w:rPr>
            </w:pPr>
          </w:p>
          <w:p w:rsidR="00A41427" w:rsidRDefault="00A41427" w:rsidP="00C01802">
            <w:pPr>
              <w:keepNext/>
              <w:ind w:left="-108"/>
              <w:rPr>
                <w:rFonts w:ascii="Arial Narrow" w:hAnsi="Arial Narrow"/>
                <w:sz w:val="20"/>
              </w:rPr>
            </w:pPr>
            <w:r>
              <w:rPr>
                <w:rFonts w:ascii="Arial Narrow" w:hAnsi="Arial Narrow"/>
                <w:sz w:val="20"/>
              </w:rPr>
              <w:t>28</w:t>
            </w:r>
          </w:p>
          <w:p w:rsidR="00A41427" w:rsidRDefault="00A41427" w:rsidP="00C01802">
            <w:pPr>
              <w:keepNext/>
              <w:ind w:left="-108"/>
              <w:rPr>
                <w:rFonts w:ascii="Arial Narrow" w:hAnsi="Arial Narrow"/>
                <w:sz w:val="20"/>
              </w:rPr>
            </w:pPr>
            <w:r>
              <w:rPr>
                <w:rFonts w:ascii="Arial Narrow" w:hAnsi="Arial Narrow"/>
                <w:sz w:val="20"/>
              </w:rPr>
              <w:t>28</w:t>
            </w:r>
          </w:p>
          <w:p w:rsidR="00A41427" w:rsidRDefault="00A41427" w:rsidP="00C01802">
            <w:pPr>
              <w:keepNext/>
              <w:ind w:left="-108"/>
              <w:rPr>
                <w:rFonts w:ascii="Arial Narrow" w:hAnsi="Arial Narrow"/>
                <w:sz w:val="20"/>
              </w:rPr>
            </w:pPr>
            <w:r>
              <w:rPr>
                <w:rFonts w:ascii="Arial Narrow" w:hAnsi="Arial Narrow"/>
                <w:sz w:val="20"/>
              </w:rPr>
              <w:t>28</w:t>
            </w:r>
          </w:p>
          <w:p w:rsidR="00A41427" w:rsidRPr="00260CE3" w:rsidRDefault="00A41427" w:rsidP="00C01802">
            <w:pPr>
              <w:keepNext/>
              <w:ind w:left="-108"/>
              <w:rPr>
                <w:rFonts w:ascii="Arial Narrow" w:hAnsi="Arial Narrow"/>
                <w:sz w:val="20"/>
              </w:rPr>
            </w:pPr>
            <w:r>
              <w:rPr>
                <w:rFonts w:ascii="Arial Narrow" w:hAnsi="Arial Narrow"/>
                <w:sz w:val="20"/>
              </w:rPr>
              <w:t>28</w:t>
            </w:r>
          </w:p>
        </w:tc>
        <w:tc>
          <w:tcPr>
            <w:tcW w:w="850" w:type="dxa"/>
          </w:tcPr>
          <w:p w:rsidR="00A41427" w:rsidRPr="00260CE3" w:rsidRDefault="00A41427" w:rsidP="00C01802">
            <w:pPr>
              <w:keepNext/>
              <w:ind w:left="-108"/>
              <w:rPr>
                <w:rFonts w:ascii="Arial Narrow" w:hAnsi="Arial Narrow"/>
                <w:sz w:val="20"/>
              </w:rPr>
            </w:pPr>
          </w:p>
          <w:p w:rsidR="00A41427" w:rsidRDefault="00A41427" w:rsidP="00C01802">
            <w:pPr>
              <w:keepNext/>
              <w:ind w:left="-108"/>
              <w:rPr>
                <w:rFonts w:ascii="Arial Narrow" w:hAnsi="Arial Narrow"/>
                <w:sz w:val="20"/>
              </w:rPr>
            </w:pPr>
            <w:r>
              <w:rPr>
                <w:rFonts w:ascii="Arial Narrow" w:hAnsi="Arial Narrow"/>
                <w:sz w:val="20"/>
              </w:rPr>
              <w:t>3</w:t>
            </w:r>
          </w:p>
          <w:p w:rsidR="00A41427" w:rsidRDefault="00A41427" w:rsidP="00C01802">
            <w:pPr>
              <w:keepNext/>
              <w:ind w:left="-108"/>
              <w:rPr>
                <w:rFonts w:ascii="Arial Narrow" w:hAnsi="Arial Narrow"/>
                <w:sz w:val="20"/>
              </w:rPr>
            </w:pPr>
            <w:r>
              <w:rPr>
                <w:rFonts w:ascii="Arial Narrow" w:hAnsi="Arial Narrow"/>
                <w:sz w:val="20"/>
              </w:rPr>
              <w:t>3</w:t>
            </w:r>
          </w:p>
          <w:p w:rsidR="00A41427" w:rsidRDefault="00A41427" w:rsidP="00C01802">
            <w:pPr>
              <w:keepNext/>
              <w:ind w:left="-108"/>
              <w:rPr>
                <w:rFonts w:ascii="Arial Narrow" w:hAnsi="Arial Narrow"/>
                <w:sz w:val="20"/>
              </w:rPr>
            </w:pPr>
            <w:r>
              <w:rPr>
                <w:rFonts w:ascii="Arial Narrow" w:hAnsi="Arial Narrow"/>
                <w:sz w:val="20"/>
              </w:rPr>
              <w:t>3</w:t>
            </w:r>
          </w:p>
          <w:p w:rsidR="00A41427" w:rsidRPr="00260CE3" w:rsidRDefault="00A41427" w:rsidP="00C01802">
            <w:pPr>
              <w:keepNext/>
              <w:ind w:left="-108"/>
              <w:rPr>
                <w:rFonts w:ascii="Arial Narrow" w:hAnsi="Arial Narrow"/>
                <w:sz w:val="20"/>
              </w:rPr>
            </w:pPr>
            <w:r>
              <w:rPr>
                <w:rFonts w:ascii="Arial Narrow" w:hAnsi="Arial Narrow"/>
                <w:sz w:val="20"/>
              </w:rPr>
              <w:t>3</w:t>
            </w:r>
          </w:p>
        </w:tc>
        <w:tc>
          <w:tcPr>
            <w:tcW w:w="1701" w:type="dxa"/>
          </w:tcPr>
          <w:p w:rsidR="00A41427" w:rsidRPr="00FE36F7" w:rsidRDefault="00A41427" w:rsidP="00C01802">
            <w:pPr>
              <w:keepNext/>
              <w:ind w:left="-108"/>
              <w:rPr>
                <w:rFonts w:ascii="Arial Narrow" w:hAnsi="Arial Narrow"/>
                <w:sz w:val="20"/>
              </w:rPr>
            </w:pP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 xml:space="preserve">'''''''''''''''''''''' </w:t>
            </w: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p w:rsidR="00A41427" w:rsidRPr="00FE36F7" w:rsidRDefault="00A41427" w:rsidP="00C01802">
            <w:pPr>
              <w:keepNext/>
              <w:ind w:left="-108"/>
              <w:rPr>
                <w:rFonts w:ascii="Arial Narrow" w:hAnsi="Arial Narrow"/>
                <w:sz w:val="20"/>
              </w:rPr>
            </w:pPr>
            <w:r w:rsidRPr="00FE36F7">
              <w:rPr>
                <w:rFonts w:ascii="Arial Narrow" w:hAnsi="Arial Narrow"/>
                <w:sz w:val="20"/>
              </w:rPr>
              <w:t>$</w:t>
            </w:r>
            <w:r w:rsidR="00393C73">
              <w:rPr>
                <w:rFonts w:ascii="Arial Narrow" w:hAnsi="Arial Narrow"/>
                <w:noProof/>
                <w:color w:val="000000"/>
                <w:sz w:val="20"/>
                <w:highlight w:val="black"/>
              </w:rPr>
              <w:t>'''''''''''''''''''''</w:t>
            </w:r>
            <w:r w:rsidRPr="00FE36F7">
              <w:rPr>
                <w:rFonts w:ascii="Arial Narrow" w:hAnsi="Arial Narrow"/>
                <w:sz w:val="20"/>
              </w:rPr>
              <w:t xml:space="preserve"> ($</w:t>
            </w:r>
            <w:r w:rsidR="00393C73">
              <w:rPr>
                <w:rFonts w:ascii="Arial Narrow" w:hAnsi="Arial Narrow"/>
                <w:noProof/>
                <w:color w:val="000000"/>
                <w:sz w:val="20"/>
                <w:highlight w:val="black"/>
              </w:rPr>
              <w:t>''''''''''''''''''</w:t>
            </w:r>
            <w:r w:rsidRPr="00FE36F7">
              <w:rPr>
                <w:rFonts w:ascii="Arial Narrow" w:hAnsi="Arial Narrow"/>
                <w:sz w:val="20"/>
              </w:rPr>
              <w:t>)</w:t>
            </w:r>
          </w:p>
        </w:tc>
        <w:tc>
          <w:tcPr>
            <w:tcW w:w="1559" w:type="dxa"/>
          </w:tcPr>
          <w:p w:rsidR="00A41427" w:rsidRPr="00FE36F7" w:rsidRDefault="00A41427" w:rsidP="00C01802">
            <w:pPr>
              <w:keepNext/>
              <w:rPr>
                <w:rFonts w:ascii="Arial Narrow" w:hAnsi="Arial Narrow"/>
                <w:sz w:val="20"/>
              </w:rPr>
            </w:pPr>
          </w:p>
          <w:p w:rsidR="00A41427" w:rsidRPr="00FE36F7" w:rsidRDefault="00A41427" w:rsidP="00C01802">
            <w:pPr>
              <w:keepNext/>
              <w:rPr>
                <w:rFonts w:ascii="Arial Narrow" w:hAnsi="Arial Narrow"/>
                <w:sz w:val="20"/>
              </w:rPr>
            </w:pPr>
          </w:p>
          <w:p w:rsidR="00A41427" w:rsidRPr="00FE36F7" w:rsidRDefault="00A41427" w:rsidP="00C01802">
            <w:pPr>
              <w:keepNext/>
              <w:rPr>
                <w:rFonts w:ascii="Arial Narrow" w:hAnsi="Arial Narrow"/>
                <w:sz w:val="20"/>
              </w:rPr>
            </w:pPr>
            <w:r w:rsidRPr="00FE36F7">
              <w:rPr>
                <w:rFonts w:ascii="Arial Narrow" w:hAnsi="Arial Narrow"/>
                <w:sz w:val="20"/>
                <w:lang w:eastAsia="zh-CN"/>
              </w:rPr>
              <w:t>Giotrif</w:t>
            </w:r>
            <w:r w:rsidRPr="00FE36F7">
              <w:rPr>
                <w:rFonts w:ascii="Arial Narrow" w:hAnsi="Arial Narrow"/>
                <w:sz w:val="20"/>
                <w:vertAlign w:val="superscript"/>
              </w:rPr>
              <w:t>®</w:t>
            </w:r>
          </w:p>
        </w:tc>
        <w:tc>
          <w:tcPr>
            <w:tcW w:w="1276" w:type="dxa"/>
          </w:tcPr>
          <w:p w:rsidR="00A41427" w:rsidRDefault="00A41427" w:rsidP="00C01802">
            <w:pPr>
              <w:keepNext/>
              <w:rPr>
                <w:rFonts w:ascii="Arial Narrow" w:hAnsi="Arial Narrow"/>
                <w:sz w:val="20"/>
              </w:rPr>
            </w:pPr>
          </w:p>
          <w:p w:rsidR="00A41427" w:rsidRDefault="00A41427" w:rsidP="00C01802">
            <w:pPr>
              <w:keepNext/>
              <w:rPr>
                <w:rFonts w:ascii="Arial Narrow" w:hAnsi="Arial Narrow"/>
                <w:sz w:val="20"/>
              </w:rPr>
            </w:pPr>
          </w:p>
          <w:p w:rsidR="00A41427" w:rsidRPr="00A67A4A" w:rsidRDefault="00A41427" w:rsidP="00C01802">
            <w:pPr>
              <w:keepNext/>
              <w:rPr>
                <w:rFonts w:ascii="Arial Narrow" w:hAnsi="Arial Narrow"/>
                <w:sz w:val="20"/>
              </w:rPr>
            </w:pPr>
            <w:r w:rsidRPr="00A67A4A">
              <w:rPr>
                <w:rFonts w:ascii="Arial Narrow" w:hAnsi="Arial Narrow"/>
                <w:sz w:val="20"/>
                <w:lang w:eastAsia="zh-CN"/>
              </w:rPr>
              <w:t>Boehringer Ingelheim Pty Limited</w:t>
            </w:r>
          </w:p>
        </w:tc>
      </w:tr>
    </w:tbl>
    <w:p w:rsidR="00A41427" w:rsidRPr="00552722" w:rsidRDefault="00A41427" w:rsidP="00A41427">
      <w:pPr>
        <w:rPr>
          <w:szCs w:val="22"/>
        </w:rPr>
      </w:pPr>
    </w:p>
    <w:tbl>
      <w:tblPr>
        <w:tblW w:w="8505" w:type="dxa"/>
        <w:tblInd w:w="817" w:type="dxa"/>
        <w:tblLayout w:type="fixed"/>
        <w:tblLook w:val="0000" w:firstRow="0" w:lastRow="0" w:firstColumn="0" w:lastColumn="0" w:noHBand="0" w:noVBand="0"/>
      </w:tblPr>
      <w:tblGrid>
        <w:gridCol w:w="2126"/>
        <w:gridCol w:w="6379"/>
      </w:tblGrid>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Stage IIIB (locally advanced) or Stage IV (metastatic)</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Non-small cell lung cancer (NSCLC)</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sidRPr="00260CE3">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sidRPr="00F85743">
              <w:rPr>
                <w:rFonts w:ascii="Arial Narrow" w:hAnsi="Arial Narrow"/>
                <w:sz w:val="20"/>
              </w:rPr>
              <w:t>Stage IIIB (locally advanced) or Stage IV (metastatic) NSCLC</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9F4317" w:rsidRDefault="00A41427" w:rsidP="00C01802">
            <w:pPr>
              <w:rPr>
                <w:rFonts w:ascii="Arial Narrow" w:hAnsi="Arial Narrow"/>
                <w:b/>
                <w:sz w:val="20"/>
              </w:rPr>
            </w:pPr>
            <w:r w:rsidRPr="00260CE3">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Continuing treatment</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9F4317" w:rsidRDefault="00A41427" w:rsidP="00C0180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sz w:val="20"/>
              </w:rPr>
            </w:pPr>
            <w:r>
              <w:rPr>
                <w:rFonts w:ascii="Arial Narrow" w:hAnsi="Arial Narrow"/>
                <w:sz w:val="20"/>
              </w:rPr>
              <w:t>Authority required</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6C1B18">
            <w:pPr>
              <w:rPr>
                <w:rFonts w:ascii="Arial Narrow" w:hAnsi="Arial Narrow"/>
                <w:sz w:val="20"/>
              </w:rPr>
            </w:pPr>
            <w:r w:rsidRPr="00260CE3">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A41427" w:rsidRDefault="00A41427" w:rsidP="00C01802">
            <w:pPr>
              <w:rPr>
                <w:rFonts w:ascii="Arial Narrow" w:hAnsi="Arial Narrow"/>
                <w:sz w:val="20"/>
              </w:rPr>
            </w:pPr>
            <w:r w:rsidRPr="00CE4FA7">
              <w:rPr>
                <w:rFonts w:ascii="Arial Narrow" w:hAnsi="Arial Narrow"/>
                <w:sz w:val="20"/>
              </w:rPr>
              <w:t>The treatment must be as monotherapy</w:t>
            </w:r>
          </w:p>
          <w:p w:rsidR="00A41427" w:rsidRPr="00CE4FA7" w:rsidRDefault="00A41427" w:rsidP="00C01802">
            <w:pPr>
              <w:rPr>
                <w:rFonts w:ascii="Arial Narrow" w:hAnsi="Arial Narrow"/>
                <w:sz w:val="20"/>
              </w:rPr>
            </w:pPr>
          </w:p>
          <w:p w:rsidR="00A41427" w:rsidRDefault="00A41427" w:rsidP="00C01802">
            <w:pPr>
              <w:rPr>
                <w:rFonts w:ascii="Arial Narrow" w:hAnsi="Arial Narrow"/>
                <w:sz w:val="20"/>
              </w:rPr>
            </w:pPr>
            <w:r w:rsidRPr="00CE4FA7">
              <w:rPr>
                <w:rFonts w:ascii="Arial Narrow" w:hAnsi="Arial Narrow"/>
                <w:sz w:val="20"/>
              </w:rPr>
              <w:t>AND</w:t>
            </w:r>
          </w:p>
          <w:p w:rsidR="00A41427" w:rsidRPr="00CE4FA7" w:rsidRDefault="00A41427" w:rsidP="00C01802">
            <w:pPr>
              <w:rPr>
                <w:rFonts w:ascii="Arial Narrow" w:hAnsi="Arial Narrow"/>
                <w:sz w:val="20"/>
              </w:rPr>
            </w:pPr>
          </w:p>
          <w:p w:rsidR="00A41427" w:rsidRDefault="00A41427" w:rsidP="00C01802">
            <w:pPr>
              <w:rPr>
                <w:rFonts w:ascii="Arial Narrow" w:hAnsi="Arial Narrow"/>
                <w:sz w:val="20"/>
              </w:rPr>
            </w:pPr>
            <w:r w:rsidRPr="00CE4FA7">
              <w:rPr>
                <w:rFonts w:ascii="Arial Narrow" w:hAnsi="Arial Narrow"/>
                <w:sz w:val="20"/>
              </w:rPr>
              <w:t>Patient must have previously been issued with an authority prescription for this drug</w:t>
            </w:r>
          </w:p>
          <w:p w:rsidR="00A41427" w:rsidRPr="00CE4FA7" w:rsidRDefault="00A41427" w:rsidP="00C01802">
            <w:pPr>
              <w:rPr>
                <w:rFonts w:ascii="Arial Narrow" w:hAnsi="Arial Narrow"/>
                <w:sz w:val="20"/>
              </w:rPr>
            </w:pPr>
          </w:p>
          <w:p w:rsidR="00A41427" w:rsidRDefault="00A41427" w:rsidP="00C01802">
            <w:pPr>
              <w:rPr>
                <w:rFonts w:ascii="Arial Narrow" w:hAnsi="Arial Narrow"/>
                <w:sz w:val="20"/>
              </w:rPr>
            </w:pPr>
            <w:r w:rsidRPr="00CE4FA7">
              <w:rPr>
                <w:rFonts w:ascii="Arial Narrow" w:hAnsi="Arial Narrow"/>
                <w:sz w:val="20"/>
              </w:rPr>
              <w:t>AND</w:t>
            </w:r>
          </w:p>
          <w:p w:rsidR="00A41427" w:rsidRPr="00CE4FA7" w:rsidRDefault="00A41427" w:rsidP="00C01802">
            <w:pPr>
              <w:rPr>
                <w:rFonts w:ascii="Arial Narrow" w:hAnsi="Arial Narrow"/>
                <w:sz w:val="20"/>
              </w:rPr>
            </w:pPr>
          </w:p>
          <w:p w:rsidR="00A41427" w:rsidRPr="00260CE3" w:rsidRDefault="00A41427" w:rsidP="00C01802">
            <w:pPr>
              <w:rPr>
                <w:rFonts w:ascii="Arial Narrow" w:hAnsi="Arial Narrow"/>
                <w:sz w:val="20"/>
              </w:rPr>
            </w:pPr>
            <w:r w:rsidRPr="00CE4FA7">
              <w:rPr>
                <w:rFonts w:ascii="Arial Narrow" w:hAnsi="Arial Narrow"/>
                <w:sz w:val="20"/>
              </w:rPr>
              <w:t>Patient must not have progressive disease</w:t>
            </w:r>
            <w:r>
              <w:rPr>
                <w:rFonts w:ascii="Arial Narrow" w:hAnsi="Arial Narrow"/>
                <w:sz w:val="20"/>
              </w:rPr>
              <w:t>.</w:t>
            </w:r>
          </w:p>
        </w:tc>
      </w:tr>
      <w:tr w:rsidR="00A41427" w:rsidRPr="00260CE3" w:rsidTr="00687BD2">
        <w:trPr>
          <w:cantSplit/>
        </w:trPr>
        <w:tc>
          <w:tcPr>
            <w:tcW w:w="2126" w:type="dxa"/>
            <w:tcBorders>
              <w:top w:val="single" w:sz="4" w:space="0" w:color="auto"/>
              <w:left w:val="single" w:sz="4" w:space="0" w:color="auto"/>
              <w:bottom w:val="single" w:sz="4" w:space="0" w:color="auto"/>
              <w:right w:val="single" w:sz="4" w:space="0" w:color="auto"/>
            </w:tcBorders>
          </w:tcPr>
          <w:p w:rsidR="00A41427" w:rsidRPr="00260CE3" w:rsidRDefault="00A41427" w:rsidP="00C01802">
            <w:pPr>
              <w:rPr>
                <w:rFonts w:ascii="Arial Narrow" w:hAnsi="Arial Narrow"/>
                <w:b/>
                <w:sz w:val="20"/>
              </w:rPr>
            </w:pPr>
            <w:r>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A41427" w:rsidRPr="00CE4FA7" w:rsidRDefault="00A41427" w:rsidP="00C01802">
            <w:pPr>
              <w:rPr>
                <w:rFonts w:ascii="Arial Narrow" w:hAnsi="Arial Narrow"/>
                <w:sz w:val="20"/>
              </w:rPr>
            </w:pPr>
            <w:r w:rsidRPr="002460AD">
              <w:rPr>
                <w:rFonts w:ascii="Arial Narrow" w:hAnsi="Arial Narrow"/>
                <w:i/>
                <w:sz w:val="20"/>
              </w:rPr>
              <w:t>Special Pricing Arrangements apply.</w:t>
            </w:r>
          </w:p>
        </w:tc>
      </w:tr>
    </w:tbl>
    <w:p w:rsidR="00E20CDD" w:rsidRPr="00666F46" w:rsidRDefault="00E20CDD" w:rsidP="00E20CDD"/>
    <w:p w:rsidR="00E20CDD" w:rsidRPr="00666F46" w:rsidRDefault="001F74B5" w:rsidP="0090717E">
      <w:pPr>
        <w:pStyle w:val="ListParagraph"/>
        <w:widowControl/>
        <w:numPr>
          <w:ilvl w:val="1"/>
          <w:numId w:val="1"/>
        </w:numPr>
        <w:rPr>
          <w:szCs w:val="22"/>
        </w:rPr>
      </w:pPr>
      <w:r w:rsidRPr="00666F46">
        <w:t xml:space="preserve">This re-submission proposed a narrower population than previously recommended: patients only with </w:t>
      </w:r>
      <w:r w:rsidR="00ED6C4A" w:rsidRPr="00666F46">
        <w:t>e</w:t>
      </w:r>
      <w:r w:rsidRPr="00666F46">
        <w:t xml:space="preserve">xon 19 deletions.  Afatinib was recommended for use in the broader EGFR activating mutation population and erlotinib and gefitinib were listed </w:t>
      </w:r>
      <w:r w:rsidR="00ED6C4A" w:rsidRPr="00666F46">
        <w:t>i</w:t>
      </w:r>
      <w:r w:rsidRPr="00666F46">
        <w:t>n the PBS on that basis.  The re-submission claimed that afatinib was associated with improved clinical outcomes in this population subgroup, compared with gefitinib and erlotinib, and requested that the Australian effective prices for afatinib remained confidential by way of a SPA. The requested effective prices would remain the same as those approved by the Pharmaceutical Benefits Pricing Authority (PBPA) in December 2013.</w:t>
      </w:r>
    </w:p>
    <w:p w:rsidR="00E20CDD" w:rsidRPr="00666F46" w:rsidRDefault="00E20CDD" w:rsidP="00E20CDD">
      <w:pPr>
        <w:rPr>
          <w:szCs w:val="22"/>
        </w:rPr>
      </w:pPr>
    </w:p>
    <w:p w:rsidR="00E20CDD" w:rsidRPr="00666F46" w:rsidRDefault="00E20CDD" w:rsidP="0090717E">
      <w:pPr>
        <w:pStyle w:val="ListParagraph"/>
        <w:widowControl/>
        <w:numPr>
          <w:ilvl w:val="1"/>
          <w:numId w:val="1"/>
        </w:numPr>
        <w:rPr>
          <w:szCs w:val="22"/>
        </w:rPr>
      </w:pPr>
      <w:r w:rsidRPr="00666F46">
        <w:rPr>
          <w:szCs w:val="22"/>
        </w:rPr>
        <w:t xml:space="preserve">The </w:t>
      </w:r>
      <w:r w:rsidR="00CE3F67" w:rsidRPr="00666F46">
        <w:rPr>
          <w:szCs w:val="22"/>
        </w:rPr>
        <w:t xml:space="preserve">requested listing restricted </w:t>
      </w:r>
      <w:r w:rsidR="001854D0" w:rsidRPr="00666F46">
        <w:rPr>
          <w:szCs w:val="22"/>
        </w:rPr>
        <w:t xml:space="preserve">eligibility </w:t>
      </w:r>
      <w:r w:rsidR="00CE3F67" w:rsidRPr="00666F46">
        <w:rPr>
          <w:szCs w:val="22"/>
        </w:rPr>
        <w:t xml:space="preserve">to </w:t>
      </w:r>
      <w:r w:rsidRPr="00666F46">
        <w:rPr>
          <w:szCs w:val="22"/>
        </w:rPr>
        <w:t xml:space="preserve">NSCLC patients with an Eastern Cooperative Oncology Group (ECOG) performance status of </w:t>
      </w:r>
      <w:r w:rsidR="00CE3F67" w:rsidRPr="00666F46">
        <w:rPr>
          <w:szCs w:val="22"/>
        </w:rPr>
        <w:t>0-2 while</w:t>
      </w:r>
      <w:r w:rsidRPr="00666F46">
        <w:rPr>
          <w:szCs w:val="22"/>
        </w:rPr>
        <w:t xml:space="preserve"> the LUX Lung 3 and 6 trials exclusively enrolled patients with a performance status of 0-1.</w:t>
      </w:r>
    </w:p>
    <w:p w:rsidR="00E20CDD" w:rsidRPr="00A80E55" w:rsidRDefault="00E20CDD" w:rsidP="00E20CDD">
      <w:pPr>
        <w:rPr>
          <w:szCs w:val="22"/>
        </w:rPr>
      </w:pPr>
    </w:p>
    <w:p w:rsidR="00E20CDD" w:rsidRDefault="001F74B5" w:rsidP="0090717E">
      <w:pPr>
        <w:pStyle w:val="ListParagraph"/>
        <w:widowControl/>
        <w:numPr>
          <w:ilvl w:val="1"/>
          <w:numId w:val="1"/>
        </w:numPr>
        <w:rPr>
          <w:szCs w:val="22"/>
        </w:rPr>
      </w:pPr>
      <w:r>
        <w:rPr>
          <w:szCs w:val="22"/>
        </w:rPr>
        <w:t>Listing was sought on the basis that afatinib is cost-effective in comparison with erlotinib and gefitinib.</w:t>
      </w:r>
    </w:p>
    <w:p w:rsidR="00E20CDD" w:rsidRDefault="00E20CDD" w:rsidP="00E20CDD">
      <w:pPr>
        <w:widowControl/>
        <w:rPr>
          <w:szCs w:val="22"/>
        </w:rPr>
      </w:pPr>
    </w:p>
    <w:p w:rsidR="00C31854" w:rsidRDefault="00C31854" w:rsidP="00C31854">
      <w:pPr>
        <w:pStyle w:val="ListParagraph"/>
        <w:ind w:left="709"/>
        <w:rPr>
          <w:i/>
          <w:szCs w:val="22"/>
        </w:rPr>
      </w:pPr>
      <w:r w:rsidRPr="00032510">
        <w:rPr>
          <w:i/>
          <w:szCs w:val="22"/>
        </w:rPr>
        <w:t>For more detail on PBAC’s view, see section 7 “PBAC outcome”</w:t>
      </w:r>
    </w:p>
    <w:p w:rsidR="00C31854" w:rsidRDefault="00C31854" w:rsidP="00E20CDD">
      <w:pPr>
        <w:widowControl/>
        <w:rPr>
          <w:szCs w:val="22"/>
        </w:rPr>
      </w:pPr>
    </w:p>
    <w:p w:rsidR="00E20CDD" w:rsidRPr="00882085" w:rsidRDefault="00E20CDD" w:rsidP="00E20CDD"/>
    <w:p w:rsidR="00E20CDD" w:rsidRPr="00407F2D" w:rsidRDefault="00E20CDD" w:rsidP="00FE36F7">
      <w:pPr>
        <w:pStyle w:val="PBACHeading1"/>
        <w:keepNext/>
      </w:pPr>
      <w:bookmarkStart w:id="3" w:name="_Toc419801406"/>
      <w:r w:rsidRPr="00407F2D">
        <w:lastRenderedPageBreak/>
        <w:t>Background</w:t>
      </w:r>
      <w:bookmarkEnd w:id="3"/>
    </w:p>
    <w:p w:rsidR="00E20CDD" w:rsidRPr="00882085" w:rsidRDefault="00E20CDD" w:rsidP="00FE36F7">
      <w:pPr>
        <w:keepNext/>
        <w:rPr>
          <w:szCs w:val="22"/>
        </w:rPr>
      </w:pPr>
    </w:p>
    <w:p w:rsidR="00E20CDD" w:rsidRPr="00B50DB8" w:rsidRDefault="009233FE" w:rsidP="0090717E">
      <w:pPr>
        <w:pStyle w:val="ListParagraph"/>
        <w:widowControl/>
        <w:numPr>
          <w:ilvl w:val="1"/>
          <w:numId w:val="1"/>
        </w:numPr>
        <w:rPr>
          <w:szCs w:val="22"/>
        </w:rPr>
      </w:pPr>
      <w:r w:rsidRPr="00E647BA">
        <w:t xml:space="preserve">TGA status at time of </w:t>
      </w:r>
      <w:r>
        <w:t>PBAC consideration</w:t>
      </w:r>
      <w:r>
        <w:rPr>
          <w:szCs w:val="22"/>
        </w:rPr>
        <w:t xml:space="preserve">: </w:t>
      </w:r>
      <w:r w:rsidR="000420A4" w:rsidRPr="001C6371">
        <w:rPr>
          <w:szCs w:val="22"/>
        </w:rPr>
        <w:t>Afatinib w</w:t>
      </w:r>
      <w:r w:rsidR="000420A4" w:rsidRPr="003371B0">
        <w:rPr>
          <w:szCs w:val="22"/>
        </w:rPr>
        <w:t xml:space="preserve">as registered </w:t>
      </w:r>
      <w:r w:rsidR="00ED6C4A">
        <w:rPr>
          <w:szCs w:val="22"/>
        </w:rPr>
        <w:t>by</w:t>
      </w:r>
      <w:r w:rsidR="000420A4" w:rsidRPr="003371B0">
        <w:rPr>
          <w:szCs w:val="22"/>
        </w:rPr>
        <w:t xml:space="preserve"> </w:t>
      </w:r>
      <w:r w:rsidR="000420A4">
        <w:rPr>
          <w:szCs w:val="22"/>
        </w:rPr>
        <w:t xml:space="preserve">the </w:t>
      </w:r>
      <w:r w:rsidR="000420A4" w:rsidRPr="003371B0">
        <w:rPr>
          <w:szCs w:val="22"/>
        </w:rPr>
        <w:t xml:space="preserve">TGA </w:t>
      </w:r>
      <w:r w:rsidR="000420A4">
        <w:rPr>
          <w:szCs w:val="22"/>
        </w:rPr>
        <w:t xml:space="preserve">on 7 November 2013, </w:t>
      </w:r>
      <w:r w:rsidR="000420A4" w:rsidRPr="004901B2">
        <w:t xml:space="preserve">as monotherapy for </w:t>
      </w:r>
      <w:r w:rsidR="000420A4" w:rsidRPr="00014363">
        <w:t xml:space="preserve">patients with advanced or metastatic non-squamous NSCLC, either as </w:t>
      </w:r>
      <w:r w:rsidR="000420A4">
        <w:t xml:space="preserve">a </w:t>
      </w:r>
      <w:r w:rsidR="000420A4" w:rsidRPr="00014363">
        <w:t>first line therapy or after failure of cytotoxic chemotherapy.  Tumours must have EGFR exon 19 deletions or L858R substitution mutations.</w:t>
      </w:r>
    </w:p>
    <w:p w:rsidR="00E20CDD" w:rsidRPr="00A80E55" w:rsidRDefault="00E20CDD" w:rsidP="00E20CDD">
      <w:pPr>
        <w:rPr>
          <w:szCs w:val="22"/>
        </w:rPr>
      </w:pPr>
    </w:p>
    <w:p w:rsidR="00E20CDD" w:rsidRPr="00666F46" w:rsidRDefault="00E20CDD" w:rsidP="0090717E">
      <w:pPr>
        <w:pStyle w:val="ListParagraph"/>
        <w:widowControl/>
        <w:numPr>
          <w:ilvl w:val="1"/>
          <w:numId w:val="1"/>
        </w:numPr>
        <w:rPr>
          <w:szCs w:val="22"/>
        </w:rPr>
      </w:pPr>
      <w:r w:rsidRPr="00666F46">
        <w:rPr>
          <w:szCs w:val="22"/>
        </w:rPr>
        <w:t xml:space="preserve">This is the third </w:t>
      </w:r>
      <w:r w:rsidR="002B40C0" w:rsidRPr="00666F46">
        <w:rPr>
          <w:szCs w:val="22"/>
        </w:rPr>
        <w:t>submission</w:t>
      </w:r>
      <w:r w:rsidRPr="00666F46">
        <w:rPr>
          <w:szCs w:val="22"/>
        </w:rPr>
        <w:t xml:space="preserve"> </w:t>
      </w:r>
      <w:r w:rsidR="00DA5A89" w:rsidRPr="00666F46">
        <w:rPr>
          <w:szCs w:val="22"/>
        </w:rPr>
        <w:t xml:space="preserve">to list </w:t>
      </w:r>
      <w:r w:rsidRPr="00666F46">
        <w:rPr>
          <w:szCs w:val="22"/>
        </w:rPr>
        <w:t xml:space="preserve">afatinib </w:t>
      </w:r>
      <w:r w:rsidR="00ED6C4A" w:rsidRPr="00666F46">
        <w:rPr>
          <w:szCs w:val="22"/>
        </w:rPr>
        <w:t>i</w:t>
      </w:r>
      <w:r w:rsidR="00DA5A89" w:rsidRPr="00666F46">
        <w:rPr>
          <w:szCs w:val="22"/>
        </w:rPr>
        <w:t xml:space="preserve">n the PBS </w:t>
      </w:r>
      <w:r w:rsidRPr="00666F46">
        <w:rPr>
          <w:szCs w:val="22"/>
        </w:rPr>
        <w:t>for the treatment of NSCLC patients with positive EGFR gene mutations</w:t>
      </w:r>
      <w:r w:rsidR="000420A4" w:rsidRPr="00666F46">
        <w:rPr>
          <w:szCs w:val="22"/>
        </w:rPr>
        <w:t xml:space="preserve">, although it is the first submission to specify the </w:t>
      </w:r>
      <w:r w:rsidR="00A80E55" w:rsidRPr="00666F46">
        <w:rPr>
          <w:szCs w:val="22"/>
        </w:rPr>
        <w:t xml:space="preserve">exon 19 </w:t>
      </w:r>
      <w:r w:rsidR="000420A4" w:rsidRPr="00666F46">
        <w:rPr>
          <w:szCs w:val="22"/>
        </w:rPr>
        <w:t>deletion mutation subgroup as the proposed PBS population</w:t>
      </w:r>
      <w:r w:rsidRPr="00666F46">
        <w:rPr>
          <w:szCs w:val="22"/>
        </w:rPr>
        <w:t>.</w:t>
      </w:r>
    </w:p>
    <w:p w:rsidR="00E20CDD" w:rsidRPr="00A80E55" w:rsidRDefault="00E20CDD" w:rsidP="00E20CDD">
      <w:pPr>
        <w:rPr>
          <w:spacing w:val="-1"/>
        </w:rPr>
      </w:pPr>
    </w:p>
    <w:p w:rsidR="00E20CDD" w:rsidRDefault="00E20CDD" w:rsidP="0090717E">
      <w:pPr>
        <w:pStyle w:val="ListParagraph"/>
        <w:widowControl/>
        <w:numPr>
          <w:ilvl w:val="1"/>
          <w:numId w:val="1"/>
        </w:numPr>
        <w:rPr>
          <w:szCs w:val="22"/>
        </w:rPr>
      </w:pPr>
      <w:r>
        <w:rPr>
          <w:spacing w:val="-1"/>
        </w:rPr>
        <w:t>A</w:t>
      </w:r>
      <w:r>
        <w:t>t</w:t>
      </w:r>
      <w:r>
        <w:rPr>
          <w:spacing w:val="8"/>
        </w:rPr>
        <w:t xml:space="preserve"> </w:t>
      </w:r>
      <w:r>
        <w:rPr>
          <w:spacing w:val="-2"/>
        </w:rPr>
        <w:t>i</w:t>
      </w:r>
      <w:r>
        <w:rPr>
          <w:spacing w:val="1"/>
        </w:rPr>
        <w:t>t</w:t>
      </w:r>
      <w:r>
        <w:t>s</w:t>
      </w:r>
      <w:r>
        <w:rPr>
          <w:spacing w:val="7"/>
        </w:rPr>
        <w:t xml:space="preserve"> </w:t>
      </w:r>
      <w:r>
        <w:t>J</w:t>
      </w:r>
      <w:r>
        <w:rPr>
          <w:spacing w:val="-1"/>
        </w:rPr>
        <w:t>u</w:t>
      </w:r>
      <w:r>
        <w:rPr>
          <w:spacing w:val="-2"/>
        </w:rPr>
        <w:t>l</w:t>
      </w:r>
      <w:r>
        <w:t>y</w:t>
      </w:r>
      <w:r>
        <w:rPr>
          <w:spacing w:val="7"/>
        </w:rPr>
        <w:t xml:space="preserve"> </w:t>
      </w:r>
      <w:r>
        <w:rPr>
          <w:spacing w:val="-1"/>
        </w:rPr>
        <w:t>201</w:t>
      </w:r>
      <w:r>
        <w:t>3</w:t>
      </w:r>
      <w:r>
        <w:rPr>
          <w:spacing w:val="6"/>
        </w:rPr>
        <w:t xml:space="preserve"> </w:t>
      </w:r>
      <w:r>
        <w:t>m</w:t>
      </w:r>
      <w:r>
        <w:rPr>
          <w:spacing w:val="-1"/>
        </w:rPr>
        <w:t>ee</w:t>
      </w:r>
      <w:r>
        <w:rPr>
          <w:spacing w:val="1"/>
        </w:rPr>
        <w:t>t</w:t>
      </w:r>
      <w:r>
        <w:rPr>
          <w:spacing w:val="-2"/>
        </w:rPr>
        <w:t>i</w:t>
      </w:r>
      <w:r>
        <w:rPr>
          <w:spacing w:val="-1"/>
        </w:rPr>
        <w:t>n</w:t>
      </w:r>
      <w:r>
        <w:t>g</w:t>
      </w:r>
      <w:r w:rsidR="00A80E55">
        <w:t>,</w:t>
      </w:r>
      <w:r>
        <w:rPr>
          <w:spacing w:val="9"/>
        </w:rPr>
        <w:t xml:space="preserve"> </w:t>
      </w:r>
      <w:r>
        <w:rPr>
          <w:spacing w:val="1"/>
        </w:rPr>
        <w:t>t</w:t>
      </w:r>
      <w:r>
        <w:rPr>
          <w:spacing w:val="-1"/>
        </w:rPr>
        <w:t>h</w:t>
      </w:r>
      <w:r>
        <w:t>e</w:t>
      </w:r>
      <w:r>
        <w:rPr>
          <w:spacing w:val="6"/>
        </w:rPr>
        <w:t xml:space="preserve"> </w:t>
      </w:r>
      <w:r>
        <w:rPr>
          <w:spacing w:val="-1"/>
        </w:rPr>
        <w:t>PBA</w:t>
      </w:r>
      <w:r>
        <w:t>C</w:t>
      </w:r>
      <w:r>
        <w:rPr>
          <w:spacing w:val="6"/>
        </w:rPr>
        <w:t xml:space="preserve"> </w:t>
      </w:r>
      <w:r>
        <w:t>c</w:t>
      </w:r>
      <w:r>
        <w:rPr>
          <w:spacing w:val="-1"/>
        </w:rPr>
        <w:t>on</w:t>
      </w:r>
      <w:r>
        <w:t>s</w:t>
      </w:r>
      <w:r>
        <w:rPr>
          <w:spacing w:val="-2"/>
        </w:rPr>
        <w:t>i</w:t>
      </w:r>
      <w:r>
        <w:rPr>
          <w:spacing w:val="-1"/>
        </w:rPr>
        <w:t>de</w:t>
      </w:r>
      <w:r>
        <w:t>r</w:t>
      </w:r>
      <w:r>
        <w:rPr>
          <w:spacing w:val="-1"/>
        </w:rPr>
        <w:t>e</w:t>
      </w:r>
      <w:r>
        <w:t>d</w:t>
      </w:r>
      <w:r>
        <w:rPr>
          <w:spacing w:val="6"/>
        </w:rPr>
        <w:t xml:space="preserve"> </w:t>
      </w:r>
      <w:r>
        <w:rPr>
          <w:spacing w:val="-1"/>
        </w:rPr>
        <w:t xml:space="preserve">the original </w:t>
      </w:r>
      <w:r w:rsidR="002B40C0">
        <w:rPr>
          <w:spacing w:val="-1"/>
        </w:rPr>
        <w:t>submission</w:t>
      </w:r>
      <w:r>
        <w:rPr>
          <w:spacing w:val="-1"/>
        </w:rPr>
        <w:t xml:space="preserve"> </w:t>
      </w:r>
      <w:r>
        <w:rPr>
          <w:spacing w:val="3"/>
        </w:rPr>
        <w:t>f</w:t>
      </w:r>
      <w:r>
        <w:rPr>
          <w:spacing w:val="-1"/>
        </w:rPr>
        <w:t>o</w:t>
      </w:r>
      <w:r>
        <w:t>r</w:t>
      </w:r>
      <w:r>
        <w:rPr>
          <w:spacing w:val="8"/>
        </w:rPr>
        <w:t xml:space="preserve"> </w:t>
      </w:r>
      <w:r>
        <w:rPr>
          <w:spacing w:val="-3"/>
        </w:rPr>
        <w:t>a</w:t>
      </w:r>
      <w:r>
        <w:t>n</w:t>
      </w:r>
      <w:r>
        <w:rPr>
          <w:spacing w:val="6"/>
        </w:rPr>
        <w:t xml:space="preserve"> </w:t>
      </w:r>
      <w:r>
        <w:rPr>
          <w:spacing w:val="-1"/>
        </w:rPr>
        <w:t>Au</w:t>
      </w:r>
      <w:r>
        <w:rPr>
          <w:spacing w:val="1"/>
        </w:rPr>
        <w:t>t</w:t>
      </w:r>
      <w:r>
        <w:rPr>
          <w:spacing w:val="-1"/>
        </w:rPr>
        <w:t>ho</w:t>
      </w:r>
      <w:r>
        <w:t>r</w:t>
      </w:r>
      <w:r>
        <w:rPr>
          <w:spacing w:val="-2"/>
        </w:rPr>
        <w:t>i</w:t>
      </w:r>
      <w:r>
        <w:rPr>
          <w:spacing w:val="1"/>
        </w:rPr>
        <w:t>t</w:t>
      </w:r>
      <w:r>
        <w:t>y r</w:t>
      </w:r>
      <w:r>
        <w:rPr>
          <w:spacing w:val="-3"/>
        </w:rPr>
        <w:t>e</w:t>
      </w:r>
      <w:r>
        <w:rPr>
          <w:spacing w:val="2"/>
        </w:rPr>
        <w:t>q</w:t>
      </w:r>
      <w:r>
        <w:rPr>
          <w:spacing w:val="-1"/>
        </w:rPr>
        <w:t>u</w:t>
      </w:r>
      <w:r>
        <w:rPr>
          <w:spacing w:val="-2"/>
        </w:rPr>
        <w:t>i</w:t>
      </w:r>
      <w:r>
        <w:t>r</w:t>
      </w:r>
      <w:r>
        <w:rPr>
          <w:spacing w:val="-1"/>
        </w:rPr>
        <w:t>e</w:t>
      </w:r>
      <w:r>
        <w:t>d</w:t>
      </w:r>
      <w:r>
        <w:rPr>
          <w:spacing w:val="43"/>
        </w:rPr>
        <w:t xml:space="preserve"> </w:t>
      </w:r>
      <w:r>
        <w:rPr>
          <w:spacing w:val="-2"/>
        </w:rPr>
        <w:t>li</w:t>
      </w:r>
      <w:r>
        <w:t>s</w:t>
      </w:r>
      <w:r>
        <w:rPr>
          <w:spacing w:val="1"/>
        </w:rPr>
        <w:t>t</w:t>
      </w:r>
      <w:r>
        <w:rPr>
          <w:spacing w:val="-2"/>
        </w:rPr>
        <w:t>i</w:t>
      </w:r>
      <w:r>
        <w:rPr>
          <w:spacing w:val="-1"/>
        </w:rPr>
        <w:t>n</w:t>
      </w:r>
      <w:r>
        <w:t>g</w:t>
      </w:r>
      <w:r>
        <w:rPr>
          <w:spacing w:val="46"/>
        </w:rPr>
        <w:t xml:space="preserve"> </w:t>
      </w:r>
      <w:r>
        <w:rPr>
          <w:spacing w:val="-3"/>
        </w:rPr>
        <w:t>o</w:t>
      </w:r>
      <w:r>
        <w:t>f</w:t>
      </w:r>
      <w:r>
        <w:rPr>
          <w:spacing w:val="47"/>
        </w:rPr>
        <w:t xml:space="preserve"> </w:t>
      </w:r>
      <w:r>
        <w:rPr>
          <w:spacing w:val="-3"/>
        </w:rPr>
        <w:t>a</w:t>
      </w:r>
      <w:r>
        <w:rPr>
          <w:spacing w:val="1"/>
        </w:rPr>
        <w:t>f</w:t>
      </w:r>
      <w:r>
        <w:rPr>
          <w:spacing w:val="-3"/>
        </w:rPr>
        <w:t>a</w:t>
      </w:r>
      <w:r>
        <w:rPr>
          <w:spacing w:val="1"/>
        </w:rPr>
        <w:t>t</w:t>
      </w:r>
      <w:r>
        <w:rPr>
          <w:spacing w:val="-2"/>
        </w:rPr>
        <w:t>i</w:t>
      </w:r>
      <w:r>
        <w:rPr>
          <w:spacing w:val="-1"/>
        </w:rPr>
        <w:t>n</w:t>
      </w:r>
      <w:r>
        <w:rPr>
          <w:spacing w:val="-2"/>
        </w:rPr>
        <w:t>i</w:t>
      </w:r>
      <w:r>
        <w:t>b</w:t>
      </w:r>
      <w:r>
        <w:rPr>
          <w:spacing w:val="43"/>
        </w:rPr>
        <w:t xml:space="preserve"> </w:t>
      </w:r>
      <w:r>
        <w:rPr>
          <w:spacing w:val="-1"/>
        </w:rPr>
        <w:t>a</w:t>
      </w:r>
      <w:r>
        <w:t>s</w:t>
      </w:r>
      <w:r>
        <w:rPr>
          <w:spacing w:val="44"/>
        </w:rPr>
        <w:t xml:space="preserve"> </w:t>
      </w:r>
      <w:r>
        <w:rPr>
          <w:spacing w:val="3"/>
        </w:rPr>
        <w:t>f</w:t>
      </w:r>
      <w:r>
        <w:rPr>
          <w:spacing w:val="-2"/>
        </w:rPr>
        <w:t>i</w:t>
      </w:r>
      <w:r>
        <w:t>r</w:t>
      </w:r>
      <w:r>
        <w:rPr>
          <w:spacing w:val="-3"/>
        </w:rPr>
        <w:t>s</w:t>
      </w:r>
      <w:r>
        <w:rPr>
          <w:spacing w:val="2"/>
        </w:rPr>
        <w:t>t</w:t>
      </w:r>
      <w:r>
        <w:t>-</w:t>
      </w:r>
      <w:r>
        <w:rPr>
          <w:spacing w:val="-2"/>
        </w:rPr>
        <w:t>li</w:t>
      </w:r>
      <w:r>
        <w:rPr>
          <w:spacing w:val="-1"/>
        </w:rPr>
        <w:t>n</w:t>
      </w:r>
      <w:r>
        <w:t>e</w:t>
      </w:r>
      <w:r>
        <w:rPr>
          <w:spacing w:val="43"/>
        </w:rPr>
        <w:t xml:space="preserve"> </w:t>
      </w:r>
      <w:r>
        <w:rPr>
          <w:spacing w:val="-2"/>
        </w:rPr>
        <w:t>t</w:t>
      </w:r>
      <w:r>
        <w:t>r</w:t>
      </w:r>
      <w:r>
        <w:rPr>
          <w:spacing w:val="-1"/>
        </w:rPr>
        <w:t>ea</w:t>
      </w:r>
      <w:r>
        <w:rPr>
          <w:spacing w:val="-2"/>
        </w:rPr>
        <w:t>t</w:t>
      </w:r>
      <w:r>
        <w:t>m</w:t>
      </w:r>
      <w:r>
        <w:rPr>
          <w:spacing w:val="-1"/>
        </w:rPr>
        <w:t>en</w:t>
      </w:r>
      <w:r>
        <w:t>t</w:t>
      </w:r>
      <w:r>
        <w:rPr>
          <w:spacing w:val="43"/>
        </w:rPr>
        <w:t xml:space="preserve"> </w:t>
      </w:r>
      <w:r>
        <w:rPr>
          <w:spacing w:val="-1"/>
        </w:rPr>
        <w:t>o</w:t>
      </w:r>
      <w:r>
        <w:t>f</w:t>
      </w:r>
      <w:r>
        <w:rPr>
          <w:spacing w:val="47"/>
        </w:rPr>
        <w:t xml:space="preserve"> </w:t>
      </w:r>
      <w:r>
        <w:rPr>
          <w:spacing w:val="-2"/>
        </w:rPr>
        <w:t>l</w:t>
      </w:r>
      <w:r>
        <w:rPr>
          <w:spacing w:val="-1"/>
        </w:rPr>
        <w:t>o</w:t>
      </w:r>
      <w:r>
        <w:t>c</w:t>
      </w:r>
      <w:r>
        <w:rPr>
          <w:spacing w:val="-1"/>
        </w:rPr>
        <w:t>a</w:t>
      </w:r>
      <w:r>
        <w:rPr>
          <w:spacing w:val="-2"/>
        </w:rPr>
        <w:t>ll</w:t>
      </w:r>
      <w:r>
        <w:t>y</w:t>
      </w:r>
      <w:r>
        <w:rPr>
          <w:spacing w:val="41"/>
        </w:rPr>
        <w:t xml:space="preserve"> </w:t>
      </w:r>
      <w:r>
        <w:rPr>
          <w:spacing w:val="-1"/>
        </w:rPr>
        <w:t>ad</w:t>
      </w:r>
      <w:r>
        <w:rPr>
          <w:spacing w:val="-3"/>
        </w:rPr>
        <w:t>v</w:t>
      </w:r>
      <w:r>
        <w:rPr>
          <w:spacing w:val="-1"/>
        </w:rPr>
        <w:t>an</w:t>
      </w:r>
      <w:r>
        <w:t>c</w:t>
      </w:r>
      <w:r>
        <w:rPr>
          <w:spacing w:val="-1"/>
        </w:rPr>
        <w:t>e</w:t>
      </w:r>
      <w:r>
        <w:t>d</w:t>
      </w:r>
      <w:r>
        <w:rPr>
          <w:spacing w:val="43"/>
        </w:rPr>
        <w:t xml:space="preserve"> </w:t>
      </w:r>
      <w:r>
        <w:rPr>
          <w:spacing w:val="-1"/>
        </w:rPr>
        <w:t>o</w:t>
      </w:r>
      <w:r>
        <w:t>r</w:t>
      </w:r>
      <w:r>
        <w:rPr>
          <w:spacing w:val="47"/>
        </w:rPr>
        <w:t xml:space="preserve"> </w:t>
      </w:r>
      <w:r>
        <w:t>m</w:t>
      </w:r>
      <w:r>
        <w:rPr>
          <w:spacing w:val="-1"/>
        </w:rPr>
        <w:t>e</w:t>
      </w:r>
      <w:r>
        <w:rPr>
          <w:spacing w:val="1"/>
        </w:rPr>
        <w:t>t</w:t>
      </w:r>
      <w:r>
        <w:rPr>
          <w:spacing w:val="-1"/>
        </w:rPr>
        <w:t>a</w:t>
      </w:r>
      <w:r>
        <w:rPr>
          <w:spacing w:val="-3"/>
        </w:rPr>
        <w:t>s</w:t>
      </w:r>
      <w:r>
        <w:rPr>
          <w:spacing w:val="1"/>
        </w:rPr>
        <w:t>t</w:t>
      </w:r>
      <w:r>
        <w:rPr>
          <w:spacing w:val="-1"/>
        </w:rPr>
        <w:t>a</w:t>
      </w:r>
      <w:r>
        <w:rPr>
          <w:spacing w:val="1"/>
        </w:rPr>
        <w:t>t</w:t>
      </w:r>
      <w:r>
        <w:rPr>
          <w:spacing w:val="-4"/>
        </w:rPr>
        <w:t>i</w:t>
      </w:r>
      <w:r>
        <w:t xml:space="preserve">c </w:t>
      </w:r>
      <w:r>
        <w:rPr>
          <w:spacing w:val="-2"/>
        </w:rPr>
        <w:t>N</w:t>
      </w:r>
      <w:r>
        <w:rPr>
          <w:spacing w:val="-1"/>
        </w:rPr>
        <w:t>S</w:t>
      </w:r>
      <w:r>
        <w:rPr>
          <w:spacing w:val="-2"/>
        </w:rPr>
        <w:t>C</w:t>
      </w:r>
      <w:r>
        <w:rPr>
          <w:spacing w:val="-1"/>
        </w:rPr>
        <w:t>L</w:t>
      </w:r>
      <w:r>
        <w:rPr>
          <w:spacing w:val="-2"/>
        </w:rPr>
        <w:t>C</w:t>
      </w:r>
      <w:r>
        <w:rPr>
          <w:spacing w:val="6"/>
        </w:rPr>
        <w:t xml:space="preserve"> </w:t>
      </w:r>
      <w:r>
        <w:rPr>
          <w:spacing w:val="-2"/>
        </w:rPr>
        <w:t>i</w:t>
      </w:r>
      <w:r>
        <w:t>n</w:t>
      </w:r>
      <w:r>
        <w:rPr>
          <w:spacing w:val="5"/>
        </w:rPr>
        <w:t xml:space="preserve"> </w:t>
      </w:r>
      <w:r>
        <w:rPr>
          <w:spacing w:val="-1"/>
        </w:rPr>
        <w:t>pa</w:t>
      </w:r>
      <w:r>
        <w:rPr>
          <w:spacing w:val="1"/>
        </w:rPr>
        <w:t>t</w:t>
      </w:r>
      <w:r>
        <w:rPr>
          <w:spacing w:val="-2"/>
        </w:rPr>
        <w:t>i</w:t>
      </w:r>
      <w:r>
        <w:rPr>
          <w:spacing w:val="-1"/>
        </w:rPr>
        <w:t>en</w:t>
      </w:r>
      <w:r>
        <w:rPr>
          <w:spacing w:val="1"/>
        </w:rPr>
        <w:t>t</w:t>
      </w:r>
      <w:r>
        <w:t>s</w:t>
      </w:r>
      <w:r>
        <w:rPr>
          <w:spacing w:val="1"/>
        </w:rPr>
        <w:t xml:space="preserve"> </w:t>
      </w:r>
      <w:r>
        <w:rPr>
          <w:spacing w:val="-2"/>
        </w:rPr>
        <w:t>wi</w:t>
      </w:r>
      <w:r>
        <w:rPr>
          <w:spacing w:val="1"/>
        </w:rPr>
        <w:t>t</w:t>
      </w:r>
      <w:r>
        <w:t>h</w:t>
      </w:r>
      <w:r>
        <w:rPr>
          <w:spacing w:val="5"/>
        </w:rPr>
        <w:t xml:space="preserve"> </w:t>
      </w:r>
      <w:r>
        <w:rPr>
          <w:spacing w:val="-1"/>
        </w:rPr>
        <w:t>E</w:t>
      </w:r>
      <w:r>
        <w:rPr>
          <w:spacing w:val="1"/>
        </w:rPr>
        <w:t>G</w:t>
      </w:r>
      <w:r>
        <w:rPr>
          <w:spacing w:val="-1"/>
        </w:rPr>
        <w:t>F</w:t>
      </w:r>
      <w:r>
        <w:rPr>
          <w:spacing w:val="-2"/>
        </w:rPr>
        <w:t>R</w:t>
      </w:r>
      <w:r>
        <w:rPr>
          <w:spacing w:val="-3"/>
        </w:rPr>
        <w:t xml:space="preserve"> </w:t>
      </w:r>
      <w:r>
        <w:rPr>
          <w:spacing w:val="2"/>
        </w:rPr>
        <w:t>g</w:t>
      </w:r>
      <w:r>
        <w:rPr>
          <w:spacing w:val="-1"/>
        </w:rPr>
        <w:t>en</w:t>
      </w:r>
      <w:r>
        <w:t>e</w:t>
      </w:r>
      <w:r>
        <w:rPr>
          <w:spacing w:val="-2"/>
        </w:rPr>
        <w:t xml:space="preserve"> </w:t>
      </w:r>
      <w:r>
        <w:t>m</w:t>
      </w:r>
      <w:r>
        <w:rPr>
          <w:spacing w:val="-3"/>
        </w:rPr>
        <w:t>u</w:t>
      </w:r>
      <w:r>
        <w:rPr>
          <w:spacing w:val="1"/>
        </w:rPr>
        <w:t>t</w:t>
      </w:r>
      <w:r>
        <w:rPr>
          <w:spacing w:val="-1"/>
        </w:rPr>
        <w:t>a</w:t>
      </w:r>
      <w:r>
        <w:rPr>
          <w:spacing w:val="1"/>
        </w:rPr>
        <w:t>t</w:t>
      </w:r>
      <w:r>
        <w:rPr>
          <w:spacing w:val="-2"/>
        </w:rPr>
        <w:t>i</w:t>
      </w:r>
      <w:r>
        <w:rPr>
          <w:spacing w:val="-1"/>
        </w:rPr>
        <w:t>on</w:t>
      </w:r>
      <w:r>
        <w:t>(</w:t>
      </w:r>
      <w:r>
        <w:rPr>
          <w:spacing w:val="-3"/>
        </w:rPr>
        <w:t>s</w:t>
      </w:r>
      <w:r>
        <w:t>).</w:t>
      </w:r>
    </w:p>
    <w:p w:rsidR="00E20CDD" w:rsidRPr="00A80E55" w:rsidRDefault="00E20CDD" w:rsidP="00E20CDD">
      <w:pPr>
        <w:rPr>
          <w:szCs w:val="22"/>
        </w:rPr>
      </w:pPr>
    </w:p>
    <w:p w:rsidR="00E20CDD" w:rsidRPr="00546860" w:rsidRDefault="00E20CDD" w:rsidP="0090717E">
      <w:pPr>
        <w:pStyle w:val="ListParagraph"/>
        <w:widowControl/>
        <w:numPr>
          <w:ilvl w:val="1"/>
          <w:numId w:val="1"/>
        </w:numPr>
        <w:rPr>
          <w:szCs w:val="22"/>
        </w:rPr>
      </w:pPr>
      <w:r w:rsidRPr="00546860">
        <w:rPr>
          <w:spacing w:val="-1"/>
          <w:szCs w:val="22"/>
        </w:rPr>
        <w:t>Sub</w:t>
      </w:r>
      <w:r w:rsidRPr="00546860">
        <w:rPr>
          <w:szCs w:val="22"/>
        </w:rPr>
        <w:t>s</w:t>
      </w:r>
      <w:r w:rsidRPr="00546860">
        <w:rPr>
          <w:spacing w:val="-1"/>
          <w:szCs w:val="22"/>
        </w:rPr>
        <w:t>e</w:t>
      </w:r>
      <w:r w:rsidRPr="00546860">
        <w:rPr>
          <w:spacing w:val="2"/>
          <w:szCs w:val="22"/>
        </w:rPr>
        <w:t>q</w:t>
      </w:r>
      <w:r w:rsidRPr="00546860">
        <w:rPr>
          <w:spacing w:val="-1"/>
          <w:szCs w:val="22"/>
        </w:rPr>
        <w:t>ue</w:t>
      </w:r>
      <w:r w:rsidRPr="00546860">
        <w:rPr>
          <w:spacing w:val="-3"/>
          <w:szCs w:val="22"/>
        </w:rPr>
        <w:t>n</w:t>
      </w:r>
      <w:r w:rsidRPr="00546860">
        <w:rPr>
          <w:szCs w:val="22"/>
        </w:rPr>
        <w:t>t</w:t>
      </w:r>
      <w:r w:rsidRPr="00546860">
        <w:rPr>
          <w:spacing w:val="33"/>
          <w:szCs w:val="22"/>
        </w:rPr>
        <w:t xml:space="preserve"> </w:t>
      </w:r>
      <w:r w:rsidRPr="00546860">
        <w:rPr>
          <w:spacing w:val="1"/>
          <w:szCs w:val="22"/>
        </w:rPr>
        <w:t>t</w:t>
      </w:r>
      <w:r w:rsidRPr="00546860">
        <w:rPr>
          <w:szCs w:val="22"/>
        </w:rPr>
        <w:t>o</w:t>
      </w:r>
      <w:r w:rsidRPr="00546860">
        <w:rPr>
          <w:spacing w:val="31"/>
          <w:szCs w:val="22"/>
        </w:rPr>
        <w:t xml:space="preserve"> </w:t>
      </w:r>
      <w:r w:rsidRPr="00546860">
        <w:rPr>
          <w:spacing w:val="1"/>
          <w:szCs w:val="22"/>
        </w:rPr>
        <w:t>t</w:t>
      </w:r>
      <w:r w:rsidRPr="00546860">
        <w:rPr>
          <w:spacing w:val="-1"/>
          <w:szCs w:val="22"/>
        </w:rPr>
        <w:t>h</w:t>
      </w:r>
      <w:r w:rsidRPr="00546860">
        <w:rPr>
          <w:szCs w:val="22"/>
        </w:rPr>
        <w:t>e</w:t>
      </w:r>
      <w:r w:rsidRPr="00546860">
        <w:rPr>
          <w:spacing w:val="29"/>
          <w:szCs w:val="22"/>
        </w:rPr>
        <w:t xml:space="preserve"> </w:t>
      </w:r>
      <w:r w:rsidRPr="00546860">
        <w:rPr>
          <w:szCs w:val="22"/>
        </w:rPr>
        <w:t>m</w:t>
      </w:r>
      <w:r w:rsidRPr="00546860">
        <w:rPr>
          <w:spacing w:val="-1"/>
          <w:szCs w:val="22"/>
        </w:rPr>
        <w:t>ee</w:t>
      </w:r>
      <w:r w:rsidRPr="00546860">
        <w:rPr>
          <w:spacing w:val="-2"/>
          <w:szCs w:val="22"/>
        </w:rPr>
        <w:t>ti</w:t>
      </w:r>
      <w:r w:rsidRPr="00546860">
        <w:rPr>
          <w:spacing w:val="-1"/>
          <w:szCs w:val="22"/>
        </w:rPr>
        <w:t>n</w:t>
      </w:r>
      <w:r w:rsidRPr="00546860">
        <w:rPr>
          <w:spacing w:val="2"/>
          <w:szCs w:val="22"/>
        </w:rPr>
        <w:t>g</w:t>
      </w:r>
      <w:r w:rsidRPr="00546860">
        <w:rPr>
          <w:szCs w:val="22"/>
        </w:rPr>
        <w:t>,</w:t>
      </w:r>
      <w:r w:rsidRPr="00546860">
        <w:rPr>
          <w:spacing w:val="33"/>
          <w:szCs w:val="22"/>
        </w:rPr>
        <w:t xml:space="preserve"> </w:t>
      </w:r>
      <w:r>
        <w:rPr>
          <w:spacing w:val="-1"/>
          <w:szCs w:val="22"/>
        </w:rPr>
        <w:t>after a price negotiation,</w:t>
      </w:r>
      <w:r w:rsidRPr="00546860">
        <w:rPr>
          <w:spacing w:val="1"/>
          <w:szCs w:val="22"/>
        </w:rPr>
        <w:t xml:space="preserve"> t</w:t>
      </w:r>
      <w:r w:rsidRPr="00546860">
        <w:rPr>
          <w:spacing w:val="-1"/>
          <w:szCs w:val="22"/>
        </w:rPr>
        <w:t>h</w:t>
      </w:r>
      <w:r w:rsidRPr="00546860">
        <w:rPr>
          <w:szCs w:val="22"/>
        </w:rPr>
        <w:t>e</w:t>
      </w:r>
      <w:r w:rsidRPr="00546860">
        <w:rPr>
          <w:spacing w:val="31"/>
          <w:szCs w:val="22"/>
        </w:rPr>
        <w:t xml:space="preserve"> </w:t>
      </w:r>
      <w:r w:rsidRPr="00546860">
        <w:rPr>
          <w:szCs w:val="22"/>
        </w:rPr>
        <w:t>s</w:t>
      </w:r>
      <w:r w:rsidRPr="00546860">
        <w:rPr>
          <w:spacing w:val="-1"/>
          <w:szCs w:val="22"/>
        </w:rPr>
        <w:t>po</w:t>
      </w:r>
      <w:r w:rsidRPr="00546860">
        <w:rPr>
          <w:spacing w:val="-3"/>
          <w:szCs w:val="22"/>
        </w:rPr>
        <w:t>n</w:t>
      </w:r>
      <w:r w:rsidRPr="00546860">
        <w:rPr>
          <w:szCs w:val="22"/>
        </w:rPr>
        <w:t>s</w:t>
      </w:r>
      <w:r w:rsidRPr="00546860">
        <w:rPr>
          <w:spacing w:val="-1"/>
          <w:szCs w:val="22"/>
        </w:rPr>
        <w:t>o</w:t>
      </w:r>
      <w:r w:rsidRPr="00546860">
        <w:rPr>
          <w:szCs w:val="22"/>
        </w:rPr>
        <w:t>r</w:t>
      </w:r>
      <w:r w:rsidRPr="00546860">
        <w:rPr>
          <w:spacing w:val="33"/>
          <w:szCs w:val="22"/>
        </w:rPr>
        <w:t xml:space="preserve"> </w:t>
      </w:r>
      <w:r w:rsidRPr="00546860">
        <w:rPr>
          <w:spacing w:val="-3"/>
          <w:szCs w:val="22"/>
        </w:rPr>
        <w:t>o</w:t>
      </w:r>
      <w:r w:rsidRPr="00546860">
        <w:rPr>
          <w:spacing w:val="1"/>
          <w:szCs w:val="22"/>
        </w:rPr>
        <w:t>ff</w:t>
      </w:r>
      <w:r w:rsidRPr="00546860">
        <w:rPr>
          <w:spacing w:val="-1"/>
          <w:szCs w:val="22"/>
        </w:rPr>
        <w:t>e</w:t>
      </w:r>
      <w:r w:rsidRPr="00546860">
        <w:rPr>
          <w:szCs w:val="22"/>
        </w:rPr>
        <w:t>r</w:t>
      </w:r>
      <w:r w:rsidRPr="00546860">
        <w:rPr>
          <w:spacing w:val="-1"/>
          <w:szCs w:val="22"/>
        </w:rPr>
        <w:t>e</w:t>
      </w:r>
      <w:r w:rsidRPr="00546860">
        <w:rPr>
          <w:szCs w:val="22"/>
        </w:rPr>
        <w:t>d</w:t>
      </w:r>
      <w:r w:rsidRPr="00546860">
        <w:rPr>
          <w:spacing w:val="29"/>
          <w:szCs w:val="22"/>
        </w:rPr>
        <w:t xml:space="preserve"> </w:t>
      </w:r>
      <w:r w:rsidRPr="00546860">
        <w:rPr>
          <w:spacing w:val="1"/>
          <w:szCs w:val="22"/>
        </w:rPr>
        <w:t>t</w:t>
      </w:r>
      <w:r w:rsidRPr="00546860">
        <w:rPr>
          <w:szCs w:val="22"/>
        </w:rPr>
        <w:t>o</w:t>
      </w:r>
      <w:r w:rsidRPr="00546860">
        <w:rPr>
          <w:spacing w:val="31"/>
          <w:szCs w:val="22"/>
        </w:rPr>
        <w:t xml:space="preserve"> </w:t>
      </w:r>
      <w:r w:rsidRPr="00546860">
        <w:rPr>
          <w:szCs w:val="22"/>
        </w:rPr>
        <w:t>r</w:t>
      </w:r>
      <w:r w:rsidRPr="00546860">
        <w:rPr>
          <w:spacing w:val="-1"/>
          <w:szCs w:val="22"/>
        </w:rPr>
        <w:t>edu</w:t>
      </w:r>
      <w:r w:rsidRPr="00546860">
        <w:rPr>
          <w:szCs w:val="22"/>
        </w:rPr>
        <w:t>ce</w:t>
      </w:r>
      <w:r w:rsidRPr="00546860">
        <w:rPr>
          <w:spacing w:val="32"/>
          <w:szCs w:val="22"/>
        </w:rPr>
        <w:t xml:space="preserve"> </w:t>
      </w:r>
      <w:r w:rsidRPr="00546860">
        <w:rPr>
          <w:spacing w:val="-2"/>
          <w:szCs w:val="22"/>
        </w:rPr>
        <w:t>i</w:t>
      </w:r>
      <w:r w:rsidRPr="00546860">
        <w:rPr>
          <w:spacing w:val="1"/>
          <w:szCs w:val="22"/>
        </w:rPr>
        <w:t>t</w:t>
      </w:r>
      <w:r w:rsidRPr="00546860">
        <w:rPr>
          <w:szCs w:val="22"/>
        </w:rPr>
        <w:t>s</w:t>
      </w:r>
      <w:r w:rsidRPr="00546860">
        <w:rPr>
          <w:spacing w:val="32"/>
          <w:szCs w:val="22"/>
        </w:rPr>
        <w:t xml:space="preserve"> </w:t>
      </w:r>
      <w:r w:rsidRPr="00546860">
        <w:rPr>
          <w:spacing w:val="-1"/>
          <w:szCs w:val="22"/>
        </w:rPr>
        <w:t>p</w:t>
      </w:r>
      <w:r w:rsidRPr="00546860">
        <w:rPr>
          <w:szCs w:val="22"/>
        </w:rPr>
        <w:t>r</w:t>
      </w:r>
      <w:r w:rsidRPr="00546860">
        <w:rPr>
          <w:spacing w:val="-2"/>
          <w:szCs w:val="22"/>
        </w:rPr>
        <w:t>i</w:t>
      </w:r>
      <w:r w:rsidRPr="00546860">
        <w:rPr>
          <w:szCs w:val="22"/>
        </w:rPr>
        <w:t>ce</w:t>
      </w:r>
      <w:r w:rsidRPr="00546860">
        <w:rPr>
          <w:spacing w:val="31"/>
          <w:szCs w:val="22"/>
        </w:rPr>
        <w:t xml:space="preserve"> </w:t>
      </w:r>
      <w:r w:rsidRPr="00546860">
        <w:rPr>
          <w:spacing w:val="1"/>
          <w:szCs w:val="22"/>
        </w:rPr>
        <w:t>t</w:t>
      </w:r>
      <w:r w:rsidRPr="00546860">
        <w:rPr>
          <w:szCs w:val="22"/>
        </w:rPr>
        <w:t>o</w:t>
      </w:r>
      <w:r w:rsidRPr="00546860">
        <w:rPr>
          <w:spacing w:val="31"/>
          <w:szCs w:val="22"/>
        </w:rPr>
        <w:t xml:space="preserve"> </w:t>
      </w:r>
      <w:r w:rsidRPr="00546860">
        <w:rPr>
          <w:spacing w:val="-3"/>
          <w:szCs w:val="22"/>
        </w:rPr>
        <w:t>a</w:t>
      </w:r>
      <w:r w:rsidRPr="00546860">
        <w:rPr>
          <w:szCs w:val="22"/>
        </w:rPr>
        <w:t>n</w:t>
      </w:r>
      <w:r w:rsidRPr="00546860">
        <w:rPr>
          <w:spacing w:val="31"/>
          <w:szCs w:val="22"/>
        </w:rPr>
        <w:t xml:space="preserve"> </w:t>
      </w:r>
      <w:r w:rsidRPr="00546860">
        <w:rPr>
          <w:spacing w:val="-1"/>
          <w:szCs w:val="22"/>
        </w:rPr>
        <w:t>e</w:t>
      </w:r>
      <w:r w:rsidRPr="00546860">
        <w:rPr>
          <w:spacing w:val="1"/>
          <w:szCs w:val="22"/>
        </w:rPr>
        <w:t>ff</w:t>
      </w:r>
      <w:r w:rsidRPr="00546860">
        <w:rPr>
          <w:spacing w:val="-1"/>
          <w:szCs w:val="22"/>
        </w:rPr>
        <w:t>e</w:t>
      </w:r>
      <w:r w:rsidRPr="00546860">
        <w:rPr>
          <w:spacing w:val="-3"/>
          <w:szCs w:val="22"/>
        </w:rPr>
        <w:t>c</w:t>
      </w:r>
      <w:r w:rsidRPr="00546860">
        <w:rPr>
          <w:spacing w:val="1"/>
          <w:szCs w:val="22"/>
        </w:rPr>
        <w:t>t</w:t>
      </w:r>
      <w:r w:rsidRPr="00546860">
        <w:rPr>
          <w:spacing w:val="-2"/>
          <w:szCs w:val="22"/>
        </w:rPr>
        <w:t>i</w:t>
      </w:r>
      <w:r w:rsidRPr="00546860">
        <w:rPr>
          <w:spacing w:val="-3"/>
          <w:szCs w:val="22"/>
        </w:rPr>
        <w:t>v</w:t>
      </w:r>
      <w:r w:rsidRPr="00546860">
        <w:rPr>
          <w:szCs w:val="22"/>
        </w:rPr>
        <w:t xml:space="preserve">e </w:t>
      </w:r>
      <w:r w:rsidRPr="00546860">
        <w:rPr>
          <w:spacing w:val="-1"/>
          <w:szCs w:val="22"/>
        </w:rPr>
        <w:t>p</w:t>
      </w:r>
      <w:r w:rsidRPr="00546860">
        <w:rPr>
          <w:szCs w:val="22"/>
        </w:rPr>
        <w:t>r</w:t>
      </w:r>
      <w:r w:rsidRPr="00546860">
        <w:rPr>
          <w:spacing w:val="-2"/>
          <w:szCs w:val="22"/>
        </w:rPr>
        <w:t>i</w:t>
      </w:r>
      <w:r w:rsidRPr="00546860">
        <w:rPr>
          <w:szCs w:val="22"/>
        </w:rPr>
        <w:t>ce</w:t>
      </w:r>
      <w:r w:rsidRPr="00546860">
        <w:rPr>
          <w:spacing w:val="15"/>
          <w:szCs w:val="22"/>
        </w:rPr>
        <w:t xml:space="preserve"> </w:t>
      </w:r>
      <w:r w:rsidRPr="00546860">
        <w:rPr>
          <w:spacing w:val="-3"/>
          <w:szCs w:val="22"/>
        </w:rPr>
        <w:t>o</w:t>
      </w:r>
      <w:r w:rsidRPr="00546860">
        <w:rPr>
          <w:szCs w:val="22"/>
        </w:rPr>
        <w:t>f</w:t>
      </w:r>
      <w:r w:rsidRPr="00546860">
        <w:rPr>
          <w:spacing w:val="19"/>
          <w:szCs w:val="22"/>
        </w:rPr>
        <w:t xml:space="preserve"> </w:t>
      </w:r>
      <w:r w:rsidRPr="00546860">
        <w:rPr>
          <w:spacing w:val="-1"/>
          <w:szCs w:val="22"/>
        </w:rPr>
        <w:t>$</w:t>
      </w:r>
      <w:r w:rsidR="00393C73">
        <w:rPr>
          <w:noProof/>
          <w:color w:val="000000"/>
          <w:spacing w:val="-1"/>
          <w:szCs w:val="22"/>
          <w:highlight w:val="black"/>
        </w:rPr>
        <w:t>'''''''''''''''''''''</w:t>
      </w:r>
      <w:r w:rsidRPr="00546860">
        <w:rPr>
          <w:spacing w:val="12"/>
          <w:szCs w:val="22"/>
        </w:rPr>
        <w:t xml:space="preserve"> </w:t>
      </w:r>
      <w:r w:rsidRPr="00546860">
        <w:rPr>
          <w:spacing w:val="3"/>
          <w:szCs w:val="22"/>
        </w:rPr>
        <w:t>f</w:t>
      </w:r>
      <w:r w:rsidRPr="00546860">
        <w:rPr>
          <w:spacing w:val="-3"/>
          <w:szCs w:val="22"/>
        </w:rPr>
        <w:t>o</w:t>
      </w:r>
      <w:r w:rsidRPr="00546860">
        <w:rPr>
          <w:szCs w:val="22"/>
        </w:rPr>
        <w:t>r</w:t>
      </w:r>
      <w:r w:rsidRPr="00546860">
        <w:rPr>
          <w:spacing w:val="16"/>
          <w:szCs w:val="22"/>
        </w:rPr>
        <w:t xml:space="preserve"> </w:t>
      </w:r>
      <w:r w:rsidRPr="00546860">
        <w:rPr>
          <w:spacing w:val="1"/>
          <w:szCs w:val="22"/>
        </w:rPr>
        <w:t>t</w:t>
      </w:r>
      <w:r w:rsidRPr="00546860">
        <w:rPr>
          <w:spacing w:val="-1"/>
          <w:szCs w:val="22"/>
        </w:rPr>
        <w:t>h</w:t>
      </w:r>
      <w:r w:rsidRPr="00546860">
        <w:rPr>
          <w:szCs w:val="22"/>
        </w:rPr>
        <w:t>e</w:t>
      </w:r>
      <w:r w:rsidRPr="00546860">
        <w:rPr>
          <w:spacing w:val="12"/>
          <w:szCs w:val="22"/>
        </w:rPr>
        <w:t xml:space="preserve"> </w:t>
      </w:r>
      <w:r w:rsidRPr="00546860">
        <w:rPr>
          <w:spacing w:val="-1"/>
          <w:szCs w:val="22"/>
        </w:rPr>
        <w:t>40</w:t>
      </w:r>
      <w:r w:rsidR="00ED6C4A">
        <w:rPr>
          <w:spacing w:val="-1"/>
          <w:szCs w:val="22"/>
        </w:rPr>
        <w:t> </w:t>
      </w:r>
      <w:r w:rsidRPr="00546860">
        <w:rPr>
          <w:szCs w:val="22"/>
        </w:rPr>
        <w:t>mg</w:t>
      </w:r>
      <w:r w:rsidRPr="00546860">
        <w:rPr>
          <w:spacing w:val="17"/>
          <w:szCs w:val="22"/>
        </w:rPr>
        <w:t xml:space="preserve"> </w:t>
      </w:r>
      <w:r w:rsidRPr="00546860">
        <w:rPr>
          <w:spacing w:val="-3"/>
          <w:szCs w:val="22"/>
        </w:rPr>
        <w:t>s</w:t>
      </w:r>
      <w:r w:rsidRPr="00546860">
        <w:rPr>
          <w:spacing w:val="1"/>
          <w:szCs w:val="22"/>
        </w:rPr>
        <w:t>t</w:t>
      </w:r>
      <w:r w:rsidRPr="00546860">
        <w:rPr>
          <w:szCs w:val="22"/>
        </w:rPr>
        <w:t>r</w:t>
      </w:r>
      <w:r w:rsidRPr="00546860">
        <w:rPr>
          <w:spacing w:val="-1"/>
          <w:szCs w:val="22"/>
        </w:rPr>
        <w:t>e</w:t>
      </w:r>
      <w:r w:rsidRPr="00546860">
        <w:rPr>
          <w:spacing w:val="-3"/>
          <w:szCs w:val="22"/>
        </w:rPr>
        <w:t>n</w:t>
      </w:r>
      <w:r w:rsidRPr="00546860">
        <w:rPr>
          <w:spacing w:val="-1"/>
          <w:szCs w:val="22"/>
        </w:rPr>
        <w:t>g</w:t>
      </w:r>
      <w:r w:rsidRPr="00546860">
        <w:rPr>
          <w:spacing w:val="1"/>
          <w:szCs w:val="22"/>
        </w:rPr>
        <w:t>t</w:t>
      </w:r>
      <w:r w:rsidRPr="00546860">
        <w:rPr>
          <w:szCs w:val="22"/>
        </w:rPr>
        <w:t>h</w:t>
      </w:r>
      <w:r w:rsidRPr="00546860">
        <w:rPr>
          <w:spacing w:val="15"/>
          <w:szCs w:val="22"/>
        </w:rPr>
        <w:t xml:space="preserve"> </w:t>
      </w:r>
      <w:r w:rsidRPr="00546860">
        <w:rPr>
          <w:spacing w:val="-3"/>
          <w:szCs w:val="22"/>
        </w:rPr>
        <w:t>o</w:t>
      </w:r>
      <w:r w:rsidRPr="00546860">
        <w:rPr>
          <w:szCs w:val="22"/>
        </w:rPr>
        <w:t>f</w:t>
      </w:r>
      <w:r w:rsidRPr="00546860">
        <w:rPr>
          <w:spacing w:val="19"/>
          <w:szCs w:val="22"/>
        </w:rPr>
        <w:t xml:space="preserve"> </w:t>
      </w:r>
      <w:r w:rsidRPr="00546860">
        <w:rPr>
          <w:spacing w:val="-3"/>
          <w:szCs w:val="22"/>
        </w:rPr>
        <w:t>a</w:t>
      </w:r>
      <w:r w:rsidRPr="00546860">
        <w:rPr>
          <w:spacing w:val="1"/>
          <w:szCs w:val="22"/>
        </w:rPr>
        <w:t>f</w:t>
      </w:r>
      <w:r w:rsidRPr="00546860">
        <w:rPr>
          <w:spacing w:val="-1"/>
          <w:szCs w:val="22"/>
        </w:rPr>
        <w:t>a</w:t>
      </w:r>
      <w:r w:rsidRPr="00546860">
        <w:rPr>
          <w:spacing w:val="1"/>
          <w:szCs w:val="22"/>
        </w:rPr>
        <w:t>t</w:t>
      </w:r>
      <w:r w:rsidRPr="00546860">
        <w:rPr>
          <w:spacing w:val="-2"/>
          <w:szCs w:val="22"/>
        </w:rPr>
        <w:t>i</w:t>
      </w:r>
      <w:r w:rsidRPr="00546860">
        <w:rPr>
          <w:spacing w:val="-1"/>
          <w:szCs w:val="22"/>
        </w:rPr>
        <w:t>n</w:t>
      </w:r>
      <w:r w:rsidRPr="00546860">
        <w:rPr>
          <w:spacing w:val="-4"/>
          <w:szCs w:val="22"/>
        </w:rPr>
        <w:t>i</w:t>
      </w:r>
      <w:r w:rsidRPr="00546860">
        <w:rPr>
          <w:szCs w:val="22"/>
        </w:rPr>
        <w:t>b</w:t>
      </w:r>
      <w:r w:rsidRPr="00546860">
        <w:rPr>
          <w:spacing w:val="15"/>
          <w:szCs w:val="22"/>
        </w:rPr>
        <w:t xml:space="preserve"> </w:t>
      </w:r>
      <w:r w:rsidRPr="00546860">
        <w:rPr>
          <w:spacing w:val="-1"/>
          <w:szCs w:val="22"/>
        </w:rPr>
        <w:t>unde</w:t>
      </w:r>
      <w:r w:rsidRPr="00546860">
        <w:rPr>
          <w:szCs w:val="22"/>
        </w:rPr>
        <w:t>r</w:t>
      </w:r>
      <w:r w:rsidRPr="00546860">
        <w:rPr>
          <w:spacing w:val="16"/>
          <w:szCs w:val="22"/>
        </w:rPr>
        <w:t xml:space="preserve"> </w:t>
      </w:r>
      <w:r w:rsidRPr="00546860">
        <w:rPr>
          <w:spacing w:val="1"/>
          <w:szCs w:val="22"/>
        </w:rPr>
        <w:t>t</w:t>
      </w:r>
      <w:r w:rsidRPr="00546860">
        <w:rPr>
          <w:spacing w:val="-1"/>
          <w:szCs w:val="22"/>
        </w:rPr>
        <w:t>h</w:t>
      </w:r>
      <w:r w:rsidRPr="00546860">
        <w:rPr>
          <w:szCs w:val="22"/>
        </w:rPr>
        <w:t>e</w:t>
      </w:r>
      <w:r w:rsidRPr="00546860">
        <w:rPr>
          <w:spacing w:val="15"/>
          <w:szCs w:val="22"/>
        </w:rPr>
        <w:t xml:space="preserve"> </w:t>
      </w:r>
      <w:r w:rsidRPr="00546860">
        <w:rPr>
          <w:spacing w:val="-1"/>
          <w:szCs w:val="22"/>
        </w:rPr>
        <w:t>p</w:t>
      </w:r>
      <w:r w:rsidRPr="00546860">
        <w:rPr>
          <w:szCs w:val="22"/>
        </w:rPr>
        <w:t>r</w:t>
      </w:r>
      <w:r w:rsidRPr="00546860">
        <w:rPr>
          <w:spacing w:val="-1"/>
          <w:szCs w:val="22"/>
        </w:rPr>
        <w:t>opo</w:t>
      </w:r>
      <w:r w:rsidRPr="00546860">
        <w:rPr>
          <w:szCs w:val="22"/>
        </w:rPr>
        <w:t>s</w:t>
      </w:r>
      <w:r w:rsidRPr="00546860">
        <w:rPr>
          <w:spacing w:val="-1"/>
          <w:szCs w:val="22"/>
        </w:rPr>
        <w:t>e</w:t>
      </w:r>
      <w:r w:rsidRPr="00546860">
        <w:rPr>
          <w:szCs w:val="22"/>
        </w:rPr>
        <w:t>d</w:t>
      </w:r>
      <w:r w:rsidRPr="00546860">
        <w:rPr>
          <w:spacing w:val="12"/>
          <w:szCs w:val="22"/>
        </w:rPr>
        <w:t xml:space="preserve"> </w:t>
      </w:r>
      <w:r w:rsidRPr="00546860">
        <w:rPr>
          <w:szCs w:val="22"/>
        </w:rPr>
        <w:t>r</w:t>
      </w:r>
      <w:r w:rsidRPr="00546860">
        <w:rPr>
          <w:spacing w:val="-3"/>
          <w:szCs w:val="22"/>
        </w:rPr>
        <w:t>e</w:t>
      </w:r>
      <w:r w:rsidRPr="00546860">
        <w:rPr>
          <w:szCs w:val="22"/>
        </w:rPr>
        <w:t>s</w:t>
      </w:r>
      <w:r w:rsidRPr="00546860">
        <w:rPr>
          <w:spacing w:val="1"/>
          <w:szCs w:val="22"/>
        </w:rPr>
        <w:t>t</w:t>
      </w:r>
      <w:r w:rsidRPr="00546860">
        <w:rPr>
          <w:szCs w:val="22"/>
        </w:rPr>
        <w:t>r</w:t>
      </w:r>
      <w:r w:rsidRPr="00546860">
        <w:rPr>
          <w:spacing w:val="-2"/>
          <w:szCs w:val="22"/>
        </w:rPr>
        <w:t>i</w:t>
      </w:r>
      <w:r w:rsidRPr="00546860">
        <w:rPr>
          <w:szCs w:val="22"/>
        </w:rPr>
        <w:t>c</w:t>
      </w:r>
      <w:r w:rsidRPr="00546860">
        <w:rPr>
          <w:spacing w:val="1"/>
          <w:szCs w:val="22"/>
        </w:rPr>
        <w:t>t</w:t>
      </w:r>
      <w:r w:rsidRPr="00546860">
        <w:rPr>
          <w:spacing w:val="-2"/>
          <w:szCs w:val="22"/>
        </w:rPr>
        <w:t>i</w:t>
      </w:r>
      <w:r w:rsidRPr="00546860">
        <w:rPr>
          <w:spacing w:val="-1"/>
          <w:szCs w:val="22"/>
        </w:rPr>
        <w:t>o</w:t>
      </w:r>
      <w:r w:rsidRPr="00546860">
        <w:rPr>
          <w:szCs w:val="22"/>
        </w:rPr>
        <w:t>n</w:t>
      </w:r>
      <w:r w:rsidRPr="00546860">
        <w:rPr>
          <w:spacing w:val="15"/>
          <w:szCs w:val="22"/>
        </w:rPr>
        <w:t xml:space="preserve"> </w:t>
      </w:r>
      <w:r w:rsidRPr="00546860">
        <w:rPr>
          <w:spacing w:val="-2"/>
          <w:szCs w:val="22"/>
        </w:rPr>
        <w:t>t</w:t>
      </w:r>
      <w:r w:rsidRPr="00546860">
        <w:rPr>
          <w:szCs w:val="22"/>
        </w:rPr>
        <w:t xml:space="preserve">o </w:t>
      </w:r>
      <w:r w:rsidRPr="00546860">
        <w:rPr>
          <w:spacing w:val="-1"/>
          <w:szCs w:val="22"/>
        </w:rPr>
        <w:t>pa</w:t>
      </w:r>
      <w:r w:rsidRPr="00546860">
        <w:rPr>
          <w:spacing w:val="1"/>
          <w:szCs w:val="22"/>
        </w:rPr>
        <w:t>t</w:t>
      </w:r>
      <w:r w:rsidRPr="00546860">
        <w:rPr>
          <w:spacing w:val="-2"/>
          <w:szCs w:val="22"/>
        </w:rPr>
        <w:t>i</w:t>
      </w:r>
      <w:r w:rsidRPr="00546860">
        <w:rPr>
          <w:spacing w:val="-1"/>
          <w:szCs w:val="22"/>
        </w:rPr>
        <w:t>en</w:t>
      </w:r>
      <w:r w:rsidRPr="00546860">
        <w:rPr>
          <w:spacing w:val="1"/>
          <w:szCs w:val="22"/>
        </w:rPr>
        <w:t>t</w:t>
      </w:r>
      <w:r w:rsidRPr="00546860">
        <w:rPr>
          <w:szCs w:val="22"/>
        </w:rPr>
        <w:t>s</w:t>
      </w:r>
      <w:r w:rsidRPr="00546860">
        <w:rPr>
          <w:spacing w:val="61"/>
          <w:szCs w:val="22"/>
        </w:rPr>
        <w:t xml:space="preserve"> </w:t>
      </w:r>
      <w:r w:rsidRPr="00546860">
        <w:rPr>
          <w:spacing w:val="-4"/>
          <w:szCs w:val="22"/>
        </w:rPr>
        <w:t>w</w:t>
      </w:r>
      <w:r w:rsidRPr="00546860">
        <w:rPr>
          <w:spacing w:val="-2"/>
          <w:szCs w:val="22"/>
        </w:rPr>
        <w:t>i</w:t>
      </w:r>
      <w:r w:rsidRPr="00546860">
        <w:rPr>
          <w:spacing w:val="1"/>
          <w:szCs w:val="22"/>
        </w:rPr>
        <w:t>t</w:t>
      </w:r>
      <w:r w:rsidRPr="00546860">
        <w:rPr>
          <w:szCs w:val="22"/>
        </w:rPr>
        <w:t>h</w:t>
      </w:r>
      <w:r w:rsidRPr="00546860">
        <w:rPr>
          <w:spacing w:val="60"/>
          <w:szCs w:val="22"/>
        </w:rPr>
        <w:t xml:space="preserve"> </w:t>
      </w:r>
      <w:r w:rsidRPr="00546860">
        <w:rPr>
          <w:spacing w:val="-2"/>
          <w:szCs w:val="22"/>
        </w:rPr>
        <w:t>N</w:t>
      </w:r>
      <w:r w:rsidRPr="00546860">
        <w:rPr>
          <w:spacing w:val="-1"/>
          <w:szCs w:val="22"/>
        </w:rPr>
        <w:t>S</w:t>
      </w:r>
      <w:r w:rsidRPr="00546860">
        <w:rPr>
          <w:spacing w:val="-2"/>
          <w:szCs w:val="22"/>
        </w:rPr>
        <w:t>C</w:t>
      </w:r>
      <w:r w:rsidRPr="00546860">
        <w:rPr>
          <w:spacing w:val="-1"/>
          <w:szCs w:val="22"/>
        </w:rPr>
        <w:t>L</w:t>
      </w:r>
      <w:r w:rsidRPr="00546860">
        <w:rPr>
          <w:szCs w:val="22"/>
        </w:rPr>
        <w:t>C</w:t>
      </w:r>
      <w:r w:rsidRPr="00546860">
        <w:rPr>
          <w:spacing w:val="59"/>
          <w:szCs w:val="22"/>
        </w:rPr>
        <w:t xml:space="preserve"> </w:t>
      </w:r>
      <w:r w:rsidRPr="00546860">
        <w:rPr>
          <w:spacing w:val="-2"/>
          <w:szCs w:val="22"/>
        </w:rPr>
        <w:t>w</w:t>
      </w:r>
      <w:r w:rsidRPr="00546860">
        <w:rPr>
          <w:spacing w:val="-1"/>
          <w:szCs w:val="22"/>
        </w:rPr>
        <w:t>h</w:t>
      </w:r>
      <w:r w:rsidRPr="00546860">
        <w:rPr>
          <w:szCs w:val="22"/>
        </w:rPr>
        <w:t>o</w:t>
      </w:r>
      <w:r w:rsidRPr="00546860">
        <w:rPr>
          <w:spacing w:val="60"/>
          <w:szCs w:val="22"/>
        </w:rPr>
        <w:t xml:space="preserve"> </w:t>
      </w:r>
      <w:r w:rsidRPr="00546860">
        <w:rPr>
          <w:spacing w:val="-1"/>
          <w:szCs w:val="22"/>
        </w:rPr>
        <w:t>a</w:t>
      </w:r>
      <w:r w:rsidRPr="00546860">
        <w:rPr>
          <w:szCs w:val="22"/>
        </w:rPr>
        <w:t>re</w:t>
      </w:r>
      <w:r w:rsidRPr="00546860">
        <w:rPr>
          <w:spacing w:val="60"/>
          <w:szCs w:val="22"/>
        </w:rPr>
        <w:t xml:space="preserve"> </w:t>
      </w:r>
      <w:r w:rsidRPr="00546860">
        <w:rPr>
          <w:spacing w:val="-4"/>
          <w:szCs w:val="22"/>
        </w:rPr>
        <w:t>E</w:t>
      </w:r>
      <w:r w:rsidRPr="00546860">
        <w:rPr>
          <w:spacing w:val="1"/>
          <w:szCs w:val="22"/>
        </w:rPr>
        <w:t>G</w:t>
      </w:r>
      <w:r w:rsidRPr="00546860">
        <w:rPr>
          <w:spacing w:val="-1"/>
          <w:szCs w:val="22"/>
        </w:rPr>
        <w:t>F</w:t>
      </w:r>
      <w:r w:rsidRPr="00546860">
        <w:rPr>
          <w:szCs w:val="22"/>
        </w:rPr>
        <w:t>R</w:t>
      </w:r>
      <w:r w:rsidRPr="00546860">
        <w:rPr>
          <w:spacing w:val="57"/>
          <w:szCs w:val="22"/>
        </w:rPr>
        <w:t xml:space="preserve"> </w:t>
      </w:r>
      <w:r w:rsidRPr="00546860">
        <w:rPr>
          <w:szCs w:val="22"/>
        </w:rPr>
        <w:t>m</w:t>
      </w:r>
      <w:r w:rsidRPr="00546860">
        <w:rPr>
          <w:spacing w:val="-1"/>
          <w:szCs w:val="22"/>
        </w:rPr>
        <w:t>u</w:t>
      </w:r>
      <w:r w:rsidRPr="00546860">
        <w:rPr>
          <w:spacing w:val="1"/>
          <w:szCs w:val="22"/>
        </w:rPr>
        <w:t>t</w:t>
      </w:r>
      <w:r w:rsidRPr="00546860">
        <w:rPr>
          <w:spacing w:val="-3"/>
          <w:szCs w:val="22"/>
        </w:rPr>
        <w:t>a</w:t>
      </w:r>
      <w:r w:rsidRPr="00546860">
        <w:rPr>
          <w:spacing w:val="1"/>
          <w:szCs w:val="22"/>
        </w:rPr>
        <w:t>t</w:t>
      </w:r>
      <w:r w:rsidRPr="00546860">
        <w:rPr>
          <w:spacing w:val="-2"/>
          <w:szCs w:val="22"/>
        </w:rPr>
        <w:t>i</w:t>
      </w:r>
      <w:r w:rsidRPr="00546860">
        <w:rPr>
          <w:spacing w:val="-1"/>
          <w:szCs w:val="22"/>
        </w:rPr>
        <w:t>o</w:t>
      </w:r>
      <w:r w:rsidRPr="00546860">
        <w:rPr>
          <w:szCs w:val="22"/>
        </w:rPr>
        <w:t>n</w:t>
      </w:r>
      <w:r w:rsidRPr="00546860">
        <w:rPr>
          <w:spacing w:val="61"/>
          <w:szCs w:val="22"/>
        </w:rPr>
        <w:t xml:space="preserve"> </w:t>
      </w:r>
      <w:r w:rsidRPr="00546860">
        <w:rPr>
          <w:spacing w:val="-1"/>
          <w:szCs w:val="22"/>
        </w:rPr>
        <w:t>po</w:t>
      </w:r>
      <w:r w:rsidRPr="00546860">
        <w:rPr>
          <w:szCs w:val="22"/>
        </w:rPr>
        <w:t>s</w:t>
      </w:r>
      <w:r w:rsidRPr="00546860">
        <w:rPr>
          <w:spacing w:val="-2"/>
          <w:szCs w:val="22"/>
        </w:rPr>
        <w:t>i</w:t>
      </w:r>
      <w:r w:rsidRPr="00546860">
        <w:rPr>
          <w:spacing w:val="1"/>
          <w:szCs w:val="22"/>
        </w:rPr>
        <w:t>t</w:t>
      </w:r>
      <w:r w:rsidRPr="00546860">
        <w:rPr>
          <w:spacing w:val="-2"/>
          <w:szCs w:val="22"/>
        </w:rPr>
        <w:t>i</w:t>
      </w:r>
      <w:r w:rsidRPr="00546860">
        <w:rPr>
          <w:spacing w:val="-3"/>
          <w:szCs w:val="22"/>
        </w:rPr>
        <w:t>v</w:t>
      </w:r>
      <w:r w:rsidRPr="00546860">
        <w:rPr>
          <w:spacing w:val="-1"/>
          <w:szCs w:val="22"/>
        </w:rPr>
        <w:t>e</w:t>
      </w:r>
      <w:r w:rsidRPr="00546860">
        <w:rPr>
          <w:szCs w:val="22"/>
        </w:rPr>
        <w:t>.</w:t>
      </w:r>
      <w:r w:rsidRPr="00546860">
        <w:rPr>
          <w:spacing w:val="1"/>
          <w:szCs w:val="22"/>
        </w:rPr>
        <w:t xml:space="preserve"> </w:t>
      </w:r>
      <w:r w:rsidRPr="00546860">
        <w:rPr>
          <w:spacing w:val="2"/>
          <w:szCs w:val="22"/>
        </w:rPr>
        <w:t>T</w:t>
      </w:r>
      <w:r w:rsidRPr="00546860">
        <w:rPr>
          <w:spacing w:val="-1"/>
          <w:szCs w:val="22"/>
        </w:rPr>
        <w:t>h</w:t>
      </w:r>
      <w:r w:rsidRPr="00546860">
        <w:rPr>
          <w:szCs w:val="22"/>
        </w:rPr>
        <w:t>e</w:t>
      </w:r>
      <w:r w:rsidRPr="00546860">
        <w:rPr>
          <w:spacing w:val="58"/>
          <w:szCs w:val="22"/>
        </w:rPr>
        <w:t xml:space="preserve"> </w:t>
      </w:r>
      <w:r w:rsidRPr="00546860">
        <w:rPr>
          <w:spacing w:val="-1"/>
          <w:szCs w:val="22"/>
        </w:rPr>
        <w:t>p</w:t>
      </w:r>
      <w:r w:rsidRPr="00546860">
        <w:rPr>
          <w:szCs w:val="22"/>
        </w:rPr>
        <w:t>r</w:t>
      </w:r>
      <w:r w:rsidRPr="00546860">
        <w:rPr>
          <w:spacing w:val="-2"/>
          <w:szCs w:val="22"/>
        </w:rPr>
        <w:t>i</w:t>
      </w:r>
      <w:r w:rsidRPr="00546860">
        <w:rPr>
          <w:szCs w:val="22"/>
        </w:rPr>
        <w:t>c</w:t>
      </w:r>
      <w:r w:rsidRPr="00546860">
        <w:rPr>
          <w:spacing w:val="-1"/>
          <w:szCs w:val="22"/>
        </w:rPr>
        <w:t>e</w:t>
      </w:r>
      <w:r w:rsidRPr="00546860">
        <w:rPr>
          <w:szCs w:val="22"/>
        </w:rPr>
        <w:t>s</w:t>
      </w:r>
      <w:r w:rsidRPr="00546860">
        <w:rPr>
          <w:spacing w:val="58"/>
          <w:szCs w:val="22"/>
        </w:rPr>
        <w:t xml:space="preserve"> </w:t>
      </w:r>
      <w:r w:rsidRPr="00546860">
        <w:rPr>
          <w:spacing w:val="-3"/>
          <w:szCs w:val="22"/>
        </w:rPr>
        <w:t>o</w:t>
      </w:r>
      <w:r w:rsidRPr="00546860">
        <w:rPr>
          <w:szCs w:val="22"/>
        </w:rPr>
        <w:t>f</w:t>
      </w:r>
      <w:r w:rsidRPr="00546860">
        <w:rPr>
          <w:spacing w:val="1"/>
          <w:szCs w:val="22"/>
        </w:rPr>
        <w:t xml:space="preserve"> t</w:t>
      </w:r>
      <w:r w:rsidRPr="00546860">
        <w:rPr>
          <w:spacing w:val="-1"/>
          <w:szCs w:val="22"/>
        </w:rPr>
        <w:t>h</w:t>
      </w:r>
      <w:r w:rsidRPr="00546860">
        <w:rPr>
          <w:szCs w:val="22"/>
        </w:rPr>
        <w:t>e</w:t>
      </w:r>
      <w:r w:rsidRPr="00546860">
        <w:rPr>
          <w:spacing w:val="60"/>
          <w:szCs w:val="22"/>
        </w:rPr>
        <w:t xml:space="preserve"> </w:t>
      </w:r>
      <w:r w:rsidRPr="00546860">
        <w:rPr>
          <w:spacing w:val="-3"/>
          <w:szCs w:val="22"/>
        </w:rPr>
        <w:t>o</w:t>
      </w:r>
      <w:r w:rsidRPr="00546860">
        <w:rPr>
          <w:spacing w:val="1"/>
          <w:szCs w:val="22"/>
        </w:rPr>
        <w:t>t</w:t>
      </w:r>
      <w:r w:rsidRPr="00546860">
        <w:rPr>
          <w:spacing w:val="-1"/>
          <w:szCs w:val="22"/>
        </w:rPr>
        <w:t>h</w:t>
      </w:r>
      <w:r w:rsidRPr="00546860">
        <w:rPr>
          <w:spacing w:val="-3"/>
          <w:szCs w:val="22"/>
        </w:rPr>
        <w:t>e</w:t>
      </w:r>
      <w:r w:rsidRPr="00546860">
        <w:rPr>
          <w:szCs w:val="22"/>
        </w:rPr>
        <w:t>r s</w:t>
      </w:r>
      <w:r w:rsidRPr="00546860">
        <w:rPr>
          <w:spacing w:val="1"/>
          <w:szCs w:val="22"/>
        </w:rPr>
        <w:t>t</w:t>
      </w:r>
      <w:r w:rsidRPr="00546860">
        <w:rPr>
          <w:szCs w:val="22"/>
        </w:rPr>
        <w:t>r</w:t>
      </w:r>
      <w:r w:rsidRPr="00546860">
        <w:rPr>
          <w:spacing w:val="-1"/>
          <w:szCs w:val="22"/>
        </w:rPr>
        <w:t>e</w:t>
      </w:r>
      <w:r w:rsidRPr="00546860">
        <w:rPr>
          <w:spacing w:val="-3"/>
          <w:szCs w:val="22"/>
        </w:rPr>
        <w:t>n</w:t>
      </w:r>
      <w:r w:rsidRPr="00546860">
        <w:rPr>
          <w:spacing w:val="-1"/>
          <w:szCs w:val="22"/>
        </w:rPr>
        <w:t>g</w:t>
      </w:r>
      <w:r w:rsidRPr="00546860">
        <w:rPr>
          <w:spacing w:val="1"/>
          <w:szCs w:val="22"/>
        </w:rPr>
        <w:t>t</w:t>
      </w:r>
      <w:r w:rsidRPr="00546860">
        <w:rPr>
          <w:spacing w:val="-1"/>
          <w:szCs w:val="22"/>
        </w:rPr>
        <w:t>h</w:t>
      </w:r>
      <w:r w:rsidRPr="00546860">
        <w:rPr>
          <w:szCs w:val="22"/>
        </w:rPr>
        <w:t>s</w:t>
      </w:r>
      <w:r w:rsidRPr="00546860">
        <w:rPr>
          <w:spacing w:val="58"/>
          <w:szCs w:val="22"/>
        </w:rPr>
        <w:t xml:space="preserve"> </w:t>
      </w:r>
      <w:r w:rsidRPr="00546860">
        <w:rPr>
          <w:spacing w:val="-4"/>
          <w:szCs w:val="22"/>
        </w:rPr>
        <w:t>w</w:t>
      </w:r>
      <w:r w:rsidRPr="00546860">
        <w:rPr>
          <w:spacing w:val="-1"/>
          <w:szCs w:val="22"/>
        </w:rPr>
        <w:t>e</w:t>
      </w:r>
      <w:r w:rsidRPr="00546860">
        <w:rPr>
          <w:szCs w:val="22"/>
        </w:rPr>
        <w:t>re</w:t>
      </w:r>
      <w:r w:rsidRPr="00546860">
        <w:rPr>
          <w:spacing w:val="58"/>
          <w:szCs w:val="22"/>
        </w:rPr>
        <w:t xml:space="preserve"> </w:t>
      </w:r>
      <w:r w:rsidRPr="00546860">
        <w:rPr>
          <w:szCs w:val="22"/>
        </w:rPr>
        <w:t>c</w:t>
      </w:r>
      <w:r w:rsidRPr="00546860">
        <w:rPr>
          <w:spacing w:val="-1"/>
          <w:szCs w:val="22"/>
        </w:rPr>
        <w:t>al</w:t>
      </w:r>
      <w:r w:rsidRPr="00546860">
        <w:rPr>
          <w:szCs w:val="22"/>
        </w:rPr>
        <w:t>c</w:t>
      </w:r>
      <w:r w:rsidRPr="00546860">
        <w:rPr>
          <w:spacing w:val="-1"/>
          <w:szCs w:val="22"/>
        </w:rPr>
        <w:t>u</w:t>
      </w:r>
      <w:r w:rsidRPr="00546860">
        <w:rPr>
          <w:spacing w:val="-2"/>
          <w:szCs w:val="22"/>
        </w:rPr>
        <w:t>l</w:t>
      </w:r>
      <w:r w:rsidRPr="00546860">
        <w:rPr>
          <w:spacing w:val="-1"/>
          <w:szCs w:val="22"/>
        </w:rPr>
        <w:t>a</w:t>
      </w:r>
      <w:r w:rsidRPr="00546860">
        <w:rPr>
          <w:spacing w:val="-2"/>
          <w:szCs w:val="22"/>
        </w:rPr>
        <w:t>t</w:t>
      </w:r>
      <w:r w:rsidRPr="00546860">
        <w:rPr>
          <w:spacing w:val="-1"/>
          <w:szCs w:val="22"/>
        </w:rPr>
        <w:t>e</w:t>
      </w:r>
      <w:r w:rsidRPr="00546860">
        <w:rPr>
          <w:szCs w:val="22"/>
        </w:rPr>
        <w:t>d</w:t>
      </w:r>
      <w:r w:rsidRPr="00546860">
        <w:rPr>
          <w:spacing w:val="58"/>
          <w:szCs w:val="22"/>
        </w:rPr>
        <w:t xml:space="preserve"> </w:t>
      </w:r>
      <w:r w:rsidRPr="00546860">
        <w:rPr>
          <w:spacing w:val="-1"/>
          <w:szCs w:val="22"/>
        </w:rPr>
        <w:t>a</w:t>
      </w:r>
      <w:r w:rsidRPr="00546860">
        <w:rPr>
          <w:szCs w:val="22"/>
        </w:rPr>
        <w:t>cc</w:t>
      </w:r>
      <w:r w:rsidRPr="00546860">
        <w:rPr>
          <w:spacing w:val="-1"/>
          <w:szCs w:val="22"/>
        </w:rPr>
        <w:t>o</w:t>
      </w:r>
      <w:r w:rsidRPr="00546860">
        <w:rPr>
          <w:szCs w:val="22"/>
        </w:rPr>
        <w:t>r</w:t>
      </w:r>
      <w:r w:rsidRPr="00546860">
        <w:rPr>
          <w:spacing w:val="-1"/>
          <w:szCs w:val="22"/>
        </w:rPr>
        <w:t>d</w:t>
      </w:r>
      <w:r w:rsidRPr="00546860">
        <w:rPr>
          <w:spacing w:val="-2"/>
          <w:szCs w:val="22"/>
        </w:rPr>
        <w:t>i</w:t>
      </w:r>
      <w:r w:rsidRPr="00546860">
        <w:rPr>
          <w:spacing w:val="-3"/>
          <w:szCs w:val="22"/>
        </w:rPr>
        <w:t>n</w:t>
      </w:r>
      <w:r w:rsidRPr="00546860">
        <w:rPr>
          <w:szCs w:val="22"/>
        </w:rPr>
        <w:t>g</w:t>
      </w:r>
      <w:r w:rsidRPr="00546860">
        <w:rPr>
          <w:spacing w:val="60"/>
          <w:szCs w:val="22"/>
        </w:rPr>
        <w:t xml:space="preserve"> </w:t>
      </w:r>
      <w:r w:rsidRPr="00546860">
        <w:rPr>
          <w:spacing w:val="1"/>
          <w:szCs w:val="22"/>
        </w:rPr>
        <w:t>t</w:t>
      </w:r>
      <w:r w:rsidRPr="00546860">
        <w:rPr>
          <w:szCs w:val="22"/>
        </w:rPr>
        <w:t>o</w:t>
      </w:r>
      <w:r w:rsidRPr="00546860">
        <w:rPr>
          <w:spacing w:val="55"/>
          <w:szCs w:val="22"/>
        </w:rPr>
        <w:t xml:space="preserve"> </w:t>
      </w:r>
      <w:r w:rsidRPr="00546860">
        <w:rPr>
          <w:szCs w:val="22"/>
        </w:rPr>
        <w:t>s</w:t>
      </w:r>
      <w:r w:rsidRPr="00546860">
        <w:rPr>
          <w:spacing w:val="1"/>
          <w:szCs w:val="22"/>
        </w:rPr>
        <w:t>t</w:t>
      </w:r>
      <w:r w:rsidRPr="00546860">
        <w:rPr>
          <w:spacing w:val="-1"/>
          <w:szCs w:val="22"/>
        </w:rPr>
        <w:t>and</w:t>
      </w:r>
      <w:r w:rsidRPr="00546860">
        <w:rPr>
          <w:spacing w:val="-3"/>
          <w:szCs w:val="22"/>
        </w:rPr>
        <w:t>a</w:t>
      </w:r>
      <w:r w:rsidRPr="00546860">
        <w:rPr>
          <w:szCs w:val="22"/>
        </w:rPr>
        <w:t>rd</w:t>
      </w:r>
      <w:r w:rsidRPr="00546860">
        <w:rPr>
          <w:spacing w:val="58"/>
          <w:szCs w:val="22"/>
        </w:rPr>
        <w:t xml:space="preserve"> </w:t>
      </w:r>
      <w:r w:rsidRPr="004A3F8A">
        <w:t>PBPA</w:t>
      </w:r>
      <w:r>
        <w:t xml:space="preserve"> </w:t>
      </w:r>
      <w:r w:rsidRPr="00546860">
        <w:rPr>
          <w:szCs w:val="22"/>
        </w:rPr>
        <w:t>m</w:t>
      </w:r>
      <w:r w:rsidRPr="00546860">
        <w:rPr>
          <w:spacing w:val="-3"/>
          <w:szCs w:val="22"/>
        </w:rPr>
        <w:t>e</w:t>
      </w:r>
      <w:r w:rsidRPr="00546860">
        <w:rPr>
          <w:spacing w:val="1"/>
          <w:szCs w:val="22"/>
        </w:rPr>
        <w:t>t</w:t>
      </w:r>
      <w:r w:rsidRPr="00546860">
        <w:rPr>
          <w:spacing w:val="-1"/>
          <w:szCs w:val="22"/>
        </w:rPr>
        <w:t>hodo</w:t>
      </w:r>
      <w:r w:rsidRPr="00546860">
        <w:rPr>
          <w:spacing w:val="-2"/>
          <w:szCs w:val="22"/>
        </w:rPr>
        <w:t>l</w:t>
      </w:r>
      <w:r w:rsidRPr="00546860">
        <w:rPr>
          <w:spacing w:val="-1"/>
          <w:szCs w:val="22"/>
        </w:rPr>
        <w:t>o</w:t>
      </w:r>
      <w:r w:rsidRPr="00546860">
        <w:rPr>
          <w:spacing w:val="2"/>
          <w:szCs w:val="22"/>
        </w:rPr>
        <w:t>g</w:t>
      </w:r>
      <w:r w:rsidRPr="00546860">
        <w:rPr>
          <w:spacing w:val="-3"/>
          <w:szCs w:val="22"/>
        </w:rPr>
        <w:t>y</w:t>
      </w:r>
      <w:r w:rsidRPr="00546860">
        <w:rPr>
          <w:szCs w:val="22"/>
        </w:rPr>
        <w:t>.</w:t>
      </w:r>
    </w:p>
    <w:p w:rsidR="00E20CDD" w:rsidRPr="00A80E55" w:rsidRDefault="00E20CDD" w:rsidP="00E20CDD">
      <w:pPr>
        <w:rPr>
          <w:szCs w:val="22"/>
        </w:rPr>
      </w:pPr>
    </w:p>
    <w:p w:rsidR="00E20CDD" w:rsidRPr="001A75CC" w:rsidRDefault="00E20CDD" w:rsidP="0090717E">
      <w:pPr>
        <w:pStyle w:val="ListParagraph"/>
        <w:widowControl/>
        <w:numPr>
          <w:ilvl w:val="1"/>
          <w:numId w:val="1"/>
        </w:numPr>
        <w:rPr>
          <w:szCs w:val="22"/>
        </w:rPr>
      </w:pPr>
      <w:r>
        <w:rPr>
          <w:spacing w:val="2"/>
        </w:rPr>
        <w:t>T</w:t>
      </w:r>
      <w:r>
        <w:rPr>
          <w:spacing w:val="-1"/>
        </w:rPr>
        <w:t>h</w:t>
      </w:r>
      <w:r>
        <w:t>e</w:t>
      </w:r>
      <w:r>
        <w:rPr>
          <w:spacing w:val="24"/>
        </w:rPr>
        <w:t xml:space="preserve"> </w:t>
      </w:r>
      <w:r>
        <w:rPr>
          <w:spacing w:val="-1"/>
        </w:rPr>
        <w:t>PBA</w:t>
      </w:r>
      <w:r>
        <w:t>C</w:t>
      </w:r>
      <w:r>
        <w:rPr>
          <w:spacing w:val="24"/>
        </w:rPr>
        <w:t xml:space="preserve"> </w:t>
      </w:r>
      <w:r>
        <w:rPr>
          <w:spacing w:val="1"/>
        </w:rPr>
        <w:t>t</w:t>
      </w:r>
      <w:r>
        <w:rPr>
          <w:spacing w:val="-1"/>
        </w:rPr>
        <w:t>h</w:t>
      </w:r>
      <w:r>
        <w:rPr>
          <w:spacing w:val="-3"/>
        </w:rPr>
        <w:t>e</w:t>
      </w:r>
      <w:r>
        <w:t>r</w:t>
      </w:r>
      <w:r>
        <w:rPr>
          <w:spacing w:val="-3"/>
        </w:rPr>
        <w:t>e</w:t>
      </w:r>
      <w:r>
        <w:rPr>
          <w:spacing w:val="3"/>
        </w:rPr>
        <w:t>f</w:t>
      </w:r>
      <w:r>
        <w:rPr>
          <w:spacing w:val="-3"/>
        </w:rPr>
        <w:t>o</w:t>
      </w:r>
      <w:r>
        <w:t>re</w:t>
      </w:r>
      <w:r>
        <w:rPr>
          <w:spacing w:val="22"/>
        </w:rPr>
        <w:t xml:space="preserve"> </w:t>
      </w:r>
      <w:r>
        <w:t>r</w:t>
      </w:r>
      <w:r>
        <w:rPr>
          <w:spacing w:val="-1"/>
        </w:rPr>
        <w:t>e</w:t>
      </w:r>
      <w:r>
        <w:rPr>
          <w:spacing w:val="-3"/>
        </w:rPr>
        <w:t>c</w:t>
      </w:r>
      <w:r>
        <w:rPr>
          <w:spacing w:val="-1"/>
        </w:rPr>
        <w:t>o</w:t>
      </w:r>
      <w:r>
        <w:t>mm</w:t>
      </w:r>
      <w:r>
        <w:rPr>
          <w:spacing w:val="-1"/>
        </w:rPr>
        <w:t>ende</w:t>
      </w:r>
      <w:r>
        <w:rPr>
          <w:spacing w:val="-3"/>
        </w:rPr>
        <w:t xml:space="preserve">d </w:t>
      </w:r>
      <w:r>
        <w:rPr>
          <w:spacing w:val="1"/>
        </w:rPr>
        <w:t>t</w:t>
      </w:r>
      <w:r>
        <w:rPr>
          <w:spacing w:val="-1"/>
        </w:rPr>
        <w:t>h</w:t>
      </w:r>
      <w:r>
        <w:t>e</w:t>
      </w:r>
      <w:r>
        <w:rPr>
          <w:spacing w:val="22"/>
        </w:rPr>
        <w:t xml:space="preserve"> </w:t>
      </w:r>
      <w:r>
        <w:rPr>
          <w:spacing w:val="-1"/>
        </w:rPr>
        <w:t>PB</w:t>
      </w:r>
      <w:r>
        <w:t>S</w:t>
      </w:r>
      <w:r>
        <w:rPr>
          <w:spacing w:val="24"/>
        </w:rPr>
        <w:t xml:space="preserve"> </w:t>
      </w:r>
      <w:r>
        <w:rPr>
          <w:spacing w:val="-2"/>
        </w:rPr>
        <w:t>li</w:t>
      </w:r>
      <w:r>
        <w:t>s</w:t>
      </w:r>
      <w:r>
        <w:rPr>
          <w:spacing w:val="1"/>
        </w:rPr>
        <w:t>t</w:t>
      </w:r>
      <w:r>
        <w:rPr>
          <w:spacing w:val="-2"/>
        </w:rPr>
        <w:t>i</w:t>
      </w:r>
      <w:r>
        <w:rPr>
          <w:spacing w:val="-1"/>
        </w:rPr>
        <w:t>n</w:t>
      </w:r>
      <w:r>
        <w:t>g</w:t>
      </w:r>
      <w:r>
        <w:rPr>
          <w:spacing w:val="27"/>
        </w:rPr>
        <w:t xml:space="preserve"> </w:t>
      </w:r>
      <w:r>
        <w:rPr>
          <w:spacing w:val="-3"/>
        </w:rPr>
        <w:t>o</w:t>
      </w:r>
      <w:r>
        <w:t>f</w:t>
      </w:r>
      <w:r>
        <w:rPr>
          <w:spacing w:val="26"/>
        </w:rPr>
        <w:t xml:space="preserve"> </w:t>
      </w:r>
      <w:r>
        <w:rPr>
          <w:spacing w:val="-3"/>
        </w:rPr>
        <w:t>a</w:t>
      </w:r>
      <w:r>
        <w:rPr>
          <w:spacing w:val="-2"/>
        </w:rPr>
        <w:t>f</w:t>
      </w:r>
      <w:r>
        <w:rPr>
          <w:spacing w:val="-1"/>
        </w:rPr>
        <w:t>a</w:t>
      </w:r>
      <w:r>
        <w:rPr>
          <w:spacing w:val="1"/>
        </w:rPr>
        <w:t>t</w:t>
      </w:r>
      <w:r>
        <w:rPr>
          <w:spacing w:val="-2"/>
        </w:rPr>
        <w:t>i</w:t>
      </w:r>
      <w:r>
        <w:rPr>
          <w:spacing w:val="-1"/>
        </w:rPr>
        <w:t>n</w:t>
      </w:r>
      <w:r>
        <w:rPr>
          <w:spacing w:val="-2"/>
        </w:rPr>
        <w:t>i</w:t>
      </w:r>
      <w:r>
        <w:t>b</w:t>
      </w:r>
      <w:r>
        <w:rPr>
          <w:spacing w:val="24"/>
        </w:rPr>
        <w:t xml:space="preserve"> </w:t>
      </w:r>
      <w:r>
        <w:rPr>
          <w:spacing w:val="-1"/>
        </w:rPr>
        <w:t>o</w:t>
      </w:r>
      <w:r>
        <w:t>n</w:t>
      </w:r>
      <w:r>
        <w:rPr>
          <w:spacing w:val="24"/>
        </w:rPr>
        <w:t xml:space="preserve"> </w:t>
      </w:r>
      <w:r>
        <w:t>a c</w:t>
      </w:r>
      <w:r>
        <w:rPr>
          <w:spacing w:val="-1"/>
        </w:rPr>
        <w:t>o</w:t>
      </w:r>
      <w:r>
        <w:t>st</w:t>
      </w:r>
      <w:r w:rsidR="00A80E55">
        <w:rPr>
          <w:spacing w:val="7"/>
        </w:rPr>
        <w:t>-</w:t>
      </w:r>
      <w:r>
        <w:t>m</w:t>
      </w:r>
      <w:r>
        <w:rPr>
          <w:spacing w:val="-2"/>
        </w:rPr>
        <w:t>i</w:t>
      </w:r>
      <w:r>
        <w:rPr>
          <w:spacing w:val="-1"/>
        </w:rPr>
        <w:t>n</w:t>
      </w:r>
      <w:r>
        <w:rPr>
          <w:spacing w:val="-2"/>
        </w:rPr>
        <w:t>i</w:t>
      </w:r>
      <w:r>
        <w:t>m</w:t>
      </w:r>
      <w:r>
        <w:rPr>
          <w:spacing w:val="-2"/>
        </w:rPr>
        <w:t>i</w:t>
      </w:r>
      <w:r>
        <w:t>s</w:t>
      </w:r>
      <w:r>
        <w:rPr>
          <w:spacing w:val="-1"/>
        </w:rPr>
        <w:t>a</w:t>
      </w:r>
      <w:r>
        <w:rPr>
          <w:spacing w:val="1"/>
        </w:rPr>
        <w:t>t</w:t>
      </w:r>
      <w:r>
        <w:rPr>
          <w:spacing w:val="-2"/>
        </w:rPr>
        <w:t>i</w:t>
      </w:r>
      <w:r>
        <w:rPr>
          <w:spacing w:val="-1"/>
        </w:rPr>
        <w:t>o</w:t>
      </w:r>
      <w:r>
        <w:t>n</w:t>
      </w:r>
      <w:r>
        <w:rPr>
          <w:spacing w:val="5"/>
        </w:rPr>
        <w:t xml:space="preserve"> </w:t>
      </w:r>
      <w:r>
        <w:rPr>
          <w:spacing w:val="-1"/>
        </w:rPr>
        <w:t>ba</w:t>
      </w:r>
      <w:r>
        <w:t>s</w:t>
      </w:r>
      <w:r>
        <w:rPr>
          <w:spacing w:val="-2"/>
        </w:rPr>
        <w:t>i</w:t>
      </w:r>
      <w:r>
        <w:t>s</w:t>
      </w:r>
      <w:r>
        <w:rPr>
          <w:spacing w:val="5"/>
        </w:rPr>
        <w:t xml:space="preserve"> </w:t>
      </w:r>
      <w:r>
        <w:rPr>
          <w:spacing w:val="-2"/>
        </w:rPr>
        <w:t>wi</w:t>
      </w:r>
      <w:r>
        <w:rPr>
          <w:spacing w:val="1"/>
        </w:rPr>
        <w:t>t</w:t>
      </w:r>
      <w:r>
        <w:t>h</w:t>
      </w:r>
      <w:r>
        <w:rPr>
          <w:spacing w:val="5"/>
        </w:rPr>
        <w:t xml:space="preserve"> </w:t>
      </w:r>
      <w:r>
        <w:rPr>
          <w:spacing w:val="-1"/>
        </w:rPr>
        <w:t>e</w:t>
      </w:r>
      <w:r>
        <w:t>r</w:t>
      </w:r>
      <w:r>
        <w:rPr>
          <w:spacing w:val="-2"/>
        </w:rPr>
        <w:t>l</w:t>
      </w:r>
      <w:r>
        <w:rPr>
          <w:spacing w:val="-1"/>
        </w:rPr>
        <w:t>o</w:t>
      </w:r>
      <w:r>
        <w:rPr>
          <w:spacing w:val="1"/>
        </w:rPr>
        <w:t>t</w:t>
      </w:r>
      <w:r>
        <w:rPr>
          <w:spacing w:val="-2"/>
        </w:rPr>
        <w:t>i</w:t>
      </w:r>
      <w:r>
        <w:rPr>
          <w:spacing w:val="-1"/>
        </w:rPr>
        <w:t>n</w:t>
      </w:r>
      <w:r>
        <w:rPr>
          <w:spacing w:val="-2"/>
        </w:rPr>
        <w:t>i</w:t>
      </w:r>
      <w:r>
        <w:rPr>
          <w:spacing w:val="-1"/>
        </w:rPr>
        <w:t>b</w:t>
      </w:r>
      <w:r>
        <w:t>.</w:t>
      </w:r>
      <w:r>
        <w:rPr>
          <w:spacing w:val="7"/>
        </w:rPr>
        <w:t xml:space="preserve"> </w:t>
      </w:r>
      <w:r>
        <w:rPr>
          <w:spacing w:val="1"/>
        </w:rPr>
        <w:t>T</w:t>
      </w:r>
      <w:r>
        <w:rPr>
          <w:spacing w:val="-1"/>
        </w:rPr>
        <w:t>h</w:t>
      </w:r>
      <w:r>
        <w:t>e</w:t>
      </w:r>
      <w:r>
        <w:rPr>
          <w:spacing w:val="5"/>
        </w:rPr>
        <w:t xml:space="preserve"> </w:t>
      </w:r>
      <w:r>
        <w:rPr>
          <w:spacing w:val="-1"/>
        </w:rPr>
        <w:t>e</w:t>
      </w:r>
      <w:r>
        <w:rPr>
          <w:spacing w:val="2"/>
        </w:rPr>
        <w:t>q</w:t>
      </w:r>
      <w:r>
        <w:rPr>
          <w:spacing w:val="-1"/>
        </w:rPr>
        <w:t>u</w:t>
      </w:r>
      <w:r>
        <w:rPr>
          <w:spacing w:val="-2"/>
        </w:rPr>
        <w:t>i</w:t>
      </w:r>
      <w:r>
        <w:t>-</w:t>
      </w:r>
      <w:r>
        <w:rPr>
          <w:spacing w:val="-3"/>
        </w:rPr>
        <w:t>e</w:t>
      </w:r>
      <w:r>
        <w:rPr>
          <w:spacing w:val="1"/>
        </w:rPr>
        <w:t>ff</w:t>
      </w:r>
      <w:r>
        <w:rPr>
          <w:spacing w:val="-1"/>
        </w:rPr>
        <w:t>e</w:t>
      </w:r>
      <w:r>
        <w:rPr>
          <w:spacing w:val="-3"/>
        </w:rPr>
        <w:t>c</w:t>
      </w:r>
      <w:r>
        <w:rPr>
          <w:spacing w:val="1"/>
        </w:rPr>
        <w:t>t</w:t>
      </w:r>
      <w:r>
        <w:rPr>
          <w:spacing w:val="-2"/>
        </w:rPr>
        <w:t>i</w:t>
      </w:r>
      <w:r>
        <w:rPr>
          <w:spacing w:val="-3"/>
        </w:rPr>
        <w:t>v</w:t>
      </w:r>
      <w:r>
        <w:t>e</w:t>
      </w:r>
      <w:r>
        <w:rPr>
          <w:spacing w:val="5"/>
        </w:rPr>
        <w:t xml:space="preserve"> </w:t>
      </w:r>
      <w:r>
        <w:rPr>
          <w:spacing w:val="-1"/>
        </w:rPr>
        <w:t>do</w:t>
      </w:r>
      <w:r>
        <w:t>s</w:t>
      </w:r>
      <w:r>
        <w:rPr>
          <w:spacing w:val="-1"/>
        </w:rPr>
        <w:t>e</w:t>
      </w:r>
      <w:r>
        <w:t>s</w:t>
      </w:r>
      <w:r>
        <w:rPr>
          <w:spacing w:val="8"/>
        </w:rPr>
        <w:t xml:space="preserve"> </w:t>
      </w:r>
      <w:r>
        <w:rPr>
          <w:spacing w:val="-4"/>
        </w:rPr>
        <w:t>w</w:t>
      </w:r>
      <w:r>
        <w:rPr>
          <w:spacing w:val="-1"/>
        </w:rPr>
        <w:t>e</w:t>
      </w:r>
      <w:r>
        <w:t>re</w:t>
      </w:r>
      <w:r>
        <w:rPr>
          <w:spacing w:val="5"/>
        </w:rPr>
        <w:t xml:space="preserve"> </w:t>
      </w:r>
      <w:r>
        <w:rPr>
          <w:spacing w:val="-1"/>
        </w:rPr>
        <w:t>a</w:t>
      </w:r>
      <w:r>
        <w:rPr>
          <w:spacing w:val="3"/>
        </w:rPr>
        <w:t>f</w:t>
      </w:r>
      <w:r>
        <w:rPr>
          <w:spacing w:val="-1"/>
        </w:rPr>
        <w:t>a</w:t>
      </w:r>
      <w:r>
        <w:rPr>
          <w:spacing w:val="1"/>
        </w:rPr>
        <w:t>t</w:t>
      </w:r>
      <w:r>
        <w:rPr>
          <w:spacing w:val="-4"/>
        </w:rPr>
        <w:t>i</w:t>
      </w:r>
      <w:r>
        <w:rPr>
          <w:spacing w:val="-1"/>
        </w:rPr>
        <w:t>n</w:t>
      </w:r>
      <w:r>
        <w:rPr>
          <w:spacing w:val="-2"/>
        </w:rPr>
        <w:t>i</w:t>
      </w:r>
      <w:r>
        <w:t>b</w:t>
      </w:r>
      <w:r>
        <w:rPr>
          <w:spacing w:val="5"/>
        </w:rPr>
        <w:t xml:space="preserve"> </w:t>
      </w:r>
      <w:r>
        <w:rPr>
          <w:spacing w:val="-1"/>
        </w:rPr>
        <w:t>40</w:t>
      </w:r>
      <w:r w:rsidR="00ED6C4A">
        <w:rPr>
          <w:spacing w:val="-1"/>
        </w:rPr>
        <w:t> </w:t>
      </w:r>
      <w:r>
        <w:t>mg</w:t>
      </w:r>
      <w:r>
        <w:rPr>
          <w:spacing w:val="7"/>
        </w:rPr>
        <w:t xml:space="preserve"> </w:t>
      </w:r>
      <w:r>
        <w:rPr>
          <w:spacing w:val="1"/>
        </w:rPr>
        <w:t>t</w:t>
      </w:r>
      <w:r>
        <w:t xml:space="preserve">o </w:t>
      </w:r>
      <w:r>
        <w:rPr>
          <w:spacing w:val="-1"/>
        </w:rPr>
        <w:t>e</w:t>
      </w:r>
      <w:r>
        <w:t>r</w:t>
      </w:r>
      <w:r>
        <w:rPr>
          <w:spacing w:val="-2"/>
        </w:rPr>
        <w:t>l</w:t>
      </w:r>
      <w:r>
        <w:rPr>
          <w:spacing w:val="-1"/>
        </w:rPr>
        <w:t>o</w:t>
      </w:r>
      <w:r>
        <w:rPr>
          <w:spacing w:val="1"/>
        </w:rPr>
        <w:t>t</w:t>
      </w:r>
      <w:r>
        <w:rPr>
          <w:spacing w:val="-2"/>
        </w:rPr>
        <w:t>i</w:t>
      </w:r>
      <w:r>
        <w:rPr>
          <w:spacing w:val="-1"/>
        </w:rPr>
        <w:t>n</w:t>
      </w:r>
      <w:r>
        <w:rPr>
          <w:spacing w:val="-2"/>
        </w:rPr>
        <w:t>i</w:t>
      </w:r>
      <w:r>
        <w:t>b</w:t>
      </w:r>
      <w:r>
        <w:rPr>
          <w:spacing w:val="3"/>
        </w:rPr>
        <w:t xml:space="preserve"> </w:t>
      </w:r>
      <w:r>
        <w:rPr>
          <w:spacing w:val="-1"/>
        </w:rPr>
        <w:t>150</w:t>
      </w:r>
      <w:r w:rsidR="00ED6C4A">
        <w:rPr>
          <w:spacing w:val="-1"/>
        </w:rPr>
        <w:t> </w:t>
      </w:r>
      <w:r>
        <w:rPr>
          <w:spacing w:val="-2"/>
        </w:rPr>
        <w:t>m</w:t>
      </w:r>
      <w:r>
        <w:rPr>
          <w:spacing w:val="2"/>
        </w:rPr>
        <w:t>g</w:t>
      </w:r>
      <w:r>
        <w:t>,</w:t>
      </w:r>
      <w:r>
        <w:rPr>
          <w:spacing w:val="2"/>
        </w:rPr>
        <w:t xml:space="preserve"> </w:t>
      </w:r>
      <w:r>
        <w:rPr>
          <w:spacing w:val="-1"/>
        </w:rPr>
        <w:t>ba</w:t>
      </w:r>
      <w:r>
        <w:t>s</w:t>
      </w:r>
      <w:r>
        <w:rPr>
          <w:spacing w:val="-1"/>
        </w:rPr>
        <w:t>e</w:t>
      </w:r>
      <w:r>
        <w:t>d</w:t>
      </w:r>
      <w:r>
        <w:rPr>
          <w:spacing w:val="3"/>
        </w:rPr>
        <w:t xml:space="preserve"> </w:t>
      </w:r>
      <w:r>
        <w:rPr>
          <w:spacing w:val="-3"/>
        </w:rPr>
        <w:t>o</w:t>
      </w:r>
      <w:r>
        <w:t>n</w:t>
      </w:r>
      <w:r>
        <w:rPr>
          <w:spacing w:val="3"/>
        </w:rPr>
        <w:t xml:space="preserve"> </w:t>
      </w:r>
      <w:r>
        <w:rPr>
          <w:spacing w:val="1"/>
        </w:rPr>
        <w:t>t</w:t>
      </w:r>
      <w:r>
        <w:rPr>
          <w:spacing w:val="-1"/>
        </w:rPr>
        <w:t>h</w:t>
      </w:r>
      <w:r>
        <w:t>e</w:t>
      </w:r>
      <w:r>
        <w:rPr>
          <w:spacing w:val="3"/>
        </w:rPr>
        <w:t xml:space="preserve"> </w:t>
      </w:r>
      <w:r>
        <w:rPr>
          <w:spacing w:val="-1"/>
        </w:rPr>
        <w:t>do</w:t>
      </w:r>
      <w:r>
        <w:t>s</w:t>
      </w:r>
      <w:r>
        <w:rPr>
          <w:spacing w:val="-1"/>
        </w:rPr>
        <w:t>e</w:t>
      </w:r>
      <w:r>
        <w:t>s</w:t>
      </w:r>
      <w:r>
        <w:rPr>
          <w:spacing w:val="3"/>
        </w:rPr>
        <w:t xml:space="preserve"> </w:t>
      </w:r>
      <w:r>
        <w:rPr>
          <w:spacing w:val="-1"/>
        </w:rPr>
        <w:t>d</w:t>
      </w:r>
      <w:r>
        <w:rPr>
          <w:spacing w:val="-3"/>
        </w:rPr>
        <w:t>e</w:t>
      </w:r>
      <w:r>
        <w:rPr>
          <w:spacing w:val="1"/>
        </w:rPr>
        <w:t>t</w:t>
      </w:r>
      <w:r>
        <w:rPr>
          <w:spacing w:val="-1"/>
        </w:rPr>
        <w:t>e</w:t>
      </w:r>
      <w:r>
        <w:rPr>
          <w:spacing w:val="-2"/>
        </w:rPr>
        <w:t>r</w:t>
      </w:r>
      <w:r>
        <w:t>m</w:t>
      </w:r>
      <w:r>
        <w:rPr>
          <w:spacing w:val="-2"/>
        </w:rPr>
        <w:t>i</w:t>
      </w:r>
      <w:r>
        <w:rPr>
          <w:spacing w:val="-1"/>
        </w:rPr>
        <w:t>ne</w:t>
      </w:r>
      <w:r>
        <w:t xml:space="preserve">d </w:t>
      </w:r>
      <w:r>
        <w:rPr>
          <w:spacing w:val="1"/>
        </w:rPr>
        <w:t>f</w:t>
      </w:r>
      <w:r>
        <w:rPr>
          <w:spacing w:val="-1"/>
        </w:rPr>
        <w:t>o</w:t>
      </w:r>
      <w:r>
        <w:t>r</w:t>
      </w:r>
      <w:r>
        <w:rPr>
          <w:spacing w:val="4"/>
        </w:rPr>
        <w:t xml:space="preserve"> </w:t>
      </w:r>
      <w:r>
        <w:rPr>
          <w:spacing w:val="1"/>
        </w:rPr>
        <w:t>t</w:t>
      </w:r>
      <w:r>
        <w:rPr>
          <w:spacing w:val="-1"/>
        </w:rPr>
        <w:t>he</w:t>
      </w:r>
      <w:r>
        <w:rPr>
          <w:spacing w:val="-2"/>
        </w:rPr>
        <w:t>i</w:t>
      </w:r>
      <w:r>
        <w:t>r</w:t>
      </w:r>
      <w:r>
        <w:rPr>
          <w:spacing w:val="2"/>
        </w:rPr>
        <w:t xml:space="preserve"> </w:t>
      </w:r>
      <w:r>
        <w:t>r</w:t>
      </w:r>
      <w:r>
        <w:rPr>
          <w:spacing w:val="-1"/>
        </w:rPr>
        <w:t>e</w:t>
      </w:r>
      <w:r>
        <w:t>s</w:t>
      </w:r>
      <w:r>
        <w:rPr>
          <w:spacing w:val="-1"/>
        </w:rPr>
        <w:t>pe</w:t>
      </w:r>
      <w:r>
        <w:rPr>
          <w:spacing w:val="-3"/>
        </w:rPr>
        <w:t>c</w:t>
      </w:r>
      <w:r>
        <w:rPr>
          <w:spacing w:val="1"/>
        </w:rPr>
        <w:t>t</w:t>
      </w:r>
      <w:r>
        <w:rPr>
          <w:spacing w:val="-2"/>
        </w:rPr>
        <w:t>i</w:t>
      </w:r>
      <w:r>
        <w:rPr>
          <w:spacing w:val="-3"/>
        </w:rPr>
        <w:t>v</w:t>
      </w:r>
      <w:r>
        <w:t>e</w:t>
      </w:r>
      <w:r>
        <w:rPr>
          <w:spacing w:val="3"/>
        </w:rPr>
        <w:t xml:space="preserve"> </w:t>
      </w:r>
      <w:r>
        <w:rPr>
          <w:spacing w:val="2"/>
        </w:rPr>
        <w:t>k</w:t>
      </w:r>
      <w:r>
        <w:rPr>
          <w:spacing w:val="-1"/>
        </w:rPr>
        <w:t>e</w:t>
      </w:r>
      <w:r>
        <w:t>y</w:t>
      </w:r>
      <w:r>
        <w:rPr>
          <w:spacing w:val="1"/>
        </w:rPr>
        <w:t xml:space="preserve"> t</w:t>
      </w:r>
      <w:r>
        <w:t>r</w:t>
      </w:r>
      <w:r>
        <w:rPr>
          <w:spacing w:val="-4"/>
        </w:rPr>
        <w:t>i</w:t>
      </w:r>
      <w:r>
        <w:rPr>
          <w:spacing w:val="-1"/>
        </w:rPr>
        <w:t>a</w:t>
      </w:r>
      <w:r>
        <w:rPr>
          <w:spacing w:val="-2"/>
        </w:rPr>
        <w:t>l</w:t>
      </w:r>
      <w:r>
        <w:t>s</w:t>
      </w:r>
      <w:r>
        <w:rPr>
          <w:spacing w:val="3"/>
        </w:rPr>
        <w:t xml:space="preserve"> </w:t>
      </w:r>
      <w:r>
        <w:rPr>
          <w:spacing w:val="-2"/>
        </w:rPr>
        <w:t>wi</w:t>
      </w:r>
      <w:r>
        <w:rPr>
          <w:spacing w:val="1"/>
        </w:rPr>
        <w:t>t</w:t>
      </w:r>
      <w:r>
        <w:rPr>
          <w:spacing w:val="-1"/>
        </w:rPr>
        <w:t>hout ad</w:t>
      </w:r>
      <w:r>
        <w:rPr>
          <w:spacing w:val="1"/>
        </w:rPr>
        <w:t>j</w:t>
      </w:r>
      <w:r>
        <w:rPr>
          <w:spacing w:val="-1"/>
        </w:rPr>
        <w:t>u</w:t>
      </w:r>
      <w:r>
        <w:t>s</w:t>
      </w:r>
      <w:r>
        <w:rPr>
          <w:spacing w:val="1"/>
        </w:rPr>
        <w:t>t</w:t>
      </w:r>
      <w:r>
        <w:rPr>
          <w:spacing w:val="-2"/>
        </w:rPr>
        <w:t>i</w:t>
      </w:r>
      <w:r>
        <w:rPr>
          <w:spacing w:val="-3"/>
        </w:rPr>
        <w:t>n</w:t>
      </w:r>
      <w:r>
        <w:t>g</w:t>
      </w:r>
      <w:r>
        <w:rPr>
          <w:spacing w:val="-2"/>
        </w:rPr>
        <w:t xml:space="preserve"> </w:t>
      </w:r>
      <w:r>
        <w:rPr>
          <w:spacing w:val="3"/>
        </w:rPr>
        <w:t>f</w:t>
      </w:r>
      <w:r>
        <w:rPr>
          <w:spacing w:val="-3"/>
        </w:rPr>
        <w:t>o</w:t>
      </w:r>
      <w:r>
        <w:t>r</w:t>
      </w:r>
      <w:r>
        <w:rPr>
          <w:spacing w:val="2"/>
        </w:rPr>
        <w:t xml:space="preserve"> </w:t>
      </w:r>
      <w:r>
        <w:rPr>
          <w:spacing w:val="-1"/>
        </w:rPr>
        <w:t>an</w:t>
      </w:r>
      <w:r>
        <w:t>y</w:t>
      </w:r>
      <w:r>
        <w:rPr>
          <w:spacing w:val="-2"/>
        </w:rPr>
        <w:t xml:space="preserve"> </w:t>
      </w:r>
      <w:r>
        <w:rPr>
          <w:spacing w:val="-3"/>
        </w:rPr>
        <w:t>v</w:t>
      </w:r>
      <w:r>
        <w:rPr>
          <w:spacing w:val="-1"/>
        </w:rPr>
        <w:t>a</w:t>
      </w:r>
      <w:r>
        <w:t>r</w:t>
      </w:r>
      <w:r>
        <w:rPr>
          <w:spacing w:val="-2"/>
        </w:rPr>
        <w:t>i</w:t>
      </w:r>
      <w:r>
        <w:rPr>
          <w:spacing w:val="-1"/>
        </w:rPr>
        <w:t>a</w:t>
      </w:r>
      <w:r>
        <w:rPr>
          <w:spacing w:val="1"/>
        </w:rPr>
        <w:t>t</w:t>
      </w:r>
      <w:r>
        <w:rPr>
          <w:spacing w:val="-2"/>
        </w:rPr>
        <w:t>i</w:t>
      </w:r>
      <w:r>
        <w:rPr>
          <w:spacing w:val="-1"/>
        </w:rPr>
        <w:t>on</w:t>
      </w:r>
      <w:r>
        <w:t>s</w:t>
      </w:r>
      <w:r>
        <w:rPr>
          <w:spacing w:val="1"/>
        </w:rPr>
        <w:t xml:space="preserve"> </w:t>
      </w:r>
      <w:r>
        <w:rPr>
          <w:spacing w:val="-2"/>
        </w:rPr>
        <w:t>i</w:t>
      </w:r>
      <w:r>
        <w:t xml:space="preserve">n </w:t>
      </w:r>
      <w:r>
        <w:rPr>
          <w:spacing w:val="-1"/>
        </w:rPr>
        <w:t>do</w:t>
      </w:r>
      <w:r>
        <w:t>se</w:t>
      </w:r>
      <w:r>
        <w:rPr>
          <w:spacing w:val="-2"/>
        </w:rPr>
        <w:t xml:space="preserve"> i</w:t>
      </w:r>
      <w:r>
        <w:rPr>
          <w:spacing w:val="-1"/>
        </w:rPr>
        <w:t>n</w:t>
      </w:r>
      <w:r>
        <w:rPr>
          <w:spacing w:val="1"/>
        </w:rPr>
        <w:t>t</w:t>
      </w:r>
      <w:r>
        <w:rPr>
          <w:spacing w:val="-1"/>
        </w:rPr>
        <w:t>en</w:t>
      </w:r>
      <w:r>
        <w:t>s</w:t>
      </w:r>
      <w:r>
        <w:rPr>
          <w:spacing w:val="-2"/>
        </w:rPr>
        <w:t>i</w:t>
      </w:r>
      <w:r>
        <w:rPr>
          <w:spacing w:val="1"/>
        </w:rPr>
        <w:t>t</w:t>
      </w:r>
      <w:r>
        <w:t>y</w:t>
      </w:r>
      <w:r>
        <w:rPr>
          <w:spacing w:val="-2"/>
        </w:rPr>
        <w:t xml:space="preserve"> </w:t>
      </w:r>
      <w:r>
        <w:rPr>
          <w:spacing w:val="-1"/>
        </w:rPr>
        <w:t>o</w:t>
      </w:r>
      <w:r>
        <w:t>r</w:t>
      </w:r>
      <w:r>
        <w:rPr>
          <w:spacing w:val="-1"/>
        </w:rPr>
        <w:t xml:space="preserve"> </w:t>
      </w:r>
      <w:r>
        <w:rPr>
          <w:spacing w:val="-2"/>
        </w:rPr>
        <w:t>t</w:t>
      </w:r>
      <w:r>
        <w:t>r</w:t>
      </w:r>
      <w:r>
        <w:rPr>
          <w:spacing w:val="-3"/>
        </w:rPr>
        <w:t>e</w:t>
      </w:r>
      <w:r>
        <w:rPr>
          <w:spacing w:val="-1"/>
        </w:rPr>
        <w:t>a</w:t>
      </w:r>
      <w:r>
        <w:rPr>
          <w:spacing w:val="1"/>
        </w:rPr>
        <w:t>t</w:t>
      </w:r>
      <w:r>
        <w:t>m</w:t>
      </w:r>
      <w:r>
        <w:rPr>
          <w:spacing w:val="-1"/>
        </w:rPr>
        <w:t>e</w:t>
      </w:r>
      <w:r>
        <w:rPr>
          <w:spacing w:val="-3"/>
        </w:rPr>
        <w:t>n</w:t>
      </w:r>
      <w:r>
        <w:t>t</w:t>
      </w:r>
      <w:r>
        <w:rPr>
          <w:spacing w:val="2"/>
        </w:rPr>
        <w:t xml:space="preserve"> </w:t>
      </w:r>
      <w:r>
        <w:rPr>
          <w:spacing w:val="-1"/>
        </w:rPr>
        <w:t>d</w:t>
      </w:r>
      <w:r>
        <w:rPr>
          <w:spacing w:val="-3"/>
        </w:rPr>
        <w:t>u</w:t>
      </w:r>
      <w:r>
        <w:t>r</w:t>
      </w:r>
      <w:r>
        <w:rPr>
          <w:spacing w:val="-1"/>
        </w:rPr>
        <w:t>a</w:t>
      </w:r>
      <w:r>
        <w:rPr>
          <w:spacing w:val="1"/>
        </w:rPr>
        <w:t>t</w:t>
      </w:r>
      <w:r>
        <w:rPr>
          <w:spacing w:val="-2"/>
        </w:rPr>
        <w:t>i</w:t>
      </w:r>
      <w:r>
        <w:rPr>
          <w:spacing w:val="-1"/>
        </w:rPr>
        <w:t>o</w:t>
      </w:r>
      <w:r>
        <w:rPr>
          <w:spacing w:val="-3"/>
        </w:rPr>
        <w:t>n</w:t>
      </w:r>
      <w:r>
        <w:t>.</w:t>
      </w:r>
    </w:p>
    <w:p w:rsidR="00E20CDD" w:rsidRDefault="00E20CDD" w:rsidP="00E20CDD"/>
    <w:p w:rsidR="00E20CDD" w:rsidRPr="00546860" w:rsidRDefault="00E20CDD" w:rsidP="0090717E">
      <w:pPr>
        <w:pStyle w:val="ListParagraph"/>
        <w:widowControl/>
        <w:numPr>
          <w:ilvl w:val="1"/>
          <w:numId w:val="1"/>
        </w:numPr>
        <w:rPr>
          <w:szCs w:val="22"/>
        </w:rPr>
      </w:pPr>
      <w:r>
        <w:t>T</w:t>
      </w:r>
      <w:r w:rsidRPr="004A3F8A">
        <w:t xml:space="preserve">he PBPA accepted a SPA for afatinib in December 2013. However, SPAs for gefitinib and erlotinib were removed at the request </w:t>
      </w:r>
      <w:r w:rsidR="00395CCA">
        <w:t>of the respective sponsors on 1 </w:t>
      </w:r>
      <w:r w:rsidRPr="004A3F8A">
        <w:t xml:space="preserve">April 2014. The removal of the SPA from the </w:t>
      </w:r>
      <w:r w:rsidR="00A80E55">
        <w:t xml:space="preserve">cost-minimised </w:t>
      </w:r>
      <w:r w:rsidRPr="004A3F8A">
        <w:t>comparators meant that afatinib was no longer eligible for the SPA. The Department advised the sponsor of afatinib of this change and also advised that the listed price must reflect the effective prices as approve</w:t>
      </w:r>
      <w:r w:rsidR="00A80E55">
        <w:t>d by the PBPA in December 2013.</w:t>
      </w:r>
    </w:p>
    <w:p w:rsidR="00E20CDD" w:rsidRDefault="00E20CDD" w:rsidP="00E20CDD"/>
    <w:p w:rsidR="00E20CDD" w:rsidRPr="00546860" w:rsidRDefault="00E959F1" w:rsidP="0090717E">
      <w:pPr>
        <w:pStyle w:val="ListParagraph"/>
        <w:widowControl/>
        <w:numPr>
          <w:ilvl w:val="1"/>
          <w:numId w:val="1"/>
        </w:numPr>
        <w:rPr>
          <w:szCs w:val="22"/>
        </w:rPr>
      </w:pPr>
      <w:r>
        <w:rPr>
          <w:szCs w:val="22"/>
        </w:rPr>
        <w:t xml:space="preserve">In July 2014, the PBAC considered a minor re-submission from the sponsor requesting </w:t>
      </w:r>
      <w:r>
        <w:t>a</w:t>
      </w:r>
      <w:r>
        <w:rPr>
          <w:spacing w:val="27"/>
        </w:rPr>
        <w:t xml:space="preserve"> </w:t>
      </w:r>
      <w:r>
        <w:rPr>
          <w:spacing w:val="-1"/>
        </w:rPr>
        <w:t>SP</w:t>
      </w:r>
      <w:r>
        <w:t>A</w:t>
      </w:r>
      <w:r>
        <w:rPr>
          <w:spacing w:val="24"/>
        </w:rPr>
        <w:t xml:space="preserve"> </w:t>
      </w:r>
      <w:r>
        <w:rPr>
          <w:spacing w:val="3"/>
        </w:rPr>
        <w:t>f</w:t>
      </w:r>
      <w:r>
        <w:rPr>
          <w:spacing w:val="-1"/>
        </w:rPr>
        <w:t>o</w:t>
      </w:r>
      <w:r>
        <w:t>r</w:t>
      </w:r>
      <w:r>
        <w:rPr>
          <w:spacing w:val="28"/>
        </w:rPr>
        <w:t xml:space="preserve"> </w:t>
      </w:r>
      <w:r>
        <w:rPr>
          <w:spacing w:val="-3"/>
        </w:rPr>
        <w:t>a</w:t>
      </w:r>
      <w:r>
        <w:rPr>
          <w:spacing w:val="1"/>
        </w:rPr>
        <w:t>f</w:t>
      </w:r>
      <w:r>
        <w:rPr>
          <w:spacing w:val="-1"/>
        </w:rPr>
        <w:t>a</w:t>
      </w:r>
      <w:r>
        <w:rPr>
          <w:spacing w:val="1"/>
        </w:rPr>
        <w:t>t</w:t>
      </w:r>
      <w:r>
        <w:rPr>
          <w:spacing w:val="-2"/>
        </w:rPr>
        <w:t>i</w:t>
      </w:r>
      <w:r>
        <w:rPr>
          <w:spacing w:val="-1"/>
        </w:rPr>
        <w:t>n</w:t>
      </w:r>
      <w:r>
        <w:rPr>
          <w:spacing w:val="-4"/>
        </w:rPr>
        <w:t>i</w:t>
      </w:r>
      <w:r>
        <w:t>b</w:t>
      </w:r>
      <w:r>
        <w:rPr>
          <w:spacing w:val="27"/>
        </w:rPr>
        <w:t xml:space="preserve"> </w:t>
      </w:r>
      <w:r>
        <w:rPr>
          <w:spacing w:val="1"/>
        </w:rPr>
        <w:t>t</w:t>
      </w:r>
      <w:r>
        <w:t>o</w:t>
      </w:r>
      <w:r>
        <w:rPr>
          <w:spacing w:val="27"/>
        </w:rPr>
        <w:t xml:space="preserve"> </w:t>
      </w:r>
      <w:r>
        <w:rPr>
          <w:spacing w:val="-1"/>
        </w:rPr>
        <w:t>enab</w:t>
      </w:r>
      <w:r>
        <w:rPr>
          <w:spacing w:val="-2"/>
        </w:rPr>
        <w:t>l</w:t>
      </w:r>
      <w:r>
        <w:t xml:space="preserve">e </w:t>
      </w:r>
      <w:r>
        <w:rPr>
          <w:spacing w:val="1"/>
        </w:rPr>
        <w:t>the</w:t>
      </w:r>
      <w:r>
        <w:t xml:space="preserve"> </w:t>
      </w:r>
      <w:r>
        <w:rPr>
          <w:spacing w:val="-1"/>
        </w:rPr>
        <w:t>PB</w:t>
      </w:r>
      <w:r>
        <w:t xml:space="preserve">S </w:t>
      </w:r>
      <w:r>
        <w:rPr>
          <w:spacing w:val="-2"/>
        </w:rPr>
        <w:t>li</w:t>
      </w:r>
      <w:r>
        <w:t>s</w:t>
      </w:r>
      <w:r>
        <w:rPr>
          <w:spacing w:val="1"/>
        </w:rPr>
        <w:t>t</w:t>
      </w:r>
      <w:r>
        <w:rPr>
          <w:spacing w:val="-2"/>
        </w:rPr>
        <w:t>i</w:t>
      </w:r>
      <w:r>
        <w:rPr>
          <w:spacing w:val="-1"/>
        </w:rPr>
        <w:t>ng to proceed. N</w:t>
      </w:r>
      <w:r>
        <w:t>o c</w:t>
      </w:r>
      <w:r>
        <w:rPr>
          <w:spacing w:val="-1"/>
        </w:rPr>
        <w:t>ha</w:t>
      </w:r>
      <w:r>
        <w:rPr>
          <w:spacing w:val="-3"/>
        </w:rPr>
        <w:t>n</w:t>
      </w:r>
      <w:r>
        <w:rPr>
          <w:spacing w:val="2"/>
        </w:rPr>
        <w:t>g</w:t>
      </w:r>
      <w:r>
        <w:t>e</w:t>
      </w:r>
      <w:r>
        <w:rPr>
          <w:spacing w:val="-2"/>
        </w:rPr>
        <w:t xml:space="preserve"> </w:t>
      </w:r>
      <w:r>
        <w:rPr>
          <w:spacing w:val="1"/>
        </w:rPr>
        <w:t>t</w:t>
      </w:r>
      <w:r>
        <w:t>o</w:t>
      </w:r>
      <w:r>
        <w:rPr>
          <w:spacing w:val="-2"/>
        </w:rPr>
        <w:t xml:space="preserve"> </w:t>
      </w:r>
      <w:r>
        <w:rPr>
          <w:spacing w:val="1"/>
        </w:rPr>
        <w:t>t</w:t>
      </w:r>
      <w:r>
        <w:rPr>
          <w:spacing w:val="-1"/>
        </w:rPr>
        <w:t>h</w:t>
      </w:r>
      <w:r>
        <w:t xml:space="preserve">e approved restriction </w:t>
      </w:r>
      <w:r>
        <w:rPr>
          <w:spacing w:val="-4"/>
        </w:rPr>
        <w:t>w</w:t>
      </w:r>
      <w:r>
        <w:rPr>
          <w:spacing w:val="-1"/>
        </w:rPr>
        <w:t>a</w:t>
      </w:r>
      <w:r>
        <w:t>s</w:t>
      </w:r>
      <w:r>
        <w:rPr>
          <w:spacing w:val="1"/>
        </w:rPr>
        <w:t xml:space="preserve"> </w:t>
      </w:r>
      <w:r>
        <w:t>r</w:t>
      </w:r>
      <w:r>
        <w:rPr>
          <w:spacing w:val="-3"/>
        </w:rPr>
        <w:t>e</w:t>
      </w:r>
      <w:r>
        <w:rPr>
          <w:spacing w:val="2"/>
        </w:rPr>
        <w:t>q</w:t>
      </w:r>
      <w:r>
        <w:rPr>
          <w:spacing w:val="-1"/>
        </w:rPr>
        <w:t>ue</w:t>
      </w:r>
      <w:r>
        <w:t>s</w:t>
      </w:r>
      <w:r>
        <w:rPr>
          <w:spacing w:val="1"/>
        </w:rPr>
        <w:t>t</w:t>
      </w:r>
      <w:r>
        <w:rPr>
          <w:spacing w:val="-1"/>
        </w:rPr>
        <w:t>ed.</w:t>
      </w:r>
    </w:p>
    <w:p w:rsidR="00E20CDD" w:rsidRDefault="00E20CDD" w:rsidP="00E20CDD"/>
    <w:p w:rsidR="00E959F1" w:rsidRPr="0033443B" w:rsidRDefault="00E959F1" w:rsidP="0090717E">
      <w:pPr>
        <w:pStyle w:val="ListParagraph"/>
        <w:widowControl/>
        <w:numPr>
          <w:ilvl w:val="1"/>
          <w:numId w:val="1"/>
        </w:numPr>
        <w:rPr>
          <w:szCs w:val="22"/>
        </w:rPr>
      </w:pPr>
      <w:r>
        <w:rPr>
          <w:spacing w:val="2"/>
        </w:rPr>
        <w:t>T</w:t>
      </w:r>
      <w:r>
        <w:rPr>
          <w:spacing w:val="-1"/>
        </w:rPr>
        <w:t>h</w:t>
      </w:r>
      <w:r>
        <w:t>e</w:t>
      </w:r>
      <w:r>
        <w:rPr>
          <w:spacing w:val="3"/>
        </w:rPr>
        <w:t xml:space="preserve"> </w:t>
      </w:r>
      <w:r>
        <w:rPr>
          <w:spacing w:val="-1"/>
        </w:rPr>
        <w:t>PBA</w:t>
      </w:r>
      <w:r>
        <w:t>C</w:t>
      </w:r>
      <w:r>
        <w:rPr>
          <w:spacing w:val="4"/>
        </w:rPr>
        <w:t xml:space="preserve"> </w:t>
      </w:r>
      <w:r>
        <w:t>c</w:t>
      </w:r>
      <w:r>
        <w:rPr>
          <w:spacing w:val="-1"/>
        </w:rPr>
        <w:t>on</w:t>
      </w:r>
      <w:r>
        <w:t>s</w:t>
      </w:r>
      <w:r>
        <w:rPr>
          <w:spacing w:val="-2"/>
        </w:rPr>
        <w:t>i</w:t>
      </w:r>
      <w:r>
        <w:rPr>
          <w:spacing w:val="-1"/>
        </w:rPr>
        <w:t>de</w:t>
      </w:r>
      <w:r>
        <w:t>r</w:t>
      </w:r>
      <w:r>
        <w:rPr>
          <w:spacing w:val="-1"/>
        </w:rPr>
        <w:t>e</w:t>
      </w:r>
      <w:r>
        <w:t>d</w:t>
      </w:r>
      <w:r>
        <w:rPr>
          <w:spacing w:val="3"/>
        </w:rPr>
        <w:t xml:space="preserve"> </w:t>
      </w:r>
      <w:r>
        <w:rPr>
          <w:spacing w:val="1"/>
        </w:rPr>
        <w:t>t</w:t>
      </w:r>
      <w:r>
        <w:rPr>
          <w:spacing w:val="-3"/>
        </w:rPr>
        <w:t>h</w:t>
      </w:r>
      <w:r>
        <w:t>e</w:t>
      </w:r>
      <w:r>
        <w:rPr>
          <w:spacing w:val="5"/>
        </w:rPr>
        <w:t xml:space="preserve"> </w:t>
      </w:r>
      <w:r>
        <w:rPr>
          <w:spacing w:val="-1"/>
        </w:rPr>
        <w:t>e</w:t>
      </w:r>
      <w:r>
        <w:rPr>
          <w:spacing w:val="-3"/>
        </w:rPr>
        <w:t>v</w:t>
      </w:r>
      <w:r>
        <w:rPr>
          <w:spacing w:val="-2"/>
        </w:rPr>
        <w:t>i</w:t>
      </w:r>
      <w:r>
        <w:rPr>
          <w:spacing w:val="-1"/>
        </w:rPr>
        <w:t>den</w:t>
      </w:r>
      <w:r>
        <w:t>ce</w:t>
      </w:r>
      <w:r>
        <w:rPr>
          <w:spacing w:val="5"/>
        </w:rPr>
        <w:t xml:space="preserve"> </w:t>
      </w:r>
      <w:r>
        <w:rPr>
          <w:spacing w:val="-1"/>
        </w:rPr>
        <w:t>p</w:t>
      </w:r>
      <w:r>
        <w:t>r</w:t>
      </w:r>
      <w:r>
        <w:rPr>
          <w:spacing w:val="-1"/>
        </w:rPr>
        <w:t>o</w:t>
      </w:r>
      <w:r>
        <w:rPr>
          <w:spacing w:val="-3"/>
        </w:rPr>
        <w:t>v</w:t>
      </w:r>
      <w:r>
        <w:rPr>
          <w:spacing w:val="-2"/>
        </w:rPr>
        <w:t>i</w:t>
      </w:r>
      <w:r>
        <w:rPr>
          <w:spacing w:val="-1"/>
        </w:rPr>
        <w:t>de</w:t>
      </w:r>
      <w:r>
        <w:t>d</w:t>
      </w:r>
      <w:r>
        <w:rPr>
          <w:spacing w:val="5"/>
        </w:rPr>
        <w:t xml:space="preserve"> </w:t>
      </w:r>
      <w:r>
        <w:rPr>
          <w:spacing w:val="-2"/>
        </w:rPr>
        <w:t>i</w:t>
      </w:r>
      <w:r>
        <w:t>n</w:t>
      </w:r>
      <w:r>
        <w:rPr>
          <w:spacing w:val="5"/>
        </w:rPr>
        <w:t xml:space="preserve"> </w:t>
      </w:r>
      <w:r>
        <w:rPr>
          <w:spacing w:val="-2"/>
        </w:rPr>
        <w:t>t</w:t>
      </w:r>
      <w:r>
        <w:rPr>
          <w:spacing w:val="-1"/>
        </w:rPr>
        <w:t>h</w:t>
      </w:r>
      <w:r>
        <w:t>e</w:t>
      </w:r>
      <w:r>
        <w:rPr>
          <w:spacing w:val="5"/>
        </w:rPr>
        <w:t xml:space="preserve"> </w:t>
      </w:r>
      <w:r w:rsidR="00A80E55">
        <w:rPr>
          <w:spacing w:val="5"/>
        </w:rPr>
        <w:t>m</w:t>
      </w:r>
      <w:r>
        <w:rPr>
          <w:spacing w:val="-2"/>
        </w:rPr>
        <w:t>i</w:t>
      </w:r>
      <w:r>
        <w:rPr>
          <w:spacing w:val="-1"/>
        </w:rPr>
        <w:t>no</w:t>
      </w:r>
      <w:r>
        <w:t>r</w:t>
      </w:r>
      <w:r>
        <w:rPr>
          <w:spacing w:val="6"/>
        </w:rPr>
        <w:t xml:space="preserve"> </w:t>
      </w:r>
      <w:r>
        <w:t>re-submission</w:t>
      </w:r>
      <w:r>
        <w:rPr>
          <w:spacing w:val="5"/>
        </w:rPr>
        <w:t xml:space="preserve"> </w:t>
      </w:r>
      <w:r>
        <w:rPr>
          <w:spacing w:val="-1"/>
        </w:rPr>
        <w:t>a</w:t>
      </w:r>
      <w:r>
        <w:rPr>
          <w:spacing w:val="-3"/>
        </w:rPr>
        <w:t>n</w:t>
      </w:r>
      <w:r>
        <w:t>d</w:t>
      </w:r>
      <w:r>
        <w:rPr>
          <w:spacing w:val="5"/>
        </w:rPr>
        <w:t xml:space="preserve"> </w:t>
      </w:r>
      <w:r>
        <w:rPr>
          <w:spacing w:val="-2"/>
        </w:rPr>
        <w:t>i</w:t>
      </w:r>
      <w:r>
        <w:t>n</w:t>
      </w:r>
      <w:r>
        <w:rPr>
          <w:spacing w:val="5"/>
        </w:rPr>
        <w:t xml:space="preserve"> </w:t>
      </w:r>
      <w:r>
        <w:rPr>
          <w:spacing w:val="1"/>
        </w:rPr>
        <w:t>t</w:t>
      </w:r>
      <w:r>
        <w:rPr>
          <w:spacing w:val="-1"/>
        </w:rPr>
        <w:t>h</w:t>
      </w:r>
      <w:r>
        <w:t>e</w:t>
      </w:r>
      <w:r>
        <w:rPr>
          <w:spacing w:val="3"/>
        </w:rPr>
        <w:t xml:space="preserve"> </w:t>
      </w:r>
      <w:r>
        <w:rPr>
          <w:spacing w:val="-1"/>
        </w:rPr>
        <w:t>p</w:t>
      </w:r>
      <w:r>
        <w:t>r</w:t>
      </w:r>
      <w:r>
        <w:rPr>
          <w:spacing w:val="1"/>
        </w:rPr>
        <w:t>e</w:t>
      </w:r>
      <w:r>
        <w:t>-</w:t>
      </w:r>
      <w:r>
        <w:rPr>
          <w:spacing w:val="-1"/>
        </w:rPr>
        <w:t>PBA</w:t>
      </w:r>
      <w:r>
        <w:t>C r</w:t>
      </w:r>
      <w:r>
        <w:rPr>
          <w:spacing w:val="-1"/>
        </w:rPr>
        <w:t>e</w:t>
      </w:r>
      <w:r>
        <w:t>s</w:t>
      </w:r>
      <w:r>
        <w:rPr>
          <w:spacing w:val="-1"/>
        </w:rPr>
        <w:t>pon</w:t>
      </w:r>
      <w:r>
        <w:t>s</w:t>
      </w:r>
      <w:r>
        <w:rPr>
          <w:spacing w:val="-1"/>
        </w:rPr>
        <w:t xml:space="preserve">e. </w:t>
      </w:r>
      <w:r>
        <w:rPr>
          <w:spacing w:val="2"/>
        </w:rPr>
        <w:t>T</w:t>
      </w:r>
      <w:r>
        <w:rPr>
          <w:spacing w:val="-1"/>
        </w:rPr>
        <w:t>h</w:t>
      </w:r>
      <w:r>
        <w:t>e</w:t>
      </w:r>
      <w:r>
        <w:rPr>
          <w:spacing w:val="24"/>
        </w:rPr>
        <w:t xml:space="preserve"> </w:t>
      </w:r>
      <w:r>
        <w:rPr>
          <w:spacing w:val="-1"/>
        </w:rPr>
        <w:t>PBA</w:t>
      </w:r>
      <w:r>
        <w:t>C</w:t>
      </w:r>
      <w:r>
        <w:rPr>
          <w:spacing w:val="24"/>
        </w:rPr>
        <w:t xml:space="preserve"> </w:t>
      </w:r>
      <w:r>
        <w:rPr>
          <w:spacing w:val="-1"/>
        </w:rPr>
        <w:t>ad</w:t>
      </w:r>
      <w:r>
        <w:rPr>
          <w:spacing w:val="-3"/>
        </w:rPr>
        <w:t>v</w:t>
      </w:r>
      <w:r>
        <w:rPr>
          <w:spacing w:val="-2"/>
        </w:rPr>
        <w:t>i</w:t>
      </w:r>
      <w:r>
        <w:t>s</w:t>
      </w:r>
      <w:r>
        <w:rPr>
          <w:spacing w:val="-1"/>
        </w:rPr>
        <w:t>e</w:t>
      </w:r>
      <w:r>
        <w:t>d</w:t>
      </w:r>
      <w:r>
        <w:rPr>
          <w:spacing w:val="24"/>
        </w:rPr>
        <w:t xml:space="preserve"> </w:t>
      </w:r>
      <w:r>
        <w:rPr>
          <w:spacing w:val="1"/>
        </w:rPr>
        <w:t>t</w:t>
      </w:r>
      <w:r>
        <w:rPr>
          <w:spacing w:val="-1"/>
        </w:rPr>
        <w:t>h</w:t>
      </w:r>
      <w:r>
        <w:t>e</w:t>
      </w:r>
      <w:r>
        <w:rPr>
          <w:spacing w:val="22"/>
        </w:rPr>
        <w:t xml:space="preserve"> </w:t>
      </w:r>
      <w:r>
        <w:rPr>
          <w:spacing w:val="-2"/>
        </w:rPr>
        <w:t>D</w:t>
      </w:r>
      <w:r>
        <w:rPr>
          <w:spacing w:val="-1"/>
        </w:rPr>
        <w:t>epa</w:t>
      </w:r>
      <w:r>
        <w:t>r</w:t>
      </w:r>
      <w:r>
        <w:rPr>
          <w:spacing w:val="1"/>
        </w:rPr>
        <w:t>t</w:t>
      </w:r>
      <w:r>
        <w:t>m</w:t>
      </w:r>
      <w:r>
        <w:rPr>
          <w:spacing w:val="-3"/>
        </w:rPr>
        <w:t>e</w:t>
      </w:r>
      <w:r>
        <w:rPr>
          <w:spacing w:val="-1"/>
        </w:rPr>
        <w:t>n</w:t>
      </w:r>
      <w:r>
        <w:t>t</w:t>
      </w:r>
      <w:r>
        <w:rPr>
          <w:spacing w:val="23"/>
        </w:rPr>
        <w:t xml:space="preserve"> </w:t>
      </w:r>
      <w:r>
        <w:rPr>
          <w:spacing w:val="1"/>
        </w:rPr>
        <w:t>t</w:t>
      </w:r>
      <w:r>
        <w:rPr>
          <w:spacing w:val="-1"/>
        </w:rPr>
        <w:t>ha</w:t>
      </w:r>
      <w:r>
        <w:t>t</w:t>
      </w:r>
      <w:r>
        <w:rPr>
          <w:spacing w:val="23"/>
        </w:rPr>
        <w:t xml:space="preserve"> </w:t>
      </w:r>
      <w:r>
        <w:t>it</w:t>
      </w:r>
      <w:r>
        <w:rPr>
          <w:spacing w:val="26"/>
        </w:rPr>
        <w:t xml:space="preserve"> </w:t>
      </w:r>
      <w:r>
        <w:rPr>
          <w:spacing w:val="-1"/>
        </w:rPr>
        <w:t>d</w:t>
      </w:r>
      <w:r w:rsidR="00A80E55">
        <w:rPr>
          <w:spacing w:val="-1"/>
        </w:rPr>
        <w:t>id</w:t>
      </w:r>
      <w:r>
        <w:rPr>
          <w:spacing w:val="20"/>
        </w:rPr>
        <w:t xml:space="preserve"> </w:t>
      </w:r>
      <w:r>
        <w:rPr>
          <w:spacing w:val="-1"/>
        </w:rPr>
        <w:t>no</w:t>
      </w:r>
      <w:r>
        <w:t>t</w:t>
      </w:r>
      <w:r>
        <w:rPr>
          <w:spacing w:val="26"/>
        </w:rPr>
        <w:t xml:space="preserve"> </w:t>
      </w:r>
      <w:r>
        <w:rPr>
          <w:spacing w:val="-1"/>
        </w:rPr>
        <w:t>a</w:t>
      </w:r>
      <w:r>
        <w:t>cc</w:t>
      </w:r>
      <w:r>
        <w:rPr>
          <w:spacing w:val="-1"/>
        </w:rPr>
        <w:t>e</w:t>
      </w:r>
      <w:r>
        <w:rPr>
          <w:spacing w:val="-3"/>
        </w:rPr>
        <w:t>p</w:t>
      </w:r>
      <w:r>
        <w:t>t</w:t>
      </w:r>
      <w:r>
        <w:rPr>
          <w:spacing w:val="23"/>
        </w:rPr>
        <w:t xml:space="preserve"> </w:t>
      </w:r>
      <w:r>
        <w:rPr>
          <w:spacing w:val="1"/>
        </w:rPr>
        <w:t>t</w:t>
      </w:r>
      <w:r>
        <w:rPr>
          <w:spacing w:val="-1"/>
        </w:rPr>
        <w:t>ha</w:t>
      </w:r>
      <w:r>
        <w:t>t</w:t>
      </w:r>
      <w:r>
        <w:rPr>
          <w:spacing w:val="26"/>
        </w:rPr>
        <w:t xml:space="preserve"> </w:t>
      </w:r>
      <w:r>
        <w:rPr>
          <w:spacing w:val="-3"/>
        </w:rPr>
        <w:t>a</w:t>
      </w:r>
      <w:r>
        <w:rPr>
          <w:spacing w:val="1"/>
        </w:rPr>
        <w:t>f</w:t>
      </w:r>
      <w:r>
        <w:rPr>
          <w:spacing w:val="-1"/>
        </w:rPr>
        <w:t>a</w:t>
      </w:r>
      <w:r>
        <w:rPr>
          <w:spacing w:val="1"/>
        </w:rPr>
        <w:t>t</w:t>
      </w:r>
      <w:r>
        <w:rPr>
          <w:spacing w:val="-2"/>
        </w:rPr>
        <w:t>i</w:t>
      </w:r>
      <w:r>
        <w:rPr>
          <w:spacing w:val="-1"/>
        </w:rPr>
        <w:t>n</w:t>
      </w:r>
      <w:r>
        <w:rPr>
          <w:spacing w:val="-2"/>
        </w:rPr>
        <w:t>i</w:t>
      </w:r>
      <w:r>
        <w:t>b</w:t>
      </w:r>
      <w:r>
        <w:rPr>
          <w:spacing w:val="22"/>
        </w:rPr>
        <w:t xml:space="preserve"> </w:t>
      </w:r>
      <w:r>
        <w:rPr>
          <w:spacing w:val="-1"/>
        </w:rPr>
        <w:t>ha</w:t>
      </w:r>
      <w:r>
        <w:t>s</w:t>
      </w:r>
      <w:r>
        <w:rPr>
          <w:spacing w:val="25"/>
        </w:rPr>
        <w:t xml:space="preserve"> </w:t>
      </w:r>
      <w:r>
        <w:rPr>
          <w:spacing w:val="-1"/>
        </w:rPr>
        <w:t>un</w:t>
      </w:r>
      <w:r>
        <w:rPr>
          <w:spacing w:val="-2"/>
        </w:rPr>
        <w:t>i</w:t>
      </w:r>
      <w:r>
        <w:rPr>
          <w:spacing w:val="2"/>
        </w:rPr>
        <w:t>q</w:t>
      </w:r>
      <w:r>
        <w:rPr>
          <w:spacing w:val="-1"/>
        </w:rPr>
        <w:t xml:space="preserve">ue </w:t>
      </w:r>
      <w:r>
        <w:t>c</w:t>
      </w:r>
      <w:r>
        <w:rPr>
          <w:spacing w:val="-1"/>
        </w:rPr>
        <w:t>ha</w:t>
      </w:r>
      <w:r>
        <w:t>r</w:t>
      </w:r>
      <w:r>
        <w:rPr>
          <w:spacing w:val="-1"/>
        </w:rPr>
        <w:t>a</w:t>
      </w:r>
      <w:r>
        <w:t>c</w:t>
      </w:r>
      <w:r>
        <w:rPr>
          <w:spacing w:val="1"/>
        </w:rPr>
        <w:t>t</w:t>
      </w:r>
      <w:r>
        <w:rPr>
          <w:spacing w:val="-3"/>
        </w:rPr>
        <w:t>e</w:t>
      </w:r>
      <w:r>
        <w:t>r</w:t>
      </w:r>
      <w:r>
        <w:rPr>
          <w:spacing w:val="-2"/>
        </w:rPr>
        <w:t>i</w:t>
      </w:r>
      <w:r>
        <w:t>s</w:t>
      </w:r>
      <w:r>
        <w:rPr>
          <w:spacing w:val="1"/>
        </w:rPr>
        <w:t>t</w:t>
      </w:r>
      <w:r>
        <w:rPr>
          <w:spacing w:val="-2"/>
        </w:rPr>
        <w:t>i</w:t>
      </w:r>
      <w:r>
        <w:t>cs</w:t>
      </w:r>
      <w:r>
        <w:rPr>
          <w:spacing w:val="39"/>
        </w:rPr>
        <w:t xml:space="preserve"> </w:t>
      </w:r>
      <w:r>
        <w:t>c</w:t>
      </w:r>
      <w:r>
        <w:rPr>
          <w:spacing w:val="-3"/>
        </w:rPr>
        <w:t>o</w:t>
      </w:r>
      <w:r>
        <w:t>m</w:t>
      </w:r>
      <w:r>
        <w:rPr>
          <w:spacing w:val="-1"/>
        </w:rPr>
        <w:t>pa</w:t>
      </w:r>
      <w:r>
        <w:t>r</w:t>
      </w:r>
      <w:r>
        <w:rPr>
          <w:spacing w:val="-3"/>
        </w:rPr>
        <w:t>e</w:t>
      </w:r>
      <w:r>
        <w:t>d</w:t>
      </w:r>
      <w:r>
        <w:rPr>
          <w:spacing w:val="38"/>
        </w:rPr>
        <w:t xml:space="preserve"> </w:t>
      </w:r>
      <w:r>
        <w:rPr>
          <w:spacing w:val="1"/>
        </w:rPr>
        <w:t>t</w:t>
      </w:r>
      <w:r>
        <w:t>o</w:t>
      </w:r>
      <w:r>
        <w:rPr>
          <w:spacing w:val="39"/>
        </w:rPr>
        <w:t xml:space="preserve"> </w:t>
      </w:r>
      <w:r>
        <w:rPr>
          <w:spacing w:val="-1"/>
        </w:rPr>
        <w:t>o</w:t>
      </w:r>
      <w:r>
        <w:rPr>
          <w:spacing w:val="1"/>
        </w:rPr>
        <w:t>t</w:t>
      </w:r>
      <w:r>
        <w:rPr>
          <w:spacing w:val="-1"/>
        </w:rPr>
        <w:t>he</w:t>
      </w:r>
      <w:r>
        <w:t>r</w:t>
      </w:r>
      <w:r>
        <w:rPr>
          <w:spacing w:val="40"/>
        </w:rPr>
        <w:t xml:space="preserve"> </w:t>
      </w:r>
      <w:r>
        <w:rPr>
          <w:spacing w:val="-1"/>
        </w:rPr>
        <w:t>a</w:t>
      </w:r>
      <w:r>
        <w:rPr>
          <w:spacing w:val="-3"/>
        </w:rPr>
        <w:t>v</w:t>
      </w:r>
      <w:r>
        <w:rPr>
          <w:spacing w:val="-1"/>
        </w:rPr>
        <w:t>a</w:t>
      </w:r>
      <w:r>
        <w:rPr>
          <w:spacing w:val="-2"/>
        </w:rPr>
        <w:t>il</w:t>
      </w:r>
      <w:r>
        <w:rPr>
          <w:spacing w:val="-1"/>
        </w:rPr>
        <w:t>ab</w:t>
      </w:r>
      <w:r>
        <w:rPr>
          <w:spacing w:val="-2"/>
        </w:rPr>
        <w:t>l</w:t>
      </w:r>
      <w:r>
        <w:t>e</w:t>
      </w:r>
      <w:r>
        <w:rPr>
          <w:spacing w:val="41"/>
        </w:rPr>
        <w:t xml:space="preserve"> </w:t>
      </w:r>
      <w:r>
        <w:rPr>
          <w:spacing w:val="1"/>
        </w:rPr>
        <w:t>t</w:t>
      </w:r>
      <w:r>
        <w:rPr>
          <w:spacing w:val="-1"/>
        </w:rPr>
        <w:t>he</w:t>
      </w:r>
      <w:r>
        <w:t>r</w:t>
      </w:r>
      <w:r>
        <w:rPr>
          <w:spacing w:val="-1"/>
        </w:rPr>
        <w:t>ap</w:t>
      </w:r>
      <w:r>
        <w:rPr>
          <w:spacing w:val="-2"/>
        </w:rPr>
        <w:t>i</w:t>
      </w:r>
      <w:r>
        <w:rPr>
          <w:spacing w:val="-1"/>
        </w:rPr>
        <w:t>e</w:t>
      </w:r>
      <w:r>
        <w:t>s</w:t>
      </w:r>
      <w:r>
        <w:rPr>
          <w:spacing w:val="41"/>
        </w:rPr>
        <w:t xml:space="preserve"> </w:t>
      </w:r>
      <w:r>
        <w:rPr>
          <w:spacing w:val="3"/>
        </w:rPr>
        <w:t>f</w:t>
      </w:r>
      <w:r>
        <w:rPr>
          <w:spacing w:val="-3"/>
        </w:rPr>
        <w:t>o</w:t>
      </w:r>
      <w:r>
        <w:t>r</w:t>
      </w:r>
      <w:r>
        <w:rPr>
          <w:spacing w:val="41"/>
        </w:rPr>
        <w:t xml:space="preserve"> </w:t>
      </w:r>
      <w:r>
        <w:rPr>
          <w:spacing w:val="1"/>
        </w:rPr>
        <w:t>t</w:t>
      </w:r>
      <w:r>
        <w:rPr>
          <w:spacing w:val="-1"/>
        </w:rPr>
        <w:t>h</w:t>
      </w:r>
      <w:r>
        <w:t>e</w:t>
      </w:r>
      <w:r>
        <w:rPr>
          <w:spacing w:val="39"/>
        </w:rPr>
        <w:t xml:space="preserve"> </w:t>
      </w:r>
      <w:r>
        <w:rPr>
          <w:spacing w:val="-2"/>
        </w:rPr>
        <w:t>t</w:t>
      </w:r>
      <w:r>
        <w:t>r</w:t>
      </w:r>
      <w:r>
        <w:rPr>
          <w:spacing w:val="-1"/>
        </w:rPr>
        <w:t>ea</w:t>
      </w:r>
      <w:r>
        <w:rPr>
          <w:spacing w:val="-2"/>
        </w:rPr>
        <w:t>t</w:t>
      </w:r>
      <w:r>
        <w:t>m</w:t>
      </w:r>
      <w:r>
        <w:rPr>
          <w:spacing w:val="-1"/>
        </w:rPr>
        <w:t>en</w:t>
      </w:r>
      <w:r>
        <w:t>t</w:t>
      </w:r>
      <w:r>
        <w:rPr>
          <w:spacing w:val="38"/>
        </w:rPr>
        <w:t xml:space="preserve"> </w:t>
      </w:r>
      <w:r>
        <w:rPr>
          <w:spacing w:val="-1"/>
        </w:rPr>
        <w:t>o</w:t>
      </w:r>
      <w:r>
        <w:t>f</w:t>
      </w:r>
      <w:r>
        <w:rPr>
          <w:spacing w:val="42"/>
        </w:rPr>
        <w:t xml:space="preserve"> </w:t>
      </w:r>
      <w:r>
        <w:rPr>
          <w:spacing w:val="-1"/>
        </w:rPr>
        <w:t>pa</w:t>
      </w:r>
      <w:r>
        <w:rPr>
          <w:spacing w:val="1"/>
        </w:rPr>
        <w:t>t</w:t>
      </w:r>
      <w:r>
        <w:rPr>
          <w:spacing w:val="-2"/>
        </w:rPr>
        <w:t>i</w:t>
      </w:r>
      <w:r>
        <w:rPr>
          <w:spacing w:val="-1"/>
        </w:rPr>
        <w:t>en</w:t>
      </w:r>
      <w:r>
        <w:rPr>
          <w:spacing w:val="-2"/>
        </w:rPr>
        <w:t>t</w:t>
      </w:r>
      <w:r>
        <w:t xml:space="preserve">s </w:t>
      </w:r>
      <w:r>
        <w:rPr>
          <w:spacing w:val="-2"/>
        </w:rPr>
        <w:t>wi</w:t>
      </w:r>
      <w:r>
        <w:rPr>
          <w:spacing w:val="1"/>
        </w:rPr>
        <w:t>t</w:t>
      </w:r>
      <w:r>
        <w:t>h</w:t>
      </w:r>
      <w:r>
        <w:rPr>
          <w:spacing w:val="10"/>
        </w:rPr>
        <w:t xml:space="preserve"> </w:t>
      </w:r>
      <w:r>
        <w:rPr>
          <w:spacing w:val="-1"/>
        </w:rPr>
        <w:t>ad</w:t>
      </w:r>
      <w:r>
        <w:rPr>
          <w:spacing w:val="-3"/>
        </w:rPr>
        <w:t>v</w:t>
      </w:r>
      <w:r>
        <w:rPr>
          <w:spacing w:val="-1"/>
        </w:rPr>
        <w:t>an</w:t>
      </w:r>
      <w:r>
        <w:t>c</w:t>
      </w:r>
      <w:r>
        <w:rPr>
          <w:spacing w:val="-1"/>
        </w:rPr>
        <w:t>e</w:t>
      </w:r>
      <w:r>
        <w:t>d</w:t>
      </w:r>
      <w:r>
        <w:rPr>
          <w:spacing w:val="10"/>
        </w:rPr>
        <w:t xml:space="preserve"> </w:t>
      </w:r>
      <w:r>
        <w:rPr>
          <w:spacing w:val="-1"/>
        </w:rPr>
        <w:t>o</w:t>
      </w:r>
      <w:r>
        <w:t>r</w:t>
      </w:r>
      <w:r>
        <w:rPr>
          <w:spacing w:val="11"/>
        </w:rPr>
        <w:t xml:space="preserve"> </w:t>
      </w:r>
      <w:r>
        <w:rPr>
          <w:spacing w:val="-2"/>
        </w:rPr>
        <w:t>m</w:t>
      </w:r>
      <w:r>
        <w:rPr>
          <w:spacing w:val="-1"/>
        </w:rPr>
        <w:t>e</w:t>
      </w:r>
      <w:r>
        <w:rPr>
          <w:spacing w:val="1"/>
        </w:rPr>
        <w:t>t</w:t>
      </w:r>
      <w:r>
        <w:rPr>
          <w:spacing w:val="-1"/>
        </w:rPr>
        <w:t>a</w:t>
      </w:r>
      <w:r>
        <w:rPr>
          <w:spacing w:val="-3"/>
        </w:rPr>
        <w:t>s</w:t>
      </w:r>
      <w:r>
        <w:rPr>
          <w:spacing w:val="-2"/>
        </w:rPr>
        <w:t>t</w:t>
      </w:r>
      <w:r>
        <w:rPr>
          <w:spacing w:val="-1"/>
        </w:rPr>
        <w:t>a</w:t>
      </w:r>
      <w:r>
        <w:rPr>
          <w:spacing w:val="1"/>
        </w:rPr>
        <w:t>t</w:t>
      </w:r>
      <w:r>
        <w:rPr>
          <w:spacing w:val="-2"/>
        </w:rPr>
        <w:t>i</w:t>
      </w:r>
      <w:r>
        <w:t>c</w:t>
      </w:r>
      <w:r>
        <w:rPr>
          <w:spacing w:val="10"/>
        </w:rPr>
        <w:t xml:space="preserve"> </w:t>
      </w:r>
      <w:r>
        <w:rPr>
          <w:spacing w:val="-1"/>
        </w:rPr>
        <w:t>non</w:t>
      </w:r>
      <w:r>
        <w:rPr>
          <w:spacing w:val="2"/>
        </w:rPr>
        <w:t>-</w:t>
      </w:r>
      <w:r>
        <w:rPr>
          <w:spacing w:val="-3"/>
        </w:rPr>
        <w:t>s</w:t>
      </w:r>
      <w:r>
        <w:rPr>
          <w:spacing w:val="2"/>
        </w:rPr>
        <w:t>q</w:t>
      </w:r>
      <w:r>
        <w:rPr>
          <w:spacing w:val="-1"/>
        </w:rPr>
        <w:t>u</w:t>
      </w:r>
      <w:r>
        <w:rPr>
          <w:spacing w:val="-3"/>
        </w:rPr>
        <w:t>a</w:t>
      </w:r>
      <w:r>
        <w:t>m</w:t>
      </w:r>
      <w:r>
        <w:rPr>
          <w:spacing w:val="-1"/>
        </w:rPr>
        <w:t>ou</w:t>
      </w:r>
      <w:r>
        <w:t>s</w:t>
      </w:r>
      <w:r>
        <w:rPr>
          <w:spacing w:val="8"/>
        </w:rPr>
        <w:t xml:space="preserve"> </w:t>
      </w:r>
      <w:r>
        <w:rPr>
          <w:spacing w:val="-1"/>
        </w:rPr>
        <w:t xml:space="preserve">NSCLC. </w:t>
      </w:r>
      <w:r>
        <w:rPr>
          <w:spacing w:val="-3"/>
        </w:rPr>
        <w:t>A</w:t>
      </w:r>
      <w:r>
        <w:rPr>
          <w:spacing w:val="1"/>
        </w:rPr>
        <w:t>f</w:t>
      </w:r>
      <w:r>
        <w:rPr>
          <w:spacing w:val="-1"/>
        </w:rPr>
        <w:t>a</w:t>
      </w:r>
      <w:r>
        <w:rPr>
          <w:spacing w:val="1"/>
        </w:rPr>
        <w:t>t</w:t>
      </w:r>
      <w:r>
        <w:rPr>
          <w:spacing w:val="-2"/>
        </w:rPr>
        <w:t>i</w:t>
      </w:r>
      <w:r>
        <w:rPr>
          <w:spacing w:val="-1"/>
        </w:rPr>
        <w:t>n</w:t>
      </w:r>
      <w:r>
        <w:rPr>
          <w:spacing w:val="-2"/>
        </w:rPr>
        <w:t>i</w:t>
      </w:r>
      <w:r>
        <w:t>b did not m</w:t>
      </w:r>
      <w:r>
        <w:rPr>
          <w:spacing w:val="-1"/>
        </w:rPr>
        <w:t>e</w:t>
      </w:r>
      <w:r>
        <w:rPr>
          <w:spacing w:val="-3"/>
        </w:rPr>
        <w:t>e</w:t>
      </w:r>
      <w:r>
        <w:rPr>
          <w:spacing w:val="1"/>
        </w:rPr>
        <w:t>t</w:t>
      </w:r>
      <w:r>
        <w:rPr>
          <w:spacing w:val="-2"/>
        </w:rPr>
        <w:t xml:space="preserve"> </w:t>
      </w:r>
      <w:r>
        <w:rPr>
          <w:spacing w:val="1"/>
        </w:rPr>
        <w:t>t</w:t>
      </w:r>
      <w:r>
        <w:rPr>
          <w:spacing w:val="-1"/>
        </w:rPr>
        <w:t>h</w:t>
      </w:r>
      <w:r>
        <w:t>e</w:t>
      </w:r>
      <w:r>
        <w:rPr>
          <w:spacing w:val="-2"/>
        </w:rPr>
        <w:t xml:space="preserve"> </w:t>
      </w:r>
      <w:r>
        <w:t>cr</w:t>
      </w:r>
      <w:r>
        <w:rPr>
          <w:spacing w:val="-2"/>
        </w:rPr>
        <w:t>i</w:t>
      </w:r>
      <w:r>
        <w:rPr>
          <w:spacing w:val="1"/>
        </w:rPr>
        <w:t>t</w:t>
      </w:r>
      <w:r>
        <w:rPr>
          <w:spacing w:val="-3"/>
        </w:rPr>
        <w:t>e</w:t>
      </w:r>
      <w:r>
        <w:t>r</w:t>
      </w:r>
      <w:r>
        <w:rPr>
          <w:spacing w:val="-2"/>
        </w:rPr>
        <w:t>i</w:t>
      </w:r>
      <w:r>
        <w:t>a</w:t>
      </w:r>
      <w:r>
        <w:rPr>
          <w:spacing w:val="-2"/>
        </w:rPr>
        <w:t xml:space="preserve"> </w:t>
      </w:r>
      <w:r>
        <w:rPr>
          <w:spacing w:val="1"/>
        </w:rPr>
        <w:t>f</w:t>
      </w:r>
      <w:r>
        <w:rPr>
          <w:spacing w:val="-1"/>
        </w:rPr>
        <w:t>o</w:t>
      </w:r>
      <w:r>
        <w:t>r</w:t>
      </w:r>
      <w:r>
        <w:rPr>
          <w:spacing w:val="-1"/>
        </w:rPr>
        <w:t xml:space="preserve"> </w:t>
      </w:r>
      <w:r>
        <w:t xml:space="preserve">a </w:t>
      </w:r>
      <w:r>
        <w:rPr>
          <w:spacing w:val="-1"/>
        </w:rPr>
        <w:t>SPA</w:t>
      </w:r>
      <w:r>
        <w:t>. Therefore, the PBAC rejected the minor re-submission.</w:t>
      </w:r>
    </w:p>
    <w:p w:rsidR="00E959F1" w:rsidRDefault="00E959F1" w:rsidP="00E959F1"/>
    <w:p w:rsidR="00E959F1" w:rsidRPr="00F338FF" w:rsidRDefault="00E959F1" w:rsidP="0090717E">
      <w:pPr>
        <w:pStyle w:val="ListParagraph"/>
        <w:widowControl/>
        <w:numPr>
          <w:ilvl w:val="1"/>
          <w:numId w:val="1"/>
        </w:numPr>
        <w:rPr>
          <w:szCs w:val="22"/>
        </w:rPr>
      </w:pPr>
      <w:r w:rsidRPr="004A3F8A">
        <w:t xml:space="preserve">The </w:t>
      </w:r>
      <w:r>
        <w:t>current re-submission</w:t>
      </w:r>
      <w:r w:rsidRPr="004A3F8A">
        <w:t xml:space="preserve"> claimed that the inability to obtain a SPA has prevented the sponsor from progress</w:t>
      </w:r>
      <w:r>
        <w:t>ing the PBS listing of afatinib. An SPA is therefore sought in a subgroup (EGFR exon 19 deletion mutation) of the population previously approved (all activating EGFR mutations) on the basis of improved clinical outcomes in this subgroup.</w:t>
      </w:r>
    </w:p>
    <w:p w:rsidR="00C31854" w:rsidRPr="00882085" w:rsidRDefault="00C31854" w:rsidP="00E20CDD"/>
    <w:p w:rsidR="00E20CDD" w:rsidRPr="00882085" w:rsidRDefault="00E20CDD" w:rsidP="00E20CDD"/>
    <w:p w:rsidR="00E20CDD" w:rsidRPr="00407F2D" w:rsidRDefault="00E20CDD" w:rsidP="00E20CDD">
      <w:pPr>
        <w:pStyle w:val="PBACHeading1"/>
      </w:pPr>
      <w:bookmarkStart w:id="4" w:name="_Toc419801407"/>
      <w:r w:rsidRPr="00407F2D">
        <w:t>Clinical place for the proposed therapy</w:t>
      </w:r>
      <w:bookmarkEnd w:id="4"/>
    </w:p>
    <w:p w:rsidR="00E20CDD" w:rsidRPr="00882085" w:rsidRDefault="00E20CDD" w:rsidP="00E20CDD">
      <w:pPr>
        <w:rPr>
          <w:szCs w:val="22"/>
        </w:rPr>
      </w:pPr>
    </w:p>
    <w:p w:rsidR="00E20CDD" w:rsidRPr="00046EB7" w:rsidRDefault="00E20CDD" w:rsidP="0090717E">
      <w:pPr>
        <w:pStyle w:val="ListParagraph"/>
        <w:widowControl/>
        <w:numPr>
          <w:ilvl w:val="1"/>
          <w:numId w:val="1"/>
        </w:numPr>
        <w:rPr>
          <w:szCs w:val="22"/>
        </w:rPr>
      </w:pPr>
      <w:r>
        <w:t xml:space="preserve">The </w:t>
      </w:r>
      <w:r w:rsidR="008A71F8">
        <w:t>re</w:t>
      </w:r>
      <w:r w:rsidR="002B40C0">
        <w:t>-submission</w:t>
      </w:r>
      <w:r>
        <w:t xml:space="preserve"> proposed that afatinib replace erlotinib or gefitinib, as a first-line or later-line therapy, for the treatment of </w:t>
      </w:r>
      <w:r>
        <w:rPr>
          <w:spacing w:val="-2"/>
        </w:rPr>
        <w:t>l</w:t>
      </w:r>
      <w:r>
        <w:rPr>
          <w:spacing w:val="-1"/>
        </w:rPr>
        <w:t>o</w:t>
      </w:r>
      <w:r>
        <w:t>c</w:t>
      </w:r>
      <w:r>
        <w:rPr>
          <w:spacing w:val="-1"/>
        </w:rPr>
        <w:t>a</w:t>
      </w:r>
      <w:r>
        <w:rPr>
          <w:spacing w:val="-2"/>
        </w:rPr>
        <w:t>ll</w:t>
      </w:r>
      <w:r>
        <w:t>y</w:t>
      </w:r>
      <w:r>
        <w:rPr>
          <w:spacing w:val="18"/>
        </w:rPr>
        <w:t xml:space="preserve"> </w:t>
      </w:r>
      <w:r>
        <w:rPr>
          <w:spacing w:val="-1"/>
        </w:rPr>
        <w:t>ad</w:t>
      </w:r>
      <w:r>
        <w:rPr>
          <w:spacing w:val="-3"/>
        </w:rPr>
        <w:t>v</w:t>
      </w:r>
      <w:r>
        <w:rPr>
          <w:spacing w:val="-1"/>
        </w:rPr>
        <w:t>an</w:t>
      </w:r>
      <w:r>
        <w:t>c</w:t>
      </w:r>
      <w:r>
        <w:rPr>
          <w:spacing w:val="-1"/>
        </w:rPr>
        <w:t>e</w:t>
      </w:r>
      <w:r>
        <w:t>d</w:t>
      </w:r>
      <w:r>
        <w:rPr>
          <w:spacing w:val="15"/>
        </w:rPr>
        <w:t xml:space="preserve"> </w:t>
      </w:r>
      <w:r>
        <w:t>(s</w:t>
      </w:r>
      <w:r>
        <w:rPr>
          <w:spacing w:val="1"/>
        </w:rPr>
        <w:t>t</w:t>
      </w:r>
      <w:r>
        <w:rPr>
          <w:spacing w:val="-1"/>
        </w:rPr>
        <w:t>a</w:t>
      </w:r>
      <w:r>
        <w:rPr>
          <w:spacing w:val="2"/>
        </w:rPr>
        <w:t>g</w:t>
      </w:r>
      <w:r>
        <w:t>e</w:t>
      </w:r>
      <w:r>
        <w:rPr>
          <w:spacing w:val="12"/>
        </w:rPr>
        <w:t xml:space="preserve"> </w:t>
      </w:r>
      <w:r>
        <w:rPr>
          <w:spacing w:val="1"/>
        </w:rPr>
        <w:t>I</w:t>
      </w:r>
      <w:r>
        <w:rPr>
          <w:spacing w:val="-2"/>
        </w:rPr>
        <w:t>I</w:t>
      </w:r>
      <w:r>
        <w:rPr>
          <w:spacing w:val="1"/>
        </w:rPr>
        <w:t>I</w:t>
      </w:r>
      <w:r>
        <w:rPr>
          <w:spacing w:val="-1"/>
        </w:rPr>
        <w:t>B</w:t>
      </w:r>
      <w:r>
        <w:t>)</w:t>
      </w:r>
      <w:r>
        <w:rPr>
          <w:spacing w:val="16"/>
        </w:rPr>
        <w:t xml:space="preserve"> </w:t>
      </w:r>
      <w:r>
        <w:rPr>
          <w:spacing w:val="-1"/>
        </w:rPr>
        <w:t>o</w:t>
      </w:r>
      <w:r>
        <w:t>r</w:t>
      </w:r>
      <w:r>
        <w:rPr>
          <w:spacing w:val="14"/>
        </w:rPr>
        <w:t xml:space="preserve"> </w:t>
      </w:r>
      <w:r>
        <w:t>m</w:t>
      </w:r>
      <w:r>
        <w:rPr>
          <w:spacing w:val="-1"/>
        </w:rPr>
        <w:t>e</w:t>
      </w:r>
      <w:r>
        <w:rPr>
          <w:spacing w:val="1"/>
        </w:rPr>
        <w:t>t</w:t>
      </w:r>
      <w:r>
        <w:rPr>
          <w:spacing w:val="-1"/>
        </w:rPr>
        <w:t>a</w:t>
      </w:r>
      <w:r>
        <w:rPr>
          <w:spacing w:val="-3"/>
        </w:rPr>
        <w:t>s</w:t>
      </w:r>
      <w:r>
        <w:rPr>
          <w:spacing w:val="1"/>
        </w:rPr>
        <w:t>t</w:t>
      </w:r>
      <w:r>
        <w:rPr>
          <w:spacing w:val="-1"/>
        </w:rPr>
        <w:t>a</w:t>
      </w:r>
      <w:r>
        <w:rPr>
          <w:spacing w:val="1"/>
        </w:rPr>
        <w:t>t</w:t>
      </w:r>
      <w:r>
        <w:rPr>
          <w:spacing w:val="-4"/>
        </w:rPr>
        <w:t>i</w:t>
      </w:r>
      <w:r>
        <w:t>c (s</w:t>
      </w:r>
      <w:r>
        <w:rPr>
          <w:spacing w:val="1"/>
        </w:rPr>
        <w:t>t</w:t>
      </w:r>
      <w:r>
        <w:rPr>
          <w:spacing w:val="-3"/>
        </w:rPr>
        <w:t>a</w:t>
      </w:r>
      <w:r>
        <w:rPr>
          <w:spacing w:val="2"/>
        </w:rPr>
        <w:t>g</w:t>
      </w:r>
      <w:r>
        <w:t>e</w:t>
      </w:r>
      <w:r>
        <w:rPr>
          <w:spacing w:val="14"/>
        </w:rPr>
        <w:t xml:space="preserve"> </w:t>
      </w:r>
      <w:r>
        <w:rPr>
          <w:spacing w:val="1"/>
        </w:rPr>
        <w:t>I</w:t>
      </w:r>
      <w:r>
        <w:rPr>
          <w:spacing w:val="-1"/>
        </w:rPr>
        <w:t>V</w:t>
      </w:r>
      <w:r>
        <w:t xml:space="preserve">) non-squamous </w:t>
      </w:r>
      <w:r>
        <w:rPr>
          <w:spacing w:val="-1"/>
        </w:rPr>
        <w:t>o</w:t>
      </w:r>
      <w:r>
        <w:t>r</w:t>
      </w:r>
      <w:r>
        <w:rPr>
          <w:spacing w:val="17"/>
        </w:rPr>
        <w:t xml:space="preserve"> </w:t>
      </w:r>
      <w:r>
        <w:rPr>
          <w:spacing w:val="-1"/>
        </w:rPr>
        <w:t>no</w:t>
      </w:r>
      <w:r>
        <w:t>t</w:t>
      </w:r>
      <w:r>
        <w:rPr>
          <w:spacing w:val="15"/>
        </w:rPr>
        <w:t xml:space="preserve"> </w:t>
      </w:r>
      <w:r>
        <w:rPr>
          <w:spacing w:val="-1"/>
        </w:rPr>
        <w:t>o</w:t>
      </w:r>
      <w:r>
        <w:rPr>
          <w:spacing w:val="1"/>
        </w:rPr>
        <w:t>t</w:t>
      </w:r>
      <w:r>
        <w:rPr>
          <w:spacing w:val="-1"/>
        </w:rPr>
        <w:t>h</w:t>
      </w:r>
      <w:r>
        <w:rPr>
          <w:spacing w:val="-3"/>
        </w:rPr>
        <w:t>e</w:t>
      </w:r>
      <w:r>
        <w:t>r</w:t>
      </w:r>
      <w:r>
        <w:rPr>
          <w:spacing w:val="-4"/>
        </w:rPr>
        <w:t>w</w:t>
      </w:r>
      <w:r>
        <w:rPr>
          <w:spacing w:val="-2"/>
        </w:rPr>
        <w:t>i</w:t>
      </w:r>
      <w:r>
        <w:t>se</w:t>
      </w:r>
      <w:r>
        <w:rPr>
          <w:spacing w:val="16"/>
        </w:rPr>
        <w:t xml:space="preserve"> </w:t>
      </w:r>
      <w:r>
        <w:rPr>
          <w:spacing w:val="2"/>
        </w:rPr>
        <w:t>s</w:t>
      </w:r>
      <w:r>
        <w:rPr>
          <w:spacing w:val="-1"/>
        </w:rPr>
        <w:t>pe</w:t>
      </w:r>
      <w:r>
        <w:t>c</w:t>
      </w:r>
      <w:r>
        <w:rPr>
          <w:spacing w:val="-2"/>
        </w:rPr>
        <w:t>i</w:t>
      </w:r>
      <w:r>
        <w:rPr>
          <w:spacing w:val="3"/>
        </w:rPr>
        <w:t>f</w:t>
      </w:r>
      <w:r>
        <w:rPr>
          <w:spacing w:val="-2"/>
        </w:rPr>
        <w:t>i</w:t>
      </w:r>
      <w:r>
        <w:rPr>
          <w:spacing w:val="-1"/>
        </w:rPr>
        <w:t>e</w:t>
      </w:r>
      <w:r>
        <w:t>d</w:t>
      </w:r>
      <w:r>
        <w:rPr>
          <w:spacing w:val="13"/>
        </w:rPr>
        <w:t xml:space="preserve"> </w:t>
      </w:r>
      <w:r>
        <w:t xml:space="preserve">NSCLC in patients with evidence of EGFR exon 19 deletions.  </w:t>
      </w:r>
      <w:r w:rsidR="001313E8" w:rsidRPr="00666F46">
        <w:t xml:space="preserve">The PBAC previously </w:t>
      </w:r>
      <w:r w:rsidR="00A80E55" w:rsidRPr="00666F46">
        <w:t xml:space="preserve">recommended </w:t>
      </w:r>
      <w:r w:rsidR="001313E8" w:rsidRPr="00666F46">
        <w:t>afatinib for the treatment of locally advanced or metastatic non-squamous or not otherwise specified NSCLC in patients with evidence of any activating EGFR mutations</w:t>
      </w:r>
      <w:r w:rsidRPr="00666F46">
        <w:t>.</w:t>
      </w:r>
    </w:p>
    <w:p w:rsidR="00046EB7" w:rsidRPr="006C1B18" w:rsidRDefault="00046EB7" w:rsidP="00046EB7">
      <w:pPr>
        <w:widowControl/>
        <w:rPr>
          <w:szCs w:val="22"/>
        </w:rPr>
      </w:pPr>
    </w:p>
    <w:p w:rsidR="00DB5CA7" w:rsidRPr="00046EB7" w:rsidRDefault="00DB5CA7" w:rsidP="0090717E">
      <w:pPr>
        <w:pStyle w:val="ListParagraph"/>
        <w:widowControl/>
        <w:numPr>
          <w:ilvl w:val="1"/>
          <w:numId w:val="1"/>
        </w:numPr>
        <w:rPr>
          <w:szCs w:val="22"/>
        </w:rPr>
      </w:pPr>
      <w:r w:rsidRPr="00DB5CA7">
        <w:t>Restricting afatinib to patients with exon 19 deletion mutations is not consistent with previous recommendations by the PBAC, MSAC and US guidelines (October 2012 EGFR/TKI stakeholder meeting and Paragraph 2.3: Consolidated July 2013 PBAC Minutes) which note that the definition of the biomarker should not be restricted to specific activating EGFR mutations (i</w:t>
      </w:r>
      <w:r>
        <w:t xml:space="preserve">.e. L858R or exon 19 deletions). </w:t>
      </w:r>
      <w:r w:rsidRPr="00DB5CA7">
        <w:t>The Pre-Sub-Committee Response (PSCR) acknowledged that the proposed</w:t>
      </w:r>
      <w:r w:rsidR="006C1B18">
        <w:t xml:space="preserve"> population</w:t>
      </w:r>
      <w:r w:rsidRPr="00DB5CA7">
        <w:t xml:space="preserve"> is a subgroup of the PBAC-recommended </w:t>
      </w:r>
      <w:r w:rsidR="006C1B18">
        <w:t>population</w:t>
      </w:r>
      <w:r w:rsidRPr="00DB5CA7">
        <w:t>, stating that it has been proposed to “</w:t>
      </w:r>
      <w:r w:rsidRPr="00046EB7">
        <w:rPr>
          <w:iCs/>
        </w:rPr>
        <w:t>present a solution to the SPA issue that is preventing the listing of afatinib”.</w:t>
      </w:r>
    </w:p>
    <w:p w:rsidR="00E20CDD" w:rsidRPr="002C2775" w:rsidRDefault="00E20CDD" w:rsidP="00E20CDD">
      <w:pPr>
        <w:widowControl/>
        <w:rPr>
          <w:szCs w:val="22"/>
        </w:rPr>
      </w:pPr>
    </w:p>
    <w:p w:rsidR="00C31854" w:rsidRDefault="00C31854" w:rsidP="00C31854">
      <w:pPr>
        <w:pStyle w:val="ListParagraph"/>
        <w:ind w:left="709"/>
        <w:rPr>
          <w:i/>
          <w:szCs w:val="22"/>
        </w:rPr>
      </w:pPr>
      <w:r w:rsidRPr="00032510">
        <w:rPr>
          <w:i/>
          <w:szCs w:val="22"/>
        </w:rPr>
        <w:t>For more detail on PBAC’s view, see section 7 “PBAC outcome”</w:t>
      </w:r>
    </w:p>
    <w:p w:rsidR="00E20CDD" w:rsidRDefault="00E20CDD" w:rsidP="00E20CDD">
      <w:pPr>
        <w:pStyle w:val="Header"/>
        <w:rPr>
          <w:szCs w:val="22"/>
        </w:rPr>
      </w:pPr>
    </w:p>
    <w:p w:rsidR="006C1B18" w:rsidRPr="00882085" w:rsidRDefault="006C1B18" w:rsidP="00E20CDD">
      <w:pPr>
        <w:pStyle w:val="Header"/>
        <w:rPr>
          <w:szCs w:val="22"/>
        </w:rPr>
      </w:pPr>
    </w:p>
    <w:p w:rsidR="00E20CDD" w:rsidRPr="00407F2D" w:rsidRDefault="00E20CDD" w:rsidP="00E20CDD">
      <w:pPr>
        <w:pStyle w:val="PBACHeading1"/>
      </w:pPr>
      <w:bookmarkStart w:id="5" w:name="_Toc419801408"/>
      <w:r w:rsidRPr="00407F2D">
        <w:t>Comparator</w:t>
      </w:r>
      <w:bookmarkEnd w:id="5"/>
    </w:p>
    <w:p w:rsidR="00E20CDD" w:rsidRPr="00882085" w:rsidRDefault="00E20CDD" w:rsidP="00E20CDD"/>
    <w:p w:rsidR="00E20CDD" w:rsidRPr="00B5592F" w:rsidRDefault="00E20CDD" w:rsidP="0090717E">
      <w:pPr>
        <w:pStyle w:val="ListParagraph"/>
        <w:widowControl/>
        <w:numPr>
          <w:ilvl w:val="1"/>
          <w:numId w:val="1"/>
        </w:numPr>
        <w:rPr>
          <w:szCs w:val="22"/>
        </w:rPr>
      </w:pPr>
      <w:r>
        <w:t>Erlotinib and gefitinib</w:t>
      </w:r>
      <w:r w:rsidRPr="00666F46">
        <w:t xml:space="preserve"> are </w:t>
      </w:r>
      <w:r w:rsidR="006C1B18">
        <w:t>each</w:t>
      </w:r>
      <w:r w:rsidRPr="00666F46">
        <w:t xml:space="preserve"> appropriate comparators.</w:t>
      </w:r>
    </w:p>
    <w:p w:rsidR="00E20CDD" w:rsidRPr="00A80E55" w:rsidRDefault="00E20CDD" w:rsidP="00E20CDD">
      <w:pPr>
        <w:widowControl/>
        <w:rPr>
          <w:szCs w:val="22"/>
        </w:rPr>
      </w:pPr>
    </w:p>
    <w:p w:rsidR="00E20CDD" w:rsidRPr="00A80E55" w:rsidRDefault="00E20CDD" w:rsidP="0090717E">
      <w:pPr>
        <w:pStyle w:val="ListParagraph"/>
        <w:widowControl/>
        <w:numPr>
          <w:ilvl w:val="1"/>
          <w:numId w:val="1"/>
        </w:numPr>
        <w:rPr>
          <w:szCs w:val="22"/>
        </w:rPr>
      </w:pPr>
      <w:r>
        <w:rPr>
          <w:spacing w:val="1"/>
        </w:rPr>
        <w:t>G</w:t>
      </w:r>
      <w:r>
        <w:rPr>
          <w:spacing w:val="-3"/>
        </w:rPr>
        <w:t>e</w:t>
      </w:r>
      <w:r>
        <w:rPr>
          <w:spacing w:val="3"/>
        </w:rPr>
        <w:t>f</w:t>
      </w:r>
      <w:r>
        <w:rPr>
          <w:spacing w:val="-2"/>
        </w:rPr>
        <w:t>i</w:t>
      </w:r>
      <w:r>
        <w:rPr>
          <w:spacing w:val="1"/>
        </w:rPr>
        <w:t>t</w:t>
      </w:r>
      <w:r>
        <w:rPr>
          <w:spacing w:val="-2"/>
        </w:rPr>
        <w:t>i</w:t>
      </w:r>
      <w:r>
        <w:rPr>
          <w:spacing w:val="-1"/>
        </w:rPr>
        <w:t>n</w:t>
      </w:r>
      <w:r>
        <w:rPr>
          <w:spacing w:val="-2"/>
        </w:rPr>
        <w:t>i</w:t>
      </w:r>
      <w:r>
        <w:t>b</w:t>
      </w:r>
      <w:r>
        <w:rPr>
          <w:spacing w:val="2"/>
        </w:rPr>
        <w:t xml:space="preserve"> </w:t>
      </w:r>
      <w:r>
        <w:rPr>
          <w:spacing w:val="-1"/>
        </w:rPr>
        <w:t>an</w:t>
      </w:r>
      <w:r>
        <w:t>d</w:t>
      </w:r>
      <w:r>
        <w:rPr>
          <w:spacing w:val="2"/>
        </w:rPr>
        <w:t xml:space="preserve"> </w:t>
      </w:r>
      <w:r>
        <w:rPr>
          <w:spacing w:val="-1"/>
        </w:rPr>
        <w:t>e</w:t>
      </w:r>
      <w:r>
        <w:t>r</w:t>
      </w:r>
      <w:r>
        <w:rPr>
          <w:spacing w:val="-2"/>
        </w:rPr>
        <w:t>l</w:t>
      </w:r>
      <w:r>
        <w:rPr>
          <w:spacing w:val="-1"/>
        </w:rPr>
        <w:t>o</w:t>
      </w:r>
      <w:r>
        <w:rPr>
          <w:spacing w:val="1"/>
        </w:rPr>
        <w:t>t</w:t>
      </w:r>
      <w:r>
        <w:rPr>
          <w:spacing w:val="-2"/>
        </w:rPr>
        <w:t>i</w:t>
      </w:r>
      <w:r>
        <w:rPr>
          <w:spacing w:val="-1"/>
        </w:rPr>
        <w:t>n</w:t>
      </w:r>
      <w:r>
        <w:rPr>
          <w:spacing w:val="-2"/>
        </w:rPr>
        <w:t>i</w:t>
      </w:r>
      <w:r>
        <w:t>b</w:t>
      </w:r>
      <w:r>
        <w:rPr>
          <w:spacing w:val="2"/>
        </w:rPr>
        <w:t xml:space="preserve"> </w:t>
      </w:r>
      <w:r>
        <w:rPr>
          <w:spacing w:val="-4"/>
        </w:rPr>
        <w:t>w</w:t>
      </w:r>
      <w:r>
        <w:rPr>
          <w:spacing w:val="-1"/>
        </w:rPr>
        <w:t>e</w:t>
      </w:r>
      <w:r>
        <w:t>re</w:t>
      </w:r>
      <w:r>
        <w:rPr>
          <w:spacing w:val="2"/>
        </w:rPr>
        <w:t xml:space="preserve"> </w:t>
      </w:r>
      <w:r>
        <w:rPr>
          <w:spacing w:val="-1"/>
        </w:rPr>
        <w:t>bo</w:t>
      </w:r>
      <w:r>
        <w:rPr>
          <w:spacing w:val="1"/>
        </w:rPr>
        <w:t>t</w:t>
      </w:r>
      <w:r>
        <w:t>h</w:t>
      </w:r>
      <w:r>
        <w:rPr>
          <w:spacing w:val="2"/>
        </w:rPr>
        <w:t xml:space="preserve"> </w:t>
      </w:r>
      <w:r>
        <w:rPr>
          <w:spacing w:val="-1"/>
        </w:rPr>
        <w:t>PB</w:t>
      </w:r>
      <w:r>
        <w:t>S</w:t>
      </w:r>
      <w:r w:rsidR="00A80E55">
        <w:rPr>
          <w:spacing w:val="3"/>
        </w:rPr>
        <w:t>-</w:t>
      </w:r>
      <w:r>
        <w:rPr>
          <w:spacing w:val="-2"/>
        </w:rPr>
        <w:t>li</w:t>
      </w:r>
      <w:r>
        <w:t>s</w:t>
      </w:r>
      <w:r>
        <w:rPr>
          <w:spacing w:val="1"/>
        </w:rPr>
        <w:t>t</w:t>
      </w:r>
      <w:r>
        <w:rPr>
          <w:spacing w:val="-1"/>
        </w:rPr>
        <w:t>e</w:t>
      </w:r>
      <w:r>
        <w:t>d</w:t>
      </w:r>
      <w:r>
        <w:rPr>
          <w:spacing w:val="2"/>
        </w:rPr>
        <w:t xml:space="preserve"> </w:t>
      </w:r>
      <w:r w:rsidR="00BA258E">
        <w:rPr>
          <w:spacing w:val="2"/>
        </w:rPr>
        <w:t xml:space="preserve">on a cost-minimisation basis </w:t>
      </w:r>
      <w:r>
        <w:rPr>
          <w:spacing w:val="1"/>
        </w:rPr>
        <w:t>i</w:t>
      </w:r>
      <w:r>
        <w:t>n</w:t>
      </w:r>
      <w:r>
        <w:rPr>
          <w:spacing w:val="2"/>
        </w:rPr>
        <w:t xml:space="preserve"> </w:t>
      </w:r>
      <w:r>
        <w:t>J</w:t>
      </w:r>
      <w:r>
        <w:rPr>
          <w:spacing w:val="-1"/>
        </w:rPr>
        <w:t>anua</w:t>
      </w:r>
      <w:r>
        <w:t>ry</w:t>
      </w:r>
      <w:r>
        <w:rPr>
          <w:spacing w:val="61"/>
        </w:rPr>
        <w:t xml:space="preserve"> </w:t>
      </w:r>
      <w:r>
        <w:rPr>
          <w:spacing w:val="-1"/>
        </w:rPr>
        <w:t>201</w:t>
      </w:r>
      <w:r>
        <w:t>4</w:t>
      </w:r>
      <w:r>
        <w:rPr>
          <w:spacing w:val="2"/>
        </w:rPr>
        <w:t xml:space="preserve"> </w:t>
      </w:r>
      <w:r>
        <w:rPr>
          <w:spacing w:val="3"/>
        </w:rPr>
        <w:t>f</w:t>
      </w:r>
      <w:r>
        <w:rPr>
          <w:spacing w:val="-1"/>
        </w:rPr>
        <w:t>o</w:t>
      </w:r>
      <w:r>
        <w:t xml:space="preserve">r </w:t>
      </w:r>
      <w:r>
        <w:rPr>
          <w:spacing w:val="1"/>
        </w:rPr>
        <w:t>t</w:t>
      </w:r>
      <w:r>
        <w:rPr>
          <w:spacing w:val="-3"/>
        </w:rPr>
        <w:t>h</w:t>
      </w:r>
      <w:r>
        <w:t>e</w:t>
      </w:r>
      <w:r>
        <w:rPr>
          <w:spacing w:val="2"/>
        </w:rPr>
        <w:t xml:space="preserve"> </w:t>
      </w:r>
      <w:r>
        <w:rPr>
          <w:spacing w:val="-2"/>
        </w:rPr>
        <w:t>i</w:t>
      </w:r>
      <w:r>
        <w:rPr>
          <w:spacing w:val="-1"/>
        </w:rPr>
        <w:t>n</w:t>
      </w:r>
      <w:r>
        <w:rPr>
          <w:spacing w:val="-2"/>
        </w:rPr>
        <w:t>i</w:t>
      </w:r>
      <w:r>
        <w:rPr>
          <w:spacing w:val="1"/>
        </w:rPr>
        <w:t>t</w:t>
      </w:r>
      <w:r>
        <w:rPr>
          <w:spacing w:val="-2"/>
        </w:rPr>
        <w:t>i</w:t>
      </w:r>
      <w:r>
        <w:rPr>
          <w:spacing w:val="-1"/>
        </w:rPr>
        <w:t>a</w:t>
      </w:r>
      <w:r>
        <w:t>l</w:t>
      </w:r>
      <w:r>
        <w:rPr>
          <w:spacing w:val="1"/>
        </w:rPr>
        <w:t xml:space="preserve"> </w:t>
      </w:r>
      <w:r>
        <w:rPr>
          <w:spacing w:val="-1"/>
        </w:rPr>
        <w:t xml:space="preserve">and </w:t>
      </w:r>
      <w:r>
        <w:t>c</w:t>
      </w:r>
      <w:r>
        <w:rPr>
          <w:spacing w:val="-1"/>
        </w:rPr>
        <w:t>on</w:t>
      </w:r>
      <w:r>
        <w:rPr>
          <w:spacing w:val="1"/>
        </w:rPr>
        <w:t>t</w:t>
      </w:r>
      <w:r>
        <w:rPr>
          <w:spacing w:val="-2"/>
        </w:rPr>
        <w:t>i</w:t>
      </w:r>
      <w:r>
        <w:rPr>
          <w:spacing w:val="-1"/>
        </w:rPr>
        <w:t>nu</w:t>
      </w:r>
      <w:r>
        <w:rPr>
          <w:spacing w:val="-2"/>
        </w:rPr>
        <w:t>i</w:t>
      </w:r>
      <w:r>
        <w:rPr>
          <w:spacing w:val="-1"/>
        </w:rPr>
        <w:t>n</w:t>
      </w:r>
      <w:r>
        <w:t>g</w:t>
      </w:r>
      <w:r>
        <w:rPr>
          <w:spacing w:val="17"/>
        </w:rPr>
        <w:t xml:space="preserve"> </w:t>
      </w:r>
      <w:r>
        <w:rPr>
          <w:spacing w:val="-2"/>
        </w:rPr>
        <w:t>t</w:t>
      </w:r>
      <w:r>
        <w:t>r</w:t>
      </w:r>
      <w:r>
        <w:rPr>
          <w:spacing w:val="-1"/>
        </w:rPr>
        <w:t>ea</w:t>
      </w:r>
      <w:r>
        <w:rPr>
          <w:spacing w:val="-2"/>
        </w:rPr>
        <w:t>t</w:t>
      </w:r>
      <w:r>
        <w:t>m</w:t>
      </w:r>
      <w:r>
        <w:rPr>
          <w:spacing w:val="-1"/>
        </w:rPr>
        <w:t>e</w:t>
      </w:r>
      <w:r>
        <w:rPr>
          <w:spacing w:val="-3"/>
        </w:rPr>
        <w:t>n</w:t>
      </w:r>
      <w:r>
        <w:rPr>
          <w:spacing w:val="1"/>
        </w:rPr>
        <w:t>t</w:t>
      </w:r>
      <w:r>
        <w:t>,</w:t>
      </w:r>
      <w:r>
        <w:rPr>
          <w:spacing w:val="16"/>
        </w:rPr>
        <w:t xml:space="preserve"> </w:t>
      </w:r>
      <w:r>
        <w:rPr>
          <w:spacing w:val="-1"/>
        </w:rPr>
        <w:t>a</w:t>
      </w:r>
      <w:r>
        <w:t>s</w:t>
      </w:r>
      <w:r>
        <w:rPr>
          <w:spacing w:val="13"/>
        </w:rPr>
        <w:t xml:space="preserve"> </w:t>
      </w:r>
      <w:r>
        <w:t>m</w:t>
      </w:r>
      <w:r>
        <w:rPr>
          <w:spacing w:val="-1"/>
        </w:rPr>
        <w:t>ono</w:t>
      </w:r>
      <w:r>
        <w:rPr>
          <w:spacing w:val="1"/>
        </w:rPr>
        <w:t>t</w:t>
      </w:r>
      <w:r>
        <w:rPr>
          <w:spacing w:val="-1"/>
        </w:rPr>
        <w:t>h</w:t>
      </w:r>
      <w:r>
        <w:rPr>
          <w:spacing w:val="-3"/>
        </w:rPr>
        <w:t>e</w:t>
      </w:r>
      <w:r>
        <w:t>r</w:t>
      </w:r>
      <w:r>
        <w:rPr>
          <w:spacing w:val="-1"/>
        </w:rPr>
        <w:t>ap</w:t>
      </w:r>
      <w:r>
        <w:rPr>
          <w:spacing w:val="-3"/>
        </w:rPr>
        <w:t>y</w:t>
      </w:r>
      <w:r>
        <w:t>,</w:t>
      </w:r>
      <w:r>
        <w:rPr>
          <w:spacing w:val="16"/>
        </w:rPr>
        <w:t xml:space="preserve"> </w:t>
      </w:r>
      <w:r>
        <w:rPr>
          <w:spacing w:val="-3"/>
        </w:rPr>
        <w:t>o</w:t>
      </w:r>
      <w:r>
        <w:t>f</w:t>
      </w:r>
      <w:r>
        <w:rPr>
          <w:spacing w:val="19"/>
        </w:rPr>
        <w:t xml:space="preserve"> </w:t>
      </w:r>
      <w:r>
        <w:rPr>
          <w:spacing w:val="-2"/>
        </w:rPr>
        <w:t>l</w:t>
      </w:r>
      <w:r>
        <w:rPr>
          <w:spacing w:val="-1"/>
        </w:rPr>
        <w:t>o</w:t>
      </w:r>
      <w:r>
        <w:t>c</w:t>
      </w:r>
      <w:r>
        <w:rPr>
          <w:spacing w:val="-1"/>
        </w:rPr>
        <w:t>a</w:t>
      </w:r>
      <w:r>
        <w:rPr>
          <w:spacing w:val="-2"/>
        </w:rPr>
        <w:t>ll</w:t>
      </w:r>
      <w:r>
        <w:t>y</w:t>
      </w:r>
      <w:r>
        <w:rPr>
          <w:spacing w:val="18"/>
        </w:rPr>
        <w:t xml:space="preserve"> </w:t>
      </w:r>
      <w:r>
        <w:rPr>
          <w:spacing w:val="-1"/>
        </w:rPr>
        <w:t>ad</w:t>
      </w:r>
      <w:r>
        <w:rPr>
          <w:spacing w:val="-3"/>
        </w:rPr>
        <w:t>v</w:t>
      </w:r>
      <w:r>
        <w:rPr>
          <w:spacing w:val="-1"/>
        </w:rPr>
        <w:t>an</w:t>
      </w:r>
      <w:r>
        <w:t>c</w:t>
      </w:r>
      <w:r>
        <w:rPr>
          <w:spacing w:val="-1"/>
        </w:rPr>
        <w:t>e</w:t>
      </w:r>
      <w:r>
        <w:t>d</w:t>
      </w:r>
      <w:r>
        <w:rPr>
          <w:spacing w:val="15"/>
        </w:rPr>
        <w:t xml:space="preserve"> </w:t>
      </w:r>
      <w:r>
        <w:t>(s</w:t>
      </w:r>
      <w:r>
        <w:rPr>
          <w:spacing w:val="1"/>
        </w:rPr>
        <w:t>t</w:t>
      </w:r>
      <w:r>
        <w:rPr>
          <w:spacing w:val="-1"/>
        </w:rPr>
        <w:t>a</w:t>
      </w:r>
      <w:r>
        <w:rPr>
          <w:spacing w:val="2"/>
        </w:rPr>
        <w:t>g</w:t>
      </w:r>
      <w:r>
        <w:t>e</w:t>
      </w:r>
      <w:r>
        <w:rPr>
          <w:spacing w:val="12"/>
        </w:rPr>
        <w:t xml:space="preserve"> </w:t>
      </w:r>
      <w:r>
        <w:rPr>
          <w:spacing w:val="1"/>
        </w:rPr>
        <w:t>I</w:t>
      </w:r>
      <w:r>
        <w:rPr>
          <w:spacing w:val="-2"/>
        </w:rPr>
        <w:t>I</w:t>
      </w:r>
      <w:r>
        <w:rPr>
          <w:spacing w:val="1"/>
        </w:rPr>
        <w:t>I</w:t>
      </w:r>
      <w:r>
        <w:rPr>
          <w:spacing w:val="-1"/>
        </w:rPr>
        <w:t>B</w:t>
      </w:r>
      <w:r>
        <w:t>)</w:t>
      </w:r>
      <w:r>
        <w:rPr>
          <w:spacing w:val="16"/>
        </w:rPr>
        <w:t xml:space="preserve"> </w:t>
      </w:r>
      <w:r>
        <w:rPr>
          <w:spacing w:val="-1"/>
        </w:rPr>
        <w:t>o</w:t>
      </w:r>
      <w:r>
        <w:t>r</w:t>
      </w:r>
      <w:r>
        <w:rPr>
          <w:spacing w:val="14"/>
        </w:rPr>
        <w:t xml:space="preserve"> </w:t>
      </w:r>
      <w:r>
        <w:t>m</w:t>
      </w:r>
      <w:r>
        <w:rPr>
          <w:spacing w:val="-1"/>
        </w:rPr>
        <w:t>e</w:t>
      </w:r>
      <w:r>
        <w:rPr>
          <w:spacing w:val="1"/>
        </w:rPr>
        <w:t>t</w:t>
      </w:r>
      <w:r>
        <w:rPr>
          <w:spacing w:val="-1"/>
        </w:rPr>
        <w:t>a</w:t>
      </w:r>
      <w:r>
        <w:rPr>
          <w:spacing w:val="-3"/>
        </w:rPr>
        <w:t>s</w:t>
      </w:r>
      <w:r>
        <w:rPr>
          <w:spacing w:val="1"/>
        </w:rPr>
        <w:t>t</w:t>
      </w:r>
      <w:r>
        <w:rPr>
          <w:spacing w:val="-1"/>
        </w:rPr>
        <w:t>a</w:t>
      </w:r>
      <w:r>
        <w:rPr>
          <w:spacing w:val="1"/>
        </w:rPr>
        <w:t>t</w:t>
      </w:r>
      <w:r>
        <w:rPr>
          <w:spacing w:val="-4"/>
        </w:rPr>
        <w:t>i</w:t>
      </w:r>
      <w:r>
        <w:t>c (s</w:t>
      </w:r>
      <w:r>
        <w:rPr>
          <w:spacing w:val="1"/>
        </w:rPr>
        <w:t>t</w:t>
      </w:r>
      <w:r>
        <w:rPr>
          <w:spacing w:val="-3"/>
        </w:rPr>
        <w:t>a</w:t>
      </w:r>
      <w:r>
        <w:rPr>
          <w:spacing w:val="2"/>
        </w:rPr>
        <w:t>g</w:t>
      </w:r>
      <w:r>
        <w:t>e</w:t>
      </w:r>
      <w:r>
        <w:rPr>
          <w:spacing w:val="14"/>
        </w:rPr>
        <w:t xml:space="preserve"> </w:t>
      </w:r>
      <w:r>
        <w:rPr>
          <w:spacing w:val="1"/>
        </w:rPr>
        <w:t>I</w:t>
      </w:r>
      <w:r>
        <w:rPr>
          <w:spacing w:val="-1"/>
        </w:rPr>
        <w:t>V</w:t>
      </w:r>
      <w:r>
        <w:t>)</w:t>
      </w:r>
      <w:r>
        <w:rPr>
          <w:spacing w:val="17"/>
        </w:rPr>
        <w:t xml:space="preserve"> </w:t>
      </w:r>
      <w:r>
        <w:rPr>
          <w:spacing w:val="-1"/>
        </w:rPr>
        <w:t>no</w:t>
      </w:r>
      <w:r>
        <w:rPr>
          <w:spacing w:val="-3"/>
        </w:rPr>
        <w:t>n</w:t>
      </w:r>
      <w:r>
        <w:t>-</w:t>
      </w:r>
      <w:r>
        <w:rPr>
          <w:spacing w:val="-3"/>
        </w:rPr>
        <w:t>s</w:t>
      </w:r>
      <w:r>
        <w:rPr>
          <w:spacing w:val="2"/>
        </w:rPr>
        <w:t>q</w:t>
      </w:r>
      <w:r>
        <w:rPr>
          <w:spacing w:val="-1"/>
        </w:rPr>
        <w:t>u</w:t>
      </w:r>
      <w:r>
        <w:rPr>
          <w:spacing w:val="-3"/>
        </w:rPr>
        <w:t>a</w:t>
      </w:r>
      <w:r>
        <w:t>m</w:t>
      </w:r>
      <w:r>
        <w:rPr>
          <w:spacing w:val="-3"/>
        </w:rPr>
        <w:t>o</w:t>
      </w:r>
      <w:r>
        <w:rPr>
          <w:spacing w:val="-1"/>
        </w:rPr>
        <w:t>u</w:t>
      </w:r>
      <w:r>
        <w:t>s</w:t>
      </w:r>
      <w:r>
        <w:rPr>
          <w:spacing w:val="16"/>
        </w:rPr>
        <w:t xml:space="preserve"> </w:t>
      </w:r>
      <w:r>
        <w:rPr>
          <w:spacing w:val="-1"/>
        </w:rPr>
        <w:t>o</w:t>
      </w:r>
      <w:r>
        <w:t>r</w:t>
      </w:r>
      <w:r>
        <w:rPr>
          <w:spacing w:val="17"/>
        </w:rPr>
        <w:t xml:space="preserve"> </w:t>
      </w:r>
      <w:r>
        <w:rPr>
          <w:spacing w:val="-1"/>
        </w:rPr>
        <w:t>no</w:t>
      </w:r>
      <w:r>
        <w:t>t</w:t>
      </w:r>
      <w:r>
        <w:rPr>
          <w:spacing w:val="15"/>
        </w:rPr>
        <w:t xml:space="preserve"> </w:t>
      </w:r>
      <w:r>
        <w:rPr>
          <w:spacing w:val="-1"/>
        </w:rPr>
        <w:t>o</w:t>
      </w:r>
      <w:r>
        <w:rPr>
          <w:spacing w:val="1"/>
        </w:rPr>
        <w:t>t</w:t>
      </w:r>
      <w:r>
        <w:rPr>
          <w:spacing w:val="-1"/>
        </w:rPr>
        <w:t>h</w:t>
      </w:r>
      <w:r>
        <w:rPr>
          <w:spacing w:val="-3"/>
        </w:rPr>
        <w:t>e</w:t>
      </w:r>
      <w:r>
        <w:t>r</w:t>
      </w:r>
      <w:r>
        <w:rPr>
          <w:spacing w:val="-4"/>
        </w:rPr>
        <w:t>w</w:t>
      </w:r>
      <w:r>
        <w:rPr>
          <w:spacing w:val="-2"/>
        </w:rPr>
        <w:t>i</w:t>
      </w:r>
      <w:r>
        <w:t>se</w:t>
      </w:r>
      <w:r>
        <w:rPr>
          <w:spacing w:val="16"/>
        </w:rPr>
        <w:t xml:space="preserve"> </w:t>
      </w:r>
      <w:r>
        <w:rPr>
          <w:spacing w:val="2"/>
        </w:rPr>
        <w:t>s</w:t>
      </w:r>
      <w:r>
        <w:rPr>
          <w:spacing w:val="-1"/>
        </w:rPr>
        <w:t>pe</w:t>
      </w:r>
      <w:r>
        <w:t>c</w:t>
      </w:r>
      <w:r>
        <w:rPr>
          <w:spacing w:val="-2"/>
        </w:rPr>
        <w:t>i</w:t>
      </w:r>
      <w:r>
        <w:rPr>
          <w:spacing w:val="3"/>
        </w:rPr>
        <w:t>f</w:t>
      </w:r>
      <w:r>
        <w:rPr>
          <w:spacing w:val="-2"/>
        </w:rPr>
        <w:t>i</w:t>
      </w:r>
      <w:r>
        <w:rPr>
          <w:spacing w:val="-1"/>
        </w:rPr>
        <w:t>e</w:t>
      </w:r>
      <w:r>
        <w:t>d</w:t>
      </w:r>
      <w:r>
        <w:rPr>
          <w:spacing w:val="13"/>
        </w:rPr>
        <w:t xml:space="preserve"> </w:t>
      </w:r>
      <w:r>
        <w:rPr>
          <w:spacing w:val="-2"/>
        </w:rPr>
        <w:t>N</w:t>
      </w:r>
      <w:r>
        <w:rPr>
          <w:spacing w:val="-1"/>
        </w:rPr>
        <w:t>S</w:t>
      </w:r>
      <w:r>
        <w:rPr>
          <w:spacing w:val="-2"/>
        </w:rPr>
        <w:t>C</w:t>
      </w:r>
      <w:r>
        <w:rPr>
          <w:spacing w:val="-1"/>
        </w:rPr>
        <w:t>L</w:t>
      </w:r>
      <w:r>
        <w:rPr>
          <w:spacing w:val="-2"/>
        </w:rPr>
        <w:t>C</w:t>
      </w:r>
      <w:r>
        <w:rPr>
          <w:spacing w:val="42"/>
        </w:rPr>
        <w:t xml:space="preserve"> </w:t>
      </w:r>
      <w:r>
        <w:rPr>
          <w:spacing w:val="-2"/>
        </w:rPr>
        <w:t>i</w:t>
      </w:r>
      <w:r>
        <w:t>n</w:t>
      </w:r>
      <w:r>
        <w:rPr>
          <w:spacing w:val="41"/>
        </w:rPr>
        <w:t xml:space="preserve"> </w:t>
      </w:r>
      <w:r>
        <w:rPr>
          <w:spacing w:val="-1"/>
        </w:rPr>
        <w:t>pa</w:t>
      </w:r>
      <w:r>
        <w:rPr>
          <w:spacing w:val="1"/>
        </w:rPr>
        <w:t>t</w:t>
      </w:r>
      <w:r>
        <w:rPr>
          <w:spacing w:val="-2"/>
        </w:rPr>
        <w:t>i</w:t>
      </w:r>
      <w:r>
        <w:rPr>
          <w:spacing w:val="-1"/>
        </w:rPr>
        <w:t>en</w:t>
      </w:r>
      <w:r>
        <w:rPr>
          <w:spacing w:val="1"/>
        </w:rPr>
        <w:t>t</w:t>
      </w:r>
      <w:r>
        <w:t>s</w:t>
      </w:r>
      <w:r>
        <w:rPr>
          <w:spacing w:val="41"/>
        </w:rPr>
        <w:t xml:space="preserve"> </w:t>
      </w:r>
      <w:r>
        <w:rPr>
          <w:spacing w:val="-4"/>
        </w:rPr>
        <w:t>w</w:t>
      </w:r>
      <w:r>
        <w:rPr>
          <w:spacing w:val="-2"/>
        </w:rPr>
        <w:t>i</w:t>
      </w:r>
      <w:r>
        <w:rPr>
          <w:spacing w:val="1"/>
        </w:rPr>
        <w:t>t</w:t>
      </w:r>
      <w:r>
        <w:t>h</w:t>
      </w:r>
      <w:r>
        <w:rPr>
          <w:spacing w:val="41"/>
        </w:rPr>
        <w:t xml:space="preserve"> </w:t>
      </w:r>
      <w:r>
        <w:rPr>
          <w:spacing w:val="-1"/>
        </w:rPr>
        <w:t>e</w:t>
      </w:r>
      <w:r>
        <w:t>v</w:t>
      </w:r>
      <w:r>
        <w:rPr>
          <w:spacing w:val="-2"/>
        </w:rPr>
        <w:t>i</w:t>
      </w:r>
      <w:r>
        <w:rPr>
          <w:spacing w:val="-1"/>
        </w:rPr>
        <w:t>den</w:t>
      </w:r>
      <w:r>
        <w:t>ce</w:t>
      </w:r>
      <w:r>
        <w:rPr>
          <w:spacing w:val="41"/>
        </w:rPr>
        <w:t xml:space="preserve"> </w:t>
      </w:r>
      <w:r>
        <w:rPr>
          <w:spacing w:val="1"/>
        </w:rPr>
        <w:t>t</w:t>
      </w:r>
      <w:r>
        <w:rPr>
          <w:spacing w:val="-1"/>
        </w:rPr>
        <w:t>ha</w:t>
      </w:r>
      <w:r>
        <w:t>t</w:t>
      </w:r>
      <w:r>
        <w:rPr>
          <w:spacing w:val="43"/>
        </w:rPr>
        <w:t xml:space="preserve"> </w:t>
      </w:r>
      <w:r>
        <w:rPr>
          <w:spacing w:val="1"/>
        </w:rPr>
        <w:t>t</w:t>
      </w:r>
      <w:r>
        <w:rPr>
          <w:spacing w:val="-1"/>
        </w:rPr>
        <w:t>h</w:t>
      </w:r>
      <w:r>
        <w:t>e</w:t>
      </w:r>
      <w:r>
        <w:rPr>
          <w:spacing w:val="41"/>
        </w:rPr>
        <w:t xml:space="preserve"> </w:t>
      </w:r>
      <w:r>
        <w:rPr>
          <w:spacing w:val="1"/>
        </w:rPr>
        <w:t>t</w:t>
      </w:r>
      <w:r>
        <w:rPr>
          <w:spacing w:val="-1"/>
        </w:rPr>
        <w:t>u</w:t>
      </w:r>
      <w:r>
        <w:t>m</w:t>
      </w:r>
      <w:r>
        <w:rPr>
          <w:spacing w:val="-1"/>
        </w:rPr>
        <w:t>o</w:t>
      </w:r>
      <w:r>
        <w:rPr>
          <w:spacing w:val="-3"/>
        </w:rPr>
        <w:t>u</w:t>
      </w:r>
      <w:r>
        <w:t>r</w:t>
      </w:r>
      <w:r>
        <w:rPr>
          <w:spacing w:val="42"/>
        </w:rPr>
        <w:t xml:space="preserve"> </w:t>
      </w:r>
      <w:r>
        <w:rPr>
          <w:spacing w:val="-1"/>
        </w:rPr>
        <w:t>ha</w:t>
      </w:r>
      <w:r>
        <w:t>r</w:t>
      </w:r>
      <w:r>
        <w:rPr>
          <w:spacing w:val="-1"/>
        </w:rPr>
        <w:t>bo</w:t>
      </w:r>
      <w:r>
        <w:rPr>
          <w:spacing w:val="-3"/>
        </w:rPr>
        <w:t>u</w:t>
      </w:r>
      <w:r>
        <w:t>rs</w:t>
      </w:r>
      <w:r>
        <w:rPr>
          <w:spacing w:val="41"/>
        </w:rPr>
        <w:t xml:space="preserve"> </w:t>
      </w:r>
      <w:r>
        <w:rPr>
          <w:spacing w:val="-3"/>
        </w:rPr>
        <w:t>a</w:t>
      </w:r>
      <w:r>
        <w:t>n</w:t>
      </w:r>
      <w:r>
        <w:rPr>
          <w:spacing w:val="41"/>
        </w:rPr>
        <w:t xml:space="preserve"> </w:t>
      </w:r>
      <w:r>
        <w:rPr>
          <w:spacing w:val="-1"/>
        </w:rPr>
        <w:t>a</w:t>
      </w:r>
      <w:r>
        <w:t>c</w:t>
      </w:r>
      <w:r>
        <w:rPr>
          <w:spacing w:val="1"/>
        </w:rPr>
        <w:t>t</w:t>
      </w:r>
      <w:r>
        <w:rPr>
          <w:spacing w:val="-2"/>
        </w:rPr>
        <w:t>i</w:t>
      </w:r>
      <w:r>
        <w:rPr>
          <w:spacing w:val="-3"/>
        </w:rPr>
        <w:t>v</w:t>
      </w:r>
      <w:r>
        <w:rPr>
          <w:spacing w:val="-1"/>
        </w:rPr>
        <w:t>a</w:t>
      </w:r>
      <w:r>
        <w:rPr>
          <w:spacing w:val="1"/>
        </w:rPr>
        <w:t>t</w:t>
      </w:r>
      <w:r>
        <w:rPr>
          <w:spacing w:val="-2"/>
        </w:rPr>
        <w:t>i</w:t>
      </w:r>
      <w:r>
        <w:rPr>
          <w:spacing w:val="-1"/>
        </w:rPr>
        <w:t xml:space="preserve">ng </w:t>
      </w:r>
      <w:r>
        <w:t>m</w:t>
      </w:r>
      <w:r>
        <w:rPr>
          <w:spacing w:val="-1"/>
        </w:rPr>
        <w:t>u</w:t>
      </w:r>
      <w:r>
        <w:rPr>
          <w:spacing w:val="1"/>
        </w:rPr>
        <w:t>t</w:t>
      </w:r>
      <w:r>
        <w:rPr>
          <w:spacing w:val="-3"/>
        </w:rPr>
        <w:t>a</w:t>
      </w:r>
      <w:r>
        <w:rPr>
          <w:spacing w:val="1"/>
        </w:rPr>
        <w:t>t</w:t>
      </w:r>
      <w:r>
        <w:rPr>
          <w:spacing w:val="-2"/>
        </w:rPr>
        <w:t>i</w:t>
      </w:r>
      <w:r>
        <w:rPr>
          <w:spacing w:val="-1"/>
        </w:rPr>
        <w:t>on</w:t>
      </w:r>
      <w:r>
        <w:t>(s)</w:t>
      </w:r>
      <w:r>
        <w:rPr>
          <w:spacing w:val="30"/>
        </w:rPr>
        <w:t xml:space="preserve"> </w:t>
      </w:r>
      <w:r>
        <w:rPr>
          <w:spacing w:val="-3"/>
        </w:rPr>
        <w:t>o</w:t>
      </w:r>
      <w:r>
        <w:t>f</w:t>
      </w:r>
      <w:r>
        <w:rPr>
          <w:spacing w:val="33"/>
        </w:rPr>
        <w:t xml:space="preserve"> </w:t>
      </w:r>
      <w:r>
        <w:rPr>
          <w:spacing w:val="1"/>
        </w:rPr>
        <w:t>t</w:t>
      </w:r>
      <w:r>
        <w:rPr>
          <w:spacing w:val="-1"/>
        </w:rPr>
        <w:t>h</w:t>
      </w:r>
      <w:r>
        <w:t>e</w:t>
      </w:r>
      <w:r>
        <w:rPr>
          <w:spacing w:val="31"/>
        </w:rPr>
        <w:t xml:space="preserve"> </w:t>
      </w:r>
      <w:r>
        <w:rPr>
          <w:spacing w:val="-4"/>
        </w:rPr>
        <w:t>E</w:t>
      </w:r>
      <w:r>
        <w:rPr>
          <w:spacing w:val="1"/>
        </w:rPr>
        <w:t>G</w:t>
      </w:r>
      <w:r>
        <w:rPr>
          <w:spacing w:val="-3"/>
        </w:rPr>
        <w:t>F</w:t>
      </w:r>
      <w:r>
        <w:t>R</w:t>
      </w:r>
      <w:r>
        <w:rPr>
          <w:spacing w:val="31"/>
        </w:rPr>
        <w:t xml:space="preserve"> </w:t>
      </w:r>
      <w:r>
        <w:rPr>
          <w:spacing w:val="2"/>
        </w:rPr>
        <w:t>g</w:t>
      </w:r>
      <w:r>
        <w:rPr>
          <w:spacing w:val="-1"/>
        </w:rPr>
        <w:t>en</w:t>
      </w:r>
      <w:r>
        <w:t>e</w:t>
      </w:r>
      <w:r>
        <w:rPr>
          <w:spacing w:val="29"/>
        </w:rPr>
        <w:t xml:space="preserve"> </w:t>
      </w:r>
      <w:r>
        <w:t>k</w:t>
      </w:r>
      <w:r>
        <w:rPr>
          <w:spacing w:val="-1"/>
        </w:rPr>
        <w:t>no</w:t>
      </w:r>
      <w:r>
        <w:rPr>
          <w:spacing w:val="-4"/>
        </w:rPr>
        <w:t>w</w:t>
      </w:r>
      <w:r>
        <w:t>n</w:t>
      </w:r>
      <w:r>
        <w:rPr>
          <w:spacing w:val="31"/>
        </w:rPr>
        <w:t xml:space="preserve"> </w:t>
      </w:r>
      <w:r>
        <w:rPr>
          <w:spacing w:val="1"/>
        </w:rPr>
        <w:t>t</w:t>
      </w:r>
      <w:r>
        <w:t>o</w:t>
      </w:r>
      <w:r>
        <w:rPr>
          <w:spacing w:val="31"/>
        </w:rPr>
        <w:t xml:space="preserve"> </w:t>
      </w:r>
      <w:r>
        <w:t>c</w:t>
      </w:r>
      <w:r>
        <w:rPr>
          <w:spacing w:val="-1"/>
        </w:rPr>
        <w:t>o</w:t>
      </w:r>
      <w:r>
        <w:rPr>
          <w:spacing w:val="-3"/>
        </w:rPr>
        <w:t>n</w:t>
      </w:r>
      <w:r>
        <w:rPr>
          <w:spacing w:val="3"/>
        </w:rPr>
        <w:t>f</w:t>
      </w:r>
      <w:r>
        <w:rPr>
          <w:spacing w:val="-3"/>
        </w:rPr>
        <w:t>e</w:t>
      </w:r>
      <w:r>
        <w:t>r</w:t>
      </w:r>
      <w:r>
        <w:rPr>
          <w:spacing w:val="31"/>
        </w:rPr>
        <w:t xml:space="preserve"> </w:t>
      </w:r>
      <w:r>
        <w:t>s</w:t>
      </w:r>
      <w:r>
        <w:rPr>
          <w:spacing w:val="-1"/>
        </w:rPr>
        <w:t>en</w:t>
      </w:r>
      <w:r>
        <w:t>s</w:t>
      </w:r>
      <w:r>
        <w:rPr>
          <w:spacing w:val="-2"/>
        </w:rPr>
        <w:t>i</w:t>
      </w:r>
      <w:r>
        <w:rPr>
          <w:spacing w:val="1"/>
        </w:rPr>
        <w:t>t</w:t>
      </w:r>
      <w:r>
        <w:rPr>
          <w:spacing w:val="-2"/>
        </w:rPr>
        <w:t>i</w:t>
      </w:r>
      <w:r>
        <w:rPr>
          <w:spacing w:val="-3"/>
        </w:rPr>
        <w:t>v</w:t>
      </w:r>
      <w:r>
        <w:rPr>
          <w:spacing w:val="-2"/>
        </w:rPr>
        <w:t>i</w:t>
      </w:r>
      <w:r>
        <w:rPr>
          <w:spacing w:val="1"/>
        </w:rPr>
        <w:t>t</w:t>
      </w:r>
      <w:r>
        <w:t>y</w:t>
      </w:r>
      <w:r>
        <w:rPr>
          <w:spacing w:val="30"/>
        </w:rPr>
        <w:t xml:space="preserve"> </w:t>
      </w:r>
      <w:r>
        <w:rPr>
          <w:spacing w:val="1"/>
        </w:rPr>
        <w:t>t</w:t>
      </w:r>
      <w:r>
        <w:t>o</w:t>
      </w:r>
      <w:r>
        <w:rPr>
          <w:spacing w:val="31"/>
        </w:rPr>
        <w:t xml:space="preserve"> </w:t>
      </w:r>
      <w:r>
        <w:rPr>
          <w:spacing w:val="1"/>
        </w:rPr>
        <w:t>t</w:t>
      </w:r>
      <w:r>
        <w:t>r</w:t>
      </w:r>
      <w:r>
        <w:rPr>
          <w:spacing w:val="-1"/>
        </w:rPr>
        <w:t>ea</w:t>
      </w:r>
      <w:r>
        <w:rPr>
          <w:spacing w:val="-2"/>
        </w:rPr>
        <w:t>t</w:t>
      </w:r>
      <w:r>
        <w:t>m</w:t>
      </w:r>
      <w:r>
        <w:rPr>
          <w:spacing w:val="-1"/>
        </w:rPr>
        <w:t>e</w:t>
      </w:r>
      <w:r>
        <w:rPr>
          <w:spacing w:val="-3"/>
        </w:rPr>
        <w:t>n</w:t>
      </w:r>
      <w:r>
        <w:t>t</w:t>
      </w:r>
      <w:r>
        <w:rPr>
          <w:spacing w:val="30"/>
        </w:rPr>
        <w:t xml:space="preserve"> </w:t>
      </w:r>
      <w:r>
        <w:rPr>
          <w:spacing w:val="-2"/>
        </w:rPr>
        <w:t>wi</w:t>
      </w:r>
      <w:r>
        <w:rPr>
          <w:spacing w:val="1"/>
        </w:rPr>
        <w:t>t</w:t>
      </w:r>
      <w:r>
        <w:t>h</w:t>
      </w:r>
      <w:r>
        <w:rPr>
          <w:spacing w:val="31"/>
        </w:rPr>
        <w:t xml:space="preserve"> </w:t>
      </w:r>
      <w:r w:rsidR="00E959F1">
        <w:rPr>
          <w:spacing w:val="31"/>
        </w:rPr>
        <w:t xml:space="preserve">an </w:t>
      </w:r>
      <w:r>
        <w:rPr>
          <w:spacing w:val="-1"/>
        </w:rPr>
        <w:t>E</w:t>
      </w:r>
      <w:r>
        <w:rPr>
          <w:spacing w:val="1"/>
        </w:rPr>
        <w:t>G</w:t>
      </w:r>
      <w:r>
        <w:rPr>
          <w:spacing w:val="-1"/>
        </w:rPr>
        <w:t xml:space="preserve">FR </w:t>
      </w:r>
      <w:r>
        <w:rPr>
          <w:spacing w:val="1"/>
        </w:rPr>
        <w:t>t</w:t>
      </w:r>
      <w:r>
        <w:rPr>
          <w:spacing w:val="-3"/>
        </w:rPr>
        <w:t>y</w:t>
      </w:r>
      <w:r>
        <w:t>r</w:t>
      </w:r>
      <w:r>
        <w:rPr>
          <w:spacing w:val="-1"/>
        </w:rPr>
        <w:t>o</w:t>
      </w:r>
      <w:r>
        <w:t>s</w:t>
      </w:r>
      <w:r>
        <w:rPr>
          <w:spacing w:val="-2"/>
        </w:rPr>
        <w:t>i</w:t>
      </w:r>
      <w:r>
        <w:rPr>
          <w:spacing w:val="-1"/>
        </w:rPr>
        <w:t>n</w:t>
      </w:r>
      <w:r>
        <w:t>e</w:t>
      </w:r>
      <w:r>
        <w:rPr>
          <w:spacing w:val="-2"/>
        </w:rPr>
        <w:t xml:space="preserve"> </w:t>
      </w:r>
      <w:r>
        <w:rPr>
          <w:spacing w:val="2"/>
        </w:rPr>
        <w:t>k</w:t>
      </w:r>
      <w:r>
        <w:rPr>
          <w:spacing w:val="-2"/>
        </w:rPr>
        <w:t>i</w:t>
      </w:r>
      <w:r>
        <w:rPr>
          <w:spacing w:val="-1"/>
        </w:rPr>
        <w:t>na</w:t>
      </w:r>
      <w:r>
        <w:t>se.</w:t>
      </w:r>
    </w:p>
    <w:p w:rsidR="00395CCA" w:rsidRDefault="00395CCA" w:rsidP="00E20CDD">
      <w:pPr>
        <w:rPr>
          <w:szCs w:val="22"/>
        </w:rPr>
      </w:pPr>
    </w:p>
    <w:p w:rsidR="00C31854" w:rsidRDefault="00C31854" w:rsidP="00E20CDD">
      <w:pPr>
        <w:rPr>
          <w:szCs w:val="22"/>
        </w:rPr>
      </w:pPr>
    </w:p>
    <w:p w:rsidR="00E20CDD" w:rsidRPr="00407F2D" w:rsidRDefault="00E20CDD" w:rsidP="00E20CDD">
      <w:pPr>
        <w:pStyle w:val="PBACHeading1"/>
      </w:pPr>
      <w:bookmarkStart w:id="6" w:name="_Toc419801409"/>
      <w:r>
        <w:t>C</w:t>
      </w:r>
      <w:r w:rsidRPr="00407F2D">
        <w:t>onsideration of the evidence</w:t>
      </w:r>
      <w:bookmarkEnd w:id="6"/>
    </w:p>
    <w:p w:rsidR="00E20CDD" w:rsidRDefault="00E20CDD" w:rsidP="00E20CDD"/>
    <w:p w:rsidR="00C31854" w:rsidRPr="009233FE" w:rsidRDefault="00C31854" w:rsidP="00C31854">
      <w:pPr>
        <w:spacing w:after="200" w:line="276" w:lineRule="auto"/>
        <w:rPr>
          <w:b/>
          <w:bCs/>
          <w:i/>
          <w:szCs w:val="22"/>
        </w:rPr>
      </w:pPr>
      <w:r w:rsidRPr="009233FE">
        <w:rPr>
          <w:b/>
          <w:bCs/>
          <w:i/>
          <w:szCs w:val="22"/>
        </w:rPr>
        <w:t>Sponsor hearing</w:t>
      </w:r>
    </w:p>
    <w:p w:rsidR="00C31854" w:rsidRPr="009233FE" w:rsidRDefault="00C31854" w:rsidP="0090717E">
      <w:pPr>
        <w:numPr>
          <w:ilvl w:val="1"/>
          <w:numId w:val="1"/>
        </w:numPr>
        <w:contextualSpacing/>
        <w:rPr>
          <w:bCs/>
          <w:szCs w:val="22"/>
        </w:rPr>
      </w:pPr>
      <w:r w:rsidRPr="009233FE">
        <w:rPr>
          <w:bCs/>
          <w:szCs w:val="22"/>
        </w:rPr>
        <w:t>There was no hearing for this item.</w:t>
      </w:r>
    </w:p>
    <w:p w:rsidR="00C31854" w:rsidRPr="003A49F2" w:rsidRDefault="00C31854" w:rsidP="00C31854">
      <w:pPr>
        <w:rPr>
          <w:bCs/>
          <w:szCs w:val="22"/>
          <w:highlight w:val="yellow"/>
        </w:rPr>
      </w:pPr>
    </w:p>
    <w:p w:rsidR="00C31854" w:rsidRPr="009233FE" w:rsidRDefault="00C31854" w:rsidP="00C31854">
      <w:pPr>
        <w:spacing w:after="200" w:line="276" w:lineRule="auto"/>
        <w:rPr>
          <w:b/>
          <w:bCs/>
          <w:i/>
          <w:szCs w:val="22"/>
        </w:rPr>
      </w:pPr>
      <w:r w:rsidRPr="009233FE">
        <w:rPr>
          <w:b/>
          <w:bCs/>
          <w:i/>
          <w:szCs w:val="22"/>
        </w:rPr>
        <w:t>Consumer comments</w:t>
      </w:r>
    </w:p>
    <w:p w:rsidR="00C31854" w:rsidRPr="009233FE" w:rsidRDefault="00C31854" w:rsidP="0090717E">
      <w:pPr>
        <w:numPr>
          <w:ilvl w:val="1"/>
          <w:numId w:val="1"/>
        </w:numPr>
        <w:contextualSpacing/>
        <w:rPr>
          <w:bCs/>
          <w:szCs w:val="22"/>
        </w:rPr>
      </w:pPr>
      <w:r w:rsidRPr="009233FE">
        <w:rPr>
          <w:bCs/>
          <w:szCs w:val="22"/>
        </w:rPr>
        <w:t>The PBAC noted that no consumer comments were received for this item.</w:t>
      </w:r>
    </w:p>
    <w:p w:rsidR="00C31854" w:rsidRPr="00882085" w:rsidRDefault="00C31854" w:rsidP="00E20CDD"/>
    <w:p w:rsidR="00E20CDD" w:rsidRPr="002C2775" w:rsidRDefault="00E20CDD" w:rsidP="00E20CDD">
      <w:pPr>
        <w:pStyle w:val="Heading2"/>
        <w:rPr>
          <w:i/>
        </w:rPr>
      </w:pPr>
      <w:bookmarkStart w:id="7" w:name="_Toc419801410"/>
      <w:r w:rsidRPr="002C2775">
        <w:rPr>
          <w:i/>
        </w:rPr>
        <w:t>Clinical trials</w:t>
      </w:r>
      <w:bookmarkEnd w:id="7"/>
    </w:p>
    <w:p w:rsidR="00E20CDD" w:rsidRPr="00882085" w:rsidRDefault="00E20CDD" w:rsidP="00E20CDD">
      <w:pPr>
        <w:rPr>
          <w:szCs w:val="22"/>
        </w:rPr>
      </w:pPr>
    </w:p>
    <w:p w:rsidR="00E959F1" w:rsidRPr="00666F46" w:rsidRDefault="00E959F1" w:rsidP="0090717E">
      <w:pPr>
        <w:pStyle w:val="ListParagraph"/>
        <w:widowControl/>
        <w:numPr>
          <w:ilvl w:val="1"/>
          <w:numId w:val="1"/>
        </w:numPr>
        <w:rPr>
          <w:szCs w:val="22"/>
        </w:rPr>
      </w:pPr>
      <w:r>
        <w:t>For the comparison of afatinib and gefitinib, t</w:t>
      </w:r>
      <w:r w:rsidRPr="00862502">
        <w:t xml:space="preserve">he </w:t>
      </w:r>
      <w:r>
        <w:t>re-submission</w:t>
      </w:r>
      <w:r w:rsidRPr="00862502">
        <w:t xml:space="preserve"> </w:t>
      </w:r>
      <w:r>
        <w:t>provided</w:t>
      </w:r>
      <w:r w:rsidRPr="00862502">
        <w:t xml:space="preserve"> </w:t>
      </w:r>
      <w:r>
        <w:t xml:space="preserve">an indirect comparison </w:t>
      </w:r>
      <w:r w:rsidRPr="00DE4153">
        <w:t xml:space="preserve">between afatinib (two open-label </w:t>
      </w:r>
      <w:r>
        <w:t>randomised controlled trials (</w:t>
      </w:r>
      <w:r w:rsidRPr="00DE4153">
        <w:t>RCTs</w:t>
      </w:r>
      <w:r>
        <w:t>)</w:t>
      </w:r>
      <w:r w:rsidRPr="00DE4153">
        <w:t xml:space="preserve">: LUX </w:t>
      </w:r>
      <w:r w:rsidRPr="00395CCA">
        <w:t>Lung 3 and LUX Lung 6) and gefitinib (three open-label RCTs: IPASS, NEJ002 and W</w:t>
      </w:r>
      <w:r w:rsidR="00395CCA" w:rsidRPr="00395CCA">
        <w:t>J</w:t>
      </w:r>
      <w:r w:rsidRPr="00395CCA">
        <w:t xml:space="preserve">TOG3405). The indirect comparison was based on a population subgroup from the trials with tumours characterised by </w:t>
      </w:r>
      <w:r w:rsidR="00A80E55">
        <w:t xml:space="preserve">an </w:t>
      </w:r>
      <w:r w:rsidRPr="00395CCA">
        <w:t xml:space="preserve">EGFR </w:t>
      </w:r>
      <w:r w:rsidR="00A80E55">
        <w:t>e</w:t>
      </w:r>
      <w:r w:rsidRPr="00395CCA">
        <w:t xml:space="preserve">xon 19 deletion, as well as a </w:t>
      </w:r>
      <w:r w:rsidRPr="00395CCA">
        <w:lastRenderedPageBreak/>
        <w:t xml:space="preserve">“common reference” of doublet chemotherapy.  </w:t>
      </w:r>
      <w:r w:rsidRPr="00666F46">
        <w:t xml:space="preserve">The afatinib LUX Lung and gefitinib NEJ002 trials required that patient NSCLC tumours had evidence of </w:t>
      </w:r>
      <w:r w:rsidRPr="00666F46">
        <w:rPr>
          <w:u w:val="single"/>
        </w:rPr>
        <w:t>any</w:t>
      </w:r>
      <w:r w:rsidRPr="00666F46">
        <w:t xml:space="preserve"> activating mutation as an inclusion criterion.  The WJTOG3405 trial required that patients had a </w:t>
      </w:r>
      <w:r w:rsidRPr="00666F46">
        <w:rPr>
          <w:u w:val="single"/>
        </w:rPr>
        <w:t>common</w:t>
      </w:r>
      <w:r w:rsidRPr="00666F46">
        <w:t xml:space="preserve"> activating mutation (</w:t>
      </w:r>
      <w:r w:rsidR="00BB31AD" w:rsidRPr="00666F46">
        <w:t xml:space="preserve">exon 19 </w:t>
      </w:r>
      <w:r w:rsidRPr="00666F46">
        <w:t>deletion or L858R).  The IPASS trial did not require any evidence of an EGFR mutation.</w:t>
      </w:r>
    </w:p>
    <w:p w:rsidR="00E959F1" w:rsidRPr="00A80E55" w:rsidRDefault="00E959F1" w:rsidP="00E959F1">
      <w:pPr>
        <w:widowControl/>
        <w:rPr>
          <w:szCs w:val="22"/>
        </w:rPr>
      </w:pPr>
    </w:p>
    <w:p w:rsidR="00E959F1" w:rsidRPr="00CA6843" w:rsidRDefault="00E959F1" w:rsidP="0090717E">
      <w:pPr>
        <w:pStyle w:val="ListParagraph"/>
        <w:widowControl/>
        <w:numPr>
          <w:ilvl w:val="1"/>
          <w:numId w:val="1"/>
        </w:numPr>
        <w:rPr>
          <w:szCs w:val="22"/>
        </w:rPr>
      </w:pPr>
      <w:r>
        <w:t xml:space="preserve">For the comparison of afatinib and erlotinib, the re-submission indirectly compared </w:t>
      </w:r>
      <w:r w:rsidRPr="00F52E15">
        <w:t>LUX Lung 3 and LUX Lung 6</w:t>
      </w:r>
      <w:r>
        <w:t xml:space="preserve"> (afatinib</w:t>
      </w:r>
      <w:r w:rsidRPr="00F52E15">
        <w:t xml:space="preserve">) </w:t>
      </w:r>
      <w:r>
        <w:t xml:space="preserve">with </w:t>
      </w:r>
      <w:r w:rsidRPr="00F52E15">
        <w:t>EURTAC, OPTIMAL and ENSURE</w:t>
      </w:r>
      <w:r>
        <w:t xml:space="preserve"> (erlotinib</w:t>
      </w:r>
      <w:r w:rsidRPr="00F52E15">
        <w:t xml:space="preserve">) in the EGFR </w:t>
      </w:r>
      <w:r w:rsidR="00A80E55">
        <w:t>e</w:t>
      </w:r>
      <w:r w:rsidRPr="00F52E15">
        <w:t>xon 19 deletion subgroup, using a “common reference” of doublet chemotherapy.</w:t>
      </w:r>
      <w:r>
        <w:t xml:space="preserve"> </w:t>
      </w:r>
      <w:r w:rsidRPr="00666F46">
        <w:t>All three erlotinib trials required that patients have NSCLC with a common activating mutation (</w:t>
      </w:r>
      <w:r w:rsidR="00BB31AD" w:rsidRPr="00666F46">
        <w:t xml:space="preserve">exon 19 </w:t>
      </w:r>
      <w:r w:rsidRPr="00666F46">
        <w:t>deletion or L858R).</w:t>
      </w:r>
    </w:p>
    <w:p w:rsidR="00E959F1" w:rsidRPr="00A80E55" w:rsidRDefault="00E959F1" w:rsidP="00E959F1">
      <w:pPr>
        <w:rPr>
          <w:szCs w:val="22"/>
        </w:rPr>
      </w:pPr>
    </w:p>
    <w:p w:rsidR="00E959F1" w:rsidRPr="00666F46" w:rsidRDefault="00E959F1" w:rsidP="0090717E">
      <w:pPr>
        <w:pStyle w:val="ListParagraph"/>
        <w:widowControl/>
        <w:numPr>
          <w:ilvl w:val="1"/>
          <w:numId w:val="1"/>
        </w:numPr>
        <w:rPr>
          <w:szCs w:val="22"/>
        </w:rPr>
      </w:pPr>
      <w:r w:rsidRPr="00666F46">
        <w:t xml:space="preserve">The trials included for this indirect comparison were considered in detail by the July 2013 </w:t>
      </w:r>
      <w:r w:rsidR="00A80E55" w:rsidRPr="00666F46">
        <w:t xml:space="preserve">PBAC </w:t>
      </w:r>
      <w:r w:rsidRPr="00666F46">
        <w:t>meeting (except for LUX Lung 6</w:t>
      </w:r>
      <w:r w:rsidR="00A80E55" w:rsidRPr="00666F46">
        <w:t>,</w:t>
      </w:r>
      <w:r w:rsidRPr="00666F46">
        <w:t xml:space="preserve"> which was presented in the pre-subcommittee response), albeit for the broader population of any EGFR activating mutation. At that time</w:t>
      </w:r>
      <w:r w:rsidR="00A80E55" w:rsidRPr="00666F46">
        <w:t>,</w:t>
      </w:r>
      <w:r w:rsidRPr="00666F46">
        <w:rPr>
          <w:szCs w:val="22"/>
        </w:rPr>
        <w:t xml:space="preserve"> the PBAC had concerns regarding the exchangeability of the trials as a consequence of the different doublet chemotherapy regimens and differences in baseline characteristics (Afatinib Public Summary Document (PSD)</w:t>
      </w:r>
      <w:r w:rsidR="00C51D3C" w:rsidRPr="00666F46">
        <w:rPr>
          <w:szCs w:val="22"/>
        </w:rPr>
        <w:t>)</w:t>
      </w:r>
      <w:r w:rsidRPr="00666F46">
        <w:rPr>
          <w:szCs w:val="22"/>
        </w:rPr>
        <w:t>. These concerns remain for the current re-submission.</w:t>
      </w:r>
    </w:p>
    <w:p w:rsidR="00E959F1" w:rsidRPr="00666F46" w:rsidRDefault="00E959F1" w:rsidP="00E959F1">
      <w:pPr>
        <w:rPr>
          <w:szCs w:val="22"/>
        </w:rPr>
      </w:pPr>
    </w:p>
    <w:p w:rsidR="00E959F1" w:rsidRPr="00666F46" w:rsidRDefault="00E959F1" w:rsidP="0090717E">
      <w:pPr>
        <w:pStyle w:val="ListParagraph"/>
        <w:widowControl/>
        <w:numPr>
          <w:ilvl w:val="1"/>
          <w:numId w:val="1"/>
        </w:numPr>
        <w:rPr>
          <w:szCs w:val="22"/>
        </w:rPr>
      </w:pPr>
      <w:r w:rsidRPr="00666F46">
        <w:rPr>
          <w:szCs w:val="22"/>
        </w:rPr>
        <w:t xml:space="preserve">A head-to-head RCT, comparing afatinib with gefitinib, in the treatment of NSCLC patients who have EGFR positive mutations (LUX Lung 7) is currently ongoing. </w:t>
      </w:r>
      <w:r w:rsidR="00A80E55" w:rsidRPr="00666F46">
        <w:rPr>
          <w:szCs w:val="22"/>
        </w:rPr>
        <w:t xml:space="preserve"> </w:t>
      </w:r>
      <w:r w:rsidRPr="00666F46">
        <w:rPr>
          <w:szCs w:val="22"/>
        </w:rPr>
        <w:t xml:space="preserve">The estimated final data collection for the primary outcomes (progression-free survival (PFS), time to treatment failure (TTF) and overall survival (OS)) is August 2015. </w:t>
      </w:r>
      <w:r w:rsidR="00A80E55" w:rsidRPr="00666F46">
        <w:rPr>
          <w:szCs w:val="22"/>
        </w:rPr>
        <w:t xml:space="preserve"> </w:t>
      </w:r>
      <w:r w:rsidRPr="00666F46">
        <w:rPr>
          <w:szCs w:val="22"/>
        </w:rPr>
        <w:t xml:space="preserve">The </w:t>
      </w:r>
      <w:r w:rsidRPr="00666F46">
        <w:rPr>
          <w:kern w:val="16"/>
        </w:rPr>
        <w:t>results from LUX Lung 7 would provide a more robust estimate of the comparative effectiveness of afatinib versus gefitinib</w:t>
      </w:r>
      <w:r w:rsidRPr="00666F46">
        <w:t xml:space="preserve"> than the indirect comparison</w:t>
      </w:r>
      <w:r w:rsidR="00A80E55" w:rsidRPr="00666F46">
        <w:t>s</w:t>
      </w:r>
      <w:r w:rsidRPr="00666F46">
        <w:t xml:space="preserve"> that ha</w:t>
      </w:r>
      <w:r w:rsidR="00A80E55" w:rsidRPr="00666F46">
        <w:t>ve</w:t>
      </w:r>
      <w:r w:rsidRPr="00666F46">
        <w:t xml:space="preserve"> been provided</w:t>
      </w:r>
      <w:r w:rsidRPr="00666F46">
        <w:rPr>
          <w:kern w:val="16"/>
        </w:rPr>
        <w:t>.</w:t>
      </w:r>
      <w:r w:rsidR="00DB5CA7">
        <w:rPr>
          <w:kern w:val="16"/>
        </w:rPr>
        <w:t xml:space="preserve"> </w:t>
      </w:r>
      <w:r w:rsidR="00DB5CA7" w:rsidRPr="00DB5CA7">
        <w:t>The PSCR noted that the results of LUX-Lung 7 are expected in December 2015 and that the data can be made available to the PBAC on a confidential basis if requested. The ESC noted that, although providing a more rigorous comparison between afatinib and gefitinib, it would not also address the comparison between afatinib and erlotinib, which would be necessary to complete an assessment of the claim that afatinib is unique.</w:t>
      </w:r>
    </w:p>
    <w:p w:rsidR="00E20CDD" w:rsidRPr="00862502" w:rsidRDefault="00E20CDD" w:rsidP="00E20CDD">
      <w:pPr>
        <w:widowControl/>
        <w:rPr>
          <w:szCs w:val="22"/>
        </w:rPr>
      </w:pPr>
    </w:p>
    <w:p w:rsidR="00E20CDD" w:rsidRPr="00B50DB8" w:rsidRDefault="00E20CDD" w:rsidP="0090717E">
      <w:pPr>
        <w:pStyle w:val="ListParagraph"/>
        <w:widowControl/>
        <w:numPr>
          <w:ilvl w:val="1"/>
          <w:numId w:val="1"/>
        </w:numPr>
        <w:rPr>
          <w:szCs w:val="22"/>
        </w:rPr>
      </w:pPr>
      <w:r w:rsidRPr="00B50DB8">
        <w:rPr>
          <w:szCs w:val="22"/>
        </w:rPr>
        <w:t xml:space="preserve">Details of the trials presented in the </w:t>
      </w:r>
      <w:r w:rsidR="008A71F8">
        <w:rPr>
          <w:szCs w:val="22"/>
        </w:rPr>
        <w:t>re</w:t>
      </w:r>
      <w:r w:rsidR="002B40C0">
        <w:rPr>
          <w:szCs w:val="22"/>
        </w:rPr>
        <w:t>-submission</w:t>
      </w:r>
      <w:r w:rsidRPr="00B50DB8">
        <w:rPr>
          <w:szCs w:val="22"/>
        </w:rPr>
        <w:t xml:space="preserve"> ar</w:t>
      </w:r>
      <w:r w:rsidR="00A80E55">
        <w:rPr>
          <w:szCs w:val="22"/>
        </w:rPr>
        <w:t>e provided in the table below.</w:t>
      </w:r>
    </w:p>
    <w:p w:rsidR="00E20CDD" w:rsidRPr="00862502" w:rsidRDefault="00E20CDD" w:rsidP="00E20CDD">
      <w:pPr>
        <w:widowControl/>
        <w:rPr>
          <w:szCs w:val="22"/>
        </w:rPr>
      </w:pPr>
    </w:p>
    <w:p w:rsidR="00E20CDD" w:rsidRDefault="00E20CDD" w:rsidP="00811798">
      <w:pPr>
        <w:pStyle w:val="TableHeader"/>
        <w:keepNext/>
        <w:keepLines/>
        <w:ind w:left="709"/>
      </w:pPr>
      <w:r w:rsidRPr="005C7F65">
        <w:t xml:space="preserve">Table </w:t>
      </w:r>
      <w:r w:rsidR="00830287">
        <w:t>1</w:t>
      </w:r>
      <w:r w:rsidR="00830287" w:rsidRPr="005C7F65">
        <w:t xml:space="preserve">: </w:t>
      </w:r>
      <w:r w:rsidRPr="005C7F65">
        <w:t xml:space="preserve">Trials and associated reports presented in the </w:t>
      </w:r>
      <w:r w:rsidR="0095098D">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E20CDD" w:rsidRPr="004E2ADC" w:rsidTr="00E959F1">
        <w:trPr>
          <w:cantSplit/>
        </w:trPr>
        <w:tc>
          <w:tcPr>
            <w:tcW w:w="1019" w:type="pct"/>
          </w:tcPr>
          <w:p w:rsidR="00E20CDD" w:rsidRPr="004E2ADC" w:rsidRDefault="00E20CDD" w:rsidP="00E959F1">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804" w:type="pct"/>
          </w:tcPr>
          <w:p w:rsidR="00E20CDD" w:rsidRPr="004E2ADC" w:rsidRDefault="00E20CDD" w:rsidP="00E959F1">
            <w:pPr>
              <w:jc w:val="center"/>
              <w:rPr>
                <w:rFonts w:ascii="Arial Narrow" w:hAnsi="Arial Narrow"/>
                <w:b/>
                <w:sz w:val="20"/>
              </w:rPr>
            </w:pPr>
            <w:r w:rsidRPr="004E2ADC">
              <w:rPr>
                <w:rFonts w:ascii="Arial Narrow" w:hAnsi="Arial Narrow"/>
                <w:b/>
                <w:sz w:val="20"/>
              </w:rPr>
              <w:t>Protocol title/ Publication title</w:t>
            </w:r>
          </w:p>
        </w:tc>
        <w:tc>
          <w:tcPr>
            <w:tcW w:w="1177" w:type="pct"/>
          </w:tcPr>
          <w:p w:rsidR="00E20CDD" w:rsidRPr="004E2ADC" w:rsidRDefault="00E20CDD" w:rsidP="00E959F1">
            <w:pPr>
              <w:jc w:val="center"/>
              <w:rPr>
                <w:rFonts w:ascii="Arial Narrow" w:hAnsi="Arial Narrow"/>
                <w:b/>
                <w:sz w:val="20"/>
              </w:rPr>
            </w:pPr>
            <w:r w:rsidRPr="004E2ADC">
              <w:rPr>
                <w:rFonts w:ascii="Arial Narrow" w:hAnsi="Arial Narrow"/>
                <w:b/>
                <w:sz w:val="20"/>
              </w:rPr>
              <w:t>Publication citation</w:t>
            </w:r>
          </w:p>
        </w:tc>
      </w:tr>
      <w:tr w:rsidR="00E20CDD" w:rsidRPr="004E2ADC" w:rsidTr="00E959F1">
        <w:trPr>
          <w:cantSplit/>
        </w:trPr>
        <w:tc>
          <w:tcPr>
            <w:tcW w:w="5000" w:type="pct"/>
            <w:gridSpan w:val="3"/>
            <w:tcBorders>
              <w:bottom w:val="single" w:sz="4" w:space="0" w:color="auto"/>
            </w:tcBorders>
          </w:tcPr>
          <w:p w:rsidR="00E20CDD" w:rsidRPr="004E2ADC" w:rsidRDefault="00E20CDD" w:rsidP="00E959F1">
            <w:pPr>
              <w:jc w:val="left"/>
              <w:rPr>
                <w:rFonts w:ascii="Arial Narrow" w:hAnsi="Arial Narrow"/>
                <w:b/>
                <w:sz w:val="20"/>
              </w:rPr>
            </w:pPr>
            <w:r>
              <w:rPr>
                <w:rFonts w:ascii="Arial Narrow" w:hAnsi="Arial Narrow"/>
                <w:b/>
                <w:sz w:val="20"/>
              </w:rPr>
              <w:t xml:space="preserve">Trials of afatinib versus chemotherapy </w:t>
            </w:r>
          </w:p>
        </w:tc>
      </w:tr>
      <w:tr w:rsidR="00E20CDD" w:rsidRPr="004E2ADC" w:rsidTr="00E959F1">
        <w:trPr>
          <w:cantSplit/>
        </w:trPr>
        <w:tc>
          <w:tcPr>
            <w:tcW w:w="1019" w:type="pct"/>
            <w:tcBorders>
              <w:bottom w:val="nil"/>
            </w:tcBorders>
          </w:tcPr>
          <w:p w:rsidR="00E20CDD" w:rsidRPr="004E2ADC" w:rsidRDefault="00E20CDD" w:rsidP="00E959F1">
            <w:pPr>
              <w:spacing w:after="40"/>
              <w:jc w:val="left"/>
              <w:rPr>
                <w:rFonts w:ascii="Arial Narrow" w:hAnsi="Arial Narrow"/>
                <w:sz w:val="20"/>
              </w:rPr>
            </w:pPr>
            <w:r>
              <w:rPr>
                <w:rFonts w:ascii="Arial Narrow" w:hAnsi="Arial Narrow"/>
                <w:sz w:val="20"/>
              </w:rPr>
              <w:t>LUX Lung 3</w:t>
            </w:r>
          </w:p>
        </w:tc>
        <w:tc>
          <w:tcPr>
            <w:tcW w:w="2804" w:type="pct"/>
            <w:tcBorders>
              <w:bottom w:val="nil"/>
            </w:tcBorders>
          </w:tcPr>
          <w:p w:rsidR="00E20CDD" w:rsidRPr="00A2342E" w:rsidRDefault="00E20CDD" w:rsidP="00E959F1">
            <w:pPr>
              <w:pStyle w:val="TableText0"/>
              <w:keepNext w:val="0"/>
              <w:keepLines/>
              <w:spacing w:before="0"/>
              <w:rPr>
                <w:rFonts w:cs="Arial"/>
                <w:lang w:eastAsia="en-AU"/>
              </w:rPr>
            </w:pPr>
            <w:r w:rsidRPr="00D04BF5">
              <w:rPr>
                <w:rFonts w:cs="Arial"/>
                <w:lang w:eastAsia="en-AU"/>
              </w:rPr>
              <w:t>Clinical Study Report: LUX Lung 3.  A randomised, open-label, phase III study of BIBW 2992</w:t>
            </w:r>
            <w:r w:rsidRPr="00D04BF5">
              <w:rPr>
                <w:rFonts w:cs="Arial"/>
                <w:vertAlign w:val="superscript"/>
                <w:lang w:eastAsia="en-AU"/>
              </w:rPr>
              <w:t>§</w:t>
            </w:r>
            <w:r w:rsidRPr="00D04BF5">
              <w:rPr>
                <w:rFonts w:cs="Arial"/>
                <w:lang w:eastAsia="en-AU"/>
              </w:rPr>
              <w:t xml:space="preserve"> versus chemotherapy as first-line treatment for patients with Stage IIIb or IV adenocarcinoma of the lung harbouring an EGFR-activating mutation.</w:t>
            </w:r>
          </w:p>
        </w:tc>
        <w:tc>
          <w:tcPr>
            <w:tcW w:w="1177" w:type="pct"/>
            <w:tcBorders>
              <w:bottom w:val="nil"/>
            </w:tcBorders>
          </w:tcPr>
          <w:p w:rsidR="00E20CDD" w:rsidRPr="004E2ADC" w:rsidRDefault="00E20CDD" w:rsidP="00A80E55">
            <w:pPr>
              <w:spacing w:after="40"/>
              <w:jc w:val="left"/>
              <w:rPr>
                <w:rFonts w:ascii="Arial Narrow" w:hAnsi="Arial Narrow"/>
                <w:b/>
                <w:sz w:val="20"/>
              </w:rPr>
            </w:pPr>
            <w:r>
              <w:rPr>
                <w:rFonts w:ascii="Arial Narrow" w:hAnsi="Arial Narrow"/>
                <w:sz w:val="20"/>
              </w:rPr>
              <w:t>July 2012</w:t>
            </w:r>
          </w:p>
        </w:tc>
      </w:tr>
      <w:tr w:rsidR="00E20CDD" w:rsidRPr="004E2ADC" w:rsidTr="00E959F1">
        <w:trPr>
          <w:cantSplit/>
        </w:trPr>
        <w:tc>
          <w:tcPr>
            <w:tcW w:w="1019" w:type="pct"/>
            <w:tcBorders>
              <w:top w:val="nil"/>
              <w:bottom w:val="nil"/>
            </w:tcBorders>
          </w:tcPr>
          <w:p w:rsidR="00E20CDD" w:rsidRDefault="00E20CDD" w:rsidP="00E959F1">
            <w:pPr>
              <w:spacing w:after="40"/>
              <w:jc w:val="left"/>
              <w:rPr>
                <w:rFonts w:ascii="Arial Narrow" w:hAnsi="Arial Narrow"/>
                <w:sz w:val="20"/>
              </w:rPr>
            </w:pPr>
          </w:p>
        </w:tc>
        <w:tc>
          <w:tcPr>
            <w:tcW w:w="2804" w:type="pct"/>
            <w:tcBorders>
              <w:top w:val="nil"/>
              <w:bottom w:val="nil"/>
            </w:tcBorders>
          </w:tcPr>
          <w:p w:rsidR="00E20CDD" w:rsidRPr="00D04BF5" w:rsidRDefault="00E20CDD" w:rsidP="00E959F1">
            <w:pPr>
              <w:pStyle w:val="TableText0"/>
              <w:keepNext w:val="0"/>
              <w:keepLines/>
              <w:spacing w:before="0"/>
              <w:rPr>
                <w:rFonts w:cs="Arial"/>
                <w:lang w:eastAsia="en-AU"/>
              </w:rPr>
            </w:pPr>
            <w:r w:rsidRPr="00D04BF5">
              <w:rPr>
                <w:rFonts w:cs="Arial"/>
                <w:lang w:eastAsia="en-AU"/>
              </w:rPr>
              <w:t>Yang JC-H, Schuler MH, Yamamoto N et al</w:t>
            </w:r>
            <w:r>
              <w:rPr>
                <w:rFonts w:cs="Arial"/>
                <w:lang w:eastAsia="en-AU"/>
              </w:rPr>
              <w:t>.</w:t>
            </w:r>
            <w:r w:rsidRPr="00D04BF5">
              <w:rPr>
                <w:rFonts w:cs="Arial"/>
                <w:lang w:eastAsia="en-AU"/>
              </w:rPr>
              <w:t xml:space="preserve"> LUX Lung 3: A randomised, open-label phase III study of afatinib versus pemetrexed and cisplatin as first-line treatment for patients with advanced adenocarcinoma of the lung harbouring EGFR-activating mutations.</w:t>
            </w:r>
          </w:p>
        </w:tc>
        <w:tc>
          <w:tcPr>
            <w:tcW w:w="1177" w:type="pct"/>
            <w:tcBorders>
              <w:top w:val="nil"/>
              <w:bottom w:val="nil"/>
            </w:tcBorders>
          </w:tcPr>
          <w:p w:rsidR="00E20CDD" w:rsidRPr="004E2ADC" w:rsidRDefault="00E20CDD" w:rsidP="00A80E55">
            <w:pPr>
              <w:pStyle w:val="TableText0"/>
              <w:keepNext w:val="0"/>
              <w:keepLines/>
              <w:spacing w:before="0"/>
            </w:pPr>
            <w:r w:rsidRPr="00A2342E">
              <w:rPr>
                <w:rFonts w:cs="Arial"/>
                <w:i/>
                <w:lang w:eastAsia="en-AU"/>
              </w:rPr>
              <w:t>Annals of Oncology</w:t>
            </w:r>
            <w:r w:rsidRPr="00D04BF5">
              <w:rPr>
                <w:rFonts w:cs="Arial"/>
                <w:lang w:eastAsia="en-AU"/>
              </w:rPr>
              <w:t xml:space="preserve"> 2012; 23(Suppl. 9) ix410 Abstract 1252P.</w:t>
            </w:r>
          </w:p>
        </w:tc>
      </w:tr>
      <w:tr w:rsidR="00E20CDD" w:rsidRPr="004E2ADC" w:rsidTr="00E959F1">
        <w:trPr>
          <w:cantSplit/>
        </w:trPr>
        <w:tc>
          <w:tcPr>
            <w:tcW w:w="1019" w:type="pct"/>
            <w:tcBorders>
              <w:top w:val="nil"/>
              <w:bottom w:val="nil"/>
            </w:tcBorders>
          </w:tcPr>
          <w:p w:rsidR="00E20CDD" w:rsidRDefault="00E20CDD" w:rsidP="00E959F1">
            <w:pPr>
              <w:spacing w:after="40"/>
              <w:jc w:val="left"/>
              <w:rPr>
                <w:rFonts w:ascii="Arial Narrow" w:hAnsi="Arial Narrow"/>
                <w:sz w:val="20"/>
              </w:rPr>
            </w:pPr>
          </w:p>
        </w:tc>
        <w:tc>
          <w:tcPr>
            <w:tcW w:w="2804" w:type="pct"/>
            <w:tcBorders>
              <w:top w:val="nil"/>
              <w:bottom w:val="nil"/>
            </w:tcBorders>
          </w:tcPr>
          <w:p w:rsidR="00E20CDD" w:rsidRPr="00D04BF5" w:rsidRDefault="00E20CDD" w:rsidP="00E959F1">
            <w:pPr>
              <w:pStyle w:val="TableText0"/>
              <w:keepNext w:val="0"/>
              <w:keepLines/>
              <w:spacing w:before="0"/>
              <w:rPr>
                <w:rFonts w:cs="Arial"/>
                <w:lang w:eastAsia="en-AU"/>
              </w:rPr>
            </w:pPr>
            <w:r w:rsidRPr="0001404E">
              <w:rPr>
                <w:rFonts w:cs="Arial"/>
                <w:lang w:val="de-DE" w:eastAsia="en-AU"/>
              </w:rPr>
              <w:t xml:space="preserve">Yang JC, Hirsch V, Schuler M et al. </w:t>
            </w:r>
            <w:r w:rsidRPr="00D04BF5">
              <w:rPr>
                <w:rFonts w:cs="Arial"/>
                <w:lang w:eastAsia="en-AU"/>
              </w:rPr>
              <w:t>Symptom control and quality of life in LUX Lung 3: a phase III study of afatinib or cisplatin/pemetrexed in patients with advanced lung adenocarcinoma with EGFR mutations.</w:t>
            </w:r>
          </w:p>
        </w:tc>
        <w:tc>
          <w:tcPr>
            <w:tcW w:w="1177" w:type="pct"/>
            <w:tcBorders>
              <w:top w:val="nil"/>
              <w:bottom w:val="nil"/>
            </w:tcBorders>
          </w:tcPr>
          <w:p w:rsidR="00E20CDD" w:rsidRPr="00A2342E" w:rsidRDefault="00E20CDD" w:rsidP="00E959F1">
            <w:pPr>
              <w:pStyle w:val="TableText0"/>
              <w:keepNext w:val="0"/>
              <w:keepLines/>
              <w:spacing w:before="0"/>
              <w:rPr>
                <w:rFonts w:cs="Arial"/>
                <w:lang w:eastAsia="en-AU"/>
              </w:rPr>
            </w:pPr>
            <w:r w:rsidRPr="00A2342E">
              <w:rPr>
                <w:rFonts w:cs="Arial"/>
                <w:i/>
                <w:lang w:eastAsia="en-AU"/>
              </w:rPr>
              <w:t xml:space="preserve">Journal of Clinical Oncology </w:t>
            </w:r>
            <w:r w:rsidRPr="00D04BF5">
              <w:rPr>
                <w:rFonts w:cs="Arial"/>
                <w:lang w:eastAsia="en-AU"/>
              </w:rPr>
              <w:t>2013; 31(27):3342-50.</w:t>
            </w:r>
          </w:p>
        </w:tc>
      </w:tr>
      <w:tr w:rsidR="00E20CDD" w:rsidRPr="004E2ADC" w:rsidTr="00E959F1">
        <w:trPr>
          <w:cantSplit/>
        </w:trPr>
        <w:tc>
          <w:tcPr>
            <w:tcW w:w="1019" w:type="pct"/>
            <w:tcBorders>
              <w:top w:val="nil"/>
              <w:bottom w:val="nil"/>
            </w:tcBorders>
          </w:tcPr>
          <w:p w:rsidR="00E20CDD" w:rsidRDefault="00E20CDD" w:rsidP="00E959F1">
            <w:pPr>
              <w:spacing w:after="40"/>
              <w:jc w:val="left"/>
              <w:rPr>
                <w:rFonts w:ascii="Arial Narrow" w:hAnsi="Arial Narrow"/>
                <w:sz w:val="20"/>
              </w:rPr>
            </w:pPr>
          </w:p>
        </w:tc>
        <w:tc>
          <w:tcPr>
            <w:tcW w:w="2804" w:type="pct"/>
            <w:tcBorders>
              <w:top w:val="nil"/>
              <w:bottom w:val="nil"/>
            </w:tcBorders>
          </w:tcPr>
          <w:p w:rsidR="00E20CDD" w:rsidRPr="00D04BF5" w:rsidRDefault="00E20CDD" w:rsidP="00E959F1">
            <w:pPr>
              <w:pStyle w:val="TableText0"/>
              <w:keepNext w:val="0"/>
              <w:keepLines/>
              <w:spacing w:before="0"/>
              <w:rPr>
                <w:rFonts w:cs="Arial"/>
                <w:lang w:eastAsia="en-AU"/>
              </w:rPr>
            </w:pPr>
            <w:r w:rsidRPr="0001404E">
              <w:rPr>
                <w:rFonts w:cs="Arial"/>
                <w:lang w:eastAsia="en-AU"/>
              </w:rPr>
              <w:t xml:space="preserve">Yang JC-H, Wu Y-L, Schuler M, Sebastian M, et al. </w:t>
            </w:r>
            <w:r w:rsidRPr="00D04BF5">
              <w:rPr>
                <w:rFonts w:cs="Arial"/>
                <w:lang w:eastAsia="en-AU"/>
              </w:rPr>
              <w:t>Afatinib versus cisplatin-based chemotherapy</w:t>
            </w:r>
            <w:r>
              <w:rPr>
                <w:rFonts w:cs="Arial"/>
                <w:lang w:eastAsia="en-AU"/>
              </w:rPr>
              <w:t xml:space="preserve"> </w:t>
            </w:r>
            <w:r w:rsidRPr="00D04BF5">
              <w:rPr>
                <w:rFonts w:cs="Arial"/>
                <w:lang w:eastAsia="en-AU"/>
              </w:rPr>
              <w:t>for EGFR mutation positive lung adenocarcinoma (LUX Lung 3 and LUX Lung 6): analysis of overall survival data from two randomised, phase 3 trials.</w:t>
            </w:r>
          </w:p>
        </w:tc>
        <w:tc>
          <w:tcPr>
            <w:tcW w:w="1177" w:type="pct"/>
            <w:tcBorders>
              <w:top w:val="nil"/>
              <w:bottom w:val="nil"/>
            </w:tcBorders>
          </w:tcPr>
          <w:p w:rsidR="00E20CDD" w:rsidRPr="00A2342E" w:rsidRDefault="00E20CDD" w:rsidP="00E959F1">
            <w:pPr>
              <w:pStyle w:val="TableText0"/>
              <w:keepNext w:val="0"/>
              <w:keepLines/>
              <w:spacing w:before="0"/>
              <w:rPr>
                <w:rFonts w:cs="Arial"/>
                <w:lang w:eastAsia="en-AU"/>
              </w:rPr>
            </w:pPr>
            <w:r>
              <w:rPr>
                <w:rFonts w:cs="Arial"/>
                <w:i/>
                <w:lang w:eastAsia="en-AU"/>
              </w:rPr>
              <w:t xml:space="preserve">The </w:t>
            </w:r>
            <w:r w:rsidRPr="00A2342E">
              <w:rPr>
                <w:rFonts w:cs="Arial"/>
                <w:i/>
                <w:lang w:eastAsia="en-AU"/>
              </w:rPr>
              <w:t>Lancet Oncology</w:t>
            </w:r>
            <w:r w:rsidRPr="00D04BF5">
              <w:rPr>
                <w:rFonts w:cs="Arial"/>
                <w:lang w:eastAsia="en-AU"/>
              </w:rPr>
              <w:t xml:space="preserve"> 2015 Published online January 12 DOI 10.1016.</w:t>
            </w:r>
          </w:p>
        </w:tc>
      </w:tr>
      <w:tr w:rsidR="00E20CDD" w:rsidRPr="004E2ADC" w:rsidTr="00E959F1">
        <w:trPr>
          <w:cantSplit/>
        </w:trPr>
        <w:tc>
          <w:tcPr>
            <w:tcW w:w="1019" w:type="pct"/>
            <w:tcBorders>
              <w:top w:val="nil"/>
              <w:bottom w:val="nil"/>
            </w:tcBorders>
          </w:tcPr>
          <w:p w:rsidR="00E20CDD" w:rsidRDefault="00E20CDD" w:rsidP="00E959F1">
            <w:pPr>
              <w:spacing w:after="40"/>
              <w:jc w:val="left"/>
              <w:rPr>
                <w:rFonts w:ascii="Arial Narrow" w:hAnsi="Arial Narrow"/>
                <w:sz w:val="20"/>
              </w:rPr>
            </w:pPr>
          </w:p>
        </w:tc>
        <w:tc>
          <w:tcPr>
            <w:tcW w:w="2804" w:type="pct"/>
            <w:tcBorders>
              <w:top w:val="nil"/>
              <w:bottom w:val="nil"/>
            </w:tcBorders>
          </w:tcPr>
          <w:p w:rsidR="00E20CDD" w:rsidRPr="00D04BF5" w:rsidRDefault="00E20CDD" w:rsidP="00E959F1">
            <w:pPr>
              <w:pStyle w:val="TableText0"/>
              <w:keepNext w:val="0"/>
              <w:keepLines/>
              <w:spacing w:before="0"/>
              <w:rPr>
                <w:rFonts w:cs="Arial"/>
                <w:lang w:eastAsia="en-AU"/>
              </w:rPr>
            </w:pPr>
            <w:r w:rsidRPr="0001404E">
              <w:rPr>
                <w:rFonts w:cs="Arial"/>
                <w:lang w:val="da-DK" w:eastAsia="en-AU"/>
              </w:rPr>
              <w:t xml:space="preserve">Yang JCH, Sequist L, O’Byrne K, et al. </w:t>
            </w:r>
            <w:r w:rsidRPr="00D04BF5">
              <w:rPr>
                <w:rFonts w:cs="Arial"/>
                <w:lang w:eastAsia="en-AU"/>
              </w:rPr>
              <w:t>Epidermal growth factor receptor (EGFR) – mediated adverse events (AEs) in patients with EGFR mutation positive (EGFR M+) non-small-cell lung cancer treated with afatinib</w:t>
            </w:r>
            <w:r>
              <w:rPr>
                <w:rFonts w:cs="Arial"/>
                <w:lang w:eastAsia="en-AU"/>
              </w:rPr>
              <w:t>.</w:t>
            </w:r>
          </w:p>
        </w:tc>
        <w:tc>
          <w:tcPr>
            <w:tcW w:w="1177" w:type="pct"/>
            <w:tcBorders>
              <w:top w:val="nil"/>
              <w:bottom w:val="nil"/>
            </w:tcBorders>
          </w:tcPr>
          <w:p w:rsidR="00E20CDD" w:rsidRPr="00A2342E" w:rsidRDefault="00E20CDD" w:rsidP="00A80E55">
            <w:pPr>
              <w:pStyle w:val="TableText0"/>
              <w:keepNext w:val="0"/>
              <w:keepLines/>
              <w:spacing w:before="0"/>
              <w:rPr>
                <w:rFonts w:cs="Arial"/>
                <w:i/>
                <w:lang w:eastAsia="en-AU"/>
              </w:rPr>
            </w:pPr>
            <w:r w:rsidRPr="00A2342E">
              <w:rPr>
                <w:rFonts w:cs="Arial"/>
                <w:i/>
                <w:lang w:eastAsia="en-AU"/>
              </w:rPr>
              <w:t>European Journal of Cancer</w:t>
            </w:r>
            <w:r w:rsidRPr="00D04BF5">
              <w:rPr>
                <w:rFonts w:cs="Arial"/>
                <w:lang w:eastAsia="en-AU"/>
              </w:rPr>
              <w:t xml:space="preserve"> 2013; 49: Abstract S190.</w:t>
            </w:r>
          </w:p>
        </w:tc>
      </w:tr>
      <w:tr w:rsidR="00E20CDD" w:rsidRPr="004E2ADC" w:rsidTr="00E959F1">
        <w:trPr>
          <w:cantSplit/>
        </w:trPr>
        <w:tc>
          <w:tcPr>
            <w:tcW w:w="1019" w:type="pct"/>
            <w:tcBorders>
              <w:top w:val="nil"/>
              <w:bottom w:val="nil"/>
            </w:tcBorders>
          </w:tcPr>
          <w:p w:rsidR="00E20CDD" w:rsidRDefault="00E20CDD" w:rsidP="00E959F1">
            <w:pPr>
              <w:spacing w:after="40"/>
              <w:jc w:val="left"/>
              <w:rPr>
                <w:rFonts w:ascii="Arial Narrow" w:hAnsi="Arial Narrow"/>
                <w:sz w:val="20"/>
              </w:rPr>
            </w:pPr>
          </w:p>
        </w:tc>
        <w:tc>
          <w:tcPr>
            <w:tcW w:w="2804" w:type="pct"/>
            <w:tcBorders>
              <w:top w:val="nil"/>
              <w:bottom w:val="nil"/>
            </w:tcBorders>
          </w:tcPr>
          <w:p w:rsidR="00E20CDD" w:rsidRPr="00D04BF5" w:rsidRDefault="00E20CDD" w:rsidP="00E959F1">
            <w:pPr>
              <w:pStyle w:val="TableText0"/>
              <w:keepNext w:val="0"/>
              <w:keepLines/>
              <w:spacing w:before="0"/>
              <w:rPr>
                <w:rFonts w:cs="Arial"/>
                <w:lang w:eastAsia="en-AU"/>
              </w:rPr>
            </w:pPr>
            <w:r>
              <w:rPr>
                <w:rFonts w:cs="Arial"/>
                <w:lang w:eastAsia="en-AU"/>
              </w:rPr>
              <w:t>Seq</w:t>
            </w:r>
            <w:r w:rsidRPr="00D04BF5">
              <w:rPr>
                <w:rFonts w:cs="Arial"/>
                <w:lang w:eastAsia="en-AU"/>
              </w:rPr>
              <w:t>uist LV, Schuler M, Yamamoto N et al. LUX Lung 3 Symptom control and health related quality of life results from a randomised phase III study in first-line patients with advanced NSCLC harbouring EGFR mutations.</w:t>
            </w:r>
          </w:p>
        </w:tc>
        <w:tc>
          <w:tcPr>
            <w:tcW w:w="1177" w:type="pct"/>
            <w:tcBorders>
              <w:top w:val="nil"/>
              <w:bottom w:val="nil"/>
            </w:tcBorders>
          </w:tcPr>
          <w:p w:rsidR="00E20CDD" w:rsidRPr="00A2342E" w:rsidRDefault="00E20CDD" w:rsidP="00A80E55">
            <w:pPr>
              <w:pStyle w:val="TableText0"/>
              <w:keepNext w:val="0"/>
              <w:keepLines/>
              <w:spacing w:before="0"/>
              <w:rPr>
                <w:rFonts w:cs="Arial"/>
                <w:i/>
                <w:lang w:eastAsia="en-AU"/>
              </w:rPr>
            </w:pPr>
            <w:r w:rsidRPr="00A2342E">
              <w:rPr>
                <w:rFonts w:cs="Arial"/>
                <w:i/>
                <w:lang w:eastAsia="en-AU"/>
              </w:rPr>
              <w:t>Annals of Oncology</w:t>
            </w:r>
            <w:r w:rsidRPr="00D04BF5">
              <w:rPr>
                <w:rFonts w:cs="Arial"/>
                <w:lang w:eastAsia="en-AU"/>
              </w:rPr>
              <w:t xml:space="preserve"> 2012; 23(Suppl. 9) ix402 Abstract 1229PD.</w:t>
            </w:r>
          </w:p>
        </w:tc>
      </w:tr>
      <w:tr w:rsidR="00E20CDD" w:rsidRPr="004E2ADC" w:rsidTr="00E959F1">
        <w:trPr>
          <w:cantSplit/>
        </w:trPr>
        <w:tc>
          <w:tcPr>
            <w:tcW w:w="1019" w:type="pct"/>
            <w:tcBorders>
              <w:top w:val="nil"/>
              <w:bottom w:val="single" w:sz="4" w:space="0" w:color="auto"/>
            </w:tcBorders>
          </w:tcPr>
          <w:p w:rsidR="00E20CDD" w:rsidRDefault="00E20CDD" w:rsidP="00E959F1">
            <w:pPr>
              <w:spacing w:after="40"/>
              <w:jc w:val="left"/>
              <w:rPr>
                <w:rFonts w:ascii="Arial Narrow" w:hAnsi="Arial Narrow"/>
                <w:sz w:val="20"/>
              </w:rPr>
            </w:pPr>
          </w:p>
        </w:tc>
        <w:tc>
          <w:tcPr>
            <w:tcW w:w="2804" w:type="pct"/>
            <w:tcBorders>
              <w:top w:val="nil"/>
              <w:bottom w:val="single" w:sz="4" w:space="0" w:color="auto"/>
            </w:tcBorders>
          </w:tcPr>
          <w:p w:rsidR="00E20CDD" w:rsidRPr="00D04BF5" w:rsidRDefault="00E20CDD" w:rsidP="00E959F1">
            <w:pPr>
              <w:pStyle w:val="TableText0"/>
              <w:keepNext w:val="0"/>
              <w:keepLines/>
              <w:spacing w:before="0"/>
              <w:rPr>
                <w:rFonts w:cs="Arial"/>
                <w:lang w:eastAsia="en-AU"/>
              </w:rPr>
            </w:pPr>
            <w:r w:rsidRPr="0001404E">
              <w:rPr>
                <w:rFonts w:cs="Arial"/>
                <w:lang w:val="pt-PT" w:eastAsia="en-AU"/>
              </w:rPr>
              <w:t xml:space="preserve">Sequist LV, Yang JC-H, Yamamoto N, et al. </w:t>
            </w:r>
            <w:r w:rsidRPr="00D04BF5">
              <w:rPr>
                <w:rFonts w:cs="Arial"/>
                <w:lang w:eastAsia="en-AU"/>
              </w:rPr>
              <w:t>Phase III study of afatinib or cisplatin plus pemetrexed in patients with metastatic lung adenocarcinoma with EGFR mutations.</w:t>
            </w:r>
          </w:p>
        </w:tc>
        <w:tc>
          <w:tcPr>
            <w:tcW w:w="1177" w:type="pct"/>
            <w:tcBorders>
              <w:top w:val="nil"/>
              <w:bottom w:val="single" w:sz="4" w:space="0" w:color="auto"/>
            </w:tcBorders>
          </w:tcPr>
          <w:p w:rsidR="00E20CDD" w:rsidRPr="00A2342E" w:rsidRDefault="00E20CDD" w:rsidP="00E959F1">
            <w:pPr>
              <w:pStyle w:val="TableText0"/>
              <w:keepNext w:val="0"/>
              <w:keepLines/>
              <w:spacing w:before="0"/>
              <w:rPr>
                <w:rFonts w:cs="Arial"/>
                <w:i/>
                <w:lang w:eastAsia="en-AU"/>
              </w:rPr>
            </w:pPr>
            <w:r w:rsidRPr="00A2342E">
              <w:rPr>
                <w:rFonts w:cs="Arial"/>
                <w:i/>
                <w:lang w:eastAsia="en-AU"/>
              </w:rPr>
              <w:t>Journal of Clinical Oncology</w:t>
            </w:r>
            <w:r w:rsidRPr="00D04BF5">
              <w:rPr>
                <w:rFonts w:cs="Arial"/>
                <w:lang w:eastAsia="en-AU"/>
              </w:rPr>
              <w:t xml:space="preserve"> 2013; 20;31(27):3327-34</w:t>
            </w:r>
          </w:p>
        </w:tc>
      </w:tr>
      <w:tr w:rsidR="00E20CDD" w:rsidRPr="004E2ADC" w:rsidTr="00E959F1">
        <w:trPr>
          <w:cantSplit/>
        </w:trPr>
        <w:tc>
          <w:tcPr>
            <w:tcW w:w="1019" w:type="pct"/>
            <w:tcBorders>
              <w:bottom w:val="nil"/>
            </w:tcBorders>
          </w:tcPr>
          <w:p w:rsidR="00E20CDD" w:rsidRPr="004E2ADC" w:rsidRDefault="00E20CDD" w:rsidP="00E959F1">
            <w:pPr>
              <w:spacing w:after="40"/>
              <w:jc w:val="left"/>
              <w:rPr>
                <w:rFonts w:ascii="Arial Narrow" w:hAnsi="Arial Narrow"/>
                <w:sz w:val="20"/>
              </w:rPr>
            </w:pPr>
            <w:r>
              <w:rPr>
                <w:rFonts w:ascii="Arial Narrow" w:hAnsi="Arial Narrow"/>
                <w:sz w:val="20"/>
              </w:rPr>
              <w:t>LUX Lung 6</w:t>
            </w:r>
          </w:p>
        </w:tc>
        <w:tc>
          <w:tcPr>
            <w:tcW w:w="2804" w:type="pct"/>
            <w:tcBorders>
              <w:bottom w:val="nil"/>
            </w:tcBorders>
          </w:tcPr>
          <w:p w:rsidR="00E20CDD" w:rsidRPr="00F742BB" w:rsidRDefault="00E20CDD" w:rsidP="00E959F1">
            <w:pPr>
              <w:pStyle w:val="TableHeading"/>
              <w:keepNext w:val="0"/>
              <w:keepLines/>
              <w:spacing w:before="0"/>
              <w:rPr>
                <w:rFonts w:cs="Arial"/>
                <w:b w:val="0"/>
                <w:lang w:eastAsia="en-AU"/>
              </w:rPr>
            </w:pPr>
            <w:r w:rsidRPr="00D04BF5">
              <w:rPr>
                <w:rFonts w:cs="Arial"/>
                <w:b w:val="0"/>
                <w:lang w:eastAsia="en-AU"/>
              </w:rPr>
              <w:t>Clinical Trial Report 1200.34 LUX Lung 6: A randomised, open-label, phase III study of BIBW 2992</w:t>
            </w:r>
            <w:r w:rsidRPr="00D04BF5">
              <w:rPr>
                <w:rFonts w:cs="Arial"/>
                <w:vertAlign w:val="superscript"/>
                <w:lang w:eastAsia="en-AU"/>
              </w:rPr>
              <w:t>§</w:t>
            </w:r>
            <w:r w:rsidRPr="00D04BF5">
              <w:rPr>
                <w:rFonts w:cs="Arial"/>
                <w:b w:val="0"/>
                <w:lang w:eastAsia="en-AU"/>
              </w:rPr>
              <w:t xml:space="preserve"> versus chemotherapy as first line treatment for patients with Stage IIIb or IV adenocarcinoma of the lung harbouring an EGFR-activating mutation.</w:t>
            </w:r>
          </w:p>
        </w:tc>
        <w:tc>
          <w:tcPr>
            <w:tcW w:w="1177" w:type="pct"/>
            <w:tcBorders>
              <w:bottom w:val="nil"/>
            </w:tcBorders>
          </w:tcPr>
          <w:p w:rsidR="00E20CDD" w:rsidRPr="004E2ADC" w:rsidRDefault="00E20CDD" w:rsidP="00A80E55">
            <w:pPr>
              <w:spacing w:after="40"/>
              <w:jc w:val="left"/>
              <w:rPr>
                <w:rFonts w:ascii="Arial Narrow" w:hAnsi="Arial Narrow"/>
                <w:b/>
                <w:sz w:val="20"/>
              </w:rPr>
            </w:pPr>
            <w:r>
              <w:rPr>
                <w:rFonts w:ascii="Arial Narrow" w:hAnsi="Arial Narrow"/>
                <w:sz w:val="20"/>
              </w:rPr>
              <w:t>April 2013</w:t>
            </w:r>
          </w:p>
        </w:tc>
      </w:tr>
      <w:tr w:rsidR="00E20CDD" w:rsidRPr="00F742BB" w:rsidTr="00E959F1">
        <w:trPr>
          <w:cantSplit/>
        </w:trPr>
        <w:tc>
          <w:tcPr>
            <w:tcW w:w="1019" w:type="pct"/>
            <w:tcBorders>
              <w:top w:val="nil"/>
              <w:bottom w:val="nil"/>
            </w:tcBorders>
          </w:tcPr>
          <w:p w:rsidR="00E20CDD" w:rsidRPr="00F742BB" w:rsidRDefault="00E20CDD" w:rsidP="00E959F1">
            <w:pPr>
              <w:pStyle w:val="TableText0"/>
              <w:keepNext w:val="0"/>
            </w:pPr>
          </w:p>
        </w:tc>
        <w:tc>
          <w:tcPr>
            <w:tcW w:w="2804" w:type="pct"/>
            <w:tcBorders>
              <w:top w:val="nil"/>
              <w:bottom w:val="nil"/>
            </w:tcBorders>
          </w:tcPr>
          <w:p w:rsidR="00E20CDD" w:rsidRPr="00F742BB" w:rsidRDefault="00E20CDD" w:rsidP="00E959F1">
            <w:pPr>
              <w:pStyle w:val="TableText0"/>
              <w:keepNext w:val="0"/>
            </w:pPr>
            <w:r w:rsidRPr="00F742BB">
              <w:t>Wu YL, Zhou C, Hu CP, et al.: Afatinib versus cisplatin plus gemcitabine for first-line treatment of Asian patients with advanced non-small-cell lung cancer harbouring EGFR mutations (</w:t>
            </w:r>
            <w:r w:rsidR="00F00570">
              <w:t>Lux Lung</w:t>
            </w:r>
            <w:r w:rsidRPr="00F742BB">
              <w:t xml:space="preserve"> 6): An open-label, randomised phase 3 trial.</w:t>
            </w:r>
          </w:p>
        </w:tc>
        <w:tc>
          <w:tcPr>
            <w:tcW w:w="1177" w:type="pct"/>
            <w:tcBorders>
              <w:top w:val="nil"/>
              <w:bottom w:val="nil"/>
            </w:tcBorders>
          </w:tcPr>
          <w:p w:rsidR="00E20CDD" w:rsidRPr="00F742BB" w:rsidRDefault="00E20CDD" w:rsidP="00E959F1">
            <w:pPr>
              <w:pStyle w:val="TableText0"/>
              <w:keepNext w:val="0"/>
            </w:pPr>
            <w:r w:rsidRPr="00F742BB">
              <w:rPr>
                <w:i/>
              </w:rPr>
              <w:t xml:space="preserve">The Lancet Oncology </w:t>
            </w:r>
            <w:r w:rsidRPr="00F742BB">
              <w:t>2014; (15):213-222.</w:t>
            </w:r>
          </w:p>
        </w:tc>
      </w:tr>
      <w:tr w:rsidR="00E20CDD" w:rsidRPr="00F742BB" w:rsidTr="00E959F1">
        <w:trPr>
          <w:cantSplit/>
        </w:trPr>
        <w:tc>
          <w:tcPr>
            <w:tcW w:w="1019" w:type="pct"/>
            <w:tcBorders>
              <w:top w:val="nil"/>
              <w:bottom w:val="nil"/>
            </w:tcBorders>
          </w:tcPr>
          <w:p w:rsidR="00E20CDD" w:rsidRPr="00F742BB" w:rsidRDefault="00E20CDD" w:rsidP="00E959F1">
            <w:pPr>
              <w:pStyle w:val="TableText0"/>
              <w:keepNext w:val="0"/>
            </w:pPr>
          </w:p>
        </w:tc>
        <w:tc>
          <w:tcPr>
            <w:tcW w:w="2804" w:type="pct"/>
            <w:tcBorders>
              <w:top w:val="nil"/>
              <w:bottom w:val="nil"/>
            </w:tcBorders>
          </w:tcPr>
          <w:p w:rsidR="00E20CDD" w:rsidRPr="00F742BB" w:rsidRDefault="00E20CDD" w:rsidP="00E959F1">
            <w:pPr>
              <w:pStyle w:val="TableText0"/>
              <w:keepNext w:val="0"/>
            </w:pPr>
            <w:r w:rsidRPr="00F742BB">
              <w:t>Geater S, Zhou C, Hu CP, et al. LUX Lung 6: Patient reported outcomes (PROs) from a randomised open-label, phase III study in first-line advanced NSCLC patients (pts) harboring epidermal growth factor receptor (EGFR) mutations</w:t>
            </w:r>
          </w:p>
        </w:tc>
        <w:tc>
          <w:tcPr>
            <w:tcW w:w="1177" w:type="pct"/>
            <w:tcBorders>
              <w:top w:val="nil"/>
              <w:bottom w:val="nil"/>
            </w:tcBorders>
          </w:tcPr>
          <w:p w:rsidR="00E20CDD" w:rsidRPr="00F742BB" w:rsidRDefault="00E20CDD" w:rsidP="00E959F1">
            <w:pPr>
              <w:pStyle w:val="TableText0"/>
              <w:keepNext w:val="0"/>
            </w:pPr>
            <w:r w:rsidRPr="00F742BB">
              <w:rPr>
                <w:i/>
              </w:rPr>
              <w:t>Journal of Clinical Oncology</w:t>
            </w:r>
            <w:r w:rsidRPr="00F742BB">
              <w:t xml:space="preserve"> 2013; 31(15) Suppl.1: Abstract 8061</w:t>
            </w:r>
          </w:p>
        </w:tc>
      </w:tr>
      <w:tr w:rsidR="00E20CDD" w:rsidRPr="00F742BB" w:rsidTr="00E959F1">
        <w:trPr>
          <w:cantSplit/>
        </w:trPr>
        <w:tc>
          <w:tcPr>
            <w:tcW w:w="1019" w:type="pct"/>
            <w:tcBorders>
              <w:top w:val="nil"/>
              <w:bottom w:val="nil"/>
            </w:tcBorders>
          </w:tcPr>
          <w:p w:rsidR="00E20CDD" w:rsidRPr="00F742BB" w:rsidRDefault="00E20CDD" w:rsidP="00E959F1">
            <w:pPr>
              <w:pStyle w:val="TableText0"/>
              <w:keepNext w:val="0"/>
            </w:pPr>
          </w:p>
        </w:tc>
        <w:tc>
          <w:tcPr>
            <w:tcW w:w="2804" w:type="pct"/>
            <w:tcBorders>
              <w:top w:val="nil"/>
              <w:bottom w:val="nil"/>
            </w:tcBorders>
          </w:tcPr>
          <w:p w:rsidR="00E20CDD" w:rsidRPr="00F03DAB" w:rsidRDefault="00E20CDD" w:rsidP="00E959F1">
            <w:pPr>
              <w:pStyle w:val="TableText0"/>
              <w:keepNext w:val="0"/>
            </w:pPr>
            <w:r w:rsidRPr="0001404E">
              <w:t xml:space="preserve">Wu YL, Zhou C, Hu CP, et al. </w:t>
            </w:r>
            <w:r w:rsidRPr="00F03DAB">
              <w:t>LUX Lung 6: a randomised, open-label phase III study of afatinib (A) vs gemcitabine/cisplatin (GC) as first line treatment for Asian patients (pts) with EGFR mutation positive (EGFR M+) advanced adenocarcinoma of the lung</w:t>
            </w:r>
          </w:p>
        </w:tc>
        <w:tc>
          <w:tcPr>
            <w:tcW w:w="1177" w:type="pct"/>
            <w:tcBorders>
              <w:top w:val="nil"/>
              <w:bottom w:val="nil"/>
            </w:tcBorders>
          </w:tcPr>
          <w:p w:rsidR="00E20CDD" w:rsidRPr="00F03DAB" w:rsidRDefault="00E20CDD" w:rsidP="00E959F1">
            <w:pPr>
              <w:pStyle w:val="TableText0"/>
              <w:keepNext w:val="0"/>
            </w:pPr>
            <w:r w:rsidRPr="00F03DAB">
              <w:rPr>
                <w:i/>
              </w:rPr>
              <w:t>ERS Annual Congress</w:t>
            </w:r>
            <w:r w:rsidRPr="00F03DAB">
              <w:t>, 2013; (42): 46s</w:t>
            </w:r>
          </w:p>
        </w:tc>
      </w:tr>
      <w:tr w:rsidR="00E20CDD" w:rsidRPr="00F742BB" w:rsidTr="00E959F1">
        <w:trPr>
          <w:cantSplit/>
        </w:trPr>
        <w:tc>
          <w:tcPr>
            <w:tcW w:w="1019" w:type="pct"/>
            <w:tcBorders>
              <w:top w:val="nil"/>
            </w:tcBorders>
          </w:tcPr>
          <w:p w:rsidR="00E20CDD" w:rsidRPr="00F742BB" w:rsidRDefault="00E20CDD" w:rsidP="00E959F1">
            <w:pPr>
              <w:pStyle w:val="TableText0"/>
              <w:keepNext w:val="0"/>
            </w:pPr>
          </w:p>
        </w:tc>
        <w:tc>
          <w:tcPr>
            <w:tcW w:w="2804" w:type="pct"/>
            <w:tcBorders>
              <w:top w:val="nil"/>
            </w:tcBorders>
          </w:tcPr>
          <w:p w:rsidR="00811798" w:rsidRPr="00F03DAB" w:rsidRDefault="00E20CDD" w:rsidP="00E959F1">
            <w:pPr>
              <w:pStyle w:val="TableText0"/>
              <w:keepNext w:val="0"/>
            </w:pPr>
            <w:r w:rsidRPr="0001404E">
              <w:t xml:space="preserve">Yang JC-H, Wu Y-L, Schuler M, Sebastian M, et al. </w:t>
            </w:r>
            <w:r w:rsidRPr="00F03DAB">
              <w:t>Afatinib versus cisplatin-based chemotherapy for EGFR mutation positive lung adenocarcinoma (LUX Lung 3 and LUX Lung 6): analysis of overall survival data from two randomised, phase 3 trials.</w:t>
            </w:r>
          </w:p>
        </w:tc>
        <w:tc>
          <w:tcPr>
            <w:tcW w:w="1177" w:type="pct"/>
            <w:tcBorders>
              <w:top w:val="nil"/>
            </w:tcBorders>
          </w:tcPr>
          <w:p w:rsidR="00E20CDD" w:rsidRPr="00F03DAB" w:rsidRDefault="00E20CDD" w:rsidP="00E959F1">
            <w:pPr>
              <w:pStyle w:val="TableText0"/>
              <w:keepNext w:val="0"/>
            </w:pPr>
            <w:r>
              <w:rPr>
                <w:i/>
              </w:rPr>
              <w:t xml:space="preserve">The </w:t>
            </w:r>
            <w:r w:rsidRPr="00F03DAB">
              <w:rPr>
                <w:i/>
              </w:rPr>
              <w:t xml:space="preserve">Lancet Oncology </w:t>
            </w:r>
            <w:r w:rsidRPr="00F03DAB">
              <w:t>2015; Published online January 12 DOI 10.1016</w:t>
            </w:r>
          </w:p>
        </w:tc>
      </w:tr>
      <w:tr w:rsidR="00E20CDD" w:rsidRPr="004E2ADC" w:rsidTr="00E959F1">
        <w:trPr>
          <w:cantSplit/>
        </w:trPr>
        <w:tc>
          <w:tcPr>
            <w:tcW w:w="5000" w:type="pct"/>
            <w:gridSpan w:val="3"/>
            <w:tcBorders>
              <w:bottom w:val="single" w:sz="4" w:space="0" w:color="auto"/>
            </w:tcBorders>
          </w:tcPr>
          <w:p w:rsidR="00E20CDD" w:rsidRPr="004E2ADC" w:rsidRDefault="00E20CDD" w:rsidP="00E959F1">
            <w:pPr>
              <w:jc w:val="left"/>
              <w:rPr>
                <w:rFonts w:ascii="Arial Narrow" w:hAnsi="Arial Narrow"/>
                <w:b/>
                <w:sz w:val="20"/>
              </w:rPr>
            </w:pPr>
            <w:r>
              <w:rPr>
                <w:rFonts w:ascii="Arial Narrow" w:hAnsi="Arial Narrow"/>
                <w:b/>
                <w:sz w:val="20"/>
              </w:rPr>
              <w:t xml:space="preserve">Trials of gefitinib (comparator) versus chemotherapy </w:t>
            </w:r>
          </w:p>
        </w:tc>
      </w:tr>
      <w:tr w:rsidR="00E20CDD" w:rsidRPr="00565A34" w:rsidTr="00E959F1">
        <w:trPr>
          <w:cantSplit/>
        </w:trPr>
        <w:tc>
          <w:tcPr>
            <w:tcW w:w="1019" w:type="pct"/>
            <w:tcBorders>
              <w:bottom w:val="nil"/>
            </w:tcBorders>
          </w:tcPr>
          <w:p w:rsidR="00E20CDD" w:rsidRPr="00565A34" w:rsidRDefault="00E20CDD" w:rsidP="00E959F1">
            <w:pPr>
              <w:spacing w:after="40"/>
              <w:jc w:val="left"/>
              <w:rPr>
                <w:rFonts w:ascii="Arial Narrow" w:hAnsi="Arial Narrow"/>
                <w:sz w:val="20"/>
              </w:rPr>
            </w:pPr>
            <w:r w:rsidRPr="00565A34">
              <w:rPr>
                <w:rFonts w:ascii="Arial Narrow" w:hAnsi="Arial Narrow"/>
                <w:sz w:val="20"/>
                <w:lang w:eastAsia="en-AU"/>
              </w:rPr>
              <w:t>IPASS</w:t>
            </w:r>
          </w:p>
        </w:tc>
        <w:tc>
          <w:tcPr>
            <w:tcW w:w="2804" w:type="pct"/>
            <w:tcBorders>
              <w:bottom w:val="nil"/>
            </w:tcBorders>
          </w:tcPr>
          <w:p w:rsidR="00E20CDD" w:rsidRPr="00565A34" w:rsidRDefault="00E20CDD" w:rsidP="00E959F1">
            <w:pPr>
              <w:pStyle w:val="Tabletext"/>
              <w:spacing w:after="40"/>
              <w:rPr>
                <w:b/>
              </w:rPr>
            </w:pPr>
            <w:r w:rsidRPr="00D04BF5">
              <w:rPr>
                <w:lang w:eastAsia="en-AU"/>
              </w:rPr>
              <w:t>Mok TS, Wu YL, Thongprasert S et al. Gefitinib or carboplatin-paclitaxel in pulmonary adenocarcinoma.</w:t>
            </w:r>
          </w:p>
        </w:tc>
        <w:tc>
          <w:tcPr>
            <w:tcW w:w="1177" w:type="pct"/>
            <w:tcBorders>
              <w:bottom w:val="nil"/>
            </w:tcBorders>
          </w:tcPr>
          <w:p w:rsidR="00E20CDD" w:rsidRPr="00565A34" w:rsidRDefault="00E20CDD" w:rsidP="00E959F1">
            <w:pPr>
              <w:pStyle w:val="Tabletext"/>
              <w:spacing w:after="40"/>
              <w:rPr>
                <w:b/>
              </w:rPr>
            </w:pPr>
            <w:r w:rsidRPr="00565A34">
              <w:rPr>
                <w:i/>
                <w:lang w:eastAsia="en-AU"/>
              </w:rPr>
              <w:t>New England Journal of Medicine</w:t>
            </w:r>
            <w:r w:rsidRPr="00D04BF5">
              <w:rPr>
                <w:lang w:eastAsia="en-AU"/>
              </w:rPr>
              <w:t xml:space="preserve"> 2009; </w:t>
            </w:r>
            <w:r>
              <w:rPr>
                <w:lang w:eastAsia="en-AU"/>
              </w:rPr>
              <w:t>(</w:t>
            </w:r>
            <w:r w:rsidRPr="00D04BF5">
              <w:rPr>
                <w:lang w:eastAsia="en-AU"/>
              </w:rPr>
              <w:t>361</w:t>
            </w:r>
            <w:r>
              <w:rPr>
                <w:lang w:eastAsia="en-AU"/>
              </w:rPr>
              <w:t>)</w:t>
            </w:r>
            <w:r w:rsidRPr="00D04BF5">
              <w:rPr>
                <w:lang w:eastAsia="en-AU"/>
              </w:rPr>
              <w:t>:947-957.</w:t>
            </w:r>
          </w:p>
        </w:tc>
      </w:tr>
      <w:tr w:rsidR="00E20CDD" w:rsidRPr="00565A34" w:rsidTr="00E959F1">
        <w:trPr>
          <w:cantSplit/>
        </w:trPr>
        <w:tc>
          <w:tcPr>
            <w:tcW w:w="1019" w:type="pct"/>
            <w:tcBorders>
              <w:top w:val="nil"/>
              <w:bottom w:val="nil"/>
            </w:tcBorders>
          </w:tcPr>
          <w:p w:rsidR="00E20CDD" w:rsidRPr="00565A34" w:rsidRDefault="00E20CDD" w:rsidP="00E959F1">
            <w:pPr>
              <w:spacing w:after="40"/>
              <w:jc w:val="left"/>
              <w:rPr>
                <w:rFonts w:ascii="Arial Narrow" w:hAnsi="Arial Narrow"/>
                <w:sz w:val="20"/>
              </w:rPr>
            </w:pPr>
          </w:p>
        </w:tc>
        <w:tc>
          <w:tcPr>
            <w:tcW w:w="2804" w:type="pct"/>
            <w:tcBorders>
              <w:top w:val="nil"/>
              <w:bottom w:val="nil"/>
            </w:tcBorders>
          </w:tcPr>
          <w:p w:rsidR="00E20CDD" w:rsidRPr="002F2D5E" w:rsidRDefault="00E20CDD" w:rsidP="00E959F1">
            <w:pPr>
              <w:pStyle w:val="TableText0"/>
              <w:keepNext w:val="0"/>
              <w:keepLines/>
              <w:spacing w:before="0"/>
              <w:rPr>
                <w:rFonts w:cs="Arial"/>
                <w:lang w:eastAsia="en-AU"/>
              </w:rPr>
            </w:pPr>
            <w:r w:rsidRPr="00D04BF5">
              <w:rPr>
                <w:rFonts w:cs="Arial"/>
                <w:lang w:eastAsia="en-AU"/>
              </w:rPr>
              <w:t>Fukuoka M, Wu YL, Thongprasert S et al. Biomarker analyses and final overall survival results from a phase III, randomized, open-label, first-line study of gefitinib versus carboplatin/paclitaxel in clinically selected patients with advanced non - small-cell lung cancer in Asia (IPASS).</w:t>
            </w:r>
          </w:p>
        </w:tc>
        <w:tc>
          <w:tcPr>
            <w:tcW w:w="1177" w:type="pct"/>
            <w:tcBorders>
              <w:top w:val="nil"/>
              <w:bottom w:val="nil"/>
            </w:tcBorders>
          </w:tcPr>
          <w:p w:rsidR="00E20CDD" w:rsidRPr="002F2D5E" w:rsidRDefault="00E20CDD" w:rsidP="00E959F1">
            <w:pPr>
              <w:pStyle w:val="Tabletext"/>
              <w:spacing w:after="40"/>
            </w:pPr>
            <w:r w:rsidRPr="002F2D5E">
              <w:rPr>
                <w:i/>
                <w:lang w:eastAsia="en-AU"/>
              </w:rPr>
              <w:t>Journal of Clinical Oncology</w:t>
            </w:r>
            <w:r w:rsidRPr="00D04BF5">
              <w:rPr>
                <w:lang w:eastAsia="en-AU"/>
              </w:rPr>
              <w:t xml:space="preserve"> 2011; </w:t>
            </w:r>
            <w:r>
              <w:rPr>
                <w:lang w:eastAsia="en-AU"/>
              </w:rPr>
              <w:t>(</w:t>
            </w:r>
            <w:r w:rsidRPr="00D04BF5">
              <w:rPr>
                <w:lang w:eastAsia="en-AU"/>
              </w:rPr>
              <w:t>29</w:t>
            </w:r>
            <w:r>
              <w:rPr>
                <w:lang w:eastAsia="en-AU"/>
              </w:rPr>
              <w:t>)</w:t>
            </w:r>
            <w:r w:rsidRPr="00D04BF5">
              <w:rPr>
                <w:lang w:eastAsia="en-AU"/>
              </w:rPr>
              <w:t>:2866-2874.</w:t>
            </w:r>
          </w:p>
        </w:tc>
      </w:tr>
      <w:tr w:rsidR="00E20CDD" w:rsidRPr="00565A34" w:rsidTr="00E959F1">
        <w:trPr>
          <w:cantSplit/>
        </w:trPr>
        <w:tc>
          <w:tcPr>
            <w:tcW w:w="1019" w:type="pct"/>
            <w:tcBorders>
              <w:top w:val="nil"/>
              <w:bottom w:val="nil"/>
            </w:tcBorders>
          </w:tcPr>
          <w:p w:rsidR="00E20CDD" w:rsidRPr="00565A34" w:rsidRDefault="00E20CDD" w:rsidP="00E959F1">
            <w:pPr>
              <w:spacing w:after="40"/>
              <w:jc w:val="left"/>
              <w:rPr>
                <w:rFonts w:ascii="Arial Narrow" w:hAnsi="Arial Narrow"/>
                <w:sz w:val="20"/>
              </w:rPr>
            </w:pPr>
          </w:p>
        </w:tc>
        <w:tc>
          <w:tcPr>
            <w:tcW w:w="2804" w:type="pct"/>
            <w:tcBorders>
              <w:top w:val="nil"/>
              <w:bottom w:val="nil"/>
            </w:tcBorders>
          </w:tcPr>
          <w:p w:rsidR="00E20CDD" w:rsidRPr="00565A34" w:rsidRDefault="00E20CDD" w:rsidP="00E959F1">
            <w:pPr>
              <w:pStyle w:val="Tabletext"/>
              <w:spacing w:after="40"/>
            </w:pPr>
            <w:r w:rsidRPr="007C0C29">
              <w:rPr>
                <w:lang w:val="fr-FR"/>
              </w:rPr>
              <w:t xml:space="preserve">Satouchi M, Ichinose Y, Nishiwaki Y et al. </w:t>
            </w:r>
            <w:r w:rsidRPr="00D04BF5">
              <w:t xml:space="preserve">Final analysis of overall survival (OS) in the IPASS, an international multicenter phase III study on gefitinib and carboplatin/paclitaxel for treatment-naive NSCLC patients. [Japanese]. </w:t>
            </w:r>
            <w:r>
              <w:t xml:space="preserve"> </w:t>
            </w:r>
          </w:p>
        </w:tc>
        <w:tc>
          <w:tcPr>
            <w:tcW w:w="1177" w:type="pct"/>
            <w:tcBorders>
              <w:top w:val="nil"/>
              <w:bottom w:val="nil"/>
            </w:tcBorders>
          </w:tcPr>
          <w:p w:rsidR="00E20CDD" w:rsidRPr="00565A34" w:rsidRDefault="00E20CDD" w:rsidP="00E959F1">
            <w:pPr>
              <w:pStyle w:val="Tabletext"/>
              <w:spacing w:after="40"/>
            </w:pPr>
            <w:r w:rsidRPr="002F2D5E">
              <w:rPr>
                <w:i/>
              </w:rPr>
              <w:t>Japanese Journal of Lung Cancer</w:t>
            </w:r>
            <w:r w:rsidRPr="00D04BF5">
              <w:t xml:space="preserve"> 2012; </w:t>
            </w:r>
            <w:r>
              <w:t>(</w:t>
            </w:r>
            <w:r w:rsidRPr="00D04BF5">
              <w:t>52</w:t>
            </w:r>
            <w:r>
              <w:t>)</w:t>
            </w:r>
            <w:r w:rsidRPr="00D04BF5">
              <w:t>:153-160.</w:t>
            </w:r>
          </w:p>
        </w:tc>
      </w:tr>
      <w:tr w:rsidR="00E20CDD" w:rsidRPr="00565A34" w:rsidTr="00E959F1">
        <w:trPr>
          <w:cantSplit/>
        </w:trPr>
        <w:tc>
          <w:tcPr>
            <w:tcW w:w="1019" w:type="pct"/>
            <w:tcBorders>
              <w:top w:val="nil"/>
              <w:bottom w:val="nil"/>
            </w:tcBorders>
          </w:tcPr>
          <w:p w:rsidR="00E20CDD" w:rsidRPr="00565A34" w:rsidRDefault="00E20CDD" w:rsidP="00E959F1">
            <w:pPr>
              <w:spacing w:after="40"/>
              <w:jc w:val="left"/>
              <w:rPr>
                <w:rFonts w:ascii="Arial Narrow" w:hAnsi="Arial Narrow"/>
                <w:sz w:val="20"/>
              </w:rPr>
            </w:pPr>
          </w:p>
        </w:tc>
        <w:tc>
          <w:tcPr>
            <w:tcW w:w="2804" w:type="pct"/>
            <w:tcBorders>
              <w:top w:val="nil"/>
              <w:bottom w:val="nil"/>
            </w:tcBorders>
          </w:tcPr>
          <w:p w:rsidR="00E20CDD" w:rsidRPr="00B64B06" w:rsidRDefault="00E20CDD" w:rsidP="00E959F1">
            <w:pPr>
              <w:pStyle w:val="TableText0"/>
              <w:keepNext w:val="0"/>
              <w:keepLines/>
              <w:spacing w:before="0"/>
              <w:rPr>
                <w:rFonts w:cs="Arial"/>
                <w:lang w:eastAsia="en-AU"/>
              </w:rPr>
            </w:pPr>
            <w:r w:rsidRPr="00D04BF5">
              <w:rPr>
                <w:rFonts w:cs="Arial"/>
                <w:lang w:eastAsia="en-AU"/>
              </w:rPr>
              <w:t xml:space="preserve">Thongprasert S, Duffield E, Saijo N et al. Health-related quality-of-life in a randomized phase III first-line study of gefitinib versus carboplatin/paclitaxel in clinically selected patients from Asia with advanced NSCLC (IPASS). </w:t>
            </w:r>
          </w:p>
        </w:tc>
        <w:tc>
          <w:tcPr>
            <w:tcW w:w="1177" w:type="pct"/>
            <w:tcBorders>
              <w:top w:val="nil"/>
              <w:bottom w:val="nil"/>
            </w:tcBorders>
          </w:tcPr>
          <w:p w:rsidR="00E20CDD" w:rsidRPr="00565A34" w:rsidRDefault="00E20CDD" w:rsidP="00A80E55">
            <w:pPr>
              <w:pStyle w:val="TableText0"/>
              <w:keepNext w:val="0"/>
              <w:keepLines/>
              <w:spacing w:before="0"/>
            </w:pPr>
            <w:r w:rsidRPr="00055DB0">
              <w:rPr>
                <w:rFonts w:cs="Arial"/>
                <w:i/>
                <w:lang w:eastAsia="en-AU"/>
              </w:rPr>
              <w:t>Journal of Thoracic Oncology</w:t>
            </w:r>
            <w:r w:rsidRPr="00D04BF5">
              <w:rPr>
                <w:rFonts w:cs="Arial"/>
                <w:lang w:eastAsia="en-AU"/>
              </w:rPr>
              <w:t xml:space="preserve"> 2011; </w:t>
            </w:r>
            <w:r>
              <w:rPr>
                <w:rFonts w:cs="Arial"/>
                <w:lang w:eastAsia="en-AU"/>
              </w:rPr>
              <w:t>(</w:t>
            </w:r>
            <w:r w:rsidRPr="00D04BF5">
              <w:rPr>
                <w:rFonts w:cs="Arial"/>
                <w:lang w:eastAsia="en-AU"/>
              </w:rPr>
              <w:t>6</w:t>
            </w:r>
            <w:r>
              <w:rPr>
                <w:rFonts w:cs="Arial"/>
                <w:lang w:eastAsia="en-AU"/>
              </w:rPr>
              <w:t>)</w:t>
            </w:r>
            <w:r w:rsidRPr="00D04BF5">
              <w:rPr>
                <w:rFonts w:cs="Arial"/>
                <w:lang w:eastAsia="en-AU"/>
              </w:rPr>
              <w:t>:1872-1880.</w:t>
            </w:r>
          </w:p>
        </w:tc>
      </w:tr>
      <w:tr w:rsidR="00E20CDD" w:rsidRPr="00565A34" w:rsidTr="00E959F1">
        <w:trPr>
          <w:cantSplit/>
        </w:trPr>
        <w:tc>
          <w:tcPr>
            <w:tcW w:w="1019" w:type="pct"/>
            <w:tcBorders>
              <w:top w:val="nil"/>
              <w:bottom w:val="nil"/>
            </w:tcBorders>
          </w:tcPr>
          <w:p w:rsidR="00E20CDD" w:rsidRPr="00565A34" w:rsidRDefault="00E20CDD" w:rsidP="00E959F1">
            <w:pPr>
              <w:spacing w:after="40"/>
              <w:jc w:val="left"/>
              <w:rPr>
                <w:rFonts w:ascii="Arial Narrow" w:hAnsi="Arial Narrow"/>
                <w:sz w:val="20"/>
              </w:rPr>
            </w:pPr>
          </w:p>
        </w:tc>
        <w:tc>
          <w:tcPr>
            <w:tcW w:w="2804" w:type="pct"/>
            <w:tcBorders>
              <w:top w:val="nil"/>
              <w:bottom w:val="nil"/>
            </w:tcBorders>
          </w:tcPr>
          <w:p w:rsidR="00E20CDD" w:rsidRPr="00565A34" w:rsidRDefault="00E20CDD" w:rsidP="00E959F1">
            <w:pPr>
              <w:pStyle w:val="Tabletext"/>
              <w:spacing w:after="40"/>
            </w:pPr>
            <w:r w:rsidRPr="0001404E">
              <w:rPr>
                <w:lang w:val="es-ES_tradnl" w:eastAsia="en-AU"/>
              </w:rPr>
              <w:t xml:space="preserve">Goto K, Ichinose Y, Ohe Y, et al. </w:t>
            </w:r>
            <w:r w:rsidRPr="00D04BF5">
              <w:rPr>
                <w:lang w:eastAsia="en-AU"/>
              </w:rPr>
              <w:t>Epidermal growth factor receptor mutation status in circulating free DNA in serum: from IPASS, a phase III study of gefitinib or carboplatin/paclitaxel in non-small-cell lung cancer.</w:t>
            </w:r>
          </w:p>
        </w:tc>
        <w:tc>
          <w:tcPr>
            <w:tcW w:w="1177" w:type="pct"/>
            <w:tcBorders>
              <w:top w:val="nil"/>
              <w:bottom w:val="nil"/>
            </w:tcBorders>
          </w:tcPr>
          <w:p w:rsidR="00E20CDD" w:rsidRPr="00565A34" w:rsidRDefault="00E20CDD" w:rsidP="00A80E55">
            <w:pPr>
              <w:pStyle w:val="Tabletext"/>
              <w:spacing w:after="40"/>
            </w:pPr>
            <w:r w:rsidRPr="00055DB0">
              <w:rPr>
                <w:i/>
                <w:lang w:eastAsia="en-AU"/>
              </w:rPr>
              <w:t>Thoracic Oncology</w:t>
            </w:r>
            <w:r w:rsidRPr="00D04BF5">
              <w:rPr>
                <w:lang w:eastAsia="en-AU"/>
              </w:rPr>
              <w:t xml:space="preserve"> 2012; 7(1):115-21.</w:t>
            </w:r>
          </w:p>
        </w:tc>
      </w:tr>
      <w:tr w:rsidR="00E20CDD" w:rsidRPr="00565A34" w:rsidTr="00E959F1">
        <w:trPr>
          <w:cantSplit/>
        </w:trPr>
        <w:tc>
          <w:tcPr>
            <w:tcW w:w="1019" w:type="pct"/>
            <w:tcBorders>
              <w:top w:val="nil"/>
              <w:bottom w:val="single" w:sz="4" w:space="0" w:color="auto"/>
            </w:tcBorders>
          </w:tcPr>
          <w:p w:rsidR="00E20CDD" w:rsidRPr="00565A34" w:rsidRDefault="00E20CDD" w:rsidP="00E959F1">
            <w:pPr>
              <w:spacing w:after="40"/>
              <w:jc w:val="left"/>
              <w:rPr>
                <w:rFonts w:ascii="Arial Narrow" w:hAnsi="Arial Narrow"/>
                <w:sz w:val="20"/>
              </w:rPr>
            </w:pPr>
          </w:p>
        </w:tc>
        <w:tc>
          <w:tcPr>
            <w:tcW w:w="2804" w:type="pct"/>
            <w:tcBorders>
              <w:top w:val="nil"/>
              <w:bottom w:val="single" w:sz="4" w:space="0" w:color="auto"/>
            </w:tcBorders>
          </w:tcPr>
          <w:p w:rsidR="00E20CDD" w:rsidRDefault="00E20CDD" w:rsidP="00E959F1">
            <w:pPr>
              <w:pStyle w:val="Tabletext"/>
              <w:spacing w:after="40"/>
              <w:rPr>
                <w:lang w:eastAsia="en-AU"/>
              </w:rPr>
            </w:pPr>
            <w:r w:rsidRPr="0001404E">
              <w:rPr>
                <w:lang w:val="da-DK" w:eastAsia="en-AU"/>
              </w:rPr>
              <w:t xml:space="preserve">Wu YL, Chu DT, Han B, et al. </w:t>
            </w:r>
            <w:r w:rsidRPr="00D04BF5">
              <w:rPr>
                <w:lang w:eastAsia="en-AU"/>
              </w:rPr>
              <w:t>Phase III, randomised, open-label first line study in Asia of gefitinib versus carboplatin/paclitaxel in clinically selected patients with advanced non-small-cell lung cancer; evaluation of patients recruited from mainland China.</w:t>
            </w:r>
          </w:p>
          <w:p w:rsidR="00811798" w:rsidRPr="00565A34" w:rsidRDefault="00811798" w:rsidP="00E959F1">
            <w:pPr>
              <w:pStyle w:val="Tabletext"/>
              <w:spacing w:after="40"/>
            </w:pPr>
          </w:p>
        </w:tc>
        <w:tc>
          <w:tcPr>
            <w:tcW w:w="1177" w:type="pct"/>
            <w:tcBorders>
              <w:top w:val="nil"/>
              <w:bottom w:val="single" w:sz="4" w:space="0" w:color="auto"/>
            </w:tcBorders>
          </w:tcPr>
          <w:p w:rsidR="00E20CDD" w:rsidRPr="00565A34" w:rsidRDefault="00E20CDD" w:rsidP="00E959F1">
            <w:pPr>
              <w:pStyle w:val="Tabletext"/>
              <w:spacing w:after="40"/>
            </w:pPr>
            <w:r w:rsidRPr="00055DB0">
              <w:rPr>
                <w:i/>
                <w:lang w:eastAsia="en-AU"/>
              </w:rPr>
              <w:t>Asia-Pacific Journal of Clinical Oncology</w:t>
            </w:r>
            <w:r w:rsidRPr="00D04BF5">
              <w:rPr>
                <w:lang w:eastAsia="en-AU"/>
              </w:rPr>
              <w:t xml:space="preserve"> 2012; 8(3) 232-43.</w:t>
            </w:r>
          </w:p>
        </w:tc>
      </w:tr>
      <w:tr w:rsidR="00E20CDD" w:rsidRPr="00565A34" w:rsidTr="00E959F1">
        <w:trPr>
          <w:cantSplit/>
        </w:trPr>
        <w:tc>
          <w:tcPr>
            <w:tcW w:w="1019" w:type="pct"/>
            <w:tcBorders>
              <w:bottom w:val="nil"/>
            </w:tcBorders>
          </w:tcPr>
          <w:p w:rsidR="00E20CDD" w:rsidRPr="00565A34" w:rsidRDefault="00E20CDD" w:rsidP="00E959F1">
            <w:pPr>
              <w:pStyle w:val="Tabletext"/>
              <w:spacing w:after="40"/>
            </w:pPr>
            <w:r>
              <w:rPr>
                <w:lang w:eastAsia="en-AU"/>
              </w:rPr>
              <w:t>NEJ002</w:t>
            </w:r>
          </w:p>
        </w:tc>
        <w:tc>
          <w:tcPr>
            <w:tcW w:w="2804" w:type="pct"/>
            <w:tcBorders>
              <w:bottom w:val="nil"/>
            </w:tcBorders>
          </w:tcPr>
          <w:p w:rsidR="00E20CDD" w:rsidRPr="00565A34" w:rsidRDefault="00E20CDD" w:rsidP="00E959F1">
            <w:pPr>
              <w:spacing w:after="40"/>
              <w:jc w:val="left"/>
              <w:rPr>
                <w:rFonts w:ascii="Arial Narrow" w:hAnsi="Arial Narrow"/>
                <w:sz w:val="20"/>
              </w:rPr>
            </w:pPr>
            <w:r w:rsidRPr="00D04BF5">
              <w:rPr>
                <w:rFonts w:ascii="Arial Narrow" w:hAnsi="Arial Narrow"/>
                <w:snapToGrid/>
                <w:sz w:val="20"/>
              </w:rPr>
              <w:t>Maemondo M, Inoue A, Kobayashi K et al. Gefitinib or chemotherapy for non-small-cell lung cancer with mutated EGFR.</w:t>
            </w:r>
          </w:p>
        </w:tc>
        <w:tc>
          <w:tcPr>
            <w:tcW w:w="1177" w:type="pct"/>
            <w:tcBorders>
              <w:bottom w:val="nil"/>
            </w:tcBorders>
          </w:tcPr>
          <w:p w:rsidR="00E20CDD" w:rsidRPr="00565A34" w:rsidRDefault="00E20CDD" w:rsidP="00E959F1">
            <w:pPr>
              <w:spacing w:after="40"/>
              <w:jc w:val="left"/>
              <w:rPr>
                <w:rFonts w:ascii="Arial Narrow" w:hAnsi="Arial Narrow"/>
                <w:sz w:val="20"/>
              </w:rPr>
            </w:pPr>
            <w:r w:rsidRPr="00B64B06">
              <w:rPr>
                <w:rFonts w:ascii="Arial Narrow" w:hAnsi="Arial Narrow" w:cs="Times New Roman"/>
                <w:i/>
                <w:sz w:val="20"/>
              </w:rPr>
              <w:t>New England Journal of Medicine</w:t>
            </w:r>
            <w:r w:rsidRPr="00D04BF5">
              <w:rPr>
                <w:rFonts w:ascii="Arial Narrow" w:hAnsi="Arial Narrow" w:cs="Times New Roman"/>
                <w:sz w:val="20"/>
              </w:rPr>
              <w:t xml:space="preserve"> 2010; </w:t>
            </w:r>
            <w:r>
              <w:rPr>
                <w:rFonts w:ascii="Arial Narrow" w:hAnsi="Arial Narrow" w:cs="Times New Roman"/>
                <w:sz w:val="20"/>
              </w:rPr>
              <w:t>(</w:t>
            </w:r>
            <w:r w:rsidRPr="00D04BF5">
              <w:rPr>
                <w:rFonts w:ascii="Arial Narrow" w:hAnsi="Arial Narrow" w:cs="Times New Roman"/>
                <w:sz w:val="20"/>
              </w:rPr>
              <w:t>362</w:t>
            </w:r>
            <w:r>
              <w:rPr>
                <w:rFonts w:ascii="Arial Narrow" w:hAnsi="Arial Narrow" w:cs="Times New Roman"/>
                <w:sz w:val="20"/>
              </w:rPr>
              <w:t>)</w:t>
            </w:r>
            <w:r w:rsidRPr="00D04BF5">
              <w:rPr>
                <w:rFonts w:ascii="Arial Narrow" w:hAnsi="Arial Narrow" w:cs="Times New Roman"/>
                <w:sz w:val="20"/>
              </w:rPr>
              <w:t>:2380-2388.</w:t>
            </w:r>
          </w:p>
        </w:tc>
      </w:tr>
      <w:tr w:rsidR="00E20CDD" w:rsidRPr="00565A34" w:rsidTr="00E959F1">
        <w:trPr>
          <w:cantSplit/>
        </w:trPr>
        <w:tc>
          <w:tcPr>
            <w:tcW w:w="1019" w:type="pct"/>
            <w:tcBorders>
              <w:top w:val="nil"/>
              <w:bottom w:val="nil"/>
            </w:tcBorders>
          </w:tcPr>
          <w:p w:rsidR="00E20CDD" w:rsidRDefault="00E20CDD" w:rsidP="00E959F1">
            <w:pPr>
              <w:spacing w:after="40"/>
              <w:jc w:val="left"/>
              <w:rPr>
                <w:lang w:eastAsia="en-AU"/>
              </w:rPr>
            </w:pPr>
          </w:p>
        </w:tc>
        <w:tc>
          <w:tcPr>
            <w:tcW w:w="2804" w:type="pct"/>
            <w:tcBorders>
              <w:top w:val="nil"/>
              <w:bottom w:val="nil"/>
            </w:tcBorders>
          </w:tcPr>
          <w:p w:rsidR="00E20CDD" w:rsidRPr="00D04BF5" w:rsidRDefault="00E20CDD" w:rsidP="00E959F1">
            <w:pPr>
              <w:spacing w:after="40"/>
              <w:jc w:val="left"/>
              <w:rPr>
                <w:rFonts w:ascii="Arial Narrow" w:hAnsi="Arial Narrow"/>
                <w:snapToGrid/>
                <w:sz w:val="20"/>
              </w:rPr>
            </w:pPr>
            <w:r w:rsidRPr="0001404E">
              <w:rPr>
                <w:rFonts w:ascii="Arial Narrow" w:hAnsi="Arial Narrow"/>
                <w:sz w:val="20"/>
                <w:lang w:eastAsia="en-AU"/>
              </w:rPr>
              <w:t xml:space="preserve">Inoue A, Kobayashi K, Maemondo M, et al. </w:t>
            </w:r>
            <w:r w:rsidRPr="002344C1">
              <w:rPr>
                <w:rFonts w:ascii="Arial Narrow" w:hAnsi="Arial Narrow"/>
                <w:sz w:val="20"/>
                <w:lang w:eastAsia="en-AU"/>
              </w:rPr>
              <w:t>Updated overall survival results from a randomized phase III trial comparing gefitinib with carboplatin-paclitaxel for chemo-naive non-small cell lung cancer with sensitive EGFR gene mutations (NEJ002).</w:t>
            </w:r>
          </w:p>
        </w:tc>
        <w:tc>
          <w:tcPr>
            <w:tcW w:w="1177" w:type="pct"/>
            <w:tcBorders>
              <w:top w:val="nil"/>
              <w:bottom w:val="nil"/>
            </w:tcBorders>
          </w:tcPr>
          <w:p w:rsidR="00E20CDD" w:rsidRPr="00D04BF5" w:rsidRDefault="00E20CDD" w:rsidP="00E959F1">
            <w:pPr>
              <w:spacing w:after="40"/>
              <w:jc w:val="left"/>
              <w:rPr>
                <w:rFonts w:ascii="Arial Narrow" w:hAnsi="Arial Narrow" w:cs="Times New Roman"/>
                <w:sz w:val="20"/>
              </w:rPr>
            </w:pPr>
            <w:r w:rsidRPr="00B64B06">
              <w:rPr>
                <w:rFonts w:ascii="Arial Narrow" w:hAnsi="Arial Narrow"/>
                <w:i/>
                <w:sz w:val="20"/>
                <w:lang w:eastAsia="en-AU"/>
              </w:rPr>
              <w:t>Annals of Oncology</w:t>
            </w:r>
            <w:r w:rsidRPr="002344C1">
              <w:rPr>
                <w:rFonts w:ascii="Arial Narrow" w:hAnsi="Arial Narrow"/>
                <w:sz w:val="20"/>
                <w:lang w:eastAsia="en-AU"/>
              </w:rPr>
              <w:t xml:space="preserve"> 2013; </w:t>
            </w:r>
            <w:r>
              <w:rPr>
                <w:rFonts w:ascii="Arial Narrow" w:hAnsi="Arial Narrow"/>
                <w:sz w:val="20"/>
                <w:lang w:eastAsia="en-AU"/>
              </w:rPr>
              <w:t>(</w:t>
            </w:r>
            <w:r w:rsidRPr="002344C1">
              <w:rPr>
                <w:rFonts w:ascii="Arial Narrow" w:hAnsi="Arial Narrow"/>
                <w:sz w:val="20"/>
                <w:lang w:eastAsia="en-AU"/>
              </w:rPr>
              <w:t>24</w:t>
            </w:r>
            <w:r>
              <w:rPr>
                <w:rFonts w:ascii="Arial Narrow" w:hAnsi="Arial Narrow"/>
                <w:sz w:val="20"/>
                <w:lang w:eastAsia="en-AU"/>
              </w:rPr>
              <w:t>)</w:t>
            </w:r>
            <w:r w:rsidRPr="002344C1">
              <w:rPr>
                <w:rFonts w:ascii="Arial Narrow" w:hAnsi="Arial Narrow"/>
                <w:sz w:val="20"/>
                <w:lang w:eastAsia="en-AU"/>
              </w:rPr>
              <w:t>:54-59.</w:t>
            </w:r>
          </w:p>
        </w:tc>
      </w:tr>
      <w:tr w:rsidR="00E20CDD" w:rsidRPr="00565A34" w:rsidTr="00E959F1">
        <w:trPr>
          <w:cantSplit/>
        </w:trPr>
        <w:tc>
          <w:tcPr>
            <w:tcW w:w="1019" w:type="pct"/>
            <w:tcBorders>
              <w:top w:val="nil"/>
              <w:bottom w:val="single" w:sz="4" w:space="0" w:color="auto"/>
            </w:tcBorders>
          </w:tcPr>
          <w:p w:rsidR="00E20CDD" w:rsidRDefault="00E20CDD" w:rsidP="00E959F1">
            <w:pPr>
              <w:spacing w:after="40"/>
              <w:jc w:val="left"/>
              <w:rPr>
                <w:lang w:eastAsia="en-AU"/>
              </w:rPr>
            </w:pPr>
          </w:p>
        </w:tc>
        <w:tc>
          <w:tcPr>
            <w:tcW w:w="2804" w:type="pct"/>
            <w:tcBorders>
              <w:top w:val="nil"/>
              <w:bottom w:val="single" w:sz="4" w:space="0" w:color="auto"/>
            </w:tcBorders>
          </w:tcPr>
          <w:p w:rsidR="00E20CDD" w:rsidRDefault="00E20CDD" w:rsidP="00E959F1">
            <w:pPr>
              <w:spacing w:after="40"/>
              <w:jc w:val="left"/>
              <w:rPr>
                <w:rFonts w:ascii="Arial Narrow" w:hAnsi="Arial Narrow"/>
                <w:sz w:val="20"/>
                <w:lang w:eastAsia="en-AU"/>
              </w:rPr>
            </w:pPr>
            <w:r w:rsidRPr="002344C1">
              <w:rPr>
                <w:rFonts w:ascii="Arial Narrow" w:hAnsi="Arial Narrow"/>
                <w:sz w:val="20"/>
                <w:lang w:eastAsia="en-AU"/>
              </w:rPr>
              <w:t>Oizumi S, Kobayashi K, Inoue A, et al. Quality of life with gefitinib in patients with EGFR-mutated non-small-cell lung cancer: quality of life analysis of North East Japan Study Group 002 Trial.</w:t>
            </w:r>
          </w:p>
          <w:p w:rsidR="00811798" w:rsidRPr="00D04BF5" w:rsidRDefault="00811798" w:rsidP="00E959F1">
            <w:pPr>
              <w:spacing w:after="40"/>
              <w:jc w:val="left"/>
              <w:rPr>
                <w:rFonts w:ascii="Arial Narrow" w:hAnsi="Arial Narrow"/>
                <w:snapToGrid/>
                <w:sz w:val="20"/>
              </w:rPr>
            </w:pPr>
          </w:p>
        </w:tc>
        <w:tc>
          <w:tcPr>
            <w:tcW w:w="1177" w:type="pct"/>
            <w:tcBorders>
              <w:top w:val="nil"/>
              <w:bottom w:val="single" w:sz="4" w:space="0" w:color="auto"/>
            </w:tcBorders>
          </w:tcPr>
          <w:p w:rsidR="00E20CDD" w:rsidRPr="00D04BF5" w:rsidRDefault="00E20CDD" w:rsidP="00E959F1">
            <w:pPr>
              <w:spacing w:after="40"/>
              <w:jc w:val="left"/>
              <w:rPr>
                <w:rFonts w:ascii="Arial Narrow" w:hAnsi="Arial Narrow" w:cs="Times New Roman"/>
                <w:sz w:val="20"/>
              </w:rPr>
            </w:pPr>
            <w:r w:rsidRPr="00B64B06">
              <w:rPr>
                <w:rFonts w:ascii="Arial Narrow" w:hAnsi="Arial Narrow"/>
                <w:i/>
                <w:sz w:val="20"/>
                <w:lang w:eastAsia="en-AU"/>
              </w:rPr>
              <w:t>Oncologist</w:t>
            </w:r>
            <w:r w:rsidRPr="002344C1">
              <w:rPr>
                <w:rFonts w:ascii="Arial Narrow" w:hAnsi="Arial Narrow"/>
                <w:sz w:val="20"/>
                <w:lang w:eastAsia="en-AU"/>
              </w:rPr>
              <w:t xml:space="preserve"> 2012; 17(6):863-870.</w:t>
            </w:r>
          </w:p>
        </w:tc>
      </w:tr>
      <w:tr w:rsidR="00E20CDD" w:rsidRPr="00565A34" w:rsidTr="00E959F1">
        <w:trPr>
          <w:cantSplit/>
        </w:trPr>
        <w:tc>
          <w:tcPr>
            <w:tcW w:w="1019" w:type="pct"/>
            <w:tcBorders>
              <w:bottom w:val="nil"/>
            </w:tcBorders>
          </w:tcPr>
          <w:p w:rsidR="00E20CDD" w:rsidRDefault="00E20CDD" w:rsidP="00E959F1">
            <w:pPr>
              <w:pStyle w:val="Tabletext"/>
              <w:spacing w:afterLines="40" w:after="96"/>
              <w:rPr>
                <w:lang w:eastAsia="en-AU"/>
              </w:rPr>
            </w:pPr>
            <w:r w:rsidRPr="00D04BF5">
              <w:rPr>
                <w:lang w:eastAsia="en-AU"/>
              </w:rPr>
              <w:t>WJTOG3405</w:t>
            </w:r>
          </w:p>
        </w:tc>
        <w:tc>
          <w:tcPr>
            <w:tcW w:w="2804" w:type="pct"/>
            <w:tcBorders>
              <w:bottom w:val="nil"/>
            </w:tcBorders>
          </w:tcPr>
          <w:p w:rsidR="00E20CDD" w:rsidRPr="008B02B2" w:rsidRDefault="00E20CDD" w:rsidP="00E959F1">
            <w:pPr>
              <w:spacing w:afterLines="40" w:after="96"/>
              <w:jc w:val="left"/>
              <w:rPr>
                <w:rFonts w:ascii="Arial Narrow" w:hAnsi="Arial Narrow"/>
                <w:sz w:val="20"/>
                <w:lang w:eastAsia="en-AU"/>
              </w:rPr>
            </w:pPr>
            <w:r w:rsidRPr="0001404E">
              <w:rPr>
                <w:rFonts w:ascii="Arial Narrow" w:hAnsi="Arial Narrow"/>
                <w:sz w:val="20"/>
                <w:lang w:val="es-ES_tradnl" w:eastAsia="en-AU"/>
              </w:rPr>
              <w:t xml:space="preserve">Mitsudomi T, Morita S, Yatabe Y et al. </w:t>
            </w:r>
            <w:r w:rsidRPr="008B02B2">
              <w:rPr>
                <w:rFonts w:ascii="Arial Narrow" w:hAnsi="Arial Narrow"/>
                <w:sz w:val="20"/>
                <w:lang w:eastAsia="en-AU"/>
              </w:rPr>
              <w:t>Gefitinib versus cisplatin plus docetaxel in patients with non-small-cell lung cancer harbouring mutations of the epidermal growth factor receptor (WJTOG3405): an open label, randomised phase 3 trial.</w:t>
            </w:r>
          </w:p>
        </w:tc>
        <w:tc>
          <w:tcPr>
            <w:tcW w:w="1177" w:type="pct"/>
            <w:tcBorders>
              <w:bottom w:val="nil"/>
            </w:tcBorders>
          </w:tcPr>
          <w:p w:rsidR="00E20CDD" w:rsidRPr="00D04BF5" w:rsidRDefault="00E20CDD" w:rsidP="00E959F1">
            <w:pPr>
              <w:pStyle w:val="Tabletext"/>
              <w:spacing w:afterLines="40" w:after="96"/>
            </w:pPr>
            <w:r>
              <w:rPr>
                <w:i/>
              </w:rPr>
              <w:t xml:space="preserve">The </w:t>
            </w:r>
            <w:r w:rsidRPr="004F7B8D">
              <w:rPr>
                <w:i/>
              </w:rPr>
              <w:t>Lancet Oncology</w:t>
            </w:r>
            <w:r w:rsidRPr="00D04BF5">
              <w:t xml:space="preserve"> 2010; </w:t>
            </w:r>
            <w:r>
              <w:t>(</w:t>
            </w:r>
            <w:r w:rsidRPr="00D04BF5">
              <w:t>11</w:t>
            </w:r>
            <w:r>
              <w:t>)</w:t>
            </w:r>
            <w:r w:rsidRPr="00D04BF5">
              <w:t>:121-128.</w:t>
            </w:r>
          </w:p>
        </w:tc>
      </w:tr>
      <w:tr w:rsidR="00E20CDD" w:rsidRPr="00565A34" w:rsidTr="00E959F1">
        <w:trPr>
          <w:cantSplit/>
        </w:trPr>
        <w:tc>
          <w:tcPr>
            <w:tcW w:w="1019" w:type="pct"/>
            <w:tcBorders>
              <w:top w:val="nil"/>
            </w:tcBorders>
          </w:tcPr>
          <w:p w:rsidR="00E20CDD" w:rsidRPr="00D04BF5" w:rsidRDefault="00E20CDD" w:rsidP="00E959F1">
            <w:pPr>
              <w:pStyle w:val="Tabletext"/>
              <w:spacing w:afterLines="40" w:after="96"/>
              <w:rPr>
                <w:lang w:eastAsia="en-AU"/>
              </w:rPr>
            </w:pPr>
          </w:p>
        </w:tc>
        <w:tc>
          <w:tcPr>
            <w:tcW w:w="2804" w:type="pct"/>
            <w:tcBorders>
              <w:top w:val="nil"/>
            </w:tcBorders>
          </w:tcPr>
          <w:p w:rsidR="00E20CDD" w:rsidRDefault="00E20CDD" w:rsidP="00E959F1">
            <w:pPr>
              <w:spacing w:afterLines="40" w:after="96"/>
              <w:jc w:val="left"/>
              <w:rPr>
                <w:rFonts w:ascii="Arial Narrow" w:hAnsi="Arial Narrow"/>
                <w:sz w:val="20"/>
                <w:lang w:eastAsia="en-AU"/>
              </w:rPr>
            </w:pPr>
            <w:r w:rsidRPr="008B02B2">
              <w:rPr>
                <w:rFonts w:ascii="Arial Narrow" w:hAnsi="Arial Narrow"/>
                <w:sz w:val="20"/>
                <w:lang w:eastAsia="en-AU"/>
              </w:rPr>
              <w:t>Yoshioka H, Mitsudomi T, Morita S, et al.: Final overall survival results of WJTOG 3405, a randomized phase 3 trial comparing gefitinib (G) with cisplatin plus docetaxel (CD) as the first-line treatment for patients with non-small cell lung cancer (NSCLC) harboring mutations of the epidermal growth factor receptor (EGFR).</w:t>
            </w:r>
          </w:p>
          <w:p w:rsidR="00811798" w:rsidRPr="008B02B2" w:rsidRDefault="00811798" w:rsidP="00E959F1">
            <w:pPr>
              <w:spacing w:afterLines="40" w:after="96"/>
              <w:jc w:val="left"/>
              <w:rPr>
                <w:rFonts w:ascii="Arial Narrow" w:hAnsi="Arial Narrow"/>
                <w:sz w:val="20"/>
                <w:lang w:eastAsia="en-AU"/>
              </w:rPr>
            </w:pPr>
          </w:p>
        </w:tc>
        <w:tc>
          <w:tcPr>
            <w:tcW w:w="1177" w:type="pct"/>
            <w:tcBorders>
              <w:top w:val="nil"/>
            </w:tcBorders>
          </w:tcPr>
          <w:p w:rsidR="00E20CDD" w:rsidRPr="004F7B8D" w:rsidRDefault="00E20CDD" w:rsidP="00E959F1">
            <w:pPr>
              <w:pStyle w:val="Tabletext"/>
              <w:spacing w:afterLines="40" w:after="96"/>
              <w:rPr>
                <w:i/>
              </w:rPr>
            </w:pPr>
            <w:r w:rsidRPr="00FF1793">
              <w:rPr>
                <w:rFonts w:cs="Arial"/>
                <w:i/>
                <w:lang w:eastAsia="en-AU"/>
              </w:rPr>
              <w:t xml:space="preserve">Journal of Clinical Oncology </w:t>
            </w:r>
            <w:r w:rsidRPr="002344C1">
              <w:rPr>
                <w:rFonts w:cs="Arial"/>
                <w:lang w:eastAsia="en-AU"/>
              </w:rPr>
              <w:t>2014 ASCO Annual Meeting Abstract 8117.</w:t>
            </w:r>
          </w:p>
        </w:tc>
      </w:tr>
      <w:tr w:rsidR="00E20CDD" w:rsidRPr="00565A34" w:rsidTr="00E959F1">
        <w:trPr>
          <w:cantSplit/>
        </w:trPr>
        <w:tc>
          <w:tcPr>
            <w:tcW w:w="5000" w:type="pct"/>
            <w:gridSpan w:val="3"/>
          </w:tcPr>
          <w:p w:rsidR="00E20CDD" w:rsidRPr="008B02B2" w:rsidRDefault="00E20CDD" w:rsidP="00E959F1">
            <w:pPr>
              <w:pStyle w:val="Tabletext"/>
              <w:rPr>
                <w:b/>
              </w:rPr>
            </w:pPr>
            <w:r>
              <w:rPr>
                <w:b/>
              </w:rPr>
              <w:t>Trials of erlotinib (comparator) versus chemotherapy</w:t>
            </w:r>
          </w:p>
        </w:tc>
      </w:tr>
      <w:tr w:rsidR="00E20CDD" w:rsidRPr="008B02B2" w:rsidTr="00E959F1">
        <w:trPr>
          <w:cantSplit/>
        </w:trPr>
        <w:tc>
          <w:tcPr>
            <w:tcW w:w="1019" w:type="pct"/>
            <w:tcBorders>
              <w:bottom w:val="single" w:sz="4" w:space="0" w:color="auto"/>
            </w:tcBorders>
          </w:tcPr>
          <w:p w:rsidR="00E20CDD" w:rsidRPr="008B02B2" w:rsidRDefault="00E20CDD" w:rsidP="00E959F1">
            <w:pPr>
              <w:pStyle w:val="Tabletext"/>
              <w:spacing w:after="40"/>
            </w:pPr>
            <w:r w:rsidRPr="00D04BF5">
              <w:rPr>
                <w:rFonts w:cs="Arial"/>
                <w:lang w:eastAsia="en-AU"/>
              </w:rPr>
              <w:t>EURTAC</w:t>
            </w:r>
          </w:p>
        </w:tc>
        <w:tc>
          <w:tcPr>
            <w:tcW w:w="2804" w:type="pct"/>
            <w:tcBorders>
              <w:bottom w:val="single" w:sz="4" w:space="0" w:color="auto"/>
            </w:tcBorders>
          </w:tcPr>
          <w:p w:rsidR="00E20CDD" w:rsidRDefault="00E20CDD" w:rsidP="00E959F1">
            <w:pPr>
              <w:pStyle w:val="Tabletext"/>
              <w:spacing w:after="40"/>
              <w:rPr>
                <w:rFonts w:cs="Arial"/>
                <w:lang w:eastAsia="en-AU"/>
              </w:rPr>
            </w:pPr>
            <w:r w:rsidRPr="00D04BF5">
              <w:rPr>
                <w:rFonts w:cs="Arial"/>
                <w:lang w:eastAsia="en-AU"/>
              </w:rPr>
              <w:t>Rosell R, Carcereny E, Gervais R et al. Erlotinib versus standard chemotherapy as first-line treatment for European patients with advanced EGFR mutation-positive non-small-cell lung cancer (EURTAC): A multicentre, open-label, randomised phase 3 trial.</w:t>
            </w:r>
          </w:p>
          <w:p w:rsidR="00811798" w:rsidRPr="008B02B2" w:rsidRDefault="00811798" w:rsidP="00E959F1">
            <w:pPr>
              <w:pStyle w:val="Tabletext"/>
              <w:spacing w:after="40"/>
            </w:pPr>
          </w:p>
        </w:tc>
        <w:tc>
          <w:tcPr>
            <w:tcW w:w="1177" w:type="pct"/>
            <w:tcBorders>
              <w:bottom w:val="single" w:sz="4" w:space="0" w:color="auto"/>
            </w:tcBorders>
          </w:tcPr>
          <w:p w:rsidR="00E20CDD" w:rsidRPr="008B02B2" w:rsidRDefault="00E20CDD" w:rsidP="00E959F1">
            <w:pPr>
              <w:pStyle w:val="Tabletext"/>
              <w:spacing w:after="40"/>
            </w:pPr>
            <w:r>
              <w:rPr>
                <w:rFonts w:cs="Arial"/>
                <w:i/>
                <w:lang w:eastAsia="en-AU"/>
              </w:rPr>
              <w:t xml:space="preserve">The </w:t>
            </w:r>
            <w:r w:rsidRPr="008B02B2">
              <w:rPr>
                <w:rFonts w:cs="Arial"/>
                <w:i/>
                <w:lang w:eastAsia="en-AU"/>
              </w:rPr>
              <w:t>Lancet Oncology</w:t>
            </w:r>
            <w:r w:rsidRPr="00D04BF5">
              <w:rPr>
                <w:rFonts w:cs="Arial"/>
                <w:lang w:eastAsia="en-AU"/>
              </w:rPr>
              <w:t xml:space="preserve"> 2012;</w:t>
            </w:r>
            <w:r>
              <w:rPr>
                <w:rFonts w:cs="Arial"/>
                <w:lang w:eastAsia="en-AU"/>
              </w:rPr>
              <w:t xml:space="preserve"> (</w:t>
            </w:r>
            <w:r w:rsidRPr="00D04BF5">
              <w:rPr>
                <w:rFonts w:cs="Arial"/>
                <w:lang w:eastAsia="en-AU"/>
              </w:rPr>
              <w:t>13</w:t>
            </w:r>
            <w:r>
              <w:rPr>
                <w:rFonts w:cs="Arial"/>
                <w:lang w:eastAsia="en-AU"/>
              </w:rPr>
              <w:t>)</w:t>
            </w:r>
            <w:r w:rsidRPr="00D04BF5">
              <w:rPr>
                <w:rFonts w:cs="Arial"/>
                <w:lang w:eastAsia="en-AU"/>
              </w:rPr>
              <w:t>:239-246</w:t>
            </w:r>
            <w:r>
              <w:rPr>
                <w:rFonts w:cs="Arial"/>
                <w:u w:val="single"/>
                <w:lang w:eastAsia="en-AU"/>
              </w:rPr>
              <w:t>.</w:t>
            </w:r>
          </w:p>
        </w:tc>
      </w:tr>
      <w:tr w:rsidR="00E20CDD" w:rsidRPr="008B02B2" w:rsidTr="00E959F1">
        <w:trPr>
          <w:cantSplit/>
        </w:trPr>
        <w:tc>
          <w:tcPr>
            <w:tcW w:w="1019" w:type="pct"/>
            <w:tcBorders>
              <w:bottom w:val="nil"/>
            </w:tcBorders>
          </w:tcPr>
          <w:p w:rsidR="00E20CDD" w:rsidRPr="008B02B2" w:rsidRDefault="00E20CDD" w:rsidP="00E959F1">
            <w:pPr>
              <w:pStyle w:val="Tabletext"/>
              <w:spacing w:after="40"/>
            </w:pPr>
            <w:r w:rsidRPr="00D04BF5">
              <w:rPr>
                <w:rFonts w:cs="Arial"/>
                <w:lang w:eastAsia="en-AU"/>
              </w:rPr>
              <w:t>OPTIMAL</w:t>
            </w:r>
          </w:p>
        </w:tc>
        <w:tc>
          <w:tcPr>
            <w:tcW w:w="2804" w:type="pct"/>
            <w:tcBorders>
              <w:bottom w:val="nil"/>
            </w:tcBorders>
          </w:tcPr>
          <w:p w:rsidR="00E20CDD" w:rsidRPr="008B02B2" w:rsidRDefault="00E20CDD" w:rsidP="00E959F1">
            <w:pPr>
              <w:pStyle w:val="Tabletext"/>
              <w:spacing w:after="40"/>
            </w:pPr>
            <w:r w:rsidRPr="0001404E">
              <w:rPr>
                <w:rFonts w:cs="Arial"/>
                <w:lang w:eastAsia="en-AU"/>
              </w:rPr>
              <w:t xml:space="preserve">Zhou C, Wu YL, Chen G et al. </w:t>
            </w:r>
            <w:r w:rsidRPr="00D04BF5">
              <w:rPr>
                <w:rFonts w:cs="Arial"/>
                <w:lang w:eastAsia="en-AU"/>
              </w:rPr>
              <w:t>Erlotinib versus chemotherapy as first-line treatment for patients with advanced EGFR mutation-positive non-small-cell lung cancer (OPTIMAL, CTONG-0802): a multicentre, open-label, randomised, phase 3 study.</w:t>
            </w:r>
          </w:p>
        </w:tc>
        <w:tc>
          <w:tcPr>
            <w:tcW w:w="1177" w:type="pct"/>
            <w:tcBorders>
              <w:bottom w:val="nil"/>
            </w:tcBorders>
          </w:tcPr>
          <w:p w:rsidR="00E20CDD" w:rsidRPr="008B02B2" w:rsidRDefault="00E20CDD" w:rsidP="00E959F1">
            <w:pPr>
              <w:pStyle w:val="Tabletext"/>
              <w:spacing w:after="40"/>
            </w:pPr>
            <w:r w:rsidRPr="008B02B2">
              <w:rPr>
                <w:rFonts w:cs="Arial"/>
                <w:i/>
                <w:lang w:eastAsia="en-AU"/>
              </w:rPr>
              <w:t xml:space="preserve">The Lancet Oncology </w:t>
            </w:r>
            <w:r w:rsidRPr="00D04BF5">
              <w:rPr>
                <w:rFonts w:cs="Arial"/>
                <w:lang w:eastAsia="en-AU"/>
              </w:rPr>
              <w:t xml:space="preserve">2011; </w:t>
            </w:r>
            <w:r>
              <w:rPr>
                <w:rFonts w:cs="Arial"/>
                <w:lang w:eastAsia="en-AU"/>
              </w:rPr>
              <w:t>(</w:t>
            </w:r>
            <w:r w:rsidRPr="00D04BF5">
              <w:rPr>
                <w:rFonts w:cs="Arial"/>
                <w:lang w:eastAsia="en-AU"/>
              </w:rPr>
              <w:t>12</w:t>
            </w:r>
            <w:r>
              <w:rPr>
                <w:rFonts w:cs="Arial"/>
                <w:lang w:eastAsia="en-AU"/>
              </w:rPr>
              <w:t>)</w:t>
            </w:r>
            <w:r w:rsidRPr="00D04BF5">
              <w:rPr>
                <w:rFonts w:cs="Arial"/>
                <w:lang w:eastAsia="en-AU"/>
              </w:rPr>
              <w:t>:735-742.</w:t>
            </w:r>
          </w:p>
        </w:tc>
      </w:tr>
      <w:tr w:rsidR="00E20CDD" w:rsidRPr="008B02B2" w:rsidTr="00E959F1">
        <w:trPr>
          <w:cantSplit/>
        </w:trPr>
        <w:tc>
          <w:tcPr>
            <w:tcW w:w="1019" w:type="pct"/>
            <w:tcBorders>
              <w:top w:val="nil"/>
              <w:bottom w:val="nil"/>
            </w:tcBorders>
          </w:tcPr>
          <w:p w:rsidR="00E20CDD" w:rsidRPr="008B02B2" w:rsidRDefault="00E20CDD" w:rsidP="00E959F1">
            <w:pPr>
              <w:pStyle w:val="Tabletext"/>
              <w:spacing w:after="40"/>
            </w:pPr>
          </w:p>
        </w:tc>
        <w:tc>
          <w:tcPr>
            <w:tcW w:w="2804" w:type="pct"/>
            <w:tcBorders>
              <w:top w:val="nil"/>
              <w:bottom w:val="nil"/>
            </w:tcBorders>
          </w:tcPr>
          <w:p w:rsidR="00E20CDD" w:rsidRPr="008B02B2" w:rsidRDefault="00E20CDD" w:rsidP="00E959F1">
            <w:pPr>
              <w:pStyle w:val="Tabletext"/>
              <w:spacing w:after="40"/>
            </w:pPr>
            <w:r w:rsidRPr="0001404E">
              <w:rPr>
                <w:rFonts w:cs="Arial"/>
                <w:lang w:eastAsia="en-AU"/>
              </w:rPr>
              <w:t xml:space="preserve">Zhou C, Wu YL, Chen G et al. </w:t>
            </w:r>
            <w:r w:rsidRPr="00D04BF5">
              <w:rPr>
                <w:rFonts w:cs="Arial"/>
                <w:lang w:eastAsia="en-AU"/>
              </w:rPr>
              <w:t>Updated efficacy and quality-of-life (QoL) analyses in OPTIMAL, a phase III, randomized, open-label study of first-line erlotinib versus gemcitabine/carboplatin in patients with EGFR-activating mutation-positive (EGFR Act Mut+) advanced non-small cell lung cancer (NSCLC).</w:t>
            </w:r>
          </w:p>
        </w:tc>
        <w:tc>
          <w:tcPr>
            <w:tcW w:w="1177" w:type="pct"/>
            <w:tcBorders>
              <w:top w:val="nil"/>
              <w:bottom w:val="nil"/>
            </w:tcBorders>
          </w:tcPr>
          <w:p w:rsidR="00E20CDD" w:rsidRPr="008B02B2" w:rsidRDefault="00E20CDD" w:rsidP="00E959F1">
            <w:pPr>
              <w:pStyle w:val="Tabletext"/>
              <w:spacing w:after="40"/>
            </w:pPr>
            <w:r w:rsidRPr="008B02B2">
              <w:rPr>
                <w:rFonts w:cs="Arial"/>
                <w:i/>
                <w:lang w:eastAsia="en-AU"/>
              </w:rPr>
              <w:t>ASCO Annual Meeting</w:t>
            </w:r>
            <w:r w:rsidRPr="00D04BF5">
              <w:rPr>
                <w:rFonts w:cs="Arial"/>
                <w:lang w:eastAsia="en-AU"/>
              </w:rPr>
              <w:t xml:space="preserve"> 2011; Abstract 7520.</w:t>
            </w:r>
          </w:p>
        </w:tc>
      </w:tr>
      <w:tr w:rsidR="00E20CDD" w:rsidRPr="008B02B2" w:rsidTr="00E959F1">
        <w:trPr>
          <w:cantSplit/>
        </w:trPr>
        <w:tc>
          <w:tcPr>
            <w:tcW w:w="1019" w:type="pct"/>
            <w:tcBorders>
              <w:top w:val="nil"/>
              <w:bottom w:val="nil"/>
            </w:tcBorders>
          </w:tcPr>
          <w:p w:rsidR="00E20CDD" w:rsidRPr="008B02B2" w:rsidRDefault="00E20CDD" w:rsidP="00E959F1">
            <w:pPr>
              <w:pStyle w:val="Tabletext"/>
              <w:spacing w:after="40"/>
            </w:pPr>
          </w:p>
        </w:tc>
        <w:tc>
          <w:tcPr>
            <w:tcW w:w="2804" w:type="pct"/>
            <w:tcBorders>
              <w:top w:val="nil"/>
              <w:bottom w:val="nil"/>
            </w:tcBorders>
          </w:tcPr>
          <w:p w:rsidR="00E20CDD" w:rsidRPr="008B02B2" w:rsidRDefault="00E20CDD" w:rsidP="00E959F1">
            <w:pPr>
              <w:pStyle w:val="TableText0"/>
              <w:keepNext w:val="0"/>
              <w:keepLines/>
              <w:spacing w:before="0"/>
              <w:rPr>
                <w:rFonts w:cs="Arial"/>
                <w:lang w:eastAsia="en-AU"/>
              </w:rPr>
            </w:pPr>
            <w:r w:rsidRPr="0001404E">
              <w:rPr>
                <w:rFonts w:cs="Arial"/>
                <w:lang w:eastAsia="en-AU"/>
              </w:rPr>
              <w:t xml:space="preserve">Zhou C, Wu Y, Liu X, Wang C, et al.  </w:t>
            </w:r>
            <w:r w:rsidRPr="00D04BF5">
              <w:rPr>
                <w:rFonts w:cs="Arial"/>
                <w:lang w:eastAsia="en-AU"/>
              </w:rPr>
              <w:t>Preliminary overall survival results from OPTIMAL, a phase III trial of erlotinib versus carboplatin plus gemcitabine as first-line treatment for Chinese patients with EGFR M+ advanced NSCLC.</w:t>
            </w:r>
          </w:p>
        </w:tc>
        <w:tc>
          <w:tcPr>
            <w:tcW w:w="1177" w:type="pct"/>
            <w:tcBorders>
              <w:top w:val="nil"/>
              <w:bottom w:val="nil"/>
            </w:tcBorders>
          </w:tcPr>
          <w:p w:rsidR="00E20CDD" w:rsidRPr="008B02B2" w:rsidRDefault="00E20CDD" w:rsidP="00A80E55">
            <w:pPr>
              <w:pStyle w:val="TableText0"/>
              <w:keepNext w:val="0"/>
              <w:keepLines/>
              <w:spacing w:before="0"/>
            </w:pPr>
            <w:r w:rsidRPr="008B02B2">
              <w:rPr>
                <w:rFonts w:cs="Arial"/>
                <w:i/>
                <w:lang w:eastAsia="en-AU"/>
              </w:rPr>
              <w:t>ASCO Annual Meeting</w:t>
            </w:r>
            <w:r>
              <w:rPr>
                <w:rFonts w:cs="Arial"/>
                <w:lang w:eastAsia="en-AU"/>
              </w:rPr>
              <w:t xml:space="preserve"> 2012</w:t>
            </w:r>
            <w:r w:rsidRPr="00D04BF5">
              <w:rPr>
                <w:rFonts w:cs="Arial"/>
                <w:lang w:eastAsia="en-AU"/>
              </w:rPr>
              <w:t>; Poster 7520.</w:t>
            </w:r>
          </w:p>
        </w:tc>
      </w:tr>
      <w:tr w:rsidR="00E20CDD" w:rsidRPr="008B02B2" w:rsidTr="00E959F1">
        <w:trPr>
          <w:cantSplit/>
        </w:trPr>
        <w:tc>
          <w:tcPr>
            <w:tcW w:w="1019" w:type="pct"/>
            <w:tcBorders>
              <w:top w:val="nil"/>
              <w:bottom w:val="single" w:sz="4" w:space="0" w:color="auto"/>
            </w:tcBorders>
          </w:tcPr>
          <w:p w:rsidR="00E20CDD" w:rsidRPr="008B02B2" w:rsidRDefault="00E20CDD" w:rsidP="00E959F1">
            <w:pPr>
              <w:pStyle w:val="Tabletext"/>
              <w:spacing w:after="40"/>
            </w:pPr>
          </w:p>
        </w:tc>
        <w:tc>
          <w:tcPr>
            <w:tcW w:w="2804" w:type="pct"/>
            <w:tcBorders>
              <w:top w:val="nil"/>
              <w:bottom w:val="single" w:sz="4" w:space="0" w:color="auto"/>
            </w:tcBorders>
          </w:tcPr>
          <w:p w:rsidR="00E20CDD" w:rsidRDefault="00E20CDD" w:rsidP="00E959F1">
            <w:pPr>
              <w:pStyle w:val="TableText0"/>
              <w:keepNext w:val="0"/>
              <w:keepLines/>
              <w:spacing w:before="0"/>
              <w:rPr>
                <w:rFonts w:cs="Arial"/>
                <w:lang w:eastAsia="en-AU"/>
              </w:rPr>
            </w:pPr>
            <w:r w:rsidRPr="0001404E">
              <w:rPr>
                <w:rFonts w:cs="Arial"/>
                <w:lang w:val="nb-NO" w:eastAsia="en-AU"/>
              </w:rPr>
              <w:t xml:space="preserve">Chen G, Feng J, Zhou C, et al. </w:t>
            </w:r>
            <w:r w:rsidRPr="002344C1">
              <w:rPr>
                <w:rFonts w:cs="Arial"/>
                <w:lang w:eastAsia="en-AU"/>
              </w:rPr>
              <w:t>Quality of life (QoL) analyses from OPTIMAL (CTONG-0802), a phase III, randomised, open-label study of first-line erlotinib versus chemotherapy in patients with advanced EGFR mutation-positive non-small-cell lung cancer (NSCLC).</w:t>
            </w:r>
          </w:p>
          <w:p w:rsidR="00811798" w:rsidRPr="00D04BF5" w:rsidRDefault="00811798" w:rsidP="00E959F1">
            <w:pPr>
              <w:pStyle w:val="TableText0"/>
              <w:keepNext w:val="0"/>
              <w:keepLines/>
              <w:spacing w:before="0"/>
              <w:rPr>
                <w:rFonts w:cs="Arial"/>
                <w:lang w:eastAsia="en-AU"/>
              </w:rPr>
            </w:pPr>
          </w:p>
        </w:tc>
        <w:tc>
          <w:tcPr>
            <w:tcW w:w="1177" w:type="pct"/>
            <w:tcBorders>
              <w:top w:val="nil"/>
              <w:bottom w:val="single" w:sz="4" w:space="0" w:color="auto"/>
            </w:tcBorders>
          </w:tcPr>
          <w:p w:rsidR="00E20CDD" w:rsidRPr="008B02B2" w:rsidRDefault="00E20CDD" w:rsidP="00E959F1">
            <w:pPr>
              <w:pStyle w:val="TableText0"/>
              <w:keepNext w:val="0"/>
              <w:keepLines/>
              <w:spacing w:before="0"/>
              <w:rPr>
                <w:rFonts w:cs="Arial"/>
                <w:i/>
                <w:lang w:eastAsia="en-AU"/>
              </w:rPr>
            </w:pPr>
            <w:r w:rsidRPr="003B16C2">
              <w:rPr>
                <w:rFonts w:cs="Arial"/>
                <w:i/>
                <w:lang w:eastAsia="en-AU"/>
              </w:rPr>
              <w:t>Annals of Oncology</w:t>
            </w:r>
            <w:r w:rsidRPr="002344C1">
              <w:rPr>
                <w:rFonts w:cs="Arial"/>
                <w:lang w:eastAsia="en-AU"/>
              </w:rPr>
              <w:t xml:space="preserve"> 2013; (24):1615-1622.</w:t>
            </w:r>
          </w:p>
        </w:tc>
      </w:tr>
      <w:tr w:rsidR="00E20CDD" w:rsidRPr="008B02B2" w:rsidTr="00E959F1">
        <w:trPr>
          <w:cantSplit/>
        </w:trPr>
        <w:tc>
          <w:tcPr>
            <w:tcW w:w="1019" w:type="pct"/>
            <w:tcBorders>
              <w:bottom w:val="nil"/>
            </w:tcBorders>
          </w:tcPr>
          <w:p w:rsidR="00E20CDD" w:rsidRPr="008B02B2" w:rsidRDefault="00E20CDD" w:rsidP="00E959F1">
            <w:pPr>
              <w:pStyle w:val="Tabletext"/>
              <w:spacing w:after="40"/>
            </w:pPr>
            <w:r>
              <w:t>ENSURE</w:t>
            </w:r>
          </w:p>
        </w:tc>
        <w:tc>
          <w:tcPr>
            <w:tcW w:w="2804" w:type="pct"/>
            <w:tcBorders>
              <w:bottom w:val="nil"/>
            </w:tcBorders>
          </w:tcPr>
          <w:p w:rsidR="00E20CDD" w:rsidRPr="002344C1" w:rsidRDefault="00E20CDD" w:rsidP="00E959F1">
            <w:pPr>
              <w:pStyle w:val="TableText0"/>
              <w:keepNext w:val="0"/>
              <w:keepLines/>
              <w:spacing w:before="0"/>
              <w:rPr>
                <w:rFonts w:cs="Arial"/>
                <w:lang w:eastAsia="en-AU"/>
              </w:rPr>
            </w:pPr>
            <w:r w:rsidRPr="00086A7F">
              <w:rPr>
                <w:rFonts w:cs="Arial"/>
                <w:lang w:eastAsia="en-AU"/>
              </w:rPr>
              <w:t>Wu Y-L, Liam C-K, Zhou C et al.</w:t>
            </w:r>
            <w:r>
              <w:rPr>
                <w:rFonts w:cs="Arial"/>
                <w:lang w:eastAsia="en-AU"/>
              </w:rPr>
              <w:t>:</w:t>
            </w:r>
            <w:r w:rsidRPr="00086A7F">
              <w:rPr>
                <w:rFonts w:cs="Arial"/>
                <w:lang w:eastAsia="en-AU"/>
              </w:rPr>
              <w:t xml:space="preserve"> First line erlotinib versus cisplatin/gemcitabine (GP) in patients with advanced, EGFR mutation positive non-small-cell lung cancer (NSCLC</w:t>
            </w:r>
            <w:r w:rsidR="000567A5" w:rsidRPr="00086A7F">
              <w:rPr>
                <w:rFonts w:cs="Arial"/>
                <w:lang w:eastAsia="en-AU"/>
              </w:rPr>
              <w:t>):</w:t>
            </w:r>
            <w:r w:rsidRPr="00086A7F">
              <w:rPr>
                <w:rFonts w:cs="Arial"/>
                <w:lang w:eastAsia="en-AU"/>
              </w:rPr>
              <w:t xml:space="preserve"> interim analyses from the phase 3, open-label ENSURE study.</w:t>
            </w:r>
          </w:p>
        </w:tc>
        <w:tc>
          <w:tcPr>
            <w:tcW w:w="1177" w:type="pct"/>
            <w:tcBorders>
              <w:bottom w:val="nil"/>
            </w:tcBorders>
          </w:tcPr>
          <w:p w:rsidR="00E20CDD" w:rsidRPr="003B16C2" w:rsidRDefault="00E20CDD" w:rsidP="00E959F1">
            <w:pPr>
              <w:pStyle w:val="TableText0"/>
              <w:keepNext w:val="0"/>
              <w:keepLines/>
              <w:spacing w:before="0"/>
              <w:rPr>
                <w:rFonts w:cs="Arial"/>
                <w:i/>
                <w:lang w:eastAsia="en-AU"/>
              </w:rPr>
            </w:pPr>
            <w:r w:rsidRPr="003B16C2">
              <w:rPr>
                <w:rFonts w:cs="Arial"/>
                <w:i/>
                <w:lang w:eastAsia="en-AU"/>
              </w:rPr>
              <w:t>Journal of Thoracic Oncology</w:t>
            </w:r>
            <w:r w:rsidRPr="00086A7F">
              <w:rPr>
                <w:rFonts w:cs="Arial"/>
                <w:lang w:eastAsia="en-AU"/>
              </w:rPr>
              <w:t xml:space="preserve"> 2013; </w:t>
            </w:r>
            <w:r>
              <w:rPr>
                <w:rFonts w:cs="Arial"/>
                <w:lang w:eastAsia="en-AU"/>
              </w:rPr>
              <w:t>(</w:t>
            </w:r>
            <w:r w:rsidRPr="00086A7F">
              <w:rPr>
                <w:rFonts w:cs="Arial"/>
                <w:lang w:eastAsia="en-AU"/>
              </w:rPr>
              <w:t>8</w:t>
            </w:r>
            <w:r>
              <w:rPr>
                <w:rFonts w:cs="Arial"/>
                <w:lang w:eastAsia="en-AU"/>
              </w:rPr>
              <w:t xml:space="preserve">), </w:t>
            </w:r>
            <w:r w:rsidRPr="00086A7F">
              <w:rPr>
                <w:rFonts w:cs="Arial"/>
                <w:lang w:eastAsia="en-AU"/>
              </w:rPr>
              <w:t>Suppl. 2: S603-4.</w:t>
            </w:r>
          </w:p>
        </w:tc>
      </w:tr>
      <w:tr w:rsidR="00E20CDD" w:rsidRPr="008B02B2" w:rsidTr="00E959F1">
        <w:trPr>
          <w:cantSplit/>
        </w:trPr>
        <w:tc>
          <w:tcPr>
            <w:tcW w:w="1019" w:type="pct"/>
            <w:tcBorders>
              <w:top w:val="nil"/>
            </w:tcBorders>
          </w:tcPr>
          <w:p w:rsidR="00E20CDD" w:rsidRPr="008B02B2" w:rsidRDefault="00E20CDD" w:rsidP="00E959F1">
            <w:pPr>
              <w:pStyle w:val="Tabletext"/>
            </w:pPr>
          </w:p>
        </w:tc>
        <w:tc>
          <w:tcPr>
            <w:tcW w:w="2804" w:type="pct"/>
            <w:tcBorders>
              <w:top w:val="nil"/>
            </w:tcBorders>
          </w:tcPr>
          <w:p w:rsidR="00E20CDD" w:rsidRPr="002344C1" w:rsidRDefault="00E20CDD" w:rsidP="00E959F1">
            <w:pPr>
              <w:pStyle w:val="TableText0"/>
              <w:keepNext w:val="0"/>
              <w:keepLines/>
              <w:spacing w:before="0" w:after="0"/>
              <w:rPr>
                <w:rFonts w:cs="Arial"/>
                <w:lang w:eastAsia="en-AU"/>
              </w:rPr>
            </w:pPr>
            <w:r w:rsidRPr="00086A7F">
              <w:rPr>
                <w:rFonts w:cs="Arial"/>
                <w:lang w:eastAsia="en-AU"/>
              </w:rPr>
              <w:t>Wu Y, Zhou C, Wu G, et al.: Quality of life (QOL) analysis from ENSURE, a phase 3, open-label study of first-line erlotinib versus</w:t>
            </w:r>
            <w:r>
              <w:rPr>
                <w:rFonts w:cs="Arial"/>
                <w:lang w:eastAsia="en-AU"/>
              </w:rPr>
              <w:t xml:space="preserve"> gemcitabine/cisplatin (GP) in A</w:t>
            </w:r>
            <w:r w:rsidRPr="00086A7F">
              <w:rPr>
                <w:rFonts w:cs="Arial"/>
                <w:lang w:eastAsia="en-AU"/>
              </w:rPr>
              <w:t>sian patients with epidermal growth factor receptor (EGFR) mutation-positive (MUT+) non-small-cell lung cancer (NSCLC).</w:t>
            </w:r>
          </w:p>
        </w:tc>
        <w:tc>
          <w:tcPr>
            <w:tcW w:w="1177" w:type="pct"/>
            <w:tcBorders>
              <w:top w:val="nil"/>
            </w:tcBorders>
          </w:tcPr>
          <w:p w:rsidR="00E20CDD" w:rsidRPr="003B16C2" w:rsidRDefault="00E20CDD" w:rsidP="00E959F1">
            <w:pPr>
              <w:pStyle w:val="TableText0"/>
              <w:keepNext w:val="0"/>
              <w:keepLines/>
              <w:spacing w:before="0" w:after="0"/>
              <w:rPr>
                <w:rFonts w:cs="Arial"/>
                <w:i/>
                <w:lang w:eastAsia="en-AU"/>
              </w:rPr>
            </w:pPr>
            <w:r w:rsidRPr="00086A7F">
              <w:rPr>
                <w:rFonts w:cs="Arial"/>
                <w:lang w:eastAsia="en-AU"/>
              </w:rPr>
              <w:t>Jo</w:t>
            </w:r>
            <w:r w:rsidRPr="003B16C2">
              <w:rPr>
                <w:rFonts w:cs="Arial"/>
                <w:i/>
                <w:lang w:eastAsia="en-AU"/>
              </w:rPr>
              <w:t xml:space="preserve">urnal of Thoracic Oncology </w:t>
            </w:r>
            <w:r w:rsidRPr="00086A7F">
              <w:rPr>
                <w:rFonts w:cs="Arial"/>
                <w:lang w:eastAsia="en-AU"/>
              </w:rPr>
              <w:t>4</w:t>
            </w:r>
            <w:r w:rsidRPr="00086A7F">
              <w:rPr>
                <w:rFonts w:cs="Arial"/>
                <w:vertAlign w:val="superscript"/>
                <w:lang w:eastAsia="en-AU"/>
              </w:rPr>
              <w:t>th</w:t>
            </w:r>
            <w:r w:rsidRPr="00086A7F">
              <w:rPr>
                <w:rFonts w:cs="Arial"/>
                <w:lang w:eastAsia="en-AU"/>
              </w:rPr>
              <w:t xml:space="preserve"> European Lung Cancer Conference, ELCC14 Geneva, Switzerland 2014; Abstract number S37.</w:t>
            </w:r>
          </w:p>
        </w:tc>
      </w:tr>
    </w:tbl>
    <w:p w:rsidR="00E20CDD" w:rsidRPr="008A71F8" w:rsidRDefault="00E20CDD" w:rsidP="00E20CDD">
      <w:pPr>
        <w:keepNext/>
        <w:keepLines/>
        <w:widowControl/>
        <w:ind w:left="709"/>
        <w:rPr>
          <w:rFonts w:ascii="Arial Narrow" w:hAnsi="Arial Narrow"/>
          <w:color w:val="000000" w:themeColor="text1"/>
          <w:sz w:val="18"/>
          <w:szCs w:val="18"/>
        </w:rPr>
      </w:pPr>
      <w:r w:rsidRPr="008A71F8">
        <w:rPr>
          <w:rFonts w:ascii="Arial Narrow" w:hAnsi="Arial Narrow"/>
          <w:color w:val="000000" w:themeColor="text1"/>
          <w:sz w:val="18"/>
          <w:szCs w:val="18"/>
          <w:vertAlign w:val="superscript"/>
        </w:rPr>
        <w:t>§</w:t>
      </w:r>
      <w:r w:rsidRPr="008A71F8">
        <w:rPr>
          <w:rFonts w:ascii="Arial Narrow" w:hAnsi="Arial Narrow"/>
          <w:color w:val="000000" w:themeColor="text1"/>
          <w:sz w:val="18"/>
          <w:szCs w:val="18"/>
        </w:rPr>
        <w:t>Refers to afatinib.</w:t>
      </w:r>
    </w:p>
    <w:p w:rsidR="00E20CDD" w:rsidRPr="008A71F8" w:rsidRDefault="00E20CDD" w:rsidP="00E20CDD">
      <w:pPr>
        <w:keepNext/>
        <w:keepLines/>
        <w:widowControl/>
        <w:ind w:left="709"/>
        <w:rPr>
          <w:rFonts w:ascii="Arial Narrow" w:hAnsi="Arial Narrow"/>
          <w:color w:val="000000" w:themeColor="text1"/>
          <w:sz w:val="18"/>
          <w:szCs w:val="18"/>
        </w:rPr>
      </w:pPr>
      <w:r w:rsidRPr="008A71F8">
        <w:rPr>
          <w:rFonts w:ascii="Arial Narrow" w:hAnsi="Arial Narrow"/>
          <w:color w:val="000000" w:themeColor="text1"/>
          <w:sz w:val="18"/>
          <w:szCs w:val="18"/>
        </w:rPr>
        <w:t>EGFR</w:t>
      </w:r>
      <w:r w:rsidR="00BD3448">
        <w:rPr>
          <w:rFonts w:ascii="Arial Narrow" w:hAnsi="Arial Narrow"/>
          <w:color w:val="000000" w:themeColor="text1"/>
          <w:sz w:val="18"/>
          <w:szCs w:val="18"/>
        </w:rPr>
        <w:t xml:space="preserve"> </w:t>
      </w:r>
      <w:r w:rsidRPr="008A71F8">
        <w:rPr>
          <w:rFonts w:ascii="Arial Narrow" w:hAnsi="Arial Narrow"/>
          <w:color w:val="000000" w:themeColor="text1"/>
          <w:sz w:val="18"/>
          <w:szCs w:val="18"/>
        </w:rPr>
        <w:t>=</w:t>
      </w:r>
      <w:r w:rsidR="00BD3448">
        <w:rPr>
          <w:rFonts w:ascii="Arial Narrow" w:hAnsi="Arial Narrow"/>
          <w:color w:val="000000" w:themeColor="text1"/>
          <w:sz w:val="18"/>
          <w:szCs w:val="18"/>
        </w:rPr>
        <w:t xml:space="preserve"> </w:t>
      </w:r>
      <w:r w:rsidRPr="008A71F8">
        <w:rPr>
          <w:rFonts w:ascii="Arial Narrow" w:hAnsi="Arial Narrow"/>
          <w:color w:val="000000" w:themeColor="text1"/>
          <w:sz w:val="18"/>
          <w:szCs w:val="18"/>
        </w:rPr>
        <w:t>Epidermal growth factor receptor; NSCLC</w:t>
      </w:r>
      <w:r w:rsidR="00BD3448">
        <w:rPr>
          <w:rFonts w:ascii="Arial Narrow" w:hAnsi="Arial Narrow"/>
          <w:color w:val="000000" w:themeColor="text1"/>
          <w:sz w:val="18"/>
          <w:szCs w:val="18"/>
        </w:rPr>
        <w:t xml:space="preserve"> </w:t>
      </w:r>
      <w:r w:rsidRPr="008A71F8">
        <w:rPr>
          <w:rFonts w:ascii="Arial Narrow" w:hAnsi="Arial Narrow"/>
          <w:color w:val="000000" w:themeColor="text1"/>
          <w:sz w:val="18"/>
          <w:szCs w:val="18"/>
        </w:rPr>
        <w:t>=</w:t>
      </w:r>
      <w:r w:rsidR="00BD3448">
        <w:rPr>
          <w:rFonts w:ascii="Arial Narrow" w:hAnsi="Arial Narrow"/>
          <w:color w:val="000000" w:themeColor="text1"/>
          <w:sz w:val="18"/>
          <w:szCs w:val="18"/>
        </w:rPr>
        <w:t xml:space="preserve"> Non-small cell lung cancer</w:t>
      </w:r>
    </w:p>
    <w:p w:rsidR="00E20CDD" w:rsidRPr="008F120A" w:rsidRDefault="00E20CDD" w:rsidP="00E20CDD">
      <w:pPr>
        <w:widowControl/>
        <w:rPr>
          <w:szCs w:val="22"/>
        </w:rPr>
      </w:pPr>
    </w:p>
    <w:p w:rsidR="00E20CDD" w:rsidRDefault="00E20CDD" w:rsidP="0090717E">
      <w:pPr>
        <w:pStyle w:val="ListParagraph"/>
        <w:widowControl/>
        <w:numPr>
          <w:ilvl w:val="1"/>
          <w:numId w:val="1"/>
        </w:numPr>
        <w:rPr>
          <w:szCs w:val="22"/>
        </w:rPr>
      </w:pPr>
      <w:r w:rsidRPr="00B50DB8">
        <w:rPr>
          <w:szCs w:val="22"/>
        </w:rPr>
        <w:t>The key features of the randomised trial</w:t>
      </w:r>
      <w:r>
        <w:rPr>
          <w:szCs w:val="22"/>
        </w:rPr>
        <w:t>s included in the indirect comparison</w:t>
      </w:r>
      <w:r w:rsidRPr="00B50DB8">
        <w:rPr>
          <w:szCs w:val="22"/>
        </w:rPr>
        <w:t xml:space="preserve"> are </w:t>
      </w:r>
      <w:r w:rsidR="00A80E55">
        <w:rPr>
          <w:szCs w:val="22"/>
        </w:rPr>
        <w:t>summarised in the table below.</w:t>
      </w:r>
    </w:p>
    <w:p w:rsidR="00E20CDD" w:rsidRPr="00A80E55" w:rsidRDefault="00E20CDD" w:rsidP="00E20CDD">
      <w:pPr>
        <w:widowControl/>
        <w:rPr>
          <w:szCs w:val="22"/>
        </w:rPr>
      </w:pPr>
    </w:p>
    <w:p w:rsidR="00E9366A" w:rsidRDefault="00E9366A" w:rsidP="000A6D76">
      <w:pPr>
        <w:pStyle w:val="TableHeader"/>
        <w:ind w:firstLine="720"/>
      </w:pPr>
      <w:r>
        <w:br w:type="page"/>
      </w:r>
    </w:p>
    <w:p w:rsidR="000A6D76" w:rsidRPr="001C0823" w:rsidRDefault="000A6D76" w:rsidP="000A6D76">
      <w:pPr>
        <w:pStyle w:val="TableHeader"/>
        <w:ind w:firstLine="720"/>
      </w:pPr>
      <w:r w:rsidRPr="001C0823">
        <w:lastRenderedPageBreak/>
        <w:t xml:space="preserve">Table </w:t>
      </w:r>
      <w:r w:rsidRPr="003201DE">
        <w:t>2:</w:t>
      </w:r>
      <w:r w:rsidRPr="001C0823">
        <w:t xml:space="preserve"> Key features of the trials included for the indirect comparisons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93"/>
        <w:gridCol w:w="891"/>
        <w:gridCol w:w="1418"/>
        <w:gridCol w:w="1134"/>
        <w:gridCol w:w="1701"/>
        <w:gridCol w:w="1134"/>
        <w:gridCol w:w="992"/>
      </w:tblGrid>
      <w:tr w:rsidR="000A6D76" w:rsidRPr="001C0823" w:rsidTr="00E9366A">
        <w:trPr>
          <w:cantSplit/>
          <w:tblHeader/>
        </w:trPr>
        <w:tc>
          <w:tcPr>
            <w:tcW w:w="653" w:type="pct"/>
            <w:shd w:val="clear" w:color="auto" w:fill="auto"/>
            <w:vAlign w:val="center"/>
          </w:tcPr>
          <w:p w:rsidR="000A6D76" w:rsidRPr="001C0823" w:rsidRDefault="000A6D76" w:rsidP="00386D52">
            <w:pPr>
              <w:jc w:val="left"/>
              <w:rPr>
                <w:rFonts w:ascii="Arial Narrow" w:hAnsi="Arial Narrow"/>
                <w:b/>
                <w:sz w:val="20"/>
                <w:lang w:val="en-US"/>
              </w:rPr>
            </w:pPr>
            <w:r w:rsidRPr="001C0823">
              <w:rPr>
                <w:rFonts w:ascii="Arial Narrow" w:hAnsi="Arial Narrow"/>
                <w:b/>
                <w:sz w:val="20"/>
                <w:lang w:val="en-US"/>
              </w:rPr>
              <w:t>Trials</w:t>
            </w:r>
          </w:p>
        </w:tc>
        <w:tc>
          <w:tcPr>
            <w:tcW w:w="533" w:type="pct"/>
            <w:shd w:val="clear" w:color="auto" w:fill="auto"/>
            <w:vAlign w:val="center"/>
          </w:tcPr>
          <w:p w:rsidR="000A6D76" w:rsidRPr="001C0823" w:rsidRDefault="000A6D76" w:rsidP="00386D52">
            <w:pPr>
              <w:jc w:val="center"/>
              <w:rPr>
                <w:rFonts w:ascii="Arial Narrow" w:hAnsi="Arial Narrow"/>
                <w:b/>
                <w:sz w:val="20"/>
                <w:lang w:val="en-US"/>
              </w:rPr>
            </w:pPr>
            <w:r w:rsidRPr="001C0823">
              <w:rPr>
                <w:rFonts w:ascii="Arial Narrow" w:hAnsi="Arial Narrow"/>
                <w:b/>
                <w:sz w:val="20"/>
                <w:lang w:val="en-US"/>
              </w:rPr>
              <w:t>N</w:t>
            </w:r>
          </w:p>
        </w:tc>
        <w:tc>
          <w:tcPr>
            <w:tcW w:w="848" w:type="pct"/>
            <w:shd w:val="clear" w:color="auto" w:fill="auto"/>
            <w:vAlign w:val="center"/>
          </w:tcPr>
          <w:p w:rsidR="000A6D76" w:rsidRDefault="000A6D76" w:rsidP="00386D52">
            <w:pPr>
              <w:jc w:val="center"/>
              <w:rPr>
                <w:rFonts w:ascii="Arial Narrow" w:hAnsi="Arial Narrow"/>
                <w:b/>
                <w:sz w:val="20"/>
                <w:lang w:val="en-US"/>
              </w:rPr>
            </w:pPr>
            <w:r w:rsidRPr="001C0823">
              <w:rPr>
                <w:rFonts w:ascii="Arial Narrow" w:hAnsi="Arial Narrow"/>
                <w:b/>
                <w:sz w:val="20"/>
                <w:lang w:val="en-US"/>
              </w:rPr>
              <w:t>Design/analysis</w:t>
            </w:r>
          </w:p>
          <w:p w:rsidR="000A6D76" w:rsidRPr="000A6D76" w:rsidRDefault="000A6D76" w:rsidP="00386D52">
            <w:pPr>
              <w:jc w:val="center"/>
              <w:rPr>
                <w:rFonts w:ascii="Arial Narrow" w:hAnsi="Arial Narrow"/>
                <w:b/>
                <w:sz w:val="20"/>
                <w:vertAlign w:val="superscript"/>
                <w:lang w:val="en-US"/>
              </w:rPr>
            </w:pPr>
            <w:r>
              <w:rPr>
                <w:rFonts w:ascii="Arial Narrow" w:hAnsi="Arial Narrow"/>
                <w:b/>
                <w:sz w:val="20"/>
                <w:lang w:val="en-US"/>
              </w:rPr>
              <w:t>Trial duration</w:t>
            </w:r>
            <w:r>
              <w:rPr>
                <w:rFonts w:ascii="Arial Narrow" w:hAnsi="Arial Narrow"/>
                <w:b/>
                <w:sz w:val="20"/>
                <w:vertAlign w:val="superscript"/>
                <w:lang w:val="en-US"/>
              </w:rPr>
              <w:t>µ</w:t>
            </w:r>
          </w:p>
        </w:tc>
        <w:tc>
          <w:tcPr>
            <w:tcW w:w="678" w:type="pct"/>
            <w:shd w:val="clear" w:color="auto" w:fill="auto"/>
            <w:vAlign w:val="center"/>
          </w:tcPr>
          <w:p w:rsidR="000A6D76" w:rsidRPr="001C0823" w:rsidRDefault="000A6D76" w:rsidP="00386D52">
            <w:pPr>
              <w:jc w:val="center"/>
              <w:rPr>
                <w:rFonts w:ascii="Arial Narrow" w:hAnsi="Arial Narrow"/>
                <w:b/>
                <w:sz w:val="20"/>
                <w:vertAlign w:val="superscript"/>
                <w:lang w:val="en-US"/>
              </w:rPr>
            </w:pPr>
            <w:r w:rsidRPr="001C0823">
              <w:rPr>
                <w:rFonts w:ascii="Arial Narrow" w:hAnsi="Arial Narrow"/>
                <w:b/>
                <w:sz w:val="20"/>
                <w:lang w:val="en-US"/>
              </w:rPr>
              <w:t>Risk of bias</w:t>
            </w:r>
            <w:r w:rsidRPr="001C0823">
              <w:rPr>
                <w:rFonts w:ascii="Arial Narrow" w:hAnsi="Arial Narrow"/>
                <w:b/>
                <w:sz w:val="20"/>
                <w:vertAlign w:val="superscript"/>
                <w:lang w:val="en-US"/>
              </w:rPr>
              <w:t>€</w:t>
            </w:r>
          </w:p>
        </w:tc>
        <w:tc>
          <w:tcPr>
            <w:tcW w:w="1017" w:type="pct"/>
            <w:shd w:val="clear" w:color="auto" w:fill="auto"/>
            <w:vAlign w:val="center"/>
          </w:tcPr>
          <w:p w:rsidR="000A6D76" w:rsidRPr="001C0823" w:rsidRDefault="000A6D76" w:rsidP="00386D52">
            <w:pPr>
              <w:jc w:val="center"/>
              <w:rPr>
                <w:rFonts w:ascii="Arial Narrow" w:hAnsi="Arial Narrow"/>
                <w:b/>
                <w:sz w:val="20"/>
                <w:lang w:val="en-US"/>
              </w:rPr>
            </w:pPr>
            <w:r w:rsidRPr="001C0823">
              <w:rPr>
                <w:rFonts w:ascii="Arial Narrow" w:hAnsi="Arial Narrow"/>
                <w:b/>
                <w:sz w:val="20"/>
                <w:lang w:val="en-US"/>
              </w:rPr>
              <w:t>Patient population</w:t>
            </w:r>
          </w:p>
        </w:tc>
        <w:tc>
          <w:tcPr>
            <w:tcW w:w="678" w:type="pct"/>
            <w:shd w:val="clear" w:color="auto" w:fill="auto"/>
            <w:vAlign w:val="center"/>
          </w:tcPr>
          <w:p w:rsidR="000A6D76" w:rsidRPr="001C0823" w:rsidRDefault="000A6D76" w:rsidP="00386D52">
            <w:pPr>
              <w:jc w:val="center"/>
              <w:rPr>
                <w:rFonts w:ascii="Arial Narrow" w:hAnsi="Arial Narrow"/>
                <w:b/>
                <w:sz w:val="20"/>
                <w:lang w:val="en-US"/>
              </w:rPr>
            </w:pPr>
            <w:r w:rsidRPr="001C0823">
              <w:rPr>
                <w:rFonts w:ascii="Arial Narrow" w:hAnsi="Arial Narrow"/>
                <w:b/>
                <w:sz w:val="20"/>
                <w:lang w:val="en-US"/>
              </w:rPr>
              <w:t>Outcome(s)</w:t>
            </w:r>
          </w:p>
        </w:tc>
        <w:tc>
          <w:tcPr>
            <w:tcW w:w="593" w:type="pct"/>
            <w:shd w:val="clear" w:color="auto" w:fill="auto"/>
            <w:vAlign w:val="center"/>
          </w:tcPr>
          <w:p w:rsidR="000A6D76" w:rsidRPr="001C0823" w:rsidRDefault="000A6D76" w:rsidP="00386D52">
            <w:pPr>
              <w:jc w:val="center"/>
              <w:rPr>
                <w:rFonts w:ascii="Arial Narrow" w:hAnsi="Arial Narrow"/>
                <w:b/>
                <w:sz w:val="20"/>
                <w:lang w:val="en-US"/>
              </w:rPr>
            </w:pPr>
            <w:r w:rsidRPr="001C0823">
              <w:rPr>
                <w:rFonts w:ascii="Arial Narrow" w:hAnsi="Arial Narrow"/>
                <w:b/>
                <w:sz w:val="20"/>
                <w:lang w:val="en-US"/>
              </w:rPr>
              <w:t>Use in modelled evaluation</w:t>
            </w:r>
          </w:p>
        </w:tc>
      </w:tr>
      <w:tr w:rsidR="000A6D76" w:rsidRPr="001C0823" w:rsidTr="00E9366A">
        <w:trPr>
          <w:cantSplit/>
        </w:trPr>
        <w:tc>
          <w:tcPr>
            <w:tcW w:w="5000" w:type="pct"/>
            <w:gridSpan w:val="7"/>
            <w:shd w:val="clear" w:color="auto" w:fill="auto"/>
            <w:vAlign w:val="center"/>
          </w:tcPr>
          <w:p w:rsidR="000A6D76" w:rsidRPr="001C0823" w:rsidRDefault="000A6D76" w:rsidP="00386D52">
            <w:pPr>
              <w:jc w:val="left"/>
              <w:rPr>
                <w:rFonts w:ascii="Arial Narrow" w:hAnsi="Arial Narrow"/>
                <w:b/>
                <w:sz w:val="20"/>
                <w:lang w:val="en-US"/>
              </w:rPr>
            </w:pPr>
            <w:r w:rsidRPr="001C0823">
              <w:rPr>
                <w:rFonts w:ascii="Arial Narrow" w:hAnsi="Arial Narrow"/>
                <w:b/>
                <w:sz w:val="20"/>
                <w:lang w:val="en-US"/>
              </w:rPr>
              <w:t>Afatinib vs chemotherapy</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LUX Lung 3</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345</w:t>
            </w:r>
          </w:p>
        </w:tc>
        <w:tc>
          <w:tcPr>
            <w:tcW w:w="848" w:type="pct"/>
            <w:shd w:val="clear" w:color="auto" w:fill="auto"/>
            <w:vAlign w:val="center"/>
          </w:tcPr>
          <w:p w:rsidR="003D7D06" w:rsidRDefault="003D7D06" w:rsidP="00386D52">
            <w:pPr>
              <w:jc w:val="center"/>
              <w:rPr>
                <w:rFonts w:ascii="Arial Narrow" w:hAnsi="Arial Narrow"/>
                <w:sz w:val="20"/>
                <w:lang w:val="en-US"/>
              </w:rPr>
            </w:pPr>
            <w:r w:rsidRPr="001C0823">
              <w:rPr>
                <w:rFonts w:ascii="Arial Narrow" w:hAnsi="Arial Narrow"/>
                <w:sz w:val="20"/>
                <w:lang w:val="en-US"/>
              </w:rPr>
              <w:t>R, OL</w:t>
            </w:r>
          </w:p>
          <w:p w:rsidR="003D7D06" w:rsidRPr="001C0823" w:rsidRDefault="003D7D06" w:rsidP="00386D52">
            <w:pPr>
              <w:jc w:val="center"/>
              <w:rPr>
                <w:rFonts w:ascii="Arial Narrow" w:hAnsi="Arial Narrow"/>
                <w:sz w:val="20"/>
                <w:lang w:val="en-US"/>
              </w:rPr>
            </w:pPr>
            <w:r>
              <w:rPr>
                <w:rFonts w:ascii="Arial Narrow" w:hAnsi="Arial Narrow"/>
                <w:sz w:val="20"/>
                <w:lang w:val="en-US"/>
              </w:rPr>
              <w:t>49 months</w:t>
            </w:r>
          </w:p>
        </w:tc>
        <w:tc>
          <w:tcPr>
            <w:tcW w:w="678" w:type="pct"/>
            <w:shd w:val="clear" w:color="auto" w:fill="auto"/>
          </w:tcPr>
          <w:p w:rsidR="003D7D06" w:rsidRPr="001C0823" w:rsidRDefault="003D7D06" w:rsidP="00386D52">
            <w:pPr>
              <w:jc w:val="center"/>
              <w:rPr>
                <w:rFonts w:ascii="Arial Narrow" w:hAnsi="Arial Narrow"/>
                <w:sz w:val="20"/>
              </w:rPr>
            </w:pPr>
            <w:r w:rsidRPr="002C2552">
              <w:rPr>
                <w:rFonts w:ascii="Arial Narrow" w:hAnsi="Arial Narrow"/>
                <w:sz w:val="20"/>
                <w:lang w:val="en-US"/>
              </w:rPr>
              <w:t>High</w:t>
            </w:r>
          </w:p>
        </w:tc>
        <w:tc>
          <w:tcPr>
            <w:tcW w:w="1017"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Any activating EGFR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Not used</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LUX Lung 6</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364</w:t>
            </w:r>
          </w:p>
        </w:tc>
        <w:tc>
          <w:tcPr>
            <w:tcW w:w="848" w:type="pct"/>
            <w:shd w:val="clear" w:color="auto" w:fill="auto"/>
            <w:vAlign w:val="center"/>
          </w:tcPr>
          <w:p w:rsidR="003D7D06" w:rsidRDefault="003D7D06" w:rsidP="00386D52">
            <w:pPr>
              <w:jc w:val="center"/>
              <w:rPr>
                <w:rFonts w:ascii="Arial Narrow" w:hAnsi="Arial Narrow"/>
                <w:sz w:val="20"/>
                <w:lang w:val="en-US"/>
              </w:rPr>
            </w:pPr>
            <w:r w:rsidRPr="001C0823">
              <w:rPr>
                <w:rFonts w:ascii="Arial Narrow" w:hAnsi="Arial Narrow"/>
                <w:sz w:val="20"/>
                <w:lang w:val="en-US"/>
              </w:rPr>
              <w:t>R, OL</w:t>
            </w:r>
          </w:p>
          <w:p w:rsidR="003D7D06" w:rsidRPr="001C0823" w:rsidRDefault="003D7D06" w:rsidP="00386D52">
            <w:pPr>
              <w:jc w:val="center"/>
              <w:rPr>
                <w:rFonts w:ascii="Arial Narrow" w:hAnsi="Arial Narrow"/>
                <w:sz w:val="20"/>
                <w:lang w:val="en-US"/>
              </w:rPr>
            </w:pPr>
            <w:r>
              <w:rPr>
                <w:rFonts w:ascii="Arial Narrow" w:hAnsi="Arial Narrow"/>
                <w:sz w:val="20"/>
                <w:lang w:val="en-US"/>
              </w:rPr>
              <w:t>43 months</w:t>
            </w:r>
          </w:p>
        </w:tc>
        <w:tc>
          <w:tcPr>
            <w:tcW w:w="678" w:type="pct"/>
            <w:shd w:val="clear" w:color="auto" w:fill="auto"/>
          </w:tcPr>
          <w:p w:rsidR="003D7D06" w:rsidRPr="001C0823" w:rsidRDefault="003D7D06" w:rsidP="008C6FA8">
            <w:pPr>
              <w:jc w:val="center"/>
              <w:rPr>
                <w:rFonts w:ascii="Arial Narrow" w:hAnsi="Arial Narrow"/>
                <w:sz w:val="20"/>
              </w:rPr>
            </w:pPr>
            <w:r w:rsidRPr="002C2552">
              <w:rPr>
                <w:rFonts w:ascii="Arial Narrow" w:hAnsi="Arial Narrow"/>
                <w:sz w:val="20"/>
                <w:lang w:val="en-US"/>
              </w:rPr>
              <w:t>High</w:t>
            </w:r>
          </w:p>
        </w:tc>
        <w:tc>
          <w:tcPr>
            <w:tcW w:w="1017"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Any activating EGFR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Not used</w:t>
            </w:r>
          </w:p>
        </w:tc>
      </w:tr>
      <w:tr w:rsidR="000A6D76" w:rsidRPr="001C0823" w:rsidTr="00E9366A">
        <w:trPr>
          <w:cantSplit/>
        </w:trPr>
        <w:tc>
          <w:tcPr>
            <w:tcW w:w="5000" w:type="pct"/>
            <w:gridSpan w:val="7"/>
            <w:shd w:val="clear" w:color="auto" w:fill="auto"/>
            <w:vAlign w:val="center"/>
          </w:tcPr>
          <w:p w:rsidR="000A6D76" w:rsidRPr="001C0823" w:rsidRDefault="0051267A" w:rsidP="00386D52">
            <w:pPr>
              <w:jc w:val="left"/>
              <w:rPr>
                <w:rFonts w:ascii="Arial Narrow" w:hAnsi="Arial Narrow"/>
                <w:b/>
                <w:sz w:val="20"/>
                <w:lang w:val="en-US"/>
              </w:rPr>
            </w:pPr>
            <w:r>
              <w:rPr>
                <w:rFonts w:ascii="Arial Narrow" w:hAnsi="Arial Narrow"/>
                <w:b/>
                <w:sz w:val="20"/>
                <w:lang w:val="en-US"/>
              </w:rPr>
              <w:t>Erlotinib vs c</w:t>
            </w:r>
            <w:r w:rsidR="000A6D76" w:rsidRPr="001C0823">
              <w:rPr>
                <w:rFonts w:ascii="Arial Narrow" w:hAnsi="Arial Narrow"/>
                <w:b/>
                <w:sz w:val="20"/>
                <w:lang w:val="en-US"/>
              </w:rPr>
              <w:t>hemotherapy</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EURTAC</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154</w:t>
            </w:r>
          </w:p>
        </w:tc>
        <w:tc>
          <w:tcPr>
            <w:tcW w:w="848" w:type="pct"/>
            <w:shd w:val="clear" w:color="auto" w:fill="auto"/>
            <w:vAlign w:val="center"/>
          </w:tcPr>
          <w:p w:rsidR="003D7D06" w:rsidRPr="001C0823" w:rsidRDefault="003D7D06" w:rsidP="000A6D76">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0D76C0">
              <w:rPr>
                <w:rFonts w:ascii="Arial Narrow" w:hAnsi="Arial Narrow"/>
                <w:sz w:val="20"/>
                <w:lang w:val="en-US"/>
              </w:rPr>
              <w:t>High</w:t>
            </w:r>
          </w:p>
        </w:tc>
        <w:tc>
          <w:tcPr>
            <w:tcW w:w="1017" w:type="pct"/>
            <w:shd w:val="clear" w:color="auto" w:fill="auto"/>
            <w:vAlign w:val="center"/>
          </w:tcPr>
          <w:p w:rsidR="003D7D06" w:rsidRPr="001C0823" w:rsidRDefault="00BB31AD" w:rsidP="00386D52">
            <w:pPr>
              <w:jc w:val="center"/>
              <w:rPr>
                <w:rFonts w:ascii="Arial Narrow" w:hAnsi="Arial Narrow"/>
                <w:sz w:val="20"/>
                <w:lang w:val="en-US"/>
              </w:rPr>
            </w:pPr>
            <w:r>
              <w:rPr>
                <w:rFonts w:ascii="Arial Narrow" w:hAnsi="Arial Narrow"/>
                <w:sz w:val="20"/>
                <w:lang w:val="en-US"/>
              </w:rPr>
              <w:t xml:space="preserve">Exon </w:t>
            </w:r>
            <w:r w:rsidR="003D7D06" w:rsidRPr="001C0823">
              <w:rPr>
                <w:rFonts w:ascii="Arial Narrow" w:hAnsi="Arial Narrow"/>
                <w:sz w:val="20"/>
                <w:lang w:val="en-US"/>
              </w:rPr>
              <w:t xml:space="preserve">19 </w:t>
            </w:r>
            <w:r>
              <w:rPr>
                <w:rFonts w:ascii="Arial Narrow" w:hAnsi="Arial Narrow"/>
                <w:sz w:val="20"/>
                <w:lang w:val="en-US"/>
              </w:rPr>
              <w:t xml:space="preserve">deletion </w:t>
            </w:r>
            <w:r w:rsidR="003D7D06" w:rsidRPr="001C0823">
              <w:rPr>
                <w:rFonts w:ascii="Arial Narrow" w:hAnsi="Arial Narrow"/>
                <w:sz w:val="20"/>
                <w:lang w:val="en-US"/>
              </w:rPr>
              <w:t>or L858R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OPTIMAL</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165</w:t>
            </w:r>
          </w:p>
        </w:tc>
        <w:tc>
          <w:tcPr>
            <w:tcW w:w="84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0D76C0">
              <w:rPr>
                <w:rFonts w:ascii="Arial Narrow" w:hAnsi="Arial Narrow"/>
                <w:sz w:val="20"/>
                <w:lang w:val="en-US"/>
              </w:rPr>
              <w:t>High</w:t>
            </w:r>
          </w:p>
        </w:tc>
        <w:tc>
          <w:tcPr>
            <w:tcW w:w="1017" w:type="pct"/>
            <w:shd w:val="clear" w:color="auto" w:fill="auto"/>
            <w:vAlign w:val="center"/>
          </w:tcPr>
          <w:p w:rsidR="003D7D06" w:rsidRPr="001C0823" w:rsidRDefault="00BB31AD" w:rsidP="00BB31AD">
            <w:pPr>
              <w:jc w:val="center"/>
              <w:rPr>
                <w:rFonts w:ascii="Arial Narrow" w:hAnsi="Arial Narrow"/>
                <w:sz w:val="20"/>
                <w:lang w:val="en-US"/>
              </w:rPr>
            </w:pPr>
            <w:r>
              <w:rPr>
                <w:rFonts w:ascii="Arial Narrow" w:hAnsi="Arial Narrow"/>
                <w:sz w:val="20"/>
                <w:lang w:val="en-US"/>
              </w:rPr>
              <w:t>Exon 19 d</w:t>
            </w:r>
            <w:r w:rsidR="003D7D06" w:rsidRPr="001C0823">
              <w:rPr>
                <w:rFonts w:ascii="Arial Narrow" w:hAnsi="Arial Narrow"/>
                <w:sz w:val="20"/>
                <w:lang w:val="en-US"/>
              </w:rPr>
              <w:t>eletion or L858R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ENSURE</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217</w:t>
            </w:r>
          </w:p>
        </w:tc>
        <w:tc>
          <w:tcPr>
            <w:tcW w:w="84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0D76C0">
              <w:rPr>
                <w:rFonts w:ascii="Arial Narrow" w:hAnsi="Arial Narrow"/>
                <w:sz w:val="20"/>
                <w:lang w:val="en-US"/>
              </w:rPr>
              <w:t>High</w:t>
            </w:r>
          </w:p>
        </w:tc>
        <w:tc>
          <w:tcPr>
            <w:tcW w:w="1017" w:type="pct"/>
            <w:shd w:val="clear" w:color="auto" w:fill="auto"/>
            <w:vAlign w:val="center"/>
          </w:tcPr>
          <w:p w:rsidR="003D7D06" w:rsidRPr="001C0823" w:rsidRDefault="00BB31AD" w:rsidP="00BB31AD">
            <w:pPr>
              <w:jc w:val="center"/>
              <w:rPr>
                <w:rFonts w:ascii="Arial Narrow" w:hAnsi="Arial Narrow"/>
                <w:sz w:val="20"/>
                <w:lang w:val="en-US"/>
              </w:rPr>
            </w:pPr>
            <w:r>
              <w:rPr>
                <w:rFonts w:ascii="Arial Narrow" w:hAnsi="Arial Narrow"/>
                <w:sz w:val="20"/>
                <w:lang w:val="en-US"/>
              </w:rPr>
              <w:t>Exon 19 d</w:t>
            </w:r>
            <w:r w:rsidR="003D7D06" w:rsidRPr="001C0823">
              <w:rPr>
                <w:rFonts w:ascii="Arial Narrow" w:hAnsi="Arial Narrow"/>
                <w:sz w:val="20"/>
                <w:lang w:val="en-US"/>
              </w:rPr>
              <w:t>eletion or L858R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0A6D76" w:rsidRPr="001C0823" w:rsidTr="00E9366A">
        <w:trPr>
          <w:cantSplit/>
        </w:trPr>
        <w:tc>
          <w:tcPr>
            <w:tcW w:w="5000" w:type="pct"/>
            <w:gridSpan w:val="7"/>
            <w:shd w:val="clear" w:color="auto" w:fill="auto"/>
            <w:vAlign w:val="center"/>
          </w:tcPr>
          <w:p w:rsidR="000A6D76" w:rsidRPr="001C0823" w:rsidRDefault="0051267A" w:rsidP="00386D52">
            <w:pPr>
              <w:jc w:val="left"/>
              <w:rPr>
                <w:rFonts w:ascii="Arial Narrow" w:hAnsi="Arial Narrow"/>
                <w:b/>
                <w:sz w:val="20"/>
                <w:lang w:val="en-US"/>
              </w:rPr>
            </w:pPr>
            <w:r>
              <w:rPr>
                <w:rFonts w:ascii="Arial Narrow" w:hAnsi="Arial Narrow"/>
                <w:b/>
                <w:sz w:val="20"/>
                <w:lang w:val="en-US"/>
              </w:rPr>
              <w:t>Gefitinib vs c</w:t>
            </w:r>
            <w:r w:rsidR="000A6D76" w:rsidRPr="001C0823">
              <w:rPr>
                <w:rFonts w:ascii="Arial Narrow" w:hAnsi="Arial Narrow"/>
                <w:b/>
                <w:sz w:val="20"/>
                <w:lang w:val="en-US"/>
              </w:rPr>
              <w:t>hemotherapy</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IPASS</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1217</w:t>
            </w:r>
          </w:p>
        </w:tc>
        <w:tc>
          <w:tcPr>
            <w:tcW w:w="84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4D32CD">
              <w:rPr>
                <w:rFonts w:ascii="Arial Narrow" w:hAnsi="Arial Narrow"/>
                <w:sz w:val="20"/>
                <w:lang w:val="en-US"/>
              </w:rPr>
              <w:t>High</w:t>
            </w:r>
          </w:p>
        </w:tc>
        <w:tc>
          <w:tcPr>
            <w:tcW w:w="1017"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Unselected (no EGFR mutation status required)</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NEJ002</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228</w:t>
            </w:r>
          </w:p>
        </w:tc>
        <w:tc>
          <w:tcPr>
            <w:tcW w:w="84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4D32CD">
              <w:rPr>
                <w:rFonts w:ascii="Arial Narrow" w:hAnsi="Arial Narrow"/>
                <w:sz w:val="20"/>
                <w:lang w:val="en-US"/>
              </w:rPr>
              <w:t>High</w:t>
            </w:r>
          </w:p>
        </w:tc>
        <w:tc>
          <w:tcPr>
            <w:tcW w:w="1017"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Any activating EGFR mutation and absence of T790M</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3D7D06" w:rsidRPr="001C0823" w:rsidTr="00E9366A">
        <w:trPr>
          <w:cantSplit/>
        </w:trPr>
        <w:tc>
          <w:tcPr>
            <w:tcW w:w="653" w:type="pct"/>
            <w:shd w:val="clear" w:color="auto" w:fill="auto"/>
            <w:vAlign w:val="center"/>
          </w:tcPr>
          <w:p w:rsidR="003D7D06" w:rsidRPr="001C0823" w:rsidRDefault="003D7D06" w:rsidP="00386D52">
            <w:pPr>
              <w:jc w:val="left"/>
              <w:rPr>
                <w:rFonts w:ascii="Arial Narrow" w:hAnsi="Arial Narrow"/>
                <w:sz w:val="20"/>
                <w:lang w:val="en-US"/>
              </w:rPr>
            </w:pPr>
            <w:r w:rsidRPr="001C0823">
              <w:rPr>
                <w:rFonts w:ascii="Arial Narrow" w:hAnsi="Arial Narrow"/>
                <w:sz w:val="20"/>
                <w:lang w:val="en-US"/>
              </w:rPr>
              <w:t>WJTOG3405</w:t>
            </w:r>
          </w:p>
        </w:tc>
        <w:tc>
          <w:tcPr>
            <w:tcW w:w="533"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172</w:t>
            </w:r>
          </w:p>
        </w:tc>
        <w:tc>
          <w:tcPr>
            <w:tcW w:w="84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R, OL</w:t>
            </w:r>
          </w:p>
        </w:tc>
        <w:tc>
          <w:tcPr>
            <w:tcW w:w="678" w:type="pct"/>
            <w:shd w:val="clear" w:color="auto" w:fill="auto"/>
          </w:tcPr>
          <w:p w:rsidR="003D7D06" w:rsidRPr="001C0823" w:rsidRDefault="003D7D06" w:rsidP="008C6FA8">
            <w:pPr>
              <w:jc w:val="center"/>
              <w:rPr>
                <w:rFonts w:ascii="Arial Narrow" w:hAnsi="Arial Narrow"/>
                <w:sz w:val="20"/>
              </w:rPr>
            </w:pPr>
            <w:r w:rsidRPr="004D32CD">
              <w:rPr>
                <w:rFonts w:ascii="Arial Narrow" w:hAnsi="Arial Narrow"/>
                <w:sz w:val="20"/>
                <w:lang w:val="en-US"/>
              </w:rPr>
              <w:t>High</w:t>
            </w:r>
          </w:p>
        </w:tc>
        <w:tc>
          <w:tcPr>
            <w:tcW w:w="1017" w:type="pct"/>
            <w:shd w:val="clear" w:color="auto" w:fill="auto"/>
            <w:vAlign w:val="center"/>
          </w:tcPr>
          <w:p w:rsidR="003D7D06" w:rsidRPr="001C0823" w:rsidRDefault="00BB31AD" w:rsidP="00BB31AD">
            <w:pPr>
              <w:jc w:val="center"/>
              <w:rPr>
                <w:rFonts w:ascii="Arial Narrow" w:hAnsi="Arial Narrow"/>
                <w:sz w:val="20"/>
                <w:lang w:val="en-US"/>
              </w:rPr>
            </w:pPr>
            <w:r>
              <w:rPr>
                <w:rFonts w:ascii="Arial Narrow" w:hAnsi="Arial Narrow"/>
                <w:sz w:val="20"/>
                <w:lang w:val="en-US"/>
              </w:rPr>
              <w:t>Exon 19 d</w:t>
            </w:r>
            <w:r w:rsidR="003D7D06" w:rsidRPr="001C0823">
              <w:rPr>
                <w:rFonts w:ascii="Arial Narrow" w:hAnsi="Arial Narrow"/>
                <w:sz w:val="20"/>
                <w:lang w:val="en-US"/>
              </w:rPr>
              <w:t>eletion or L858R mutation</w:t>
            </w:r>
          </w:p>
        </w:tc>
        <w:tc>
          <w:tcPr>
            <w:tcW w:w="678" w:type="pct"/>
            <w:shd w:val="clear" w:color="auto" w:fill="auto"/>
            <w:vAlign w:val="center"/>
          </w:tcPr>
          <w:p w:rsidR="003D7D06" w:rsidRPr="001C0823" w:rsidRDefault="003D7D06"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tcPr>
          <w:p w:rsidR="003D7D06" w:rsidRPr="001C0823" w:rsidRDefault="003D7D06" w:rsidP="00386D52">
            <w:pPr>
              <w:jc w:val="center"/>
              <w:rPr>
                <w:rFonts w:ascii="Arial Narrow" w:hAnsi="Arial Narrow"/>
                <w:sz w:val="20"/>
              </w:rPr>
            </w:pPr>
            <w:r w:rsidRPr="001C0823">
              <w:rPr>
                <w:rFonts w:ascii="Arial Narrow" w:hAnsi="Arial Narrow"/>
                <w:sz w:val="20"/>
                <w:lang w:val="en-US"/>
              </w:rPr>
              <w:t>Not used</w:t>
            </w:r>
          </w:p>
        </w:tc>
      </w:tr>
      <w:tr w:rsidR="000A6D76" w:rsidRPr="001C0823" w:rsidTr="00E9366A">
        <w:trPr>
          <w:cantSplit/>
        </w:trPr>
        <w:tc>
          <w:tcPr>
            <w:tcW w:w="5000" w:type="pct"/>
            <w:gridSpan w:val="7"/>
            <w:shd w:val="clear" w:color="auto" w:fill="auto"/>
            <w:vAlign w:val="center"/>
          </w:tcPr>
          <w:p w:rsidR="000A6D76" w:rsidRPr="001C0823" w:rsidRDefault="0051267A" w:rsidP="00386D52">
            <w:pPr>
              <w:jc w:val="left"/>
              <w:rPr>
                <w:rFonts w:ascii="Arial Narrow" w:hAnsi="Arial Narrow"/>
                <w:b/>
                <w:sz w:val="20"/>
                <w:lang w:val="en-US"/>
              </w:rPr>
            </w:pPr>
            <w:r>
              <w:rPr>
                <w:rFonts w:ascii="Arial Narrow" w:hAnsi="Arial Narrow"/>
                <w:b/>
                <w:sz w:val="20"/>
                <w:lang w:val="en-US"/>
              </w:rPr>
              <w:t>Afatinib versus e</w:t>
            </w:r>
            <w:r w:rsidR="000A6D76" w:rsidRPr="001C0823">
              <w:rPr>
                <w:rFonts w:ascii="Arial Narrow" w:hAnsi="Arial Narrow"/>
                <w:b/>
                <w:sz w:val="20"/>
                <w:lang w:val="en-US"/>
              </w:rPr>
              <w:t>rlotinib</w:t>
            </w:r>
          </w:p>
        </w:tc>
      </w:tr>
      <w:tr w:rsidR="00243690" w:rsidRPr="001C0823" w:rsidTr="00E9366A">
        <w:trPr>
          <w:cantSplit/>
        </w:trPr>
        <w:tc>
          <w:tcPr>
            <w:tcW w:w="653" w:type="pct"/>
            <w:shd w:val="clear" w:color="auto" w:fill="auto"/>
            <w:vAlign w:val="center"/>
          </w:tcPr>
          <w:p w:rsidR="00243690" w:rsidRPr="001C0823" w:rsidRDefault="00243690" w:rsidP="003D7D06">
            <w:pPr>
              <w:jc w:val="left"/>
              <w:rPr>
                <w:rFonts w:ascii="Arial Narrow" w:hAnsi="Arial Narrow"/>
                <w:sz w:val="20"/>
                <w:u w:val="single"/>
                <w:lang w:val="en-US"/>
              </w:rPr>
            </w:pPr>
            <w:r w:rsidRPr="001C0823">
              <w:rPr>
                <w:rFonts w:ascii="Arial Narrow" w:hAnsi="Arial Narrow"/>
                <w:sz w:val="20"/>
                <w:u w:val="single"/>
                <w:lang w:val="en-US"/>
              </w:rPr>
              <w:t>Meta-analysis</w:t>
            </w:r>
          </w:p>
          <w:p w:rsidR="00243690" w:rsidRPr="001C0823" w:rsidRDefault="00243690" w:rsidP="00386D52">
            <w:pPr>
              <w:jc w:val="left"/>
              <w:rPr>
                <w:rFonts w:ascii="Arial Narrow" w:hAnsi="Arial Narrow"/>
                <w:sz w:val="20"/>
                <w:lang w:val="en-US"/>
              </w:rPr>
            </w:pPr>
            <w:r w:rsidRPr="001C0823">
              <w:rPr>
                <w:rFonts w:ascii="Arial Narrow" w:hAnsi="Arial Narrow"/>
                <w:sz w:val="20"/>
                <w:lang w:val="en-US"/>
              </w:rPr>
              <w:t>Pooled afatinib</w:t>
            </w:r>
            <w:r>
              <w:rPr>
                <w:rFonts w:ascii="Arial Narrow" w:hAnsi="Arial Narrow"/>
                <w:sz w:val="20"/>
                <w:lang w:val="en-US"/>
              </w:rPr>
              <w:t xml:space="preserve"> trials</w:t>
            </w:r>
            <w:r w:rsidRPr="001C0823">
              <w:rPr>
                <w:rFonts w:ascii="Arial Narrow" w:hAnsi="Arial Narrow"/>
                <w:sz w:val="20"/>
                <w:lang w:val="en-US"/>
              </w:rPr>
              <w:t xml:space="preserve"> 1)</w:t>
            </w:r>
            <w:r>
              <w:rPr>
                <w:rFonts w:ascii="Arial Narrow" w:hAnsi="Arial Narrow"/>
                <w:sz w:val="20"/>
                <w:lang w:val="en-US"/>
              </w:rPr>
              <w:t xml:space="preserve"> </w:t>
            </w:r>
            <w:r w:rsidRPr="001C0823">
              <w:rPr>
                <w:rFonts w:ascii="Arial Narrow" w:hAnsi="Arial Narrow"/>
                <w:sz w:val="20"/>
                <w:lang w:val="en-US"/>
              </w:rPr>
              <w:t>vs  pooled erlotinib</w:t>
            </w:r>
            <w:r>
              <w:rPr>
                <w:rFonts w:ascii="Arial Narrow" w:hAnsi="Arial Narrow"/>
                <w:sz w:val="20"/>
                <w:lang w:val="en-US"/>
              </w:rPr>
              <w:t xml:space="preserve"> trials</w:t>
            </w:r>
            <w:r w:rsidRPr="001C0823">
              <w:rPr>
                <w:rFonts w:ascii="Arial Narrow" w:hAnsi="Arial Narrow"/>
                <w:sz w:val="20"/>
                <w:lang w:val="en-US"/>
              </w:rPr>
              <w:t xml:space="preserve"> for PFS, and 2)</w:t>
            </w:r>
            <w:r>
              <w:rPr>
                <w:rFonts w:ascii="Arial Narrow" w:hAnsi="Arial Narrow"/>
                <w:sz w:val="20"/>
                <w:lang w:val="en-US"/>
              </w:rPr>
              <w:t xml:space="preserve"> </w:t>
            </w:r>
            <w:r w:rsidRPr="001C0823">
              <w:rPr>
                <w:rFonts w:ascii="Arial Narrow" w:hAnsi="Arial Narrow"/>
                <w:sz w:val="20"/>
                <w:lang w:val="en-US"/>
              </w:rPr>
              <w:t>vs EURTAC for OS</w:t>
            </w:r>
            <w:r w:rsidRPr="001C0823">
              <w:rPr>
                <w:rFonts w:ascii="Arial Narrow" w:hAnsi="Arial Narrow"/>
                <w:sz w:val="20"/>
                <w:vertAlign w:val="superscript"/>
                <w:lang w:val="en-US"/>
              </w:rPr>
              <w:t>β</w:t>
            </w:r>
          </w:p>
        </w:tc>
        <w:tc>
          <w:tcPr>
            <w:tcW w:w="533" w:type="pct"/>
            <w:shd w:val="clear" w:color="auto" w:fill="auto"/>
            <w:vAlign w:val="center"/>
          </w:tcPr>
          <w:p w:rsidR="00243690" w:rsidRPr="001C0823" w:rsidRDefault="00243690" w:rsidP="003D7D06">
            <w:pPr>
              <w:jc w:val="center"/>
              <w:rPr>
                <w:rFonts w:ascii="Arial Narrow" w:hAnsi="Arial Narrow"/>
                <w:sz w:val="20"/>
                <w:vertAlign w:val="superscript"/>
                <w:lang w:val="en-US"/>
              </w:rPr>
            </w:pPr>
            <w:r w:rsidRPr="001C0823">
              <w:rPr>
                <w:rFonts w:ascii="Arial Narrow" w:hAnsi="Arial Narrow"/>
                <w:sz w:val="20"/>
                <w:lang w:val="en-US"/>
              </w:rPr>
              <w:t>PFS:553</w:t>
            </w:r>
            <w:r w:rsidRPr="001C0823">
              <w:rPr>
                <w:rFonts w:ascii="Arial Narrow" w:hAnsi="Arial Narrow"/>
                <w:sz w:val="20"/>
                <w:vertAlign w:val="superscript"/>
                <w:lang w:val="en-US"/>
              </w:rPr>
              <w:t>∞</w:t>
            </w:r>
          </w:p>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OS:471</w:t>
            </w:r>
          </w:p>
        </w:tc>
        <w:tc>
          <w:tcPr>
            <w:tcW w:w="84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u w:val="single"/>
                <w:lang w:val="en-US"/>
              </w:rPr>
              <w:t>Indirect</w:t>
            </w:r>
            <w:r>
              <w:rPr>
                <w:rFonts w:ascii="Arial Narrow" w:hAnsi="Arial Narrow"/>
                <w:sz w:val="20"/>
                <w:u w:val="single"/>
                <w:lang w:val="en-US"/>
              </w:rPr>
              <w:t xml:space="preserve"> comparison</w:t>
            </w:r>
            <w:r w:rsidRPr="001C0823">
              <w:rPr>
                <w:rFonts w:ascii="Arial Narrow" w:hAnsi="Arial Narrow"/>
                <w:sz w:val="20"/>
                <w:lang w:val="en-US"/>
              </w:rPr>
              <w:t xml:space="preserve">, non-randomised. </w:t>
            </w:r>
            <w:r w:rsidRPr="001C0823">
              <w:rPr>
                <w:rFonts w:ascii="Arial Narrow" w:hAnsi="Arial Narrow"/>
                <w:i/>
                <w:sz w:val="20"/>
                <w:lang w:val="en-US"/>
              </w:rPr>
              <w:t xml:space="preserve">Post hoc </w:t>
            </w:r>
            <w:r w:rsidRPr="001C0823">
              <w:rPr>
                <w:rFonts w:ascii="Arial Narrow" w:hAnsi="Arial Narrow"/>
                <w:sz w:val="20"/>
                <w:lang w:val="en-US"/>
              </w:rPr>
              <w:t>subgroup analysis</w:t>
            </w:r>
          </w:p>
        </w:tc>
        <w:tc>
          <w:tcPr>
            <w:tcW w:w="67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High</w:t>
            </w:r>
          </w:p>
        </w:tc>
        <w:tc>
          <w:tcPr>
            <w:tcW w:w="1017" w:type="pct"/>
            <w:shd w:val="clear" w:color="auto" w:fill="auto"/>
            <w:vAlign w:val="center"/>
          </w:tcPr>
          <w:p w:rsidR="00243690" w:rsidRPr="001C0823" w:rsidRDefault="00BB31AD" w:rsidP="00BB31AD">
            <w:pPr>
              <w:jc w:val="center"/>
              <w:rPr>
                <w:rFonts w:ascii="Arial Narrow" w:hAnsi="Arial Narrow"/>
                <w:sz w:val="20"/>
                <w:lang w:val="en-US"/>
              </w:rPr>
            </w:pPr>
            <w:r>
              <w:rPr>
                <w:rFonts w:ascii="Arial Narrow" w:hAnsi="Arial Narrow"/>
                <w:sz w:val="20"/>
                <w:lang w:val="en-US"/>
              </w:rPr>
              <w:t>Exon 19 d</w:t>
            </w:r>
            <w:r w:rsidR="00243690" w:rsidRPr="001C0823">
              <w:rPr>
                <w:rFonts w:ascii="Arial Narrow" w:hAnsi="Arial Narrow"/>
                <w:sz w:val="20"/>
                <w:lang w:val="en-US"/>
              </w:rPr>
              <w:t>eletion mutation</w:t>
            </w:r>
          </w:p>
        </w:tc>
        <w:tc>
          <w:tcPr>
            <w:tcW w:w="67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Used</w:t>
            </w:r>
            <w:r w:rsidRPr="001C0823">
              <w:rPr>
                <w:rFonts w:ascii="Arial Narrow" w:hAnsi="Arial Narrow"/>
                <w:b/>
                <w:sz w:val="20"/>
                <w:lang w:val="en-US"/>
              </w:rPr>
              <w:t>**</w:t>
            </w:r>
          </w:p>
        </w:tc>
      </w:tr>
      <w:tr w:rsidR="00243690" w:rsidRPr="001C0823" w:rsidTr="00E9366A">
        <w:trPr>
          <w:cantSplit/>
        </w:trPr>
        <w:tc>
          <w:tcPr>
            <w:tcW w:w="5000" w:type="pct"/>
            <w:gridSpan w:val="7"/>
            <w:shd w:val="clear" w:color="auto" w:fill="auto"/>
            <w:vAlign w:val="center"/>
          </w:tcPr>
          <w:p w:rsidR="00243690" w:rsidRPr="001C0823" w:rsidRDefault="0051267A" w:rsidP="00386D52">
            <w:pPr>
              <w:jc w:val="left"/>
              <w:rPr>
                <w:rFonts w:ascii="Arial Narrow" w:hAnsi="Arial Narrow"/>
                <w:sz w:val="20"/>
                <w:lang w:val="en-US"/>
              </w:rPr>
            </w:pPr>
            <w:r>
              <w:rPr>
                <w:rFonts w:ascii="Arial Narrow" w:hAnsi="Arial Narrow"/>
                <w:b/>
                <w:sz w:val="20"/>
                <w:lang w:val="en-US"/>
              </w:rPr>
              <w:t>Afatinib versus g</w:t>
            </w:r>
            <w:r w:rsidR="00243690" w:rsidRPr="001C0823">
              <w:rPr>
                <w:rFonts w:ascii="Arial Narrow" w:hAnsi="Arial Narrow"/>
                <w:b/>
                <w:sz w:val="20"/>
                <w:lang w:val="en-US"/>
              </w:rPr>
              <w:t>efitinib</w:t>
            </w:r>
          </w:p>
        </w:tc>
      </w:tr>
      <w:tr w:rsidR="00243690" w:rsidRPr="001C0823" w:rsidTr="00E9366A">
        <w:trPr>
          <w:cantSplit/>
        </w:trPr>
        <w:tc>
          <w:tcPr>
            <w:tcW w:w="653" w:type="pct"/>
            <w:shd w:val="clear" w:color="auto" w:fill="auto"/>
            <w:vAlign w:val="center"/>
          </w:tcPr>
          <w:p w:rsidR="00243690" w:rsidRPr="001C0823" w:rsidRDefault="00243690" w:rsidP="003D7D06">
            <w:pPr>
              <w:jc w:val="left"/>
              <w:rPr>
                <w:rFonts w:ascii="Arial Narrow" w:hAnsi="Arial Narrow"/>
                <w:sz w:val="20"/>
                <w:u w:val="single"/>
                <w:lang w:val="en-US"/>
              </w:rPr>
            </w:pPr>
            <w:r w:rsidRPr="001C0823">
              <w:rPr>
                <w:rFonts w:ascii="Arial Narrow" w:hAnsi="Arial Narrow"/>
                <w:sz w:val="20"/>
                <w:u w:val="single"/>
                <w:lang w:val="en-US"/>
              </w:rPr>
              <w:t>Meta-analysis</w:t>
            </w:r>
          </w:p>
          <w:p w:rsidR="00243690" w:rsidRPr="001C0823" w:rsidRDefault="00243690" w:rsidP="00386D52">
            <w:pPr>
              <w:jc w:val="left"/>
              <w:rPr>
                <w:rFonts w:ascii="Arial Narrow" w:hAnsi="Arial Narrow"/>
                <w:sz w:val="20"/>
                <w:lang w:val="en-US"/>
              </w:rPr>
            </w:pPr>
            <w:r w:rsidRPr="001C0823">
              <w:rPr>
                <w:rFonts w:ascii="Arial Narrow" w:hAnsi="Arial Narrow"/>
                <w:sz w:val="20"/>
                <w:lang w:val="en-US"/>
              </w:rPr>
              <w:t xml:space="preserve">Pooled afatinib </w:t>
            </w:r>
            <w:r>
              <w:rPr>
                <w:rFonts w:ascii="Arial Narrow" w:hAnsi="Arial Narrow"/>
                <w:sz w:val="20"/>
                <w:lang w:val="en-US"/>
              </w:rPr>
              <w:t xml:space="preserve">trials </w:t>
            </w:r>
            <w:r w:rsidRPr="001C0823">
              <w:rPr>
                <w:rFonts w:ascii="Arial Narrow" w:hAnsi="Arial Narrow"/>
                <w:sz w:val="20"/>
                <w:lang w:val="en-US"/>
              </w:rPr>
              <w:t xml:space="preserve">vs pooled gefitinib </w:t>
            </w:r>
            <w:r>
              <w:rPr>
                <w:rFonts w:ascii="Arial Narrow" w:hAnsi="Arial Narrow"/>
                <w:sz w:val="20"/>
                <w:lang w:val="en-US"/>
              </w:rPr>
              <w:t xml:space="preserve">trials </w:t>
            </w:r>
            <w:r w:rsidRPr="001C0823">
              <w:rPr>
                <w:rFonts w:ascii="Arial Narrow" w:hAnsi="Arial Narrow"/>
                <w:sz w:val="20"/>
                <w:lang w:val="en-US"/>
              </w:rPr>
              <w:t>for PFS &amp; OS.</w:t>
            </w:r>
          </w:p>
        </w:tc>
        <w:tc>
          <w:tcPr>
            <w:tcW w:w="533"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PFS/OS:613</w:t>
            </w:r>
            <w:r w:rsidRPr="001C0823">
              <w:rPr>
                <w:rFonts w:ascii="Arial Narrow" w:hAnsi="Arial Narrow"/>
                <w:sz w:val="20"/>
                <w:vertAlign w:val="superscript"/>
                <w:lang w:val="en-US"/>
              </w:rPr>
              <w:t>∞</w:t>
            </w:r>
          </w:p>
        </w:tc>
        <w:tc>
          <w:tcPr>
            <w:tcW w:w="84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u w:val="single"/>
                <w:lang w:val="en-US"/>
              </w:rPr>
              <w:t>Indirect</w:t>
            </w:r>
            <w:r>
              <w:rPr>
                <w:rFonts w:ascii="Arial Narrow" w:hAnsi="Arial Narrow"/>
                <w:sz w:val="20"/>
                <w:u w:val="single"/>
                <w:lang w:val="en-US"/>
              </w:rPr>
              <w:t xml:space="preserve"> comparison</w:t>
            </w:r>
            <w:r w:rsidRPr="001C0823">
              <w:rPr>
                <w:rFonts w:ascii="Arial Narrow" w:hAnsi="Arial Narrow"/>
                <w:sz w:val="20"/>
                <w:lang w:val="en-US"/>
              </w:rPr>
              <w:t xml:space="preserve">, non-randomised. </w:t>
            </w:r>
            <w:r w:rsidRPr="001C0823">
              <w:rPr>
                <w:rFonts w:ascii="Arial Narrow" w:hAnsi="Arial Narrow"/>
                <w:i/>
                <w:sz w:val="20"/>
                <w:lang w:val="en-US"/>
              </w:rPr>
              <w:t xml:space="preserve">Post hoc </w:t>
            </w:r>
            <w:r w:rsidRPr="001C0823">
              <w:rPr>
                <w:rFonts w:ascii="Arial Narrow" w:hAnsi="Arial Narrow"/>
                <w:sz w:val="20"/>
                <w:lang w:val="en-US"/>
              </w:rPr>
              <w:t>subgroup analysis</w:t>
            </w:r>
          </w:p>
        </w:tc>
        <w:tc>
          <w:tcPr>
            <w:tcW w:w="67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High</w:t>
            </w:r>
          </w:p>
        </w:tc>
        <w:tc>
          <w:tcPr>
            <w:tcW w:w="1017" w:type="pct"/>
            <w:shd w:val="clear" w:color="auto" w:fill="auto"/>
            <w:vAlign w:val="center"/>
          </w:tcPr>
          <w:p w:rsidR="00243690" w:rsidRPr="001C0823" w:rsidRDefault="00BB31AD" w:rsidP="00BB31AD">
            <w:pPr>
              <w:jc w:val="center"/>
              <w:rPr>
                <w:rFonts w:ascii="Arial Narrow" w:hAnsi="Arial Narrow"/>
                <w:sz w:val="20"/>
                <w:lang w:val="en-US"/>
              </w:rPr>
            </w:pPr>
            <w:r>
              <w:rPr>
                <w:rFonts w:ascii="Arial Narrow" w:hAnsi="Arial Narrow"/>
                <w:sz w:val="20"/>
                <w:lang w:val="en-US"/>
              </w:rPr>
              <w:t>Exon 19 d</w:t>
            </w:r>
            <w:r w:rsidR="00243690" w:rsidRPr="001C0823">
              <w:rPr>
                <w:rFonts w:ascii="Arial Narrow" w:hAnsi="Arial Narrow"/>
                <w:sz w:val="20"/>
                <w:lang w:val="en-US"/>
              </w:rPr>
              <w:t>eletion mutation</w:t>
            </w:r>
          </w:p>
        </w:tc>
        <w:tc>
          <w:tcPr>
            <w:tcW w:w="678"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OS, PFS</w:t>
            </w:r>
          </w:p>
        </w:tc>
        <w:tc>
          <w:tcPr>
            <w:tcW w:w="593" w:type="pct"/>
            <w:shd w:val="clear" w:color="auto" w:fill="auto"/>
            <w:vAlign w:val="center"/>
          </w:tcPr>
          <w:p w:rsidR="00243690" w:rsidRPr="001C0823" w:rsidRDefault="00243690" w:rsidP="00386D52">
            <w:pPr>
              <w:jc w:val="center"/>
              <w:rPr>
                <w:rFonts w:ascii="Arial Narrow" w:hAnsi="Arial Narrow"/>
                <w:sz w:val="20"/>
                <w:lang w:val="en-US"/>
              </w:rPr>
            </w:pPr>
            <w:r w:rsidRPr="001C0823">
              <w:rPr>
                <w:rFonts w:ascii="Arial Narrow" w:hAnsi="Arial Narrow"/>
                <w:sz w:val="20"/>
                <w:lang w:val="en-US"/>
              </w:rPr>
              <w:t>Used</w:t>
            </w:r>
            <w:r w:rsidRPr="001C0823">
              <w:rPr>
                <w:rFonts w:ascii="Arial Narrow" w:hAnsi="Arial Narrow"/>
                <w:b/>
                <w:sz w:val="20"/>
                <w:lang w:val="en-US"/>
              </w:rPr>
              <w:t>**</w:t>
            </w:r>
          </w:p>
        </w:tc>
      </w:tr>
    </w:tbl>
    <w:p w:rsidR="005D5A4D" w:rsidRPr="001C0823" w:rsidRDefault="005D5A4D" w:rsidP="005D5A4D">
      <w:pPr>
        <w:pStyle w:val="TableFooter"/>
        <w:ind w:left="720"/>
        <w:rPr>
          <w:szCs w:val="18"/>
        </w:rPr>
      </w:pPr>
      <w:r w:rsidRPr="001C0823">
        <w:rPr>
          <w:szCs w:val="18"/>
        </w:rPr>
        <w:t>OL</w:t>
      </w:r>
      <w:r w:rsidR="00BD3448">
        <w:rPr>
          <w:szCs w:val="18"/>
        </w:rPr>
        <w:t xml:space="preserve"> </w:t>
      </w:r>
      <w:r w:rsidRPr="001C0823">
        <w:rPr>
          <w:szCs w:val="18"/>
        </w:rPr>
        <w:t>=</w:t>
      </w:r>
      <w:r w:rsidR="00BD3448">
        <w:rPr>
          <w:szCs w:val="18"/>
        </w:rPr>
        <w:t xml:space="preserve"> </w:t>
      </w:r>
      <w:r w:rsidRPr="001C0823">
        <w:rPr>
          <w:szCs w:val="18"/>
        </w:rPr>
        <w:t>open label; OS</w:t>
      </w:r>
      <w:r w:rsidR="00BD3448">
        <w:rPr>
          <w:szCs w:val="18"/>
        </w:rPr>
        <w:t xml:space="preserve"> </w:t>
      </w:r>
      <w:r w:rsidRPr="001C0823">
        <w:rPr>
          <w:szCs w:val="18"/>
        </w:rPr>
        <w:t>=</w:t>
      </w:r>
      <w:r w:rsidR="00BD3448">
        <w:rPr>
          <w:szCs w:val="18"/>
        </w:rPr>
        <w:t xml:space="preserve"> </w:t>
      </w:r>
      <w:r w:rsidRPr="001C0823">
        <w:rPr>
          <w:szCs w:val="18"/>
        </w:rPr>
        <w:t>overall survival; PFS</w:t>
      </w:r>
      <w:r w:rsidR="00BD3448">
        <w:rPr>
          <w:szCs w:val="18"/>
        </w:rPr>
        <w:t xml:space="preserve"> </w:t>
      </w:r>
      <w:r w:rsidRPr="001C0823">
        <w:rPr>
          <w:szCs w:val="18"/>
        </w:rPr>
        <w:t>=</w:t>
      </w:r>
      <w:r w:rsidR="00BD3448">
        <w:rPr>
          <w:szCs w:val="18"/>
        </w:rPr>
        <w:t xml:space="preserve"> </w:t>
      </w:r>
      <w:r w:rsidRPr="001C0823">
        <w:rPr>
          <w:szCs w:val="18"/>
        </w:rPr>
        <w:t>progression-free survival; R</w:t>
      </w:r>
      <w:r w:rsidR="00BD3448">
        <w:rPr>
          <w:szCs w:val="18"/>
        </w:rPr>
        <w:t xml:space="preserve"> </w:t>
      </w:r>
      <w:r w:rsidRPr="001C0823">
        <w:rPr>
          <w:szCs w:val="18"/>
        </w:rPr>
        <w:t>=</w:t>
      </w:r>
      <w:r w:rsidR="00BD3448">
        <w:rPr>
          <w:szCs w:val="18"/>
        </w:rPr>
        <w:t xml:space="preserve"> </w:t>
      </w:r>
      <w:r w:rsidRPr="001C0823">
        <w:rPr>
          <w:szCs w:val="18"/>
        </w:rPr>
        <w:t>randomised</w:t>
      </w:r>
    </w:p>
    <w:p w:rsidR="005D5A4D" w:rsidRPr="001C0823" w:rsidRDefault="005D5A4D" w:rsidP="005D5A4D">
      <w:pPr>
        <w:pStyle w:val="TableFooter"/>
        <w:ind w:left="720"/>
        <w:rPr>
          <w:szCs w:val="18"/>
        </w:rPr>
      </w:pPr>
      <w:r>
        <w:rPr>
          <w:b/>
          <w:sz w:val="20"/>
          <w:vertAlign w:val="superscript"/>
          <w:lang w:val="en-US"/>
        </w:rPr>
        <w:t>µ</w:t>
      </w:r>
      <w:r w:rsidRPr="001C0823">
        <w:rPr>
          <w:szCs w:val="18"/>
        </w:rPr>
        <w:t>Trial durations were not provided for the erlotinib and gefitinib trials.</w:t>
      </w:r>
    </w:p>
    <w:p w:rsidR="005D5A4D" w:rsidRPr="001C0823" w:rsidRDefault="005D5A4D" w:rsidP="005D5A4D">
      <w:pPr>
        <w:pStyle w:val="TableFooter"/>
        <w:ind w:left="720"/>
        <w:rPr>
          <w:szCs w:val="18"/>
        </w:rPr>
      </w:pPr>
      <w:r w:rsidRPr="001C0823">
        <w:rPr>
          <w:b/>
          <w:szCs w:val="18"/>
          <w:vertAlign w:val="superscript"/>
          <w:lang w:val="en-US"/>
        </w:rPr>
        <w:t>€</w:t>
      </w:r>
      <w:r>
        <w:rPr>
          <w:szCs w:val="18"/>
        </w:rPr>
        <w:t>R</w:t>
      </w:r>
      <w:r w:rsidRPr="001C0823">
        <w:rPr>
          <w:szCs w:val="18"/>
        </w:rPr>
        <w:t>isk of</w:t>
      </w:r>
      <w:r>
        <w:rPr>
          <w:szCs w:val="18"/>
        </w:rPr>
        <w:t xml:space="preserve"> confounding of</w:t>
      </w:r>
      <w:r w:rsidRPr="001C0823">
        <w:rPr>
          <w:szCs w:val="18"/>
        </w:rPr>
        <w:t xml:space="preserve"> </w:t>
      </w:r>
      <w:r>
        <w:rPr>
          <w:szCs w:val="18"/>
        </w:rPr>
        <w:t xml:space="preserve">OS </w:t>
      </w:r>
      <w:r w:rsidR="003D7D06">
        <w:rPr>
          <w:szCs w:val="18"/>
        </w:rPr>
        <w:t xml:space="preserve">due to </w:t>
      </w:r>
      <w:r w:rsidRPr="001C0823">
        <w:rPr>
          <w:szCs w:val="18"/>
        </w:rPr>
        <w:t xml:space="preserve">treatment </w:t>
      </w:r>
      <w:r>
        <w:rPr>
          <w:szCs w:val="18"/>
        </w:rPr>
        <w:t xml:space="preserve">switching </w:t>
      </w:r>
      <w:r w:rsidR="003D7D06">
        <w:rPr>
          <w:szCs w:val="18"/>
        </w:rPr>
        <w:t xml:space="preserve">from chemotherapy arm to a TKI upon </w:t>
      </w:r>
      <w:r>
        <w:rPr>
          <w:szCs w:val="18"/>
        </w:rPr>
        <w:t>progression</w:t>
      </w:r>
      <w:r w:rsidRPr="001C0823">
        <w:rPr>
          <w:szCs w:val="18"/>
        </w:rPr>
        <w:t xml:space="preserve"> for all the trials and </w:t>
      </w:r>
      <w:r>
        <w:rPr>
          <w:szCs w:val="18"/>
        </w:rPr>
        <w:t xml:space="preserve">risk of bias </w:t>
      </w:r>
      <w:r w:rsidRPr="001C0823">
        <w:rPr>
          <w:szCs w:val="18"/>
        </w:rPr>
        <w:t>for PFS (investigator based) for the erlotinib and gefitinib trials.</w:t>
      </w:r>
      <w:r>
        <w:rPr>
          <w:szCs w:val="18"/>
        </w:rPr>
        <w:t xml:space="preserve"> The risk of bias is much more of a concern in the indirect comparisons between the TKIs arising from lack of exchangeability and subgroup related limitations</w:t>
      </w:r>
      <w:r w:rsidR="0051267A">
        <w:rPr>
          <w:szCs w:val="18"/>
        </w:rPr>
        <w:t>.</w:t>
      </w:r>
    </w:p>
    <w:p w:rsidR="005D5A4D" w:rsidRPr="001C0823" w:rsidRDefault="005D5A4D" w:rsidP="005D5A4D">
      <w:pPr>
        <w:pStyle w:val="TableFooter"/>
        <w:ind w:left="720"/>
        <w:rPr>
          <w:szCs w:val="18"/>
        </w:rPr>
      </w:pPr>
      <w:r w:rsidRPr="001C0823">
        <w:rPr>
          <w:szCs w:val="18"/>
        </w:rPr>
        <w:t xml:space="preserve">**Hazard ratios for both PFS and OS from indirect comparisons are applied to the observed and extrapolated survival curves of afatinib </w:t>
      </w:r>
      <w:r>
        <w:rPr>
          <w:szCs w:val="18"/>
        </w:rPr>
        <w:t xml:space="preserve">in the </w:t>
      </w:r>
      <w:r w:rsidR="00BB31AD">
        <w:rPr>
          <w:szCs w:val="18"/>
        </w:rPr>
        <w:t xml:space="preserve">exon 19 </w:t>
      </w:r>
      <w:r>
        <w:rPr>
          <w:szCs w:val="18"/>
        </w:rPr>
        <w:t xml:space="preserve">deletion subgroup </w:t>
      </w:r>
      <w:r w:rsidRPr="001C0823">
        <w:rPr>
          <w:szCs w:val="18"/>
        </w:rPr>
        <w:t>to estimate the corresponding curves of erlotinib or gefitinib</w:t>
      </w:r>
      <w:r w:rsidR="0051267A">
        <w:rPr>
          <w:szCs w:val="18"/>
        </w:rPr>
        <w:t>.</w:t>
      </w:r>
    </w:p>
    <w:p w:rsidR="005D5A4D" w:rsidRPr="001C0823" w:rsidRDefault="005D5A4D" w:rsidP="005D5A4D">
      <w:pPr>
        <w:pStyle w:val="TableFooter"/>
        <w:ind w:left="720"/>
        <w:rPr>
          <w:szCs w:val="18"/>
          <w:lang w:val="en-US"/>
        </w:rPr>
      </w:pPr>
      <w:r w:rsidRPr="001C0823">
        <w:rPr>
          <w:szCs w:val="18"/>
          <w:vertAlign w:val="superscript"/>
          <w:lang w:val="en-US"/>
        </w:rPr>
        <w:t>∞</w:t>
      </w:r>
      <w:r w:rsidRPr="001C0823">
        <w:rPr>
          <w:szCs w:val="18"/>
          <w:lang w:val="en-US"/>
        </w:rPr>
        <w:t>Sample size</w:t>
      </w:r>
      <w:r>
        <w:rPr>
          <w:szCs w:val="18"/>
          <w:lang w:val="en-US"/>
        </w:rPr>
        <w:t>s</w:t>
      </w:r>
      <w:r w:rsidRPr="001C0823">
        <w:rPr>
          <w:szCs w:val="18"/>
          <w:lang w:val="en-US"/>
        </w:rPr>
        <w:t xml:space="preserve"> </w:t>
      </w:r>
      <w:r>
        <w:rPr>
          <w:szCs w:val="18"/>
          <w:lang w:val="en-US"/>
        </w:rPr>
        <w:t xml:space="preserve">for the </w:t>
      </w:r>
      <w:r w:rsidR="00BB31AD">
        <w:rPr>
          <w:szCs w:val="18"/>
          <w:lang w:val="en-US"/>
        </w:rPr>
        <w:t xml:space="preserve">exon 19 </w:t>
      </w:r>
      <w:r>
        <w:rPr>
          <w:szCs w:val="18"/>
          <w:lang w:val="en-US"/>
        </w:rPr>
        <w:t xml:space="preserve">deletion subgroup </w:t>
      </w:r>
      <w:r w:rsidRPr="001C0823">
        <w:rPr>
          <w:szCs w:val="18"/>
          <w:lang w:val="en-US"/>
        </w:rPr>
        <w:t>exclude th</w:t>
      </w:r>
      <w:r>
        <w:rPr>
          <w:szCs w:val="18"/>
          <w:lang w:val="en-US"/>
        </w:rPr>
        <w:t>ose</w:t>
      </w:r>
      <w:r w:rsidRPr="001C0823">
        <w:rPr>
          <w:szCs w:val="18"/>
          <w:lang w:val="en-US"/>
        </w:rPr>
        <w:t xml:space="preserve"> for the erlotinib ENSURE </w:t>
      </w:r>
      <w:r>
        <w:rPr>
          <w:szCs w:val="18"/>
          <w:lang w:val="en-US"/>
        </w:rPr>
        <w:t xml:space="preserve">and gefitinib WJTOG3405 </w:t>
      </w:r>
      <w:r w:rsidRPr="001C0823">
        <w:rPr>
          <w:szCs w:val="18"/>
          <w:lang w:val="en-US"/>
        </w:rPr>
        <w:t>trial</w:t>
      </w:r>
      <w:r>
        <w:rPr>
          <w:szCs w:val="18"/>
          <w:lang w:val="en-US"/>
        </w:rPr>
        <w:t>s</w:t>
      </w:r>
      <w:r w:rsidRPr="001C0823">
        <w:rPr>
          <w:szCs w:val="18"/>
          <w:lang w:val="en-US"/>
        </w:rPr>
        <w:t xml:space="preserve"> </w:t>
      </w:r>
      <w:r>
        <w:rPr>
          <w:szCs w:val="18"/>
          <w:lang w:val="en-US"/>
        </w:rPr>
        <w:t xml:space="preserve">which were </w:t>
      </w:r>
      <w:r w:rsidRPr="001C0823">
        <w:rPr>
          <w:szCs w:val="18"/>
          <w:lang w:val="en-US"/>
        </w:rPr>
        <w:t>not reported.</w:t>
      </w:r>
    </w:p>
    <w:p w:rsidR="005D5A4D" w:rsidRPr="001C0823" w:rsidRDefault="005D5A4D" w:rsidP="005D5A4D">
      <w:pPr>
        <w:pStyle w:val="TableFooter"/>
        <w:ind w:left="720"/>
        <w:rPr>
          <w:szCs w:val="18"/>
        </w:rPr>
      </w:pPr>
      <w:r w:rsidRPr="001C0823">
        <w:rPr>
          <w:szCs w:val="18"/>
          <w:vertAlign w:val="superscript"/>
          <w:lang w:val="en-US"/>
        </w:rPr>
        <w:t>β</w:t>
      </w:r>
      <w:r>
        <w:rPr>
          <w:szCs w:val="18"/>
          <w:vertAlign w:val="superscript"/>
          <w:lang w:val="en-US"/>
        </w:rPr>
        <w:t xml:space="preserve"> </w:t>
      </w:r>
      <w:r w:rsidRPr="001C0823">
        <w:rPr>
          <w:szCs w:val="18"/>
        </w:rPr>
        <w:t xml:space="preserve">OS for </w:t>
      </w:r>
      <w:r w:rsidR="00BB31AD">
        <w:rPr>
          <w:szCs w:val="18"/>
        </w:rPr>
        <w:t xml:space="preserve">exon 19 </w:t>
      </w:r>
      <w:r w:rsidRPr="001C0823">
        <w:rPr>
          <w:szCs w:val="18"/>
        </w:rPr>
        <w:t>deletion subgroup was only available from EURTAC.</w:t>
      </w:r>
    </w:p>
    <w:p w:rsidR="005D5A4D" w:rsidRPr="00666F46" w:rsidRDefault="005D5A4D" w:rsidP="005D5A4D">
      <w:pPr>
        <w:pStyle w:val="TableFooter"/>
        <w:ind w:left="720"/>
        <w:rPr>
          <w:szCs w:val="18"/>
        </w:rPr>
      </w:pPr>
      <w:r w:rsidRPr="00666F46">
        <w:rPr>
          <w:szCs w:val="18"/>
        </w:rPr>
        <w:t>Source: compiled during the evaluation</w:t>
      </w:r>
    </w:p>
    <w:p w:rsidR="00E20CDD" w:rsidRPr="00666F46" w:rsidRDefault="00E20CDD" w:rsidP="0051267A">
      <w:pPr>
        <w:widowControl/>
        <w:rPr>
          <w:szCs w:val="22"/>
        </w:rPr>
      </w:pPr>
    </w:p>
    <w:p w:rsidR="00E20CDD" w:rsidRPr="009840F6" w:rsidRDefault="00714832" w:rsidP="0090717E">
      <w:pPr>
        <w:pStyle w:val="ListParagraph"/>
        <w:widowControl/>
        <w:numPr>
          <w:ilvl w:val="1"/>
          <w:numId w:val="1"/>
        </w:numPr>
        <w:rPr>
          <w:szCs w:val="22"/>
        </w:rPr>
      </w:pPr>
      <w:r w:rsidRPr="00666F46">
        <w:rPr>
          <w:szCs w:val="22"/>
        </w:rPr>
        <w:lastRenderedPageBreak/>
        <w:t>There was a high risk of bias in the indirect comparison</w:t>
      </w:r>
      <w:r w:rsidR="0051267A" w:rsidRPr="00666F46">
        <w:rPr>
          <w:szCs w:val="22"/>
        </w:rPr>
        <w:t>s</w:t>
      </w:r>
      <w:r w:rsidRPr="00666F46">
        <w:rPr>
          <w:szCs w:val="22"/>
        </w:rPr>
        <w:t xml:space="preserve"> of afatinib </w:t>
      </w:r>
      <w:r w:rsidR="0051267A" w:rsidRPr="00666F46">
        <w:rPr>
          <w:szCs w:val="22"/>
        </w:rPr>
        <w:t>with</w:t>
      </w:r>
      <w:r w:rsidRPr="00666F46">
        <w:rPr>
          <w:szCs w:val="22"/>
        </w:rPr>
        <w:t xml:space="preserve"> erlotinib or gefitinib, for the proposed population. In addition to the PBAC’s outstanding concerns</w:t>
      </w:r>
      <w:r>
        <w:rPr>
          <w:i/>
          <w:szCs w:val="22"/>
        </w:rPr>
        <w:t xml:space="preserve"> </w:t>
      </w:r>
      <w:r w:rsidRPr="009840F6">
        <w:rPr>
          <w:szCs w:val="22"/>
        </w:rPr>
        <w:t>with regard to the exchangeability of the trials included in the indirect comparison, there were a number of concerns regarding the proposed population subgroup used:</w:t>
      </w:r>
    </w:p>
    <w:p w:rsidR="00E20CDD" w:rsidRPr="009840F6" w:rsidRDefault="00714832" w:rsidP="0090717E">
      <w:pPr>
        <w:pStyle w:val="ListParagraph"/>
        <w:widowControl/>
        <w:numPr>
          <w:ilvl w:val="0"/>
          <w:numId w:val="2"/>
        </w:numPr>
        <w:rPr>
          <w:szCs w:val="22"/>
        </w:rPr>
      </w:pPr>
      <w:r w:rsidRPr="009840F6">
        <w:rPr>
          <w:szCs w:val="22"/>
        </w:rPr>
        <w:t xml:space="preserve">The proposed population for afatinib - patients with evidence of EGFR exon 19 deletions - is a subgroup of the patients included in the trials. </w:t>
      </w:r>
      <w:r w:rsidR="005A266A" w:rsidRPr="009840F6">
        <w:rPr>
          <w:szCs w:val="22"/>
        </w:rPr>
        <w:t xml:space="preserve"> </w:t>
      </w:r>
      <w:r w:rsidRPr="009840F6">
        <w:rPr>
          <w:szCs w:val="22"/>
        </w:rPr>
        <w:t>In most of the erlotinib and gefitinib trials</w:t>
      </w:r>
      <w:r w:rsidR="005A266A" w:rsidRPr="009840F6">
        <w:rPr>
          <w:szCs w:val="22"/>
        </w:rPr>
        <w:t>,</w:t>
      </w:r>
      <w:r w:rsidRPr="009840F6">
        <w:rPr>
          <w:szCs w:val="22"/>
        </w:rPr>
        <w:t xml:space="preserve"> this population subgroup was not pre-specified</w:t>
      </w:r>
      <w:r w:rsidR="00E20CDD" w:rsidRPr="009840F6">
        <w:rPr>
          <w:szCs w:val="22"/>
        </w:rPr>
        <w:t>.</w:t>
      </w:r>
    </w:p>
    <w:p w:rsidR="00714832" w:rsidRPr="009840F6" w:rsidRDefault="00714832" w:rsidP="0090717E">
      <w:pPr>
        <w:pStyle w:val="ListParagraph"/>
        <w:widowControl/>
        <w:numPr>
          <w:ilvl w:val="0"/>
          <w:numId w:val="2"/>
        </w:numPr>
        <w:rPr>
          <w:szCs w:val="22"/>
        </w:rPr>
      </w:pPr>
      <w:r w:rsidRPr="009840F6">
        <w:t xml:space="preserve">There were limited baseline data available for these subgroups, by treatment arm, in the erlotinib and gefitinib trials. In the afatinib trials, which employed stratified randomisation by mutation subgroup, an imbalance in baseline characteristics across treatment arms was apparent for the mutation subgroups. </w:t>
      </w:r>
      <w:r w:rsidR="005A266A" w:rsidRPr="009840F6">
        <w:t xml:space="preserve"> </w:t>
      </w:r>
      <w:r w:rsidR="00C51D3C" w:rsidRPr="009840F6">
        <w:t xml:space="preserve">Although mutation subgroup was a stratification factor during randomisation in EURTAC, baseline characteristics </w:t>
      </w:r>
      <w:r w:rsidR="0079597A" w:rsidRPr="009840F6">
        <w:t xml:space="preserve">for specific mutation subgroups </w:t>
      </w:r>
      <w:r w:rsidR="00C51D3C" w:rsidRPr="009840F6">
        <w:t xml:space="preserve">were not available. </w:t>
      </w:r>
      <w:r w:rsidRPr="009840F6">
        <w:t xml:space="preserve"> The lack of baseline data for the EGFR mutation subgroups limit</w:t>
      </w:r>
      <w:r w:rsidR="005A266A" w:rsidRPr="009840F6">
        <w:t>ed</w:t>
      </w:r>
      <w:r w:rsidRPr="009840F6">
        <w:t xml:space="preserve"> the ability to assess prognostic balance within the mutation</w:t>
      </w:r>
      <w:r w:rsidR="005A266A" w:rsidRPr="009840F6">
        <w:t xml:space="preserve"> subgroups and further compounded</w:t>
      </w:r>
      <w:r w:rsidRPr="009840F6">
        <w:t xml:space="preserve"> the uncertainties relating to exchangeability of the patient groups included in the indirect comparison.</w:t>
      </w:r>
    </w:p>
    <w:p w:rsidR="00925A8B" w:rsidRPr="00925A8B" w:rsidRDefault="00714832" w:rsidP="00925A8B">
      <w:pPr>
        <w:pStyle w:val="ListParagraph"/>
        <w:widowControl/>
        <w:numPr>
          <w:ilvl w:val="0"/>
          <w:numId w:val="2"/>
        </w:numPr>
        <w:rPr>
          <w:szCs w:val="22"/>
        </w:rPr>
      </w:pPr>
      <w:r w:rsidRPr="009840F6">
        <w:t xml:space="preserve">For the EGFR mutation subgroups, limited data were available regarding the </w:t>
      </w:r>
      <w:r w:rsidR="0079597A" w:rsidRPr="009840F6">
        <w:t xml:space="preserve">proportion of patients who </w:t>
      </w:r>
      <w:r w:rsidR="00C51D3C" w:rsidRPr="009840F6">
        <w:t>switch</w:t>
      </w:r>
      <w:r w:rsidR="0079597A" w:rsidRPr="009840F6">
        <w:t>ed</w:t>
      </w:r>
      <w:r w:rsidRPr="009840F6">
        <w:t xml:space="preserve"> from the assigned treatment</w:t>
      </w:r>
      <w:r w:rsidR="0079597A" w:rsidRPr="009840F6">
        <w:t xml:space="preserve"> arms</w:t>
      </w:r>
      <w:r w:rsidRPr="009840F6">
        <w:t xml:space="preserve"> upon disease progression. </w:t>
      </w:r>
      <w:r w:rsidR="005A266A" w:rsidRPr="009840F6">
        <w:t xml:space="preserve"> </w:t>
      </w:r>
      <w:r w:rsidRPr="009840F6">
        <w:t>For the ITT populations included in the trials that were indirectly compared, there were different rates of treatment switching from the chemotherapy arm to subsequent treatment with a tyrosine kinase inhibitor (TKI), upon progression</w:t>
      </w:r>
      <w:r w:rsidR="00866770" w:rsidRPr="009840F6">
        <w:t>,</w:t>
      </w:r>
      <w:r w:rsidRPr="009840F6">
        <w:t xml:space="preserve"> which are likely to have confounded the OS results.</w:t>
      </w:r>
    </w:p>
    <w:p w:rsidR="00CA13B1" w:rsidRPr="00925A8B" w:rsidRDefault="00CA13B1" w:rsidP="00925A8B">
      <w:pPr>
        <w:pStyle w:val="ListParagraph"/>
        <w:widowControl/>
        <w:numPr>
          <w:ilvl w:val="0"/>
          <w:numId w:val="2"/>
        </w:numPr>
        <w:rPr>
          <w:szCs w:val="22"/>
        </w:rPr>
      </w:pPr>
      <w:r w:rsidRPr="00CA13B1">
        <w:t>Across the trials, the primary analysis of progression free survival (PFS) varied as to whether the assessment was investigator-based (non-blinded) or conducted indepe</w:t>
      </w:r>
      <w:r w:rsidR="00925A8B">
        <w:t>ndently and centrally (blinded).</w:t>
      </w:r>
    </w:p>
    <w:p w:rsidR="00CA13B1" w:rsidRPr="006C1B18" w:rsidRDefault="00CA13B1" w:rsidP="00CA13B1">
      <w:pPr>
        <w:widowControl/>
        <w:rPr>
          <w:szCs w:val="22"/>
        </w:rPr>
      </w:pPr>
    </w:p>
    <w:p w:rsidR="00866770" w:rsidRPr="00666F46" w:rsidRDefault="00866770" w:rsidP="0090717E">
      <w:pPr>
        <w:pStyle w:val="ListParagraph"/>
        <w:widowControl/>
        <w:numPr>
          <w:ilvl w:val="1"/>
          <w:numId w:val="1"/>
        </w:numPr>
        <w:rPr>
          <w:szCs w:val="22"/>
        </w:rPr>
      </w:pPr>
      <w:r w:rsidRPr="00666F46">
        <w:t xml:space="preserve">On the basis of the data available, there </w:t>
      </w:r>
      <w:r w:rsidR="005A266A" w:rsidRPr="00666F46">
        <w:t>we</w:t>
      </w:r>
      <w:r w:rsidRPr="00666F46">
        <w:t xml:space="preserve">re serious concerns regarding the exchangeability of the trial populations and therefore their use in an indirect comparison </w:t>
      </w:r>
      <w:r w:rsidR="005A266A" w:rsidRPr="00666F46">
        <w:t>wa</w:t>
      </w:r>
      <w:r w:rsidRPr="00666F46">
        <w:t xml:space="preserve">s inappropriate. </w:t>
      </w:r>
      <w:r w:rsidR="00BB31AD" w:rsidRPr="00666F46">
        <w:t xml:space="preserve"> </w:t>
      </w:r>
      <w:r w:rsidRPr="00666F46">
        <w:t>The review by Sebastien et al (2014) concluded that the chemotherapy regimens used in each trial and the characteristics of patients across the trials were not comparable.</w:t>
      </w:r>
    </w:p>
    <w:p w:rsidR="00E20CDD" w:rsidRPr="00E22A0D" w:rsidRDefault="00E20CDD" w:rsidP="00E20CDD"/>
    <w:p w:rsidR="00C31854" w:rsidRDefault="00C31854" w:rsidP="00C31854">
      <w:pPr>
        <w:pStyle w:val="ListParagraph"/>
        <w:ind w:left="709"/>
        <w:rPr>
          <w:i/>
          <w:szCs w:val="22"/>
        </w:rPr>
      </w:pPr>
      <w:r w:rsidRPr="00032510">
        <w:rPr>
          <w:i/>
          <w:szCs w:val="22"/>
        </w:rPr>
        <w:t>For more detail on PBAC’s view, see section 7 “PBAC outcome”</w:t>
      </w:r>
    </w:p>
    <w:p w:rsidR="00E20CDD" w:rsidRPr="00882085" w:rsidRDefault="00E20CDD" w:rsidP="00E20CDD">
      <w:pPr>
        <w:rPr>
          <w:szCs w:val="22"/>
        </w:rPr>
      </w:pPr>
    </w:p>
    <w:p w:rsidR="00E20CDD" w:rsidRPr="002C2775" w:rsidRDefault="00E20CDD" w:rsidP="00E20CDD">
      <w:pPr>
        <w:pStyle w:val="Heading2"/>
        <w:rPr>
          <w:i/>
        </w:rPr>
      </w:pPr>
      <w:bookmarkStart w:id="8" w:name="_Toc419801411"/>
      <w:r w:rsidRPr="002C2775">
        <w:rPr>
          <w:i/>
        </w:rPr>
        <w:t>Comparative effectiveness</w:t>
      </w:r>
      <w:bookmarkEnd w:id="8"/>
    </w:p>
    <w:p w:rsidR="00E20CDD" w:rsidRPr="00882085" w:rsidRDefault="00E20CDD" w:rsidP="00E20CDD">
      <w:pPr>
        <w:rPr>
          <w:szCs w:val="22"/>
        </w:rPr>
      </w:pPr>
    </w:p>
    <w:p w:rsidR="00866770" w:rsidRPr="00666F46" w:rsidRDefault="00866770" w:rsidP="0090717E">
      <w:pPr>
        <w:pStyle w:val="ListParagraph"/>
        <w:widowControl/>
        <w:numPr>
          <w:ilvl w:val="1"/>
          <w:numId w:val="1"/>
        </w:numPr>
        <w:rPr>
          <w:szCs w:val="22"/>
        </w:rPr>
      </w:pPr>
      <w:r w:rsidRPr="00666F46">
        <w:t xml:space="preserve">In the PBAC consideration of afatinib in July 2013, afatinib, erlotinib and gefitinib were considered to be non-inferior to each other in NSCLC patients with EGFR activating mutations. </w:t>
      </w:r>
      <w:r w:rsidR="005A266A" w:rsidRPr="00666F46">
        <w:t xml:space="preserve"> </w:t>
      </w:r>
      <w:r w:rsidRPr="00666F46">
        <w:t>In the current re-submission, PBS listing was proposed for a</w:t>
      </w:r>
      <w:r w:rsidR="005A266A" w:rsidRPr="00666F46">
        <w:t>n</w:t>
      </w:r>
      <w:r w:rsidRPr="00666F46">
        <w:t xml:space="preserve"> </w:t>
      </w:r>
      <w:r w:rsidR="005A266A" w:rsidRPr="00666F46">
        <w:t xml:space="preserve">exon 19 </w:t>
      </w:r>
      <w:r w:rsidRPr="00666F46">
        <w:t>deletion mutation subgroup. The re-submission claimed that afatinib was associated with improved clinical outcomes compared to erlotinib or gefitinib.</w:t>
      </w:r>
    </w:p>
    <w:p w:rsidR="00866770" w:rsidRPr="00666F46" w:rsidRDefault="00866770" w:rsidP="00866770">
      <w:pPr>
        <w:widowControl/>
        <w:rPr>
          <w:szCs w:val="22"/>
        </w:rPr>
      </w:pPr>
    </w:p>
    <w:p w:rsidR="00866770" w:rsidRPr="00666F46" w:rsidRDefault="00866770" w:rsidP="0090717E">
      <w:pPr>
        <w:pStyle w:val="ListParagraph"/>
        <w:widowControl/>
        <w:numPr>
          <w:ilvl w:val="1"/>
          <w:numId w:val="1"/>
        </w:numPr>
        <w:rPr>
          <w:szCs w:val="22"/>
        </w:rPr>
      </w:pPr>
      <w:r w:rsidRPr="00666F46">
        <w:rPr>
          <w:szCs w:val="22"/>
        </w:rPr>
        <w:t xml:space="preserve">Two additional important issues </w:t>
      </w:r>
      <w:r w:rsidR="00892B18" w:rsidRPr="00666F46">
        <w:rPr>
          <w:szCs w:val="22"/>
        </w:rPr>
        <w:t>arose</w:t>
      </w:r>
      <w:r w:rsidRPr="00666F46">
        <w:rPr>
          <w:szCs w:val="22"/>
        </w:rPr>
        <w:t xml:space="preserve"> for PBAC consideration:</w:t>
      </w:r>
    </w:p>
    <w:p w:rsidR="00866770" w:rsidRPr="00666F46" w:rsidRDefault="00866770" w:rsidP="0090717E">
      <w:pPr>
        <w:pStyle w:val="ListParagraph"/>
        <w:widowControl/>
        <w:numPr>
          <w:ilvl w:val="0"/>
          <w:numId w:val="2"/>
        </w:numPr>
        <w:rPr>
          <w:szCs w:val="22"/>
        </w:rPr>
      </w:pPr>
      <w:r w:rsidRPr="00666F46">
        <w:t>Whether</w:t>
      </w:r>
      <w:r w:rsidRPr="00666F46">
        <w:rPr>
          <w:szCs w:val="22"/>
        </w:rPr>
        <w:t xml:space="preserve"> the mutation subgroup </w:t>
      </w:r>
      <w:r w:rsidR="005A266A" w:rsidRPr="00666F46">
        <w:rPr>
          <w:szCs w:val="22"/>
        </w:rPr>
        <w:t xml:space="preserve">predicted </w:t>
      </w:r>
      <w:r w:rsidRPr="00666F46">
        <w:rPr>
          <w:szCs w:val="22"/>
        </w:rPr>
        <w:t xml:space="preserve">treatment effect </w:t>
      </w:r>
      <w:r w:rsidR="005A266A" w:rsidRPr="00666F46">
        <w:rPr>
          <w:szCs w:val="22"/>
        </w:rPr>
        <w:t>variation</w:t>
      </w:r>
      <w:r w:rsidRPr="00666F46">
        <w:rPr>
          <w:szCs w:val="22"/>
        </w:rPr>
        <w:t xml:space="preserve"> in the TKI versus chemotherapy trials;</w:t>
      </w:r>
    </w:p>
    <w:p w:rsidR="00866770" w:rsidRPr="00666F46" w:rsidRDefault="00866770" w:rsidP="0090717E">
      <w:pPr>
        <w:pStyle w:val="ListParagraph"/>
        <w:widowControl/>
        <w:numPr>
          <w:ilvl w:val="0"/>
          <w:numId w:val="2"/>
        </w:numPr>
        <w:rPr>
          <w:szCs w:val="22"/>
        </w:rPr>
      </w:pPr>
      <w:r w:rsidRPr="00666F46">
        <w:t>Whether</w:t>
      </w:r>
      <w:r w:rsidRPr="00666F46">
        <w:rPr>
          <w:szCs w:val="22"/>
        </w:rPr>
        <w:t xml:space="preserve"> the mutation subgroup </w:t>
      </w:r>
      <w:r w:rsidR="005A266A" w:rsidRPr="00666F46">
        <w:rPr>
          <w:szCs w:val="22"/>
        </w:rPr>
        <w:t xml:space="preserve">predicted </w:t>
      </w:r>
      <w:r w:rsidRPr="00666F46">
        <w:rPr>
          <w:szCs w:val="22"/>
        </w:rPr>
        <w:t xml:space="preserve">treatment effect </w:t>
      </w:r>
      <w:r w:rsidR="005A266A" w:rsidRPr="00666F46">
        <w:rPr>
          <w:szCs w:val="22"/>
        </w:rPr>
        <w:t>variation</w:t>
      </w:r>
      <w:r w:rsidRPr="00666F46">
        <w:rPr>
          <w:szCs w:val="22"/>
        </w:rPr>
        <w:t xml:space="preserve"> in terms of the effectiveness of afatinib relative to other TKIs such as erlotinib or gefitinib.</w:t>
      </w:r>
    </w:p>
    <w:p w:rsidR="00030B92" w:rsidRPr="00666F46" w:rsidRDefault="00030B92" w:rsidP="00030B92">
      <w:pPr>
        <w:pStyle w:val="ListParagraph"/>
        <w:widowControl/>
        <w:rPr>
          <w:szCs w:val="22"/>
        </w:rPr>
      </w:pPr>
      <w:r w:rsidRPr="00666F46">
        <w:t xml:space="preserve">Therefore, where data permitted, data were extracted for the L858R subgroup from the trial reports/publications and additional tests for interaction were conducted </w:t>
      </w:r>
      <w:r w:rsidRPr="00666F46">
        <w:lastRenderedPageBreak/>
        <w:t xml:space="preserve">between mutation subgroup status and TKI treatment effect. </w:t>
      </w:r>
      <w:r w:rsidR="00892B18" w:rsidRPr="00666F46">
        <w:t xml:space="preserve"> </w:t>
      </w:r>
      <w:r w:rsidRPr="00666F46">
        <w:t>L858R is the substitution mutation that also occurs commonly in NSCLC.</w:t>
      </w:r>
    </w:p>
    <w:p w:rsidR="00E20CDD" w:rsidRPr="00C608BA" w:rsidRDefault="00E20CDD" w:rsidP="005A266A">
      <w:pPr>
        <w:widowControl/>
      </w:pPr>
    </w:p>
    <w:p w:rsidR="00E20CDD" w:rsidRPr="004832D4" w:rsidRDefault="00E20CDD" w:rsidP="0090717E">
      <w:pPr>
        <w:pStyle w:val="ListParagraph"/>
        <w:widowControl/>
        <w:numPr>
          <w:ilvl w:val="1"/>
          <w:numId w:val="1"/>
        </w:numPr>
        <w:rPr>
          <w:u w:val="single"/>
        </w:rPr>
      </w:pPr>
      <w:r w:rsidRPr="004832D4">
        <w:rPr>
          <w:u w:val="single"/>
        </w:rPr>
        <w:t xml:space="preserve">Indirect comparisons between </w:t>
      </w:r>
      <w:r w:rsidR="006162FA">
        <w:rPr>
          <w:u w:val="single"/>
        </w:rPr>
        <w:t>afatinib</w:t>
      </w:r>
      <w:r w:rsidRPr="004832D4">
        <w:rPr>
          <w:u w:val="single"/>
        </w:rPr>
        <w:t xml:space="preserve"> and gefitinib/erlotinib</w:t>
      </w:r>
      <w:r w:rsidRPr="005A266A">
        <w:t>:</w:t>
      </w:r>
      <w:r w:rsidRPr="00C608BA">
        <w:t xml:space="preserve"> </w:t>
      </w:r>
      <w:r>
        <w:t xml:space="preserve">Table </w:t>
      </w:r>
      <w:r w:rsidR="003201DE">
        <w:t>3</w:t>
      </w:r>
      <w:r>
        <w:t xml:space="preserve"> </w:t>
      </w:r>
      <w:r w:rsidRPr="002419EF">
        <w:t xml:space="preserve">summarises the results of the indirect comparisons </w:t>
      </w:r>
      <w:r>
        <w:t>in</w:t>
      </w:r>
      <w:r w:rsidRPr="002419EF">
        <w:t xml:space="preserve"> the </w:t>
      </w:r>
      <w:r w:rsidR="00BB31AD">
        <w:t xml:space="preserve">exon 19 </w:t>
      </w:r>
      <w:r w:rsidRPr="002419EF">
        <w:t>deletion mutation subgroup</w:t>
      </w:r>
      <w:r>
        <w:t>, as</w:t>
      </w:r>
      <w:r w:rsidRPr="002419EF">
        <w:t xml:space="preserve"> presented in the </w:t>
      </w:r>
      <w:r w:rsidR="0095098D">
        <w:t>re-submission</w:t>
      </w:r>
      <w:r w:rsidRPr="002419EF">
        <w:t>.</w:t>
      </w:r>
      <w:r w:rsidR="005A266A">
        <w:t xml:space="preserve"> </w:t>
      </w:r>
      <w:r w:rsidR="00084FC8">
        <w:t xml:space="preserve"> </w:t>
      </w:r>
      <w:r w:rsidRPr="00666F46">
        <w:t>Additional statistical analyses were conducted during the evaluation for the L858R mutation subgroup.</w:t>
      </w:r>
    </w:p>
    <w:p w:rsidR="00E20CDD" w:rsidRPr="005A266A" w:rsidRDefault="00E20CDD" w:rsidP="00E20CDD">
      <w:pPr>
        <w:widowControl/>
      </w:pPr>
    </w:p>
    <w:p w:rsidR="00E20CDD" w:rsidRDefault="00E20CDD" w:rsidP="00E20CDD">
      <w:pPr>
        <w:pStyle w:val="TableHeader"/>
        <w:ind w:firstLine="720"/>
      </w:pPr>
      <w:r>
        <w:t xml:space="preserve">Table </w:t>
      </w:r>
      <w:r w:rsidR="003201DE">
        <w:t>3</w:t>
      </w:r>
      <w:r>
        <w:t xml:space="preserve">: </w:t>
      </w:r>
      <w:r w:rsidRPr="002D501D">
        <w:t>Indirect comparisons of PFS and OS between afatinib and gefitinib or erlotinib</w:t>
      </w:r>
    </w:p>
    <w:tbl>
      <w:tblPr>
        <w:tblStyle w:val="TableGrid"/>
        <w:tblW w:w="4524" w:type="pct"/>
        <w:tblInd w:w="817" w:type="dxa"/>
        <w:tblLook w:val="04A0" w:firstRow="1" w:lastRow="0" w:firstColumn="1" w:lastColumn="0" w:noHBand="0" w:noVBand="1"/>
        <w:tblCaption w:val="&quot;&quot;"/>
      </w:tblPr>
      <w:tblGrid>
        <w:gridCol w:w="3686"/>
        <w:gridCol w:w="2410"/>
        <w:gridCol w:w="2266"/>
      </w:tblGrid>
      <w:tr w:rsidR="006F541B" w:rsidRPr="00232213" w:rsidTr="00B8556E">
        <w:trPr>
          <w:tblHeader/>
        </w:trPr>
        <w:tc>
          <w:tcPr>
            <w:tcW w:w="2204" w:type="pct"/>
            <w:vMerge w:val="restart"/>
          </w:tcPr>
          <w:p w:rsidR="006F541B" w:rsidRPr="00A94665" w:rsidRDefault="006F541B" w:rsidP="004904DD">
            <w:pPr>
              <w:jc w:val="left"/>
              <w:rPr>
                <w:rFonts w:ascii="Arial Narrow" w:hAnsi="Arial Narrow"/>
                <w:b/>
                <w:sz w:val="20"/>
              </w:rPr>
            </w:pPr>
            <w:r w:rsidRPr="00A94665">
              <w:rPr>
                <w:rFonts w:ascii="Arial Narrow" w:hAnsi="Arial Narrow"/>
                <w:b/>
                <w:sz w:val="20"/>
              </w:rPr>
              <w:t>Indirect comparisons</w:t>
            </w:r>
          </w:p>
        </w:tc>
        <w:tc>
          <w:tcPr>
            <w:tcW w:w="2796" w:type="pct"/>
            <w:gridSpan w:val="2"/>
          </w:tcPr>
          <w:p w:rsidR="006F541B" w:rsidRDefault="006F541B" w:rsidP="004904DD">
            <w:pPr>
              <w:jc w:val="center"/>
              <w:rPr>
                <w:rFonts w:ascii="Arial Narrow" w:hAnsi="Arial Narrow"/>
                <w:b/>
                <w:sz w:val="20"/>
              </w:rPr>
            </w:pPr>
            <w:r>
              <w:rPr>
                <w:rFonts w:ascii="Arial Narrow" w:hAnsi="Arial Narrow"/>
                <w:b/>
                <w:sz w:val="20"/>
              </w:rPr>
              <w:t>Mutation subgroup</w:t>
            </w:r>
          </w:p>
          <w:p w:rsidR="006F541B" w:rsidRPr="00A94665" w:rsidRDefault="006F541B" w:rsidP="005A266A">
            <w:pPr>
              <w:jc w:val="center"/>
              <w:rPr>
                <w:rFonts w:ascii="Arial Narrow" w:hAnsi="Arial Narrow"/>
                <w:b/>
                <w:sz w:val="20"/>
              </w:rPr>
            </w:pPr>
            <w:r w:rsidRPr="00A94665">
              <w:rPr>
                <w:rFonts w:ascii="Arial Narrow" w:hAnsi="Arial Narrow"/>
                <w:b/>
                <w:sz w:val="20"/>
              </w:rPr>
              <w:t>HR (95% CI)</w:t>
            </w:r>
          </w:p>
        </w:tc>
      </w:tr>
      <w:tr w:rsidR="006F541B" w:rsidRPr="00232213" w:rsidTr="00811798">
        <w:tc>
          <w:tcPr>
            <w:tcW w:w="2204" w:type="pct"/>
            <w:vMerge/>
          </w:tcPr>
          <w:p w:rsidR="006F541B" w:rsidRPr="00A94665" w:rsidRDefault="006F541B" w:rsidP="004904DD">
            <w:pPr>
              <w:rPr>
                <w:rFonts w:ascii="Arial Narrow" w:hAnsi="Arial Narrow"/>
                <w:b/>
                <w:sz w:val="20"/>
              </w:rPr>
            </w:pPr>
          </w:p>
        </w:tc>
        <w:tc>
          <w:tcPr>
            <w:tcW w:w="1441" w:type="pct"/>
          </w:tcPr>
          <w:p w:rsidR="006F541B" w:rsidRPr="00A94665" w:rsidRDefault="00BB31AD" w:rsidP="00BB31AD">
            <w:pPr>
              <w:jc w:val="center"/>
              <w:rPr>
                <w:rFonts w:ascii="Arial Narrow" w:hAnsi="Arial Narrow"/>
                <w:b/>
                <w:sz w:val="20"/>
              </w:rPr>
            </w:pPr>
            <w:r>
              <w:rPr>
                <w:rFonts w:ascii="Arial Narrow" w:hAnsi="Arial Narrow"/>
                <w:b/>
                <w:sz w:val="20"/>
              </w:rPr>
              <w:t>Exon 19 d</w:t>
            </w:r>
            <w:r w:rsidR="006F541B" w:rsidRPr="00A94665">
              <w:rPr>
                <w:rFonts w:ascii="Arial Narrow" w:hAnsi="Arial Narrow"/>
                <w:b/>
                <w:sz w:val="20"/>
              </w:rPr>
              <w:t>el</w:t>
            </w:r>
            <w:r>
              <w:rPr>
                <w:rFonts w:ascii="Arial Narrow" w:hAnsi="Arial Narrow"/>
                <w:b/>
                <w:sz w:val="20"/>
              </w:rPr>
              <w:t>etion</w:t>
            </w:r>
            <w:r w:rsidR="006F541B" w:rsidRPr="00A94665">
              <w:rPr>
                <w:rFonts w:ascii="Arial Narrow" w:hAnsi="Arial Narrow"/>
                <w:b/>
                <w:sz w:val="20"/>
              </w:rPr>
              <w:t xml:space="preserve"> mutations</w:t>
            </w:r>
          </w:p>
        </w:tc>
        <w:tc>
          <w:tcPr>
            <w:tcW w:w="1355" w:type="pct"/>
          </w:tcPr>
          <w:p w:rsidR="006F541B" w:rsidRPr="009B1AA4" w:rsidRDefault="006F541B" w:rsidP="004904DD">
            <w:pPr>
              <w:jc w:val="center"/>
              <w:rPr>
                <w:rFonts w:ascii="Arial Narrow" w:hAnsi="Arial Narrow"/>
                <w:b/>
                <w:sz w:val="20"/>
              </w:rPr>
            </w:pPr>
            <w:r w:rsidRPr="009B1AA4">
              <w:rPr>
                <w:rFonts w:ascii="Arial Narrow" w:hAnsi="Arial Narrow"/>
                <w:b/>
                <w:sz w:val="20"/>
              </w:rPr>
              <w:t>L858R mutations</w:t>
            </w:r>
          </w:p>
        </w:tc>
      </w:tr>
      <w:tr w:rsidR="006F541B" w:rsidRPr="00232213" w:rsidTr="00811798">
        <w:tc>
          <w:tcPr>
            <w:tcW w:w="5000" w:type="pct"/>
            <w:gridSpan w:val="3"/>
            <w:shd w:val="clear" w:color="auto" w:fill="D9D9D9" w:themeFill="background1" w:themeFillShade="D9"/>
          </w:tcPr>
          <w:p w:rsidR="006F541B" w:rsidRPr="009B1AA4" w:rsidRDefault="006F541B" w:rsidP="00892B18">
            <w:pPr>
              <w:rPr>
                <w:rFonts w:ascii="Arial Narrow" w:hAnsi="Arial Narrow"/>
                <w:b/>
                <w:sz w:val="20"/>
              </w:rPr>
            </w:pPr>
            <w:r w:rsidRPr="009B1AA4">
              <w:rPr>
                <w:rFonts w:ascii="Arial Narrow" w:hAnsi="Arial Narrow"/>
                <w:b/>
                <w:sz w:val="20"/>
              </w:rPr>
              <w:t>Progression</w:t>
            </w:r>
            <w:r w:rsidR="00892B18" w:rsidRPr="009B1AA4">
              <w:rPr>
                <w:rFonts w:ascii="Arial Narrow" w:hAnsi="Arial Narrow"/>
                <w:b/>
                <w:sz w:val="20"/>
              </w:rPr>
              <w:t>-</w:t>
            </w:r>
            <w:r w:rsidRPr="009B1AA4">
              <w:rPr>
                <w:rFonts w:ascii="Arial Narrow" w:hAnsi="Arial Narrow"/>
                <w:b/>
                <w:sz w:val="20"/>
              </w:rPr>
              <w:t>free survival (PFS)</w:t>
            </w:r>
          </w:p>
        </w:tc>
      </w:tr>
      <w:tr w:rsidR="006F541B" w:rsidRPr="00232213" w:rsidTr="00811798">
        <w:tc>
          <w:tcPr>
            <w:tcW w:w="5000" w:type="pct"/>
            <w:gridSpan w:val="3"/>
            <w:shd w:val="clear" w:color="auto" w:fill="F2F2F2" w:themeFill="background1" w:themeFillShade="F2"/>
          </w:tcPr>
          <w:p w:rsidR="006F541B" w:rsidRPr="009B1AA4" w:rsidRDefault="006F541B" w:rsidP="004904DD">
            <w:pPr>
              <w:jc w:val="left"/>
              <w:rPr>
                <w:rFonts w:ascii="Arial Narrow" w:hAnsi="Arial Narrow"/>
                <w:sz w:val="20"/>
              </w:rPr>
            </w:pPr>
            <w:r w:rsidRPr="009B1AA4">
              <w:rPr>
                <w:rFonts w:ascii="Arial Narrow" w:hAnsi="Arial Narrow"/>
                <w:b/>
                <w:sz w:val="20"/>
              </w:rPr>
              <w:t>Afatinib vs gefitinib</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3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1.74 (0.94, 3.22)</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6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0.76 (0.40, 1.45)</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Pooled afatinib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1.17</w:t>
            </w:r>
            <w:r w:rsidR="005A266A" w:rsidRPr="00B854BB">
              <w:rPr>
                <w:rFonts w:ascii="Arial Narrow" w:hAnsi="Arial Narrow"/>
                <w:sz w:val="20"/>
              </w:rPr>
              <w:t xml:space="preserve"> </w:t>
            </w:r>
            <w:r w:rsidRPr="00B854BB">
              <w:rPr>
                <w:rFonts w:ascii="Arial Narrow" w:hAnsi="Arial Narrow"/>
                <w:sz w:val="20"/>
              </w:rPr>
              <w:t>(0.36, 3.74)</w:t>
            </w:r>
          </w:p>
        </w:tc>
      </w:tr>
      <w:tr w:rsidR="006F541B" w:rsidRPr="00232213" w:rsidTr="00811798">
        <w:tc>
          <w:tcPr>
            <w:tcW w:w="5000" w:type="pct"/>
            <w:gridSpan w:val="3"/>
            <w:shd w:val="clear" w:color="auto" w:fill="F2F2F2" w:themeFill="background1" w:themeFillShade="F2"/>
          </w:tcPr>
          <w:p w:rsidR="006F541B" w:rsidRPr="00C208CF" w:rsidRDefault="006F541B" w:rsidP="004904DD">
            <w:pPr>
              <w:jc w:val="left"/>
              <w:rPr>
                <w:rFonts w:ascii="Arial Narrow" w:hAnsi="Arial Narrow"/>
                <w:sz w:val="20"/>
              </w:rPr>
            </w:pPr>
            <w:r w:rsidRPr="00C208CF">
              <w:rPr>
                <w:rFonts w:ascii="Arial Narrow" w:hAnsi="Arial Narrow"/>
                <w:b/>
                <w:sz w:val="20"/>
              </w:rPr>
              <w:t>Afatinib vs erlotinib</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3 vs pooled erlotinib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1.78</w:t>
            </w:r>
            <w:r w:rsidR="005A266A" w:rsidRPr="00B854BB">
              <w:rPr>
                <w:rFonts w:ascii="Arial Narrow" w:hAnsi="Arial Narrow"/>
                <w:sz w:val="20"/>
              </w:rPr>
              <w:t xml:space="preserve"> </w:t>
            </w:r>
            <w:r w:rsidRPr="00B854BB">
              <w:rPr>
                <w:rFonts w:ascii="Arial Narrow" w:hAnsi="Arial Narrow"/>
                <w:sz w:val="20"/>
              </w:rPr>
              <w:t>(0.86, 3.70)</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6 vs pooled erlotinib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0.78</w:t>
            </w:r>
            <w:r w:rsidR="005A266A" w:rsidRPr="00B854BB">
              <w:rPr>
                <w:rFonts w:ascii="Arial Narrow" w:hAnsi="Arial Narrow"/>
                <w:sz w:val="20"/>
              </w:rPr>
              <w:t xml:space="preserve"> </w:t>
            </w:r>
            <w:r w:rsidRPr="00B854BB">
              <w:rPr>
                <w:rFonts w:ascii="Arial Narrow" w:hAnsi="Arial Narrow"/>
                <w:sz w:val="20"/>
              </w:rPr>
              <w:t>(0.37, 1.66)</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Pooled afatinib vs pooled erlotinib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1.20 (0.35, 4.09)</w:t>
            </w:r>
          </w:p>
        </w:tc>
      </w:tr>
      <w:tr w:rsidR="006F541B" w:rsidRPr="00232213" w:rsidTr="00811798">
        <w:tc>
          <w:tcPr>
            <w:tcW w:w="5000" w:type="pct"/>
            <w:gridSpan w:val="3"/>
            <w:shd w:val="clear" w:color="auto" w:fill="D9D9D9" w:themeFill="background1" w:themeFillShade="D9"/>
          </w:tcPr>
          <w:p w:rsidR="006F541B" w:rsidRPr="00C208CF" w:rsidRDefault="006F541B" w:rsidP="004904DD">
            <w:pPr>
              <w:jc w:val="left"/>
              <w:rPr>
                <w:rFonts w:ascii="Arial Narrow" w:hAnsi="Arial Narrow"/>
                <w:b/>
                <w:sz w:val="20"/>
              </w:rPr>
            </w:pPr>
            <w:r w:rsidRPr="00C208CF">
              <w:rPr>
                <w:rFonts w:ascii="Arial Narrow" w:hAnsi="Arial Narrow"/>
                <w:b/>
                <w:sz w:val="20"/>
              </w:rPr>
              <w:t>Overall survival (OS)</w:t>
            </w:r>
          </w:p>
        </w:tc>
      </w:tr>
      <w:tr w:rsidR="006F541B" w:rsidRPr="00232213" w:rsidTr="00811798">
        <w:tc>
          <w:tcPr>
            <w:tcW w:w="5000" w:type="pct"/>
            <w:gridSpan w:val="3"/>
            <w:shd w:val="clear" w:color="auto" w:fill="F2F2F2" w:themeFill="background1" w:themeFillShade="F2"/>
          </w:tcPr>
          <w:p w:rsidR="006F541B" w:rsidRPr="00C208CF" w:rsidRDefault="006F541B" w:rsidP="004904DD">
            <w:pPr>
              <w:jc w:val="left"/>
              <w:rPr>
                <w:rFonts w:ascii="Arial Narrow" w:hAnsi="Arial Narrow"/>
                <w:sz w:val="20"/>
              </w:rPr>
            </w:pPr>
            <w:r w:rsidRPr="00C208CF">
              <w:rPr>
                <w:rFonts w:ascii="Arial Narrow" w:hAnsi="Arial Narrow"/>
                <w:b/>
                <w:sz w:val="20"/>
              </w:rPr>
              <w:t>Afatinib vs gefitinib</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3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1.28 (0.67, 2.44)</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LUX Lung 6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5A266A" w:rsidRPr="00C208CF">
              <w:rPr>
                <w:rFonts w:ascii="Arial Narrow" w:hAnsi="Arial Narrow"/>
                <w:sz w:val="20"/>
              </w:rPr>
              <w:t xml:space="preserve"> </w:t>
            </w:r>
            <w:r w:rsidR="006F541B" w:rsidRPr="00C208CF">
              <w:rPr>
                <w:rFonts w:ascii="Arial Narrow" w:hAnsi="Arial Narrow"/>
                <w:sz w:val="20"/>
              </w:rPr>
              <w:t>(</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1.20 (0.66, 2.17)</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Pooled afatinib vs pooled gefitinib</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5A266A" w:rsidRPr="00C208CF">
              <w:rPr>
                <w:rFonts w:ascii="Arial Narrow" w:hAnsi="Arial Narrow"/>
                <w:sz w:val="20"/>
              </w:rPr>
              <w:t xml:space="preserve"> </w:t>
            </w:r>
            <w:r w:rsidR="006F541B" w:rsidRPr="00C208CF">
              <w:rPr>
                <w:rFonts w:ascii="Arial Narrow" w:hAnsi="Arial Narrow"/>
                <w:sz w:val="20"/>
              </w:rPr>
              <w:t>(</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1.23 (0.71, 2.12)</w:t>
            </w:r>
          </w:p>
        </w:tc>
      </w:tr>
      <w:tr w:rsidR="006F541B" w:rsidRPr="00232213" w:rsidTr="00811798">
        <w:tc>
          <w:tcPr>
            <w:tcW w:w="5000" w:type="pct"/>
            <w:gridSpan w:val="3"/>
            <w:shd w:val="clear" w:color="auto" w:fill="F2F2F2" w:themeFill="background1" w:themeFillShade="F2"/>
          </w:tcPr>
          <w:p w:rsidR="006F541B" w:rsidRPr="00C208CF" w:rsidRDefault="006F541B" w:rsidP="004904DD">
            <w:pPr>
              <w:jc w:val="left"/>
              <w:rPr>
                <w:rFonts w:ascii="Arial Narrow" w:hAnsi="Arial Narrow"/>
                <w:sz w:val="20"/>
              </w:rPr>
            </w:pPr>
            <w:r w:rsidRPr="00C208CF">
              <w:rPr>
                <w:rFonts w:ascii="Arial Narrow" w:hAnsi="Arial Narrow"/>
                <w:b/>
                <w:sz w:val="20"/>
              </w:rPr>
              <w:t>Afatinib vs erlotinib</w:t>
            </w:r>
            <w:r w:rsidRPr="00C208CF">
              <w:rPr>
                <w:iCs/>
                <w:vertAlign w:val="superscript"/>
              </w:rPr>
              <w:t>∞</w:t>
            </w:r>
          </w:p>
        </w:tc>
      </w:tr>
      <w:tr w:rsidR="006F541B" w:rsidRPr="00232213" w:rsidTr="00811798">
        <w:tc>
          <w:tcPr>
            <w:tcW w:w="2204" w:type="pct"/>
          </w:tcPr>
          <w:p w:rsidR="006F541B" w:rsidRPr="007C0C29" w:rsidRDefault="006F541B" w:rsidP="004904DD">
            <w:pPr>
              <w:jc w:val="left"/>
              <w:rPr>
                <w:rFonts w:ascii="Arial Narrow" w:hAnsi="Arial Narrow"/>
                <w:sz w:val="20"/>
                <w:lang w:val="fr-FR"/>
              </w:rPr>
            </w:pPr>
            <w:r w:rsidRPr="007C0C29">
              <w:rPr>
                <w:rFonts w:ascii="Arial Narrow" w:hAnsi="Arial Narrow"/>
                <w:sz w:val="20"/>
                <w:lang w:val="fr-FR"/>
              </w:rPr>
              <w:t>LUX Lung 3 vs erlotinib (EURTAC)</w:t>
            </w:r>
          </w:p>
        </w:tc>
        <w:tc>
          <w:tcPr>
            <w:tcW w:w="1441" w:type="pct"/>
          </w:tcPr>
          <w:p w:rsidR="006F541B" w:rsidRPr="00C208CF" w:rsidRDefault="00393C73" w:rsidP="005A266A">
            <w:pPr>
              <w:pStyle w:val="Tabletext"/>
              <w:jc w:val="center"/>
            </w:pPr>
            <w:r>
              <w:rPr>
                <w:noProof/>
                <w:color w:val="000000"/>
                <w:highlight w:val="black"/>
              </w:rPr>
              <w:t>''''''''''</w:t>
            </w:r>
            <w:r w:rsidR="006F541B" w:rsidRPr="00C208CF">
              <w:t xml:space="preserve"> (</w:t>
            </w:r>
            <w:r>
              <w:rPr>
                <w:noProof/>
                <w:color w:val="000000"/>
                <w:highlight w:val="black"/>
              </w:rPr>
              <w:t>''''''''''</w:t>
            </w:r>
            <w:r w:rsidR="006F541B" w:rsidRPr="00C208CF">
              <w:t xml:space="preserve">, </w:t>
            </w:r>
            <w:r>
              <w:rPr>
                <w:noProof/>
                <w:color w:val="000000"/>
                <w:highlight w:val="black"/>
              </w:rPr>
              <w:t>''''''''''</w:t>
            </w:r>
            <w:r w:rsidR="006F541B" w:rsidRPr="00C208CF">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1.30 (0.61, 2.75)</w:t>
            </w:r>
          </w:p>
        </w:tc>
      </w:tr>
      <w:tr w:rsidR="006F541B" w:rsidRPr="00232213" w:rsidTr="00811798">
        <w:tc>
          <w:tcPr>
            <w:tcW w:w="2204" w:type="pct"/>
          </w:tcPr>
          <w:p w:rsidR="006F541B" w:rsidRPr="007C0C29" w:rsidRDefault="006F541B" w:rsidP="004904DD">
            <w:pPr>
              <w:jc w:val="left"/>
              <w:rPr>
                <w:rFonts w:ascii="Arial Narrow" w:hAnsi="Arial Narrow"/>
                <w:sz w:val="20"/>
                <w:lang w:val="fr-FR"/>
              </w:rPr>
            </w:pPr>
            <w:r w:rsidRPr="007C0C29">
              <w:rPr>
                <w:rFonts w:ascii="Arial Narrow" w:hAnsi="Arial Narrow"/>
                <w:sz w:val="20"/>
                <w:lang w:val="fr-FR"/>
              </w:rPr>
              <w:t>LUX Lung 6 vs erlotinib (EURTAC)</w:t>
            </w:r>
          </w:p>
        </w:tc>
        <w:tc>
          <w:tcPr>
            <w:tcW w:w="1441" w:type="pct"/>
          </w:tcPr>
          <w:p w:rsidR="006F541B" w:rsidRPr="00C208CF" w:rsidRDefault="00393C73" w:rsidP="005A266A">
            <w:pPr>
              <w:pStyle w:val="Tabletext"/>
              <w:jc w:val="center"/>
            </w:pPr>
            <w:r>
              <w:rPr>
                <w:noProof/>
                <w:color w:val="000000"/>
                <w:highlight w:val="black"/>
              </w:rPr>
              <w:t>''''''''''</w:t>
            </w:r>
            <w:r w:rsidR="005A266A" w:rsidRPr="00C208CF">
              <w:t xml:space="preserve"> </w:t>
            </w:r>
            <w:r w:rsidR="006F541B" w:rsidRPr="00C208CF">
              <w:t>(</w:t>
            </w:r>
            <w:r>
              <w:rPr>
                <w:noProof/>
                <w:color w:val="000000"/>
                <w:highlight w:val="black"/>
              </w:rPr>
              <w:t>''''''''''''</w:t>
            </w:r>
            <w:r w:rsidR="006F541B" w:rsidRPr="00C208CF">
              <w:t xml:space="preserve">, </w:t>
            </w:r>
            <w:r>
              <w:rPr>
                <w:noProof/>
                <w:color w:val="000000"/>
                <w:highlight w:val="black"/>
              </w:rPr>
              <w:t>''''''''''</w:t>
            </w:r>
            <w:r w:rsidR="006F541B" w:rsidRPr="00C208CF">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1.22 (0.60, 2.46)</w:t>
            </w:r>
          </w:p>
        </w:tc>
      </w:tr>
      <w:tr w:rsidR="006F541B" w:rsidRPr="00232213" w:rsidTr="00811798">
        <w:tc>
          <w:tcPr>
            <w:tcW w:w="2204" w:type="pct"/>
          </w:tcPr>
          <w:p w:rsidR="006F541B" w:rsidRPr="007C0C29" w:rsidRDefault="006F541B" w:rsidP="004904DD">
            <w:pPr>
              <w:jc w:val="left"/>
              <w:rPr>
                <w:rFonts w:ascii="Arial Narrow" w:hAnsi="Arial Narrow"/>
                <w:sz w:val="20"/>
                <w:lang w:val="fr-FR"/>
              </w:rPr>
            </w:pPr>
            <w:r w:rsidRPr="007C0C29">
              <w:rPr>
                <w:rFonts w:ascii="Arial Narrow" w:hAnsi="Arial Narrow"/>
                <w:sz w:val="20"/>
                <w:lang w:val="fr-FR"/>
              </w:rPr>
              <w:t>Pooled afatinib vs erlotinib (EURTAC)</w:t>
            </w:r>
          </w:p>
        </w:tc>
        <w:tc>
          <w:tcPr>
            <w:tcW w:w="1441" w:type="pct"/>
          </w:tcPr>
          <w:p w:rsidR="006F541B" w:rsidRPr="00C208CF" w:rsidRDefault="00393C73" w:rsidP="005A266A">
            <w:pPr>
              <w:jc w:val="center"/>
              <w:rPr>
                <w:rFonts w:ascii="Arial Narrow" w:hAnsi="Arial Narrow"/>
                <w:sz w:val="20"/>
              </w:rPr>
            </w:pPr>
            <w:r>
              <w:rPr>
                <w:rFonts w:ascii="Arial Narrow" w:hAnsi="Arial Narrow"/>
                <w:noProof/>
                <w:color w:val="000000"/>
                <w:sz w:val="20"/>
                <w:highlight w:val="black"/>
              </w:rPr>
              <w:t>'''''''''''</w:t>
            </w:r>
            <w:r w:rsidR="005A266A" w:rsidRPr="00C208CF">
              <w:rPr>
                <w:rFonts w:ascii="Arial Narrow" w:hAnsi="Arial Narrow"/>
                <w:sz w:val="20"/>
              </w:rPr>
              <w:t xml:space="preserve"> </w:t>
            </w:r>
            <w:r w:rsidR="006F541B" w:rsidRPr="00C208CF">
              <w:rPr>
                <w:rFonts w:ascii="Arial Narrow" w:hAnsi="Arial Narrow"/>
                <w:sz w:val="20"/>
              </w:rPr>
              <w:t>(</w:t>
            </w:r>
            <w:r>
              <w:rPr>
                <w:rFonts w:ascii="Arial Narrow" w:hAnsi="Arial Narrow"/>
                <w:noProof/>
                <w:color w:val="000000"/>
                <w:sz w:val="20"/>
                <w:highlight w:val="black"/>
              </w:rPr>
              <w:t>'''''''''''</w:t>
            </w:r>
            <w:r w:rsidR="006F541B" w:rsidRPr="00C208CF">
              <w:rPr>
                <w:rFonts w:ascii="Arial Narrow" w:hAnsi="Arial Narrow"/>
                <w:sz w:val="20"/>
              </w:rPr>
              <w:t xml:space="preserve">, </w:t>
            </w:r>
            <w:r>
              <w:rPr>
                <w:rFonts w:ascii="Arial Narrow" w:hAnsi="Arial Narrow"/>
                <w:noProof/>
                <w:color w:val="000000"/>
                <w:sz w:val="20"/>
                <w:highlight w:val="black"/>
              </w:rPr>
              <w:t>''''''''''</w:t>
            </w:r>
            <w:r w:rsidR="006F541B" w:rsidRPr="00C208CF">
              <w:rPr>
                <w:rFonts w:ascii="Arial Narrow" w:hAnsi="Arial Narrow"/>
                <w:sz w:val="20"/>
              </w:rPr>
              <w:t>)</w:t>
            </w:r>
          </w:p>
        </w:tc>
        <w:tc>
          <w:tcPr>
            <w:tcW w:w="1355" w:type="pct"/>
          </w:tcPr>
          <w:p w:rsidR="006F541B" w:rsidRPr="00B854BB" w:rsidRDefault="006F541B" w:rsidP="005A266A">
            <w:pPr>
              <w:jc w:val="center"/>
              <w:rPr>
                <w:rFonts w:ascii="Arial Narrow" w:hAnsi="Arial Narrow"/>
                <w:sz w:val="20"/>
              </w:rPr>
            </w:pPr>
            <w:r w:rsidRPr="00B854BB">
              <w:rPr>
                <w:rFonts w:ascii="Arial Narrow" w:hAnsi="Arial Narrow"/>
                <w:sz w:val="20"/>
              </w:rPr>
              <w:t>1.25 (0.66, 2.42)</w:t>
            </w:r>
          </w:p>
        </w:tc>
      </w:tr>
      <w:tr w:rsidR="006F541B" w:rsidRPr="00232213" w:rsidTr="00811798">
        <w:tc>
          <w:tcPr>
            <w:tcW w:w="2204" w:type="pct"/>
          </w:tcPr>
          <w:p w:rsidR="006F541B" w:rsidRPr="00A94665" w:rsidRDefault="006F541B" w:rsidP="004904DD">
            <w:pPr>
              <w:jc w:val="left"/>
              <w:rPr>
                <w:rFonts w:ascii="Arial Narrow" w:hAnsi="Arial Narrow"/>
                <w:sz w:val="20"/>
              </w:rPr>
            </w:pPr>
            <w:r w:rsidRPr="00A94665">
              <w:rPr>
                <w:rFonts w:ascii="Arial Narrow" w:hAnsi="Arial Narrow"/>
                <w:sz w:val="20"/>
              </w:rPr>
              <w:t xml:space="preserve">Pooled afatinib vs </w:t>
            </w:r>
            <w:r>
              <w:rPr>
                <w:rFonts w:ascii="Arial Narrow" w:hAnsi="Arial Narrow"/>
                <w:sz w:val="20"/>
              </w:rPr>
              <w:t xml:space="preserve">pooled </w:t>
            </w:r>
            <w:r w:rsidRPr="00A94665">
              <w:rPr>
                <w:rFonts w:ascii="Arial Narrow" w:hAnsi="Arial Narrow"/>
                <w:sz w:val="20"/>
              </w:rPr>
              <w:t>erlotinib</w:t>
            </w:r>
          </w:p>
        </w:tc>
        <w:tc>
          <w:tcPr>
            <w:tcW w:w="1441" w:type="pct"/>
          </w:tcPr>
          <w:p w:rsidR="006F541B" w:rsidRPr="00B854BB" w:rsidRDefault="006F541B" w:rsidP="004904DD">
            <w:pPr>
              <w:jc w:val="center"/>
              <w:rPr>
                <w:rFonts w:ascii="Arial Narrow" w:hAnsi="Arial Narrow"/>
                <w:sz w:val="20"/>
              </w:rPr>
            </w:pPr>
            <w:r w:rsidRPr="00B854BB">
              <w:rPr>
                <w:rFonts w:ascii="Arial Narrow" w:hAnsi="Arial Narrow"/>
                <w:sz w:val="20"/>
              </w:rPr>
              <w:t>NA</w:t>
            </w:r>
          </w:p>
        </w:tc>
        <w:tc>
          <w:tcPr>
            <w:tcW w:w="1355" w:type="pct"/>
          </w:tcPr>
          <w:p w:rsidR="006F541B" w:rsidRPr="00B854BB" w:rsidRDefault="006F541B" w:rsidP="004904DD">
            <w:pPr>
              <w:jc w:val="center"/>
              <w:rPr>
                <w:rFonts w:ascii="Arial Narrow" w:hAnsi="Arial Narrow"/>
                <w:sz w:val="20"/>
              </w:rPr>
            </w:pPr>
            <w:r w:rsidRPr="00B854BB">
              <w:rPr>
                <w:rFonts w:ascii="Arial Narrow" w:hAnsi="Arial Narrow"/>
                <w:sz w:val="20"/>
              </w:rPr>
              <w:t>NA</w:t>
            </w:r>
          </w:p>
        </w:tc>
      </w:tr>
    </w:tbl>
    <w:p w:rsidR="00E20CDD" w:rsidRPr="00C01717" w:rsidRDefault="00E20CDD" w:rsidP="00E20CDD">
      <w:pPr>
        <w:pStyle w:val="TableFooter"/>
        <w:ind w:left="720"/>
        <w:rPr>
          <w:iCs/>
        </w:rPr>
      </w:pPr>
      <w:r w:rsidRPr="00C01717">
        <w:t>Italicised estimates were calculated during the evaluation.</w:t>
      </w:r>
    </w:p>
    <w:p w:rsidR="00E20CDD" w:rsidRDefault="00E20CDD" w:rsidP="00E20CDD">
      <w:pPr>
        <w:pStyle w:val="TableFooter"/>
        <w:ind w:left="720"/>
      </w:pPr>
      <w:r w:rsidRPr="00483BE7">
        <w:rPr>
          <w:iCs/>
          <w:vertAlign w:val="superscript"/>
        </w:rPr>
        <w:t>∞</w:t>
      </w:r>
      <w:r>
        <w:t xml:space="preserve">Only the EURTAC trial provided OS data for the </w:t>
      </w:r>
      <w:r w:rsidR="00BB31AD">
        <w:t xml:space="preserve">exon 19 </w:t>
      </w:r>
      <w:r>
        <w:t>deletion subgroup. All erlotinib trials provided OS data for the total “common mutations” (</w:t>
      </w:r>
      <w:r w:rsidR="00BB31AD">
        <w:t xml:space="preserve">exon 19 </w:t>
      </w:r>
      <w:r>
        <w:t xml:space="preserve">deletion or L858R subgroup) population. </w:t>
      </w:r>
    </w:p>
    <w:p w:rsidR="00E20CDD" w:rsidRPr="001D066C" w:rsidRDefault="00CC7E3C" w:rsidP="00E20CDD">
      <w:pPr>
        <w:pStyle w:val="TableFooter"/>
        <w:ind w:left="720"/>
      </w:pPr>
      <w:r>
        <w:t>NA</w:t>
      </w:r>
      <w:r w:rsidR="00BD3448">
        <w:t xml:space="preserve"> </w:t>
      </w:r>
      <w:r>
        <w:t xml:space="preserve">= not available; </w:t>
      </w:r>
      <w:r w:rsidR="00E20CDD">
        <w:t>PFS = progression-free survival; OS = overall survival; CI = confidence interval; HR</w:t>
      </w:r>
      <w:r w:rsidR="00BD3448">
        <w:t xml:space="preserve"> </w:t>
      </w:r>
      <w:r w:rsidR="00E20CDD">
        <w:t>=</w:t>
      </w:r>
      <w:r w:rsidR="00BD3448">
        <w:t xml:space="preserve"> Hazard ratio</w:t>
      </w:r>
    </w:p>
    <w:p w:rsidR="00E20CDD" w:rsidRPr="00C01717" w:rsidRDefault="00E20CDD" w:rsidP="00892B18">
      <w:pPr>
        <w:rPr>
          <w:i/>
          <w:iCs/>
        </w:rPr>
      </w:pPr>
    </w:p>
    <w:p w:rsidR="00030B92" w:rsidRPr="00666F46" w:rsidRDefault="00030B92" w:rsidP="0090717E">
      <w:pPr>
        <w:pStyle w:val="ListParagraph"/>
        <w:widowControl/>
        <w:numPr>
          <w:ilvl w:val="1"/>
          <w:numId w:val="1"/>
        </w:numPr>
      </w:pPr>
      <w:r w:rsidRPr="00666F46">
        <w:t xml:space="preserve">The majority of the results for the indirect comparisons were not statistically significant, with wide confidence intervals around the point estimates indicating a high degree of uncertainty in the HRs estimated for both PFS and OS, especially in the L858R mutation subgroup. </w:t>
      </w:r>
      <w:r w:rsidRPr="00666F46">
        <w:rPr>
          <w:u w:val="single"/>
        </w:rPr>
        <w:t>Pooled results of PFS from the afatinib LUX Lung trials should be interpreted with caution</w:t>
      </w:r>
      <w:r w:rsidRPr="00666F46">
        <w:t xml:space="preserve"> given the heterogeneity in </w:t>
      </w:r>
      <w:r w:rsidR="00892B18" w:rsidRPr="00666F46">
        <w:t xml:space="preserve">the </w:t>
      </w:r>
      <w:r w:rsidRPr="00666F46">
        <w:t>comparative treatment effect</w:t>
      </w:r>
      <w:r w:rsidR="00892B18" w:rsidRPr="00666F46">
        <w:t>s</w:t>
      </w:r>
      <w:r w:rsidRPr="00666F46">
        <w:t xml:space="preserve"> for afatinib versus chemotherapy across these studies (afatinib performed comparatively better in the LUX Lung 6 trial, see Table 3).</w:t>
      </w:r>
    </w:p>
    <w:p w:rsidR="00030B92" w:rsidRPr="00666F46" w:rsidRDefault="00030B92" w:rsidP="00030B92">
      <w:pPr>
        <w:widowControl/>
      </w:pPr>
    </w:p>
    <w:p w:rsidR="00030B92" w:rsidRPr="00925A8B" w:rsidRDefault="00030B92" w:rsidP="0090717E">
      <w:pPr>
        <w:pStyle w:val="ListParagraph"/>
        <w:widowControl/>
        <w:numPr>
          <w:ilvl w:val="1"/>
          <w:numId w:val="1"/>
        </w:numPr>
      </w:pPr>
      <w:r w:rsidRPr="00666F46">
        <w:t>As discussed above, the interpretation of the results of the indirect comparison</w:t>
      </w:r>
      <w:r w:rsidR="00892B18" w:rsidRPr="00666F46">
        <w:t>s</w:t>
      </w:r>
      <w:r w:rsidRPr="00666F46">
        <w:t xml:space="preserve"> should consider the lack of trial exchangeability, due to varying eligibility criteria and PFS measurement, the lack of stratified randomisation by mutation subtype or pre-specification of subgroup analyses, the imbalances between treatment arms for the small mutation subgroups in some of the trials (where baseline data were available), the unknown rate of treatment switching after disease progression</w:t>
      </w:r>
      <w:r w:rsidR="00925A8B">
        <w:t xml:space="preserve">, and that fact that </w:t>
      </w:r>
      <w:r w:rsidR="00925A8B" w:rsidRPr="00925A8B">
        <w:t>the published literature on NSCLC has not supported PFS as a surrogate for quality of life or OS, the two most important clinical outcomes for patients with advanced cancer</w:t>
      </w:r>
      <w:r w:rsidRPr="00925A8B">
        <w:t>.</w:t>
      </w:r>
    </w:p>
    <w:p w:rsidR="006F541B" w:rsidRDefault="006F541B" w:rsidP="006F541B">
      <w:pPr>
        <w:widowControl/>
      </w:pPr>
    </w:p>
    <w:p w:rsidR="0051708E" w:rsidRPr="00666F46" w:rsidRDefault="0051708E" w:rsidP="0090717E">
      <w:pPr>
        <w:pStyle w:val="ListParagraph"/>
        <w:widowControl/>
        <w:numPr>
          <w:ilvl w:val="1"/>
          <w:numId w:val="1"/>
        </w:numPr>
      </w:pPr>
      <w:r>
        <w:rPr>
          <w:b/>
        </w:rPr>
        <w:t>Meta-analyses</w:t>
      </w:r>
      <w:r w:rsidRPr="00550E7C">
        <w:rPr>
          <w:b/>
        </w:rPr>
        <w:t xml:space="preserve"> </w:t>
      </w:r>
      <w:r>
        <w:rPr>
          <w:b/>
        </w:rPr>
        <w:t xml:space="preserve">of the </w:t>
      </w:r>
      <w:r w:rsidR="006D5371">
        <w:rPr>
          <w:b/>
        </w:rPr>
        <w:t>TKI</w:t>
      </w:r>
      <w:r>
        <w:rPr>
          <w:b/>
        </w:rPr>
        <w:t xml:space="preserve"> versus chemotherapy</w:t>
      </w:r>
      <w:r w:rsidR="006D5371">
        <w:rPr>
          <w:b/>
        </w:rPr>
        <w:t xml:space="preserve"> trials</w:t>
      </w:r>
      <w:r>
        <w:rPr>
          <w:b/>
        </w:rPr>
        <w:t xml:space="preserve">: </w:t>
      </w:r>
      <w:r w:rsidRPr="00666F46">
        <w:t>Figure 1 summarises the results of meta-</w:t>
      </w:r>
      <w:r w:rsidR="006D5371" w:rsidRPr="00666F46">
        <w:t xml:space="preserve">analyses </w:t>
      </w:r>
      <w:r w:rsidRPr="00666F46">
        <w:t>performed during the evaluation for each mutation subgroup.</w:t>
      </w:r>
    </w:p>
    <w:p w:rsidR="005E2FA6" w:rsidRDefault="005E2FA6" w:rsidP="005E2FA6">
      <w:pPr>
        <w:pStyle w:val="ListParagraph"/>
        <w:sectPr w:rsidR="005E2FA6" w:rsidSect="004F1D02">
          <w:headerReference w:type="default" r:id="rId9"/>
          <w:footerReference w:type="default" r:id="rId10"/>
          <w:pgSz w:w="11906" w:h="16838"/>
          <w:pgMar w:top="1440" w:right="1440" w:bottom="1440" w:left="1440" w:header="1440" w:footer="1440" w:gutter="0"/>
          <w:pgNumType w:start="1"/>
          <w:cols w:space="708"/>
          <w:docGrid w:linePitch="360"/>
        </w:sectPr>
      </w:pPr>
    </w:p>
    <w:p w:rsidR="007906E5" w:rsidRPr="00F739AC" w:rsidRDefault="007906E5" w:rsidP="007906E5">
      <w:pPr>
        <w:rPr>
          <w:rFonts w:ascii="Arial Narrow" w:hAnsi="Arial Narrow"/>
          <w:b/>
          <w:i/>
          <w:sz w:val="20"/>
        </w:rPr>
      </w:pPr>
      <w:r w:rsidRPr="00B465F8">
        <w:rPr>
          <w:rFonts w:ascii="Arial Narrow" w:hAnsi="Arial Narrow"/>
          <w:b/>
          <w:i/>
          <w:sz w:val="20"/>
        </w:rPr>
        <w:lastRenderedPageBreak/>
        <w:t xml:space="preserve">Figure </w:t>
      </w:r>
      <w:r>
        <w:rPr>
          <w:rFonts w:ascii="Arial Narrow" w:hAnsi="Arial Narrow"/>
          <w:b/>
          <w:i/>
          <w:sz w:val="20"/>
        </w:rPr>
        <w:t>1</w:t>
      </w:r>
      <w:r w:rsidRPr="00B465F8">
        <w:rPr>
          <w:rFonts w:ascii="Arial Narrow" w:hAnsi="Arial Narrow"/>
          <w:b/>
          <w:i/>
          <w:sz w:val="20"/>
        </w:rPr>
        <w:tab/>
        <w:t>Meta-analyses</w:t>
      </w:r>
      <w:r w:rsidRPr="00F739AC">
        <w:rPr>
          <w:rFonts w:ascii="Arial Narrow" w:hAnsi="Arial Narrow"/>
          <w:b/>
          <w:i/>
          <w:sz w:val="20"/>
        </w:rPr>
        <w:t xml:space="preserve"> of PFS and OS</w:t>
      </w:r>
      <w:r>
        <w:rPr>
          <w:rFonts w:ascii="Arial Narrow" w:hAnsi="Arial Narrow"/>
          <w:b/>
          <w:i/>
          <w:sz w:val="20"/>
          <w:vertAlign w:val="superscript"/>
        </w:rPr>
        <w:t>§</w:t>
      </w:r>
      <w:r w:rsidRPr="00F739AC">
        <w:rPr>
          <w:rFonts w:ascii="Arial Narrow" w:hAnsi="Arial Narrow"/>
          <w:b/>
          <w:i/>
          <w:sz w:val="20"/>
        </w:rPr>
        <w:t xml:space="preserve"> across the </w:t>
      </w:r>
      <w:r>
        <w:rPr>
          <w:rFonts w:ascii="Arial Narrow" w:hAnsi="Arial Narrow"/>
          <w:b/>
          <w:i/>
          <w:sz w:val="20"/>
        </w:rPr>
        <w:t>TKI (</w:t>
      </w:r>
      <w:r w:rsidRPr="00F739AC">
        <w:rPr>
          <w:rFonts w:ascii="Arial Narrow" w:hAnsi="Arial Narrow"/>
          <w:b/>
          <w:i/>
          <w:sz w:val="20"/>
        </w:rPr>
        <w:t>gefitinib, erlotinib and afatinib</w:t>
      </w:r>
      <w:r w:rsidR="00C51D3C">
        <w:rPr>
          <w:rFonts w:ascii="Arial Narrow" w:hAnsi="Arial Narrow"/>
          <w:b/>
          <w:i/>
          <w:sz w:val="20"/>
        </w:rPr>
        <w:t>)</w:t>
      </w:r>
      <w:r>
        <w:rPr>
          <w:rFonts w:ascii="Arial Narrow" w:hAnsi="Arial Narrow"/>
          <w:b/>
          <w:i/>
          <w:sz w:val="20"/>
        </w:rPr>
        <w:t xml:space="preserve"> vs chemotherapy</w:t>
      </w:r>
      <w:r w:rsidRPr="00F739AC">
        <w:rPr>
          <w:rFonts w:ascii="Arial Narrow" w:hAnsi="Arial Narrow"/>
          <w:b/>
          <w:i/>
          <w:sz w:val="20"/>
        </w:rPr>
        <w:t xml:space="preserve"> trials</w:t>
      </w:r>
      <w:r>
        <w:rPr>
          <w:rFonts w:ascii="Arial Narrow" w:hAnsi="Arial Narrow"/>
          <w:b/>
          <w:i/>
          <w:sz w:val="20"/>
        </w:rPr>
        <w:t>,</w:t>
      </w:r>
      <w:r w:rsidRPr="00F739AC">
        <w:rPr>
          <w:rFonts w:ascii="Arial Narrow" w:hAnsi="Arial Narrow"/>
          <w:b/>
          <w:i/>
          <w:sz w:val="20"/>
        </w:rPr>
        <w:t xml:space="preserve"> by mutation subgroup</w:t>
      </w:r>
    </w:p>
    <w:p w:rsidR="007906E5" w:rsidRDefault="00811D4A" w:rsidP="007906E5">
      <w:r>
        <w:rPr>
          <w:noProof/>
          <w:snapToGrid/>
          <w:lang w:eastAsia="en-AU"/>
        </w:rPr>
        <w:drawing>
          <wp:inline distT="0" distB="0" distL="0" distR="0" wp14:anchorId="33378C8B" wp14:editId="751778CD">
            <wp:extent cx="8863965" cy="4251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965" cy="4251325"/>
                    </a:xfrm>
                    <a:prstGeom prst="rect">
                      <a:avLst/>
                    </a:prstGeom>
                    <a:noFill/>
                    <a:ln>
                      <a:noFill/>
                    </a:ln>
                  </pic:spPr>
                </pic:pic>
              </a:graphicData>
            </a:graphic>
          </wp:inline>
        </w:drawing>
      </w:r>
    </w:p>
    <w:p w:rsidR="007906E5" w:rsidRDefault="00E020A3" w:rsidP="007906E5">
      <w:r>
        <w:rPr>
          <w:noProof/>
          <w:snapToGrid/>
          <w:lang w:eastAsia="en-AU"/>
        </w:rPr>
        <w:lastRenderedPageBreak/>
        <w:drawing>
          <wp:inline distT="0" distB="0" distL="0" distR="0" wp14:anchorId="2082352E" wp14:editId="3E3EDDFC">
            <wp:extent cx="8863965" cy="4742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965" cy="4742815"/>
                    </a:xfrm>
                    <a:prstGeom prst="rect">
                      <a:avLst/>
                    </a:prstGeom>
                    <a:noFill/>
                    <a:ln>
                      <a:noFill/>
                    </a:ln>
                  </pic:spPr>
                </pic:pic>
              </a:graphicData>
            </a:graphic>
          </wp:inline>
        </w:drawing>
      </w:r>
    </w:p>
    <w:p w:rsidR="007906E5" w:rsidRPr="00666F46" w:rsidRDefault="007906E5" w:rsidP="007906E5">
      <w:pPr>
        <w:rPr>
          <w:rFonts w:ascii="Arial Narrow" w:hAnsi="Arial Narrow"/>
          <w:sz w:val="18"/>
          <w:szCs w:val="18"/>
        </w:rPr>
      </w:pPr>
      <w:r w:rsidRPr="00666F46">
        <w:rPr>
          <w:rFonts w:ascii="Arial Narrow" w:hAnsi="Arial Narrow"/>
          <w:sz w:val="18"/>
          <w:szCs w:val="18"/>
        </w:rPr>
        <w:t>Green: Overall pooled; Red: Pooled within drug</w:t>
      </w:r>
    </w:p>
    <w:p w:rsidR="00030B92" w:rsidRPr="00666F46" w:rsidRDefault="00030B92" w:rsidP="00030B92">
      <w:pPr>
        <w:rPr>
          <w:rFonts w:ascii="Arial Narrow" w:hAnsi="Arial Narrow"/>
          <w:b/>
          <w:sz w:val="18"/>
          <w:szCs w:val="18"/>
        </w:rPr>
      </w:pPr>
      <w:r w:rsidRPr="00666F46">
        <w:rPr>
          <w:rFonts w:ascii="Arial Narrow" w:hAnsi="Arial Narrow"/>
          <w:b/>
          <w:sz w:val="18"/>
          <w:szCs w:val="18"/>
        </w:rPr>
        <w:t xml:space="preserve">There is potential confounding of OS in the individual trials due to treatment switching post-progression from chemotherapy to subsequent tyrosine kinase inhibitor in the ITT population and in each </w:t>
      </w:r>
      <w:r w:rsidRPr="00666F46">
        <w:rPr>
          <w:rFonts w:ascii="Arial Narrow" w:hAnsi="Arial Narrow"/>
          <w:b/>
          <w:sz w:val="18"/>
          <w:szCs w:val="18"/>
        </w:rPr>
        <w:lastRenderedPageBreak/>
        <w:t xml:space="preserve">mutation subgroup and these rates differ between the individual trials: </w:t>
      </w:r>
      <w:r w:rsidRPr="00666F46">
        <w:rPr>
          <w:rFonts w:ascii="Arial Narrow" w:hAnsi="Arial Narrow"/>
          <w:b/>
          <w:sz w:val="18"/>
          <w:szCs w:val="18"/>
          <w:u w:val="single"/>
        </w:rPr>
        <w:t>Gefitinib</w:t>
      </w:r>
      <w:r w:rsidRPr="00666F46">
        <w:rPr>
          <w:rFonts w:ascii="Arial Narrow" w:hAnsi="Arial Narrow"/>
          <w:b/>
          <w:sz w:val="18"/>
          <w:szCs w:val="18"/>
        </w:rPr>
        <w:t xml:space="preserve">-IPASS: 52%, NEJ002: 99%, WJTOG: 60%. </w:t>
      </w:r>
      <w:r w:rsidRPr="00666F46">
        <w:rPr>
          <w:rFonts w:ascii="Arial Narrow" w:hAnsi="Arial Narrow"/>
          <w:b/>
          <w:sz w:val="18"/>
          <w:szCs w:val="18"/>
          <w:u w:val="single"/>
        </w:rPr>
        <w:t>Erlotinib</w:t>
      </w:r>
      <w:r w:rsidRPr="00666F46">
        <w:rPr>
          <w:rFonts w:ascii="Arial Narrow" w:hAnsi="Arial Narrow"/>
          <w:b/>
          <w:sz w:val="18"/>
          <w:szCs w:val="18"/>
        </w:rPr>
        <w:t xml:space="preserve">-EURTAC: 76%, OPTIMAL: Not reported. </w:t>
      </w:r>
      <w:r w:rsidRPr="00666F46">
        <w:rPr>
          <w:rFonts w:ascii="Arial Narrow" w:hAnsi="Arial Narrow"/>
          <w:b/>
          <w:sz w:val="18"/>
          <w:szCs w:val="18"/>
          <w:u w:val="single"/>
        </w:rPr>
        <w:t>Afatinib</w:t>
      </w:r>
      <w:r w:rsidRPr="00666F46">
        <w:rPr>
          <w:rFonts w:ascii="Arial Narrow" w:hAnsi="Arial Narrow"/>
          <w:b/>
          <w:sz w:val="18"/>
          <w:szCs w:val="18"/>
        </w:rPr>
        <w:t xml:space="preserve">-LUX Lung3:65%, LUX Lung6:48%. Rates of treatment switching from chemotherapy to TKI, </w:t>
      </w:r>
      <w:r w:rsidRPr="00666F46">
        <w:rPr>
          <w:rFonts w:ascii="Arial Narrow" w:hAnsi="Arial Narrow"/>
          <w:b/>
          <w:sz w:val="18"/>
          <w:szCs w:val="18"/>
          <w:u w:val="single"/>
        </w:rPr>
        <w:t>by mutation subgroup</w:t>
      </w:r>
      <w:r w:rsidRPr="00666F46">
        <w:rPr>
          <w:rFonts w:ascii="Arial Narrow" w:hAnsi="Arial Narrow"/>
          <w:b/>
          <w:sz w:val="18"/>
          <w:szCs w:val="18"/>
        </w:rPr>
        <w:t>, were not available for the majority of the gefitinib and erlotinib trials.</w:t>
      </w:r>
    </w:p>
    <w:p w:rsidR="007906E5" w:rsidRPr="00666F46" w:rsidRDefault="007906E5" w:rsidP="007906E5">
      <w:pPr>
        <w:rPr>
          <w:rFonts w:ascii="Arial Narrow" w:hAnsi="Arial Narrow"/>
          <w:sz w:val="18"/>
          <w:szCs w:val="18"/>
        </w:rPr>
      </w:pPr>
      <w:r w:rsidRPr="00666F46">
        <w:rPr>
          <w:rFonts w:ascii="Arial Narrow" w:hAnsi="Arial Narrow"/>
          <w:sz w:val="18"/>
          <w:szCs w:val="18"/>
        </w:rPr>
        <w:t>NA=Not available; TKI=Tyrosine kinase inhibitor.</w:t>
      </w:r>
    </w:p>
    <w:p w:rsidR="007906E5" w:rsidRPr="00666F46" w:rsidRDefault="007906E5" w:rsidP="007906E5">
      <w:pPr>
        <w:rPr>
          <w:rFonts w:ascii="Arial Narrow" w:hAnsi="Arial Narrow"/>
          <w:sz w:val="18"/>
          <w:szCs w:val="18"/>
        </w:rPr>
      </w:pPr>
      <w:r w:rsidRPr="00666F46">
        <w:rPr>
          <w:rFonts w:ascii="Arial Narrow" w:hAnsi="Arial Narrow"/>
          <w:sz w:val="18"/>
          <w:szCs w:val="18"/>
        </w:rPr>
        <w:t>Sources: Compiled during the evaluation based on afatinib CSRs and gefitinib and erlotinib trial publications.</w:t>
      </w:r>
    </w:p>
    <w:p w:rsidR="005E2FA6" w:rsidRPr="00666F46" w:rsidRDefault="005E2FA6" w:rsidP="005E2FA6">
      <w:pPr>
        <w:pStyle w:val="ListParagraph"/>
      </w:pPr>
    </w:p>
    <w:p w:rsidR="005E2FA6" w:rsidRDefault="005E2FA6" w:rsidP="005E2FA6">
      <w:pPr>
        <w:pStyle w:val="ListParagraph"/>
        <w:sectPr w:rsidR="005E2FA6" w:rsidSect="007906E5">
          <w:headerReference w:type="default" r:id="rId13"/>
          <w:footnotePr>
            <w:numFmt w:val="lowerLetter"/>
          </w:footnotePr>
          <w:pgSz w:w="16838" w:h="11906" w:orient="landscape"/>
          <w:pgMar w:top="1440" w:right="1440" w:bottom="1440" w:left="1440" w:header="1440" w:footer="1440" w:gutter="0"/>
          <w:cols w:space="708"/>
          <w:docGrid w:linePitch="360"/>
        </w:sectPr>
      </w:pPr>
    </w:p>
    <w:p w:rsidR="005E2FA6" w:rsidRDefault="005E2FA6" w:rsidP="00892B18"/>
    <w:p w:rsidR="00030B92" w:rsidRPr="00666F46" w:rsidRDefault="00030B92" w:rsidP="0090717E">
      <w:pPr>
        <w:pStyle w:val="ListParagraph"/>
        <w:widowControl/>
        <w:numPr>
          <w:ilvl w:val="1"/>
          <w:numId w:val="1"/>
        </w:numPr>
      </w:pPr>
      <w:r w:rsidRPr="00666F46">
        <w:t xml:space="preserve">There was a statistically significant benefit in PFS in patients receiving TKIs, compared to those receiving chemotherapy, in all of the trials. </w:t>
      </w:r>
      <w:r w:rsidR="00892B18" w:rsidRPr="00666F46">
        <w:t xml:space="preserve"> </w:t>
      </w:r>
      <w:r w:rsidRPr="00666F46">
        <w:t xml:space="preserve">A larger PFS benefit was apparent in the </w:t>
      </w:r>
      <w:r w:rsidR="00892B18" w:rsidRPr="00666F46">
        <w:t xml:space="preserve">exon </w:t>
      </w:r>
      <w:r w:rsidR="00BB31AD" w:rsidRPr="00666F46">
        <w:t xml:space="preserve">19 </w:t>
      </w:r>
      <w:r w:rsidRPr="00666F46">
        <w:t xml:space="preserve">deletion subgroup than the L858R mutation subgroup. </w:t>
      </w:r>
      <w:r w:rsidR="00892B18" w:rsidRPr="00666F46">
        <w:t xml:space="preserve"> </w:t>
      </w:r>
      <w:r w:rsidRPr="00666F46">
        <w:t xml:space="preserve">For the </w:t>
      </w:r>
      <w:r w:rsidR="00892B18" w:rsidRPr="00666F46">
        <w:t xml:space="preserve">exon </w:t>
      </w:r>
      <w:r w:rsidRPr="00666F46">
        <w:t xml:space="preserve">19 </w:t>
      </w:r>
      <w:r w:rsidR="00892B18" w:rsidRPr="00666F46">
        <w:t xml:space="preserve">deletion </w:t>
      </w:r>
      <w:r w:rsidRPr="00666F46">
        <w:t xml:space="preserve">mutation subgroup, there were overlapping 95% confidence intervals across the TKI trials. </w:t>
      </w:r>
      <w:r w:rsidR="00892B18" w:rsidRPr="00666F46">
        <w:t xml:space="preserve"> </w:t>
      </w:r>
      <w:r w:rsidRPr="00666F46">
        <w:t xml:space="preserve">The clinical relevance of any observed differences in PFS across the trials </w:t>
      </w:r>
      <w:r w:rsidR="00892B18" w:rsidRPr="00666F46">
        <w:t>wa</w:t>
      </w:r>
      <w:r w:rsidRPr="00666F46">
        <w:t>s unclear.</w:t>
      </w:r>
    </w:p>
    <w:p w:rsidR="005E2FA6" w:rsidRPr="00666F46" w:rsidRDefault="005E2FA6" w:rsidP="005E2FA6"/>
    <w:p w:rsidR="00030B92" w:rsidRPr="00666F46" w:rsidRDefault="00030B92" w:rsidP="0090717E">
      <w:pPr>
        <w:pStyle w:val="ListParagraph"/>
        <w:widowControl/>
        <w:numPr>
          <w:ilvl w:val="1"/>
          <w:numId w:val="1"/>
        </w:numPr>
      </w:pPr>
      <w:r w:rsidRPr="00666F46">
        <w:t xml:space="preserve">In the </w:t>
      </w:r>
      <w:r w:rsidR="00892B18" w:rsidRPr="00666F46">
        <w:t xml:space="preserve">exon </w:t>
      </w:r>
      <w:r w:rsidRPr="00666F46">
        <w:t>deletion 19 subgroup</w:t>
      </w:r>
      <w:r w:rsidR="00892B18" w:rsidRPr="00666F46">
        <w:t>,</w:t>
      </w:r>
      <w:r w:rsidRPr="00666F46">
        <w:t xml:space="preserve"> there was a statistically significant OS benefit associated with afatinib versus chemotherapy whereas a trend was observed with gefitinib (only two studies provided data) and no benefit was observed with erlotinib (only one study provided OS data). </w:t>
      </w:r>
      <w:r w:rsidR="00892B18" w:rsidRPr="00666F46">
        <w:t xml:space="preserve"> </w:t>
      </w:r>
      <w:r w:rsidRPr="00666F46">
        <w:t xml:space="preserve">The mutation subgroups were larger in the afatinib studies than in the other TKI studies and so were more likely to have statistical power to find an effect. </w:t>
      </w:r>
      <w:r w:rsidR="00892B18" w:rsidRPr="00666F46">
        <w:t xml:space="preserve"> </w:t>
      </w:r>
      <w:r w:rsidRPr="00666F46">
        <w:t>In the L858R subgroup, there was a trend favouring chemotherapy over afatinib, with no difference relative to erlotinib and mixed results in comparison to gefitinib.</w:t>
      </w:r>
    </w:p>
    <w:p w:rsidR="005E2FA6" w:rsidRPr="00666F46" w:rsidRDefault="005E2FA6" w:rsidP="005E2FA6"/>
    <w:p w:rsidR="005E2FA6" w:rsidRPr="00666F46" w:rsidRDefault="004C2DD1" w:rsidP="0090717E">
      <w:pPr>
        <w:pStyle w:val="ListParagraph"/>
        <w:widowControl/>
        <w:numPr>
          <w:ilvl w:val="1"/>
          <w:numId w:val="1"/>
        </w:numPr>
      </w:pPr>
      <w:r w:rsidRPr="00666F46">
        <w:t>I</w:t>
      </w:r>
      <w:r w:rsidR="00030B92" w:rsidRPr="00666F46">
        <w:t>nterpretation of the meta-analysis results should consider</w:t>
      </w:r>
      <w:r w:rsidRPr="00666F46">
        <w:t xml:space="preserve"> the following:</w:t>
      </w:r>
    </w:p>
    <w:p w:rsidR="005E2FA6" w:rsidRPr="00666F46" w:rsidRDefault="005E2FA6" w:rsidP="0090717E">
      <w:pPr>
        <w:pStyle w:val="ListParagraph"/>
        <w:widowControl/>
        <w:numPr>
          <w:ilvl w:val="0"/>
          <w:numId w:val="2"/>
        </w:numPr>
      </w:pPr>
      <w:r w:rsidRPr="00666F46">
        <w:t>The majority of gefitinib trials did not stratify patients by mutation status</w:t>
      </w:r>
      <w:r w:rsidR="00030B92" w:rsidRPr="005561BD">
        <w:t xml:space="preserve"> and</w:t>
      </w:r>
      <w:r w:rsidR="00030B92" w:rsidRPr="00666F46">
        <w:t xml:space="preserve"> in trials which employed stratification at randomisation (such as the </w:t>
      </w:r>
      <w:r w:rsidRPr="00666F46">
        <w:t>LUX Lung trials</w:t>
      </w:r>
      <w:r w:rsidR="00030B92" w:rsidRPr="00666F46">
        <w:t xml:space="preserve">), </w:t>
      </w:r>
      <w:r w:rsidRPr="00666F46">
        <w:t>imbalances were apparent for the L858R subgroup</w:t>
      </w:r>
      <w:r w:rsidR="00084FC8" w:rsidRPr="00666F46">
        <w:t xml:space="preserve">. </w:t>
      </w:r>
      <w:r w:rsidR="00892B18" w:rsidRPr="00666F46">
        <w:t xml:space="preserve"> </w:t>
      </w:r>
      <w:r w:rsidRPr="00666F46">
        <w:t xml:space="preserve">There were limited baseline data for </w:t>
      </w:r>
      <w:r w:rsidR="00030B92" w:rsidRPr="00666F46">
        <w:t xml:space="preserve">specific mutation </w:t>
      </w:r>
      <w:r w:rsidRPr="00666F46">
        <w:t>subgroups (by treatment arm) for the majority of the erlotinib and gefitinib trials;</w:t>
      </w:r>
    </w:p>
    <w:p w:rsidR="00BD3448" w:rsidRPr="00666F46" w:rsidRDefault="00BD3448" w:rsidP="0090717E">
      <w:pPr>
        <w:pStyle w:val="ListParagraph"/>
        <w:widowControl/>
        <w:numPr>
          <w:ilvl w:val="0"/>
          <w:numId w:val="2"/>
        </w:numPr>
      </w:pPr>
      <w:r w:rsidRPr="00666F46">
        <w:t xml:space="preserve">None of the tests for interaction between </w:t>
      </w:r>
      <w:r w:rsidR="009C764F" w:rsidRPr="00666F46">
        <w:t xml:space="preserve">(a) </w:t>
      </w:r>
      <w:r w:rsidRPr="00666F46">
        <w:t xml:space="preserve">treatment effect on PFS or OS and </w:t>
      </w:r>
      <w:r w:rsidR="009C764F" w:rsidRPr="00666F46">
        <w:t xml:space="preserve">(b) </w:t>
      </w:r>
      <w:r w:rsidRPr="00666F46">
        <w:t>being in one or other of the exon 19 deletion or L858R subgroups was significant for any of the pooled afatinib vs pooled gefitinib or pooled afatinib vs pooled erlotinib indirect comparisons</w:t>
      </w:r>
      <w:r w:rsidR="009C764F" w:rsidRPr="005561BD">
        <w:t>;</w:t>
      </w:r>
    </w:p>
    <w:p w:rsidR="005E2FA6" w:rsidRPr="00666F46" w:rsidRDefault="00030B92" w:rsidP="0090717E">
      <w:pPr>
        <w:pStyle w:val="ListParagraph"/>
        <w:widowControl/>
        <w:numPr>
          <w:ilvl w:val="0"/>
          <w:numId w:val="2"/>
        </w:numPr>
      </w:pPr>
      <w:r w:rsidRPr="00666F46">
        <w:t>Analyses</w:t>
      </w:r>
      <w:r w:rsidR="005E2FA6" w:rsidRPr="00666F46">
        <w:t xml:space="preserve"> for the L858R mutation subgroup were not adequately powered;</w:t>
      </w:r>
      <w:r w:rsidR="004C2DD1" w:rsidRPr="00666F46">
        <w:t xml:space="preserve"> and</w:t>
      </w:r>
    </w:p>
    <w:p w:rsidR="005E2FA6" w:rsidRDefault="005E2FA6" w:rsidP="0090717E">
      <w:pPr>
        <w:pStyle w:val="ListParagraph"/>
        <w:widowControl/>
        <w:numPr>
          <w:ilvl w:val="0"/>
          <w:numId w:val="2"/>
        </w:numPr>
      </w:pPr>
      <w:r w:rsidRPr="00666F46">
        <w:t>OS results are likely to be confounded by subsequent treatments post-progression</w:t>
      </w:r>
      <w:r w:rsidR="00030B92" w:rsidRPr="00666F46">
        <w:t xml:space="preserve"> and </w:t>
      </w:r>
      <w:r w:rsidRPr="00666F46">
        <w:t xml:space="preserve">ITT data suggested different rates of treatment switching from chemotherapy to TKI across the trials (LUX Lung 3 and 6: 65% and 48%, respectively) compared to the erlotinib (EURTAC, 76%) and gefitinib trials (NEJ002 and IPASS, 99% </w:t>
      </w:r>
      <w:r w:rsidR="00084FC8" w:rsidRPr="00666F46">
        <w:t>and 52%)</w:t>
      </w:r>
      <w:r w:rsidR="00892B18" w:rsidRPr="005561BD">
        <w:t>.</w:t>
      </w:r>
    </w:p>
    <w:p w:rsidR="00E37249" w:rsidRPr="00C31854" w:rsidRDefault="00E37249" w:rsidP="0090717E">
      <w:pPr>
        <w:pStyle w:val="ListParagraph"/>
        <w:widowControl/>
        <w:numPr>
          <w:ilvl w:val="0"/>
          <w:numId w:val="2"/>
        </w:numPr>
      </w:pPr>
      <w:r w:rsidRPr="00C31854">
        <w:t>The ESC also noted that no biological rationale was suggested for why the type of EGFR mutation might predict treatment effect variation, and why any such prediction might be confined to afatinib alone.  A plausible explanation would help draw a conclusion that any such prediction is real, and not just a chance finding.</w:t>
      </w:r>
    </w:p>
    <w:p w:rsidR="00DB5CA7" w:rsidRPr="00C31854" w:rsidRDefault="005561BD" w:rsidP="00DB5CA7">
      <w:pPr>
        <w:pStyle w:val="ListParagraph"/>
        <w:widowControl/>
      </w:pPr>
      <w:r w:rsidRPr="00C31854">
        <w:t>The ESC</w:t>
      </w:r>
      <w:r w:rsidR="0016373B" w:rsidRPr="00C31854">
        <w:t xml:space="preserve"> agreed that</w:t>
      </w:r>
      <w:r w:rsidR="00622B65" w:rsidRPr="00C31854">
        <w:t>,</w:t>
      </w:r>
      <w:r w:rsidR="0016373B" w:rsidRPr="00C31854">
        <w:t xml:space="preserve"> given the aforementioned limitations of the data and analyses</w:t>
      </w:r>
      <w:r w:rsidR="00622B65" w:rsidRPr="00C31854">
        <w:t>,</w:t>
      </w:r>
      <w:r w:rsidR="0016373B" w:rsidRPr="00C31854">
        <w:t xml:space="preserve"> </w:t>
      </w:r>
      <w:r w:rsidRPr="00C31854">
        <w:t>the potential trend towards greater survival benefit for afatinib v</w:t>
      </w:r>
      <w:r w:rsidR="000D54B3" w:rsidRPr="00C31854">
        <w:t>ersu</w:t>
      </w:r>
      <w:r w:rsidRPr="00C31854">
        <w:t xml:space="preserve">s gefitinib </w:t>
      </w:r>
      <w:r w:rsidR="00687BD2" w:rsidRPr="00C31854">
        <w:t xml:space="preserve">and </w:t>
      </w:r>
      <w:r w:rsidR="000D54B3" w:rsidRPr="00C31854">
        <w:t xml:space="preserve">versus </w:t>
      </w:r>
      <w:r w:rsidR="00687BD2" w:rsidRPr="00C31854">
        <w:t>erlotinib</w:t>
      </w:r>
      <w:r w:rsidR="00F25C6A" w:rsidRPr="00C31854">
        <w:t xml:space="preserve"> </w:t>
      </w:r>
      <w:r w:rsidR="00687BD2" w:rsidRPr="00C31854">
        <w:t>require</w:t>
      </w:r>
      <w:r w:rsidR="00622B65" w:rsidRPr="00C31854">
        <w:t>d</w:t>
      </w:r>
      <w:r w:rsidR="00687BD2" w:rsidRPr="00C31854">
        <w:t xml:space="preserve"> further exploration and </w:t>
      </w:r>
      <w:r w:rsidRPr="00C31854">
        <w:t>confirmatory studies that are better designed to clearly assess</w:t>
      </w:r>
      <w:r w:rsidR="00F25C6A" w:rsidRPr="00C31854">
        <w:t xml:space="preserve"> </w:t>
      </w:r>
      <w:r w:rsidR="00622B65" w:rsidRPr="00C31854">
        <w:t>any</w:t>
      </w:r>
      <w:r w:rsidRPr="00C31854">
        <w:t xml:space="preserve"> superiority of afatinib </w:t>
      </w:r>
      <w:r w:rsidR="00622B65" w:rsidRPr="00C31854">
        <w:t xml:space="preserve">over its alternatives </w:t>
      </w:r>
      <w:r w:rsidRPr="00C31854">
        <w:t>in t</w:t>
      </w:r>
      <w:r w:rsidR="001A00B9" w:rsidRPr="00C31854">
        <w:t xml:space="preserve">he </w:t>
      </w:r>
      <w:r w:rsidR="00F25C6A" w:rsidRPr="00C31854">
        <w:t xml:space="preserve">exon 19 deletion </w:t>
      </w:r>
      <w:r w:rsidRPr="00C31854">
        <w:t>subgroup (e.g. LUX Lung 7</w:t>
      </w:r>
      <w:r w:rsidR="00622B65" w:rsidRPr="00C31854">
        <w:t xml:space="preserve"> for the comparison with gefitinib</w:t>
      </w:r>
      <w:r w:rsidRPr="00C31854">
        <w:t>).</w:t>
      </w:r>
    </w:p>
    <w:p w:rsidR="00E20CDD" w:rsidRDefault="00E20CDD" w:rsidP="00E20CDD">
      <w:pPr>
        <w:rPr>
          <w:szCs w:val="22"/>
        </w:rPr>
      </w:pPr>
    </w:p>
    <w:p w:rsidR="00DB5CA7" w:rsidRPr="00DB5CA7" w:rsidRDefault="00DB5CA7" w:rsidP="0090717E">
      <w:pPr>
        <w:pStyle w:val="ListParagraph"/>
        <w:widowControl/>
        <w:numPr>
          <w:ilvl w:val="1"/>
          <w:numId w:val="1"/>
        </w:numPr>
      </w:pPr>
      <w:r w:rsidRPr="00DB5CA7">
        <w:t>The ESC noted findings from a recently published paper (Karachaliou, N. et al, 2015)</w:t>
      </w:r>
      <w:r w:rsidRPr="00DB5CA7">
        <w:rPr>
          <w:rStyle w:val="FootnoteReference"/>
        </w:rPr>
        <w:footnoteReference w:id="1"/>
      </w:r>
      <w:r w:rsidRPr="00DB5CA7">
        <w:t xml:space="preserve"> suggesting that exon 19 deletion and L858R EGFR mutations may represent distinct subgroups in terms of predicting overall survival in patients with advanced NSCLC. This paper presented a post hoc analysis of 97 (56%) of the 173 </w:t>
      </w:r>
      <w:r w:rsidRPr="00DB5CA7">
        <w:lastRenderedPageBreak/>
        <w:t>randomised patients (the subset defined as those with available baseline blood samples) from the EURTAC trial (comparing erlotinib to platinum-based chemotherapy). It reported that there was a difference in overall survival between the two types of mutation, irrespective of whether they received erlotinib or chemotherapy: based on the tissue EGFR results, a median 24.9</w:t>
      </w:r>
      <w:r w:rsidRPr="00DB5CA7">
        <w:rPr>
          <w:rFonts w:eastAsia="GuardianSansGR-Regular"/>
          <w:snapToGrid/>
          <w:color w:val="1A171C"/>
          <w:lang w:eastAsia="en-AU"/>
        </w:rPr>
        <w:t xml:space="preserve"> [95%CI, 18.8-36.2] months </w:t>
      </w:r>
      <w:r w:rsidRPr="00DB5CA7">
        <w:t>for the exon 19 deletion</w:t>
      </w:r>
      <w:r w:rsidRPr="00DB5CA7">
        <w:rPr>
          <w:rFonts w:eastAsia="GuardianSansGR-Regular"/>
          <w:snapToGrid/>
          <w:color w:val="1A171C"/>
          <w:lang w:eastAsia="en-AU"/>
        </w:rPr>
        <w:t xml:space="preserve"> subgroup versus a median 17.7 [95%CI, 10.0-23.5] months </w:t>
      </w:r>
      <w:r w:rsidRPr="00DB5CA7">
        <w:t>for the L858R subgroup</w:t>
      </w:r>
      <w:r w:rsidRPr="00DB5CA7">
        <w:rPr>
          <w:rFonts w:eastAsia="GuardianSansGR-Regular"/>
          <w:snapToGrid/>
          <w:color w:val="1A171C"/>
          <w:lang w:eastAsia="en-AU"/>
        </w:rPr>
        <w:t xml:space="preserve">; </w:t>
      </w:r>
      <w:r w:rsidRPr="00DB5CA7">
        <w:rPr>
          <w:iCs/>
          <w:snapToGrid/>
          <w:color w:val="1A171C"/>
          <w:lang w:eastAsia="en-AU"/>
        </w:rPr>
        <w:t>P </w:t>
      </w:r>
      <w:r w:rsidRPr="00DB5CA7">
        <w:rPr>
          <w:rFonts w:eastAsia="GuardianSansGR-Regular"/>
          <w:snapToGrid/>
          <w:color w:val="1A171C"/>
          <w:lang w:eastAsia="en-AU"/>
        </w:rPr>
        <w:t>&lt; 0.006.</w:t>
      </w:r>
      <w:r w:rsidRPr="00DB5CA7">
        <w:t xml:space="preserve"> A difference was also reported for the 49 patients who received erlotinib (based on the tissue EGFR results, a median </w:t>
      </w:r>
      <w:r w:rsidRPr="00DB5CA7">
        <w:rPr>
          <w:rFonts w:eastAsia="GuardianSansGR-Regular"/>
          <w:snapToGrid/>
          <w:color w:val="1A171C"/>
          <w:lang w:eastAsia="en-AU"/>
        </w:rPr>
        <w:t xml:space="preserve">30.4 [95%CI, 19.8-55.7] months </w:t>
      </w:r>
      <w:r w:rsidRPr="00DB5CA7">
        <w:t>for the exon 19 deletion</w:t>
      </w:r>
      <w:r w:rsidRPr="00DB5CA7">
        <w:rPr>
          <w:rFonts w:eastAsia="GuardianSansGR-Regular"/>
          <w:snapToGrid/>
          <w:color w:val="1A171C"/>
          <w:lang w:eastAsia="en-AU"/>
        </w:rPr>
        <w:t xml:space="preserve"> subgroup versus a median 17.7 [95%CI, 6.3-26.8] months </w:t>
      </w:r>
      <w:r w:rsidRPr="00DB5CA7">
        <w:t>for the L858R subgroup</w:t>
      </w:r>
      <w:r w:rsidRPr="00DB5CA7">
        <w:rPr>
          <w:rFonts w:eastAsia="GuardianSansGR-Regular"/>
          <w:snapToGrid/>
          <w:color w:val="1A171C"/>
          <w:lang w:eastAsia="en-AU"/>
        </w:rPr>
        <w:t xml:space="preserve">; </w:t>
      </w:r>
      <w:r w:rsidRPr="00DB5CA7">
        <w:rPr>
          <w:iCs/>
          <w:snapToGrid/>
          <w:color w:val="1A171C"/>
          <w:lang w:eastAsia="en-AU"/>
        </w:rPr>
        <w:t>P =</w:t>
      </w:r>
      <w:r w:rsidRPr="00DB5CA7">
        <w:rPr>
          <w:rFonts w:eastAsia="GuardianSansGR-Regular"/>
          <w:snapToGrid/>
          <w:color w:val="1A171C"/>
          <w:lang w:eastAsia="en-AU"/>
        </w:rPr>
        <w:t> 0.02</w:t>
      </w:r>
      <w:r w:rsidRPr="00DB5CA7">
        <w:t>), but not for the 48 patients who received chemotherapy (based on the tissue EGFR results, a median 18</w:t>
      </w:r>
      <w:r w:rsidRPr="00DB5CA7">
        <w:rPr>
          <w:rFonts w:eastAsia="GuardianSansGR-Regular"/>
          <w:snapToGrid/>
          <w:color w:val="1A171C"/>
          <w:lang w:eastAsia="en-AU"/>
        </w:rPr>
        <w:t xml:space="preserve">.9 [95%CI, 10.4-36.2] months </w:t>
      </w:r>
      <w:r w:rsidRPr="00DB5CA7">
        <w:t>for the exon 19 deletion</w:t>
      </w:r>
      <w:r w:rsidRPr="00DB5CA7">
        <w:rPr>
          <w:rFonts w:eastAsia="GuardianSansGR-Regular"/>
          <w:snapToGrid/>
          <w:color w:val="1A171C"/>
          <w:lang w:eastAsia="en-AU"/>
        </w:rPr>
        <w:t xml:space="preserve"> subgroup versus a median 17.5 [95%CI, 8.2-23.5] months </w:t>
      </w:r>
      <w:r w:rsidRPr="00DB5CA7">
        <w:t>for the L858R subgroup</w:t>
      </w:r>
      <w:r w:rsidRPr="00DB5CA7">
        <w:rPr>
          <w:rFonts w:eastAsia="GuardianSansGR-Regular"/>
          <w:snapToGrid/>
          <w:color w:val="1A171C"/>
          <w:lang w:eastAsia="en-AU"/>
        </w:rPr>
        <w:t xml:space="preserve">; no </w:t>
      </w:r>
      <w:r w:rsidRPr="00DB5CA7">
        <w:rPr>
          <w:iCs/>
          <w:snapToGrid/>
          <w:color w:val="1A171C"/>
          <w:lang w:eastAsia="en-AU"/>
        </w:rPr>
        <w:t>P-value for the difference provided</w:t>
      </w:r>
      <w:r w:rsidRPr="00DB5CA7">
        <w:t>). The ESC noted that these results did not align readily with the ITT-based hazard ratios of the treatment effect on overall survival of erlotinib over chemotherapy from this trial reported in Figure 1 below (HR of 0.94 [95%CI, 0.57-1.54] for the exon 19 deletion versus HR of 1.00 [95%CI, 0.56-1.76] for the L858R subgroup). The ESC therefore considered that the publication provided weak supporting evidence that the exon 19 deletion may predict better outcomes related to treatment with erlotinib, with the consequence that any such prediction in treatment effect variation is unlikely to be unique to afatinib.</w:t>
      </w:r>
    </w:p>
    <w:p w:rsidR="00DB5CA7" w:rsidRPr="008814A3" w:rsidRDefault="00DB5CA7" w:rsidP="008814A3">
      <w:pPr>
        <w:rPr>
          <w:szCs w:val="22"/>
          <w:highlight w:val="yellow"/>
        </w:rPr>
      </w:pPr>
    </w:p>
    <w:p w:rsidR="00C31854" w:rsidRDefault="00C31854" w:rsidP="00C31854">
      <w:pPr>
        <w:pStyle w:val="ListParagraph"/>
        <w:ind w:left="709"/>
        <w:rPr>
          <w:i/>
          <w:szCs w:val="22"/>
        </w:rPr>
      </w:pPr>
      <w:r w:rsidRPr="00032510">
        <w:rPr>
          <w:i/>
          <w:szCs w:val="22"/>
        </w:rPr>
        <w:t>For more detail on PBAC’s view, see section 7 “PBAC outcome”</w:t>
      </w:r>
    </w:p>
    <w:p w:rsidR="00C31854" w:rsidRPr="00882085" w:rsidRDefault="00C31854" w:rsidP="00E20CDD">
      <w:pPr>
        <w:rPr>
          <w:szCs w:val="22"/>
        </w:rPr>
      </w:pPr>
    </w:p>
    <w:p w:rsidR="00E20CDD" w:rsidRPr="002C2775" w:rsidRDefault="00E20CDD" w:rsidP="00E20CDD">
      <w:pPr>
        <w:pStyle w:val="Heading2"/>
        <w:rPr>
          <w:i/>
        </w:rPr>
      </w:pPr>
      <w:bookmarkStart w:id="9" w:name="_Toc419801412"/>
      <w:r w:rsidRPr="002C2775">
        <w:rPr>
          <w:i/>
        </w:rPr>
        <w:t>Comparative harms</w:t>
      </w:r>
      <w:bookmarkEnd w:id="9"/>
    </w:p>
    <w:p w:rsidR="00E20CDD" w:rsidRPr="00882085" w:rsidRDefault="00E20CDD" w:rsidP="00E20CDD">
      <w:pPr>
        <w:ind w:left="720" w:hanging="720"/>
        <w:rPr>
          <w:szCs w:val="22"/>
        </w:rPr>
      </w:pPr>
    </w:p>
    <w:p w:rsidR="00E20CDD" w:rsidRPr="00666F46" w:rsidRDefault="00226893" w:rsidP="0090717E">
      <w:pPr>
        <w:pStyle w:val="ListParagraph"/>
        <w:widowControl/>
        <w:numPr>
          <w:ilvl w:val="1"/>
          <w:numId w:val="1"/>
        </w:numPr>
        <w:rPr>
          <w:szCs w:val="22"/>
        </w:rPr>
      </w:pPr>
      <w:r w:rsidRPr="00666F46">
        <w:t>No formal statistical indirect comparison of relative TKI safety was presented in the re-submission. A comparison of single arm data from each of the trials indicated that patients treated with afatinib had a higher risk of Grade 3/4 adverse events (AEs) (diarrhoea, rash/acne, stomatitis and nail effect/paronychia) compared with erlotinib or gefitinib.</w:t>
      </w:r>
    </w:p>
    <w:p w:rsidR="00E20CDD" w:rsidRPr="00666F46" w:rsidRDefault="00E20CDD" w:rsidP="00E20CDD">
      <w:pPr>
        <w:widowControl/>
        <w:rPr>
          <w:szCs w:val="22"/>
        </w:rPr>
      </w:pPr>
    </w:p>
    <w:p w:rsidR="00E20CDD" w:rsidRPr="00666F46" w:rsidRDefault="00E20CDD" w:rsidP="0090717E">
      <w:pPr>
        <w:pStyle w:val="ListParagraph"/>
        <w:widowControl/>
        <w:numPr>
          <w:ilvl w:val="1"/>
          <w:numId w:val="1"/>
        </w:numPr>
        <w:rPr>
          <w:szCs w:val="22"/>
        </w:rPr>
      </w:pPr>
      <w:r w:rsidRPr="00666F46">
        <w:t>An independent search of the literature during the evaluation identified a recent systematic review by Takeda et al (2015), in which a pooled analysis of severe AEs (Grade ≥3) of gefitinib, erlotinib, or afatinib in NSCLC patients with EGFR mutations was reported.</w:t>
      </w:r>
      <w:r w:rsidR="00BB31AD" w:rsidRPr="00666F46">
        <w:t xml:space="preserve">  </w:t>
      </w:r>
      <w:r w:rsidRPr="00666F46">
        <w:t xml:space="preserve">Takeda et al (2015) reported that, compared to erlotinib and gefitinib, afatinib was associated with a significantly increased risk of Grade ≥3 rash and diarrhoea and a decreased risk of hepatotoxicity. </w:t>
      </w:r>
      <w:r w:rsidR="00BB31AD" w:rsidRPr="00666F46">
        <w:t xml:space="preserve"> </w:t>
      </w:r>
      <w:r w:rsidRPr="00666F46">
        <w:t xml:space="preserve">The overall frequency of AEs leading to treatment withdrawal was statistically significantly more frequent with afatinib than with erlotinib (7.2% vs. 4.1%, p=0.04), </w:t>
      </w:r>
      <w:r w:rsidR="00226893" w:rsidRPr="00666F46">
        <w:t>and more frequent</w:t>
      </w:r>
      <w:r w:rsidRPr="00666F46">
        <w:t xml:space="preserve"> with gefitinib than with erlotinib (7.6% vs. 4.1%, p=0.03).</w:t>
      </w:r>
    </w:p>
    <w:p w:rsidR="00C31854" w:rsidRPr="00622B65" w:rsidRDefault="00C31854" w:rsidP="00666F46">
      <w:pPr>
        <w:widowControl/>
        <w:rPr>
          <w:szCs w:val="22"/>
        </w:rPr>
      </w:pPr>
    </w:p>
    <w:p w:rsidR="00E20CDD" w:rsidRPr="002C2775" w:rsidRDefault="00E20CDD" w:rsidP="00E20CDD">
      <w:pPr>
        <w:pStyle w:val="Heading2"/>
        <w:rPr>
          <w:i/>
          <w:szCs w:val="22"/>
        </w:rPr>
      </w:pPr>
      <w:bookmarkStart w:id="10" w:name="_Toc419801413"/>
      <w:r w:rsidRPr="002C2775">
        <w:rPr>
          <w:i/>
        </w:rPr>
        <w:t>Benefits/harms</w:t>
      </w:r>
      <w:bookmarkEnd w:id="10"/>
    </w:p>
    <w:p w:rsidR="00E20CDD" w:rsidRDefault="00E20CDD" w:rsidP="00E20CDD"/>
    <w:p w:rsidR="00E20CDD" w:rsidRPr="00B50DB8" w:rsidRDefault="00E20CDD" w:rsidP="0090717E">
      <w:pPr>
        <w:pStyle w:val="ListParagraph"/>
        <w:widowControl/>
        <w:numPr>
          <w:ilvl w:val="1"/>
          <w:numId w:val="1"/>
        </w:numPr>
        <w:rPr>
          <w:szCs w:val="22"/>
        </w:rPr>
      </w:pPr>
      <w:r w:rsidRPr="00B50DB8">
        <w:rPr>
          <w:szCs w:val="22"/>
        </w:rPr>
        <w:t xml:space="preserve">A summary of the comparative benefits and harms for </w:t>
      </w:r>
      <w:r>
        <w:rPr>
          <w:szCs w:val="22"/>
        </w:rPr>
        <w:t>afatinib</w:t>
      </w:r>
      <w:r w:rsidRPr="00B50DB8">
        <w:rPr>
          <w:szCs w:val="22"/>
        </w:rPr>
        <w:t xml:space="preserve"> versus </w:t>
      </w:r>
      <w:r>
        <w:rPr>
          <w:szCs w:val="22"/>
        </w:rPr>
        <w:t>either erlotinib or gefitinib</w:t>
      </w:r>
      <w:r w:rsidRPr="00B50DB8">
        <w:rPr>
          <w:szCs w:val="22"/>
        </w:rPr>
        <w:t xml:space="preserve"> </w:t>
      </w:r>
      <w:r>
        <w:rPr>
          <w:szCs w:val="22"/>
        </w:rPr>
        <w:t xml:space="preserve">for the </w:t>
      </w:r>
      <w:r w:rsidR="00FD4D63">
        <w:rPr>
          <w:szCs w:val="22"/>
        </w:rPr>
        <w:t xml:space="preserve">exon 19 </w:t>
      </w:r>
      <w:r>
        <w:rPr>
          <w:szCs w:val="22"/>
        </w:rPr>
        <w:t xml:space="preserve">deletion subgroup </w:t>
      </w:r>
      <w:r w:rsidRPr="00B50DB8">
        <w:rPr>
          <w:szCs w:val="22"/>
        </w:rPr>
        <w:t>i</w:t>
      </w:r>
      <w:r w:rsidR="00BB31AD">
        <w:rPr>
          <w:szCs w:val="22"/>
        </w:rPr>
        <w:t>s presented in the table below.</w:t>
      </w:r>
    </w:p>
    <w:p w:rsidR="00E20CDD" w:rsidRDefault="00E20CDD" w:rsidP="00E20CDD"/>
    <w:p w:rsidR="005232FD" w:rsidRDefault="005232FD" w:rsidP="00E20CDD">
      <w:pPr>
        <w:pStyle w:val="TableHeader"/>
        <w:ind w:left="720"/>
      </w:pPr>
      <w:r>
        <w:br w:type="page"/>
      </w:r>
    </w:p>
    <w:p w:rsidR="00E20CDD" w:rsidRPr="005C7F65" w:rsidRDefault="00E20CDD" w:rsidP="00E20CDD">
      <w:pPr>
        <w:pStyle w:val="TableHeader"/>
        <w:ind w:left="720"/>
      </w:pPr>
      <w:r w:rsidRPr="005C7F65">
        <w:lastRenderedPageBreak/>
        <w:t xml:space="preserve">Table </w:t>
      </w:r>
      <w:r w:rsidR="003201DE">
        <w:t>4</w:t>
      </w:r>
      <w:r w:rsidRPr="005C7F65">
        <w:t>:</w:t>
      </w:r>
      <w:r>
        <w:t xml:space="preserve"> </w:t>
      </w:r>
      <w:r w:rsidRPr="005C7F65">
        <w:t xml:space="preserve">Summary of comparative benefits and harms for </w:t>
      </w:r>
      <w:r>
        <w:t>afatinib</w:t>
      </w:r>
      <w:r w:rsidRPr="005C7F65">
        <w:t xml:space="preserve"> and </w:t>
      </w:r>
      <w:r>
        <w:t>erlotinib or gefitinib</w:t>
      </w:r>
      <w:r w:rsidRPr="005C7F65">
        <w:t xml:space="preserve"> </w:t>
      </w:r>
      <w:r>
        <w:t xml:space="preserve">for the </w:t>
      </w:r>
      <w:r w:rsidR="00BB31AD">
        <w:t xml:space="preserve">exon 19 </w:t>
      </w:r>
      <w:r>
        <w:t>deletion subgroup</w:t>
      </w:r>
    </w:p>
    <w:tbl>
      <w:tblPr>
        <w:tblStyle w:val="TableGrid"/>
        <w:tblW w:w="4604" w:type="pct"/>
        <w:tblInd w:w="737" w:type="dxa"/>
        <w:tblLayout w:type="fixed"/>
        <w:tblCellMar>
          <w:left w:w="28" w:type="dxa"/>
          <w:right w:w="28" w:type="dxa"/>
        </w:tblCellMar>
        <w:tblLook w:val="04A0" w:firstRow="1" w:lastRow="0" w:firstColumn="1" w:lastColumn="0" w:noHBand="0" w:noVBand="1"/>
        <w:tblCaption w:val="&quot;&quot;"/>
      </w:tblPr>
      <w:tblGrid>
        <w:gridCol w:w="1127"/>
        <w:gridCol w:w="1005"/>
        <w:gridCol w:w="15"/>
        <w:gridCol w:w="973"/>
        <w:gridCol w:w="1561"/>
        <w:gridCol w:w="851"/>
        <w:gridCol w:w="1270"/>
        <w:gridCol w:w="1561"/>
      </w:tblGrid>
      <w:tr w:rsidR="00E20CDD" w:rsidRPr="00E2771E" w:rsidTr="00B8556E">
        <w:trPr>
          <w:tblHeader/>
        </w:trPr>
        <w:tc>
          <w:tcPr>
            <w:tcW w:w="5000" w:type="pct"/>
            <w:gridSpan w:val="8"/>
            <w:shd w:val="clear" w:color="auto" w:fill="auto"/>
            <w:vAlign w:val="center"/>
          </w:tcPr>
          <w:p w:rsidR="00E20CDD" w:rsidRPr="00E2771E" w:rsidRDefault="00E20CDD" w:rsidP="005E7CC7">
            <w:pPr>
              <w:rPr>
                <w:rFonts w:ascii="Arial Narrow" w:hAnsi="Arial Narrow"/>
                <w:b/>
                <w:color w:val="000000"/>
                <w:sz w:val="20"/>
                <w:szCs w:val="18"/>
              </w:rPr>
            </w:pPr>
            <w:r w:rsidRPr="00E2771E">
              <w:rPr>
                <w:rFonts w:ascii="Arial Narrow" w:hAnsi="Arial Narrow"/>
                <w:b/>
                <w:color w:val="000000"/>
                <w:sz w:val="20"/>
                <w:szCs w:val="18"/>
              </w:rPr>
              <w:t>Benefits</w:t>
            </w:r>
            <w:r w:rsidR="008B095F" w:rsidRPr="00C31854">
              <w:rPr>
                <w:rFonts w:ascii="Arial Narrow" w:hAnsi="Arial Narrow"/>
                <w:color w:val="000000"/>
                <w:sz w:val="20"/>
                <w:szCs w:val="18"/>
              </w:rPr>
              <w:t>*</w:t>
            </w:r>
            <w:r w:rsidR="009B1AA4" w:rsidRPr="00C31854">
              <w:rPr>
                <w:rFonts w:ascii="Arial Narrow" w:hAnsi="Arial Narrow"/>
                <w:color w:val="000000"/>
                <w:sz w:val="20"/>
                <w:szCs w:val="18"/>
              </w:rPr>
              <w:t xml:space="preserve"> </w:t>
            </w:r>
            <w:r w:rsidR="002B40C0" w:rsidRPr="00C31854">
              <w:rPr>
                <w:rFonts w:ascii="Arial Narrow" w:hAnsi="Arial Narrow"/>
                <w:sz w:val="20"/>
              </w:rPr>
              <w:t>(</w:t>
            </w:r>
            <w:r w:rsidR="009B1AA4" w:rsidRPr="00C31854">
              <w:rPr>
                <w:rFonts w:ascii="Arial Narrow" w:hAnsi="Arial Narrow"/>
                <w:sz w:val="20"/>
              </w:rPr>
              <w:t>the</w:t>
            </w:r>
            <w:r w:rsidR="002B40C0" w:rsidRPr="00C31854">
              <w:rPr>
                <w:rFonts w:ascii="Arial Narrow" w:hAnsi="Arial Narrow"/>
                <w:sz w:val="20"/>
              </w:rPr>
              <w:t xml:space="preserve"> indirect comparisons of PFS or OS, between afatinib and either erlotinib or gefitinib</w:t>
            </w:r>
            <w:r w:rsidR="00847C9C" w:rsidRPr="00C31854">
              <w:rPr>
                <w:rFonts w:ascii="Arial Narrow" w:hAnsi="Arial Narrow"/>
                <w:sz w:val="20"/>
              </w:rPr>
              <w:t xml:space="preserve"> for the exon 19 deletion subgroups, rather than the ITT populations of the trials</w:t>
            </w:r>
            <w:r w:rsidR="002B40C0" w:rsidRPr="00C31854">
              <w:rPr>
                <w:rFonts w:ascii="Arial Narrow" w:hAnsi="Arial Narrow"/>
                <w:sz w:val="20"/>
              </w:rPr>
              <w:t xml:space="preserve">, were </w:t>
            </w:r>
            <w:r w:rsidR="009B1AA4" w:rsidRPr="00C31854">
              <w:rPr>
                <w:rFonts w:ascii="Arial Narrow" w:hAnsi="Arial Narrow"/>
                <w:sz w:val="20"/>
              </w:rPr>
              <w:t xml:space="preserve">considered </w:t>
            </w:r>
            <w:r w:rsidR="00847C9C" w:rsidRPr="00C31854">
              <w:rPr>
                <w:rFonts w:ascii="Arial Narrow" w:hAnsi="Arial Narrow"/>
                <w:sz w:val="20"/>
              </w:rPr>
              <w:t>insufficient to support any conclusion of improved clinical outcomes with afatinib and not with erlotinib or with gefitinib</w:t>
            </w:r>
            <w:r w:rsidR="002B40C0" w:rsidRPr="00C31854">
              <w:rPr>
                <w:rFonts w:ascii="Arial Narrow" w:hAnsi="Arial Narrow"/>
                <w:sz w:val="20"/>
              </w:rPr>
              <w:t>)</w:t>
            </w:r>
          </w:p>
        </w:tc>
      </w:tr>
      <w:tr w:rsidR="00E20CDD" w:rsidRPr="00E2771E" w:rsidTr="00811798">
        <w:tc>
          <w:tcPr>
            <w:tcW w:w="5000" w:type="pct"/>
            <w:gridSpan w:val="8"/>
            <w:tcBorders>
              <w:top w:val="double" w:sz="4" w:space="0" w:color="auto"/>
            </w:tcBorders>
            <w:shd w:val="clear" w:color="auto" w:fill="auto"/>
            <w:vAlign w:val="center"/>
          </w:tcPr>
          <w:p w:rsidR="00E20CDD" w:rsidRPr="00666F46" w:rsidRDefault="00622B65" w:rsidP="004904DD">
            <w:pPr>
              <w:rPr>
                <w:rFonts w:ascii="Arial Narrow" w:hAnsi="Arial Narrow"/>
                <w:b/>
                <w:color w:val="000000"/>
                <w:sz w:val="20"/>
                <w:szCs w:val="18"/>
              </w:rPr>
            </w:pPr>
            <w:r>
              <w:rPr>
                <w:rFonts w:ascii="Arial Narrow" w:hAnsi="Arial Narrow"/>
                <w:b/>
                <w:color w:val="000000"/>
                <w:sz w:val="20"/>
                <w:szCs w:val="18"/>
              </w:rPr>
              <w:t>Harms</w:t>
            </w:r>
          </w:p>
        </w:tc>
      </w:tr>
      <w:tr w:rsidR="00E20CDD" w:rsidRPr="00E2771E" w:rsidTr="00811798">
        <w:trPr>
          <w:trHeight w:val="70"/>
        </w:trPr>
        <w:tc>
          <w:tcPr>
            <w:tcW w:w="674" w:type="pct"/>
            <w:vMerge w:val="restart"/>
            <w:shd w:val="clear" w:color="auto" w:fill="auto"/>
            <w:vAlign w:val="center"/>
          </w:tcPr>
          <w:p w:rsidR="00E20CDD" w:rsidRPr="00666F46" w:rsidRDefault="00E20CDD" w:rsidP="004904DD">
            <w:pPr>
              <w:rPr>
                <w:rFonts w:ascii="Arial Narrow" w:hAnsi="Arial Narrow"/>
                <w:b/>
                <w:color w:val="000000"/>
                <w:sz w:val="20"/>
                <w:szCs w:val="18"/>
              </w:rPr>
            </w:pPr>
          </w:p>
        </w:tc>
        <w:tc>
          <w:tcPr>
            <w:tcW w:w="610" w:type="pct"/>
            <w:gridSpan w:val="2"/>
            <w:vMerge w:val="restar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afatinib</w:t>
            </w:r>
          </w:p>
        </w:tc>
        <w:tc>
          <w:tcPr>
            <w:tcW w:w="582" w:type="pct"/>
            <w:vMerge w:val="restar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gefitinib</w:t>
            </w:r>
          </w:p>
        </w:tc>
        <w:tc>
          <w:tcPr>
            <w:tcW w:w="933" w:type="pct"/>
            <w:vMerge w:val="restart"/>
            <w:vAlign w:val="center"/>
          </w:tcPr>
          <w:p w:rsidR="00E20CDD" w:rsidRPr="00666F46" w:rsidRDefault="00E20CDD" w:rsidP="009C764F">
            <w:pPr>
              <w:jc w:val="center"/>
              <w:rPr>
                <w:rFonts w:ascii="Arial Narrow" w:hAnsi="Arial Narrow"/>
                <w:b/>
                <w:color w:val="000000"/>
                <w:sz w:val="20"/>
                <w:szCs w:val="18"/>
              </w:rPr>
            </w:pPr>
            <w:r w:rsidRPr="00666F46">
              <w:rPr>
                <w:rFonts w:ascii="Arial Narrow" w:hAnsi="Arial Narrow"/>
                <w:b/>
                <w:color w:val="000000"/>
                <w:sz w:val="20"/>
                <w:szCs w:val="18"/>
              </w:rPr>
              <w:t>RR</w:t>
            </w:r>
            <w:r w:rsidR="009C764F" w:rsidRPr="00666F46">
              <w:rPr>
                <w:rFonts w:ascii="Arial Narrow" w:hAnsi="Arial Narrow"/>
                <w:b/>
                <w:color w:val="000000"/>
                <w:sz w:val="20"/>
                <w:szCs w:val="18"/>
              </w:rPr>
              <w:t xml:space="preserve"> </w:t>
            </w:r>
            <w:r w:rsidRPr="00666F46">
              <w:rPr>
                <w:rFonts w:ascii="Arial Narrow" w:hAnsi="Arial Narrow"/>
                <w:b/>
                <w:color w:val="000000"/>
                <w:sz w:val="20"/>
                <w:szCs w:val="18"/>
              </w:rPr>
              <w:t>(95% CI)</w:t>
            </w:r>
          </w:p>
        </w:tc>
        <w:tc>
          <w:tcPr>
            <w:tcW w:w="1267" w:type="pct"/>
            <w:gridSpan w:val="2"/>
            <w:vAlign w:val="center"/>
          </w:tcPr>
          <w:p w:rsidR="00E20CDD" w:rsidRPr="00666F46" w:rsidRDefault="009C764F" w:rsidP="004904DD">
            <w:pPr>
              <w:jc w:val="center"/>
              <w:rPr>
                <w:rFonts w:ascii="Arial Narrow" w:hAnsi="Arial Narrow"/>
                <w:b/>
                <w:color w:val="000000"/>
                <w:sz w:val="20"/>
                <w:szCs w:val="18"/>
              </w:rPr>
            </w:pPr>
            <w:r w:rsidRPr="00666F46">
              <w:rPr>
                <w:rFonts w:ascii="Arial Narrow" w:hAnsi="Arial Narrow"/>
                <w:b/>
                <w:color w:val="000000"/>
                <w:sz w:val="20"/>
                <w:szCs w:val="18"/>
              </w:rPr>
              <w:t>Event rate/100 patients*</w:t>
            </w:r>
          </w:p>
        </w:tc>
        <w:tc>
          <w:tcPr>
            <w:tcW w:w="933" w:type="pct"/>
            <w:vMerge w:val="restart"/>
            <w:vAlign w:val="center"/>
          </w:tcPr>
          <w:p w:rsidR="00E20CDD" w:rsidRPr="00666F46" w:rsidRDefault="00E20CDD" w:rsidP="0044174C">
            <w:pPr>
              <w:jc w:val="center"/>
              <w:rPr>
                <w:rFonts w:ascii="Arial Narrow" w:hAnsi="Arial Narrow"/>
                <w:b/>
                <w:color w:val="000000"/>
                <w:sz w:val="20"/>
                <w:szCs w:val="18"/>
              </w:rPr>
            </w:pPr>
            <w:r w:rsidRPr="00666F46">
              <w:rPr>
                <w:rFonts w:ascii="Arial Narrow" w:hAnsi="Arial Narrow"/>
                <w:b/>
                <w:color w:val="000000"/>
                <w:sz w:val="20"/>
                <w:szCs w:val="18"/>
              </w:rPr>
              <w:t>RD</w:t>
            </w:r>
            <w:r w:rsidR="0044174C" w:rsidRPr="00666F46">
              <w:rPr>
                <w:rFonts w:ascii="Arial Narrow" w:hAnsi="Arial Narrow"/>
                <w:b/>
                <w:color w:val="000000"/>
                <w:sz w:val="20"/>
                <w:szCs w:val="18"/>
              </w:rPr>
              <w:t xml:space="preserve"> </w:t>
            </w:r>
            <w:r w:rsidRPr="00666F46">
              <w:rPr>
                <w:rFonts w:ascii="Arial Narrow" w:hAnsi="Arial Narrow"/>
                <w:b/>
                <w:color w:val="000000"/>
                <w:sz w:val="20"/>
                <w:szCs w:val="18"/>
              </w:rPr>
              <w:t>(95% CI)</w:t>
            </w:r>
          </w:p>
        </w:tc>
      </w:tr>
      <w:tr w:rsidR="00E20CDD" w:rsidRPr="00E2771E" w:rsidTr="00811798">
        <w:trPr>
          <w:trHeight w:val="261"/>
        </w:trPr>
        <w:tc>
          <w:tcPr>
            <w:tcW w:w="674" w:type="pct"/>
            <w:vMerge/>
            <w:shd w:val="clear" w:color="auto" w:fill="auto"/>
            <w:vAlign w:val="center"/>
          </w:tcPr>
          <w:p w:rsidR="00E20CDD" w:rsidRPr="00666F46" w:rsidRDefault="00E20CDD" w:rsidP="004904DD">
            <w:pPr>
              <w:rPr>
                <w:rFonts w:ascii="Arial Narrow" w:hAnsi="Arial Narrow"/>
                <w:b/>
                <w:color w:val="000000"/>
                <w:sz w:val="20"/>
                <w:szCs w:val="18"/>
              </w:rPr>
            </w:pPr>
          </w:p>
        </w:tc>
        <w:tc>
          <w:tcPr>
            <w:tcW w:w="610" w:type="pct"/>
            <w:gridSpan w:val="2"/>
            <w:vMerge/>
            <w:vAlign w:val="center"/>
          </w:tcPr>
          <w:p w:rsidR="00E20CDD" w:rsidRPr="00666F46" w:rsidRDefault="00E20CDD" w:rsidP="004904DD">
            <w:pPr>
              <w:jc w:val="center"/>
              <w:rPr>
                <w:rFonts w:ascii="Arial Narrow" w:hAnsi="Arial Narrow"/>
                <w:b/>
                <w:color w:val="000000"/>
                <w:sz w:val="20"/>
                <w:szCs w:val="18"/>
              </w:rPr>
            </w:pPr>
          </w:p>
        </w:tc>
        <w:tc>
          <w:tcPr>
            <w:tcW w:w="582" w:type="pct"/>
            <w:vMerge/>
            <w:vAlign w:val="center"/>
          </w:tcPr>
          <w:p w:rsidR="00E20CDD" w:rsidRPr="00666F46" w:rsidRDefault="00E20CDD" w:rsidP="004904DD">
            <w:pPr>
              <w:jc w:val="center"/>
              <w:rPr>
                <w:rFonts w:ascii="Arial Narrow" w:hAnsi="Arial Narrow"/>
                <w:b/>
                <w:color w:val="000000"/>
                <w:sz w:val="20"/>
                <w:szCs w:val="18"/>
              </w:rPr>
            </w:pPr>
          </w:p>
        </w:tc>
        <w:tc>
          <w:tcPr>
            <w:tcW w:w="933" w:type="pct"/>
            <w:vMerge/>
            <w:vAlign w:val="center"/>
          </w:tcPr>
          <w:p w:rsidR="00E20CDD" w:rsidRPr="00666F46" w:rsidRDefault="00E20CDD" w:rsidP="004904DD">
            <w:pPr>
              <w:jc w:val="center"/>
              <w:rPr>
                <w:rFonts w:ascii="Arial Narrow" w:hAnsi="Arial Narrow"/>
                <w:b/>
                <w:color w:val="000000"/>
                <w:sz w:val="20"/>
                <w:szCs w:val="18"/>
              </w:rPr>
            </w:pPr>
          </w:p>
        </w:tc>
        <w:tc>
          <w:tcPr>
            <w:tcW w:w="509" w:type="pc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afatinib</w:t>
            </w:r>
          </w:p>
        </w:tc>
        <w:tc>
          <w:tcPr>
            <w:tcW w:w="759" w:type="pc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gefitinib</w:t>
            </w:r>
          </w:p>
        </w:tc>
        <w:tc>
          <w:tcPr>
            <w:tcW w:w="933" w:type="pct"/>
            <w:vMerge/>
            <w:vAlign w:val="center"/>
          </w:tcPr>
          <w:p w:rsidR="00E20CDD" w:rsidRPr="00666F46" w:rsidRDefault="00E20CDD" w:rsidP="004904DD">
            <w:pPr>
              <w:jc w:val="center"/>
              <w:rPr>
                <w:rFonts w:ascii="Arial Narrow" w:hAnsi="Arial Narrow"/>
                <w:b/>
                <w:color w:val="000000"/>
                <w:sz w:val="20"/>
                <w:szCs w:val="18"/>
              </w:rPr>
            </w:pPr>
          </w:p>
        </w:tc>
      </w:tr>
      <w:tr w:rsidR="00E20CDD" w:rsidRPr="00E2771E" w:rsidTr="00811798">
        <w:tc>
          <w:tcPr>
            <w:tcW w:w="5000" w:type="pct"/>
            <w:gridSpan w:val="8"/>
            <w:shd w:val="clear" w:color="auto" w:fill="auto"/>
            <w:vAlign w:val="center"/>
          </w:tcPr>
          <w:p w:rsidR="00E20CDD" w:rsidRPr="00666F46" w:rsidRDefault="00E20CDD" w:rsidP="00FD4D63">
            <w:pPr>
              <w:rPr>
                <w:rFonts w:ascii="Arial Narrow" w:hAnsi="Arial Narrow"/>
                <w:color w:val="000000"/>
                <w:sz w:val="20"/>
                <w:szCs w:val="18"/>
              </w:rPr>
            </w:pPr>
            <w:r w:rsidRPr="00666F46">
              <w:rPr>
                <w:rFonts w:ascii="Arial Narrow" w:hAnsi="Arial Narrow"/>
                <w:b/>
                <w:sz w:val="20"/>
              </w:rPr>
              <w:t xml:space="preserve">Grade≥3 </w:t>
            </w:r>
            <w:r w:rsidR="00FD4D63" w:rsidRPr="00666F46">
              <w:rPr>
                <w:rFonts w:ascii="Arial Narrow" w:hAnsi="Arial Narrow"/>
                <w:b/>
                <w:sz w:val="20"/>
              </w:rPr>
              <w:t>r</w:t>
            </w:r>
            <w:r w:rsidRPr="00666F46">
              <w:rPr>
                <w:rFonts w:ascii="Arial Narrow" w:hAnsi="Arial Narrow"/>
                <w:b/>
                <w:color w:val="000000"/>
                <w:sz w:val="20"/>
                <w:szCs w:val="18"/>
              </w:rPr>
              <w:t>ash</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10"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74/498 (14.89%)</w:t>
            </w:r>
          </w:p>
        </w:tc>
        <w:tc>
          <w:tcPr>
            <w:tcW w:w="582"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16/457 (3.5%)</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szCs w:val="18"/>
              </w:rPr>
              <w:t>4.24</w:t>
            </w:r>
            <w:r w:rsidR="009C764F" w:rsidRPr="00666F46">
              <w:rPr>
                <w:rFonts w:ascii="Arial Narrow" w:hAnsi="Arial Narrow"/>
                <w:color w:val="000000"/>
                <w:sz w:val="20"/>
                <w:szCs w:val="18"/>
              </w:rPr>
              <w:t xml:space="preserve"> </w:t>
            </w:r>
            <w:r w:rsidRPr="00666F46">
              <w:rPr>
                <w:rFonts w:ascii="Arial Narrow" w:hAnsi="Arial Narrow"/>
                <w:color w:val="000000"/>
                <w:sz w:val="20"/>
                <w:szCs w:val="18"/>
              </w:rPr>
              <w:t>(2.65, 6.81)</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15</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4</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0.11</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(0.08, 0.15)</w:t>
            </w:r>
          </w:p>
        </w:tc>
      </w:tr>
      <w:tr w:rsidR="00E20CDD" w:rsidRPr="00E2771E" w:rsidTr="00811798">
        <w:tc>
          <w:tcPr>
            <w:tcW w:w="5000" w:type="pct"/>
            <w:gridSpan w:val="8"/>
            <w:shd w:val="clear" w:color="auto" w:fill="auto"/>
            <w:vAlign w:val="center"/>
          </w:tcPr>
          <w:p w:rsidR="00E20CDD" w:rsidRPr="00666F46" w:rsidRDefault="00E20CDD" w:rsidP="00FD4D63">
            <w:pPr>
              <w:rPr>
                <w:rFonts w:ascii="Arial Narrow" w:hAnsi="Arial Narrow"/>
                <w:b/>
                <w:color w:val="000000"/>
                <w:sz w:val="20"/>
                <w:szCs w:val="18"/>
              </w:rPr>
            </w:pPr>
            <w:r w:rsidRPr="00666F46">
              <w:rPr>
                <w:rFonts w:ascii="Arial Narrow" w:hAnsi="Arial Narrow"/>
                <w:b/>
                <w:sz w:val="20"/>
              </w:rPr>
              <w:t xml:space="preserve">Grade≥3 </w:t>
            </w:r>
            <w:r w:rsidR="00FD4D63" w:rsidRPr="00666F46">
              <w:rPr>
                <w:rFonts w:ascii="Arial Narrow" w:hAnsi="Arial Narrow"/>
                <w:b/>
                <w:sz w:val="20"/>
              </w:rPr>
              <w:t>d</w:t>
            </w:r>
            <w:r w:rsidRPr="00666F46">
              <w:rPr>
                <w:rFonts w:ascii="Arial Narrow" w:hAnsi="Arial Narrow"/>
                <w:b/>
                <w:color w:val="000000"/>
                <w:sz w:val="20"/>
                <w:szCs w:val="18"/>
              </w:rPr>
              <w:t>iarrhoea</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10"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48/498 (9.64%)</w:t>
            </w:r>
          </w:p>
        </w:tc>
        <w:tc>
          <w:tcPr>
            <w:tcW w:w="582"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5/457 (1.09%)</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szCs w:val="18"/>
              </w:rPr>
              <w:t>8.81</w:t>
            </w:r>
            <w:r w:rsidR="009C764F" w:rsidRPr="00666F46">
              <w:rPr>
                <w:rFonts w:ascii="Arial Narrow" w:hAnsi="Arial Narrow"/>
                <w:color w:val="000000"/>
                <w:sz w:val="20"/>
                <w:szCs w:val="18"/>
              </w:rPr>
              <w:t xml:space="preserve"> </w:t>
            </w:r>
            <w:r w:rsidRPr="00666F46">
              <w:rPr>
                <w:rFonts w:ascii="Arial Narrow" w:hAnsi="Arial Narrow"/>
                <w:color w:val="000000"/>
                <w:sz w:val="20"/>
                <w:szCs w:val="18"/>
              </w:rPr>
              <w:t>(4.20, 18.48)</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10</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0.09</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(0.0</w:t>
            </w:r>
            <w:r w:rsidR="009C764F" w:rsidRPr="00666F46">
              <w:rPr>
                <w:rFonts w:ascii="Arial Narrow" w:hAnsi="Arial Narrow"/>
                <w:color w:val="000000"/>
                <w:sz w:val="20"/>
                <w:szCs w:val="18"/>
              </w:rPr>
              <w:t>6</w:t>
            </w:r>
            <w:r w:rsidRPr="00666F46">
              <w:rPr>
                <w:rFonts w:ascii="Arial Narrow" w:hAnsi="Arial Narrow"/>
                <w:color w:val="000000"/>
                <w:sz w:val="20"/>
                <w:szCs w:val="18"/>
              </w:rPr>
              <w:t>, 0.11)</w:t>
            </w:r>
          </w:p>
        </w:tc>
      </w:tr>
      <w:tr w:rsidR="00E20CDD" w:rsidRPr="00E2771E" w:rsidTr="00811798">
        <w:tc>
          <w:tcPr>
            <w:tcW w:w="5000" w:type="pct"/>
            <w:gridSpan w:val="8"/>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b/>
                <w:sz w:val="20"/>
              </w:rPr>
              <w:t xml:space="preserve">Grade≥3 </w:t>
            </w:r>
            <w:r w:rsidR="00FD4D63" w:rsidRPr="00666F46">
              <w:rPr>
                <w:rFonts w:ascii="Arial Narrow" w:hAnsi="Arial Narrow"/>
                <w:b/>
                <w:color w:val="000000"/>
                <w:sz w:val="20"/>
                <w:szCs w:val="18"/>
              </w:rPr>
              <w:t>h</w:t>
            </w:r>
            <w:r w:rsidRPr="00666F46">
              <w:rPr>
                <w:rFonts w:ascii="Arial Narrow" w:hAnsi="Arial Narrow"/>
                <w:b/>
                <w:color w:val="000000"/>
                <w:sz w:val="20"/>
                <w:szCs w:val="18"/>
              </w:rPr>
              <w:t>epatotoxicity</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01"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4/498 (0.80%)</w:t>
            </w:r>
          </w:p>
        </w:tc>
        <w:tc>
          <w:tcPr>
            <w:tcW w:w="591"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80/457 (17.51%)</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rPr>
              <w:t>0.05</w:t>
            </w:r>
            <w:r w:rsidR="009C764F" w:rsidRPr="00666F46">
              <w:rPr>
                <w:rFonts w:ascii="Arial Narrow" w:hAnsi="Arial Narrow"/>
                <w:color w:val="000000"/>
                <w:sz w:val="20"/>
              </w:rPr>
              <w:t xml:space="preserve"> </w:t>
            </w:r>
            <w:r w:rsidRPr="00666F46">
              <w:rPr>
                <w:rFonts w:ascii="Arial Narrow" w:hAnsi="Arial Narrow"/>
                <w:color w:val="000000"/>
                <w:sz w:val="20"/>
              </w:rPr>
              <w:t>(0.02, 0.09)</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1</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18</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-0.17</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(-0.20, -0.13)</w:t>
            </w:r>
          </w:p>
        </w:tc>
      </w:tr>
      <w:tr w:rsidR="00E20CDD" w:rsidRPr="00E2771E" w:rsidTr="00811798">
        <w:trPr>
          <w:trHeight w:val="70"/>
        </w:trPr>
        <w:tc>
          <w:tcPr>
            <w:tcW w:w="674" w:type="pct"/>
            <w:vMerge w:val="restart"/>
            <w:shd w:val="clear" w:color="auto" w:fill="auto"/>
            <w:vAlign w:val="center"/>
          </w:tcPr>
          <w:p w:rsidR="00E20CDD" w:rsidRPr="00666F46" w:rsidRDefault="00E20CDD" w:rsidP="004904DD">
            <w:pPr>
              <w:rPr>
                <w:rFonts w:ascii="Arial Narrow" w:hAnsi="Arial Narrow"/>
                <w:b/>
                <w:color w:val="000000"/>
                <w:sz w:val="20"/>
                <w:szCs w:val="18"/>
              </w:rPr>
            </w:pPr>
          </w:p>
        </w:tc>
        <w:tc>
          <w:tcPr>
            <w:tcW w:w="610" w:type="pct"/>
            <w:gridSpan w:val="2"/>
            <w:vMerge w:val="restar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afatinib</w:t>
            </w:r>
          </w:p>
        </w:tc>
        <w:tc>
          <w:tcPr>
            <w:tcW w:w="582" w:type="pct"/>
            <w:vMerge w:val="restar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erlotinib</w:t>
            </w:r>
          </w:p>
        </w:tc>
        <w:tc>
          <w:tcPr>
            <w:tcW w:w="933" w:type="pct"/>
            <w:vMerge w:val="restart"/>
            <w:vAlign w:val="center"/>
          </w:tcPr>
          <w:p w:rsidR="00E20CDD" w:rsidRPr="00666F46" w:rsidRDefault="00E20CDD" w:rsidP="009C764F">
            <w:pPr>
              <w:jc w:val="center"/>
              <w:rPr>
                <w:rFonts w:ascii="Arial Narrow" w:hAnsi="Arial Narrow"/>
                <w:b/>
                <w:color w:val="000000"/>
                <w:sz w:val="20"/>
                <w:szCs w:val="18"/>
              </w:rPr>
            </w:pPr>
            <w:r w:rsidRPr="00666F46">
              <w:rPr>
                <w:rFonts w:ascii="Arial Narrow" w:hAnsi="Arial Narrow"/>
                <w:b/>
                <w:color w:val="000000"/>
                <w:sz w:val="20"/>
                <w:szCs w:val="18"/>
              </w:rPr>
              <w:t>RR</w:t>
            </w:r>
            <w:r w:rsidR="009C764F" w:rsidRPr="00666F46">
              <w:rPr>
                <w:rFonts w:ascii="Arial Narrow" w:hAnsi="Arial Narrow"/>
                <w:b/>
                <w:color w:val="000000"/>
                <w:sz w:val="20"/>
                <w:szCs w:val="18"/>
              </w:rPr>
              <w:t xml:space="preserve"> </w:t>
            </w:r>
            <w:r w:rsidRPr="00666F46">
              <w:rPr>
                <w:rFonts w:ascii="Arial Narrow" w:hAnsi="Arial Narrow"/>
                <w:b/>
                <w:color w:val="000000"/>
                <w:sz w:val="20"/>
                <w:szCs w:val="18"/>
              </w:rPr>
              <w:t>(95% CI)</w:t>
            </w:r>
          </w:p>
        </w:tc>
        <w:tc>
          <w:tcPr>
            <w:tcW w:w="1267" w:type="pct"/>
            <w:gridSpan w:val="2"/>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 xml:space="preserve">Event rate/100 patients* </w:t>
            </w:r>
          </w:p>
        </w:tc>
        <w:tc>
          <w:tcPr>
            <w:tcW w:w="933" w:type="pct"/>
            <w:vMerge w:val="restart"/>
            <w:vAlign w:val="center"/>
          </w:tcPr>
          <w:p w:rsidR="00E20CDD" w:rsidRPr="00666F46" w:rsidRDefault="00E20CDD" w:rsidP="0044174C">
            <w:pPr>
              <w:jc w:val="center"/>
              <w:rPr>
                <w:rFonts w:ascii="Arial Narrow" w:hAnsi="Arial Narrow"/>
                <w:b/>
                <w:color w:val="000000"/>
                <w:sz w:val="20"/>
                <w:szCs w:val="18"/>
              </w:rPr>
            </w:pPr>
            <w:r w:rsidRPr="00666F46">
              <w:rPr>
                <w:rFonts w:ascii="Arial Narrow" w:hAnsi="Arial Narrow"/>
                <w:b/>
                <w:color w:val="000000"/>
                <w:sz w:val="20"/>
                <w:szCs w:val="18"/>
              </w:rPr>
              <w:t>RD</w:t>
            </w:r>
            <w:r w:rsidR="0044174C" w:rsidRPr="00666F46">
              <w:rPr>
                <w:rFonts w:ascii="Arial Narrow" w:hAnsi="Arial Narrow"/>
                <w:b/>
                <w:color w:val="000000"/>
                <w:sz w:val="20"/>
                <w:szCs w:val="18"/>
              </w:rPr>
              <w:t xml:space="preserve"> </w:t>
            </w:r>
            <w:r w:rsidRPr="00666F46">
              <w:rPr>
                <w:rFonts w:ascii="Arial Narrow" w:hAnsi="Arial Narrow"/>
                <w:b/>
                <w:color w:val="000000"/>
                <w:sz w:val="20"/>
                <w:szCs w:val="18"/>
              </w:rPr>
              <w:t>(95% CI)</w:t>
            </w:r>
          </w:p>
        </w:tc>
      </w:tr>
      <w:tr w:rsidR="00E20CDD" w:rsidRPr="00E2771E" w:rsidTr="00811798">
        <w:trPr>
          <w:trHeight w:val="171"/>
        </w:trPr>
        <w:tc>
          <w:tcPr>
            <w:tcW w:w="674" w:type="pct"/>
            <w:vMerge/>
            <w:shd w:val="clear" w:color="auto" w:fill="auto"/>
            <w:vAlign w:val="center"/>
          </w:tcPr>
          <w:p w:rsidR="00E20CDD" w:rsidRPr="00666F46" w:rsidRDefault="00E20CDD" w:rsidP="004904DD">
            <w:pPr>
              <w:rPr>
                <w:rFonts w:ascii="Arial Narrow" w:hAnsi="Arial Narrow"/>
                <w:b/>
                <w:color w:val="000000"/>
                <w:sz w:val="20"/>
                <w:szCs w:val="18"/>
              </w:rPr>
            </w:pPr>
          </w:p>
        </w:tc>
        <w:tc>
          <w:tcPr>
            <w:tcW w:w="610" w:type="pct"/>
            <w:gridSpan w:val="2"/>
            <w:vMerge/>
            <w:vAlign w:val="center"/>
          </w:tcPr>
          <w:p w:rsidR="00E20CDD" w:rsidRPr="00666F46" w:rsidRDefault="00E20CDD" w:rsidP="004904DD">
            <w:pPr>
              <w:jc w:val="center"/>
              <w:rPr>
                <w:rFonts w:ascii="Arial Narrow" w:hAnsi="Arial Narrow"/>
                <w:b/>
                <w:color w:val="000000"/>
                <w:sz w:val="20"/>
                <w:szCs w:val="18"/>
              </w:rPr>
            </w:pPr>
          </w:p>
        </w:tc>
        <w:tc>
          <w:tcPr>
            <w:tcW w:w="582" w:type="pct"/>
            <w:vMerge/>
            <w:vAlign w:val="center"/>
          </w:tcPr>
          <w:p w:rsidR="00E20CDD" w:rsidRPr="00666F46" w:rsidRDefault="00E20CDD" w:rsidP="004904DD">
            <w:pPr>
              <w:jc w:val="center"/>
              <w:rPr>
                <w:rFonts w:ascii="Arial Narrow" w:hAnsi="Arial Narrow"/>
                <w:b/>
                <w:color w:val="000000"/>
                <w:sz w:val="20"/>
                <w:szCs w:val="18"/>
              </w:rPr>
            </w:pPr>
          </w:p>
        </w:tc>
        <w:tc>
          <w:tcPr>
            <w:tcW w:w="933" w:type="pct"/>
            <w:vMerge/>
            <w:vAlign w:val="center"/>
          </w:tcPr>
          <w:p w:rsidR="00E20CDD" w:rsidRPr="00666F46" w:rsidRDefault="00E20CDD" w:rsidP="004904DD">
            <w:pPr>
              <w:jc w:val="center"/>
              <w:rPr>
                <w:rFonts w:ascii="Arial Narrow" w:hAnsi="Arial Narrow"/>
                <w:b/>
                <w:color w:val="000000"/>
                <w:sz w:val="20"/>
                <w:szCs w:val="18"/>
              </w:rPr>
            </w:pPr>
          </w:p>
        </w:tc>
        <w:tc>
          <w:tcPr>
            <w:tcW w:w="509" w:type="pc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afatinib</w:t>
            </w:r>
          </w:p>
        </w:tc>
        <w:tc>
          <w:tcPr>
            <w:tcW w:w="759" w:type="pct"/>
            <w:vAlign w:val="center"/>
          </w:tcPr>
          <w:p w:rsidR="00E20CDD" w:rsidRPr="00666F46" w:rsidRDefault="00E20CDD" w:rsidP="004904DD">
            <w:pPr>
              <w:jc w:val="center"/>
              <w:rPr>
                <w:rFonts w:ascii="Arial Narrow" w:hAnsi="Arial Narrow"/>
                <w:b/>
                <w:color w:val="000000"/>
                <w:sz w:val="20"/>
                <w:szCs w:val="18"/>
              </w:rPr>
            </w:pPr>
            <w:r w:rsidRPr="00666F46">
              <w:rPr>
                <w:rFonts w:ascii="Arial Narrow" w:hAnsi="Arial Narrow"/>
                <w:b/>
                <w:color w:val="000000"/>
                <w:sz w:val="20"/>
                <w:szCs w:val="18"/>
              </w:rPr>
              <w:t>erlotinib</w:t>
            </w:r>
          </w:p>
        </w:tc>
        <w:tc>
          <w:tcPr>
            <w:tcW w:w="933" w:type="pct"/>
            <w:vMerge/>
            <w:vAlign w:val="center"/>
          </w:tcPr>
          <w:p w:rsidR="00E20CDD" w:rsidRPr="00666F46" w:rsidRDefault="00E20CDD" w:rsidP="004904DD">
            <w:pPr>
              <w:jc w:val="center"/>
              <w:rPr>
                <w:rFonts w:ascii="Arial Narrow" w:hAnsi="Arial Narrow"/>
                <w:b/>
                <w:color w:val="000000"/>
                <w:sz w:val="20"/>
                <w:szCs w:val="18"/>
              </w:rPr>
            </w:pPr>
          </w:p>
        </w:tc>
      </w:tr>
      <w:tr w:rsidR="00E20CDD" w:rsidRPr="00E2771E" w:rsidTr="00811798">
        <w:tc>
          <w:tcPr>
            <w:tcW w:w="5000" w:type="pct"/>
            <w:gridSpan w:val="8"/>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b/>
                <w:sz w:val="20"/>
              </w:rPr>
              <w:t xml:space="preserve">Grade≥3 </w:t>
            </w:r>
            <w:r w:rsidR="00FD4D63" w:rsidRPr="00666F46">
              <w:rPr>
                <w:rFonts w:ascii="Arial Narrow" w:hAnsi="Arial Narrow"/>
                <w:b/>
                <w:color w:val="000000"/>
                <w:sz w:val="20"/>
                <w:szCs w:val="18"/>
              </w:rPr>
              <w:t>r</w:t>
            </w:r>
            <w:r w:rsidRPr="00666F46">
              <w:rPr>
                <w:rFonts w:ascii="Arial Narrow" w:hAnsi="Arial Narrow"/>
                <w:b/>
                <w:color w:val="000000"/>
                <w:sz w:val="20"/>
                <w:szCs w:val="18"/>
              </w:rPr>
              <w:t>ash</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10"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74/498 (14.89%)</w:t>
            </w:r>
          </w:p>
        </w:tc>
        <w:tc>
          <w:tcPr>
            <w:tcW w:w="582"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45/513 (8.77%)</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szCs w:val="18"/>
              </w:rPr>
              <w:t>1.70</w:t>
            </w:r>
            <w:r w:rsidR="009C764F" w:rsidRPr="00666F46">
              <w:rPr>
                <w:rFonts w:ascii="Arial Narrow" w:hAnsi="Arial Narrow"/>
                <w:color w:val="000000"/>
                <w:sz w:val="20"/>
                <w:szCs w:val="18"/>
              </w:rPr>
              <w:t xml:space="preserve"> </w:t>
            </w:r>
            <w:r w:rsidRPr="00666F46">
              <w:rPr>
                <w:rFonts w:ascii="Arial Narrow" w:hAnsi="Arial Narrow"/>
                <w:color w:val="000000"/>
                <w:sz w:val="20"/>
                <w:szCs w:val="18"/>
              </w:rPr>
              <w:t>(1.20, 2.40)</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15</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9</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0.06</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(0.02, 0.10)</w:t>
            </w:r>
          </w:p>
        </w:tc>
      </w:tr>
      <w:tr w:rsidR="00E20CDD" w:rsidRPr="00E2771E" w:rsidTr="00811798">
        <w:tc>
          <w:tcPr>
            <w:tcW w:w="5000" w:type="pct"/>
            <w:gridSpan w:val="8"/>
            <w:shd w:val="clear" w:color="auto" w:fill="auto"/>
            <w:vAlign w:val="center"/>
          </w:tcPr>
          <w:p w:rsidR="00E20CDD" w:rsidRPr="00666F46" w:rsidRDefault="00E20CDD" w:rsidP="00FD4D63">
            <w:pPr>
              <w:rPr>
                <w:rFonts w:ascii="Arial Narrow" w:hAnsi="Arial Narrow"/>
                <w:b/>
                <w:color w:val="000000"/>
                <w:sz w:val="20"/>
                <w:szCs w:val="18"/>
              </w:rPr>
            </w:pPr>
            <w:r w:rsidRPr="00666F46">
              <w:rPr>
                <w:rFonts w:ascii="Arial Narrow" w:hAnsi="Arial Narrow"/>
                <w:b/>
                <w:sz w:val="20"/>
              </w:rPr>
              <w:t xml:space="preserve">Grade≥3 </w:t>
            </w:r>
            <w:r w:rsidR="00FD4D63" w:rsidRPr="00666F46">
              <w:rPr>
                <w:rFonts w:ascii="Arial Narrow" w:hAnsi="Arial Narrow"/>
                <w:b/>
                <w:sz w:val="20"/>
              </w:rPr>
              <w:t>d</w:t>
            </w:r>
            <w:r w:rsidRPr="00666F46">
              <w:rPr>
                <w:rFonts w:ascii="Arial Narrow" w:hAnsi="Arial Narrow"/>
                <w:b/>
                <w:color w:val="000000"/>
                <w:sz w:val="20"/>
                <w:szCs w:val="18"/>
              </w:rPr>
              <w:t>iarrhoea</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10"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48/498 (9.64%)</w:t>
            </w:r>
          </w:p>
        </w:tc>
        <w:tc>
          <w:tcPr>
            <w:tcW w:w="582"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szCs w:val="18"/>
              </w:rPr>
              <w:t>1</w:t>
            </w:r>
            <w:r w:rsidR="009C764F" w:rsidRPr="00666F46">
              <w:rPr>
                <w:rFonts w:ascii="Arial Narrow" w:hAnsi="Arial Narrow"/>
                <w:color w:val="000000"/>
                <w:sz w:val="20"/>
                <w:szCs w:val="18"/>
              </w:rPr>
              <w:t>4</w:t>
            </w:r>
            <w:r w:rsidRPr="00666F46">
              <w:rPr>
                <w:rFonts w:ascii="Arial Narrow" w:hAnsi="Arial Narrow"/>
                <w:color w:val="000000"/>
                <w:sz w:val="20"/>
                <w:szCs w:val="18"/>
              </w:rPr>
              <w:t>/513 (2.73%)</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szCs w:val="18"/>
              </w:rPr>
              <w:t>3.53</w:t>
            </w:r>
            <w:r w:rsidR="009C764F" w:rsidRPr="00666F46">
              <w:rPr>
                <w:rFonts w:ascii="Arial Narrow" w:hAnsi="Arial Narrow"/>
                <w:color w:val="000000"/>
                <w:sz w:val="20"/>
                <w:szCs w:val="18"/>
              </w:rPr>
              <w:t xml:space="preserve"> </w:t>
            </w:r>
            <w:r w:rsidRPr="00666F46">
              <w:rPr>
                <w:rFonts w:ascii="Arial Narrow" w:hAnsi="Arial Narrow"/>
                <w:color w:val="000000"/>
                <w:sz w:val="20"/>
                <w:szCs w:val="18"/>
              </w:rPr>
              <w:t>(2.06, 6.06)</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10</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szCs w:val="18"/>
              </w:rPr>
              <w:t>3</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0.07</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(0.04, 0.10)</w:t>
            </w:r>
          </w:p>
        </w:tc>
      </w:tr>
      <w:tr w:rsidR="00E20CDD" w:rsidRPr="00E2771E" w:rsidTr="00811798">
        <w:tc>
          <w:tcPr>
            <w:tcW w:w="5000" w:type="pct"/>
            <w:gridSpan w:val="8"/>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b/>
                <w:sz w:val="20"/>
              </w:rPr>
              <w:t xml:space="preserve">Grade≥3 </w:t>
            </w:r>
            <w:r w:rsidR="00FD4D63" w:rsidRPr="00666F46">
              <w:rPr>
                <w:rFonts w:ascii="Arial Narrow" w:hAnsi="Arial Narrow"/>
                <w:b/>
                <w:color w:val="000000"/>
                <w:sz w:val="20"/>
                <w:szCs w:val="18"/>
              </w:rPr>
              <w:t>h</w:t>
            </w:r>
            <w:r w:rsidRPr="00666F46">
              <w:rPr>
                <w:rFonts w:ascii="Arial Narrow" w:hAnsi="Arial Narrow"/>
                <w:b/>
                <w:color w:val="000000"/>
                <w:sz w:val="20"/>
                <w:szCs w:val="18"/>
              </w:rPr>
              <w:t>epatotoxicity</w:t>
            </w:r>
          </w:p>
        </w:tc>
      </w:tr>
      <w:tr w:rsidR="00E20CDD" w:rsidRPr="00E2771E" w:rsidTr="00811798">
        <w:tc>
          <w:tcPr>
            <w:tcW w:w="674" w:type="pct"/>
            <w:shd w:val="clear" w:color="auto" w:fill="auto"/>
            <w:vAlign w:val="center"/>
          </w:tcPr>
          <w:p w:rsidR="00E20CDD" w:rsidRPr="00666F46" w:rsidRDefault="00E20CDD" w:rsidP="004904DD">
            <w:pPr>
              <w:rPr>
                <w:rFonts w:ascii="Arial Narrow" w:hAnsi="Arial Narrow"/>
                <w:color w:val="000000"/>
                <w:sz w:val="20"/>
                <w:szCs w:val="18"/>
              </w:rPr>
            </w:pPr>
            <w:r w:rsidRPr="00666F46">
              <w:rPr>
                <w:rFonts w:ascii="Arial Narrow" w:hAnsi="Arial Narrow"/>
                <w:color w:val="000000"/>
                <w:sz w:val="20"/>
                <w:szCs w:val="18"/>
              </w:rPr>
              <w:t>Pooled trials</w:t>
            </w:r>
          </w:p>
        </w:tc>
        <w:tc>
          <w:tcPr>
            <w:tcW w:w="601"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4/498 (0.80%)</w:t>
            </w:r>
          </w:p>
        </w:tc>
        <w:tc>
          <w:tcPr>
            <w:tcW w:w="591" w:type="pct"/>
            <w:gridSpan w:val="2"/>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16/513 (3.12%)</w:t>
            </w:r>
          </w:p>
        </w:tc>
        <w:tc>
          <w:tcPr>
            <w:tcW w:w="933" w:type="pct"/>
            <w:vAlign w:val="center"/>
          </w:tcPr>
          <w:p w:rsidR="00E20CDD" w:rsidRPr="00666F46" w:rsidRDefault="00E20CDD" w:rsidP="009C764F">
            <w:pPr>
              <w:jc w:val="center"/>
              <w:rPr>
                <w:rFonts w:ascii="Arial Narrow" w:hAnsi="Arial Narrow"/>
                <w:color w:val="000000"/>
                <w:sz w:val="20"/>
                <w:szCs w:val="18"/>
              </w:rPr>
            </w:pPr>
            <w:r w:rsidRPr="00666F46">
              <w:rPr>
                <w:rFonts w:ascii="Arial Narrow" w:hAnsi="Arial Narrow"/>
                <w:color w:val="000000"/>
                <w:sz w:val="20"/>
              </w:rPr>
              <w:t>0.26</w:t>
            </w:r>
            <w:r w:rsidR="009C764F" w:rsidRPr="00666F46">
              <w:rPr>
                <w:rFonts w:ascii="Arial Narrow" w:hAnsi="Arial Narrow"/>
                <w:color w:val="000000"/>
                <w:sz w:val="20"/>
              </w:rPr>
              <w:t xml:space="preserve"> </w:t>
            </w:r>
            <w:r w:rsidRPr="00666F46">
              <w:rPr>
                <w:rFonts w:ascii="Arial Narrow" w:hAnsi="Arial Narrow"/>
                <w:color w:val="000000"/>
                <w:sz w:val="20"/>
              </w:rPr>
              <w:t>(0.09, 0.70)</w:t>
            </w:r>
          </w:p>
        </w:tc>
        <w:tc>
          <w:tcPr>
            <w:tcW w:w="50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1</w:t>
            </w:r>
          </w:p>
        </w:tc>
        <w:tc>
          <w:tcPr>
            <w:tcW w:w="759" w:type="pct"/>
            <w:vAlign w:val="center"/>
          </w:tcPr>
          <w:p w:rsidR="00E20CDD" w:rsidRPr="00666F46" w:rsidRDefault="00E20CDD" w:rsidP="004904DD">
            <w:pPr>
              <w:jc w:val="center"/>
              <w:rPr>
                <w:rFonts w:ascii="Arial Narrow" w:hAnsi="Arial Narrow"/>
                <w:color w:val="000000"/>
                <w:sz w:val="20"/>
                <w:szCs w:val="18"/>
              </w:rPr>
            </w:pPr>
            <w:r w:rsidRPr="00666F46">
              <w:rPr>
                <w:rFonts w:ascii="Arial Narrow" w:hAnsi="Arial Narrow"/>
                <w:color w:val="000000"/>
                <w:sz w:val="20"/>
              </w:rPr>
              <w:t>3</w:t>
            </w:r>
          </w:p>
        </w:tc>
        <w:tc>
          <w:tcPr>
            <w:tcW w:w="933" w:type="pct"/>
            <w:vAlign w:val="center"/>
          </w:tcPr>
          <w:p w:rsidR="00E20CDD" w:rsidRPr="00666F46" w:rsidRDefault="00E20CDD" w:rsidP="0044174C">
            <w:pPr>
              <w:jc w:val="center"/>
              <w:rPr>
                <w:rFonts w:ascii="Arial Narrow" w:hAnsi="Arial Narrow"/>
                <w:color w:val="000000"/>
                <w:sz w:val="20"/>
                <w:szCs w:val="18"/>
              </w:rPr>
            </w:pPr>
            <w:r w:rsidRPr="00666F46">
              <w:rPr>
                <w:rFonts w:ascii="Arial Narrow" w:hAnsi="Arial Narrow"/>
                <w:color w:val="000000"/>
                <w:sz w:val="20"/>
                <w:szCs w:val="18"/>
              </w:rPr>
              <w:t>-0.02</w:t>
            </w:r>
            <w:r w:rsidR="0044174C" w:rsidRPr="00666F46">
              <w:rPr>
                <w:rFonts w:ascii="Arial Narrow" w:hAnsi="Arial Narrow"/>
                <w:color w:val="000000"/>
                <w:sz w:val="20"/>
                <w:szCs w:val="18"/>
              </w:rPr>
              <w:t xml:space="preserve"> </w:t>
            </w:r>
            <w:r w:rsidRPr="00666F46">
              <w:rPr>
                <w:rFonts w:ascii="Arial Narrow" w:hAnsi="Arial Narrow"/>
                <w:color w:val="000000"/>
                <w:sz w:val="20"/>
                <w:szCs w:val="18"/>
              </w:rPr>
              <w:t>(-0.04, -0.006)</w:t>
            </w:r>
          </w:p>
        </w:tc>
      </w:tr>
    </w:tbl>
    <w:p w:rsidR="00E20CDD" w:rsidRPr="0072416F" w:rsidRDefault="00E20CDD" w:rsidP="00E20CDD">
      <w:pPr>
        <w:pStyle w:val="TableFooter"/>
        <w:ind w:left="720"/>
      </w:pPr>
      <w:r w:rsidRPr="0072416F">
        <w:t>Source: Compiled during the evaluation</w:t>
      </w:r>
      <w:r w:rsidR="00C50EE8">
        <w:t xml:space="preserve"> and </w:t>
      </w:r>
      <w:r w:rsidR="00735A89">
        <w:t>Takeda et al (2015)</w:t>
      </w:r>
    </w:p>
    <w:p w:rsidR="00E20CDD" w:rsidRPr="00882085" w:rsidRDefault="00E20CDD" w:rsidP="00E20CDD"/>
    <w:p w:rsidR="00847C9C" w:rsidRPr="00C31854" w:rsidRDefault="00E37249" w:rsidP="0090717E">
      <w:pPr>
        <w:pStyle w:val="ListParagraph"/>
        <w:widowControl/>
        <w:numPr>
          <w:ilvl w:val="1"/>
          <w:numId w:val="1"/>
        </w:numPr>
        <w:rPr>
          <w:szCs w:val="22"/>
        </w:rPr>
      </w:pPr>
      <w:r w:rsidRPr="00C31854">
        <w:t xml:space="preserve">The </w:t>
      </w:r>
      <w:r w:rsidR="009B1AA4" w:rsidRPr="00C31854">
        <w:t xml:space="preserve">ESC agreed that the </w:t>
      </w:r>
      <w:r w:rsidR="00847C9C" w:rsidRPr="00C31854">
        <w:t xml:space="preserve">available </w:t>
      </w:r>
      <w:r w:rsidR="009B1AA4" w:rsidRPr="00C31854">
        <w:t>evidence for afatinib compared with gefitinib and with erlotinib was not sufficiently strong to clearly support a case for</w:t>
      </w:r>
      <w:r w:rsidR="0010771A">
        <w:t xml:space="preserve"> unique characteristics (or</w:t>
      </w:r>
      <w:r w:rsidR="009B1AA4" w:rsidRPr="00C31854">
        <w:t xml:space="preserve"> therapeutic superiority</w:t>
      </w:r>
      <w:r w:rsidR="0010771A">
        <w:t>)</w:t>
      </w:r>
      <w:r w:rsidR="009B1AA4" w:rsidRPr="00C31854">
        <w:t xml:space="preserve"> of afatinib compared with gefitinib and with erlotinib</w:t>
      </w:r>
      <w:r w:rsidR="00847C9C" w:rsidRPr="00C31854">
        <w:t>, including in patients with exon 19 deletion mutations</w:t>
      </w:r>
      <w:r w:rsidR="009B1AA4" w:rsidRPr="00C31854">
        <w:t>.</w:t>
      </w:r>
    </w:p>
    <w:p w:rsidR="00847C9C" w:rsidRPr="00847C9C" w:rsidRDefault="00847C9C" w:rsidP="00847C9C">
      <w:pPr>
        <w:widowControl/>
        <w:rPr>
          <w:szCs w:val="22"/>
        </w:rPr>
      </w:pPr>
    </w:p>
    <w:p w:rsidR="00E20CDD" w:rsidRPr="00B50DB8" w:rsidRDefault="00E20CDD" w:rsidP="0090717E">
      <w:pPr>
        <w:pStyle w:val="ListParagraph"/>
        <w:widowControl/>
        <w:numPr>
          <w:ilvl w:val="1"/>
          <w:numId w:val="1"/>
        </w:numPr>
        <w:rPr>
          <w:szCs w:val="22"/>
        </w:rPr>
      </w:pPr>
      <w:r w:rsidRPr="00CF6EE4">
        <w:t>On the basis of indirect</w:t>
      </w:r>
      <w:r>
        <w:t xml:space="preserve"> </w:t>
      </w:r>
      <w:r w:rsidR="003A79FB">
        <w:t>analyses</w:t>
      </w:r>
      <w:r w:rsidRPr="00CF6EE4">
        <w:t xml:space="preserve"> presented </w:t>
      </w:r>
      <w:r w:rsidR="006D5371">
        <w:t>in</w:t>
      </w:r>
      <w:r w:rsidRPr="00CF6EE4">
        <w:t xml:space="preserve"> the </w:t>
      </w:r>
      <w:r w:rsidR="0095098D">
        <w:t>re-submission</w:t>
      </w:r>
      <w:r w:rsidRPr="00CF6EE4">
        <w:t xml:space="preserve">, the comparison of </w:t>
      </w:r>
      <w:r>
        <w:t>afatinib</w:t>
      </w:r>
      <w:r w:rsidRPr="00CF6EE4">
        <w:t xml:space="preserve"> </w:t>
      </w:r>
      <w:r w:rsidR="00C50EE8">
        <w:t>with</w:t>
      </w:r>
      <w:r w:rsidRPr="00CF6EE4">
        <w:t xml:space="preserve"> </w:t>
      </w:r>
      <w:r>
        <w:t>gefitinib</w:t>
      </w:r>
      <w:r w:rsidR="00C50EE8">
        <w:t xml:space="preserve"> (both drugs </w:t>
      </w:r>
      <w:r w:rsidR="003A79FB">
        <w:t>administered until progression</w:t>
      </w:r>
      <w:r w:rsidR="00C50EE8">
        <w:t>)</w:t>
      </w:r>
      <w:r w:rsidRPr="00CF6EE4">
        <w:t xml:space="preserve"> </w:t>
      </w:r>
      <w:r w:rsidR="006D5371">
        <w:t xml:space="preserve">in NSCLC patients with </w:t>
      </w:r>
      <w:r w:rsidR="00FD4D63">
        <w:t xml:space="preserve">exon 19 </w:t>
      </w:r>
      <w:r w:rsidR="006D5371">
        <w:t>deletion mutations</w:t>
      </w:r>
      <w:r w:rsidR="006748E2">
        <w:t xml:space="preserve"> (drug exposure in mutation subgroup was not reported)</w:t>
      </w:r>
      <w:r w:rsidR="006D5371">
        <w:t xml:space="preserve"> r</w:t>
      </w:r>
      <w:r w:rsidRPr="00CF6EE4">
        <w:t>esulted in</w:t>
      </w:r>
      <w:r w:rsidR="006D5371">
        <w:t>:</w:t>
      </w:r>
    </w:p>
    <w:p w:rsidR="00E20CDD" w:rsidRPr="00CF6EE4" w:rsidRDefault="00FD4D63" w:rsidP="0090717E">
      <w:pPr>
        <w:pStyle w:val="ListParagraph"/>
        <w:widowControl/>
        <w:numPr>
          <w:ilvl w:val="0"/>
          <w:numId w:val="2"/>
        </w:numPr>
      </w:pPr>
      <w:r>
        <w:t>a</w:t>
      </w:r>
      <w:r w:rsidR="00E20CDD" w:rsidRPr="00CF6EE4">
        <w:t xml:space="preserve">pproximately </w:t>
      </w:r>
      <w:r w:rsidR="00E20CDD">
        <w:t>11</w:t>
      </w:r>
      <w:r w:rsidR="00E20CDD" w:rsidRPr="00CF6EE4">
        <w:t xml:space="preserve"> additional patients </w:t>
      </w:r>
      <w:r w:rsidR="00E20CDD">
        <w:t>experienc</w:t>
      </w:r>
      <w:r w:rsidR="004C1A67">
        <w:t>ing</w:t>
      </w:r>
      <w:r w:rsidR="00E20CDD">
        <w:t xml:space="preserve"> a </w:t>
      </w:r>
      <w:r w:rsidR="00E20CDD" w:rsidRPr="00767755">
        <w:t xml:space="preserve">Grade≥3 </w:t>
      </w:r>
      <w:r w:rsidR="00E20CDD">
        <w:t>rash</w:t>
      </w:r>
      <w:r w:rsidR="00C51D3C">
        <w:t xml:space="preserve"> for every 100 patients treated</w:t>
      </w:r>
    </w:p>
    <w:p w:rsidR="00E20CDD" w:rsidRPr="00CF6EE4" w:rsidRDefault="00FD4D63" w:rsidP="0090717E">
      <w:pPr>
        <w:pStyle w:val="ListParagraph"/>
        <w:widowControl/>
        <w:numPr>
          <w:ilvl w:val="0"/>
          <w:numId w:val="2"/>
        </w:numPr>
      </w:pPr>
      <w:r>
        <w:t>a</w:t>
      </w:r>
      <w:r w:rsidR="00E20CDD" w:rsidRPr="00CF6EE4">
        <w:t xml:space="preserve">pproximately </w:t>
      </w:r>
      <w:r w:rsidR="00E20CDD">
        <w:t>9</w:t>
      </w:r>
      <w:r w:rsidR="00E20CDD" w:rsidRPr="00CF6EE4">
        <w:t xml:space="preserve"> additional patients </w:t>
      </w:r>
      <w:r w:rsidR="00E20CDD">
        <w:t>experienc</w:t>
      </w:r>
      <w:r w:rsidR="004C1A67">
        <w:t>ing</w:t>
      </w:r>
      <w:r w:rsidR="00E20CDD">
        <w:t xml:space="preserve"> a </w:t>
      </w:r>
      <w:r w:rsidR="00E20CDD" w:rsidRPr="00767755">
        <w:t xml:space="preserve">Grade≥3 </w:t>
      </w:r>
      <w:r w:rsidR="00E20CDD">
        <w:t>diarrhoea</w:t>
      </w:r>
      <w:r w:rsidR="00C51D3C">
        <w:t xml:space="preserve"> for every 100 patients treated</w:t>
      </w:r>
    </w:p>
    <w:p w:rsidR="00E20CDD" w:rsidRDefault="004C1A67" w:rsidP="0090717E">
      <w:pPr>
        <w:pStyle w:val="ListParagraph"/>
        <w:widowControl/>
        <w:numPr>
          <w:ilvl w:val="0"/>
          <w:numId w:val="2"/>
        </w:numPr>
      </w:pPr>
      <w:r>
        <w:t>a</w:t>
      </w:r>
      <w:r w:rsidR="00E20CDD" w:rsidRPr="00CF6EE4">
        <w:t xml:space="preserve">pproximately </w:t>
      </w:r>
      <w:r w:rsidR="00E20CDD">
        <w:t>1</w:t>
      </w:r>
      <w:r w:rsidR="00E20CDD" w:rsidRPr="00CF6EE4">
        <w:t xml:space="preserve">7 fewer patients </w:t>
      </w:r>
      <w:r>
        <w:t>experiencing</w:t>
      </w:r>
      <w:r w:rsidR="00E20CDD">
        <w:t xml:space="preserve"> a </w:t>
      </w:r>
      <w:r w:rsidR="00E20CDD" w:rsidRPr="00767755">
        <w:t xml:space="preserve">Grade≥3 </w:t>
      </w:r>
      <w:r w:rsidR="00E20CDD">
        <w:t>h</w:t>
      </w:r>
      <w:r w:rsidR="003A79FB">
        <w:t>e</w:t>
      </w:r>
      <w:r w:rsidR="00E20CDD">
        <w:t>patotoxicity</w:t>
      </w:r>
      <w:r w:rsidR="00C51D3C">
        <w:t xml:space="preserve"> for every 100 patients treated</w:t>
      </w:r>
      <w:r>
        <w:t>.</w:t>
      </w:r>
    </w:p>
    <w:p w:rsidR="00BD3448" w:rsidRPr="00BD3448" w:rsidRDefault="00BD3448" w:rsidP="00BD3448">
      <w:pPr>
        <w:widowControl/>
        <w:rPr>
          <w:szCs w:val="22"/>
        </w:rPr>
      </w:pPr>
    </w:p>
    <w:p w:rsidR="00E20CDD" w:rsidRPr="00B50DB8" w:rsidRDefault="00E20CDD" w:rsidP="0090717E">
      <w:pPr>
        <w:pStyle w:val="ListParagraph"/>
        <w:widowControl/>
        <w:numPr>
          <w:ilvl w:val="1"/>
          <w:numId w:val="1"/>
        </w:numPr>
        <w:rPr>
          <w:szCs w:val="22"/>
        </w:rPr>
      </w:pPr>
      <w:r w:rsidRPr="00CF6EE4">
        <w:t xml:space="preserve">On the basis of </w:t>
      </w:r>
      <w:r w:rsidR="00C50EE8" w:rsidRPr="00CF6EE4">
        <w:t>indirect</w:t>
      </w:r>
      <w:r w:rsidR="00C50EE8">
        <w:t xml:space="preserve"> analyses</w:t>
      </w:r>
      <w:r w:rsidR="00C50EE8" w:rsidRPr="00CF6EE4">
        <w:t xml:space="preserve"> presented </w:t>
      </w:r>
      <w:r w:rsidR="00C50EE8">
        <w:t>in</w:t>
      </w:r>
      <w:r w:rsidR="00C50EE8" w:rsidRPr="00CF6EE4">
        <w:t xml:space="preserve"> the </w:t>
      </w:r>
      <w:r w:rsidR="00C50EE8">
        <w:t>re-submission</w:t>
      </w:r>
      <w:r w:rsidR="00C50EE8" w:rsidRPr="00CF6EE4">
        <w:t>,</w:t>
      </w:r>
      <w:r w:rsidRPr="00CF6EE4">
        <w:t xml:space="preserve"> the comparison of </w:t>
      </w:r>
      <w:r>
        <w:t>afatinib</w:t>
      </w:r>
      <w:r w:rsidRPr="00CF6EE4">
        <w:t xml:space="preserve"> </w:t>
      </w:r>
      <w:r w:rsidR="00C50EE8">
        <w:t>with</w:t>
      </w:r>
      <w:r w:rsidRPr="00CF6EE4">
        <w:t xml:space="preserve"> </w:t>
      </w:r>
      <w:r>
        <w:t>erlotinib</w:t>
      </w:r>
      <w:r w:rsidR="00C50EE8">
        <w:t xml:space="preserve"> (both drugs administered until progression)</w:t>
      </w:r>
      <w:r w:rsidRPr="00CF6EE4">
        <w:t xml:space="preserve"> </w:t>
      </w:r>
      <w:r w:rsidR="00C50EE8">
        <w:t xml:space="preserve">in NSCLC patients with </w:t>
      </w:r>
      <w:r w:rsidR="00FD4D63">
        <w:t xml:space="preserve">exon 19 </w:t>
      </w:r>
      <w:r w:rsidR="00C50EE8">
        <w:t>deletion mutations</w:t>
      </w:r>
      <w:r w:rsidR="006748E2">
        <w:t xml:space="preserve"> (drug exposure in mutation subgroup was not reported)</w:t>
      </w:r>
      <w:r w:rsidR="00C50EE8">
        <w:t xml:space="preserve"> r</w:t>
      </w:r>
      <w:r w:rsidR="00C50EE8" w:rsidRPr="00CF6EE4">
        <w:t>esulted in</w:t>
      </w:r>
      <w:r w:rsidR="00C50EE8">
        <w:t>:</w:t>
      </w:r>
    </w:p>
    <w:p w:rsidR="00D23D40" w:rsidRDefault="00BD3448" w:rsidP="0090717E">
      <w:pPr>
        <w:pStyle w:val="ListParagraph"/>
        <w:widowControl/>
        <w:numPr>
          <w:ilvl w:val="0"/>
          <w:numId w:val="2"/>
        </w:numPr>
      </w:pPr>
      <w:r>
        <w:t>a</w:t>
      </w:r>
      <w:r w:rsidR="00E20CDD" w:rsidRPr="00CF6EE4">
        <w:t xml:space="preserve">pproximately </w:t>
      </w:r>
      <w:r w:rsidR="00E20CDD">
        <w:t>6</w:t>
      </w:r>
      <w:r w:rsidR="00E20CDD" w:rsidRPr="00CF6EE4">
        <w:t xml:space="preserve"> additional patients </w:t>
      </w:r>
      <w:r>
        <w:t>experiencing</w:t>
      </w:r>
      <w:r w:rsidR="00E20CDD">
        <w:t xml:space="preserve"> a </w:t>
      </w:r>
      <w:r w:rsidR="00E20CDD" w:rsidRPr="00767755">
        <w:t xml:space="preserve">Grade≥3 </w:t>
      </w:r>
      <w:r w:rsidR="00E20CDD">
        <w:t>rash</w:t>
      </w:r>
      <w:r w:rsidR="00D23D40">
        <w:t xml:space="preserve"> for every 100 patients treated</w:t>
      </w:r>
    </w:p>
    <w:p w:rsidR="00E20CDD" w:rsidRPr="00CF6EE4" w:rsidRDefault="00BD3448" w:rsidP="0090717E">
      <w:pPr>
        <w:pStyle w:val="ListParagraph"/>
        <w:widowControl/>
        <w:numPr>
          <w:ilvl w:val="0"/>
          <w:numId w:val="2"/>
        </w:numPr>
      </w:pPr>
      <w:r>
        <w:lastRenderedPageBreak/>
        <w:t>a</w:t>
      </w:r>
      <w:r w:rsidR="00E20CDD" w:rsidRPr="00CF6EE4">
        <w:t xml:space="preserve">pproximately </w:t>
      </w:r>
      <w:r w:rsidR="00E20CDD">
        <w:t>7</w:t>
      </w:r>
      <w:r w:rsidR="00E20CDD" w:rsidRPr="00CF6EE4">
        <w:t xml:space="preserve"> additional patients </w:t>
      </w:r>
      <w:r>
        <w:t>experiencing</w:t>
      </w:r>
      <w:r w:rsidR="00E20CDD">
        <w:t xml:space="preserve"> a </w:t>
      </w:r>
      <w:r w:rsidR="00E20CDD" w:rsidRPr="00767755">
        <w:t xml:space="preserve">Grade≥3 </w:t>
      </w:r>
      <w:r w:rsidR="00E20CDD">
        <w:t>diarrhoea</w:t>
      </w:r>
      <w:r w:rsidR="00D23D40">
        <w:t xml:space="preserve"> for every 100 patients treated</w:t>
      </w:r>
    </w:p>
    <w:p w:rsidR="00E20CDD" w:rsidRPr="00C50EE8" w:rsidRDefault="00BD3448" w:rsidP="0090717E">
      <w:pPr>
        <w:pStyle w:val="ListParagraph"/>
        <w:widowControl/>
        <w:numPr>
          <w:ilvl w:val="0"/>
          <w:numId w:val="2"/>
        </w:numPr>
        <w:rPr>
          <w:szCs w:val="22"/>
        </w:rPr>
      </w:pPr>
      <w:r>
        <w:t>a</w:t>
      </w:r>
      <w:r w:rsidR="00E20CDD" w:rsidRPr="00CF6EE4">
        <w:t xml:space="preserve">pproximately </w:t>
      </w:r>
      <w:r w:rsidR="00E20CDD">
        <w:t>2</w:t>
      </w:r>
      <w:r w:rsidR="00E20CDD" w:rsidRPr="00CF6EE4">
        <w:t xml:space="preserve"> fewer patients </w:t>
      </w:r>
      <w:r>
        <w:t>experiencing</w:t>
      </w:r>
      <w:r w:rsidR="00E20CDD">
        <w:t xml:space="preserve"> a </w:t>
      </w:r>
      <w:r w:rsidR="00E20CDD" w:rsidRPr="00767755">
        <w:t xml:space="preserve">Grade≥3 </w:t>
      </w:r>
      <w:r w:rsidR="00E20CDD">
        <w:t>h</w:t>
      </w:r>
      <w:r w:rsidR="003A79FB">
        <w:t>e</w:t>
      </w:r>
      <w:r w:rsidR="00E20CDD">
        <w:t>patotoxicity</w:t>
      </w:r>
      <w:r w:rsidR="00D23D40">
        <w:t xml:space="preserve"> for every 100 patients treated</w:t>
      </w:r>
      <w:r>
        <w:t>.</w:t>
      </w:r>
    </w:p>
    <w:p w:rsidR="00C31854" w:rsidRPr="00882085" w:rsidRDefault="00C31854" w:rsidP="00E20CDD"/>
    <w:p w:rsidR="00E20CDD" w:rsidRPr="002C2775" w:rsidRDefault="00E20CDD" w:rsidP="00E20CDD">
      <w:pPr>
        <w:pStyle w:val="Heading2"/>
        <w:rPr>
          <w:i/>
        </w:rPr>
      </w:pPr>
      <w:bookmarkStart w:id="11" w:name="_Toc419801414"/>
      <w:r w:rsidRPr="002C2775">
        <w:rPr>
          <w:i/>
        </w:rPr>
        <w:t>Clinical claim</w:t>
      </w:r>
      <w:bookmarkEnd w:id="11"/>
    </w:p>
    <w:p w:rsidR="00E20CDD" w:rsidRPr="00882085" w:rsidRDefault="00E20CDD" w:rsidP="00E20CDD">
      <w:pPr>
        <w:ind w:left="720" w:hanging="720"/>
        <w:rPr>
          <w:szCs w:val="22"/>
        </w:rPr>
      </w:pPr>
    </w:p>
    <w:p w:rsidR="002C39BF" w:rsidRPr="00435C23" w:rsidRDefault="002C39BF" w:rsidP="0090717E">
      <w:pPr>
        <w:pStyle w:val="ListParagraph"/>
        <w:widowControl/>
        <w:numPr>
          <w:ilvl w:val="1"/>
          <w:numId w:val="1"/>
        </w:numPr>
        <w:rPr>
          <w:szCs w:val="22"/>
        </w:rPr>
      </w:pPr>
      <w:r w:rsidRPr="00E5447C">
        <w:t xml:space="preserve">The </w:t>
      </w:r>
      <w:r>
        <w:t>re-submission</w:t>
      </w:r>
      <w:r w:rsidRPr="00E5447C">
        <w:t xml:space="preserve"> describe</w:t>
      </w:r>
      <w:r>
        <w:t>d</w:t>
      </w:r>
      <w:r w:rsidRPr="00E5447C">
        <w:t xml:space="preserve"> afatinib as having “improved clinical outcomes compared with the other EGFR TKIs </w:t>
      </w:r>
      <w:r>
        <w:t>(</w:t>
      </w:r>
      <w:r w:rsidRPr="00E5447C">
        <w:t>gefitinib and erlotinib</w:t>
      </w:r>
      <w:r>
        <w:t>)</w:t>
      </w:r>
      <w:r w:rsidRPr="00E5447C">
        <w:t xml:space="preserve"> in patients with exon 19 deletion EGFR mutations”</w:t>
      </w:r>
      <w:r>
        <w:t xml:space="preserve">. </w:t>
      </w:r>
      <w:r w:rsidR="0044174C">
        <w:t xml:space="preserve"> </w:t>
      </w:r>
      <w:r>
        <w:t>In terms of safety, the re-submission claimed that t</w:t>
      </w:r>
      <w:r w:rsidRPr="00435C23">
        <w:t xml:space="preserve">he differences in the adverse event profiles of the EGFR TKIs means </w:t>
      </w:r>
      <w:r>
        <w:t xml:space="preserve">that it would be desirable to have </w:t>
      </w:r>
      <w:r w:rsidRPr="00435C23">
        <w:t xml:space="preserve">a choice </w:t>
      </w:r>
      <w:r>
        <w:t xml:space="preserve">of TKIs </w:t>
      </w:r>
      <w:r w:rsidRPr="00435C23">
        <w:t xml:space="preserve">in terms of managing the risks </w:t>
      </w:r>
      <w:r>
        <w:t>to</w:t>
      </w:r>
      <w:r w:rsidRPr="00435C23">
        <w:t xml:space="preserve"> individual patients</w:t>
      </w:r>
      <w:r>
        <w:t xml:space="preserve">. </w:t>
      </w:r>
      <w:r w:rsidR="0044174C">
        <w:t xml:space="preserve"> </w:t>
      </w:r>
      <w:r>
        <w:t>The re-submission indicated</w:t>
      </w:r>
      <w:r w:rsidRPr="00435C23">
        <w:t xml:space="preserve"> </w:t>
      </w:r>
      <w:r>
        <w:t xml:space="preserve">that </w:t>
      </w:r>
      <w:r w:rsidRPr="00435C23">
        <w:t xml:space="preserve">the unique benefits </w:t>
      </w:r>
      <w:r>
        <w:t xml:space="preserve">of afatinib </w:t>
      </w:r>
      <w:r w:rsidRPr="00435C23">
        <w:t>justif</w:t>
      </w:r>
      <w:r>
        <w:t>ied</w:t>
      </w:r>
      <w:r w:rsidRPr="00435C23">
        <w:t xml:space="preserve"> </w:t>
      </w:r>
      <w:r>
        <w:t xml:space="preserve">the use of </w:t>
      </w:r>
      <w:r w:rsidRPr="00435C23">
        <w:t xml:space="preserve">a </w:t>
      </w:r>
      <w:r>
        <w:t>SPA.</w:t>
      </w:r>
    </w:p>
    <w:p w:rsidR="00E20CDD" w:rsidRPr="0044174C" w:rsidRDefault="00E20CDD" w:rsidP="00E20CDD">
      <w:pPr>
        <w:widowControl/>
        <w:rPr>
          <w:szCs w:val="22"/>
        </w:rPr>
      </w:pPr>
    </w:p>
    <w:p w:rsidR="00477147" w:rsidRPr="00666F46" w:rsidRDefault="002C39BF" w:rsidP="00477147">
      <w:pPr>
        <w:pStyle w:val="ListParagraph"/>
        <w:widowControl/>
      </w:pPr>
      <w:r w:rsidRPr="00666F46">
        <w:t xml:space="preserve">The description in the re-submission that afatinib was associated with improved clinical outcomes compared </w:t>
      </w:r>
      <w:r w:rsidR="0044174C" w:rsidRPr="00666F46">
        <w:t>with</w:t>
      </w:r>
      <w:r w:rsidRPr="00666F46">
        <w:t xml:space="preserve"> gefitinib </w:t>
      </w:r>
      <w:r w:rsidR="00477147" w:rsidRPr="00C31854">
        <w:t>and</w:t>
      </w:r>
      <w:r w:rsidR="00791759" w:rsidRPr="00C31854">
        <w:t xml:space="preserve"> </w:t>
      </w:r>
      <w:r w:rsidR="00622B65" w:rsidRPr="00C31854">
        <w:t>with</w:t>
      </w:r>
      <w:r w:rsidRPr="00666F46">
        <w:t xml:space="preserve"> erlotinib was not adequately supported, in terms of comparative effectiveness, by the evidence/analyses presented.  The evidence was based on indirect comparisons of subgroups from non-exchangeable trials and subgroups, and the results were not statistically significant</w:t>
      </w:r>
      <w:r w:rsidR="0044174C" w:rsidRPr="00666F46">
        <w:t xml:space="preserve"> across the two mutation subgroups</w:t>
      </w:r>
      <w:r w:rsidRPr="00666F46">
        <w:t>, with wide confidence intervals around the point estimates.</w:t>
      </w:r>
    </w:p>
    <w:p w:rsidR="00E20CDD" w:rsidRPr="00666F46" w:rsidRDefault="00E20CDD" w:rsidP="00E20CDD">
      <w:pPr>
        <w:rPr>
          <w:szCs w:val="22"/>
        </w:rPr>
      </w:pPr>
    </w:p>
    <w:p w:rsidR="00046EB7" w:rsidRPr="00046EB7" w:rsidRDefault="002C39BF" w:rsidP="0090717E">
      <w:pPr>
        <w:pStyle w:val="ListParagraph"/>
        <w:widowControl/>
        <w:numPr>
          <w:ilvl w:val="1"/>
          <w:numId w:val="1"/>
        </w:numPr>
        <w:rPr>
          <w:szCs w:val="22"/>
        </w:rPr>
      </w:pPr>
      <w:r w:rsidRPr="00666F46">
        <w:t>The safety data from the trials suggest</w:t>
      </w:r>
      <w:r w:rsidR="006C1B18">
        <w:t>ed</w:t>
      </w:r>
      <w:r w:rsidRPr="00666F46">
        <w:t xml:space="preserve"> that there are likely differences in the adverse event profiles of these EGFR TKIs.  Indirect safety analyses indicated that afatinib was associated with an increased risk of Grade ≥3 rash and diarrhoea and a decreased risk of hepatotoxicity versus erlotinib and </w:t>
      </w:r>
      <w:r w:rsidR="00622B65">
        <w:t xml:space="preserve">versus </w:t>
      </w:r>
      <w:r w:rsidRPr="00666F46">
        <w:t>gefitinib.</w:t>
      </w:r>
    </w:p>
    <w:p w:rsidR="00046EB7" w:rsidRPr="006C1B18" w:rsidRDefault="00046EB7" w:rsidP="00046EB7">
      <w:pPr>
        <w:widowControl/>
        <w:rPr>
          <w:szCs w:val="22"/>
        </w:rPr>
      </w:pPr>
    </w:p>
    <w:p w:rsidR="00046EB7" w:rsidRPr="00AA1546" w:rsidRDefault="00046EB7" w:rsidP="0090717E">
      <w:pPr>
        <w:pStyle w:val="ListParagraph"/>
        <w:widowControl/>
        <w:numPr>
          <w:ilvl w:val="1"/>
          <w:numId w:val="1"/>
        </w:numPr>
        <w:rPr>
          <w:szCs w:val="22"/>
        </w:rPr>
      </w:pPr>
      <w:r w:rsidRPr="00046EB7">
        <w:rPr>
          <w:szCs w:val="22"/>
        </w:rPr>
        <w:t xml:space="preserve">In </w:t>
      </w:r>
      <w:r w:rsidR="006C1B18">
        <w:rPr>
          <w:szCs w:val="22"/>
        </w:rPr>
        <w:t>i</w:t>
      </w:r>
      <w:r w:rsidRPr="00046EB7">
        <w:rPr>
          <w:szCs w:val="22"/>
        </w:rPr>
        <w:t>t</w:t>
      </w:r>
      <w:r w:rsidR="006C1B18">
        <w:rPr>
          <w:szCs w:val="22"/>
        </w:rPr>
        <w:t>s</w:t>
      </w:r>
      <w:r w:rsidRPr="00046EB7">
        <w:rPr>
          <w:szCs w:val="22"/>
        </w:rPr>
        <w:t xml:space="preserve"> Pre-PBAC Resp</w:t>
      </w:r>
      <w:r w:rsidR="000744DA">
        <w:rPr>
          <w:szCs w:val="22"/>
        </w:rPr>
        <w:t>onse</w:t>
      </w:r>
      <w:r w:rsidR="006C1B18">
        <w:rPr>
          <w:szCs w:val="22"/>
        </w:rPr>
        <w:t>,</w:t>
      </w:r>
      <w:r w:rsidR="000744DA">
        <w:rPr>
          <w:szCs w:val="22"/>
        </w:rPr>
        <w:t xml:space="preserve"> the sponsor </w:t>
      </w:r>
      <w:r w:rsidR="006C1B18">
        <w:rPr>
          <w:szCs w:val="22"/>
        </w:rPr>
        <w:t>stated</w:t>
      </w:r>
      <w:r w:rsidRPr="00046EB7">
        <w:rPr>
          <w:szCs w:val="22"/>
        </w:rPr>
        <w:t xml:space="preserve"> that </w:t>
      </w:r>
      <w:r w:rsidRPr="00046EB7">
        <w:rPr>
          <w:snapToGrid/>
          <w:color w:val="000000"/>
          <w:szCs w:val="22"/>
          <w:lang w:eastAsia="en-AU"/>
        </w:rPr>
        <w:t>the clinical evidence presented demonstrates that there are important differences in efficacy and safety between afatinib, gefitinib, and erlotinib in the proposed patient population, irrespective of whether these differences reached statistical significance in the indirect comparison.</w:t>
      </w:r>
    </w:p>
    <w:p w:rsidR="008814A3" w:rsidRPr="008814A3" w:rsidRDefault="008814A3" w:rsidP="008814A3">
      <w:pPr>
        <w:widowControl/>
        <w:rPr>
          <w:bCs/>
          <w:szCs w:val="22"/>
        </w:rPr>
      </w:pPr>
    </w:p>
    <w:p w:rsidR="00AA1546" w:rsidRDefault="00AA1546" w:rsidP="0090717E">
      <w:pPr>
        <w:pStyle w:val="ListParagraph"/>
        <w:widowControl/>
        <w:numPr>
          <w:ilvl w:val="1"/>
          <w:numId w:val="1"/>
        </w:numPr>
        <w:rPr>
          <w:bCs/>
          <w:szCs w:val="22"/>
        </w:rPr>
      </w:pPr>
      <w:r w:rsidRPr="00AA1546">
        <w:rPr>
          <w:bCs/>
          <w:szCs w:val="22"/>
        </w:rPr>
        <w:t xml:space="preserve">The PBAC considered that the claim of </w:t>
      </w:r>
      <w:r w:rsidR="00D408FC" w:rsidRPr="00E5447C">
        <w:t xml:space="preserve">improved clinical outcomes </w:t>
      </w:r>
      <w:r w:rsidR="00D408FC">
        <w:t>(</w:t>
      </w:r>
      <w:r w:rsidR="006C1B18">
        <w:t>or</w:t>
      </w:r>
      <w:r w:rsidR="00925A8B">
        <w:t xml:space="preserve"> “uniqueness”</w:t>
      </w:r>
      <w:r w:rsidR="00D408FC">
        <w:rPr>
          <w:bCs/>
          <w:szCs w:val="22"/>
        </w:rPr>
        <w:t>)</w:t>
      </w:r>
      <w:r w:rsidRPr="00AA1546">
        <w:rPr>
          <w:bCs/>
          <w:szCs w:val="22"/>
        </w:rPr>
        <w:t xml:space="preserve"> </w:t>
      </w:r>
      <w:r w:rsidR="00925A8B">
        <w:rPr>
          <w:bCs/>
          <w:szCs w:val="22"/>
        </w:rPr>
        <w:t xml:space="preserve">of afatinib </w:t>
      </w:r>
      <w:r w:rsidR="00D408FC">
        <w:rPr>
          <w:bCs/>
          <w:szCs w:val="22"/>
        </w:rPr>
        <w:t xml:space="preserve">compared </w:t>
      </w:r>
      <w:r w:rsidR="00925A8B">
        <w:rPr>
          <w:bCs/>
          <w:szCs w:val="22"/>
        </w:rPr>
        <w:t>with</w:t>
      </w:r>
      <w:r w:rsidR="00D408FC">
        <w:rPr>
          <w:bCs/>
          <w:szCs w:val="22"/>
        </w:rPr>
        <w:t xml:space="preserve"> </w:t>
      </w:r>
      <w:r w:rsidR="00D408FC" w:rsidRPr="00E5447C">
        <w:t xml:space="preserve">gefitinib and </w:t>
      </w:r>
      <w:r w:rsidR="00925A8B">
        <w:t xml:space="preserve">with </w:t>
      </w:r>
      <w:r w:rsidR="00D408FC" w:rsidRPr="00E5447C">
        <w:t>erlotinib</w:t>
      </w:r>
      <w:r w:rsidR="00D408FC" w:rsidRPr="00AA1546">
        <w:rPr>
          <w:bCs/>
          <w:szCs w:val="22"/>
        </w:rPr>
        <w:t xml:space="preserve"> </w:t>
      </w:r>
      <w:r w:rsidRPr="00AA1546">
        <w:rPr>
          <w:bCs/>
          <w:szCs w:val="22"/>
        </w:rPr>
        <w:t xml:space="preserve">in patients with </w:t>
      </w:r>
      <w:r w:rsidRPr="00AA1546">
        <w:t>exon 19 deletion EGFR mutations</w:t>
      </w:r>
      <w:r w:rsidRPr="00AA1546">
        <w:rPr>
          <w:bCs/>
          <w:szCs w:val="22"/>
        </w:rPr>
        <w:t xml:space="preserve"> was not adequately supported by the data.</w:t>
      </w:r>
    </w:p>
    <w:p w:rsidR="00AA1546" w:rsidRPr="006C1B18" w:rsidRDefault="00AA1546" w:rsidP="00AA1546">
      <w:pPr>
        <w:rPr>
          <w:bCs/>
          <w:szCs w:val="22"/>
        </w:rPr>
      </w:pPr>
    </w:p>
    <w:p w:rsidR="00AA1546" w:rsidRPr="00AA1546" w:rsidRDefault="00AA1546" w:rsidP="0090717E">
      <w:pPr>
        <w:pStyle w:val="ListParagraph"/>
        <w:widowControl/>
        <w:numPr>
          <w:ilvl w:val="1"/>
          <w:numId w:val="1"/>
        </w:numPr>
        <w:rPr>
          <w:bCs/>
          <w:szCs w:val="22"/>
        </w:rPr>
      </w:pPr>
      <w:r w:rsidRPr="00AA1546">
        <w:rPr>
          <w:szCs w:val="22"/>
        </w:rPr>
        <w:t>The PBAC considered that the claim of similar comparative safety was reasonable.</w:t>
      </w:r>
    </w:p>
    <w:p w:rsidR="00AA1546" w:rsidRDefault="00AA1546" w:rsidP="00E20CDD">
      <w:pPr>
        <w:ind w:left="720" w:hanging="720"/>
        <w:rPr>
          <w:szCs w:val="22"/>
        </w:rPr>
      </w:pPr>
    </w:p>
    <w:p w:rsidR="00C31854" w:rsidRDefault="00C31854" w:rsidP="00C31854">
      <w:pPr>
        <w:pStyle w:val="ListParagraph"/>
        <w:ind w:left="709"/>
        <w:rPr>
          <w:i/>
          <w:szCs w:val="22"/>
        </w:rPr>
      </w:pPr>
      <w:r w:rsidRPr="00032510">
        <w:rPr>
          <w:i/>
          <w:szCs w:val="22"/>
        </w:rPr>
        <w:t>For more detail on PBAC’s view, see section 7 “PBAC outcome”</w:t>
      </w:r>
    </w:p>
    <w:p w:rsidR="00C31854" w:rsidRPr="00882085" w:rsidRDefault="00C31854" w:rsidP="00E20CDD">
      <w:pPr>
        <w:ind w:left="720" w:hanging="720"/>
        <w:rPr>
          <w:szCs w:val="22"/>
        </w:rPr>
      </w:pPr>
    </w:p>
    <w:p w:rsidR="00E20CDD" w:rsidRPr="002C2775" w:rsidRDefault="00E20CDD" w:rsidP="00E20CDD">
      <w:pPr>
        <w:pStyle w:val="Heading2"/>
        <w:rPr>
          <w:i/>
        </w:rPr>
      </w:pPr>
      <w:bookmarkStart w:id="12" w:name="_Toc419801415"/>
      <w:r w:rsidRPr="002C2775">
        <w:rPr>
          <w:i/>
        </w:rPr>
        <w:t>Economic analysis</w:t>
      </w:r>
      <w:bookmarkEnd w:id="12"/>
    </w:p>
    <w:p w:rsidR="00E20CDD" w:rsidRPr="00882085" w:rsidRDefault="00E20CDD" w:rsidP="00E20CDD">
      <w:pPr>
        <w:ind w:left="720" w:hanging="720"/>
        <w:rPr>
          <w:szCs w:val="22"/>
        </w:rPr>
      </w:pPr>
    </w:p>
    <w:p w:rsidR="00FB3522" w:rsidRDefault="008677B0" w:rsidP="0090717E">
      <w:pPr>
        <w:pStyle w:val="ListParagraph"/>
        <w:numPr>
          <w:ilvl w:val="1"/>
          <w:numId w:val="1"/>
        </w:numPr>
        <w:ind w:right="62"/>
        <w:contextualSpacing w:val="0"/>
      </w:pPr>
      <w:r w:rsidRPr="00FB3522">
        <w:t xml:space="preserve">The re-submission presented a modelled economic evaluation (cost-utility analysis) based on point estimates of the PFS and OS hazard ratios for afatinib, compared with erlotinib or gefitinib, in the subgroup of NSCLC patients with exon 19 deletion </w:t>
      </w:r>
      <w:r w:rsidR="00FD4D63" w:rsidRPr="00FB3522">
        <w:t xml:space="preserve">EGFR </w:t>
      </w:r>
      <w:r w:rsidRPr="00FB3522">
        <w:t>mutations.</w:t>
      </w:r>
      <w:r w:rsidR="0044174C" w:rsidRPr="00FB3522">
        <w:t xml:space="preserve"> </w:t>
      </w:r>
      <w:r w:rsidRPr="00FB3522">
        <w:rPr>
          <w:i/>
        </w:rPr>
        <w:t xml:space="preserve"> </w:t>
      </w:r>
      <w:r w:rsidRPr="00FB3522">
        <w:t xml:space="preserve">The modelled cost-effectiveness of afatinib compared with erlotinib or gefitinib relied on the point estimates of hazard ratios for PFS and OS obtained from indirect comparisons of non-exchangeable trials. </w:t>
      </w:r>
      <w:r w:rsidR="0044174C" w:rsidRPr="00FB3522">
        <w:t xml:space="preserve"> </w:t>
      </w:r>
      <w:r w:rsidRPr="00FB3522">
        <w:t xml:space="preserve">The majority of the results were not statistically significant and there were wide confidence intervals around the point estimates. </w:t>
      </w:r>
      <w:r w:rsidR="0044174C" w:rsidRPr="00FB3522">
        <w:t xml:space="preserve"> </w:t>
      </w:r>
      <w:r w:rsidRPr="00FB3522">
        <w:t xml:space="preserve">The use of this approach cannot confidently estimate </w:t>
      </w:r>
      <w:r w:rsidRPr="00FB3522">
        <w:lastRenderedPageBreak/>
        <w:t>the quantified differences in efficacy and safety that were proposed.</w:t>
      </w:r>
      <w:r w:rsidR="00FB3522" w:rsidRPr="00FB3522">
        <w:t xml:space="preserve"> The PSCR noted that the lack of statistically significant results could be expected given the small number of patients in the trials; however, it further stated that there is a “</w:t>
      </w:r>
      <w:r w:rsidR="00FB3522" w:rsidRPr="00FB3522">
        <w:rPr>
          <w:iCs/>
        </w:rPr>
        <w:t>a clear trend towards improved overall survival with afatinib” and in terms of PFS, that “the results of the indirect comparison versus gefitinib showed a statistically significant difference while the comparison versus erlotinib indicates that afatinib may be equally effective”. The PSCR argued that these differences are clinically important; however, the ESC considered that no evidence was presented to support this claim.</w:t>
      </w:r>
    </w:p>
    <w:p w:rsidR="00FB3522" w:rsidRDefault="00FB3522" w:rsidP="00FB3522">
      <w:pPr>
        <w:widowControl/>
      </w:pPr>
    </w:p>
    <w:p w:rsidR="00FB3522" w:rsidRPr="00666F46" w:rsidRDefault="00FB3522" w:rsidP="0090717E">
      <w:pPr>
        <w:pStyle w:val="ListParagraph"/>
        <w:widowControl/>
        <w:numPr>
          <w:ilvl w:val="1"/>
          <w:numId w:val="1"/>
        </w:numPr>
      </w:pPr>
      <w:r>
        <w:t>Further, t</w:t>
      </w:r>
      <w:r w:rsidRPr="00FB3522">
        <w:t>he ESC agreed that the available clinical evidence did not support the assertion of improved clinical outcomes in the exon 19 deletion subgroup with afatinib over erlotinib and over gefitinib and thus did not support a cost-effectiveness analysis rather than a cost-minimisation analysis as the appropriate form of economic evaluation.</w:t>
      </w:r>
      <w:r w:rsidR="00671910">
        <w:t xml:space="preserve"> The Pre-PBAC Response accepted that the usual approach to the economic evaluation would be a cost-minimisation analysis, but argued that a cost-analysis was presented to highlight the differences in efficacy and safety between afatinib, gefitinib and erlotinib. The Pre-PBAC Response also reiterated that the sponsor was not seeking a higher price for afatinib.</w:t>
      </w:r>
    </w:p>
    <w:p w:rsidR="00E20CDD" w:rsidRPr="0044174C" w:rsidRDefault="00E20CDD" w:rsidP="00E20CDD">
      <w:pPr>
        <w:widowControl/>
        <w:rPr>
          <w:szCs w:val="22"/>
        </w:rPr>
      </w:pPr>
    </w:p>
    <w:p w:rsidR="00E20CDD" w:rsidRPr="000E6396" w:rsidRDefault="00E20CDD" w:rsidP="0090717E">
      <w:pPr>
        <w:pStyle w:val="ListParagraph"/>
        <w:widowControl/>
        <w:numPr>
          <w:ilvl w:val="1"/>
          <w:numId w:val="1"/>
        </w:numPr>
        <w:rPr>
          <w:szCs w:val="22"/>
        </w:rPr>
      </w:pPr>
      <w:r w:rsidRPr="005333EF">
        <w:t>Three health</w:t>
      </w:r>
      <w:r>
        <w:rPr>
          <w:i/>
        </w:rPr>
        <w:t xml:space="preserve"> </w:t>
      </w:r>
      <w:r>
        <w:t xml:space="preserve">states were considered for stage IIIb/IV NSCLC patients entering the model: progression-free, progressive disease and death. </w:t>
      </w:r>
      <w:r w:rsidR="0044174C">
        <w:t xml:space="preserve"> </w:t>
      </w:r>
      <w:r>
        <w:t>All patients enter</w:t>
      </w:r>
      <w:r w:rsidR="001C02A9">
        <w:t>ed</w:t>
      </w:r>
      <w:r>
        <w:t xml:space="preserve"> the model </w:t>
      </w:r>
      <w:r w:rsidR="001C02A9">
        <w:t xml:space="preserve">in the </w:t>
      </w:r>
      <w:r w:rsidR="0044174C">
        <w:t>progression-free health state.</w:t>
      </w:r>
    </w:p>
    <w:p w:rsidR="00E20CDD" w:rsidRPr="0044174C" w:rsidRDefault="00E20CDD" w:rsidP="00E20CDD">
      <w:pPr>
        <w:rPr>
          <w:i/>
        </w:rPr>
      </w:pPr>
    </w:p>
    <w:p w:rsidR="00E20CDD" w:rsidRPr="00666F46" w:rsidRDefault="00E20CDD" w:rsidP="0090717E">
      <w:pPr>
        <w:pStyle w:val="ListParagraph"/>
        <w:widowControl/>
        <w:numPr>
          <w:ilvl w:val="1"/>
          <w:numId w:val="1"/>
        </w:numPr>
        <w:rPr>
          <w:szCs w:val="22"/>
        </w:rPr>
      </w:pPr>
      <w:r w:rsidRPr="00666F46">
        <w:t xml:space="preserve">The model structure remained unchanged from the original </w:t>
      </w:r>
      <w:r w:rsidR="001C02A9" w:rsidRPr="00666F46">
        <w:t xml:space="preserve">July 2013 </w:t>
      </w:r>
      <w:r w:rsidR="002B40C0" w:rsidRPr="00666F46">
        <w:t>submission</w:t>
      </w:r>
      <w:r w:rsidRPr="00666F46">
        <w:t xml:space="preserve">. </w:t>
      </w:r>
      <w:r w:rsidR="0044174C" w:rsidRPr="00666F46">
        <w:t xml:space="preserve"> </w:t>
      </w:r>
      <w:r w:rsidR="001C02A9" w:rsidRPr="00666F46">
        <w:t>T</w:t>
      </w:r>
      <w:r w:rsidRPr="00666F46">
        <w:t xml:space="preserve">he requested population, comparator and all model </w:t>
      </w:r>
      <w:r w:rsidR="001C02A9" w:rsidRPr="00666F46">
        <w:t xml:space="preserve">inputs </w:t>
      </w:r>
      <w:r w:rsidRPr="00666F46">
        <w:t xml:space="preserve">have been changed compared with the original </w:t>
      </w:r>
      <w:r w:rsidR="002B40C0" w:rsidRPr="00666F46">
        <w:t>submission</w:t>
      </w:r>
      <w:r w:rsidRPr="00666F46">
        <w:t xml:space="preserve"> of afatinib.</w:t>
      </w:r>
      <w:r w:rsidR="0044174C" w:rsidRPr="00666F46">
        <w:t xml:space="preserve"> </w:t>
      </w:r>
      <w:r w:rsidRPr="00666F46">
        <w:t xml:space="preserve"> </w:t>
      </w:r>
      <w:r w:rsidR="001C02A9" w:rsidRPr="00666F46">
        <w:t xml:space="preserve">No economic evaluation was presented in the July 2014 minor </w:t>
      </w:r>
      <w:r w:rsidR="0095098D" w:rsidRPr="00666F46">
        <w:t>re-submission</w:t>
      </w:r>
      <w:r w:rsidR="001C02A9" w:rsidRPr="00666F46">
        <w:t>.</w:t>
      </w:r>
    </w:p>
    <w:p w:rsidR="00E20CDD" w:rsidRPr="0044174C" w:rsidRDefault="00E20CDD" w:rsidP="00E20CDD">
      <w:pPr>
        <w:rPr>
          <w:szCs w:val="22"/>
        </w:rPr>
      </w:pPr>
    </w:p>
    <w:p w:rsidR="00E20CDD" w:rsidRPr="00C45778" w:rsidRDefault="00E20CDD" w:rsidP="0090717E">
      <w:pPr>
        <w:pStyle w:val="ListParagraph"/>
        <w:widowControl/>
        <w:numPr>
          <w:ilvl w:val="1"/>
          <w:numId w:val="1"/>
        </w:numPr>
        <w:rPr>
          <w:szCs w:val="22"/>
        </w:rPr>
      </w:pPr>
      <w:r>
        <w:rPr>
          <w:szCs w:val="22"/>
        </w:rPr>
        <w:t xml:space="preserve">Progression-free and overall survival curves for afatinib were derived from the </w:t>
      </w:r>
      <w:r w:rsidR="00E75032">
        <w:rPr>
          <w:szCs w:val="22"/>
        </w:rPr>
        <w:t xml:space="preserve">pooled </w:t>
      </w:r>
      <w:r>
        <w:rPr>
          <w:szCs w:val="22"/>
        </w:rPr>
        <w:t xml:space="preserve">LUX Lung trials and extrapolated from the </w:t>
      </w:r>
      <w:r w:rsidR="00E75032">
        <w:rPr>
          <w:szCs w:val="22"/>
        </w:rPr>
        <w:t xml:space="preserve">last </w:t>
      </w:r>
      <w:r w:rsidR="002E6164">
        <w:rPr>
          <w:szCs w:val="22"/>
        </w:rPr>
        <w:t xml:space="preserve">time point of </w:t>
      </w:r>
      <w:r>
        <w:rPr>
          <w:szCs w:val="22"/>
        </w:rPr>
        <w:t>follow-up in the trials (49 months) to the modelled time horizon of five years.</w:t>
      </w:r>
      <w:r w:rsidR="0044174C">
        <w:rPr>
          <w:szCs w:val="22"/>
        </w:rPr>
        <w:t xml:space="preserve"> </w:t>
      </w:r>
      <w:r>
        <w:rPr>
          <w:szCs w:val="22"/>
        </w:rPr>
        <w:t xml:space="preserve"> </w:t>
      </w:r>
      <w:r w:rsidR="00E75032" w:rsidRPr="00666F46">
        <w:t xml:space="preserve">It may be more appropriate to extrapolate from the median duration of follow-up (as recommended by the PBAC Guidelines). </w:t>
      </w:r>
      <w:r w:rsidR="00EE6C47" w:rsidRPr="00666F46">
        <w:t xml:space="preserve"> </w:t>
      </w:r>
      <w:r w:rsidR="008677B0" w:rsidRPr="00666F46">
        <w:t xml:space="preserve">As patient data at the last follow-up time were scant, this approach meant that the extrapolation was unreliable. </w:t>
      </w:r>
      <w:r w:rsidRPr="00666F46">
        <w:t xml:space="preserve"> The </w:t>
      </w:r>
      <w:r w:rsidR="0095098D" w:rsidRPr="00666F46">
        <w:t>re-submission</w:t>
      </w:r>
      <w:r w:rsidRPr="00666F46">
        <w:t xml:space="preserve"> selected </w:t>
      </w:r>
      <w:r w:rsidR="001C02A9" w:rsidRPr="00666F46">
        <w:t xml:space="preserve">a </w:t>
      </w:r>
      <w:r w:rsidRPr="00666F46">
        <w:t xml:space="preserve">Weibull </w:t>
      </w:r>
      <w:r w:rsidR="001C02A9" w:rsidRPr="00666F46">
        <w:t>distribution</w:t>
      </w:r>
      <w:r w:rsidRPr="00666F46">
        <w:t xml:space="preserve"> to extrapolate both PFS and OS curves.</w:t>
      </w:r>
      <w:r w:rsidR="00EE6C47" w:rsidRPr="00666F46">
        <w:t xml:space="preserve"> </w:t>
      </w:r>
      <w:r w:rsidRPr="00666F46">
        <w:t xml:space="preserve"> </w:t>
      </w:r>
      <w:r w:rsidR="001C02A9" w:rsidRPr="00666F46">
        <w:t xml:space="preserve">A </w:t>
      </w:r>
      <w:r w:rsidRPr="00666F46">
        <w:t xml:space="preserve">Weibull distribution </w:t>
      </w:r>
      <w:r w:rsidR="001C02A9" w:rsidRPr="00666F46">
        <w:t>wa</w:t>
      </w:r>
      <w:r w:rsidRPr="00666F46">
        <w:t>s not the model that best fit the trial PFS data.</w:t>
      </w:r>
      <w:r w:rsidR="00EE6C47" w:rsidRPr="00666F46">
        <w:t xml:space="preserve"> </w:t>
      </w:r>
      <w:r w:rsidRPr="00666F46">
        <w:t xml:space="preserve"> </w:t>
      </w:r>
      <w:r w:rsidRPr="00C31854">
        <w:t xml:space="preserve">However, the impact of alternative models to extrapolate OS and PFS were not examined in the </w:t>
      </w:r>
      <w:r w:rsidR="0095098D" w:rsidRPr="00C31854">
        <w:t>re-submission</w:t>
      </w:r>
      <w:r w:rsidRPr="00C31854">
        <w:t xml:space="preserve"> and the model d</w:t>
      </w:r>
      <w:r w:rsidR="001C02A9" w:rsidRPr="00C31854">
        <w:t>id</w:t>
      </w:r>
      <w:r w:rsidRPr="00C31854">
        <w:t xml:space="preserve"> not allow such an analysis during the evaluation. </w:t>
      </w:r>
      <w:r w:rsidR="00EE6C47" w:rsidRPr="00C31854">
        <w:t xml:space="preserve"> </w:t>
      </w:r>
      <w:r w:rsidRPr="00C31854">
        <w:t xml:space="preserve">Therefore the </w:t>
      </w:r>
      <w:r w:rsidR="001C02A9" w:rsidRPr="00C31854">
        <w:t xml:space="preserve">impact of the </w:t>
      </w:r>
      <w:r w:rsidRPr="00C31854">
        <w:t xml:space="preserve">extrapolated survival gains </w:t>
      </w:r>
      <w:r w:rsidR="001C02A9" w:rsidRPr="00C31854">
        <w:t xml:space="preserve">on the results of the economic evaluation </w:t>
      </w:r>
      <w:r w:rsidRPr="00C31854">
        <w:t>remain</w:t>
      </w:r>
      <w:r w:rsidR="00E37249" w:rsidRPr="00C31854">
        <w:t>ed</w:t>
      </w:r>
      <w:r w:rsidRPr="00C31854">
        <w:t xml:space="preserve"> an area of uncertainty</w:t>
      </w:r>
      <w:r w:rsidR="00E37249" w:rsidRPr="00C31854">
        <w:t xml:space="preserve"> and </w:t>
      </w:r>
      <w:r w:rsidR="004F6EBC" w:rsidRPr="00C31854">
        <w:t>the selected extrapolation method remained unjustified</w:t>
      </w:r>
      <w:r w:rsidRPr="00C31854">
        <w:t>.</w:t>
      </w:r>
    </w:p>
    <w:p w:rsidR="00E20CDD" w:rsidRPr="00EE6C47" w:rsidRDefault="00E20CDD" w:rsidP="00E20CDD">
      <w:pPr>
        <w:rPr>
          <w:szCs w:val="22"/>
        </w:rPr>
      </w:pPr>
    </w:p>
    <w:p w:rsidR="00E20CDD" w:rsidRPr="00666F46" w:rsidRDefault="001C02A9" w:rsidP="0090717E">
      <w:pPr>
        <w:pStyle w:val="ListParagraph"/>
        <w:widowControl/>
        <w:numPr>
          <w:ilvl w:val="1"/>
          <w:numId w:val="1"/>
        </w:numPr>
        <w:rPr>
          <w:szCs w:val="22"/>
        </w:rPr>
      </w:pPr>
      <w:r>
        <w:rPr>
          <w:szCs w:val="22"/>
        </w:rPr>
        <w:t xml:space="preserve">Progression-free and overall survival curves for erlotinib and gefitinib were generated by applying </w:t>
      </w:r>
      <w:r w:rsidR="00FF107E">
        <w:rPr>
          <w:szCs w:val="22"/>
        </w:rPr>
        <w:t>HR</w:t>
      </w:r>
      <w:r>
        <w:rPr>
          <w:szCs w:val="22"/>
        </w:rPr>
        <w:t xml:space="preserve"> of afatinib versus either erlotinib or gefitinib from the indirect comparisons to the survival curves of afatinib.</w:t>
      </w:r>
      <w:r w:rsidR="00E20CDD">
        <w:rPr>
          <w:szCs w:val="22"/>
        </w:rPr>
        <w:t xml:space="preserve">  Both erlotinib and gefitinib survival curves were estimated in this way throughout the modelled time horizon of five years.</w:t>
      </w:r>
      <w:r w:rsidR="00EE6C47">
        <w:rPr>
          <w:szCs w:val="22"/>
        </w:rPr>
        <w:t xml:space="preserve"> </w:t>
      </w:r>
      <w:r w:rsidR="00E20CDD">
        <w:rPr>
          <w:szCs w:val="22"/>
        </w:rPr>
        <w:t xml:space="preserve"> </w:t>
      </w:r>
      <w:r w:rsidR="00E20CDD" w:rsidRPr="00666F46">
        <w:rPr>
          <w:szCs w:val="22"/>
        </w:rPr>
        <w:t xml:space="preserve">As noted earlier, the HRs from </w:t>
      </w:r>
      <w:r w:rsidRPr="00666F46">
        <w:rPr>
          <w:szCs w:val="22"/>
        </w:rPr>
        <w:t xml:space="preserve">the </w:t>
      </w:r>
      <w:r w:rsidR="00E20CDD" w:rsidRPr="00666F46">
        <w:rPr>
          <w:szCs w:val="22"/>
        </w:rPr>
        <w:t>indirect comparison</w:t>
      </w:r>
      <w:r w:rsidRPr="00666F46">
        <w:rPr>
          <w:szCs w:val="22"/>
        </w:rPr>
        <w:t>s</w:t>
      </w:r>
      <w:r w:rsidR="00E20CDD" w:rsidRPr="00666F46">
        <w:rPr>
          <w:szCs w:val="22"/>
        </w:rPr>
        <w:t xml:space="preserve"> are uncertain. </w:t>
      </w:r>
      <w:r w:rsidR="00EE6C47" w:rsidRPr="00666F46">
        <w:rPr>
          <w:szCs w:val="22"/>
        </w:rPr>
        <w:t xml:space="preserve"> </w:t>
      </w:r>
      <w:r w:rsidR="00E20CDD" w:rsidRPr="00666F46">
        <w:rPr>
          <w:szCs w:val="22"/>
        </w:rPr>
        <w:t xml:space="preserve">Furthermore, the </w:t>
      </w:r>
      <w:r w:rsidR="0095098D" w:rsidRPr="00666F46">
        <w:rPr>
          <w:szCs w:val="22"/>
        </w:rPr>
        <w:t>re-submission</w:t>
      </w:r>
      <w:r w:rsidR="00E20CDD" w:rsidRPr="00666F46">
        <w:rPr>
          <w:szCs w:val="22"/>
        </w:rPr>
        <w:t xml:space="preserve"> did not provide a justification for the </w:t>
      </w:r>
      <w:r w:rsidR="00FF107E" w:rsidRPr="00666F46">
        <w:rPr>
          <w:szCs w:val="22"/>
        </w:rPr>
        <w:t>assumed</w:t>
      </w:r>
      <w:r w:rsidR="00E20CDD" w:rsidRPr="00666F46">
        <w:rPr>
          <w:szCs w:val="22"/>
        </w:rPr>
        <w:t xml:space="preserve"> constant proportional hazard through</w:t>
      </w:r>
      <w:r w:rsidRPr="00666F46">
        <w:rPr>
          <w:szCs w:val="22"/>
        </w:rPr>
        <w:t>o</w:t>
      </w:r>
      <w:r w:rsidR="00E20CDD" w:rsidRPr="00666F46">
        <w:rPr>
          <w:szCs w:val="22"/>
        </w:rPr>
        <w:t>ut the modelled time horizon.</w:t>
      </w:r>
    </w:p>
    <w:p w:rsidR="00E20CDD" w:rsidRPr="00EE6C47" w:rsidRDefault="00E20CDD" w:rsidP="00E20CDD">
      <w:pPr>
        <w:rPr>
          <w:szCs w:val="22"/>
        </w:rPr>
      </w:pPr>
    </w:p>
    <w:p w:rsidR="00E20CDD" w:rsidRDefault="00E20CDD" w:rsidP="00E20CDD">
      <w:pPr>
        <w:pStyle w:val="TableHeader"/>
        <w:ind w:firstLine="720"/>
      </w:pPr>
      <w:r w:rsidRPr="005C7F65">
        <w:t xml:space="preserve">Table </w:t>
      </w:r>
      <w:r w:rsidR="003201DE">
        <w:t>5</w:t>
      </w:r>
      <w:r w:rsidRPr="005C7F65">
        <w:t>: Summary of model structure and rationale</w:t>
      </w:r>
    </w:p>
    <w:tbl>
      <w:tblPr>
        <w:tblW w:w="833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6776"/>
      </w:tblGrid>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lastRenderedPageBreak/>
              <w:t>Time horizon</w:t>
            </w:r>
          </w:p>
        </w:tc>
        <w:tc>
          <w:tcPr>
            <w:tcW w:w="6776" w:type="dxa"/>
            <w:shd w:val="clear" w:color="auto" w:fill="auto"/>
          </w:tcPr>
          <w:p w:rsidR="00E20CDD" w:rsidRPr="009833A8" w:rsidRDefault="00E20CDD" w:rsidP="004904DD">
            <w:pPr>
              <w:rPr>
                <w:rFonts w:ascii="Arial Narrow" w:hAnsi="Arial Narrow"/>
                <w:sz w:val="20"/>
              </w:rPr>
            </w:pPr>
            <w:r w:rsidRPr="009833A8">
              <w:rPr>
                <w:rFonts w:ascii="Arial Narrow" w:hAnsi="Arial Narrow"/>
                <w:sz w:val="20"/>
              </w:rPr>
              <w:t xml:space="preserve">5 years in the model base case versus maximum of 49 months in the </w:t>
            </w:r>
            <w:r w:rsidR="002E6164">
              <w:rPr>
                <w:rFonts w:ascii="Arial Narrow" w:hAnsi="Arial Narrow"/>
                <w:sz w:val="20"/>
              </w:rPr>
              <w:t>LUX</w:t>
            </w:r>
            <w:r w:rsidR="00F00570">
              <w:rPr>
                <w:rFonts w:ascii="Arial Narrow" w:hAnsi="Arial Narrow"/>
                <w:sz w:val="20"/>
              </w:rPr>
              <w:t xml:space="preserve"> Lung</w:t>
            </w:r>
            <w:r w:rsidRPr="009833A8">
              <w:rPr>
                <w:rFonts w:ascii="Arial Narrow" w:hAnsi="Arial Narrow"/>
                <w:sz w:val="20"/>
              </w:rPr>
              <w:t xml:space="preserve"> 3 trial</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Outcomes</w:t>
            </w:r>
          </w:p>
        </w:tc>
        <w:tc>
          <w:tcPr>
            <w:tcW w:w="6776" w:type="dxa"/>
            <w:shd w:val="clear" w:color="auto" w:fill="auto"/>
          </w:tcPr>
          <w:p w:rsidR="00E20CDD" w:rsidRPr="009833A8" w:rsidRDefault="00E20CDD" w:rsidP="004904DD">
            <w:pPr>
              <w:rPr>
                <w:rFonts w:ascii="Arial Narrow" w:hAnsi="Arial Narrow"/>
                <w:sz w:val="20"/>
              </w:rPr>
            </w:pPr>
            <w:r w:rsidRPr="009833A8">
              <w:rPr>
                <w:rFonts w:ascii="Arial Narrow" w:hAnsi="Arial Narrow"/>
                <w:sz w:val="20"/>
              </w:rPr>
              <w:t>PFLYG, LYG and QALYs</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Methods used to generate results</w:t>
            </w:r>
          </w:p>
        </w:tc>
        <w:tc>
          <w:tcPr>
            <w:tcW w:w="6776" w:type="dxa"/>
            <w:shd w:val="clear" w:color="auto" w:fill="auto"/>
          </w:tcPr>
          <w:p w:rsidR="00E20CDD" w:rsidRPr="009833A8" w:rsidRDefault="00E20CDD" w:rsidP="004904DD">
            <w:pPr>
              <w:rPr>
                <w:rFonts w:ascii="Arial Narrow" w:hAnsi="Arial Narrow"/>
                <w:sz w:val="20"/>
              </w:rPr>
            </w:pPr>
            <w:r w:rsidRPr="009833A8">
              <w:rPr>
                <w:rFonts w:ascii="Arial Narrow" w:hAnsi="Arial Narrow"/>
                <w:sz w:val="20"/>
              </w:rPr>
              <w:t>Markov model</w:t>
            </w:r>
            <w:r>
              <w:rPr>
                <w:rFonts w:ascii="Arial Narrow" w:hAnsi="Arial Narrow"/>
                <w:sz w:val="20"/>
              </w:rPr>
              <w:t xml:space="preserve"> (half-cycle applied). Cohort expected value analysis</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Cycle length</w:t>
            </w:r>
          </w:p>
        </w:tc>
        <w:tc>
          <w:tcPr>
            <w:tcW w:w="6776" w:type="dxa"/>
            <w:shd w:val="clear" w:color="auto" w:fill="auto"/>
          </w:tcPr>
          <w:p w:rsidR="00E20CDD" w:rsidRPr="009833A8" w:rsidRDefault="00E20CDD" w:rsidP="004904DD">
            <w:pPr>
              <w:rPr>
                <w:rFonts w:ascii="Arial Narrow" w:hAnsi="Arial Narrow"/>
                <w:sz w:val="20"/>
              </w:rPr>
            </w:pPr>
            <w:r w:rsidRPr="009833A8">
              <w:rPr>
                <w:rFonts w:ascii="Arial Narrow" w:hAnsi="Arial Narrow"/>
                <w:sz w:val="20"/>
              </w:rPr>
              <w:t>1 month</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Transition probabilities</w:t>
            </w:r>
          </w:p>
        </w:tc>
        <w:tc>
          <w:tcPr>
            <w:tcW w:w="6776" w:type="dxa"/>
            <w:shd w:val="clear" w:color="auto" w:fill="auto"/>
          </w:tcPr>
          <w:p w:rsidR="00E20CDD" w:rsidRPr="009833A8" w:rsidRDefault="00E20CDD" w:rsidP="004904DD">
            <w:pPr>
              <w:rPr>
                <w:rFonts w:ascii="Arial Narrow" w:hAnsi="Arial Narrow"/>
                <w:sz w:val="20"/>
              </w:rPr>
            </w:pPr>
            <w:r w:rsidRPr="009833A8">
              <w:rPr>
                <w:rFonts w:ascii="Arial Narrow" w:hAnsi="Arial Narrow"/>
                <w:sz w:val="20"/>
              </w:rPr>
              <w:t xml:space="preserve">Pooled PFS and OS from </w:t>
            </w:r>
            <w:r w:rsidR="00F00570">
              <w:rPr>
                <w:rFonts w:ascii="Arial Narrow" w:hAnsi="Arial Narrow"/>
                <w:sz w:val="20"/>
              </w:rPr>
              <w:t>L</w:t>
            </w:r>
            <w:r w:rsidR="002E6164">
              <w:rPr>
                <w:rFonts w:ascii="Arial Narrow" w:hAnsi="Arial Narrow"/>
                <w:sz w:val="20"/>
              </w:rPr>
              <w:t>UX</w:t>
            </w:r>
            <w:r w:rsidR="00F00570">
              <w:rPr>
                <w:rFonts w:ascii="Arial Narrow" w:hAnsi="Arial Narrow"/>
                <w:sz w:val="20"/>
              </w:rPr>
              <w:t xml:space="preserve"> Lung</w:t>
            </w:r>
            <w:r w:rsidRPr="009833A8">
              <w:rPr>
                <w:rFonts w:ascii="Arial Narrow" w:hAnsi="Arial Narrow"/>
                <w:sz w:val="20"/>
              </w:rPr>
              <w:t xml:space="preserve"> 3 and </w:t>
            </w:r>
            <w:r w:rsidR="00F00570">
              <w:rPr>
                <w:rFonts w:ascii="Arial Narrow" w:hAnsi="Arial Narrow"/>
                <w:sz w:val="20"/>
              </w:rPr>
              <w:t>L</w:t>
            </w:r>
            <w:r w:rsidR="002E6164">
              <w:rPr>
                <w:rFonts w:ascii="Arial Narrow" w:hAnsi="Arial Narrow"/>
                <w:sz w:val="20"/>
              </w:rPr>
              <w:t>UX</w:t>
            </w:r>
            <w:r w:rsidR="00F00570">
              <w:rPr>
                <w:rFonts w:ascii="Arial Narrow" w:hAnsi="Arial Narrow"/>
                <w:sz w:val="20"/>
              </w:rPr>
              <w:t xml:space="preserve"> Lung</w:t>
            </w:r>
            <w:r w:rsidRPr="009833A8">
              <w:rPr>
                <w:rFonts w:ascii="Arial Narrow" w:hAnsi="Arial Narrow"/>
                <w:sz w:val="20"/>
              </w:rPr>
              <w:t xml:space="preserve"> 6 clinical trials for afatinib transition probabilities.</w:t>
            </w:r>
          </w:p>
          <w:p w:rsidR="00E20CDD" w:rsidRPr="009833A8" w:rsidRDefault="00E20CDD" w:rsidP="00EE6C47">
            <w:pPr>
              <w:rPr>
                <w:rFonts w:ascii="Arial Narrow" w:hAnsi="Arial Narrow"/>
                <w:sz w:val="20"/>
              </w:rPr>
            </w:pPr>
            <w:r w:rsidRPr="009833A8">
              <w:rPr>
                <w:rFonts w:ascii="Arial Narrow" w:hAnsi="Arial Narrow"/>
                <w:sz w:val="20"/>
              </w:rPr>
              <w:t xml:space="preserve">Erlotinib and gefitinib transition probabilities </w:t>
            </w:r>
            <w:r w:rsidR="00EE6C47">
              <w:rPr>
                <w:rFonts w:ascii="Arial Narrow" w:hAnsi="Arial Narrow"/>
                <w:sz w:val="20"/>
              </w:rPr>
              <w:t>we</w:t>
            </w:r>
            <w:r w:rsidRPr="009833A8">
              <w:rPr>
                <w:rFonts w:ascii="Arial Narrow" w:hAnsi="Arial Narrow"/>
                <w:sz w:val="20"/>
              </w:rPr>
              <w:t xml:space="preserve">re determined from the application of the hazard ratios from the indirect comparisons </w:t>
            </w:r>
            <w:r w:rsidR="001C02A9">
              <w:rPr>
                <w:rFonts w:ascii="Arial Narrow" w:hAnsi="Arial Narrow"/>
                <w:sz w:val="20"/>
              </w:rPr>
              <w:t>(</w:t>
            </w:r>
            <w:r w:rsidR="001C02A9" w:rsidRPr="003201DE">
              <w:rPr>
                <w:rFonts w:ascii="Arial Narrow" w:hAnsi="Arial Narrow"/>
                <w:sz w:val="20"/>
              </w:rPr>
              <w:t xml:space="preserve">Table </w:t>
            </w:r>
            <w:r w:rsidR="003201DE">
              <w:rPr>
                <w:rFonts w:ascii="Arial Narrow" w:hAnsi="Arial Narrow"/>
                <w:sz w:val="20"/>
              </w:rPr>
              <w:t>3</w:t>
            </w:r>
            <w:r w:rsidR="001C02A9">
              <w:rPr>
                <w:rFonts w:ascii="Arial Narrow" w:hAnsi="Arial Narrow"/>
                <w:sz w:val="20"/>
              </w:rPr>
              <w:t>)</w:t>
            </w:r>
            <w:r w:rsidRPr="009833A8">
              <w:rPr>
                <w:rFonts w:ascii="Arial Narrow" w:hAnsi="Arial Narrow"/>
                <w:sz w:val="20"/>
              </w:rPr>
              <w:t xml:space="preserve"> to the pooled afatinib survival curves.</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Discount rate</w:t>
            </w:r>
          </w:p>
        </w:tc>
        <w:tc>
          <w:tcPr>
            <w:tcW w:w="6776" w:type="dxa"/>
            <w:shd w:val="clear" w:color="auto" w:fill="auto"/>
          </w:tcPr>
          <w:p w:rsidR="00E20CDD" w:rsidRPr="009833A8" w:rsidRDefault="00E20CDD" w:rsidP="004904DD">
            <w:pPr>
              <w:rPr>
                <w:rFonts w:ascii="Arial Narrow" w:hAnsi="Arial Narrow"/>
                <w:sz w:val="20"/>
              </w:rPr>
            </w:pPr>
            <w:r w:rsidRPr="00FE36F7">
              <w:rPr>
                <w:rFonts w:ascii="Arial Narrow" w:hAnsi="Arial Narrow"/>
                <w:sz w:val="20"/>
              </w:rPr>
              <w:t>5</w:t>
            </w:r>
            <w:r w:rsidRPr="009833A8">
              <w:rPr>
                <w:rFonts w:ascii="Arial Narrow" w:hAnsi="Arial Narrow"/>
                <w:sz w:val="20"/>
              </w:rPr>
              <w:t>% for costs and outcomes</w:t>
            </w:r>
          </w:p>
        </w:tc>
      </w:tr>
      <w:tr w:rsidR="00E20CDD" w:rsidRPr="009833A8" w:rsidTr="00EE6C47">
        <w:trPr>
          <w:trHeight w:val="20"/>
        </w:trPr>
        <w:tc>
          <w:tcPr>
            <w:tcW w:w="1554" w:type="dxa"/>
            <w:shd w:val="clear" w:color="auto" w:fill="auto"/>
          </w:tcPr>
          <w:p w:rsidR="00E20CDD" w:rsidRPr="009833A8" w:rsidRDefault="00E20CDD" w:rsidP="00EE6C47">
            <w:pPr>
              <w:jc w:val="left"/>
              <w:rPr>
                <w:rFonts w:ascii="Arial Narrow" w:hAnsi="Arial Narrow"/>
                <w:sz w:val="20"/>
              </w:rPr>
            </w:pPr>
            <w:r w:rsidRPr="009833A8">
              <w:rPr>
                <w:rFonts w:ascii="Arial Narrow" w:hAnsi="Arial Narrow"/>
                <w:sz w:val="20"/>
              </w:rPr>
              <w:t>Software package</w:t>
            </w:r>
          </w:p>
        </w:tc>
        <w:tc>
          <w:tcPr>
            <w:tcW w:w="6776" w:type="dxa"/>
            <w:shd w:val="clear" w:color="auto" w:fill="auto"/>
          </w:tcPr>
          <w:p w:rsidR="00E20CDD" w:rsidRPr="009833A8" w:rsidRDefault="00EE6C47" w:rsidP="004904DD">
            <w:pPr>
              <w:rPr>
                <w:rFonts w:ascii="Arial Narrow" w:hAnsi="Arial Narrow"/>
                <w:sz w:val="20"/>
              </w:rPr>
            </w:pPr>
            <w:r>
              <w:rPr>
                <w:rFonts w:ascii="Arial Narrow" w:hAnsi="Arial Narrow"/>
                <w:sz w:val="20"/>
              </w:rPr>
              <w:t>Excel 2010</w:t>
            </w:r>
          </w:p>
        </w:tc>
      </w:tr>
    </w:tbl>
    <w:p w:rsidR="00E20CDD" w:rsidRDefault="00E20CDD" w:rsidP="00E20CDD">
      <w:pPr>
        <w:pStyle w:val="TableFooter"/>
        <w:ind w:left="720"/>
      </w:pPr>
      <w:r>
        <w:t>PFLYG = progression-free life-year gained; LYG = life-year gained; QALY = quality-adjusted life year; PFS = progression-free survival; OS = overall survival.</w:t>
      </w:r>
    </w:p>
    <w:p w:rsidR="00E20CDD" w:rsidRDefault="00E20CDD" w:rsidP="00E20CDD">
      <w:pPr>
        <w:pStyle w:val="TableFooter"/>
        <w:ind w:left="720"/>
      </w:pPr>
      <w:r w:rsidRPr="00D13A3E">
        <w:t xml:space="preserve">Source: </w:t>
      </w:r>
      <w:r>
        <w:t>compiled</w:t>
      </w:r>
      <w:r w:rsidRPr="00D13A3E">
        <w:t xml:space="preserve"> during the evaluation</w:t>
      </w:r>
    </w:p>
    <w:p w:rsidR="00E20CDD" w:rsidRPr="00275C5A" w:rsidRDefault="00E20CDD" w:rsidP="00E20CDD">
      <w:pPr>
        <w:widowControl/>
        <w:rPr>
          <w:szCs w:val="22"/>
        </w:rPr>
      </w:pPr>
    </w:p>
    <w:p w:rsidR="00E20CDD" w:rsidRPr="00666F46" w:rsidRDefault="00E20CDD" w:rsidP="0090717E">
      <w:pPr>
        <w:pStyle w:val="ListParagraph"/>
        <w:widowControl/>
        <w:numPr>
          <w:ilvl w:val="1"/>
          <w:numId w:val="1"/>
        </w:numPr>
        <w:rPr>
          <w:szCs w:val="22"/>
        </w:rPr>
      </w:pPr>
      <w:r w:rsidRPr="00DC361D">
        <w:t xml:space="preserve">The PBAC </w:t>
      </w:r>
      <w:r w:rsidR="00FF107E">
        <w:t>ha</w:t>
      </w:r>
      <w:r w:rsidR="00EE6C47">
        <w:t>s</w:t>
      </w:r>
      <w:r w:rsidR="00FF107E">
        <w:t xml:space="preserve"> </w:t>
      </w:r>
      <w:r w:rsidR="001C02A9">
        <w:t xml:space="preserve">previously </w:t>
      </w:r>
      <w:r w:rsidRPr="00DC361D">
        <w:t>considered</w:t>
      </w:r>
      <w:r w:rsidR="001C02A9">
        <w:t xml:space="preserve"> that</w:t>
      </w:r>
      <w:r w:rsidRPr="00DC361D">
        <w:t xml:space="preserve">, for patients with any activating </w:t>
      </w:r>
      <w:r w:rsidR="002E6164">
        <w:t xml:space="preserve">EGFR </w:t>
      </w:r>
      <w:r w:rsidRPr="00DC361D">
        <w:t>mutation, afatinib 40</w:t>
      </w:r>
      <w:r w:rsidR="00ED6C4A">
        <w:t> </w:t>
      </w:r>
      <w:r w:rsidRPr="00DC361D">
        <w:t xml:space="preserve">mg </w:t>
      </w:r>
      <w:r w:rsidR="00EE6C47">
        <w:t>i</w:t>
      </w:r>
      <w:r w:rsidRPr="00DC361D">
        <w:t>s equi-effective to erlotinib 150</w:t>
      </w:r>
      <w:r w:rsidR="00ED6C4A">
        <w:t> </w:t>
      </w:r>
      <w:r w:rsidRPr="00DC361D">
        <w:t>mg or gefitinib 250</w:t>
      </w:r>
      <w:r w:rsidR="00ED6C4A">
        <w:t> </w:t>
      </w:r>
      <w:r w:rsidRPr="00DC361D">
        <w:t>mg.</w:t>
      </w:r>
      <w:r>
        <w:rPr>
          <w:i/>
        </w:rPr>
        <w:t xml:space="preserve"> </w:t>
      </w:r>
      <w:r w:rsidR="00EE6C47">
        <w:rPr>
          <w:i/>
        </w:rPr>
        <w:t xml:space="preserve"> </w:t>
      </w:r>
      <w:r>
        <w:t xml:space="preserve">For the costs of erlotinib and afatinib, the </w:t>
      </w:r>
      <w:r w:rsidR="0095098D">
        <w:t>re-submission</w:t>
      </w:r>
      <w:r>
        <w:t xml:space="preserve"> d</w:t>
      </w:r>
      <w:r w:rsidR="001C02A9">
        <w:t>id</w:t>
      </w:r>
      <w:r>
        <w:t xml:space="preserve"> not use the listed or proposed DPMQ based on these doses. </w:t>
      </w:r>
      <w:r w:rsidR="00EE6C47">
        <w:t xml:space="preserve"> </w:t>
      </w:r>
      <w:r>
        <w:t xml:space="preserve">As different strengths </w:t>
      </w:r>
      <w:r w:rsidR="001C02A9">
        <w:t>are available</w:t>
      </w:r>
      <w:r>
        <w:t xml:space="preserve">, the </w:t>
      </w:r>
      <w:r w:rsidR="0095098D">
        <w:t>re-submission</w:t>
      </w:r>
      <w:r>
        <w:t xml:space="preserve"> weight</w:t>
      </w:r>
      <w:r w:rsidR="002E6164">
        <w:t>ed</w:t>
      </w:r>
      <w:r>
        <w:t xml:space="preserve"> the DPMQ by PBS item statistics (for erlotinib), or by use in the </w:t>
      </w:r>
      <w:r w:rsidR="00F00570">
        <w:t>L</w:t>
      </w:r>
      <w:r w:rsidR="002E6164">
        <w:t>UX</w:t>
      </w:r>
      <w:r w:rsidR="00F00570">
        <w:t xml:space="preserve"> Lung</w:t>
      </w:r>
      <w:r>
        <w:t xml:space="preserve"> trials (for afatinib).</w:t>
      </w:r>
      <w:r w:rsidR="00EE6C47">
        <w:t xml:space="preserve"> </w:t>
      </w:r>
      <w:r>
        <w:t xml:space="preserve"> </w:t>
      </w:r>
      <w:r w:rsidRPr="00666F46">
        <w:t>This result</w:t>
      </w:r>
      <w:r w:rsidR="001C02A9" w:rsidRPr="00666F46">
        <w:t>ed</w:t>
      </w:r>
      <w:r w:rsidRPr="00666F46">
        <w:t xml:space="preserve"> in the modelled cost per cycle for afatinib and erlotinib being l</w:t>
      </w:r>
      <w:r w:rsidR="00EE6C47" w:rsidRPr="00666F46">
        <w:t>ess</w:t>
      </w:r>
      <w:r w:rsidRPr="00666F46">
        <w:t xml:space="preserve"> than that for gefitinib, which </w:t>
      </w:r>
      <w:r w:rsidR="00FF107E" w:rsidRPr="00666F46">
        <w:t>was</w:t>
      </w:r>
      <w:r w:rsidRPr="00666F46">
        <w:t xml:space="preserve"> inconsistent with the previous PBAC decisions. </w:t>
      </w:r>
      <w:r w:rsidR="00EE6C47" w:rsidRPr="00666F46">
        <w:t xml:space="preserve"> </w:t>
      </w:r>
      <w:r w:rsidRPr="00666F46">
        <w:t xml:space="preserve">The model </w:t>
      </w:r>
      <w:r w:rsidR="001C02A9" w:rsidRPr="00666F46">
        <w:t>wa</w:t>
      </w:r>
      <w:r w:rsidRPr="00666F46">
        <w:t xml:space="preserve">s moderately sensitive to the costs calculated </w:t>
      </w:r>
      <w:r w:rsidR="00FF107E" w:rsidRPr="00666F46">
        <w:t xml:space="preserve">on the basis of </w:t>
      </w:r>
      <w:r w:rsidRPr="00666F46">
        <w:t>these recommended strength</w:t>
      </w:r>
      <w:r w:rsidR="001C02A9" w:rsidRPr="00666F46">
        <w:t>s</w:t>
      </w:r>
      <w:r w:rsidRPr="00666F46">
        <w:t>.</w:t>
      </w:r>
    </w:p>
    <w:p w:rsidR="00E20CDD" w:rsidRPr="00666F46" w:rsidRDefault="00E20CDD" w:rsidP="00E20CDD">
      <w:pPr>
        <w:rPr>
          <w:szCs w:val="22"/>
        </w:rPr>
      </w:pPr>
    </w:p>
    <w:p w:rsidR="00037CA4" w:rsidRPr="00666F46" w:rsidRDefault="00037CA4" w:rsidP="0090717E">
      <w:pPr>
        <w:pStyle w:val="ListParagraph"/>
        <w:widowControl/>
        <w:numPr>
          <w:ilvl w:val="1"/>
          <w:numId w:val="1"/>
        </w:numPr>
        <w:rPr>
          <w:szCs w:val="22"/>
        </w:rPr>
      </w:pPr>
      <w:r w:rsidRPr="00666F46">
        <w:rPr>
          <w:szCs w:val="22"/>
        </w:rPr>
        <w:t xml:space="preserve">The model in the re-submission assumed that </w:t>
      </w:r>
      <w:r w:rsidRPr="00666F46">
        <w:rPr>
          <w:szCs w:val="22"/>
          <w:u w:val="single"/>
        </w:rPr>
        <w:t>all</w:t>
      </w:r>
      <w:r w:rsidRPr="00666F46">
        <w:rPr>
          <w:szCs w:val="22"/>
        </w:rPr>
        <w:t xml:space="preserve"> patients who progressed while on treatment received subsequent treatments.</w:t>
      </w:r>
      <w:r w:rsidR="00EE6C47" w:rsidRPr="00666F46">
        <w:rPr>
          <w:szCs w:val="22"/>
        </w:rPr>
        <w:t xml:space="preserve"> </w:t>
      </w:r>
      <w:r w:rsidRPr="00666F46">
        <w:rPr>
          <w:szCs w:val="22"/>
        </w:rPr>
        <w:t xml:space="preserve"> This </w:t>
      </w:r>
      <w:r w:rsidR="00EE6C47" w:rsidRPr="00666F46">
        <w:rPr>
          <w:szCs w:val="22"/>
        </w:rPr>
        <w:t>wa</w:t>
      </w:r>
      <w:r w:rsidRPr="00666F46">
        <w:t xml:space="preserve">s inconsistent with the Lux Lung 3 and 6 trials, where 28.0% and 41.6% of patients, respectively, discontinued treatment following the failure of first-line afatinib (Table 15.2.3.2:2, p650 of the Lux Lung 3 CSR and Table 15.2.3.2:2, p568 of the Lux Lung 6 CSR). </w:t>
      </w:r>
      <w:r w:rsidR="00EE6C47" w:rsidRPr="00666F46">
        <w:t xml:space="preserve"> </w:t>
      </w:r>
      <w:r w:rsidRPr="00666F46">
        <w:t xml:space="preserve">These observations </w:t>
      </w:r>
      <w:r w:rsidR="00EE6C47" w:rsidRPr="00666F46">
        <w:t>we</w:t>
      </w:r>
      <w:r w:rsidRPr="00666F46">
        <w:t xml:space="preserve">re consistent with a sample of Medicare Australia data which indicated that 45% of patients who were currently receiving first-line treatment would receive second-line therapy (PBAC gefitinib PSD, November 2012). </w:t>
      </w:r>
      <w:r w:rsidR="00EE6C47" w:rsidRPr="00666F46">
        <w:t xml:space="preserve"> </w:t>
      </w:r>
      <w:r w:rsidRPr="00666F46">
        <w:t>Due to the structure of the model, it was not possible to assess the sensitivity of the economic evaluation to this assumption during the evaluation.</w:t>
      </w:r>
    </w:p>
    <w:p w:rsidR="006C13AE" w:rsidRPr="00EE6C47" w:rsidRDefault="006C13AE" w:rsidP="006C13AE">
      <w:pPr>
        <w:rPr>
          <w:szCs w:val="22"/>
        </w:rPr>
      </w:pPr>
    </w:p>
    <w:p w:rsidR="006C13AE" w:rsidRPr="006C13AE" w:rsidRDefault="006C13AE" w:rsidP="0090717E">
      <w:pPr>
        <w:pStyle w:val="ListParagraph"/>
        <w:widowControl/>
        <w:numPr>
          <w:ilvl w:val="1"/>
          <w:numId w:val="1"/>
        </w:numPr>
        <w:rPr>
          <w:szCs w:val="22"/>
        </w:rPr>
      </w:pPr>
      <w:r w:rsidRPr="006C13AE">
        <w:rPr>
          <w:szCs w:val="22"/>
        </w:rPr>
        <w:t xml:space="preserve">Consistent with guidelines and </w:t>
      </w:r>
      <w:r w:rsidR="009B1AA4">
        <w:rPr>
          <w:szCs w:val="22"/>
        </w:rPr>
        <w:t xml:space="preserve">its </w:t>
      </w:r>
      <w:r w:rsidRPr="006C13AE">
        <w:rPr>
          <w:szCs w:val="22"/>
        </w:rPr>
        <w:t>clinical management algorithms, the re-submission model</w:t>
      </w:r>
      <w:r w:rsidR="002E6164">
        <w:rPr>
          <w:szCs w:val="22"/>
        </w:rPr>
        <w:t>led</w:t>
      </w:r>
      <w:r w:rsidRPr="006C13AE">
        <w:rPr>
          <w:szCs w:val="22"/>
        </w:rPr>
        <w:t xml:space="preserve"> two possible treatment sequences after each first-line TKI:</w:t>
      </w:r>
    </w:p>
    <w:p w:rsidR="006C13AE" w:rsidRPr="006C13AE" w:rsidRDefault="006C13AE" w:rsidP="0090717E">
      <w:pPr>
        <w:pStyle w:val="ListParagraph"/>
        <w:widowControl/>
        <w:numPr>
          <w:ilvl w:val="0"/>
          <w:numId w:val="2"/>
        </w:numPr>
        <w:rPr>
          <w:szCs w:val="22"/>
        </w:rPr>
      </w:pPr>
      <w:r w:rsidRPr="00BB31AD">
        <w:t>second</w:t>
      </w:r>
      <w:r w:rsidRPr="006C13AE">
        <w:rPr>
          <w:szCs w:val="22"/>
        </w:rPr>
        <w:t>-line platinum doublet chemotherapy, followed by third-line monotherapy, followed by best supportive care (BSC); and</w:t>
      </w:r>
    </w:p>
    <w:p w:rsidR="006C13AE" w:rsidRPr="006C13AE" w:rsidRDefault="006C13AE" w:rsidP="0090717E">
      <w:pPr>
        <w:pStyle w:val="ListParagraph"/>
        <w:widowControl/>
        <w:numPr>
          <w:ilvl w:val="0"/>
          <w:numId w:val="2"/>
        </w:numPr>
        <w:rPr>
          <w:szCs w:val="22"/>
        </w:rPr>
      </w:pPr>
      <w:r w:rsidRPr="00BB31AD">
        <w:t>second</w:t>
      </w:r>
      <w:r w:rsidRPr="006C13AE">
        <w:rPr>
          <w:szCs w:val="22"/>
        </w:rPr>
        <w:t>-line monotherapy, followed by BSC.</w:t>
      </w:r>
    </w:p>
    <w:p w:rsidR="00E20CDD" w:rsidRPr="00EE6C47" w:rsidRDefault="00E20CDD" w:rsidP="00EE6C47">
      <w:pPr>
        <w:rPr>
          <w:szCs w:val="22"/>
        </w:rPr>
      </w:pPr>
    </w:p>
    <w:p w:rsidR="00EE005B" w:rsidRPr="00EE005B" w:rsidRDefault="00037CA4" w:rsidP="0090717E">
      <w:pPr>
        <w:pStyle w:val="ListParagraph"/>
        <w:widowControl/>
        <w:numPr>
          <w:ilvl w:val="1"/>
          <w:numId w:val="1"/>
        </w:numPr>
        <w:rPr>
          <w:szCs w:val="22"/>
        </w:rPr>
      </w:pPr>
      <w:r w:rsidRPr="00666F46">
        <w:t>The cost of treatment in the progressive disease health state was weighted according to the estimated time in each post-progression line of treatment, i.e. platinum doublet chemotherapy, monotherapy or best supportive care.</w:t>
      </w:r>
      <w:r w:rsidR="00EE6C47" w:rsidRPr="00666F46">
        <w:t xml:space="preserve"> </w:t>
      </w:r>
      <w:r w:rsidRPr="00666F46">
        <w:t xml:space="preserve"> Treatment durations on post-progression platinum doublet chemotherapy and monotherapy were assumed to be the same across the three first-line TKIs based on studies that were unlikely to be applicable to the proposed PBS population</w:t>
      </w:r>
      <w:r w:rsidRPr="009840F6">
        <w:t>.</w:t>
      </w:r>
      <w:r w:rsidRPr="00666F46">
        <w:t xml:space="preserve"> </w:t>
      </w:r>
      <w:r w:rsidR="00EE6C47" w:rsidRPr="00666F46">
        <w:t xml:space="preserve"> </w:t>
      </w:r>
      <w:r w:rsidRPr="00666F46">
        <w:t xml:space="preserve">Therefore, the shorter the progressive disease state, the </w:t>
      </w:r>
      <w:r w:rsidR="00EE6C47" w:rsidRPr="00666F46">
        <w:t xml:space="preserve">greater the </w:t>
      </w:r>
      <w:r w:rsidRPr="00666F46">
        <w:t xml:space="preserve">relative proportion of time </w:t>
      </w:r>
      <w:r w:rsidR="00EE6C47" w:rsidRPr="00666F46">
        <w:t xml:space="preserve">that </w:t>
      </w:r>
      <w:r w:rsidRPr="00666F46">
        <w:t xml:space="preserve">would be spent on active treatment. </w:t>
      </w:r>
      <w:r w:rsidR="00EE6C47" w:rsidRPr="00666F46">
        <w:t xml:space="preserve"> </w:t>
      </w:r>
      <w:r w:rsidRPr="00666F46">
        <w:t xml:space="preserve">The weighted costs for each treatment sequence in the progressive disease health state, for the </w:t>
      </w:r>
      <w:r w:rsidRPr="00FE36F7">
        <w:t>erlotinib arm, were much higher ($</w:t>
      </w:r>
      <w:r w:rsidR="00393C73">
        <w:rPr>
          <w:noProof/>
          <w:color w:val="000000"/>
          <w:highlight w:val="black"/>
        </w:rPr>
        <w:t>'''''''''''''''</w:t>
      </w:r>
      <w:r w:rsidRPr="00FE36F7">
        <w:t>/cycle and $</w:t>
      </w:r>
      <w:r w:rsidR="00393C73">
        <w:rPr>
          <w:noProof/>
          <w:color w:val="000000"/>
          <w:highlight w:val="black"/>
        </w:rPr>
        <w:t>''''''''''''''</w:t>
      </w:r>
      <w:r w:rsidRPr="00FE36F7">
        <w:t>/cycle) than those for the afatinib ($</w:t>
      </w:r>
      <w:r w:rsidR="00393C73">
        <w:rPr>
          <w:noProof/>
          <w:color w:val="000000"/>
          <w:highlight w:val="black"/>
        </w:rPr>
        <w:t>'''''''''''''</w:t>
      </w:r>
      <w:r w:rsidRPr="00FE36F7">
        <w:t>/cycle and $</w:t>
      </w:r>
      <w:r w:rsidR="00393C73">
        <w:rPr>
          <w:noProof/>
          <w:color w:val="000000"/>
          <w:highlight w:val="black"/>
        </w:rPr>
        <w:t>''''''''''''</w:t>
      </w:r>
      <w:r w:rsidRPr="00FE36F7">
        <w:t xml:space="preserve">/cycle) or gefitinib </w:t>
      </w:r>
      <w:r w:rsidRPr="00FE36F7">
        <w:lastRenderedPageBreak/>
        <w:t>($</w:t>
      </w:r>
      <w:r w:rsidR="00393C73">
        <w:rPr>
          <w:noProof/>
          <w:color w:val="000000"/>
          <w:highlight w:val="black"/>
        </w:rPr>
        <w:t>'''''''''''''</w:t>
      </w:r>
      <w:r w:rsidRPr="00FE36F7">
        <w:t>/cycle and $</w:t>
      </w:r>
      <w:r w:rsidR="00393C73">
        <w:rPr>
          <w:noProof/>
          <w:color w:val="000000"/>
          <w:highlight w:val="black"/>
        </w:rPr>
        <w:t>''''''''''''</w:t>
      </w:r>
      <w:r w:rsidRPr="00FE36F7">
        <w:t>/cyc</w:t>
      </w:r>
      <w:r w:rsidRPr="00666F46">
        <w:t>le) arms, due to a shorter time spent in the progressive disease health state (7.8 months (erlotinib) vs 16.6 months (afatinib) vs 16.9 months (gefitinib)).</w:t>
      </w:r>
      <w:r w:rsidR="00EE6C47" w:rsidRPr="00666F46">
        <w:t xml:space="preserve"> </w:t>
      </w:r>
      <w:r w:rsidRPr="00666F46">
        <w:t xml:space="preserve"> Therefore, the cost of the erlotinib arm was overestimated. </w:t>
      </w:r>
      <w:r w:rsidR="00EE6C47" w:rsidRPr="00666F46">
        <w:t xml:space="preserve"> </w:t>
      </w:r>
      <w:r w:rsidRPr="00666F46">
        <w:t>A sensitivity analysis that assumed an equal proportion of time spent on each post progression treatment (and therefore, the same costs and utilities per cycle for erlotinib and afatinib) substantially increased the ICER.</w:t>
      </w:r>
      <w:r w:rsidR="00EE005B">
        <w:t xml:space="preserve"> </w:t>
      </w:r>
      <w:r w:rsidR="00FE36F7">
        <w:t xml:space="preserve">The PSCR </w:t>
      </w:r>
      <w:r w:rsidR="00EE005B" w:rsidRPr="00C31854">
        <w:t xml:space="preserve">acknowledges that the treatment durations for each subsequent therapy </w:t>
      </w:r>
      <w:r w:rsidR="00EE005B" w:rsidRPr="00C31854">
        <w:rPr>
          <w:iCs/>
        </w:rPr>
        <w:t xml:space="preserve">did not exactly match the corresponding line of therapy, but considered that the estimated time on treatment </w:t>
      </w:r>
      <w:r w:rsidR="00847C9C" w:rsidRPr="00C31854">
        <w:rPr>
          <w:iCs/>
        </w:rPr>
        <w:t>would be</w:t>
      </w:r>
      <w:r w:rsidR="00EE005B" w:rsidRPr="00C31854">
        <w:rPr>
          <w:iCs/>
        </w:rPr>
        <w:t xml:space="preserve"> unlikely to differ significantly. The ESC noted that this aspect of the </w:t>
      </w:r>
      <w:r w:rsidR="00EE005B" w:rsidRPr="00C31854">
        <w:t>model contribute</w:t>
      </w:r>
      <w:r w:rsidR="00847C9C" w:rsidRPr="00C31854">
        <w:t>d</w:t>
      </w:r>
      <w:r w:rsidR="00EE005B" w:rsidRPr="00C31854">
        <w:t xml:space="preserve"> significantly to the cost of erlotinib arm and therefore minimise</w:t>
      </w:r>
      <w:r w:rsidR="00847C9C" w:rsidRPr="00C31854">
        <w:t>d</w:t>
      </w:r>
      <w:r w:rsidR="00EE005B" w:rsidRPr="00C31854">
        <w:t xml:space="preserve"> the incremental cost between afatinib and erlotinib</w:t>
      </w:r>
      <w:r w:rsidR="001B4AA3" w:rsidRPr="00C31854">
        <w:t>.</w:t>
      </w:r>
    </w:p>
    <w:p w:rsidR="00706520" w:rsidRPr="00706520" w:rsidRDefault="00706520" w:rsidP="00706520">
      <w:pPr>
        <w:widowControl/>
        <w:rPr>
          <w:szCs w:val="22"/>
        </w:rPr>
      </w:pPr>
    </w:p>
    <w:p w:rsidR="00E20CDD" w:rsidRPr="00B50DB8" w:rsidRDefault="00E20CDD" w:rsidP="0090717E">
      <w:pPr>
        <w:pStyle w:val="ListParagraph"/>
        <w:widowControl/>
        <w:numPr>
          <w:ilvl w:val="1"/>
          <w:numId w:val="1"/>
        </w:numPr>
        <w:rPr>
          <w:szCs w:val="22"/>
        </w:rPr>
      </w:pPr>
      <w:r>
        <w:t>The key drivers of the model are summarised below.</w:t>
      </w:r>
    </w:p>
    <w:p w:rsidR="009233FE" w:rsidRPr="008814A3" w:rsidRDefault="009233FE" w:rsidP="009233FE">
      <w:pPr>
        <w:pStyle w:val="TableHeader"/>
        <w:rPr>
          <w:rFonts w:ascii="Arial" w:hAnsi="Arial"/>
          <w:b w:val="0"/>
          <w:sz w:val="22"/>
          <w:szCs w:val="22"/>
        </w:rPr>
      </w:pPr>
    </w:p>
    <w:p w:rsidR="00E20CDD" w:rsidRPr="005C7F65" w:rsidRDefault="00E20CDD" w:rsidP="009233FE">
      <w:pPr>
        <w:pStyle w:val="TableHeader"/>
        <w:ind w:firstLine="720"/>
      </w:pPr>
      <w:r w:rsidRPr="003201DE">
        <w:t xml:space="preserve">Table </w:t>
      </w:r>
      <w:r w:rsidR="003201DE" w:rsidRPr="003201DE">
        <w:t>6</w:t>
      </w:r>
      <w:r w:rsidRPr="003201DE">
        <w:t>:</w:t>
      </w:r>
      <w:r w:rsidRPr="005C7F65">
        <w:t xml:space="preserve">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4962"/>
        <w:gridCol w:w="2250"/>
      </w:tblGrid>
      <w:tr w:rsidR="00E20CDD" w:rsidRPr="00666F46" w:rsidTr="00EE6C47">
        <w:trPr>
          <w:tblHeader/>
        </w:trPr>
        <w:tc>
          <w:tcPr>
            <w:tcW w:w="679" w:type="pct"/>
            <w:shd w:val="clear" w:color="auto" w:fill="auto"/>
            <w:vAlign w:val="center"/>
          </w:tcPr>
          <w:p w:rsidR="00E20CDD" w:rsidRPr="00666F46" w:rsidRDefault="00E20CDD" w:rsidP="004904DD">
            <w:pPr>
              <w:jc w:val="left"/>
              <w:rPr>
                <w:rFonts w:ascii="Arial Narrow" w:hAnsi="Arial Narrow"/>
                <w:b/>
                <w:sz w:val="20"/>
                <w:lang w:val="en-US"/>
              </w:rPr>
            </w:pPr>
            <w:r w:rsidRPr="00666F46">
              <w:rPr>
                <w:rFonts w:ascii="Arial Narrow" w:hAnsi="Arial Narrow"/>
                <w:b/>
                <w:sz w:val="20"/>
                <w:lang w:val="en-US"/>
              </w:rPr>
              <w:t>Description</w:t>
            </w:r>
          </w:p>
        </w:tc>
        <w:tc>
          <w:tcPr>
            <w:tcW w:w="2972" w:type="pct"/>
            <w:shd w:val="clear" w:color="auto" w:fill="auto"/>
            <w:vAlign w:val="center"/>
          </w:tcPr>
          <w:p w:rsidR="00E20CDD" w:rsidRPr="00666F46" w:rsidRDefault="00E20CDD" w:rsidP="004904DD">
            <w:pPr>
              <w:jc w:val="center"/>
              <w:rPr>
                <w:rFonts w:ascii="Arial Narrow" w:hAnsi="Arial Narrow"/>
                <w:b/>
                <w:sz w:val="20"/>
                <w:lang w:val="en-US"/>
              </w:rPr>
            </w:pPr>
            <w:r w:rsidRPr="00666F46">
              <w:rPr>
                <w:rFonts w:ascii="Arial Narrow" w:hAnsi="Arial Narrow"/>
                <w:b/>
                <w:sz w:val="20"/>
                <w:lang w:val="en-US"/>
              </w:rPr>
              <w:t>Method/Value</w:t>
            </w:r>
          </w:p>
        </w:tc>
        <w:tc>
          <w:tcPr>
            <w:tcW w:w="1348" w:type="pct"/>
            <w:shd w:val="clear" w:color="auto" w:fill="auto"/>
            <w:vAlign w:val="center"/>
          </w:tcPr>
          <w:p w:rsidR="00E20CDD" w:rsidRPr="00666F46" w:rsidRDefault="00E20CDD" w:rsidP="004904DD">
            <w:pPr>
              <w:jc w:val="center"/>
              <w:rPr>
                <w:rFonts w:ascii="Arial Narrow" w:hAnsi="Arial Narrow"/>
                <w:b/>
                <w:sz w:val="20"/>
                <w:lang w:val="en-US"/>
              </w:rPr>
            </w:pPr>
            <w:r w:rsidRPr="00666F46">
              <w:rPr>
                <w:rFonts w:ascii="Arial Narrow" w:hAnsi="Arial Narrow"/>
                <w:b/>
                <w:sz w:val="20"/>
                <w:lang w:val="en-US"/>
              </w:rPr>
              <w:t>Impact</w:t>
            </w:r>
          </w:p>
        </w:tc>
      </w:tr>
      <w:tr w:rsidR="00E20CDD" w:rsidRPr="00666F46" w:rsidTr="00EE6C47">
        <w:tc>
          <w:tcPr>
            <w:tcW w:w="679" w:type="pct"/>
            <w:shd w:val="clear" w:color="auto" w:fill="auto"/>
            <w:vAlign w:val="center"/>
          </w:tcPr>
          <w:p w:rsidR="00E20CDD" w:rsidRPr="00666F46" w:rsidRDefault="00E20CDD" w:rsidP="004904DD">
            <w:pPr>
              <w:jc w:val="left"/>
              <w:rPr>
                <w:rFonts w:ascii="Arial Narrow" w:hAnsi="Arial Narrow"/>
                <w:sz w:val="20"/>
                <w:lang w:val="en-US"/>
              </w:rPr>
            </w:pPr>
            <w:r w:rsidRPr="00666F46">
              <w:rPr>
                <w:rFonts w:ascii="Arial Narrow" w:hAnsi="Arial Narrow"/>
                <w:sz w:val="20"/>
                <w:lang w:val="en-US"/>
              </w:rPr>
              <w:t>Relative treatment effect of afatinib versus erlotinib or gefitinib</w:t>
            </w:r>
          </w:p>
        </w:tc>
        <w:tc>
          <w:tcPr>
            <w:tcW w:w="2972" w:type="pct"/>
            <w:shd w:val="clear" w:color="auto" w:fill="auto"/>
            <w:vAlign w:val="center"/>
          </w:tcPr>
          <w:p w:rsidR="00E20CDD" w:rsidRPr="00666F46" w:rsidRDefault="00037CA4" w:rsidP="001C02A9">
            <w:pPr>
              <w:jc w:val="left"/>
              <w:rPr>
                <w:rFonts w:ascii="Arial Narrow" w:hAnsi="Arial Narrow"/>
                <w:sz w:val="20"/>
                <w:lang w:val="en-US"/>
              </w:rPr>
            </w:pPr>
            <w:r w:rsidRPr="00666F46">
              <w:rPr>
                <w:rFonts w:ascii="Arial Narrow" w:hAnsi="Arial Narrow"/>
                <w:sz w:val="20"/>
                <w:lang w:val="en-US"/>
              </w:rPr>
              <w:t>Point estimates of the HRs were obtained from indirect comparisons of trials that lacked exchangeability. Most of the findings were not statistically significant. The HR point estimates were applied to the PFS and OS curves of afatinib to derive the corresponding curves for erlotinib and gefitinib throughout the modelled time horizon. The re-submission did not provide a justification for the implied constant proportional hazard</w:t>
            </w:r>
            <w:r w:rsidR="00E11107" w:rsidRPr="00666F46">
              <w:rPr>
                <w:rFonts w:ascii="Arial Narrow" w:hAnsi="Arial Narrow"/>
                <w:sz w:val="20"/>
                <w:lang w:val="en-US"/>
              </w:rPr>
              <w:t>.</w:t>
            </w:r>
            <w:r w:rsidR="00E20CDD" w:rsidRPr="00666F46">
              <w:rPr>
                <w:rFonts w:ascii="Arial Narrow" w:hAnsi="Arial Narrow"/>
                <w:sz w:val="20"/>
                <w:lang w:val="en-US"/>
              </w:rPr>
              <w:t xml:space="preserve"> </w:t>
            </w:r>
          </w:p>
        </w:tc>
        <w:tc>
          <w:tcPr>
            <w:tcW w:w="1348" w:type="pct"/>
            <w:shd w:val="clear" w:color="auto" w:fill="auto"/>
            <w:vAlign w:val="center"/>
          </w:tcPr>
          <w:p w:rsidR="00E20CDD" w:rsidRPr="00666F46" w:rsidRDefault="00E20CDD" w:rsidP="004904DD">
            <w:pPr>
              <w:jc w:val="center"/>
              <w:rPr>
                <w:rFonts w:ascii="Arial Narrow" w:hAnsi="Arial Narrow"/>
                <w:sz w:val="20"/>
                <w:lang w:val="en-US"/>
              </w:rPr>
            </w:pPr>
            <w:r w:rsidRPr="00666F46">
              <w:rPr>
                <w:rFonts w:ascii="Arial Narrow" w:hAnsi="Arial Narrow"/>
                <w:sz w:val="20"/>
                <w:lang w:val="en-US"/>
              </w:rPr>
              <w:t>High, favours afatinib</w:t>
            </w:r>
          </w:p>
        </w:tc>
      </w:tr>
      <w:tr w:rsidR="00E20CDD" w:rsidRPr="00666F46" w:rsidTr="00EE6C47">
        <w:tc>
          <w:tcPr>
            <w:tcW w:w="679" w:type="pct"/>
            <w:shd w:val="clear" w:color="auto" w:fill="auto"/>
            <w:vAlign w:val="center"/>
          </w:tcPr>
          <w:p w:rsidR="00E20CDD" w:rsidRPr="00666F46" w:rsidRDefault="00E20CDD" w:rsidP="004904DD">
            <w:pPr>
              <w:jc w:val="left"/>
              <w:rPr>
                <w:rFonts w:ascii="Arial Narrow" w:hAnsi="Arial Narrow"/>
                <w:sz w:val="20"/>
                <w:lang w:val="en-US"/>
              </w:rPr>
            </w:pPr>
            <w:r w:rsidRPr="00666F46">
              <w:rPr>
                <w:rFonts w:ascii="Arial Narrow" w:hAnsi="Arial Narrow"/>
                <w:sz w:val="20"/>
                <w:lang w:val="en-US"/>
              </w:rPr>
              <w:t>Cost of progressive disease state for erlotinib arm</w:t>
            </w:r>
          </w:p>
        </w:tc>
        <w:tc>
          <w:tcPr>
            <w:tcW w:w="2972" w:type="pct"/>
            <w:shd w:val="clear" w:color="auto" w:fill="auto"/>
            <w:vAlign w:val="center"/>
          </w:tcPr>
          <w:p w:rsidR="00E20CDD" w:rsidRPr="00666F46" w:rsidRDefault="00037CA4" w:rsidP="004904DD">
            <w:pPr>
              <w:jc w:val="left"/>
              <w:rPr>
                <w:rFonts w:ascii="Arial Narrow" w:hAnsi="Arial Narrow"/>
                <w:sz w:val="20"/>
                <w:lang w:val="en-US"/>
              </w:rPr>
            </w:pPr>
            <w:r w:rsidRPr="00666F46">
              <w:rPr>
                <w:rFonts w:ascii="Arial Narrow" w:hAnsi="Arial Narrow"/>
                <w:sz w:val="20"/>
                <w:lang w:val="en-US"/>
              </w:rPr>
              <w:t>Cost of treatment in the PD health state was weighted on the estimated time in each post-progression line of treatment. Treatment durations (in months) on post-progression platinum doublet chemotherapy and monotherapy were assumed to be the same across these three first-line TKIs. In comparison to afatinib, the longer PFS and shorter OS observed for erlotinib meant a shorter progressive disease state, and therefore a relatively greater proportion of time that would be spent on active treatment</w:t>
            </w:r>
          </w:p>
        </w:tc>
        <w:tc>
          <w:tcPr>
            <w:tcW w:w="1348" w:type="pct"/>
            <w:shd w:val="clear" w:color="auto" w:fill="auto"/>
            <w:vAlign w:val="center"/>
          </w:tcPr>
          <w:p w:rsidR="00E20CDD" w:rsidRPr="00666F46" w:rsidRDefault="00E20CDD" w:rsidP="004904DD">
            <w:pPr>
              <w:jc w:val="center"/>
              <w:rPr>
                <w:rFonts w:ascii="Arial Narrow" w:hAnsi="Arial Narrow"/>
                <w:sz w:val="20"/>
                <w:lang w:val="en-US"/>
              </w:rPr>
            </w:pPr>
            <w:r w:rsidRPr="00666F46">
              <w:rPr>
                <w:rFonts w:ascii="Arial Narrow" w:hAnsi="Arial Narrow"/>
                <w:sz w:val="20"/>
                <w:lang w:val="en-US"/>
              </w:rPr>
              <w:t>High, favours afatinib</w:t>
            </w:r>
          </w:p>
        </w:tc>
      </w:tr>
      <w:tr w:rsidR="00E20CDD" w:rsidRPr="00666F46" w:rsidTr="00EE6C47">
        <w:tc>
          <w:tcPr>
            <w:tcW w:w="679" w:type="pct"/>
            <w:shd w:val="clear" w:color="auto" w:fill="auto"/>
            <w:vAlign w:val="center"/>
          </w:tcPr>
          <w:p w:rsidR="00E20CDD" w:rsidRPr="00666F46" w:rsidRDefault="00E20CDD" w:rsidP="004904DD">
            <w:pPr>
              <w:jc w:val="left"/>
              <w:rPr>
                <w:rFonts w:ascii="Arial Narrow" w:hAnsi="Arial Narrow"/>
                <w:sz w:val="20"/>
                <w:lang w:val="en-US"/>
              </w:rPr>
            </w:pPr>
            <w:r w:rsidRPr="00666F46">
              <w:rPr>
                <w:rFonts w:ascii="Arial Narrow" w:hAnsi="Arial Narrow"/>
                <w:sz w:val="20"/>
                <w:lang w:val="en-US"/>
              </w:rPr>
              <w:t>Costs of afatinib and erlotinib</w:t>
            </w:r>
          </w:p>
        </w:tc>
        <w:tc>
          <w:tcPr>
            <w:tcW w:w="2972" w:type="pct"/>
            <w:shd w:val="clear" w:color="auto" w:fill="auto"/>
            <w:vAlign w:val="center"/>
          </w:tcPr>
          <w:p w:rsidR="00E20CDD" w:rsidRPr="00666F46" w:rsidRDefault="00E20CDD" w:rsidP="002E6164">
            <w:pPr>
              <w:jc w:val="left"/>
              <w:rPr>
                <w:rFonts w:ascii="Arial Narrow" w:hAnsi="Arial Narrow"/>
                <w:sz w:val="20"/>
                <w:lang w:val="en-US"/>
              </w:rPr>
            </w:pPr>
            <w:r w:rsidRPr="00666F46">
              <w:rPr>
                <w:rFonts w:ascii="Arial Narrow" w:hAnsi="Arial Narrow"/>
                <w:sz w:val="20"/>
                <w:lang w:val="en-US"/>
              </w:rPr>
              <w:t xml:space="preserve">As different strengths exist, the </w:t>
            </w:r>
            <w:r w:rsidR="0095098D" w:rsidRPr="00666F46">
              <w:rPr>
                <w:rFonts w:ascii="Arial Narrow" w:hAnsi="Arial Narrow"/>
                <w:sz w:val="20"/>
                <w:lang w:val="en-US"/>
              </w:rPr>
              <w:t>re-submission</w:t>
            </w:r>
            <w:r w:rsidRPr="00666F46">
              <w:rPr>
                <w:rFonts w:ascii="Arial Narrow" w:hAnsi="Arial Narrow"/>
                <w:sz w:val="20"/>
                <w:lang w:val="en-US"/>
              </w:rPr>
              <w:t xml:space="preserve"> weighted the DPMQ by PBS item statistics (for erlotinib), or by use in the </w:t>
            </w:r>
            <w:r w:rsidR="00F00570" w:rsidRPr="00666F46">
              <w:rPr>
                <w:rFonts w:ascii="Arial Narrow" w:hAnsi="Arial Narrow"/>
                <w:sz w:val="20"/>
                <w:lang w:val="en-US"/>
              </w:rPr>
              <w:t>L</w:t>
            </w:r>
            <w:r w:rsidR="002E6164" w:rsidRPr="00666F46">
              <w:rPr>
                <w:rFonts w:ascii="Arial Narrow" w:hAnsi="Arial Narrow"/>
                <w:sz w:val="20"/>
                <w:lang w:val="en-US"/>
              </w:rPr>
              <w:t>UX</w:t>
            </w:r>
            <w:r w:rsidR="00F00570" w:rsidRPr="00666F46">
              <w:rPr>
                <w:rFonts w:ascii="Arial Narrow" w:hAnsi="Arial Narrow"/>
                <w:sz w:val="20"/>
                <w:lang w:val="en-US"/>
              </w:rPr>
              <w:t xml:space="preserve"> Lung</w:t>
            </w:r>
            <w:r w:rsidRPr="00666F46">
              <w:rPr>
                <w:rFonts w:ascii="Arial Narrow" w:hAnsi="Arial Narrow"/>
                <w:sz w:val="20"/>
                <w:lang w:val="en-US"/>
              </w:rPr>
              <w:t xml:space="preserve"> trials (for afatinib). This resulted in the modelled cost per cycle for afatinib and erlotinib being lower than that for gefitinib.</w:t>
            </w:r>
          </w:p>
        </w:tc>
        <w:tc>
          <w:tcPr>
            <w:tcW w:w="1348" w:type="pct"/>
            <w:shd w:val="clear" w:color="auto" w:fill="auto"/>
            <w:vAlign w:val="center"/>
          </w:tcPr>
          <w:p w:rsidR="00E20CDD" w:rsidRPr="00666F46" w:rsidRDefault="00E20CDD" w:rsidP="004904DD">
            <w:pPr>
              <w:jc w:val="center"/>
              <w:rPr>
                <w:rFonts w:ascii="Arial Narrow" w:hAnsi="Arial Narrow"/>
                <w:b/>
                <w:sz w:val="20"/>
                <w:lang w:val="en-US"/>
              </w:rPr>
            </w:pPr>
            <w:r w:rsidRPr="00666F46">
              <w:rPr>
                <w:rFonts w:ascii="Arial Narrow" w:hAnsi="Arial Narrow"/>
                <w:b/>
                <w:sz w:val="20"/>
                <w:lang w:val="en-US"/>
              </w:rPr>
              <w:t xml:space="preserve">Compared with erlotinib: </w:t>
            </w:r>
          </w:p>
          <w:p w:rsidR="00E20CDD" w:rsidRPr="00666F46" w:rsidRDefault="002E6164" w:rsidP="004904DD">
            <w:pPr>
              <w:jc w:val="center"/>
              <w:rPr>
                <w:rFonts w:ascii="Arial Narrow" w:hAnsi="Arial Narrow"/>
                <w:sz w:val="20"/>
                <w:lang w:val="en-US"/>
              </w:rPr>
            </w:pPr>
            <w:r w:rsidRPr="00666F46">
              <w:rPr>
                <w:rFonts w:ascii="Arial Narrow" w:hAnsi="Arial Narrow"/>
                <w:sz w:val="20"/>
                <w:lang w:val="en-US"/>
              </w:rPr>
              <w:t>Moderate</w:t>
            </w:r>
            <w:r w:rsidR="00E20CDD" w:rsidRPr="00666F46">
              <w:rPr>
                <w:rFonts w:ascii="Arial Narrow" w:hAnsi="Arial Narrow"/>
                <w:sz w:val="20"/>
                <w:lang w:val="en-US"/>
              </w:rPr>
              <w:t>, favours erlotinib</w:t>
            </w:r>
          </w:p>
          <w:p w:rsidR="00E20CDD" w:rsidRPr="00666F46" w:rsidRDefault="00E20CDD" w:rsidP="004904DD">
            <w:pPr>
              <w:jc w:val="center"/>
              <w:rPr>
                <w:rFonts w:ascii="Arial Narrow" w:hAnsi="Arial Narrow"/>
                <w:sz w:val="20"/>
                <w:lang w:val="en-US"/>
              </w:rPr>
            </w:pPr>
            <w:r w:rsidRPr="00666F46">
              <w:rPr>
                <w:rFonts w:ascii="Arial Narrow" w:hAnsi="Arial Narrow"/>
                <w:b/>
                <w:sz w:val="20"/>
                <w:lang w:val="en-US"/>
              </w:rPr>
              <w:t>Compared with gefitinib:</w:t>
            </w:r>
            <w:r w:rsidRPr="00666F46">
              <w:rPr>
                <w:rFonts w:ascii="Arial Narrow" w:hAnsi="Arial Narrow"/>
                <w:sz w:val="20"/>
                <w:lang w:val="en-US"/>
              </w:rPr>
              <w:t xml:space="preserve"> Moderate, favours afatinib</w:t>
            </w:r>
          </w:p>
        </w:tc>
      </w:tr>
    </w:tbl>
    <w:p w:rsidR="00E20CDD" w:rsidRPr="00666F46" w:rsidRDefault="00E20CDD" w:rsidP="00E20CDD">
      <w:pPr>
        <w:pStyle w:val="TableFooter"/>
        <w:ind w:left="720"/>
      </w:pPr>
      <w:r w:rsidRPr="00666F46">
        <w:t>HR = hazard ratio; PFS = progression-free survival; OS = overall survival; TKI = tyrosine kinase inhibitor; PD = progressive disease; DPMQ = dispe</w:t>
      </w:r>
      <w:r w:rsidR="00EE6C47" w:rsidRPr="00666F46">
        <w:t>nsed price for maximum quantity</w:t>
      </w:r>
    </w:p>
    <w:p w:rsidR="00E20CDD" w:rsidRPr="00666F46" w:rsidRDefault="00E20CDD" w:rsidP="00E20CDD">
      <w:pPr>
        <w:pStyle w:val="TableFooter"/>
        <w:ind w:firstLine="720"/>
      </w:pPr>
      <w:r w:rsidRPr="00666F46">
        <w:t>Source: compiled during the evaluation</w:t>
      </w:r>
    </w:p>
    <w:p w:rsidR="00E20CDD" w:rsidRPr="00275C5A" w:rsidRDefault="00E20CDD" w:rsidP="00E20CDD">
      <w:pPr>
        <w:widowControl/>
        <w:rPr>
          <w:szCs w:val="22"/>
        </w:rPr>
      </w:pPr>
    </w:p>
    <w:p w:rsidR="00E20CDD" w:rsidRPr="00264B5A" w:rsidRDefault="00E20CDD" w:rsidP="0090717E">
      <w:pPr>
        <w:pStyle w:val="ListParagraph"/>
        <w:widowControl/>
        <w:numPr>
          <w:ilvl w:val="1"/>
          <w:numId w:val="1"/>
        </w:numPr>
        <w:rPr>
          <w:szCs w:val="22"/>
        </w:rPr>
      </w:pPr>
      <w:r>
        <w:t>The results of the economic evaluation are summarised below.</w:t>
      </w:r>
      <w:r w:rsidR="00EE6C47">
        <w:t xml:space="preserve"> </w:t>
      </w:r>
      <w:r w:rsidR="00037CA4">
        <w:t xml:space="preserve"> </w:t>
      </w:r>
      <w:r w:rsidR="00930811">
        <w:t>The re-submission presents a weighted comparator (70% erlotinib, 30% gefitinib) in the model, based on the ratio of first-line erlotinib to gefitinib use observed in Ipsos oncology monitor data from Q3 2014 for patients with EGFR mutation positive NSCLC</w:t>
      </w:r>
      <w:r w:rsidR="00930811" w:rsidRPr="009840F6">
        <w:t>.</w:t>
      </w:r>
    </w:p>
    <w:p w:rsidR="00E20CDD" w:rsidRDefault="00E20CDD" w:rsidP="00E20CDD">
      <w:pPr>
        <w:widowControl/>
      </w:pPr>
    </w:p>
    <w:p w:rsidR="00E9366A" w:rsidRDefault="00E9366A" w:rsidP="00E20CDD">
      <w:pPr>
        <w:pStyle w:val="Caption"/>
        <w:ind w:firstLine="720"/>
      </w:pPr>
      <w:r>
        <w:br w:type="page"/>
      </w:r>
    </w:p>
    <w:p w:rsidR="00E20CDD" w:rsidRDefault="00E20CDD" w:rsidP="00E20CDD">
      <w:pPr>
        <w:pStyle w:val="Caption"/>
        <w:ind w:firstLine="720"/>
      </w:pPr>
      <w:r w:rsidRPr="003201DE">
        <w:lastRenderedPageBreak/>
        <w:t xml:space="preserve">Table </w:t>
      </w:r>
      <w:r w:rsidR="003201DE" w:rsidRPr="003201DE">
        <w:t>7</w:t>
      </w:r>
      <w:r w:rsidRPr="003201DE">
        <w:t>:</w:t>
      </w:r>
      <w:r>
        <w:t xml:space="preserve"> </w:t>
      </w:r>
      <w:r w:rsidRPr="005C7F65">
        <w:t xml:space="preserve">Results of the stepped economic evaluation </w:t>
      </w:r>
    </w:p>
    <w:tbl>
      <w:tblPr>
        <w:tblW w:w="4539" w:type="pct"/>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131"/>
        <w:gridCol w:w="1135"/>
        <w:gridCol w:w="1135"/>
        <w:gridCol w:w="1078"/>
        <w:gridCol w:w="1081"/>
        <w:gridCol w:w="1078"/>
        <w:gridCol w:w="1016"/>
      </w:tblGrid>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AC777F" w:rsidRDefault="00E20CDD" w:rsidP="004904DD">
            <w:pPr>
              <w:tabs>
                <w:tab w:val="left" w:pos="198"/>
              </w:tabs>
              <w:jc w:val="left"/>
              <w:rPr>
                <w:rFonts w:ascii="Arial Narrow" w:hAnsi="Arial Narrow"/>
                <w:b/>
                <w:sz w:val="20"/>
              </w:rPr>
            </w:pPr>
          </w:p>
        </w:tc>
        <w:tc>
          <w:tcPr>
            <w:tcW w:w="678" w:type="pct"/>
            <w:tcBorders>
              <w:top w:val="single" w:sz="4" w:space="0" w:color="auto"/>
              <w:left w:val="single" w:sz="4" w:space="0" w:color="auto"/>
              <w:bottom w:val="single" w:sz="4" w:space="0" w:color="auto"/>
              <w:right w:val="double" w:sz="4" w:space="0" w:color="auto"/>
            </w:tcBorders>
            <w:vAlign w:val="center"/>
          </w:tcPr>
          <w:p w:rsidR="00E20CDD" w:rsidRPr="00FE36F7" w:rsidRDefault="00E20CDD" w:rsidP="004904DD">
            <w:pPr>
              <w:ind w:right="-20"/>
              <w:jc w:val="center"/>
              <w:rPr>
                <w:rFonts w:ascii="Arial Narrow" w:hAnsi="Arial Narrow"/>
                <w:b/>
                <w:sz w:val="20"/>
              </w:rPr>
            </w:pPr>
            <w:r w:rsidRPr="00FE36F7">
              <w:rPr>
                <w:rFonts w:ascii="Arial Narrow" w:hAnsi="Arial Narrow"/>
                <w:b/>
                <w:sz w:val="20"/>
              </w:rPr>
              <w:t>Afatinib</w:t>
            </w:r>
          </w:p>
        </w:tc>
        <w:tc>
          <w:tcPr>
            <w:tcW w:w="680" w:type="pct"/>
            <w:tcBorders>
              <w:top w:val="single" w:sz="4" w:space="0" w:color="auto"/>
              <w:left w:val="double" w:sz="4" w:space="0" w:color="auto"/>
              <w:bottom w:val="single" w:sz="4" w:space="0" w:color="auto"/>
              <w:right w:val="single" w:sz="4" w:space="0" w:color="auto"/>
            </w:tcBorders>
          </w:tcPr>
          <w:p w:rsidR="00E20CDD" w:rsidRPr="00FE36F7" w:rsidRDefault="00E20CDD" w:rsidP="004904DD">
            <w:pPr>
              <w:jc w:val="center"/>
              <w:rPr>
                <w:rFonts w:ascii="Arial Narrow" w:hAnsi="Arial Narrow"/>
                <w:b/>
                <w:sz w:val="20"/>
              </w:rPr>
            </w:pPr>
            <w:r w:rsidRPr="00FE36F7">
              <w:rPr>
                <w:rFonts w:ascii="Arial Narrow" w:hAnsi="Arial Narrow"/>
                <w:b/>
                <w:sz w:val="20"/>
              </w:rPr>
              <w:t>Erlotinib</w:t>
            </w:r>
          </w:p>
        </w:tc>
        <w:tc>
          <w:tcPr>
            <w:tcW w:w="680" w:type="pct"/>
            <w:tcBorders>
              <w:top w:val="single" w:sz="4" w:space="0" w:color="auto"/>
              <w:left w:val="single" w:sz="4" w:space="0" w:color="auto"/>
              <w:bottom w:val="single" w:sz="4" w:space="0" w:color="auto"/>
              <w:right w:val="double" w:sz="4" w:space="0" w:color="auto"/>
            </w:tcBorders>
          </w:tcPr>
          <w:p w:rsidR="00E20CDD" w:rsidRPr="00FE36F7" w:rsidRDefault="00E20CDD" w:rsidP="004904DD">
            <w:pPr>
              <w:ind w:right="-20"/>
              <w:jc w:val="center"/>
              <w:rPr>
                <w:rFonts w:ascii="Arial Narrow" w:hAnsi="Arial Narrow"/>
                <w:b/>
                <w:sz w:val="20"/>
              </w:rPr>
            </w:pPr>
            <w:r w:rsidRPr="00FE36F7">
              <w:rPr>
                <w:rFonts w:ascii="Arial Narrow" w:hAnsi="Arial Narrow"/>
                <w:b/>
                <w:sz w:val="20"/>
              </w:rPr>
              <w:t>Increment</w:t>
            </w:r>
          </w:p>
        </w:tc>
        <w:tc>
          <w:tcPr>
            <w:tcW w:w="646" w:type="pct"/>
            <w:tcBorders>
              <w:top w:val="single" w:sz="4" w:space="0" w:color="auto"/>
              <w:left w:val="double" w:sz="4" w:space="0" w:color="auto"/>
              <w:bottom w:val="single" w:sz="4" w:space="0" w:color="auto"/>
              <w:right w:val="single" w:sz="4" w:space="0" w:color="auto"/>
            </w:tcBorders>
          </w:tcPr>
          <w:p w:rsidR="00E20CDD" w:rsidRPr="00FE36F7" w:rsidRDefault="00E20CDD" w:rsidP="004904DD">
            <w:pPr>
              <w:jc w:val="center"/>
              <w:rPr>
                <w:rFonts w:ascii="Arial Narrow" w:hAnsi="Arial Narrow"/>
                <w:b/>
                <w:sz w:val="20"/>
              </w:rPr>
            </w:pPr>
            <w:r w:rsidRPr="00FE36F7">
              <w:rPr>
                <w:rFonts w:ascii="Arial Narrow" w:hAnsi="Arial Narrow"/>
                <w:b/>
                <w:sz w:val="20"/>
              </w:rPr>
              <w:t>Gefitinib</w:t>
            </w:r>
          </w:p>
        </w:tc>
        <w:tc>
          <w:tcPr>
            <w:tcW w:w="648" w:type="pct"/>
            <w:tcBorders>
              <w:top w:val="single" w:sz="4" w:space="0" w:color="auto"/>
              <w:left w:val="single" w:sz="4" w:space="0" w:color="auto"/>
              <w:bottom w:val="single" w:sz="4" w:space="0" w:color="auto"/>
              <w:right w:val="double" w:sz="4" w:space="0" w:color="auto"/>
            </w:tcBorders>
          </w:tcPr>
          <w:p w:rsidR="00E20CDD" w:rsidRPr="00FE36F7" w:rsidRDefault="00E20CDD" w:rsidP="004904DD">
            <w:pPr>
              <w:ind w:right="-20"/>
              <w:jc w:val="center"/>
              <w:rPr>
                <w:rFonts w:ascii="Arial Narrow" w:hAnsi="Arial Narrow"/>
                <w:b/>
                <w:sz w:val="20"/>
              </w:rPr>
            </w:pPr>
            <w:r w:rsidRPr="00FE36F7">
              <w:rPr>
                <w:rFonts w:ascii="Arial Narrow" w:hAnsi="Arial Narrow"/>
                <w:b/>
                <w:sz w:val="20"/>
              </w:rPr>
              <w:t>Increment</w:t>
            </w:r>
          </w:p>
        </w:tc>
        <w:tc>
          <w:tcPr>
            <w:tcW w:w="646" w:type="pct"/>
            <w:tcBorders>
              <w:top w:val="single" w:sz="4" w:space="0" w:color="auto"/>
              <w:left w:val="double" w:sz="4" w:space="0" w:color="auto"/>
              <w:bottom w:val="single" w:sz="4" w:space="0" w:color="auto"/>
              <w:right w:val="single" w:sz="4" w:space="0" w:color="auto"/>
            </w:tcBorders>
            <w:vAlign w:val="center"/>
          </w:tcPr>
          <w:p w:rsidR="00E20CDD" w:rsidRPr="00FE36F7" w:rsidRDefault="00E20CDD" w:rsidP="004904DD">
            <w:pPr>
              <w:jc w:val="center"/>
              <w:rPr>
                <w:rFonts w:ascii="Arial Narrow" w:hAnsi="Arial Narrow"/>
                <w:b/>
                <w:sz w:val="20"/>
              </w:rPr>
            </w:pPr>
            <w:r w:rsidRPr="00FE36F7">
              <w:rPr>
                <w:rFonts w:ascii="Arial Narrow" w:hAnsi="Arial Narrow"/>
                <w:b/>
                <w:sz w:val="20"/>
              </w:rPr>
              <w:t>Weighted</w:t>
            </w:r>
            <w:r w:rsidR="00037CA4" w:rsidRPr="00FE36F7">
              <w:rPr>
                <w:rFonts w:ascii="Arial Narrow" w:hAnsi="Arial Narrow"/>
                <w:b/>
                <w:sz w:val="20"/>
                <w:vertAlign w:val="superscript"/>
              </w:rPr>
              <w:t>a</w:t>
            </w:r>
          </w:p>
        </w:tc>
        <w:tc>
          <w:tcPr>
            <w:tcW w:w="609" w:type="pct"/>
            <w:tcBorders>
              <w:top w:val="single" w:sz="4" w:space="0" w:color="auto"/>
              <w:left w:val="single" w:sz="4" w:space="0" w:color="auto"/>
              <w:bottom w:val="single" w:sz="4" w:space="0" w:color="auto"/>
              <w:right w:val="single" w:sz="4" w:space="0" w:color="auto"/>
            </w:tcBorders>
            <w:vAlign w:val="center"/>
          </w:tcPr>
          <w:p w:rsidR="00E20CDD" w:rsidRPr="00FE36F7" w:rsidRDefault="00E20CDD" w:rsidP="004904DD">
            <w:pPr>
              <w:ind w:right="-20"/>
              <w:jc w:val="center"/>
              <w:rPr>
                <w:rFonts w:ascii="Arial Narrow" w:hAnsi="Arial Narrow"/>
                <w:b/>
                <w:sz w:val="20"/>
              </w:rPr>
            </w:pPr>
            <w:r w:rsidRPr="00FE36F7">
              <w:rPr>
                <w:rFonts w:ascii="Arial Narrow" w:hAnsi="Arial Narrow"/>
                <w:b/>
                <w:sz w:val="20"/>
              </w:rPr>
              <w:t>Increment</w:t>
            </w:r>
          </w:p>
        </w:tc>
      </w:tr>
      <w:tr w:rsidR="00E20CDD" w:rsidRPr="00FE36F7" w:rsidTr="00356814">
        <w:trPr>
          <w:cantSplit/>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EEECE1" w:themeFill="background2"/>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Arial Narrow"/>
                <w:b/>
                <w:bCs/>
                <w:sz w:val="20"/>
              </w:rPr>
              <w:t>Step 1: trial-based costs and outcomes</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Costs</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PFLY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7A0739" w:rsidRDefault="00E20CDD" w:rsidP="004904DD">
            <w:pPr>
              <w:ind w:right="-20"/>
              <w:jc w:val="center"/>
              <w:rPr>
                <w:rFonts w:ascii="Arial Narrow" w:hAnsi="Arial Narrow"/>
                <w:b/>
                <w:sz w:val="20"/>
              </w:rPr>
            </w:pPr>
            <w:r w:rsidRPr="007A0739">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PFLY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Less costly, less effective</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Dominant</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EEECE1" w:themeFill="background2"/>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Step 2: modelling post-progression therapies and disease monitoring</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napToGrid/>
                <w:sz w:val="20"/>
              </w:rPr>
              <w:t>Costs</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napToGrid/>
                <w:sz w:val="20"/>
              </w:rPr>
              <w:t>PFLY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E26B18" w:rsidRDefault="00E20CDD" w:rsidP="004904DD">
            <w:pPr>
              <w:ind w:right="-20"/>
              <w:jc w:val="center"/>
              <w:rPr>
                <w:rFonts w:ascii="Arial Narrow" w:hAnsi="Arial Narrow"/>
                <w:b/>
                <w:sz w:val="20"/>
              </w:rPr>
            </w:pPr>
            <w:r w:rsidRPr="00E26B18">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PFLY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Dominated</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D42953">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EEECE1" w:themeFill="background2"/>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Step 3: extrapolation to 5-year time horizon</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napToGrid/>
                <w:sz w:val="20"/>
              </w:rPr>
              <w:t>Costs</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napToGrid/>
                <w:sz w:val="20"/>
              </w:rPr>
              <w:t>PFLY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E26B18" w:rsidRDefault="00E20CDD" w:rsidP="004904DD">
            <w:pPr>
              <w:ind w:right="-20"/>
              <w:jc w:val="center"/>
              <w:rPr>
                <w:rFonts w:ascii="Arial Narrow" w:hAnsi="Arial Narrow"/>
                <w:b/>
                <w:sz w:val="20"/>
              </w:rPr>
            </w:pPr>
            <w:r w:rsidRPr="00E26B18">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PFLY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Dominated</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FE36F7"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LY gained</w:t>
            </w:r>
          </w:p>
        </w:tc>
        <w:tc>
          <w:tcPr>
            <w:tcW w:w="1360"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94" w:type="pct"/>
            <w:gridSpan w:val="2"/>
            <w:tcBorders>
              <w:top w:val="single" w:sz="4" w:space="0" w:color="auto"/>
              <w:left w:val="double" w:sz="4" w:space="0" w:color="auto"/>
              <w:bottom w:val="single" w:sz="4" w:space="0" w:color="auto"/>
              <w:right w:val="doub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r w:rsidR="00E20CDD" w:rsidRPr="00FE36F7" w:rsidTr="00356814">
        <w:trPr>
          <w:cantSplit/>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EEECE1" w:themeFill="background2"/>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Step 4: transformation</w:t>
            </w:r>
            <w:r w:rsidRPr="00FE36F7">
              <w:t xml:space="preserve"> </w:t>
            </w:r>
            <w:r w:rsidRPr="00FE36F7">
              <w:rPr>
                <w:rFonts w:ascii="Arial Narrow" w:hAnsi="Arial Narrow" w:cs="Times New Roman"/>
                <w:b/>
                <w:snapToGrid/>
                <w:sz w:val="20"/>
              </w:rPr>
              <w:t>of outcomes into QALYs</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napToGrid/>
                <w:sz w:val="20"/>
              </w:rPr>
              <w:t>Costs</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FE36F7" w:rsidRDefault="00E20CDD" w:rsidP="004904DD">
            <w:pPr>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FE36F7" w:rsidRDefault="00E20CDD" w:rsidP="004904DD">
            <w:pPr>
              <w:ind w:right="-20"/>
              <w:jc w:val="center"/>
              <w:rPr>
                <w:rFonts w:ascii="Arial Narrow" w:hAnsi="Arial Narrow"/>
                <w:b/>
                <w:sz w:val="20"/>
              </w:rPr>
            </w:pPr>
            <w:r w:rsidRPr="00FE36F7">
              <w:rPr>
                <w:rFonts w:ascii="Arial Narrow" w:hAnsi="Arial Narrow"/>
                <w:sz w:val="20"/>
              </w:rPr>
              <w:t>$</w:t>
            </w:r>
            <w:r w:rsidR="00393C73">
              <w:rPr>
                <w:rFonts w:ascii="Arial Narrow" w:hAnsi="Arial Narrow"/>
                <w:noProof/>
                <w:color w:val="000000"/>
                <w:sz w:val="20"/>
                <w:highlight w:val="black"/>
              </w:rPr>
              <w:t>'''''''''''''''</w:t>
            </w:r>
          </w:p>
        </w:tc>
      </w:tr>
      <w:tr w:rsidR="00E20CDD" w:rsidRPr="00FE36F7" w:rsidTr="00356814">
        <w:trPr>
          <w:cantSplit/>
          <w:trHeight w:val="20"/>
          <w:tblHeader/>
        </w:trPr>
        <w:tc>
          <w:tcPr>
            <w:tcW w:w="4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20CDD" w:rsidRPr="00FE36F7" w:rsidRDefault="00E20CDD" w:rsidP="004904DD">
            <w:pPr>
              <w:tabs>
                <w:tab w:val="left" w:pos="198"/>
              </w:tabs>
              <w:jc w:val="left"/>
              <w:rPr>
                <w:rFonts w:ascii="Arial Narrow" w:hAnsi="Arial Narrow"/>
                <w:b/>
                <w:sz w:val="20"/>
              </w:rPr>
            </w:pPr>
            <w:r w:rsidRPr="00FE36F7">
              <w:rPr>
                <w:rFonts w:ascii="Arial Narrow" w:hAnsi="Arial Narrow" w:cs="Times New Roman"/>
                <w:sz w:val="20"/>
              </w:rPr>
              <w:t>QALY</w:t>
            </w:r>
          </w:p>
        </w:tc>
        <w:tc>
          <w:tcPr>
            <w:tcW w:w="67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80"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48" w:type="pct"/>
            <w:tcBorders>
              <w:top w:val="single" w:sz="4" w:space="0" w:color="auto"/>
              <w:left w:val="single" w:sz="4" w:space="0" w:color="auto"/>
              <w:bottom w:val="single" w:sz="4" w:space="0" w:color="auto"/>
              <w:right w:val="doub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c>
          <w:tcPr>
            <w:tcW w:w="646" w:type="pct"/>
            <w:tcBorders>
              <w:top w:val="single" w:sz="4" w:space="0" w:color="auto"/>
              <w:left w:val="double" w:sz="4" w:space="0" w:color="auto"/>
              <w:bottom w:val="single" w:sz="4" w:space="0" w:color="auto"/>
              <w:right w:val="single" w:sz="4" w:space="0" w:color="auto"/>
            </w:tcBorders>
            <w:vAlign w:val="bottom"/>
          </w:tcPr>
          <w:p w:rsidR="00E20CDD" w:rsidRPr="00393C73" w:rsidRDefault="00393C73" w:rsidP="004904DD">
            <w:pPr>
              <w:jc w:val="center"/>
              <w:rPr>
                <w:rFonts w:ascii="Arial Narrow" w:hAnsi="Arial Narrow"/>
                <w:b/>
                <w:sz w:val="20"/>
                <w:highlight w:val="black"/>
              </w:rPr>
            </w:pPr>
            <w:r>
              <w:rPr>
                <w:rFonts w:ascii="Arial Narrow" w:hAnsi="Arial Narrow"/>
                <w:noProof/>
                <w:color w:val="000000"/>
                <w:sz w:val="20"/>
                <w:highlight w:val="black"/>
              </w:rPr>
              <w:t>'''''''''''</w:t>
            </w:r>
          </w:p>
        </w:tc>
        <w:tc>
          <w:tcPr>
            <w:tcW w:w="609" w:type="pct"/>
            <w:tcBorders>
              <w:top w:val="single" w:sz="4" w:space="0" w:color="auto"/>
              <w:left w:val="single" w:sz="4" w:space="0" w:color="auto"/>
              <w:bottom w:val="single" w:sz="4" w:space="0" w:color="auto"/>
              <w:right w:val="single" w:sz="4" w:space="0" w:color="auto"/>
            </w:tcBorders>
            <w:vAlign w:val="bottom"/>
          </w:tcPr>
          <w:p w:rsidR="00E20CDD" w:rsidRPr="00393C73" w:rsidRDefault="00393C73" w:rsidP="004904DD">
            <w:pPr>
              <w:ind w:right="-20"/>
              <w:jc w:val="center"/>
              <w:rPr>
                <w:rFonts w:ascii="Arial Narrow" w:hAnsi="Arial Narrow"/>
                <w:b/>
                <w:sz w:val="20"/>
                <w:highlight w:val="black"/>
              </w:rPr>
            </w:pPr>
            <w:r>
              <w:rPr>
                <w:rFonts w:ascii="Arial Narrow" w:hAnsi="Arial Narrow"/>
                <w:noProof/>
                <w:color w:val="000000"/>
                <w:sz w:val="20"/>
                <w:highlight w:val="black"/>
              </w:rPr>
              <w:t>''''''''''</w:t>
            </w:r>
          </w:p>
        </w:tc>
      </w:tr>
      <w:tr w:rsidR="00E20CDD" w:rsidRPr="00AC777F" w:rsidTr="00356814">
        <w:trPr>
          <w:cantSplit/>
          <w:trHeight w:val="20"/>
          <w:tblHeader/>
        </w:trPr>
        <w:tc>
          <w:tcPr>
            <w:tcW w:w="1091" w:type="pct"/>
            <w:gridSpan w:val="2"/>
            <w:tcBorders>
              <w:top w:val="single" w:sz="4" w:space="0" w:color="auto"/>
              <w:left w:val="single" w:sz="4" w:space="0" w:color="auto"/>
              <w:bottom w:val="single" w:sz="4" w:space="0" w:color="auto"/>
              <w:right w:val="double" w:sz="4" w:space="0" w:color="auto"/>
            </w:tcBorders>
            <w:shd w:val="clear" w:color="auto" w:fill="EEECE1" w:themeFill="background2"/>
            <w:tcMar>
              <w:left w:w="57" w:type="dxa"/>
              <w:right w:w="57" w:type="dxa"/>
            </w:tcMar>
            <w:vAlign w:val="center"/>
          </w:tcPr>
          <w:p w:rsidR="00E20CDD" w:rsidRPr="00FE36F7" w:rsidRDefault="00E20CDD" w:rsidP="004904DD">
            <w:pPr>
              <w:ind w:right="-20"/>
              <w:jc w:val="left"/>
              <w:rPr>
                <w:rFonts w:ascii="Arial Narrow" w:hAnsi="Arial Narrow"/>
                <w:b/>
                <w:sz w:val="20"/>
              </w:rPr>
            </w:pPr>
            <w:r w:rsidRPr="00FE36F7">
              <w:rPr>
                <w:rFonts w:ascii="Arial Narrow" w:hAnsi="Arial Narrow" w:cs="Times New Roman"/>
                <w:b/>
                <w:snapToGrid/>
                <w:sz w:val="20"/>
              </w:rPr>
              <w:t>Incremental cost/ QALY gained</w:t>
            </w:r>
          </w:p>
        </w:tc>
        <w:tc>
          <w:tcPr>
            <w:tcW w:w="1360" w:type="pct"/>
            <w:gridSpan w:val="2"/>
            <w:tcBorders>
              <w:top w:val="single" w:sz="4" w:space="0" w:color="auto"/>
              <w:left w:val="double" w:sz="4" w:space="0" w:color="auto"/>
              <w:bottom w:val="single" w:sz="4" w:space="0" w:color="auto"/>
              <w:right w:val="double" w:sz="4" w:space="0" w:color="auto"/>
            </w:tcBorders>
            <w:shd w:val="clear" w:color="auto" w:fill="EEECE1" w:themeFill="background2"/>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94" w:type="pct"/>
            <w:gridSpan w:val="2"/>
            <w:tcBorders>
              <w:top w:val="single" w:sz="4" w:space="0" w:color="auto"/>
              <w:left w:val="double" w:sz="4" w:space="0" w:color="auto"/>
              <w:bottom w:val="single" w:sz="4" w:space="0" w:color="auto"/>
              <w:right w:val="double" w:sz="4" w:space="0" w:color="auto"/>
            </w:tcBorders>
            <w:shd w:val="clear" w:color="auto" w:fill="EEECE1" w:themeFill="background2"/>
            <w:vAlign w:val="bottom"/>
          </w:tcPr>
          <w:p w:rsidR="00E20CDD" w:rsidRPr="00FE36F7"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c>
          <w:tcPr>
            <w:tcW w:w="1255" w:type="pct"/>
            <w:gridSpan w:val="2"/>
            <w:tcBorders>
              <w:top w:val="single" w:sz="4" w:space="0" w:color="auto"/>
              <w:left w:val="double" w:sz="4" w:space="0" w:color="auto"/>
              <w:bottom w:val="single" w:sz="4" w:space="0" w:color="auto"/>
              <w:right w:val="single" w:sz="4" w:space="0" w:color="auto"/>
            </w:tcBorders>
            <w:shd w:val="clear" w:color="auto" w:fill="EEECE1" w:themeFill="background2"/>
            <w:vAlign w:val="bottom"/>
          </w:tcPr>
          <w:p w:rsidR="00E20CDD" w:rsidRDefault="00E20CDD" w:rsidP="004904DD">
            <w:pPr>
              <w:ind w:right="-20"/>
              <w:jc w:val="right"/>
              <w:rPr>
                <w:rFonts w:ascii="Arial Narrow" w:hAnsi="Arial Narrow"/>
                <w:b/>
                <w:sz w:val="20"/>
              </w:rPr>
            </w:pPr>
            <w:r w:rsidRPr="00FE36F7">
              <w:rPr>
                <w:rFonts w:ascii="Arial Narrow" w:hAnsi="Arial Narrow"/>
                <w:b/>
                <w:sz w:val="20"/>
              </w:rPr>
              <w:t>$</w:t>
            </w:r>
            <w:r w:rsidR="00393C73">
              <w:rPr>
                <w:rFonts w:ascii="Arial Narrow" w:hAnsi="Arial Narrow"/>
                <w:b/>
                <w:noProof/>
                <w:color w:val="000000"/>
                <w:sz w:val="20"/>
                <w:highlight w:val="black"/>
              </w:rPr>
              <w:t>'''''''''''''</w:t>
            </w:r>
          </w:p>
        </w:tc>
      </w:tr>
    </w:tbl>
    <w:p w:rsidR="00E20CDD" w:rsidRDefault="00E20CDD" w:rsidP="00E20CDD">
      <w:pPr>
        <w:pStyle w:val="TableFooter"/>
        <w:ind w:left="720"/>
      </w:pPr>
      <w:r>
        <w:t>PFLY = progression-free life year; LY = life year; QA</w:t>
      </w:r>
      <w:r w:rsidR="00EE6C47">
        <w:t>LY = quality-adjusted life year</w:t>
      </w:r>
    </w:p>
    <w:p w:rsidR="00037CA4" w:rsidRDefault="00037CA4" w:rsidP="00E20CDD">
      <w:pPr>
        <w:pStyle w:val="TableFooter"/>
        <w:ind w:left="720"/>
      </w:pPr>
      <w:r w:rsidRPr="00037CA4">
        <w:rPr>
          <w:vertAlign w:val="superscript"/>
        </w:rPr>
        <w:t>a</w:t>
      </w:r>
      <w:r>
        <w:t xml:space="preserve"> The analysis was weighted 70% erlotinib: 30% gefitinib.</w:t>
      </w:r>
    </w:p>
    <w:p w:rsidR="00F31F81" w:rsidRDefault="00F31F81" w:rsidP="00E20CDD">
      <w:pPr>
        <w:pStyle w:val="TableFooter"/>
        <w:ind w:left="720"/>
      </w:pPr>
    </w:p>
    <w:p w:rsidR="00037CA4" w:rsidRPr="00C31854" w:rsidRDefault="00037CA4" w:rsidP="0090717E">
      <w:pPr>
        <w:pStyle w:val="ListParagraph"/>
        <w:widowControl/>
        <w:numPr>
          <w:ilvl w:val="1"/>
          <w:numId w:val="1"/>
        </w:numPr>
        <w:rPr>
          <w:szCs w:val="22"/>
        </w:rPr>
      </w:pPr>
      <w:r>
        <w:t xml:space="preserve">In the comparison of afatinib </w:t>
      </w:r>
      <w:r w:rsidR="00D42953">
        <w:t>with</w:t>
      </w:r>
      <w:r>
        <w:t xml:space="preserve"> erlotinib, the afatinib arm was associated with fewer progression-free life years (PFLYs), and so fewer progression-free QALYs, as afatinib was modelled to have inferior PFS, but with net life-year and QALY gains resulting from the superior OS modelled.</w:t>
      </w:r>
      <w:r w:rsidR="00D42953">
        <w:t xml:space="preserve"> </w:t>
      </w:r>
      <w:r>
        <w:t xml:space="preserve"> </w:t>
      </w:r>
      <w:r w:rsidRPr="00666F46">
        <w:t xml:space="preserve">This was not plausible, as it was assumed that benefits of afatinib would continue after treatment was stopped. </w:t>
      </w:r>
      <w:r w:rsidR="00D42953" w:rsidRPr="00666F46">
        <w:t xml:space="preserve"> </w:t>
      </w:r>
      <w:r w:rsidRPr="00666F46">
        <w:t>As neither of the HRs (PFS, OS) of afatinib compared to erlotinib reached statistical significance, the direction and magnitude of the effect is highly uncertain.</w:t>
      </w:r>
      <w:r w:rsidR="009840F6">
        <w:t xml:space="preserve"> </w:t>
      </w:r>
      <w:r w:rsidR="009840F6" w:rsidRPr="00C31854">
        <w:t xml:space="preserve">The PSCR agreed that this result is not clinically plausible, stating that </w:t>
      </w:r>
      <w:r w:rsidR="009840F6" w:rsidRPr="00C31854">
        <w:rPr>
          <w:iCs/>
        </w:rPr>
        <w:t>the “aim of the economic evaluation was only to quantify any observed differences, irrespective of statistical significance or methodological correctness, to enable the PBAC to determine afatinib has unique characteristics compared to gefitinib and erlotinib and hence meets the criteria for a SPA”.</w:t>
      </w:r>
    </w:p>
    <w:p w:rsidR="00037CA4" w:rsidRPr="00D42953" w:rsidRDefault="00037CA4" w:rsidP="00037CA4">
      <w:pPr>
        <w:widowControl/>
        <w:rPr>
          <w:szCs w:val="22"/>
        </w:rPr>
      </w:pPr>
    </w:p>
    <w:p w:rsidR="00037CA4" w:rsidRPr="00B50DB8" w:rsidRDefault="00037CA4" w:rsidP="0090717E">
      <w:pPr>
        <w:pStyle w:val="ListParagraph"/>
        <w:widowControl/>
        <w:numPr>
          <w:ilvl w:val="1"/>
          <w:numId w:val="1"/>
        </w:numPr>
        <w:rPr>
          <w:szCs w:val="22"/>
        </w:rPr>
      </w:pPr>
      <w:r>
        <w:rPr>
          <w:szCs w:val="22"/>
        </w:rPr>
        <w:t xml:space="preserve">The PBAC </w:t>
      </w:r>
      <w:r w:rsidR="00D42953">
        <w:rPr>
          <w:szCs w:val="22"/>
        </w:rPr>
        <w:t xml:space="preserve">has previously concluded that </w:t>
      </w:r>
      <w:r>
        <w:rPr>
          <w:szCs w:val="22"/>
        </w:rPr>
        <w:t xml:space="preserve">the two comparators in the model – erlotinib and gefitinib </w:t>
      </w:r>
      <w:r w:rsidR="00D42953">
        <w:rPr>
          <w:szCs w:val="22"/>
        </w:rPr>
        <w:t>–</w:t>
      </w:r>
      <w:r>
        <w:rPr>
          <w:szCs w:val="22"/>
        </w:rPr>
        <w:t xml:space="preserve"> </w:t>
      </w:r>
      <w:r w:rsidR="00D42953">
        <w:rPr>
          <w:szCs w:val="22"/>
        </w:rPr>
        <w:t>a</w:t>
      </w:r>
      <w:r>
        <w:rPr>
          <w:szCs w:val="22"/>
        </w:rPr>
        <w:t>re</w:t>
      </w:r>
      <w:r w:rsidR="00D42953">
        <w:rPr>
          <w:szCs w:val="22"/>
        </w:rPr>
        <w:t xml:space="preserve"> </w:t>
      </w:r>
      <w:r>
        <w:rPr>
          <w:szCs w:val="22"/>
        </w:rPr>
        <w:t xml:space="preserve">non-inferior to each other and they were PBS listed on a cost-minimisation basis for NSCLC patients with any activating mutations.  </w:t>
      </w:r>
      <w:r w:rsidRPr="00666F46">
        <w:rPr>
          <w:szCs w:val="22"/>
        </w:rPr>
        <w:t>However, erlotinib and gefitinib were not considered to be equi-effective in this afatinib model, due to the point estimates of treatment effect of afatinib (based on</w:t>
      </w:r>
      <w:r w:rsidR="000B324E">
        <w:rPr>
          <w:szCs w:val="22"/>
        </w:rPr>
        <w:t xml:space="preserve"> the indirect comparison of sub</w:t>
      </w:r>
      <w:r w:rsidRPr="00666F46">
        <w:rPr>
          <w:szCs w:val="22"/>
        </w:rPr>
        <w:t>groups within trials) differing according to the comparator.</w:t>
      </w:r>
      <w:r w:rsidR="00CA77B6">
        <w:rPr>
          <w:szCs w:val="22"/>
        </w:rPr>
        <w:t xml:space="preserve"> </w:t>
      </w:r>
      <w:r w:rsidR="00CA77B6" w:rsidRPr="00CD5BA0">
        <w:t xml:space="preserve">The </w:t>
      </w:r>
      <w:r w:rsidR="00CA77B6" w:rsidRPr="00CD5BA0">
        <w:lastRenderedPageBreak/>
        <w:t xml:space="preserve">PSCR) argued that </w:t>
      </w:r>
      <w:r w:rsidR="00CA77B6" w:rsidRPr="00CD5BA0">
        <w:rPr>
          <w:iCs/>
        </w:rPr>
        <w:t>the subgroup analysis of the afatinib data indicate</w:t>
      </w:r>
      <w:r w:rsidR="008814A3">
        <w:rPr>
          <w:iCs/>
        </w:rPr>
        <w:t>d</w:t>
      </w:r>
      <w:r w:rsidR="00CA77B6" w:rsidRPr="00CD5BA0">
        <w:rPr>
          <w:iCs/>
        </w:rPr>
        <w:t xml:space="preserve"> improved survival for patients with exon 19 deletion mutations compared to the complete common EGFR mutation population and that there may be differences in the comparative efficacy and safety when assessed separately by patients with exon 19 deletion mutations.</w:t>
      </w:r>
    </w:p>
    <w:p w:rsidR="00037CA4" w:rsidRPr="00A86E8B" w:rsidRDefault="00037CA4" w:rsidP="00037CA4">
      <w:pPr>
        <w:widowControl/>
        <w:rPr>
          <w:szCs w:val="22"/>
        </w:rPr>
      </w:pPr>
    </w:p>
    <w:p w:rsidR="00037CA4" w:rsidRPr="00EC7F3D" w:rsidRDefault="00847C9C" w:rsidP="0090717E">
      <w:pPr>
        <w:pStyle w:val="ListParagraph"/>
        <w:widowControl/>
        <w:numPr>
          <w:ilvl w:val="1"/>
          <w:numId w:val="1"/>
        </w:numPr>
        <w:rPr>
          <w:szCs w:val="22"/>
        </w:rPr>
      </w:pPr>
      <w:r>
        <w:t>S</w:t>
      </w:r>
      <w:r w:rsidR="00037CA4">
        <w:t xml:space="preserve">ensitivity analyses </w:t>
      </w:r>
      <w:r>
        <w:t xml:space="preserve">were </w:t>
      </w:r>
      <w:r w:rsidR="00037CA4">
        <w:t>presented in the re-submission</w:t>
      </w:r>
      <w:r w:rsidR="00037CA4" w:rsidRPr="009840F6">
        <w:t>.</w:t>
      </w:r>
      <w:r w:rsidR="00D42953">
        <w:t xml:space="preserve"> </w:t>
      </w:r>
      <w:r w:rsidR="00037CA4">
        <w:t xml:space="preserve"> </w:t>
      </w:r>
      <w:r w:rsidR="00037CA4" w:rsidRPr="00666F46">
        <w:t>The results indicated that the model was most sensitive to the hazard ratios obtained from the indirect comparison and these were, in turn, uncertain.</w:t>
      </w:r>
    </w:p>
    <w:p w:rsidR="00E20CDD" w:rsidRPr="00D42953" w:rsidRDefault="00E20CDD" w:rsidP="00E20CDD">
      <w:pPr>
        <w:rPr>
          <w:szCs w:val="22"/>
        </w:rPr>
      </w:pPr>
    </w:p>
    <w:p w:rsidR="00E20CDD" w:rsidRPr="00666F46" w:rsidRDefault="00E20CDD" w:rsidP="0090717E">
      <w:pPr>
        <w:pStyle w:val="ListParagraph"/>
        <w:widowControl/>
        <w:numPr>
          <w:ilvl w:val="1"/>
          <w:numId w:val="1"/>
        </w:numPr>
        <w:rPr>
          <w:szCs w:val="22"/>
        </w:rPr>
      </w:pPr>
      <w:r w:rsidRPr="00666F46">
        <w:rPr>
          <w:szCs w:val="22"/>
        </w:rPr>
        <w:t xml:space="preserve">During the evaluation, additional sensitivity analyses were performed and </w:t>
      </w:r>
      <w:r w:rsidR="00037CA4" w:rsidRPr="00666F46">
        <w:rPr>
          <w:szCs w:val="22"/>
        </w:rPr>
        <w:t xml:space="preserve">the </w:t>
      </w:r>
      <w:r w:rsidRPr="00666F46">
        <w:rPr>
          <w:szCs w:val="22"/>
        </w:rPr>
        <w:t>ke</w:t>
      </w:r>
      <w:r w:rsidR="00D42953" w:rsidRPr="00666F46">
        <w:rPr>
          <w:szCs w:val="22"/>
        </w:rPr>
        <w:t>y results are summarised below.</w:t>
      </w:r>
    </w:p>
    <w:p w:rsidR="00E20CDD" w:rsidRPr="00D42953" w:rsidRDefault="00E20CDD" w:rsidP="00D42953">
      <w:pPr>
        <w:pStyle w:val="Caption"/>
        <w:rPr>
          <w:rFonts w:ascii="Arial" w:hAnsi="Arial"/>
          <w:b w:val="0"/>
          <w:sz w:val="22"/>
          <w:szCs w:val="22"/>
        </w:rPr>
      </w:pPr>
    </w:p>
    <w:p w:rsidR="00E20CDD" w:rsidRPr="00666F46" w:rsidRDefault="00E20CDD" w:rsidP="00E20CDD">
      <w:pPr>
        <w:pStyle w:val="Caption"/>
        <w:ind w:firstLine="720"/>
      </w:pPr>
      <w:r w:rsidRPr="00666F46">
        <w:t xml:space="preserve">Table </w:t>
      </w:r>
      <w:r w:rsidR="003201DE" w:rsidRPr="00666F46">
        <w:t>8</w:t>
      </w:r>
      <w:r w:rsidRPr="00666F46">
        <w:t>: Results of sensitivity analyses conducted during the evaluation</w:t>
      </w:r>
    </w:p>
    <w:tbl>
      <w:tblPr>
        <w:tblW w:w="0" w:type="auto"/>
        <w:tblInd w:w="822" w:type="dxa"/>
        <w:tblCellMar>
          <w:left w:w="0" w:type="dxa"/>
          <w:right w:w="0" w:type="dxa"/>
        </w:tblCellMar>
        <w:tblLook w:val="04A0" w:firstRow="1" w:lastRow="0" w:firstColumn="1" w:lastColumn="0" w:noHBand="0" w:noVBand="1"/>
      </w:tblPr>
      <w:tblGrid>
        <w:gridCol w:w="4673"/>
        <w:gridCol w:w="1146"/>
        <w:gridCol w:w="1276"/>
        <w:gridCol w:w="1276"/>
      </w:tblGrid>
      <w:tr w:rsidR="00E20CDD" w:rsidRPr="00666F46" w:rsidTr="00356814">
        <w:tc>
          <w:tcPr>
            <w:tcW w:w="467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CDD" w:rsidRPr="00666F46" w:rsidRDefault="00E20CDD" w:rsidP="004904DD">
            <w:pPr>
              <w:widowControl/>
              <w:snapToGrid w:val="0"/>
              <w:jc w:val="left"/>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Parameters tested</w:t>
            </w:r>
          </w:p>
        </w:tc>
        <w:tc>
          <w:tcPr>
            <w:tcW w:w="36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CDD" w:rsidRPr="00666F46" w:rsidRDefault="00E20CDD" w:rsidP="004904DD">
            <w:pPr>
              <w:widowControl/>
              <w:snapToGrid w:val="0"/>
              <w:jc w:val="center"/>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ICER</w:t>
            </w:r>
          </w:p>
        </w:tc>
      </w:tr>
      <w:tr w:rsidR="00E20CDD" w:rsidRPr="00666F46" w:rsidTr="00356814">
        <w:tc>
          <w:tcPr>
            <w:tcW w:w="4673" w:type="dxa"/>
            <w:vMerge/>
            <w:tcBorders>
              <w:top w:val="single" w:sz="8" w:space="0" w:color="auto"/>
              <w:left w:val="single" w:sz="8" w:space="0" w:color="auto"/>
              <w:bottom w:val="single" w:sz="8" w:space="0" w:color="auto"/>
              <w:right w:val="single" w:sz="8" w:space="0" w:color="auto"/>
            </w:tcBorders>
            <w:vAlign w:val="center"/>
            <w:hideMark/>
          </w:tcPr>
          <w:p w:rsidR="00E20CDD" w:rsidRPr="00666F46" w:rsidRDefault="00E20CDD" w:rsidP="004904DD">
            <w:pPr>
              <w:widowControl/>
              <w:jc w:val="left"/>
              <w:rPr>
                <w:rFonts w:ascii="Arial Narrow" w:eastAsiaTheme="minorHAnsi" w:hAnsi="Arial Narrow" w:cs="Times New Roman"/>
                <w:b/>
                <w:bCs/>
                <w:snapToGrid/>
                <w:sz w:val="20"/>
              </w:rPr>
            </w:pP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E20CDD" w:rsidRPr="00666F46" w:rsidRDefault="00E20CDD" w:rsidP="004904DD">
            <w:pPr>
              <w:widowControl/>
              <w:snapToGrid w:val="0"/>
              <w:jc w:val="center"/>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Erlotinib comparison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20CDD" w:rsidRPr="00666F46" w:rsidRDefault="00E20CDD" w:rsidP="004904DD">
            <w:pPr>
              <w:widowControl/>
              <w:snapToGrid w:val="0"/>
              <w:jc w:val="center"/>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Gefitinib comparison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20CDD" w:rsidRPr="00666F46" w:rsidRDefault="00E20CDD" w:rsidP="004904DD">
            <w:pPr>
              <w:widowControl/>
              <w:snapToGrid w:val="0"/>
              <w:jc w:val="center"/>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Weighted comparison</w:t>
            </w:r>
            <w:r w:rsidR="00037CA4" w:rsidRPr="00666F46">
              <w:rPr>
                <w:rFonts w:ascii="Arial Narrow" w:eastAsiaTheme="minorHAnsi" w:hAnsi="Arial Narrow" w:cs="Times New Roman"/>
                <w:b/>
                <w:bCs/>
                <w:snapToGrid/>
                <w:sz w:val="20"/>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CDD" w:rsidRPr="00666F46" w:rsidRDefault="00E20CDD" w:rsidP="004904DD">
            <w:pPr>
              <w:widowControl/>
              <w:snapToGrid w:val="0"/>
              <w:jc w:val="left"/>
              <w:rPr>
                <w:rFonts w:ascii="Arial Narrow" w:eastAsiaTheme="minorHAnsi" w:hAnsi="Arial Narrow" w:cs="Times New Roman"/>
                <w:snapToGrid/>
                <w:sz w:val="20"/>
              </w:rPr>
            </w:pPr>
            <w:r w:rsidRPr="00666F46">
              <w:rPr>
                <w:rFonts w:ascii="Arial Narrow" w:eastAsiaTheme="minorHAnsi" w:hAnsi="Arial Narrow" w:cs="Times New Roman"/>
                <w:b/>
                <w:bCs/>
                <w:snapToGrid/>
                <w:sz w:val="20"/>
              </w:rPr>
              <w:t>Base case</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b/>
                <w:bCs/>
                <w:snapToGrid/>
                <w:sz w:val="20"/>
              </w:rPr>
              <w:t>$</w:t>
            </w:r>
            <w:r w:rsidR="00393C73">
              <w:rPr>
                <w:rFonts w:ascii="Arial Narrow" w:eastAsiaTheme="minorHAnsi" w:hAnsi="Arial Narrow" w:cs="Times New Roman"/>
                <w:b/>
                <w:bCs/>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b/>
                <w:bCs/>
                <w:snapToGrid/>
                <w:sz w:val="20"/>
              </w:rPr>
              <w:t>$</w:t>
            </w:r>
            <w:r w:rsidR="00393C73">
              <w:rPr>
                <w:rFonts w:ascii="Arial Narrow" w:eastAsiaTheme="minorHAnsi" w:hAnsi="Arial Narrow" w:cs="Times New Roman"/>
                <w:b/>
                <w:bCs/>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b/>
                <w:bCs/>
                <w:snapToGrid/>
                <w:sz w:val="20"/>
              </w:rPr>
              <w:t>$</w:t>
            </w:r>
            <w:r w:rsidR="00393C73">
              <w:rPr>
                <w:rFonts w:ascii="Arial Narrow" w:eastAsiaTheme="minorHAnsi" w:hAnsi="Arial Narrow" w:cs="Times New Roman"/>
                <w:b/>
                <w:bCs/>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nil"/>
            </w:tcBorders>
            <w:tcMar>
              <w:top w:w="0" w:type="dxa"/>
              <w:left w:w="108" w:type="dxa"/>
              <w:bottom w:w="0" w:type="dxa"/>
              <w:right w:w="108" w:type="dxa"/>
            </w:tcMar>
            <w:vAlign w:val="bottom"/>
            <w:hideMark/>
          </w:tcPr>
          <w:p w:rsidR="00E20CDD" w:rsidRPr="00666F46" w:rsidRDefault="00E20CDD" w:rsidP="004904DD">
            <w:pPr>
              <w:widowControl/>
              <w:snapToGrid w:val="0"/>
              <w:jc w:val="left"/>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Key univariate analyses</w:t>
            </w:r>
          </w:p>
        </w:tc>
        <w:tc>
          <w:tcPr>
            <w:tcW w:w="1146" w:type="dxa"/>
            <w:tcBorders>
              <w:top w:val="nil"/>
              <w:left w:val="nil"/>
              <w:bottom w:val="single" w:sz="8" w:space="0" w:color="auto"/>
              <w:right w:val="nil"/>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sz w:val="20"/>
              </w:rPr>
            </w:pPr>
          </w:p>
        </w:tc>
        <w:tc>
          <w:tcPr>
            <w:tcW w:w="1276" w:type="dxa"/>
            <w:tcBorders>
              <w:top w:val="nil"/>
              <w:left w:val="nil"/>
              <w:bottom w:val="single" w:sz="8" w:space="0" w:color="auto"/>
              <w:right w:val="nil"/>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color w:val="000000"/>
                <w:sz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color w:val="000000"/>
                <w:sz w:val="20"/>
              </w:rPr>
            </w:pP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Weighting of time spent in each treatment post-progression for erlotinib is assumed to be the same as for afatinib</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Cost of afatinib based on 40</w:t>
            </w:r>
            <w:r w:rsidR="00ED6C4A" w:rsidRPr="00666F46">
              <w:rPr>
                <w:rFonts w:ascii="Arial Narrow" w:eastAsiaTheme="minorHAnsi" w:hAnsi="Arial Narrow"/>
                <w:snapToGrid/>
                <w:sz w:val="20"/>
              </w:rPr>
              <w:t> </w:t>
            </w:r>
            <w:r w:rsidRPr="00666F46">
              <w:rPr>
                <w:rFonts w:ascii="Arial Narrow" w:eastAsiaTheme="minorHAnsi" w:hAnsi="Arial Narrow"/>
                <w:snapToGrid/>
                <w:sz w:val="20"/>
              </w:rPr>
              <w:t>mg DPMQ</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Cost of erlotinib based on 150</w:t>
            </w:r>
            <w:r w:rsidR="00ED6C4A" w:rsidRPr="00666F46">
              <w:rPr>
                <w:rFonts w:ascii="Arial Narrow" w:eastAsiaTheme="minorHAnsi" w:hAnsi="Arial Narrow"/>
                <w:snapToGrid/>
                <w:sz w:val="20"/>
              </w:rPr>
              <w:t> </w:t>
            </w:r>
            <w:r w:rsidRPr="00666F46">
              <w:rPr>
                <w:rFonts w:ascii="Arial Narrow" w:eastAsiaTheme="minorHAnsi" w:hAnsi="Arial Narrow"/>
                <w:snapToGrid/>
                <w:sz w:val="20"/>
              </w:rPr>
              <w:t>mg DPMQ</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sz w:val="20"/>
              </w:rPr>
              <w:t>Dominant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nil"/>
            </w:tcBorders>
            <w:tcMar>
              <w:top w:w="0" w:type="dxa"/>
              <w:left w:w="108" w:type="dxa"/>
              <w:bottom w:w="0" w:type="dxa"/>
              <w:right w:w="108" w:type="dxa"/>
            </w:tcMar>
            <w:vAlign w:val="bottom"/>
            <w:hideMark/>
          </w:tcPr>
          <w:p w:rsidR="00E20CDD" w:rsidRPr="00666F46" w:rsidRDefault="00E20CDD" w:rsidP="004904DD">
            <w:pPr>
              <w:widowControl/>
              <w:snapToGrid w:val="0"/>
              <w:jc w:val="left"/>
              <w:rPr>
                <w:rFonts w:ascii="Arial Narrow" w:eastAsiaTheme="minorHAnsi" w:hAnsi="Arial Narrow" w:cs="Times New Roman"/>
                <w:b/>
                <w:bCs/>
                <w:snapToGrid/>
                <w:sz w:val="20"/>
              </w:rPr>
            </w:pPr>
            <w:r w:rsidRPr="00666F46">
              <w:rPr>
                <w:rFonts w:ascii="Arial Narrow" w:eastAsiaTheme="minorHAnsi" w:hAnsi="Arial Narrow" w:cs="Times New Roman"/>
                <w:b/>
                <w:bCs/>
                <w:snapToGrid/>
                <w:sz w:val="20"/>
              </w:rPr>
              <w:t>Multivariate analyses</w:t>
            </w:r>
          </w:p>
        </w:tc>
        <w:tc>
          <w:tcPr>
            <w:tcW w:w="1146" w:type="dxa"/>
            <w:tcBorders>
              <w:top w:val="nil"/>
              <w:left w:val="nil"/>
              <w:bottom w:val="single" w:sz="8" w:space="0" w:color="auto"/>
              <w:right w:val="nil"/>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sz w:val="20"/>
              </w:rPr>
            </w:pPr>
          </w:p>
        </w:tc>
        <w:tc>
          <w:tcPr>
            <w:tcW w:w="1276" w:type="dxa"/>
            <w:tcBorders>
              <w:top w:val="nil"/>
              <w:left w:val="nil"/>
              <w:bottom w:val="single" w:sz="8" w:space="0" w:color="auto"/>
              <w:right w:val="nil"/>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color w:val="000000"/>
                <w:sz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tcPr>
          <w:p w:rsidR="00E20CDD" w:rsidRPr="00FE36F7" w:rsidRDefault="00E20CDD" w:rsidP="004904DD">
            <w:pPr>
              <w:widowControl/>
              <w:snapToGrid w:val="0"/>
              <w:jc w:val="right"/>
              <w:rPr>
                <w:rFonts w:ascii="Arial Narrow" w:eastAsiaTheme="minorHAnsi" w:hAnsi="Arial Narrow" w:cs="Times New Roman"/>
                <w:snapToGrid/>
                <w:color w:val="000000"/>
                <w:sz w:val="20"/>
              </w:rPr>
            </w:pP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HR (PFS) = 0.95 (afatinib vs. gefitinib), all other HRs = 1</w:t>
            </w:r>
            <w:r w:rsidRPr="00666F46">
              <w:rPr>
                <w:rFonts w:ascii="Arial Narrow" w:eastAsiaTheme="minorHAnsi" w:hAnsi="Arial Narrow"/>
                <w:snapToGrid/>
                <w:sz w:val="20"/>
                <w:vertAlign w:val="superscript"/>
              </w:rPr>
              <w:t>*</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sz w:val="20"/>
              </w:rPr>
              <w:t>Dominated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Dominant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#2 and #3</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sz w:val="20"/>
              </w:rPr>
              <w:t>Dominant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#1 and #2 and #3</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r w:rsidR="00E20CDD" w:rsidRPr="00666F46" w:rsidTr="00356814">
        <w:tc>
          <w:tcPr>
            <w:tcW w:w="4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0CDD" w:rsidRPr="00666F46" w:rsidRDefault="00E20CDD" w:rsidP="0090717E">
            <w:pPr>
              <w:widowControl/>
              <w:numPr>
                <w:ilvl w:val="0"/>
                <w:numId w:val="5"/>
              </w:numPr>
              <w:snapToGrid w:val="0"/>
              <w:ind w:left="312"/>
              <w:contextualSpacing/>
              <w:jc w:val="left"/>
              <w:rPr>
                <w:rFonts w:ascii="Arial Narrow" w:eastAsiaTheme="minorHAnsi" w:hAnsi="Arial Narrow"/>
                <w:snapToGrid/>
                <w:sz w:val="20"/>
              </w:rPr>
            </w:pPr>
            <w:r w:rsidRPr="00666F46">
              <w:rPr>
                <w:rFonts w:ascii="Arial Narrow" w:eastAsiaTheme="minorHAnsi" w:hAnsi="Arial Narrow"/>
                <w:snapToGrid/>
                <w:sz w:val="20"/>
              </w:rPr>
              <w:t>#2 and #3 and #4</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sz w:val="20"/>
              </w:rPr>
            </w:pPr>
            <w:r w:rsidRPr="00FE36F7">
              <w:rPr>
                <w:rFonts w:ascii="Arial Narrow" w:eastAsiaTheme="minorHAnsi" w:hAnsi="Arial Narrow" w:cs="Times New Roman"/>
                <w:snapToGrid/>
                <w:sz w:val="20"/>
              </w:rPr>
              <w:t>Dominated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0CDD" w:rsidRPr="00FE36F7" w:rsidRDefault="00E20CDD" w:rsidP="004904DD">
            <w:pPr>
              <w:widowControl/>
              <w:snapToGrid w:val="0"/>
              <w:jc w:val="right"/>
              <w:rPr>
                <w:rFonts w:ascii="Arial Narrow" w:eastAsiaTheme="minorHAnsi" w:hAnsi="Arial Narrow" w:cs="Times New Roman"/>
                <w:snapToGrid/>
                <w:color w:val="000000"/>
                <w:sz w:val="20"/>
              </w:rPr>
            </w:pPr>
            <w:r w:rsidRPr="00FE36F7">
              <w:rPr>
                <w:rFonts w:ascii="Arial Narrow" w:eastAsiaTheme="minorHAnsi" w:hAnsi="Arial Narrow" w:cs="Times New Roman"/>
                <w:snapToGrid/>
                <w:color w:val="000000"/>
                <w:sz w:val="20"/>
              </w:rPr>
              <w:t>$</w:t>
            </w:r>
            <w:r w:rsidR="00393C73">
              <w:rPr>
                <w:rFonts w:ascii="Arial Narrow" w:eastAsiaTheme="minorHAnsi" w:hAnsi="Arial Narrow" w:cs="Times New Roman"/>
                <w:noProof/>
                <w:snapToGrid/>
                <w:color w:val="000000"/>
                <w:sz w:val="20"/>
                <w:highlight w:val="black"/>
              </w:rPr>
              <w:t>''''''''''''''''''</w:t>
            </w:r>
          </w:p>
        </w:tc>
      </w:tr>
    </w:tbl>
    <w:p w:rsidR="00930811" w:rsidRPr="00666F46" w:rsidRDefault="00930811" w:rsidP="00930811">
      <w:pPr>
        <w:widowControl/>
        <w:snapToGrid w:val="0"/>
        <w:ind w:left="720"/>
        <w:rPr>
          <w:rFonts w:ascii="Arial Narrow" w:eastAsiaTheme="minorHAnsi" w:hAnsi="Arial Narrow" w:cs="Times New Roman"/>
          <w:snapToGrid/>
          <w:sz w:val="18"/>
          <w:szCs w:val="18"/>
        </w:rPr>
      </w:pPr>
      <w:r w:rsidRPr="00666F46">
        <w:rPr>
          <w:rFonts w:ascii="Arial Narrow" w:eastAsiaTheme="minorHAnsi" w:hAnsi="Arial Narrow" w:cs="Times New Roman"/>
          <w:snapToGrid/>
          <w:sz w:val="18"/>
          <w:szCs w:val="18"/>
        </w:rPr>
        <w:t>* based on the results of the indirect comparison presented in Table 3 where a HR of 0.95 (higher limit of 95% confidence interval) was reported for PFS when compared to afatinib and gefitinib (statistically significant) - all other HRs were not statistically significant.</w:t>
      </w:r>
    </w:p>
    <w:p w:rsidR="00037CA4" w:rsidRPr="00666F46" w:rsidRDefault="00037CA4" w:rsidP="00037CA4">
      <w:pPr>
        <w:pStyle w:val="TableFooter"/>
        <w:ind w:left="720"/>
      </w:pPr>
      <w:r w:rsidRPr="00666F46">
        <w:t>^ The analysis was weighted 70% erlotinib: 30% gefitinib.</w:t>
      </w:r>
    </w:p>
    <w:p w:rsidR="00E20CDD" w:rsidRPr="00666F46" w:rsidRDefault="00E20CDD" w:rsidP="00E20CDD">
      <w:pPr>
        <w:widowControl/>
        <w:snapToGrid w:val="0"/>
        <w:ind w:left="720"/>
        <w:rPr>
          <w:rFonts w:ascii="Arial Narrow" w:eastAsiaTheme="minorHAnsi" w:hAnsi="Arial Narrow" w:cs="Times New Roman"/>
          <w:snapToGrid/>
          <w:sz w:val="18"/>
          <w:szCs w:val="18"/>
        </w:rPr>
      </w:pPr>
      <w:r w:rsidRPr="00666F46">
        <w:rPr>
          <w:rFonts w:ascii="Arial Narrow" w:eastAsiaTheme="minorHAnsi" w:hAnsi="Arial Narrow" w:cs="Times New Roman"/>
          <w:snapToGrid/>
          <w:sz w:val="18"/>
          <w:szCs w:val="18"/>
        </w:rPr>
        <w:t>DPMQ = dispense</w:t>
      </w:r>
      <w:r w:rsidR="00D42953" w:rsidRPr="00666F46">
        <w:rPr>
          <w:rFonts w:ascii="Arial Narrow" w:eastAsiaTheme="minorHAnsi" w:hAnsi="Arial Narrow" w:cs="Times New Roman"/>
          <w:snapToGrid/>
          <w:sz w:val="18"/>
          <w:szCs w:val="18"/>
        </w:rPr>
        <w:t>d</w:t>
      </w:r>
      <w:r w:rsidRPr="00666F46">
        <w:rPr>
          <w:rFonts w:ascii="Arial Narrow" w:eastAsiaTheme="minorHAnsi" w:hAnsi="Arial Narrow" w:cs="Times New Roman"/>
          <w:snapToGrid/>
          <w:sz w:val="18"/>
          <w:szCs w:val="18"/>
        </w:rPr>
        <w:t xml:space="preserve"> price for the maximum quantity; HR = hazard ratio; </w:t>
      </w:r>
      <w:r w:rsidR="001C02A9" w:rsidRPr="00666F46">
        <w:rPr>
          <w:rFonts w:ascii="Arial Narrow" w:eastAsiaTheme="minorHAnsi" w:hAnsi="Arial Narrow" w:cs="Times New Roman"/>
          <w:snapToGrid/>
          <w:sz w:val="18"/>
          <w:szCs w:val="18"/>
        </w:rPr>
        <w:t xml:space="preserve">ICER = incremental cost-effectiveness ratio; </w:t>
      </w:r>
      <w:r w:rsidRPr="00666F46">
        <w:rPr>
          <w:rFonts w:ascii="Arial Narrow" w:eastAsiaTheme="minorHAnsi" w:hAnsi="Arial Narrow" w:cs="Times New Roman"/>
          <w:snapToGrid/>
          <w:sz w:val="18"/>
          <w:szCs w:val="18"/>
        </w:rPr>
        <w:t>PFS = progression-free survival</w:t>
      </w:r>
    </w:p>
    <w:p w:rsidR="00E20CDD" w:rsidRPr="00666F46" w:rsidRDefault="00E20CDD" w:rsidP="00E20CDD">
      <w:pPr>
        <w:widowControl/>
        <w:snapToGrid w:val="0"/>
        <w:ind w:left="720"/>
        <w:rPr>
          <w:rFonts w:ascii="Arial Narrow" w:eastAsiaTheme="minorHAnsi" w:hAnsi="Arial Narrow" w:cs="Times New Roman"/>
          <w:snapToGrid/>
          <w:sz w:val="18"/>
          <w:szCs w:val="18"/>
        </w:rPr>
      </w:pPr>
      <w:r w:rsidRPr="00666F46">
        <w:rPr>
          <w:rFonts w:ascii="Arial Narrow" w:eastAsiaTheme="minorHAnsi" w:hAnsi="Arial Narrow" w:cs="Times New Roman"/>
          <w:snapToGrid/>
          <w:sz w:val="18"/>
          <w:szCs w:val="18"/>
        </w:rPr>
        <w:t>Note: multivariate analysis was not presented for #1 and #2 and #3 and #4, as assuming HR of OS and PFS for afatinib compared with erlotinib =1 implies that the weighting of time spent in post-progression treatment is equal for afatinib and erlotinib</w:t>
      </w:r>
    </w:p>
    <w:p w:rsidR="00E20CDD" w:rsidRPr="00666F46" w:rsidRDefault="00E20CDD" w:rsidP="00E20CDD">
      <w:pPr>
        <w:widowControl/>
        <w:snapToGrid w:val="0"/>
        <w:ind w:left="720"/>
        <w:rPr>
          <w:rFonts w:ascii="Arial Narrow" w:eastAsiaTheme="minorHAnsi" w:hAnsi="Arial Narrow" w:cs="Times New Roman"/>
          <w:snapToGrid/>
          <w:sz w:val="18"/>
          <w:szCs w:val="18"/>
        </w:rPr>
      </w:pPr>
      <w:r w:rsidRPr="00666F46">
        <w:rPr>
          <w:rFonts w:ascii="Arial Narrow" w:eastAsiaTheme="minorHAnsi" w:hAnsi="Arial Narrow" w:cs="Times New Roman"/>
          <w:snapToGrid/>
          <w:sz w:val="18"/>
          <w:szCs w:val="18"/>
        </w:rPr>
        <w:t xml:space="preserve">Source: </w:t>
      </w:r>
      <w:r w:rsidRPr="00666F46">
        <w:rPr>
          <w:rFonts w:ascii="Arial Narrow" w:eastAsiaTheme="minorHAnsi" w:hAnsi="Arial Narrow" w:cs="Times New Roman"/>
          <w:iCs/>
          <w:snapToGrid/>
          <w:sz w:val="18"/>
          <w:szCs w:val="18"/>
        </w:rPr>
        <w:t xml:space="preserve">Constructed during the evaluation from Afatinib EGFR &amp; Del-19 NSCLC Economic Evaluation (FINAL).xlsm, </w:t>
      </w:r>
    </w:p>
    <w:p w:rsidR="00E20CDD" w:rsidRDefault="00E20CDD" w:rsidP="00E20CDD">
      <w:pPr>
        <w:widowControl/>
        <w:rPr>
          <w:szCs w:val="22"/>
        </w:rPr>
      </w:pPr>
    </w:p>
    <w:p w:rsidR="00C25D9C" w:rsidRPr="00FB1E51" w:rsidRDefault="007B075B" w:rsidP="002C2775">
      <w:pPr>
        <w:pStyle w:val="Heading2"/>
      </w:pPr>
      <w:bookmarkStart w:id="13" w:name="_Toc419801416"/>
      <w:r>
        <w:rPr>
          <w:i/>
        </w:rPr>
        <w:t>Drug cost/patient/course</w:t>
      </w:r>
      <w:r w:rsidR="00C25D9C" w:rsidRPr="008F01F6">
        <w:t xml:space="preserve">: </w:t>
      </w:r>
      <w:r w:rsidR="00C25D9C" w:rsidRPr="00FB1E51">
        <w:t>$</w:t>
      </w:r>
      <w:bookmarkEnd w:id="13"/>
      <w:r w:rsidR="00393C73">
        <w:rPr>
          <w:noProof/>
          <w:color w:val="000000"/>
          <w:highlight w:val="black"/>
        </w:rPr>
        <w:t>'''''''''''''</w:t>
      </w:r>
    </w:p>
    <w:p w:rsidR="00C25D9C" w:rsidRPr="00C25D9C" w:rsidRDefault="00C25D9C" w:rsidP="00C25D9C">
      <w:pPr>
        <w:widowControl/>
        <w:rPr>
          <w:szCs w:val="22"/>
        </w:rPr>
      </w:pPr>
    </w:p>
    <w:p w:rsidR="001C02A9" w:rsidRPr="00231062" w:rsidRDefault="001C02A9" w:rsidP="0090717E">
      <w:pPr>
        <w:pStyle w:val="ListParagraph"/>
        <w:widowControl/>
        <w:numPr>
          <w:ilvl w:val="1"/>
          <w:numId w:val="1"/>
        </w:numPr>
        <w:rPr>
          <w:szCs w:val="22"/>
        </w:rPr>
      </w:pPr>
      <w:r w:rsidRPr="00231062">
        <w:rPr>
          <w:szCs w:val="22"/>
        </w:rPr>
        <w:t xml:space="preserve">The cost modelled per month of afatinib, gefitinib and erlotinib are presented in the table below. </w:t>
      </w:r>
      <w:r w:rsidR="00D42953">
        <w:rPr>
          <w:szCs w:val="22"/>
        </w:rPr>
        <w:t xml:space="preserve"> </w:t>
      </w:r>
      <w:r w:rsidRPr="00231062">
        <w:rPr>
          <w:szCs w:val="22"/>
        </w:rPr>
        <w:t>One tablet is taken per day.</w:t>
      </w:r>
      <w:r w:rsidR="00D42953">
        <w:rPr>
          <w:szCs w:val="22"/>
        </w:rPr>
        <w:t xml:space="preserve"> </w:t>
      </w:r>
      <w:r w:rsidRPr="00231062">
        <w:rPr>
          <w:szCs w:val="22"/>
        </w:rPr>
        <w:t xml:space="preserve"> As</w:t>
      </w:r>
      <w:r w:rsidR="00930811">
        <w:rPr>
          <w:szCs w:val="22"/>
        </w:rPr>
        <w:t xml:space="preserve"> TKI</w:t>
      </w:r>
      <w:r w:rsidRPr="00231062">
        <w:rPr>
          <w:szCs w:val="22"/>
        </w:rPr>
        <w:t xml:space="preserve"> treatment continues until disease progression, the modelled cost per treatment course is derived from the modelled cost per month, multiplied by the </w:t>
      </w:r>
      <w:r>
        <w:rPr>
          <w:szCs w:val="22"/>
        </w:rPr>
        <w:t xml:space="preserve">modelled </w:t>
      </w:r>
      <w:r w:rsidRPr="00231062">
        <w:rPr>
          <w:szCs w:val="22"/>
        </w:rPr>
        <w:t>PFS.</w:t>
      </w:r>
    </w:p>
    <w:p w:rsidR="001C02A9" w:rsidRPr="00D42953" w:rsidRDefault="001C02A9" w:rsidP="001C02A9">
      <w:pPr>
        <w:widowControl/>
        <w:rPr>
          <w:szCs w:val="22"/>
        </w:rPr>
      </w:pPr>
    </w:p>
    <w:p w:rsidR="005232FD" w:rsidRDefault="005232FD" w:rsidP="001C02A9">
      <w:pPr>
        <w:pStyle w:val="TableHeader"/>
        <w:ind w:left="709"/>
      </w:pPr>
      <w:r>
        <w:br w:type="page"/>
      </w:r>
    </w:p>
    <w:p w:rsidR="001C02A9" w:rsidRDefault="001C02A9" w:rsidP="001C02A9">
      <w:pPr>
        <w:pStyle w:val="TableHeader"/>
        <w:ind w:left="709"/>
      </w:pPr>
      <w:r w:rsidRPr="003201DE">
        <w:lastRenderedPageBreak/>
        <w:t xml:space="preserve">Table </w:t>
      </w:r>
      <w:r w:rsidR="003201DE" w:rsidRPr="003201DE">
        <w:t>9</w:t>
      </w:r>
      <w:r w:rsidRPr="003201DE">
        <w:t>:</w:t>
      </w:r>
      <w:r w:rsidRPr="005C7F65">
        <w:t xml:space="preserve"> </w:t>
      </w:r>
      <w:r>
        <w:t>Drug cost per patient per month and per treatment course, based on modelled costs</w:t>
      </w:r>
    </w:p>
    <w:tbl>
      <w:tblPr>
        <w:tblStyle w:val="TableGrid"/>
        <w:tblW w:w="0" w:type="auto"/>
        <w:tblInd w:w="817" w:type="dxa"/>
        <w:tblLook w:val="04A0" w:firstRow="1" w:lastRow="0" w:firstColumn="1" w:lastColumn="0" w:noHBand="0" w:noVBand="1"/>
        <w:tblCaption w:val="&quot;&quot;"/>
      </w:tblPr>
      <w:tblGrid>
        <w:gridCol w:w="1418"/>
        <w:gridCol w:w="1984"/>
        <w:gridCol w:w="1674"/>
        <w:gridCol w:w="1674"/>
        <w:gridCol w:w="1613"/>
      </w:tblGrid>
      <w:tr w:rsidR="001C02A9" w:rsidRPr="00281BC4" w:rsidTr="00B8556E">
        <w:trPr>
          <w:tblHeader/>
        </w:trPr>
        <w:tc>
          <w:tcPr>
            <w:tcW w:w="1418" w:type="dxa"/>
          </w:tcPr>
          <w:p w:rsidR="001C02A9" w:rsidRPr="00656034" w:rsidRDefault="001C02A9" w:rsidP="00386D52">
            <w:pPr>
              <w:pStyle w:val="ListParagraph"/>
              <w:widowControl/>
              <w:ind w:left="0"/>
              <w:rPr>
                <w:rFonts w:ascii="Arial Narrow" w:hAnsi="Arial Narrow"/>
                <w:b/>
                <w:sz w:val="20"/>
              </w:rPr>
            </w:pPr>
          </w:p>
        </w:tc>
        <w:tc>
          <w:tcPr>
            <w:tcW w:w="1984"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DPMQ</w:t>
            </w:r>
            <w:r w:rsidR="00D42953" w:rsidRPr="00281BC4">
              <w:rPr>
                <w:rFonts w:ascii="Arial Narrow" w:hAnsi="Arial Narrow"/>
                <w:b/>
                <w:sz w:val="20"/>
              </w:rPr>
              <w:t xml:space="preserve"> </w:t>
            </w:r>
            <w:r w:rsidRPr="00281BC4">
              <w:rPr>
                <w:rFonts w:ascii="Arial Narrow" w:hAnsi="Arial Narrow"/>
                <w:b/>
                <w:sz w:val="20"/>
              </w:rPr>
              <w:t>(pack size)</w:t>
            </w:r>
          </w:p>
        </w:tc>
        <w:tc>
          <w:tcPr>
            <w:tcW w:w="1674"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 xml:space="preserve">Modelled cost per month </w:t>
            </w:r>
            <w:r w:rsidRPr="00281BC4">
              <w:rPr>
                <w:rFonts w:ascii="Arial Narrow" w:hAnsi="Arial Narrow"/>
                <w:b/>
                <w:sz w:val="20"/>
                <w:vertAlign w:val="superscript"/>
              </w:rPr>
              <w:t>a</w:t>
            </w:r>
          </w:p>
        </w:tc>
        <w:tc>
          <w:tcPr>
            <w:tcW w:w="1674"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Modelled PFS (months)</w:t>
            </w:r>
          </w:p>
        </w:tc>
        <w:tc>
          <w:tcPr>
            <w:tcW w:w="1613"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Modelled cost per treatment course</w:t>
            </w:r>
          </w:p>
        </w:tc>
      </w:tr>
      <w:tr w:rsidR="001C02A9" w:rsidRPr="00281BC4" w:rsidTr="00356814">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Afatinib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vertAlign w:val="superscript"/>
              </w:rPr>
              <w:t>b</w:t>
            </w:r>
            <w:r w:rsidRPr="00281BC4">
              <w:rPr>
                <w:rFonts w:ascii="Arial Narrow" w:hAnsi="Arial Narrow"/>
                <w:sz w:val="20"/>
              </w:rPr>
              <w:t xml:space="preserve"> (28 tablets)</w:t>
            </w:r>
          </w:p>
        </w:tc>
        <w:tc>
          <w:tcPr>
            <w:tcW w:w="167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tcPr>
          <w:p w:rsidR="001C02A9" w:rsidRPr="00281BC4"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r w:rsidR="001C02A9" w:rsidRPr="00281BC4" w:rsidTr="00356814">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Gefitinib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rPr>
              <w:t xml:space="preserve"> (30 tablets)</w:t>
            </w:r>
          </w:p>
        </w:tc>
        <w:tc>
          <w:tcPr>
            <w:tcW w:w="167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tcPr>
          <w:p w:rsidR="001C02A9" w:rsidRPr="00281BC4"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r w:rsidR="001C02A9" w:rsidRPr="00656034" w:rsidTr="00356814">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Erlotinib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vertAlign w:val="superscript"/>
              </w:rPr>
              <w:t>c</w:t>
            </w:r>
            <w:r w:rsidRPr="00281BC4">
              <w:rPr>
                <w:rFonts w:ascii="Arial Narrow" w:hAnsi="Arial Narrow"/>
                <w:sz w:val="20"/>
              </w:rPr>
              <w:t xml:space="preserve"> (30 tablets)</w:t>
            </w:r>
          </w:p>
        </w:tc>
        <w:tc>
          <w:tcPr>
            <w:tcW w:w="167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tcPr>
          <w:p w:rsidR="001C02A9" w:rsidRPr="00656034"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bl>
    <w:p w:rsidR="001C02A9"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a</w:t>
      </w:r>
      <w:r>
        <w:rPr>
          <w:rFonts w:ascii="Arial Narrow" w:hAnsi="Arial Narrow"/>
          <w:sz w:val="18"/>
          <w:szCs w:val="18"/>
        </w:rPr>
        <w:t xml:space="preserve"> (modelled DPMQ / pack size) </w:t>
      </w:r>
      <w:r>
        <w:rPr>
          <w:rFonts w:ascii="Calibri" w:hAnsi="Calibri"/>
          <w:sz w:val="18"/>
          <w:szCs w:val="18"/>
        </w:rPr>
        <w:t>×</w:t>
      </w:r>
      <w:r>
        <w:rPr>
          <w:rFonts w:ascii="Arial Narrow" w:hAnsi="Arial Narrow"/>
          <w:sz w:val="18"/>
          <w:szCs w:val="18"/>
        </w:rPr>
        <w:t xml:space="preserve"> (365/12)</w:t>
      </w:r>
    </w:p>
    <w:p w:rsidR="001C02A9" w:rsidRPr="00656034"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b</w:t>
      </w:r>
      <w:r w:rsidRPr="00656034">
        <w:rPr>
          <w:rFonts w:ascii="Arial Narrow" w:hAnsi="Arial Narrow"/>
          <w:sz w:val="18"/>
          <w:szCs w:val="18"/>
        </w:rPr>
        <w:t xml:space="preserve"> Proposed DPMQ weighted by observed use</w:t>
      </w:r>
      <w:r>
        <w:rPr>
          <w:rFonts w:ascii="Arial Narrow" w:hAnsi="Arial Narrow"/>
          <w:sz w:val="18"/>
          <w:szCs w:val="18"/>
        </w:rPr>
        <w:t xml:space="preserve"> at the end of treatment</w:t>
      </w:r>
      <w:r w:rsidRPr="00656034">
        <w:rPr>
          <w:rFonts w:ascii="Arial Narrow" w:hAnsi="Arial Narrow"/>
          <w:sz w:val="18"/>
          <w:szCs w:val="18"/>
        </w:rPr>
        <w:t xml:space="preserve"> in the LUX Lung 3 and 6 trials</w:t>
      </w:r>
    </w:p>
    <w:p w:rsidR="001C02A9"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c</w:t>
      </w:r>
      <w:r w:rsidRPr="00656034">
        <w:rPr>
          <w:rFonts w:ascii="Arial Narrow" w:hAnsi="Arial Narrow"/>
          <w:sz w:val="18"/>
          <w:szCs w:val="18"/>
        </w:rPr>
        <w:t xml:space="preserve"> PBS items 10022L, 10019H, 10014C, 10028T, 10020J and 10025P weighted by PBS item statistics, Feb – Nov 2014</w:t>
      </w:r>
    </w:p>
    <w:p w:rsidR="00B93E10" w:rsidRPr="00656034" w:rsidRDefault="00B93E10" w:rsidP="001C02A9">
      <w:pPr>
        <w:pStyle w:val="ListParagraph"/>
        <w:widowControl/>
        <w:rPr>
          <w:rFonts w:ascii="Arial Narrow" w:hAnsi="Arial Narrow"/>
          <w:sz w:val="18"/>
          <w:szCs w:val="18"/>
        </w:rPr>
      </w:pPr>
      <w:r>
        <w:rPr>
          <w:rFonts w:ascii="Arial Narrow" w:hAnsi="Arial Narrow"/>
          <w:sz w:val="18"/>
          <w:szCs w:val="18"/>
        </w:rPr>
        <w:t>Source: compiled during the evaluation</w:t>
      </w:r>
    </w:p>
    <w:p w:rsidR="001C02A9" w:rsidRDefault="001C02A9" w:rsidP="001C02A9">
      <w:pPr>
        <w:rPr>
          <w:szCs w:val="22"/>
        </w:rPr>
      </w:pPr>
    </w:p>
    <w:p w:rsidR="001C02A9" w:rsidRPr="00576691" w:rsidRDefault="001C02A9" w:rsidP="001C02A9">
      <w:pPr>
        <w:pStyle w:val="ListParagraph"/>
        <w:widowControl/>
        <w:rPr>
          <w:szCs w:val="22"/>
        </w:rPr>
      </w:pPr>
      <w:r>
        <w:rPr>
          <w:szCs w:val="22"/>
        </w:rPr>
        <w:t>The cost per month and cost per treatment course of afatinib (40</w:t>
      </w:r>
      <w:r w:rsidR="00ED6C4A">
        <w:rPr>
          <w:szCs w:val="22"/>
        </w:rPr>
        <w:t> </w:t>
      </w:r>
      <w:r>
        <w:rPr>
          <w:szCs w:val="22"/>
        </w:rPr>
        <w:t>mg), gefitinib (250</w:t>
      </w:r>
      <w:r w:rsidR="00ED6C4A">
        <w:rPr>
          <w:szCs w:val="22"/>
        </w:rPr>
        <w:t> </w:t>
      </w:r>
      <w:r>
        <w:rPr>
          <w:szCs w:val="22"/>
        </w:rPr>
        <w:t>mg) and erlotinib (150</w:t>
      </w:r>
      <w:r w:rsidR="00ED6C4A">
        <w:rPr>
          <w:szCs w:val="22"/>
        </w:rPr>
        <w:t> </w:t>
      </w:r>
      <w:r>
        <w:rPr>
          <w:szCs w:val="22"/>
        </w:rPr>
        <w:t xml:space="preserve">mg) are presented in the table below. </w:t>
      </w:r>
      <w:r w:rsidR="00D42953">
        <w:rPr>
          <w:szCs w:val="22"/>
        </w:rPr>
        <w:t xml:space="preserve"> </w:t>
      </w:r>
      <w:r>
        <w:rPr>
          <w:szCs w:val="22"/>
        </w:rPr>
        <w:t>These reflect the costs of the doses considered previously by the PBAC to be equi-effective.</w:t>
      </w:r>
    </w:p>
    <w:p w:rsidR="001C02A9" w:rsidRPr="008814A3" w:rsidRDefault="001C02A9" w:rsidP="008814A3">
      <w:pPr>
        <w:widowControl/>
        <w:rPr>
          <w:szCs w:val="22"/>
        </w:rPr>
      </w:pPr>
    </w:p>
    <w:p w:rsidR="001C02A9" w:rsidRPr="00FB2D06" w:rsidRDefault="001C02A9" w:rsidP="001C02A9">
      <w:pPr>
        <w:pStyle w:val="TableHeader"/>
        <w:ind w:left="709"/>
      </w:pPr>
      <w:r w:rsidRPr="003201DE">
        <w:t xml:space="preserve">Table </w:t>
      </w:r>
      <w:r w:rsidR="003201DE" w:rsidRPr="003201DE">
        <w:t>10</w:t>
      </w:r>
      <w:r w:rsidRPr="003201DE">
        <w:t>:</w:t>
      </w:r>
      <w:r>
        <w:t xml:space="preserve"> Drug cost per patient per month and per treatment course, based on the cost of the equi-effective doses</w:t>
      </w:r>
    </w:p>
    <w:tbl>
      <w:tblPr>
        <w:tblStyle w:val="TableGrid"/>
        <w:tblW w:w="0" w:type="auto"/>
        <w:tblInd w:w="817" w:type="dxa"/>
        <w:tblLook w:val="04A0" w:firstRow="1" w:lastRow="0" w:firstColumn="1" w:lastColumn="0" w:noHBand="0" w:noVBand="1"/>
        <w:tblCaption w:val="&quot;&quot;"/>
      </w:tblPr>
      <w:tblGrid>
        <w:gridCol w:w="1418"/>
        <w:gridCol w:w="1984"/>
        <w:gridCol w:w="1674"/>
        <w:gridCol w:w="1674"/>
        <w:gridCol w:w="1613"/>
      </w:tblGrid>
      <w:tr w:rsidR="001C02A9" w:rsidRPr="00281BC4" w:rsidTr="00B8556E">
        <w:trPr>
          <w:tblHeader/>
        </w:trPr>
        <w:tc>
          <w:tcPr>
            <w:tcW w:w="1418" w:type="dxa"/>
          </w:tcPr>
          <w:p w:rsidR="001C02A9" w:rsidRPr="00656034" w:rsidRDefault="001C02A9" w:rsidP="00386D52">
            <w:pPr>
              <w:pStyle w:val="ListParagraph"/>
              <w:widowControl/>
              <w:ind w:left="0"/>
              <w:rPr>
                <w:rFonts w:ascii="Arial Narrow" w:hAnsi="Arial Narrow"/>
                <w:b/>
                <w:sz w:val="20"/>
              </w:rPr>
            </w:pPr>
          </w:p>
        </w:tc>
        <w:tc>
          <w:tcPr>
            <w:tcW w:w="1984"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DPMQ (pack size)</w:t>
            </w:r>
          </w:p>
        </w:tc>
        <w:tc>
          <w:tcPr>
            <w:tcW w:w="1674"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 xml:space="preserve">Cost per month </w:t>
            </w:r>
            <w:r w:rsidRPr="00281BC4">
              <w:rPr>
                <w:rFonts w:ascii="Arial Narrow" w:hAnsi="Arial Narrow"/>
                <w:b/>
                <w:sz w:val="20"/>
                <w:vertAlign w:val="superscript"/>
              </w:rPr>
              <w:t>a</w:t>
            </w:r>
          </w:p>
        </w:tc>
        <w:tc>
          <w:tcPr>
            <w:tcW w:w="1674"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Modelled PFS (months)</w:t>
            </w:r>
          </w:p>
        </w:tc>
        <w:tc>
          <w:tcPr>
            <w:tcW w:w="1613" w:type="dxa"/>
          </w:tcPr>
          <w:p w:rsidR="001C02A9" w:rsidRPr="00281BC4" w:rsidRDefault="001C02A9" w:rsidP="00E9366A">
            <w:pPr>
              <w:pStyle w:val="ListParagraph"/>
              <w:widowControl/>
              <w:ind w:left="0"/>
              <w:jc w:val="center"/>
              <w:rPr>
                <w:rFonts w:ascii="Arial Narrow" w:hAnsi="Arial Narrow"/>
                <w:b/>
                <w:sz w:val="20"/>
              </w:rPr>
            </w:pPr>
            <w:r w:rsidRPr="00281BC4">
              <w:rPr>
                <w:rFonts w:ascii="Arial Narrow" w:hAnsi="Arial Narrow"/>
                <w:b/>
                <w:sz w:val="20"/>
              </w:rPr>
              <w:t>Cost per treatment course</w:t>
            </w:r>
          </w:p>
        </w:tc>
      </w:tr>
      <w:tr w:rsidR="001C02A9" w:rsidRPr="00281BC4" w:rsidTr="00E9366A">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Afatinib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vertAlign w:val="superscript"/>
              </w:rPr>
              <w:t>b</w:t>
            </w:r>
            <w:r w:rsidRPr="00281BC4">
              <w:rPr>
                <w:rFonts w:ascii="Arial Narrow" w:hAnsi="Arial Narrow"/>
                <w:sz w:val="20"/>
              </w:rPr>
              <w:t xml:space="preserve"> (28 tablets)</w:t>
            </w:r>
          </w:p>
        </w:tc>
        <w:tc>
          <w:tcPr>
            <w:tcW w:w="1674" w:type="dxa"/>
            <w:vAlign w:val="bottom"/>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vAlign w:val="bottom"/>
          </w:tcPr>
          <w:p w:rsidR="001C02A9" w:rsidRPr="00281BC4"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r w:rsidR="001C02A9" w:rsidRPr="00281BC4" w:rsidTr="00E9366A">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Gefitinib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rPr>
              <w:t xml:space="preserve"> (30 tablets)</w:t>
            </w:r>
          </w:p>
        </w:tc>
        <w:tc>
          <w:tcPr>
            <w:tcW w:w="1674" w:type="dxa"/>
            <w:vAlign w:val="bottom"/>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vAlign w:val="bottom"/>
          </w:tcPr>
          <w:p w:rsidR="001C02A9" w:rsidRPr="00281BC4"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r w:rsidR="001C02A9" w:rsidRPr="00656034" w:rsidTr="00E9366A">
        <w:tc>
          <w:tcPr>
            <w:tcW w:w="1418" w:type="dxa"/>
          </w:tcPr>
          <w:p w:rsidR="001C02A9" w:rsidRPr="00281BC4" w:rsidRDefault="001C02A9" w:rsidP="00386D52">
            <w:pPr>
              <w:pStyle w:val="ListParagraph"/>
              <w:widowControl/>
              <w:ind w:left="0"/>
              <w:rPr>
                <w:rFonts w:ascii="Arial Narrow" w:hAnsi="Arial Narrow"/>
                <w:b/>
                <w:sz w:val="20"/>
              </w:rPr>
            </w:pPr>
            <w:r w:rsidRPr="00281BC4">
              <w:rPr>
                <w:rFonts w:ascii="Arial Narrow" w:hAnsi="Arial Narrow"/>
                <w:b/>
                <w:sz w:val="20"/>
              </w:rPr>
              <w:t>Erlotinib</w:t>
            </w:r>
          </w:p>
        </w:tc>
        <w:tc>
          <w:tcPr>
            <w:tcW w:w="1984" w:type="dxa"/>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r w:rsidRPr="00281BC4">
              <w:rPr>
                <w:rFonts w:ascii="Arial Narrow" w:hAnsi="Arial Narrow"/>
                <w:sz w:val="20"/>
                <w:vertAlign w:val="superscript"/>
              </w:rPr>
              <w:t>c</w:t>
            </w:r>
            <w:r w:rsidRPr="00281BC4">
              <w:rPr>
                <w:rFonts w:ascii="Arial Narrow" w:hAnsi="Arial Narrow"/>
                <w:sz w:val="20"/>
              </w:rPr>
              <w:t xml:space="preserve"> (30 tablets)</w:t>
            </w:r>
          </w:p>
        </w:tc>
        <w:tc>
          <w:tcPr>
            <w:tcW w:w="1674" w:type="dxa"/>
            <w:vAlign w:val="bottom"/>
          </w:tcPr>
          <w:p w:rsidR="001C02A9" w:rsidRPr="00281BC4" w:rsidRDefault="001C02A9" w:rsidP="00386D52">
            <w:pPr>
              <w:pStyle w:val="ListParagraph"/>
              <w:widowControl/>
              <w:ind w:left="0"/>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1674" w:type="dxa"/>
          </w:tcPr>
          <w:p w:rsidR="001C02A9" w:rsidRPr="00393C73" w:rsidRDefault="00393C73" w:rsidP="00386D52">
            <w:pPr>
              <w:jc w:val="right"/>
              <w:rPr>
                <w:rFonts w:ascii="Arial Narrow" w:hAnsi="Arial Narrow"/>
                <w:sz w:val="20"/>
                <w:highlight w:val="black"/>
              </w:rPr>
            </w:pPr>
            <w:r>
              <w:rPr>
                <w:rFonts w:ascii="Arial Narrow" w:hAnsi="Arial Narrow"/>
                <w:noProof/>
                <w:color w:val="000000"/>
                <w:sz w:val="20"/>
                <w:highlight w:val="black"/>
              </w:rPr>
              <w:t>'''''''''''</w:t>
            </w:r>
          </w:p>
        </w:tc>
        <w:tc>
          <w:tcPr>
            <w:tcW w:w="1613" w:type="dxa"/>
            <w:vAlign w:val="bottom"/>
          </w:tcPr>
          <w:p w:rsidR="001C02A9" w:rsidRPr="00231062" w:rsidRDefault="001C02A9" w:rsidP="00386D52">
            <w:pPr>
              <w:jc w:val="right"/>
              <w:rPr>
                <w:rFonts w:ascii="Arial Narrow" w:hAnsi="Arial Narrow"/>
                <w:sz w:val="20"/>
              </w:rPr>
            </w:pPr>
            <w:r w:rsidRPr="00281BC4">
              <w:rPr>
                <w:rFonts w:ascii="Arial Narrow" w:hAnsi="Arial Narrow"/>
                <w:sz w:val="20"/>
              </w:rPr>
              <w:t>$</w:t>
            </w:r>
            <w:r w:rsidR="00393C73">
              <w:rPr>
                <w:rFonts w:ascii="Arial Narrow" w:hAnsi="Arial Narrow"/>
                <w:noProof/>
                <w:color w:val="000000"/>
                <w:sz w:val="20"/>
                <w:highlight w:val="black"/>
              </w:rPr>
              <w:t>'''''''''''''''''''''''</w:t>
            </w:r>
          </w:p>
        </w:tc>
      </w:tr>
    </w:tbl>
    <w:p w:rsidR="001C02A9"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a</w:t>
      </w:r>
      <w:r>
        <w:rPr>
          <w:rFonts w:ascii="Arial Narrow" w:hAnsi="Arial Narrow"/>
          <w:sz w:val="18"/>
          <w:szCs w:val="18"/>
        </w:rPr>
        <w:t xml:space="preserve"> (DPMQ / pack size) </w:t>
      </w:r>
      <w:r>
        <w:rPr>
          <w:rFonts w:ascii="Calibri" w:hAnsi="Calibri"/>
          <w:sz w:val="18"/>
          <w:szCs w:val="18"/>
        </w:rPr>
        <w:t>×</w:t>
      </w:r>
      <w:r>
        <w:rPr>
          <w:rFonts w:ascii="Arial Narrow" w:hAnsi="Arial Narrow"/>
          <w:sz w:val="18"/>
          <w:szCs w:val="18"/>
        </w:rPr>
        <w:t xml:space="preserve"> (365/12)</w:t>
      </w:r>
    </w:p>
    <w:p w:rsidR="001C02A9" w:rsidRPr="00656034"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b</w:t>
      </w:r>
      <w:r w:rsidRPr="00656034">
        <w:rPr>
          <w:rFonts w:ascii="Arial Narrow" w:hAnsi="Arial Narrow"/>
          <w:sz w:val="18"/>
          <w:szCs w:val="18"/>
        </w:rPr>
        <w:t xml:space="preserve"> Proposed DPMQ </w:t>
      </w:r>
      <w:r>
        <w:rPr>
          <w:rFonts w:ascii="Arial Narrow" w:hAnsi="Arial Narrow"/>
          <w:sz w:val="18"/>
          <w:szCs w:val="18"/>
        </w:rPr>
        <w:t>40</w:t>
      </w:r>
      <w:r w:rsidR="00ED6C4A">
        <w:rPr>
          <w:rFonts w:ascii="Arial Narrow" w:hAnsi="Arial Narrow"/>
          <w:sz w:val="18"/>
          <w:szCs w:val="18"/>
        </w:rPr>
        <w:t> </w:t>
      </w:r>
      <w:r>
        <w:rPr>
          <w:rFonts w:ascii="Arial Narrow" w:hAnsi="Arial Narrow"/>
          <w:sz w:val="18"/>
          <w:szCs w:val="18"/>
        </w:rPr>
        <w:t>mg afatinib</w:t>
      </w:r>
    </w:p>
    <w:p w:rsidR="001C02A9" w:rsidRDefault="001C02A9" w:rsidP="001C02A9">
      <w:pPr>
        <w:pStyle w:val="ListParagraph"/>
        <w:widowControl/>
        <w:rPr>
          <w:rFonts w:ascii="Arial Narrow" w:hAnsi="Arial Narrow"/>
          <w:sz w:val="18"/>
          <w:szCs w:val="18"/>
        </w:rPr>
      </w:pPr>
      <w:r w:rsidRPr="00576691">
        <w:rPr>
          <w:rFonts w:ascii="Arial Narrow" w:hAnsi="Arial Narrow"/>
          <w:sz w:val="18"/>
          <w:szCs w:val="18"/>
          <w:vertAlign w:val="superscript"/>
        </w:rPr>
        <w:t>c</w:t>
      </w:r>
      <w:r>
        <w:rPr>
          <w:rFonts w:ascii="Arial Narrow" w:hAnsi="Arial Narrow"/>
          <w:sz w:val="18"/>
          <w:szCs w:val="18"/>
        </w:rPr>
        <w:t xml:space="preserve"> DPMQ of PBS item</w:t>
      </w:r>
      <w:r w:rsidRPr="00656034">
        <w:rPr>
          <w:rFonts w:ascii="Arial Narrow" w:hAnsi="Arial Narrow"/>
          <w:sz w:val="18"/>
          <w:szCs w:val="18"/>
        </w:rPr>
        <w:t xml:space="preserve"> 10014C</w:t>
      </w:r>
      <w:r>
        <w:rPr>
          <w:rFonts w:ascii="Arial Narrow" w:hAnsi="Arial Narrow"/>
          <w:sz w:val="18"/>
          <w:szCs w:val="18"/>
        </w:rPr>
        <w:t xml:space="preserve"> (erlotinib 150</w:t>
      </w:r>
      <w:r w:rsidR="00ED6C4A">
        <w:rPr>
          <w:rFonts w:ascii="Arial Narrow" w:hAnsi="Arial Narrow"/>
          <w:sz w:val="18"/>
          <w:szCs w:val="18"/>
        </w:rPr>
        <w:t> </w:t>
      </w:r>
      <w:r>
        <w:rPr>
          <w:rFonts w:ascii="Arial Narrow" w:hAnsi="Arial Narrow"/>
          <w:sz w:val="18"/>
          <w:szCs w:val="18"/>
        </w:rPr>
        <w:t>mg)</w:t>
      </w:r>
    </w:p>
    <w:p w:rsidR="00B93E10" w:rsidRPr="00B93E10" w:rsidRDefault="00B93E10" w:rsidP="00B93E10">
      <w:pPr>
        <w:pStyle w:val="ListParagraph"/>
        <w:widowControl/>
        <w:rPr>
          <w:rFonts w:ascii="Arial Narrow" w:hAnsi="Arial Narrow"/>
          <w:sz w:val="18"/>
          <w:szCs w:val="18"/>
        </w:rPr>
      </w:pPr>
      <w:r>
        <w:rPr>
          <w:rFonts w:ascii="Arial Narrow" w:hAnsi="Arial Narrow"/>
          <w:sz w:val="18"/>
          <w:szCs w:val="18"/>
        </w:rPr>
        <w:t>Source: Compiled during the evaluation</w:t>
      </w:r>
    </w:p>
    <w:p w:rsidR="00C31854" w:rsidRPr="001E2B1E" w:rsidRDefault="00C31854" w:rsidP="001C02A9">
      <w:pPr>
        <w:rPr>
          <w:szCs w:val="22"/>
        </w:rPr>
      </w:pPr>
    </w:p>
    <w:p w:rsidR="00B60939" w:rsidRPr="002C2775" w:rsidRDefault="00B60939" w:rsidP="002C2775">
      <w:pPr>
        <w:pStyle w:val="Heading2"/>
        <w:rPr>
          <w:i/>
        </w:rPr>
      </w:pPr>
      <w:bookmarkStart w:id="14" w:name="_Toc419801417"/>
      <w:r w:rsidRPr="002C2775">
        <w:rPr>
          <w:i/>
        </w:rPr>
        <w:t>Estimated PBS usage &amp; financial implications</w:t>
      </w:r>
      <w:bookmarkEnd w:id="14"/>
    </w:p>
    <w:p w:rsidR="007C0C29" w:rsidRPr="00D42953" w:rsidRDefault="007C0C29" w:rsidP="007C0C29">
      <w:pPr>
        <w:ind w:left="720" w:hanging="720"/>
        <w:rPr>
          <w:szCs w:val="22"/>
        </w:rPr>
      </w:pPr>
    </w:p>
    <w:p w:rsidR="000968B1" w:rsidRPr="008012E7" w:rsidRDefault="000968B1" w:rsidP="0090717E">
      <w:pPr>
        <w:pStyle w:val="ListParagraph"/>
        <w:widowControl/>
        <w:numPr>
          <w:ilvl w:val="1"/>
          <w:numId w:val="1"/>
        </w:numPr>
        <w:rPr>
          <w:szCs w:val="22"/>
        </w:rPr>
      </w:pPr>
      <w:r w:rsidRPr="008012E7">
        <w:t xml:space="preserve">This re-submission </w:t>
      </w:r>
      <w:r w:rsidR="008012E7">
        <w:t>was not</w:t>
      </w:r>
      <w:r w:rsidRPr="008012E7">
        <w:t xml:space="preserve"> considered by DUSC.</w:t>
      </w:r>
      <w:r w:rsidR="008012E7">
        <w:t xml:space="preserve"> </w:t>
      </w:r>
      <w:r w:rsidRPr="008012E7">
        <w:rPr>
          <w:szCs w:val="22"/>
        </w:rPr>
        <w:t xml:space="preserve">The re-submission used an epidemiological approach to estimate the financial implications associated with the proposed listing of afatinib. </w:t>
      </w:r>
      <w:r w:rsidR="00D42953" w:rsidRPr="008012E7">
        <w:rPr>
          <w:szCs w:val="22"/>
        </w:rPr>
        <w:t xml:space="preserve"> </w:t>
      </w:r>
      <w:r w:rsidRPr="008012E7">
        <w:rPr>
          <w:szCs w:val="22"/>
        </w:rPr>
        <w:t xml:space="preserve">The estimates of the projected incident cases of lung cancer were sourced from an AIHW report. </w:t>
      </w:r>
      <w:r w:rsidR="00D42953" w:rsidRPr="008012E7">
        <w:rPr>
          <w:szCs w:val="22"/>
        </w:rPr>
        <w:t xml:space="preserve"> </w:t>
      </w:r>
      <w:r w:rsidRPr="008012E7">
        <w:rPr>
          <w:szCs w:val="22"/>
        </w:rPr>
        <w:t xml:space="preserve">The number of patients eligible for afatinib treatment, </w:t>
      </w:r>
      <w:r w:rsidR="00E11107" w:rsidRPr="008012E7">
        <w:rPr>
          <w:szCs w:val="22"/>
        </w:rPr>
        <w:t>i.e.</w:t>
      </w:r>
      <w:r w:rsidRPr="008012E7">
        <w:rPr>
          <w:szCs w:val="22"/>
        </w:rPr>
        <w:t xml:space="preserve"> patients with Stage IIIb or IV non- squamous or not otherwise specified NSCLC with </w:t>
      </w:r>
      <w:r w:rsidR="00FD4D63" w:rsidRPr="008012E7">
        <w:rPr>
          <w:szCs w:val="22"/>
        </w:rPr>
        <w:t xml:space="preserve">exon </w:t>
      </w:r>
      <w:r w:rsidRPr="008012E7">
        <w:rPr>
          <w:szCs w:val="22"/>
        </w:rPr>
        <w:t xml:space="preserve">19 deletion </w:t>
      </w:r>
      <w:r w:rsidR="00FD4D63" w:rsidRPr="008012E7">
        <w:rPr>
          <w:szCs w:val="22"/>
        </w:rPr>
        <w:t xml:space="preserve">EGFR </w:t>
      </w:r>
      <w:r w:rsidRPr="008012E7">
        <w:rPr>
          <w:szCs w:val="22"/>
        </w:rPr>
        <w:t xml:space="preserve">mutation(s) who have good performance status (WHO performance status of 2 or less) and are willing to receive treatment, was determined based on a variety of data sources, including AIHW data, epidemiological studies and previous DUSC advice. </w:t>
      </w:r>
      <w:r w:rsidR="00D42953" w:rsidRPr="008012E7">
        <w:rPr>
          <w:szCs w:val="22"/>
        </w:rPr>
        <w:t xml:space="preserve"> </w:t>
      </w:r>
      <w:r w:rsidRPr="008012E7">
        <w:rPr>
          <w:szCs w:val="22"/>
        </w:rPr>
        <w:t>It was assumed that the uptake of afatinib would increase from 25% in Year 1 of listing to 70% in Year 5.</w:t>
      </w:r>
      <w:r w:rsidR="00D42953" w:rsidRPr="008012E7">
        <w:rPr>
          <w:szCs w:val="22"/>
        </w:rPr>
        <w:t xml:space="preserve"> </w:t>
      </w:r>
      <w:r w:rsidRPr="008012E7">
        <w:rPr>
          <w:szCs w:val="22"/>
        </w:rPr>
        <w:t xml:space="preserve"> The estimate of uptake of afatinib, if it is listed </w:t>
      </w:r>
      <w:r w:rsidR="00ED6C4A" w:rsidRPr="008012E7">
        <w:rPr>
          <w:szCs w:val="22"/>
        </w:rPr>
        <w:t>i</w:t>
      </w:r>
      <w:r w:rsidRPr="008012E7">
        <w:rPr>
          <w:szCs w:val="22"/>
        </w:rPr>
        <w:t xml:space="preserve">n the PBS for the proposed restriction, has not been justified in the re-submission. </w:t>
      </w:r>
      <w:r w:rsidR="00D42953" w:rsidRPr="008012E7">
        <w:rPr>
          <w:szCs w:val="22"/>
        </w:rPr>
        <w:t xml:space="preserve"> </w:t>
      </w:r>
      <w:r w:rsidRPr="008012E7">
        <w:rPr>
          <w:szCs w:val="22"/>
        </w:rPr>
        <w:t>The number of patients having</w:t>
      </w:r>
      <w:r w:rsidRPr="008012E7">
        <w:t xml:space="preserve"> already been treated with afatinib, erlotinib or gefitinib in previous years who would stay on TKI treatment in each subsequent year was determined using the PFS curve modelled in the economic evaluation, by assuming that patients would continue TKI thera</w:t>
      </w:r>
      <w:r w:rsidR="00D42953" w:rsidRPr="008012E7">
        <w:t>pies until disease progression.</w:t>
      </w:r>
    </w:p>
    <w:p w:rsidR="000968B1" w:rsidRPr="00744CB6" w:rsidRDefault="000968B1" w:rsidP="00D42953">
      <w:pPr>
        <w:widowControl/>
      </w:pPr>
    </w:p>
    <w:p w:rsidR="000968B1" w:rsidRPr="00744CB6" w:rsidRDefault="000968B1" w:rsidP="0090717E">
      <w:pPr>
        <w:pStyle w:val="ListParagraph"/>
        <w:widowControl/>
        <w:numPr>
          <w:ilvl w:val="1"/>
          <w:numId w:val="1"/>
        </w:numPr>
      </w:pPr>
      <w:r w:rsidRPr="00744CB6">
        <w:t xml:space="preserve">The estimated net costs to the PBS/RPBS presented in the table below were based on the proposed </w:t>
      </w:r>
      <w:r>
        <w:t>effective</w:t>
      </w:r>
      <w:r w:rsidRPr="00744CB6">
        <w:t xml:space="preserve"> prices for afati</w:t>
      </w:r>
      <w:r w:rsidR="00D42953">
        <w:t>nib.</w:t>
      </w:r>
    </w:p>
    <w:p w:rsidR="000968B1" w:rsidRPr="00744CB6" w:rsidRDefault="000968B1" w:rsidP="000968B1">
      <w:pPr>
        <w:widowControl/>
        <w:rPr>
          <w:szCs w:val="22"/>
        </w:rPr>
      </w:pPr>
    </w:p>
    <w:p w:rsidR="005232FD" w:rsidRDefault="005232FD" w:rsidP="000968B1">
      <w:pPr>
        <w:pStyle w:val="TableHeader"/>
        <w:ind w:left="709"/>
      </w:pPr>
      <w:r>
        <w:br w:type="page"/>
      </w:r>
    </w:p>
    <w:p w:rsidR="000968B1" w:rsidRPr="00744CB6" w:rsidRDefault="000968B1" w:rsidP="000968B1">
      <w:pPr>
        <w:pStyle w:val="TableHeader"/>
        <w:ind w:left="709"/>
      </w:pPr>
      <w:r w:rsidRPr="00744CB6">
        <w:lastRenderedPageBreak/>
        <w:t>Table 11: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0968B1" w:rsidRPr="00744CB6" w:rsidTr="00395CCA">
        <w:trPr>
          <w:tblHeader/>
        </w:trPr>
        <w:tc>
          <w:tcPr>
            <w:tcW w:w="1359" w:type="pct"/>
            <w:shd w:val="clear" w:color="auto" w:fill="auto"/>
            <w:vAlign w:val="center"/>
          </w:tcPr>
          <w:p w:rsidR="000968B1" w:rsidRPr="00744CB6" w:rsidRDefault="000968B1" w:rsidP="00395CCA">
            <w:pPr>
              <w:tabs>
                <w:tab w:val="left" w:pos="142"/>
              </w:tabs>
              <w:jc w:val="left"/>
              <w:rPr>
                <w:rFonts w:ascii="Arial Narrow" w:hAnsi="Arial Narrow"/>
                <w:b/>
                <w:sz w:val="20"/>
              </w:rPr>
            </w:pPr>
          </w:p>
        </w:tc>
        <w:tc>
          <w:tcPr>
            <w:tcW w:w="679" w:type="pct"/>
            <w:shd w:val="clear" w:color="auto" w:fill="auto"/>
            <w:vAlign w:val="center"/>
          </w:tcPr>
          <w:p w:rsidR="000968B1" w:rsidRPr="00744CB6" w:rsidRDefault="000968B1" w:rsidP="00395CCA">
            <w:pPr>
              <w:jc w:val="center"/>
              <w:rPr>
                <w:rFonts w:ascii="Arial Narrow" w:hAnsi="Arial Narrow"/>
                <w:b/>
                <w:sz w:val="20"/>
              </w:rPr>
            </w:pPr>
            <w:r w:rsidRPr="00744CB6">
              <w:rPr>
                <w:rFonts w:ascii="Arial Narrow" w:hAnsi="Arial Narrow"/>
                <w:b/>
                <w:sz w:val="20"/>
              </w:rPr>
              <w:t>Year 1</w:t>
            </w:r>
          </w:p>
        </w:tc>
        <w:tc>
          <w:tcPr>
            <w:tcW w:w="679" w:type="pct"/>
            <w:shd w:val="clear" w:color="auto" w:fill="auto"/>
            <w:vAlign w:val="center"/>
          </w:tcPr>
          <w:p w:rsidR="000968B1" w:rsidRPr="00744CB6" w:rsidRDefault="000968B1" w:rsidP="00395CCA">
            <w:pPr>
              <w:jc w:val="center"/>
              <w:rPr>
                <w:rFonts w:ascii="Arial Narrow" w:hAnsi="Arial Narrow"/>
                <w:b/>
                <w:sz w:val="20"/>
              </w:rPr>
            </w:pPr>
            <w:r w:rsidRPr="00744CB6">
              <w:rPr>
                <w:rFonts w:ascii="Arial Narrow" w:hAnsi="Arial Narrow"/>
                <w:b/>
                <w:sz w:val="20"/>
              </w:rPr>
              <w:t>Year 2</w:t>
            </w:r>
          </w:p>
        </w:tc>
        <w:tc>
          <w:tcPr>
            <w:tcW w:w="764" w:type="pct"/>
            <w:shd w:val="clear" w:color="auto" w:fill="auto"/>
            <w:vAlign w:val="center"/>
          </w:tcPr>
          <w:p w:rsidR="000968B1" w:rsidRPr="00744CB6" w:rsidRDefault="000968B1" w:rsidP="00395CCA">
            <w:pPr>
              <w:jc w:val="center"/>
              <w:rPr>
                <w:rFonts w:ascii="Arial Narrow" w:hAnsi="Arial Narrow"/>
                <w:b/>
                <w:sz w:val="20"/>
              </w:rPr>
            </w:pPr>
            <w:r w:rsidRPr="00744CB6">
              <w:rPr>
                <w:rFonts w:ascii="Arial Narrow" w:hAnsi="Arial Narrow"/>
                <w:b/>
                <w:sz w:val="20"/>
              </w:rPr>
              <w:t>Year 3</w:t>
            </w:r>
          </w:p>
        </w:tc>
        <w:tc>
          <w:tcPr>
            <w:tcW w:w="764" w:type="pct"/>
            <w:shd w:val="clear" w:color="auto" w:fill="auto"/>
            <w:vAlign w:val="center"/>
          </w:tcPr>
          <w:p w:rsidR="000968B1" w:rsidRPr="00744CB6" w:rsidRDefault="000968B1" w:rsidP="00395CCA">
            <w:pPr>
              <w:jc w:val="center"/>
              <w:rPr>
                <w:rFonts w:ascii="Arial Narrow" w:hAnsi="Arial Narrow"/>
                <w:b/>
                <w:sz w:val="20"/>
              </w:rPr>
            </w:pPr>
            <w:r w:rsidRPr="00744CB6">
              <w:rPr>
                <w:rFonts w:ascii="Arial Narrow" w:hAnsi="Arial Narrow"/>
                <w:b/>
                <w:sz w:val="20"/>
              </w:rPr>
              <w:t>Year 4</w:t>
            </w:r>
          </w:p>
        </w:tc>
        <w:tc>
          <w:tcPr>
            <w:tcW w:w="755" w:type="pct"/>
            <w:shd w:val="clear" w:color="auto" w:fill="auto"/>
            <w:vAlign w:val="center"/>
          </w:tcPr>
          <w:p w:rsidR="000968B1" w:rsidRPr="00744CB6" w:rsidRDefault="000968B1" w:rsidP="00395CCA">
            <w:pPr>
              <w:jc w:val="center"/>
              <w:rPr>
                <w:rFonts w:ascii="Arial Narrow" w:hAnsi="Arial Narrow"/>
                <w:b/>
                <w:sz w:val="20"/>
              </w:rPr>
            </w:pPr>
            <w:r w:rsidRPr="00744CB6">
              <w:rPr>
                <w:rFonts w:ascii="Arial Narrow" w:hAnsi="Arial Narrow"/>
                <w:b/>
                <w:sz w:val="20"/>
              </w:rPr>
              <w:t>Year 5</w:t>
            </w:r>
          </w:p>
        </w:tc>
      </w:tr>
      <w:tr w:rsidR="000968B1" w:rsidRPr="00744CB6" w:rsidTr="00395CCA">
        <w:tc>
          <w:tcPr>
            <w:tcW w:w="5000" w:type="pct"/>
            <w:gridSpan w:val="6"/>
            <w:shd w:val="clear" w:color="auto" w:fill="auto"/>
            <w:vAlign w:val="center"/>
          </w:tcPr>
          <w:p w:rsidR="000968B1" w:rsidRPr="00744CB6" w:rsidRDefault="000968B1" w:rsidP="00395CCA">
            <w:pPr>
              <w:jc w:val="left"/>
              <w:rPr>
                <w:rFonts w:ascii="Arial Narrow" w:hAnsi="Arial Narrow"/>
                <w:b/>
                <w:bCs/>
                <w:color w:val="000000"/>
                <w:sz w:val="20"/>
              </w:rPr>
            </w:pPr>
            <w:r w:rsidRPr="00744CB6">
              <w:rPr>
                <w:rFonts w:ascii="Arial Narrow" w:hAnsi="Arial Narrow"/>
                <w:b/>
                <w:bCs/>
                <w:color w:val="000000"/>
                <w:sz w:val="20"/>
              </w:rPr>
              <w:t>Estimated extent of use</w:t>
            </w:r>
          </w:p>
        </w:tc>
      </w:tr>
      <w:tr w:rsidR="000968B1" w:rsidRPr="00744CB6" w:rsidTr="00395CCA">
        <w:tc>
          <w:tcPr>
            <w:tcW w:w="1359" w:type="pct"/>
            <w:shd w:val="clear" w:color="auto" w:fill="auto"/>
            <w:vAlign w:val="center"/>
          </w:tcPr>
          <w:p w:rsidR="000968B1" w:rsidRPr="00744CB6" w:rsidRDefault="000968B1" w:rsidP="00395CCA">
            <w:pPr>
              <w:tabs>
                <w:tab w:val="left" w:pos="142"/>
              </w:tabs>
              <w:jc w:val="left"/>
              <w:rPr>
                <w:rFonts w:ascii="Arial Narrow" w:hAnsi="Arial Narrow"/>
                <w:sz w:val="20"/>
              </w:rPr>
            </w:pPr>
            <w:r w:rsidRPr="00744CB6">
              <w:rPr>
                <w:rFonts w:ascii="Arial Narrow" w:hAnsi="Arial Narrow"/>
                <w:sz w:val="20"/>
              </w:rPr>
              <w:t>Number treated</w:t>
            </w:r>
          </w:p>
        </w:tc>
        <w:tc>
          <w:tcPr>
            <w:tcW w:w="679" w:type="pct"/>
            <w:shd w:val="clear" w:color="auto" w:fill="auto"/>
            <w:vAlign w:val="bottom"/>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bottom"/>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bottom"/>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968B1" w:rsidRPr="00744CB6" w:rsidTr="00395CCA">
        <w:tc>
          <w:tcPr>
            <w:tcW w:w="1359" w:type="pct"/>
            <w:shd w:val="clear" w:color="auto" w:fill="auto"/>
            <w:vAlign w:val="center"/>
          </w:tcPr>
          <w:p w:rsidR="000968B1" w:rsidRPr="00744CB6" w:rsidRDefault="000968B1" w:rsidP="00395CCA">
            <w:pPr>
              <w:tabs>
                <w:tab w:val="left" w:pos="142"/>
              </w:tabs>
              <w:jc w:val="left"/>
              <w:rPr>
                <w:rFonts w:ascii="Arial Narrow" w:hAnsi="Arial Narrow"/>
                <w:sz w:val="20"/>
              </w:rPr>
            </w:pPr>
            <w:r w:rsidRPr="00744CB6">
              <w:rPr>
                <w:rFonts w:ascii="Arial Narrow" w:hAnsi="Arial Narrow"/>
                <w:sz w:val="20"/>
              </w:rPr>
              <w:t>Scripts</w:t>
            </w:r>
            <w:r w:rsidRPr="00744CB6">
              <w:rPr>
                <w:rFonts w:ascii="Arial Narrow" w:hAnsi="Arial Narrow"/>
                <w:sz w:val="20"/>
                <w:vertAlign w:val="superscript"/>
              </w:rPr>
              <w:t>a</w:t>
            </w:r>
          </w:p>
        </w:tc>
        <w:tc>
          <w:tcPr>
            <w:tcW w:w="679" w:type="pct"/>
            <w:shd w:val="clear" w:color="auto" w:fill="auto"/>
            <w:vAlign w:val="center"/>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0968B1" w:rsidRPr="00393C73" w:rsidRDefault="00393C73" w:rsidP="00395CCA">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968B1" w:rsidRPr="00744CB6" w:rsidTr="00395CCA">
        <w:tc>
          <w:tcPr>
            <w:tcW w:w="5000" w:type="pct"/>
            <w:gridSpan w:val="6"/>
            <w:shd w:val="clear" w:color="auto" w:fill="auto"/>
            <w:vAlign w:val="center"/>
          </w:tcPr>
          <w:p w:rsidR="000968B1" w:rsidRPr="00744CB6" w:rsidRDefault="000968B1" w:rsidP="00395CCA">
            <w:pPr>
              <w:jc w:val="left"/>
              <w:rPr>
                <w:rFonts w:ascii="Arial Narrow" w:hAnsi="Arial Narrow"/>
                <w:b/>
                <w:bCs/>
                <w:color w:val="000000"/>
                <w:sz w:val="20"/>
              </w:rPr>
            </w:pPr>
            <w:r w:rsidRPr="00744CB6">
              <w:rPr>
                <w:rFonts w:ascii="Arial Narrow" w:hAnsi="Arial Narrow"/>
                <w:b/>
                <w:bCs/>
                <w:color w:val="000000"/>
                <w:sz w:val="20"/>
              </w:rPr>
              <w:t>Estimated net cost to PBS/RPBS/MBS</w:t>
            </w:r>
          </w:p>
        </w:tc>
      </w:tr>
      <w:tr w:rsidR="000968B1" w:rsidRPr="00281BC4" w:rsidTr="00395CCA">
        <w:tc>
          <w:tcPr>
            <w:tcW w:w="1359" w:type="pct"/>
            <w:shd w:val="clear" w:color="auto" w:fill="auto"/>
            <w:vAlign w:val="center"/>
          </w:tcPr>
          <w:p w:rsidR="000968B1" w:rsidRPr="00281BC4" w:rsidRDefault="000968B1" w:rsidP="00395CCA">
            <w:pPr>
              <w:tabs>
                <w:tab w:val="left" w:pos="142"/>
              </w:tabs>
              <w:jc w:val="left"/>
              <w:rPr>
                <w:rFonts w:ascii="Arial Narrow" w:hAnsi="Arial Narrow"/>
                <w:sz w:val="20"/>
              </w:rPr>
            </w:pPr>
            <w:r w:rsidRPr="00281BC4">
              <w:rPr>
                <w:rFonts w:ascii="Arial Narrow" w:hAnsi="Arial Narrow"/>
                <w:sz w:val="19"/>
                <w:szCs w:val="19"/>
              </w:rPr>
              <w:t>Net cost to PBS/RPBS</w:t>
            </w:r>
            <w:r w:rsidRPr="00281BC4">
              <w:rPr>
                <w:rFonts w:ascii="Arial Narrow" w:hAnsi="Arial Narrow"/>
                <w:sz w:val="19"/>
                <w:szCs w:val="19"/>
                <w:vertAlign w:val="superscript"/>
              </w:rPr>
              <w:t>b</w:t>
            </w:r>
          </w:p>
        </w:tc>
        <w:tc>
          <w:tcPr>
            <w:tcW w:w="679" w:type="pct"/>
            <w:shd w:val="clear" w:color="auto" w:fill="auto"/>
            <w:vAlign w:val="bottom"/>
          </w:tcPr>
          <w:p w:rsidR="000968B1" w:rsidRPr="00281BC4" w:rsidRDefault="000968B1" w:rsidP="00395CCA">
            <w:pPr>
              <w:jc w:val="right"/>
              <w:rPr>
                <w:rFonts w:ascii="Arial Narrow" w:hAnsi="Arial Narrow"/>
                <w:bCs/>
                <w:color w:val="000000"/>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679" w:type="pct"/>
            <w:shd w:val="clear" w:color="auto" w:fill="auto"/>
            <w:vAlign w:val="bottom"/>
          </w:tcPr>
          <w:p w:rsidR="000968B1" w:rsidRPr="00281BC4" w:rsidRDefault="000968B1" w:rsidP="00395CCA">
            <w:pPr>
              <w:jc w:val="right"/>
              <w:rPr>
                <w:rFonts w:ascii="Arial Narrow" w:hAnsi="Arial Narrow"/>
                <w:bCs/>
                <w:color w:val="000000"/>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764" w:type="pct"/>
            <w:shd w:val="clear" w:color="auto" w:fill="auto"/>
            <w:vAlign w:val="bottom"/>
          </w:tcPr>
          <w:p w:rsidR="000968B1" w:rsidRPr="00281BC4" w:rsidRDefault="000968B1" w:rsidP="00395CCA">
            <w:pPr>
              <w:jc w:val="right"/>
              <w:rPr>
                <w:rFonts w:ascii="Arial Narrow" w:hAnsi="Arial Narrow"/>
                <w:bCs/>
                <w:color w:val="000000"/>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764" w:type="pct"/>
            <w:shd w:val="clear" w:color="auto" w:fill="auto"/>
            <w:vAlign w:val="bottom"/>
          </w:tcPr>
          <w:p w:rsidR="000968B1" w:rsidRPr="00281BC4" w:rsidRDefault="000968B1" w:rsidP="00395CCA">
            <w:pPr>
              <w:jc w:val="right"/>
              <w:rPr>
                <w:rFonts w:ascii="Arial Narrow" w:hAnsi="Arial Narrow"/>
                <w:bCs/>
                <w:color w:val="000000"/>
                <w:sz w:val="20"/>
              </w:rPr>
            </w:pPr>
            <w:r w:rsidRPr="00281BC4">
              <w:rPr>
                <w:rFonts w:ascii="Arial Narrow" w:hAnsi="Arial Narrow"/>
                <w:sz w:val="20"/>
              </w:rPr>
              <w:t>$</w:t>
            </w:r>
            <w:r w:rsidR="00393C73">
              <w:rPr>
                <w:rFonts w:ascii="Arial Narrow" w:hAnsi="Arial Narrow"/>
                <w:noProof/>
                <w:color w:val="000000"/>
                <w:sz w:val="20"/>
                <w:highlight w:val="black"/>
              </w:rPr>
              <w:t>''''''''''''''''''''</w:t>
            </w:r>
          </w:p>
        </w:tc>
        <w:tc>
          <w:tcPr>
            <w:tcW w:w="755" w:type="pct"/>
            <w:shd w:val="clear" w:color="auto" w:fill="auto"/>
            <w:vAlign w:val="bottom"/>
          </w:tcPr>
          <w:p w:rsidR="000968B1" w:rsidRPr="00281BC4" w:rsidRDefault="000968B1" w:rsidP="00395CCA">
            <w:pPr>
              <w:jc w:val="right"/>
              <w:rPr>
                <w:rFonts w:ascii="Arial Narrow" w:hAnsi="Arial Narrow"/>
                <w:bCs/>
                <w:color w:val="000000"/>
                <w:sz w:val="20"/>
              </w:rPr>
            </w:pPr>
            <w:r w:rsidRPr="00281BC4">
              <w:rPr>
                <w:rFonts w:ascii="Arial Narrow" w:hAnsi="Arial Narrow"/>
                <w:sz w:val="20"/>
              </w:rPr>
              <w:t>$</w:t>
            </w:r>
            <w:r w:rsidR="00393C73">
              <w:rPr>
                <w:rFonts w:ascii="Arial Narrow" w:hAnsi="Arial Narrow"/>
                <w:noProof/>
                <w:color w:val="000000"/>
                <w:sz w:val="20"/>
                <w:highlight w:val="black"/>
              </w:rPr>
              <w:t>''''''''''''''''''</w:t>
            </w:r>
          </w:p>
        </w:tc>
      </w:tr>
      <w:tr w:rsidR="000968B1" w:rsidRPr="00281BC4" w:rsidTr="00395CCA">
        <w:tc>
          <w:tcPr>
            <w:tcW w:w="1359" w:type="pct"/>
            <w:shd w:val="clear" w:color="auto" w:fill="auto"/>
            <w:vAlign w:val="center"/>
          </w:tcPr>
          <w:p w:rsidR="000968B1" w:rsidRPr="00281BC4" w:rsidRDefault="000968B1" w:rsidP="00395CCA">
            <w:pPr>
              <w:tabs>
                <w:tab w:val="left" w:pos="142"/>
              </w:tabs>
              <w:jc w:val="left"/>
              <w:rPr>
                <w:rFonts w:ascii="Arial Narrow" w:hAnsi="Arial Narrow"/>
                <w:sz w:val="20"/>
              </w:rPr>
            </w:pPr>
            <w:r w:rsidRPr="00281BC4">
              <w:rPr>
                <w:rFonts w:ascii="Arial Narrow" w:hAnsi="Arial Narrow"/>
                <w:sz w:val="19"/>
                <w:szCs w:val="19"/>
              </w:rPr>
              <w:t>Net cost to MBS</w:t>
            </w:r>
          </w:p>
        </w:tc>
        <w:tc>
          <w:tcPr>
            <w:tcW w:w="679" w:type="pct"/>
            <w:shd w:val="clear" w:color="auto" w:fill="auto"/>
            <w:vAlign w:val="center"/>
          </w:tcPr>
          <w:p w:rsidR="000968B1" w:rsidRPr="00281BC4" w:rsidRDefault="000968B1" w:rsidP="00395CCA">
            <w:pPr>
              <w:jc w:val="right"/>
              <w:rPr>
                <w:rFonts w:ascii="Arial Narrow" w:hAnsi="Arial Narrow"/>
                <w:bCs/>
                <w:color w:val="000000"/>
                <w:sz w:val="20"/>
              </w:rPr>
            </w:pPr>
            <w:r w:rsidRPr="00281BC4">
              <w:rPr>
                <w:rFonts w:ascii="Arial Narrow" w:hAnsi="Arial Narrow"/>
                <w:bCs/>
                <w:sz w:val="19"/>
                <w:szCs w:val="19"/>
              </w:rPr>
              <w:t>$0</w:t>
            </w:r>
          </w:p>
        </w:tc>
        <w:tc>
          <w:tcPr>
            <w:tcW w:w="679" w:type="pct"/>
            <w:shd w:val="clear" w:color="auto" w:fill="auto"/>
            <w:vAlign w:val="center"/>
          </w:tcPr>
          <w:p w:rsidR="000968B1" w:rsidRPr="00281BC4" w:rsidRDefault="000968B1" w:rsidP="00395CCA">
            <w:pPr>
              <w:jc w:val="right"/>
              <w:rPr>
                <w:rFonts w:ascii="Arial Narrow" w:hAnsi="Arial Narrow"/>
                <w:bCs/>
                <w:color w:val="000000"/>
                <w:sz w:val="20"/>
              </w:rPr>
            </w:pPr>
            <w:r w:rsidRPr="00281BC4">
              <w:rPr>
                <w:rFonts w:ascii="Arial Narrow" w:hAnsi="Arial Narrow"/>
                <w:bCs/>
                <w:sz w:val="19"/>
                <w:szCs w:val="19"/>
              </w:rPr>
              <w:t>$0</w:t>
            </w:r>
          </w:p>
        </w:tc>
        <w:tc>
          <w:tcPr>
            <w:tcW w:w="764" w:type="pct"/>
            <w:shd w:val="clear" w:color="auto" w:fill="auto"/>
            <w:vAlign w:val="center"/>
          </w:tcPr>
          <w:p w:rsidR="000968B1" w:rsidRPr="00281BC4" w:rsidRDefault="000968B1" w:rsidP="00395CCA">
            <w:pPr>
              <w:jc w:val="right"/>
              <w:rPr>
                <w:rFonts w:ascii="Arial Narrow" w:hAnsi="Arial Narrow"/>
                <w:bCs/>
                <w:color w:val="000000"/>
                <w:sz w:val="20"/>
              </w:rPr>
            </w:pPr>
            <w:r w:rsidRPr="00281BC4">
              <w:rPr>
                <w:rFonts w:ascii="Arial Narrow" w:hAnsi="Arial Narrow"/>
                <w:bCs/>
                <w:sz w:val="19"/>
                <w:szCs w:val="19"/>
              </w:rPr>
              <w:t>$0</w:t>
            </w:r>
          </w:p>
        </w:tc>
        <w:tc>
          <w:tcPr>
            <w:tcW w:w="764" w:type="pct"/>
            <w:shd w:val="clear" w:color="auto" w:fill="auto"/>
            <w:vAlign w:val="center"/>
          </w:tcPr>
          <w:p w:rsidR="000968B1" w:rsidRPr="00281BC4" w:rsidRDefault="000968B1" w:rsidP="00395CCA">
            <w:pPr>
              <w:jc w:val="right"/>
              <w:rPr>
                <w:rFonts w:ascii="Arial Narrow" w:hAnsi="Arial Narrow"/>
                <w:bCs/>
                <w:color w:val="000000"/>
                <w:sz w:val="20"/>
              </w:rPr>
            </w:pPr>
            <w:r w:rsidRPr="00281BC4">
              <w:rPr>
                <w:rFonts w:ascii="Arial Narrow" w:hAnsi="Arial Narrow"/>
                <w:bCs/>
                <w:sz w:val="19"/>
                <w:szCs w:val="19"/>
              </w:rPr>
              <w:t>$0</w:t>
            </w:r>
          </w:p>
        </w:tc>
        <w:tc>
          <w:tcPr>
            <w:tcW w:w="755" w:type="pct"/>
            <w:shd w:val="clear" w:color="auto" w:fill="auto"/>
            <w:vAlign w:val="center"/>
          </w:tcPr>
          <w:p w:rsidR="000968B1" w:rsidRPr="00281BC4" w:rsidRDefault="000968B1" w:rsidP="00395CCA">
            <w:pPr>
              <w:jc w:val="right"/>
              <w:rPr>
                <w:rFonts w:ascii="Arial Narrow" w:hAnsi="Arial Narrow"/>
                <w:bCs/>
                <w:color w:val="000000"/>
                <w:sz w:val="20"/>
              </w:rPr>
            </w:pPr>
            <w:r w:rsidRPr="00281BC4">
              <w:rPr>
                <w:rFonts w:ascii="Arial Narrow" w:hAnsi="Arial Narrow"/>
                <w:bCs/>
                <w:sz w:val="19"/>
                <w:szCs w:val="19"/>
              </w:rPr>
              <w:t>$0</w:t>
            </w:r>
          </w:p>
        </w:tc>
      </w:tr>
      <w:tr w:rsidR="000968B1" w:rsidRPr="00281BC4" w:rsidTr="00395CCA">
        <w:tc>
          <w:tcPr>
            <w:tcW w:w="5000" w:type="pct"/>
            <w:gridSpan w:val="6"/>
            <w:shd w:val="clear" w:color="auto" w:fill="auto"/>
            <w:vAlign w:val="center"/>
          </w:tcPr>
          <w:p w:rsidR="000968B1" w:rsidRPr="00281BC4" w:rsidRDefault="000968B1" w:rsidP="00395CCA">
            <w:pPr>
              <w:jc w:val="left"/>
              <w:rPr>
                <w:rFonts w:ascii="Arial Narrow" w:hAnsi="Arial Narrow"/>
                <w:b/>
                <w:color w:val="000000"/>
                <w:sz w:val="20"/>
              </w:rPr>
            </w:pPr>
            <w:r w:rsidRPr="00281BC4">
              <w:rPr>
                <w:rFonts w:ascii="Arial Narrow" w:hAnsi="Arial Narrow"/>
                <w:b/>
                <w:color w:val="000000"/>
                <w:sz w:val="20"/>
              </w:rPr>
              <w:t>Estimated total net cost</w:t>
            </w:r>
          </w:p>
        </w:tc>
      </w:tr>
      <w:tr w:rsidR="000968B1" w:rsidRPr="00281BC4" w:rsidTr="00395CCA">
        <w:tc>
          <w:tcPr>
            <w:tcW w:w="1359" w:type="pct"/>
            <w:shd w:val="clear" w:color="auto" w:fill="auto"/>
            <w:vAlign w:val="center"/>
          </w:tcPr>
          <w:p w:rsidR="000968B1" w:rsidRPr="00281BC4" w:rsidRDefault="000968B1" w:rsidP="00395CCA">
            <w:pPr>
              <w:tabs>
                <w:tab w:val="left" w:pos="142"/>
              </w:tabs>
              <w:jc w:val="left"/>
              <w:rPr>
                <w:rFonts w:ascii="Arial Narrow" w:hAnsi="Arial Narrow"/>
                <w:b/>
                <w:sz w:val="20"/>
              </w:rPr>
            </w:pPr>
            <w:r w:rsidRPr="00281BC4">
              <w:rPr>
                <w:rFonts w:ascii="Arial Narrow" w:hAnsi="Arial Narrow"/>
                <w:b/>
                <w:bCs/>
                <w:color w:val="000000"/>
                <w:sz w:val="20"/>
              </w:rPr>
              <w:t>Net cost to PBS/RPBS/MBS</w:t>
            </w:r>
          </w:p>
        </w:tc>
        <w:tc>
          <w:tcPr>
            <w:tcW w:w="679" w:type="pct"/>
            <w:shd w:val="clear" w:color="auto" w:fill="auto"/>
            <w:vAlign w:val="bottom"/>
          </w:tcPr>
          <w:p w:rsidR="000968B1" w:rsidRPr="00281BC4" w:rsidRDefault="000968B1" w:rsidP="00395CCA">
            <w:pPr>
              <w:jc w:val="right"/>
              <w:rPr>
                <w:rFonts w:ascii="Arial Narrow" w:hAnsi="Arial Narrow"/>
                <w:color w:val="000000"/>
                <w:sz w:val="20"/>
              </w:rPr>
            </w:pPr>
            <w:r w:rsidRPr="00281BC4">
              <w:rPr>
                <w:rFonts w:ascii="Arial Narrow" w:hAnsi="Arial Narrow"/>
                <w:b/>
                <w:sz w:val="20"/>
              </w:rPr>
              <w:t>$</w:t>
            </w:r>
            <w:r w:rsidR="00393C73">
              <w:rPr>
                <w:rFonts w:ascii="Arial Narrow" w:hAnsi="Arial Narrow"/>
                <w:b/>
                <w:noProof/>
                <w:color w:val="000000"/>
                <w:sz w:val="20"/>
                <w:highlight w:val="black"/>
              </w:rPr>
              <w:t>'''''''''''''</w:t>
            </w:r>
          </w:p>
        </w:tc>
        <w:tc>
          <w:tcPr>
            <w:tcW w:w="679" w:type="pct"/>
            <w:shd w:val="clear" w:color="auto" w:fill="auto"/>
            <w:vAlign w:val="bottom"/>
          </w:tcPr>
          <w:p w:rsidR="000968B1" w:rsidRPr="00281BC4" w:rsidRDefault="000968B1" w:rsidP="00395CCA">
            <w:pPr>
              <w:jc w:val="right"/>
              <w:rPr>
                <w:rFonts w:ascii="Arial Narrow" w:hAnsi="Arial Narrow"/>
                <w:color w:val="000000"/>
                <w:sz w:val="20"/>
              </w:rPr>
            </w:pPr>
            <w:r w:rsidRPr="00281BC4">
              <w:rPr>
                <w:rFonts w:ascii="Arial Narrow" w:hAnsi="Arial Narrow"/>
                <w:b/>
                <w:sz w:val="20"/>
              </w:rPr>
              <w:t>$</w:t>
            </w:r>
            <w:r w:rsidR="00393C73">
              <w:rPr>
                <w:rFonts w:ascii="Arial Narrow" w:hAnsi="Arial Narrow"/>
                <w:b/>
                <w:noProof/>
                <w:color w:val="000000"/>
                <w:sz w:val="20"/>
                <w:highlight w:val="black"/>
              </w:rPr>
              <w:t>''''''''''''''</w:t>
            </w:r>
          </w:p>
        </w:tc>
        <w:tc>
          <w:tcPr>
            <w:tcW w:w="764" w:type="pct"/>
            <w:shd w:val="clear" w:color="auto" w:fill="auto"/>
            <w:vAlign w:val="bottom"/>
          </w:tcPr>
          <w:p w:rsidR="000968B1" w:rsidRPr="00281BC4" w:rsidRDefault="000968B1" w:rsidP="00395CCA">
            <w:pPr>
              <w:jc w:val="right"/>
              <w:rPr>
                <w:rFonts w:ascii="Arial Narrow" w:hAnsi="Arial Narrow"/>
                <w:color w:val="000000"/>
                <w:sz w:val="20"/>
              </w:rPr>
            </w:pPr>
            <w:r w:rsidRPr="00281BC4">
              <w:rPr>
                <w:rFonts w:ascii="Arial Narrow" w:hAnsi="Arial Narrow"/>
                <w:b/>
                <w:sz w:val="20"/>
              </w:rPr>
              <w:t>$</w:t>
            </w:r>
            <w:r w:rsidR="00393C73">
              <w:rPr>
                <w:rFonts w:ascii="Arial Narrow" w:hAnsi="Arial Narrow"/>
                <w:b/>
                <w:noProof/>
                <w:color w:val="000000"/>
                <w:sz w:val="20"/>
                <w:highlight w:val="black"/>
              </w:rPr>
              <w:t>''''''''''''''''</w:t>
            </w:r>
          </w:p>
        </w:tc>
        <w:tc>
          <w:tcPr>
            <w:tcW w:w="764" w:type="pct"/>
            <w:shd w:val="clear" w:color="auto" w:fill="auto"/>
            <w:vAlign w:val="bottom"/>
          </w:tcPr>
          <w:p w:rsidR="000968B1" w:rsidRPr="00281BC4" w:rsidRDefault="000968B1" w:rsidP="00395CCA">
            <w:pPr>
              <w:jc w:val="right"/>
              <w:rPr>
                <w:rFonts w:ascii="Arial Narrow" w:hAnsi="Arial Narrow"/>
                <w:color w:val="000000"/>
                <w:sz w:val="20"/>
              </w:rPr>
            </w:pPr>
            <w:r w:rsidRPr="00281BC4">
              <w:rPr>
                <w:rFonts w:ascii="Arial Narrow" w:hAnsi="Arial Narrow"/>
                <w:b/>
                <w:sz w:val="20"/>
              </w:rPr>
              <w:t>$</w:t>
            </w:r>
            <w:r w:rsidR="00393C73">
              <w:rPr>
                <w:rFonts w:ascii="Arial Narrow" w:hAnsi="Arial Narrow"/>
                <w:b/>
                <w:noProof/>
                <w:color w:val="000000"/>
                <w:sz w:val="20"/>
                <w:highlight w:val="black"/>
              </w:rPr>
              <w:t>''''''''''''''''''</w:t>
            </w:r>
          </w:p>
        </w:tc>
        <w:tc>
          <w:tcPr>
            <w:tcW w:w="755" w:type="pct"/>
            <w:shd w:val="clear" w:color="auto" w:fill="auto"/>
            <w:vAlign w:val="bottom"/>
          </w:tcPr>
          <w:p w:rsidR="000968B1" w:rsidRPr="00281BC4" w:rsidRDefault="000968B1" w:rsidP="00395CCA">
            <w:pPr>
              <w:jc w:val="right"/>
              <w:rPr>
                <w:rFonts w:ascii="Arial Narrow" w:hAnsi="Arial Narrow"/>
                <w:color w:val="000000"/>
                <w:sz w:val="20"/>
              </w:rPr>
            </w:pPr>
            <w:r w:rsidRPr="00281BC4">
              <w:rPr>
                <w:rFonts w:ascii="Arial Narrow" w:hAnsi="Arial Narrow"/>
                <w:b/>
                <w:sz w:val="20"/>
              </w:rPr>
              <w:t>$</w:t>
            </w:r>
            <w:r w:rsidR="00393C73">
              <w:rPr>
                <w:rFonts w:ascii="Arial Narrow" w:hAnsi="Arial Narrow"/>
                <w:b/>
                <w:noProof/>
                <w:color w:val="000000"/>
                <w:sz w:val="20"/>
                <w:highlight w:val="black"/>
              </w:rPr>
              <w:t>''''''''''''''''</w:t>
            </w:r>
          </w:p>
        </w:tc>
      </w:tr>
    </w:tbl>
    <w:p w:rsidR="000968B1" w:rsidRPr="00744CB6" w:rsidRDefault="000968B1" w:rsidP="000968B1">
      <w:pPr>
        <w:pStyle w:val="TableFooter"/>
        <w:ind w:left="709"/>
        <w:rPr>
          <w:szCs w:val="18"/>
        </w:rPr>
      </w:pPr>
      <w:r w:rsidRPr="00281BC4">
        <w:rPr>
          <w:szCs w:val="18"/>
          <w:vertAlign w:val="superscript"/>
        </w:rPr>
        <w:t>a</w:t>
      </w:r>
      <w:r w:rsidRPr="00281BC4">
        <w:rPr>
          <w:szCs w:val="18"/>
        </w:rPr>
        <w:t xml:space="preserve"> Assuming 12.72 scripts per year as estimated by the re-submission.</w:t>
      </w:r>
    </w:p>
    <w:p w:rsidR="000968B1" w:rsidRPr="00744CB6" w:rsidRDefault="000968B1" w:rsidP="000968B1">
      <w:pPr>
        <w:pStyle w:val="TableFooter"/>
        <w:ind w:left="709"/>
        <w:rPr>
          <w:szCs w:val="18"/>
        </w:rPr>
      </w:pPr>
      <w:r w:rsidRPr="00744CB6">
        <w:rPr>
          <w:szCs w:val="18"/>
          <w:vertAlign w:val="superscript"/>
        </w:rPr>
        <w:t>b</w:t>
      </w:r>
      <w:r w:rsidRPr="00744CB6">
        <w:rPr>
          <w:szCs w:val="18"/>
        </w:rPr>
        <w:t xml:space="preserve"> Costs to the PBS/RPBS excluding the patient co-payments and incorporating the proposed effective prices for afatinib.</w:t>
      </w:r>
    </w:p>
    <w:p w:rsidR="000968B1" w:rsidRPr="00744CB6" w:rsidRDefault="000968B1" w:rsidP="000968B1"/>
    <w:p w:rsidR="000968B1" w:rsidRDefault="000968B1" w:rsidP="0090717E">
      <w:pPr>
        <w:pStyle w:val="ListParagraph"/>
        <w:widowControl/>
        <w:numPr>
          <w:ilvl w:val="1"/>
          <w:numId w:val="1"/>
        </w:numPr>
      </w:pPr>
      <w:r w:rsidRPr="008012E7">
        <w:t xml:space="preserve">The number of patients likely to receive afatinib could be higher than the estimates used in the re-submission to calculate the financial implications to the PBS/RPBS. </w:t>
      </w:r>
      <w:r w:rsidR="00D42953" w:rsidRPr="008012E7">
        <w:t xml:space="preserve"> </w:t>
      </w:r>
      <w:r w:rsidRPr="008012E7">
        <w:t xml:space="preserve">The re-submission assumed that 33% of patients with Stage IIb disease and 38% of patients with Stage IIIa at diagnosis would progress to Stage IIIb/IV and, subject to their exon 19 deletion </w:t>
      </w:r>
      <w:r w:rsidR="00FD4D63" w:rsidRPr="008012E7">
        <w:t xml:space="preserve">EGFR </w:t>
      </w:r>
      <w:r w:rsidRPr="008012E7">
        <w:t xml:space="preserve">mutation status, might become eligible for afatinib treatment. </w:t>
      </w:r>
      <w:r w:rsidR="00D42953" w:rsidRPr="008012E7">
        <w:t xml:space="preserve"> </w:t>
      </w:r>
      <w:r w:rsidRPr="008012E7">
        <w:t xml:space="preserve">The submission assumed that no patients diagnosed with Stages I-IIa would experience a risk of disease progression. </w:t>
      </w:r>
      <w:r w:rsidR="00D42953" w:rsidRPr="008012E7">
        <w:t xml:space="preserve"> </w:t>
      </w:r>
      <w:r w:rsidRPr="008012E7">
        <w:t>The re-submission’s assumptions were unreasonable as patients diagnosed with earlier stages of lung cancer would reach Stage IIIb/IV disease later on unless they died from other causes first.</w:t>
      </w:r>
      <w:r w:rsidR="00D42953" w:rsidRPr="008012E7">
        <w:t xml:space="preserve"> </w:t>
      </w:r>
      <w:r w:rsidRPr="008012E7">
        <w:t xml:space="preserve"> The afatinib submission considered at the July 2013 PBAC meeting assumed that all patients with Stages I-IIIa lung cancer at diagnosis would progress to Stage IIIb/IV 2 years later</w:t>
      </w:r>
      <w:r w:rsidR="00D42953" w:rsidRPr="008012E7">
        <w:t>.</w:t>
      </w:r>
    </w:p>
    <w:p w:rsidR="00861E8B" w:rsidRDefault="00861E8B" w:rsidP="00861E8B">
      <w:pPr>
        <w:widowControl/>
      </w:pPr>
    </w:p>
    <w:p w:rsidR="000968B1" w:rsidRDefault="000968B1" w:rsidP="0090717E">
      <w:pPr>
        <w:pStyle w:val="ListParagraph"/>
        <w:widowControl/>
        <w:numPr>
          <w:ilvl w:val="1"/>
          <w:numId w:val="1"/>
        </w:numPr>
      </w:pPr>
      <w:r w:rsidRPr="008012E7">
        <w:t xml:space="preserve">The results of the financial implications to the PBS/RPBS relied on the comparative treatment effect of afatinib versus erlotinib and gefitinib in terms of PFS, which was the major clinical and economic uncertainty of the re-submission. </w:t>
      </w:r>
      <w:r w:rsidR="00D42953" w:rsidRPr="008012E7">
        <w:t xml:space="preserve"> </w:t>
      </w:r>
      <w:r w:rsidRPr="008012E7">
        <w:t>Most (70%) of the patients expected to be treated with afatinib would otherwise receive erlotinib.</w:t>
      </w:r>
      <w:r w:rsidR="00D42953" w:rsidRPr="008012E7">
        <w:t xml:space="preserve"> </w:t>
      </w:r>
      <w:r w:rsidRPr="008012E7">
        <w:t xml:space="preserve"> For these patients, the use of afatinib instead of erlotinib would result in fewer patients staying on treatment in subsequent years and, thus, favour afatinib, given the modelled shorter PFS following afatinib treatment.</w:t>
      </w:r>
    </w:p>
    <w:p w:rsidR="00861E8B" w:rsidRDefault="00861E8B" w:rsidP="00861E8B"/>
    <w:p w:rsidR="00861E8B" w:rsidRPr="00861E8B" w:rsidRDefault="00281BC4" w:rsidP="0090717E">
      <w:pPr>
        <w:pStyle w:val="ListParagraph"/>
        <w:widowControl/>
        <w:numPr>
          <w:ilvl w:val="1"/>
          <w:numId w:val="1"/>
        </w:numPr>
      </w:pPr>
      <w:r>
        <w:rPr>
          <w:bCs/>
          <w:szCs w:val="22"/>
        </w:rPr>
        <w:t>The redacted table above shows that a</w:t>
      </w:r>
      <w:r w:rsidR="00861E8B" w:rsidRPr="00861E8B">
        <w:rPr>
          <w:bCs/>
          <w:szCs w:val="22"/>
        </w:rPr>
        <w:t xml:space="preserve">t year 5, the estimated number of patients was </w:t>
      </w:r>
      <w:r>
        <w:rPr>
          <w:bCs/>
          <w:szCs w:val="22"/>
        </w:rPr>
        <w:t xml:space="preserve">less than 10,000 </w:t>
      </w:r>
      <w:r w:rsidR="00861E8B" w:rsidRPr="00861E8B">
        <w:rPr>
          <w:bCs/>
          <w:szCs w:val="22"/>
        </w:rPr>
        <w:t xml:space="preserve">and the net cost to the PBS/RPBS/MBS would be </w:t>
      </w:r>
      <w:r w:rsidR="00AD1F73">
        <w:rPr>
          <w:bCs/>
          <w:szCs w:val="22"/>
        </w:rPr>
        <w:t xml:space="preserve">less than </w:t>
      </w:r>
      <w:r w:rsidR="00861E8B" w:rsidRPr="00861E8B">
        <w:rPr>
          <w:bCs/>
          <w:szCs w:val="22"/>
        </w:rPr>
        <w:t>$</w:t>
      </w:r>
      <w:r w:rsidR="00AD1F73">
        <w:rPr>
          <w:bCs/>
          <w:szCs w:val="22"/>
        </w:rPr>
        <w:t>10 million</w:t>
      </w:r>
      <w:r w:rsidR="00861E8B" w:rsidRPr="00861E8B">
        <w:rPr>
          <w:bCs/>
          <w:szCs w:val="22"/>
        </w:rPr>
        <w:t>.</w:t>
      </w:r>
    </w:p>
    <w:p w:rsidR="00861E8B" w:rsidRDefault="00861E8B" w:rsidP="000968B1">
      <w:pPr>
        <w:widowControl/>
      </w:pPr>
    </w:p>
    <w:p w:rsidR="00032510" w:rsidRDefault="00032510" w:rsidP="00032510">
      <w:pPr>
        <w:pStyle w:val="ListParagraph"/>
        <w:ind w:left="709"/>
        <w:rPr>
          <w:i/>
          <w:szCs w:val="22"/>
        </w:rPr>
      </w:pPr>
      <w:r w:rsidRPr="00032510">
        <w:rPr>
          <w:i/>
          <w:szCs w:val="22"/>
        </w:rPr>
        <w:t>For more detail on PBAC’s view, see section 7 “PBAC outcome”</w:t>
      </w:r>
    </w:p>
    <w:p w:rsidR="00576972" w:rsidRDefault="00576972" w:rsidP="00576972">
      <w:pPr>
        <w:widowControl/>
        <w:rPr>
          <w:szCs w:val="22"/>
        </w:rPr>
      </w:pPr>
    </w:p>
    <w:p w:rsidR="00576972" w:rsidRPr="002C2775" w:rsidRDefault="00576972" w:rsidP="002C2775">
      <w:pPr>
        <w:pStyle w:val="Heading2"/>
        <w:rPr>
          <w:i/>
          <w:szCs w:val="22"/>
        </w:rPr>
      </w:pPr>
      <w:bookmarkStart w:id="15" w:name="_Toc419801419"/>
      <w:r w:rsidRPr="002C2775">
        <w:rPr>
          <w:i/>
        </w:rPr>
        <w:t>Financial Management – Risk Sharing Arrangements</w:t>
      </w:r>
      <w:bookmarkEnd w:id="15"/>
    </w:p>
    <w:p w:rsidR="00C25D9C" w:rsidRPr="00576972" w:rsidRDefault="00C25D9C" w:rsidP="00576972">
      <w:pPr>
        <w:widowControl/>
        <w:rPr>
          <w:szCs w:val="22"/>
        </w:rPr>
      </w:pPr>
    </w:p>
    <w:p w:rsidR="00C25D9C" w:rsidRPr="00D021F8" w:rsidRDefault="00B37BE6" w:rsidP="0090717E">
      <w:pPr>
        <w:pStyle w:val="ListParagraph"/>
        <w:widowControl/>
        <w:numPr>
          <w:ilvl w:val="1"/>
          <w:numId w:val="1"/>
        </w:numPr>
        <w:rPr>
          <w:szCs w:val="22"/>
        </w:rPr>
      </w:pPr>
      <w:r w:rsidRPr="00B37BE6">
        <w:t>The re-submission state</w:t>
      </w:r>
      <w:r w:rsidR="004049D4">
        <w:t>d</w:t>
      </w:r>
      <w:r w:rsidRPr="00B37BE6">
        <w:t xml:space="preserve"> that “Boehringer Ingelheim remains willing to enter into a risk sharing arrangement with the Commonwealth, and is able to accept the other terms and conditions of the risk sharing arrangements for the other PBS listed EGFR tyrosine kinase inhibitors (EGFR TKIs), to the limited extent that these have been disclosed by the DoH to date”.</w:t>
      </w:r>
      <w:r w:rsidR="00D021F8">
        <w:t xml:space="preserve">  A key aim of the re-submission </w:t>
      </w:r>
      <w:r w:rsidR="00D42953">
        <w:t>wa</w:t>
      </w:r>
      <w:r w:rsidR="00D021F8">
        <w:t>s to request an SPA for afatinib.</w:t>
      </w:r>
    </w:p>
    <w:p w:rsidR="00847C9C" w:rsidRDefault="00847C9C" w:rsidP="00576972">
      <w:pPr>
        <w:widowControl/>
        <w:rPr>
          <w:szCs w:val="22"/>
        </w:rPr>
      </w:pPr>
    </w:p>
    <w:p w:rsidR="008814A3" w:rsidRDefault="008814A3" w:rsidP="00576972">
      <w:pPr>
        <w:widowControl/>
        <w:rPr>
          <w:szCs w:val="22"/>
        </w:rPr>
      </w:pPr>
    </w:p>
    <w:p w:rsidR="005232FD" w:rsidRDefault="005232FD" w:rsidP="0090717E">
      <w:pPr>
        <w:numPr>
          <w:ilvl w:val="0"/>
          <w:numId w:val="1"/>
        </w:numPr>
        <w:rPr>
          <w:b/>
          <w:bCs/>
          <w:szCs w:val="22"/>
        </w:rPr>
      </w:pPr>
      <w:r>
        <w:rPr>
          <w:b/>
          <w:bCs/>
          <w:szCs w:val="22"/>
        </w:rPr>
        <w:br w:type="page"/>
      </w:r>
    </w:p>
    <w:p w:rsidR="007E5582" w:rsidRPr="006C523D" w:rsidRDefault="007E5582" w:rsidP="005232FD">
      <w:pPr>
        <w:pStyle w:val="PBACHeading1"/>
        <w:numPr>
          <w:ilvl w:val="0"/>
          <w:numId w:val="10"/>
        </w:numPr>
      </w:pPr>
      <w:r w:rsidRPr="006C523D">
        <w:lastRenderedPageBreak/>
        <w:t>PBAC Outcome</w:t>
      </w:r>
    </w:p>
    <w:p w:rsidR="007E5582" w:rsidRPr="008814A3" w:rsidRDefault="007E5582" w:rsidP="007E5582">
      <w:pPr>
        <w:contextualSpacing/>
        <w:rPr>
          <w:bCs/>
          <w:szCs w:val="22"/>
          <w:lang w:val="en-GB"/>
        </w:rPr>
      </w:pPr>
    </w:p>
    <w:p w:rsidR="00E161A7" w:rsidRDefault="00D408FC" w:rsidP="00F1325C">
      <w:pPr>
        <w:numPr>
          <w:ilvl w:val="1"/>
          <w:numId w:val="1"/>
        </w:numPr>
      </w:pPr>
      <w:r w:rsidRPr="006C523D">
        <w:rPr>
          <w:bCs/>
          <w:szCs w:val="22"/>
          <w:lang w:val="en-GB"/>
        </w:rPr>
        <w:t xml:space="preserve">The PBAC did not </w:t>
      </w:r>
      <w:r w:rsidR="00032510">
        <w:rPr>
          <w:bCs/>
          <w:szCs w:val="22"/>
          <w:lang w:val="en-GB"/>
        </w:rPr>
        <w:t>recommend</w:t>
      </w:r>
      <w:r w:rsidRPr="006C523D">
        <w:rPr>
          <w:bCs/>
          <w:szCs w:val="22"/>
          <w:lang w:val="en-GB"/>
        </w:rPr>
        <w:t xml:space="preserve"> the </w:t>
      </w:r>
      <w:r w:rsidR="008814A3">
        <w:rPr>
          <w:bCs/>
          <w:szCs w:val="22"/>
          <w:lang w:val="en-GB"/>
        </w:rPr>
        <w:t xml:space="preserve">more restricted </w:t>
      </w:r>
      <w:r w:rsidRPr="006C523D">
        <w:rPr>
          <w:bCs/>
          <w:szCs w:val="22"/>
          <w:lang w:val="en-GB"/>
        </w:rPr>
        <w:t xml:space="preserve">listing of afatinib demaleate </w:t>
      </w:r>
      <w:r w:rsidRPr="006C523D">
        <w:t>in patients with locally advanced or metastatic non-small cell lung cancer characterised by exon 19 deletion mutations of the epidermal growth factor receptor (EGFR) gene</w:t>
      </w:r>
      <w:r w:rsidR="00C379BA">
        <w:t xml:space="preserve">. In making this recommendation, the PBAC considered that </w:t>
      </w:r>
      <w:r w:rsidRPr="006C523D">
        <w:t>the data provided in th</w:t>
      </w:r>
      <w:r w:rsidR="00C379BA">
        <w:t xml:space="preserve">e submission did not provide sufficient </w:t>
      </w:r>
      <w:r w:rsidRPr="006C523D">
        <w:t xml:space="preserve">evidence to </w:t>
      </w:r>
      <w:r w:rsidR="00566EDE" w:rsidRPr="006C523D">
        <w:t xml:space="preserve">demonstrate that afatinib is associated with improved clinical outcomes </w:t>
      </w:r>
      <w:r w:rsidR="0015236B">
        <w:t xml:space="preserve">for </w:t>
      </w:r>
      <w:r w:rsidR="006C523D" w:rsidRPr="006C523D">
        <w:t>the EGFR</w:t>
      </w:r>
      <w:r w:rsidR="00C379BA">
        <w:t xml:space="preserve"> exon 19 deletion subgroup</w:t>
      </w:r>
      <w:r w:rsidR="0015236B">
        <w:t>,</w:t>
      </w:r>
      <w:r w:rsidR="00566EDE" w:rsidRPr="006C523D">
        <w:t xml:space="preserve"> in comparison </w:t>
      </w:r>
      <w:r w:rsidR="008814A3">
        <w:t>with</w:t>
      </w:r>
      <w:r w:rsidR="00566EDE" w:rsidRPr="006C523D">
        <w:t xml:space="preserve"> gefitinib </w:t>
      </w:r>
      <w:r w:rsidR="00566EDE" w:rsidRPr="006C523D">
        <w:rPr>
          <w:iCs/>
        </w:rPr>
        <w:t xml:space="preserve">and </w:t>
      </w:r>
      <w:r w:rsidR="008814A3">
        <w:rPr>
          <w:iCs/>
        </w:rPr>
        <w:t>with</w:t>
      </w:r>
      <w:r w:rsidR="00566EDE" w:rsidRPr="006C523D">
        <w:t xml:space="preserve"> erlotinib</w:t>
      </w:r>
      <w:r w:rsidR="00C379BA">
        <w:t>.</w:t>
      </w:r>
      <w:r w:rsidR="00F1325C">
        <w:t xml:space="preserve"> Accordingly, t</w:t>
      </w:r>
      <w:r w:rsidR="00F1325C" w:rsidRPr="00F1325C">
        <w:t xml:space="preserve">he PBAC </w:t>
      </w:r>
      <w:r w:rsidR="00F1325C">
        <w:t xml:space="preserve">reiterated its </w:t>
      </w:r>
      <w:r w:rsidR="00F1325C" w:rsidRPr="00F1325C">
        <w:t>advi</w:t>
      </w:r>
      <w:r w:rsidR="00F1325C">
        <w:t>ce to</w:t>
      </w:r>
      <w:r w:rsidR="00F1325C" w:rsidRPr="00F1325C">
        <w:t xml:space="preserve"> the Department that it does not accept that afatinib has unique characteristics compared to other available therapies for the treatment of </w:t>
      </w:r>
      <w:r w:rsidR="00F1325C">
        <w:t xml:space="preserve">any particular set of </w:t>
      </w:r>
      <w:r w:rsidR="00F1325C" w:rsidRPr="00F1325C">
        <w:t xml:space="preserve">patients with advanced or metastatic non-squamous non-small-cell lung cancer, </w:t>
      </w:r>
      <w:r w:rsidR="00020311">
        <w:t>in order to</w:t>
      </w:r>
      <w:r w:rsidR="00F1325C" w:rsidRPr="00F1325C">
        <w:t xml:space="preserve"> inform the judgement of whether afatinib meets the required criteria for a SPA.</w:t>
      </w:r>
    </w:p>
    <w:p w:rsidR="00BE0E11" w:rsidRPr="005232FD" w:rsidRDefault="00BE0E11" w:rsidP="008814A3">
      <w:pPr>
        <w:rPr>
          <w:sz w:val="20"/>
        </w:rPr>
      </w:pPr>
    </w:p>
    <w:p w:rsidR="00650298" w:rsidRDefault="00BE0E11" w:rsidP="0090717E">
      <w:pPr>
        <w:pStyle w:val="ListParagraph"/>
        <w:widowControl/>
        <w:numPr>
          <w:ilvl w:val="1"/>
          <w:numId w:val="1"/>
        </w:numPr>
      </w:pPr>
      <w:r>
        <w:t>The PBAC agreed with ESC that there were significant limitations with the</w:t>
      </w:r>
      <w:r w:rsidR="0090717E">
        <w:t xml:space="preserve"> data presented in the</w:t>
      </w:r>
      <w:r>
        <w:t xml:space="preserve"> </w:t>
      </w:r>
      <w:r w:rsidRPr="00666F46">
        <w:t>indirect comparisons</w:t>
      </w:r>
      <w:r w:rsidR="0090717E">
        <w:t xml:space="preserve"> including:</w:t>
      </w:r>
    </w:p>
    <w:p w:rsidR="00650298" w:rsidRDefault="00BE0E11" w:rsidP="00650298">
      <w:pPr>
        <w:pStyle w:val="ListParagraph"/>
        <w:widowControl/>
        <w:numPr>
          <w:ilvl w:val="0"/>
          <w:numId w:val="9"/>
        </w:numPr>
      </w:pPr>
      <w:r w:rsidRPr="00666F46">
        <w:t>lack of trial exchangeability, due to varying eligibili</w:t>
      </w:r>
      <w:r w:rsidR="0090717E">
        <w:t>ty criteria and PFS measurement;</w:t>
      </w:r>
    </w:p>
    <w:p w:rsidR="00650298" w:rsidRDefault="00BE0E11" w:rsidP="00650298">
      <w:pPr>
        <w:pStyle w:val="ListParagraph"/>
        <w:widowControl/>
        <w:numPr>
          <w:ilvl w:val="0"/>
          <w:numId w:val="9"/>
        </w:numPr>
      </w:pPr>
      <w:r w:rsidRPr="00666F46">
        <w:t>lack of stratified randomisation by mutation subtype or pre-specificatio</w:t>
      </w:r>
      <w:r w:rsidR="0090717E">
        <w:t>n of subgroup analyses;</w:t>
      </w:r>
    </w:p>
    <w:p w:rsidR="00650298" w:rsidRDefault="00BE0E11" w:rsidP="00650298">
      <w:pPr>
        <w:pStyle w:val="ListParagraph"/>
        <w:widowControl/>
        <w:numPr>
          <w:ilvl w:val="0"/>
          <w:numId w:val="9"/>
        </w:numPr>
      </w:pPr>
      <w:r w:rsidRPr="00666F46">
        <w:t>imbalances between treatment arms for the small mutation subgroups in some of the trials</w:t>
      </w:r>
      <w:r w:rsidR="0090717E">
        <w:t>;</w:t>
      </w:r>
      <w:r w:rsidR="008814A3">
        <w:t xml:space="preserve"> and</w:t>
      </w:r>
    </w:p>
    <w:p w:rsidR="00BE0E11" w:rsidRDefault="00BE0E11" w:rsidP="00650298">
      <w:pPr>
        <w:pStyle w:val="ListParagraph"/>
        <w:widowControl/>
        <w:numPr>
          <w:ilvl w:val="0"/>
          <w:numId w:val="9"/>
        </w:numPr>
      </w:pPr>
      <w:r w:rsidRPr="00666F46">
        <w:t>the unknown rate of treatment switching after disease progression.</w:t>
      </w:r>
    </w:p>
    <w:p w:rsidR="007D1E0C" w:rsidRPr="005232FD" w:rsidRDefault="007D1E0C" w:rsidP="0090717E">
      <w:pPr>
        <w:rPr>
          <w:sz w:val="20"/>
        </w:rPr>
      </w:pPr>
    </w:p>
    <w:p w:rsidR="00BE0E11" w:rsidRDefault="00671910" w:rsidP="0090717E">
      <w:pPr>
        <w:numPr>
          <w:ilvl w:val="1"/>
          <w:numId w:val="1"/>
        </w:numPr>
      </w:pPr>
      <w:r>
        <w:t>The</w:t>
      </w:r>
      <w:r w:rsidR="0071426A">
        <w:t xml:space="preserve"> PBAC agreed wi</w:t>
      </w:r>
      <w:r w:rsidR="00A83857">
        <w:t>th ESC that the cost-effective</w:t>
      </w:r>
      <w:r w:rsidR="0071426A">
        <w:t xml:space="preserve">ness approach used for the </w:t>
      </w:r>
      <w:r w:rsidR="0071426A" w:rsidRPr="00FB3522">
        <w:t>economic evaluation</w:t>
      </w:r>
      <w:r w:rsidR="0071426A">
        <w:t xml:space="preserve"> could not </w:t>
      </w:r>
      <w:r w:rsidR="0071426A" w:rsidRPr="00FB3522">
        <w:t>confidently estimate the quantified differences in efficacy and safety that were proposed</w:t>
      </w:r>
      <w:r w:rsidR="00BE0E11">
        <w:t xml:space="preserve"> by the submission, noting that:</w:t>
      </w:r>
    </w:p>
    <w:p w:rsidR="00BE0E11" w:rsidRDefault="00BE0E11" w:rsidP="0090717E">
      <w:pPr>
        <w:pStyle w:val="ListParagraph"/>
        <w:numPr>
          <w:ilvl w:val="0"/>
          <w:numId w:val="6"/>
        </w:numPr>
      </w:pPr>
      <w:r>
        <w:t>the model</w:t>
      </w:r>
      <w:r w:rsidR="002A098A" w:rsidRPr="00FB3522">
        <w:t xml:space="preserve"> relied on the point estimates of hazard ratios for PFS and OS obtained from indirect compari</w:t>
      </w:r>
      <w:r>
        <w:t>sons of non-exchangeable trials; and</w:t>
      </w:r>
    </w:p>
    <w:p w:rsidR="002A098A" w:rsidRDefault="00BE0E11" w:rsidP="0090717E">
      <w:pPr>
        <w:pStyle w:val="ListParagraph"/>
        <w:numPr>
          <w:ilvl w:val="0"/>
          <w:numId w:val="6"/>
        </w:numPr>
      </w:pPr>
      <w:r>
        <w:t>t</w:t>
      </w:r>
      <w:r w:rsidR="002A098A" w:rsidRPr="00FB3522">
        <w:t>he majority of the results were not statistically significant and there were wide confidence intervals around the poin</w:t>
      </w:r>
      <w:r w:rsidR="008814A3">
        <w:t>t estimates.</w:t>
      </w:r>
    </w:p>
    <w:p w:rsidR="00BE0E11" w:rsidRPr="005232FD" w:rsidRDefault="00BE0E11" w:rsidP="008814A3">
      <w:pPr>
        <w:rPr>
          <w:sz w:val="20"/>
        </w:rPr>
      </w:pPr>
    </w:p>
    <w:p w:rsidR="00233391" w:rsidRDefault="00233391" w:rsidP="00B014B4">
      <w:pPr>
        <w:numPr>
          <w:ilvl w:val="1"/>
          <w:numId w:val="1"/>
        </w:numPr>
      </w:pPr>
      <w:r>
        <w:t xml:space="preserve">Accordingly, the PBAC considered that the </w:t>
      </w:r>
      <w:r w:rsidRPr="00C31854">
        <w:t>available evidence for afatinib compared with gefitinib and with erlotinib was not sufficiently strong to clearly support a case for</w:t>
      </w:r>
      <w:r>
        <w:t xml:space="preserve"> </w:t>
      </w:r>
      <w:r w:rsidRPr="006C523D">
        <w:t xml:space="preserve">improved clinical outcomes </w:t>
      </w:r>
      <w:r>
        <w:t xml:space="preserve">(or </w:t>
      </w:r>
      <w:r w:rsidR="008814A3">
        <w:t>“uniqueness”</w:t>
      </w:r>
      <w:r>
        <w:t>)</w:t>
      </w:r>
      <w:r w:rsidRPr="00C31854">
        <w:t xml:space="preserve"> of afatinib compared with gefitinib and with erlotinib in patients with exon 19 deletion mutations.</w:t>
      </w:r>
    </w:p>
    <w:p w:rsidR="00233391" w:rsidRDefault="00233391" w:rsidP="008814A3"/>
    <w:p w:rsidR="00B014B4" w:rsidRPr="006C523D" w:rsidRDefault="00B014B4" w:rsidP="00B014B4">
      <w:pPr>
        <w:numPr>
          <w:ilvl w:val="1"/>
          <w:numId w:val="1"/>
        </w:numPr>
      </w:pPr>
      <w:r>
        <w:t xml:space="preserve">In considering the clinical place of therapy, the PBAC recalled its previous recommendation that </w:t>
      </w:r>
      <w:r w:rsidRPr="007D1E0C">
        <w:t xml:space="preserve">definition of the biomarker </w:t>
      </w:r>
      <w:r>
        <w:t xml:space="preserve">in NSCLC </w:t>
      </w:r>
      <w:r w:rsidRPr="007D1E0C">
        <w:t>should not be restricted to specific activating EGFR mutations</w:t>
      </w:r>
      <w:r w:rsidR="00233391">
        <w:t>.</w:t>
      </w:r>
    </w:p>
    <w:p w:rsidR="0090717E" w:rsidRDefault="0090717E" w:rsidP="008814A3"/>
    <w:p w:rsidR="0090717E" w:rsidRDefault="00233391" w:rsidP="0090717E">
      <w:pPr>
        <w:numPr>
          <w:ilvl w:val="1"/>
          <w:numId w:val="1"/>
        </w:numPr>
      </w:pPr>
      <w:r>
        <w:t>The PBAC considered that</w:t>
      </w:r>
      <w:r w:rsidR="008814A3">
        <w:t>,</w:t>
      </w:r>
      <w:r>
        <w:t xml:space="preserve"> </w:t>
      </w:r>
      <w:r w:rsidR="00863AFA" w:rsidRPr="00C31854">
        <w:t>given the aforementioned limitations of the data and analyses</w:t>
      </w:r>
      <w:r w:rsidR="00863AFA">
        <w:t xml:space="preserve">, </w:t>
      </w:r>
      <w:r>
        <w:t>further</w:t>
      </w:r>
      <w:r w:rsidR="00566EDE">
        <w:t xml:space="preserve"> confirmatory</w:t>
      </w:r>
      <w:r>
        <w:t xml:space="preserve"> studies </w:t>
      </w:r>
      <w:r w:rsidR="00863AFA">
        <w:t xml:space="preserve">are required </w:t>
      </w:r>
      <w:r w:rsidRPr="00C31854">
        <w:t xml:space="preserve">that are better designed to clearly assess any superiority of afatinib over </w:t>
      </w:r>
      <w:r w:rsidR="008814A3">
        <w:t xml:space="preserve">each of </w:t>
      </w:r>
      <w:r w:rsidRPr="00C31854">
        <w:t xml:space="preserve">its </w:t>
      </w:r>
      <w:r w:rsidR="008814A3">
        <w:t xml:space="preserve">two </w:t>
      </w:r>
      <w:r w:rsidRPr="00C31854">
        <w:t>alternatives in the exon 19 deletion subgroup</w:t>
      </w:r>
      <w:r w:rsidR="00863AFA">
        <w:t>.</w:t>
      </w:r>
    </w:p>
    <w:p w:rsidR="00566EDE" w:rsidRPr="005232FD" w:rsidRDefault="00566EDE" w:rsidP="00566EDE">
      <w:pPr>
        <w:rPr>
          <w:sz w:val="20"/>
        </w:rPr>
      </w:pPr>
    </w:p>
    <w:p w:rsidR="00D408FC" w:rsidRPr="00566EDE" w:rsidRDefault="00566EDE" w:rsidP="00D408FC">
      <w:pPr>
        <w:numPr>
          <w:ilvl w:val="1"/>
          <w:numId w:val="1"/>
        </w:numPr>
      </w:pPr>
      <w:r w:rsidRPr="00566EDE">
        <w:rPr>
          <w:bCs/>
          <w:szCs w:val="22"/>
          <w:lang w:val="en-GB"/>
        </w:rPr>
        <w:t>The PBAC note</w:t>
      </w:r>
      <w:r>
        <w:rPr>
          <w:bCs/>
          <w:szCs w:val="22"/>
          <w:lang w:val="en-GB"/>
        </w:rPr>
        <w:t>d that this submission is</w:t>
      </w:r>
      <w:r w:rsidRPr="00566EDE">
        <w:rPr>
          <w:bCs/>
          <w:szCs w:val="22"/>
          <w:lang w:val="en-GB"/>
        </w:rPr>
        <w:t xml:space="preserve"> eligible for an Independent Review.</w:t>
      </w:r>
    </w:p>
    <w:p w:rsidR="007E5582" w:rsidRPr="008814A3" w:rsidRDefault="007E5582" w:rsidP="007E5582">
      <w:pPr>
        <w:rPr>
          <w:bCs/>
          <w:szCs w:val="22"/>
          <w:lang w:val="en-GB"/>
        </w:rPr>
      </w:pPr>
    </w:p>
    <w:p w:rsidR="007E5582" w:rsidRPr="00566EDE" w:rsidRDefault="007E5582" w:rsidP="007E5582">
      <w:pPr>
        <w:rPr>
          <w:b/>
          <w:bCs/>
          <w:szCs w:val="22"/>
          <w:lang w:val="en-GB"/>
        </w:rPr>
      </w:pPr>
      <w:r w:rsidRPr="00566EDE">
        <w:rPr>
          <w:b/>
          <w:bCs/>
          <w:szCs w:val="22"/>
          <w:lang w:val="en-GB"/>
        </w:rPr>
        <w:t>Outcome:</w:t>
      </w:r>
    </w:p>
    <w:p w:rsidR="007E5582" w:rsidRDefault="008814A3" w:rsidP="00BD5EB8">
      <w:pPr>
        <w:rPr>
          <w:bCs/>
          <w:szCs w:val="22"/>
          <w:lang w:val="en-GB"/>
        </w:rPr>
      </w:pPr>
      <w:r>
        <w:rPr>
          <w:bCs/>
          <w:szCs w:val="22"/>
          <w:lang w:val="en-GB"/>
        </w:rPr>
        <w:t>Rejected.</w:t>
      </w:r>
    </w:p>
    <w:p w:rsidR="00C27A71" w:rsidRPr="00AE36A8" w:rsidRDefault="00C27A71" w:rsidP="00C27A71">
      <w:pPr>
        <w:rPr>
          <w:b/>
          <w:bCs/>
          <w:szCs w:val="22"/>
          <w:lang w:val="en-GB" w:eastAsia="en-AU"/>
        </w:rPr>
      </w:pPr>
      <w:r>
        <w:rPr>
          <w:b/>
          <w:bCs/>
          <w:szCs w:val="22"/>
          <w:lang w:val="en-GB" w:eastAsia="en-AU"/>
        </w:rPr>
        <w:lastRenderedPageBreak/>
        <w:t>8</w:t>
      </w:r>
      <w:r>
        <w:rPr>
          <w:b/>
          <w:bCs/>
          <w:szCs w:val="22"/>
          <w:lang w:val="en-GB" w:eastAsia="en-AU"/>
        </w:rPr>
        <w:tab/>
      </w:r>
      <w:r w:rsidRPr="00AE36A8">
        <w:rPr>
          <w:b/>
          <w:bCs/>
          <w:szCs w:val="22"/>
          <w:lang w:val="en-GB" w:eastAsia="en-AU"/>
        </w:rPr>
        <w:t xml:space="preserve">Context for Decision </w:t>
      </w:r>
    </w:p>
    <w:p w:rsidR="00C27A71" w:rsidRPr="00AE36A8" w:rsidRDefault="00C27A71" w:rsidP="00C27A71">
      <w:pPr>
        <w:rPr>
          <w:szCs w:val="22"/>
        </w:rPr>
      </w:pPr>
    </w:p>
    <w:p w:rsidR="00C27A71" w:rsidRPr="006A0483" w:rsidRDefault="00C27A71" w:rsidP="009B6094">
      <w:pPr>
        <w:ind w:left="709"/>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C27A71" w:rsidRDefault="00C27A71" w:rsidP="00C27A71">
      <w:pPr>
        <w:rPr>
          <w:szCs w:val="22"/>
        </w:rPr>
      </w:pPr>
    </w:p>
    <w:p w:rsidR="00C27A71" w:rsidRPr="00410DAE" w:rsidRDefault="00C27A71" w:rsidP="00C27A71">
      <w:pPr>
        <w:rPr>
          <w:szCs w:val="22"/>
        </w:rPr>
      </w:pPr>
    </w:p>
    <w:p w:rsidR="00C27A71" w:rsidRPr="00410DAE" w:rsidRDefault="00C27A71" w:rsidP="00C27A71">
      <w:pPr>
        <w:rPr>
          <w:b/>
          <w:szCs w:val="22"/>
        </w:rPr>
      </w:pPr>
      <w:r>
        <w:rPr>
          <w:b/>
          <w:szCs w:val="22"/>
        </w:rPr>
        <w:t>9</w:t>
      </w:r>
      <w:r>
        <w:rPr>
          <w:b/>
          <w:szCs w:val="22"/>
        </w:rPr>
        <w:tab/>
      </w:r>
      <w:r w:rsidRPr="00AE36A8">
        <w:rPr>
          <w:b/>
          <w:szCs w:val="22"/>
        </w:rPr>
        <w:t xml:space="preserve"> Sponsor’s Comment</w:t>
      </w:r>
    </w:p>
    <w:p w:rsidR="00C27A71" w:rsidRPr="007E392A" w:rsidRDefault="00C27A71" w:rsidP="00C27A71">
      <w:pPr>
        <w:rPr>
          <w:bCs/>
          <w:szCs w:val="22"/>
        </w:rPr>
      </w:pPr>
    </w:p>
    <w:p w:rsidR="00C27A71" w:rsidRPr="00BD5EB8" w:rsidRDefault="000162B8" w:rsidP="00BD5EB8">
      <w:pPr>
        <w:rPr>
          <w:bCs/>
          <w:szCs w:val="22"/>
          <w:lang w:val="en-GB"/>
        </w:rPr>
      </w:pPr>
      <w:r>
        <w:rPr>
          <w:bCs/>
          <w:szCs w:val="22"/>
          <w:lang w:val="en-GB"/>
        </w:rPr>
        <w:tab/>
        <w:t>The sponsor had no comment.</w:t>
      </w:r>
    </w:p>
    <w:sectPr w:rsidR="00C27A71" w:rsidRPr="00BD5EB8" w:rsidSect="00666F46">
      <w:headerReference w:type="default" r:id="rId14"/>
      <w:footnotePr>
        <w:numFmt w:val="lowerLetter"/>
      </w:footnotePr>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536C1" w15:done="0"/>
  <w15:commentEx w15:paraId="0302F869" w15:done="0"/>
  <w15:commentEx w15:paraId="5B9DC40B" w15:done="0"/>
  <w15:commentEx w15:paraId="41B5F377" w15:done="0"/>
  <w15:commentEx w15:paraId="7910F227" w15:done="0"/>
  <w15:commentEx w15:paraId="2551CC29" w15:done="0"/>
  <w15:commentEx w15:paraId="5700C0B2" w15:done="0"/>
  <w15:commentEx w15:paraId="6F6408BF" w15:done="0"/>
  <w15:commentEx w15:paraId="6F12117A" w15:done="0"/>
  <w15:commentEx w15:paraId="6BB067BE" w15:done="0"/>
  <w15:commentEx w15:paraId="6988D47D" w15:done="0"/>
  <w15:commentEx w15:paraId="414CB1FA" w15:done="0"/>
  <w15:commentEx w15:paraId="3654933F" w15:done="0"/>
  <w15:commentEx w15:paraId="221562DD" w15:done="0"/>
  <w15:commentEx w15:paraId="0428B402" w15:done="0"/>
  <w15:commentEx w15:paraId="21BF6D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73" w:rsidRDefault="00393C73" w:rsidP="00124A51">
      <w:r>
        <w:separator/>
      </w:r>
    </w:p>
  </w:endnote>
  <w:endnote w:type="continuationSeparator" w:id="0">
    <w:p w:rsidR="00393C73" w:rsidRDefault="00393C7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GuardianSansGR-Regular">
    <w:altName w:val="MS Mincho"/>
    <w:panose1 w:val="00000000000000000000"/>
    <w:charset w:val="80"/>
    <w:family w:val="auto"/>
    <w:notTrueType/>
    <w:pitch w:val="default"/>
    <w:sig w:usb0="00000001" w:usb1="08070000" w:usb2="00000010" w:usb3="00000000" w:csb0="00020000" w:csb1="00000000"/>
  </w:font>
  <w:font w:name="GuardianSans-RegularI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54" w:rsidRPr="00651169" w:rsidRDefault="00E23754" w:rsidP="00C31854">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393C73">
      <w:rPr>
        <w:noProof/>
        <w:sz w:val="20"/>
      </w:rPr>
      <w:t>1</w:t>
    </w:r>
    <w:r w:rsidRPr="00651169">
      <w:rPr>
        <w:noProof/>
        <w:sz w:val="20"/>
      </w:rPr>
      <w:fldChar w:fldCharType="end"/>
    </w:r>
  </w:p>
  <w:p w:rsidR="00E23754" w:rsidRDefault="00E23754" w:rsidP="005671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73" w:rsidRDefault="00393C73" w:rsidP="00124A51">
      <w:r>
        <w:separator/>
      </w:r>
    </w:p>
  </w:footnote>
  <w:footnote w:type="continuationSeparator" w:id="0">
    <w:p w:rsidR="00393C73" w:rsidRDefault="00393C73" w:rsidP="00124A51">
      <w:r>
        <w:continuationSeparator/>
      </w:r>
    </w:p>
  </w:footnote>
  <w:footnote w:id="1">
    <w:p w:rsidR="00E23754" w:rsidRPr="00E05A4A" w:rsidRDefault="00E23754" w:rsidP="00DB5CA7">
      <w:pPr>
        <w:widowControl/>
        <w:autoSpaceDE w:val="0"/>
        <w:autoSpaceDN w:val="0"/>
        <w:adjustRightInd w:val="0"/>
        <w:jc w:val="left"/>
        <w:rPr>
          <w:rFonts w:ascii="Times New Roman" w:hAnsi="Times New Roman" w:cs="Times New Roman"/>
          <w:snapToGrid/>
          <w:color w:val="1A171C"/>
          <w:sz w:val="16"/>
          <w:szCs w:val="16"/>
          <w:lang w:eastAsia="en-AU"/>
        </w:rPr>
      </w:pPr>
      <w:r w:rsidRPr="00E05A4A">
        <w:rPr>
          <w:rStyle w:val="FootnoteReference"/>
          <w:rFonts w:ascii="Times New Roman" w:hAnsi="Times New Roman" w:cs="Times New Roman"/>
          <w:sz w:val="16"/>
          <w:szCs w:val="16"/>
        </w:rPr>
        <w:footnoteRef/>
      </w:r>
      <w:r w:rsidRPr="0001404E">
        <w:rPr>
          <w:rFonts w:ascii="Times New Roman" w:hAnsi="Times New Roman" w:cs="Times New Roman"/>
          <w:sz w:val="16"/>
          <w:szCs w:val="16"/>
          <w:lang w:val="es-ES_tradnl"/>
        </w:rPr>
        <w:t xml:space="preserve"> </w:t>
      </w:r>
      <w:r w:rsidRPr="0001404E">
        <w:rPr>
          <w:rFonts w:ascii="Times New Roman" w:eastAsia="GuardianSansGR-Regular" w:hAnsi="Times New Roman" w:cs="Times New Roman"/>
          <w:snapToGrid/>
          <w:color w:val="1A171C"/>
          <w:sz w:val="16"/>
          <w:szCs w:val="16"/>
          <w:lang w:val="es-ES_tradnl" w:eastAsia="en-AU"/>
        </w:rPr>
        <w:t>Karachaliou, N., Mayo-de las Casas,C., Queralt, C.,</w:t>
      </w:r>
      <w:r w:rsidRPr="0001404E">
        <w:rPr>
          <w:rFonts w:ascii="Times New Roman" w:eastAsia="GuardianSansGR-Regular" w:hAnsi="Times New Roman" w:cs="Times New Roman"/>
          <w:i/>
          <w:snapToGrid/>
          <w:color w:val="1A171C"/>
          <w:sz w:val="16"/>
          <w:szCs w:val="16"/>
          <w:lang w:val="es-ES_tradnl" w:eastAsia="en-AU"/>
        </w:rPr>
        <w:t xml:space="preserve"> et al </w:t>
      </w:r>
      <w:r w:rsidRPr="0001404E">
        <w:rPr>
          <w:rFonts w:ascii="Times New Roman" w:eastAsia="GuardianSansGR-Regular" w:hAnsi="Times New Roman" w:cs="Times New Roman"/>
          <w:snapToGrid/>
          <w:color w:val="1A171C"/>
          <w:sz w:val="16"/>
          <w:szCs w:val="16"/>
          <w:lang w:val="es-ES_tradnl" w:eastAsia="en-AU"/>
        </w:rPr>
        <w:t xml:space="preserve">(2015). </w:t>
      </w:r>
      <w:r w:rsidRPr="00E05A4A">
        <w:rPr>
          <w:rFonts w:ascii="Times New Roman" w:hAnsi="Times New Roman" w:cs="Times New Roman"/>
          <w:snapToGrid/>
          <w:color w:val="1A171C"/>
          <w:sz w:val="16"/>
          <w:szCs w:val="16"/>
          <w:lang w:eastAsia="en-AU"/>
        </w:rPr>
        <w:t xml:space="preserve">Association of </w:t>
      </w:r>
      <w:r w:rsidRPr="00E05A4A">
        <w:rPr>
          <w:rFonts w:ascii="Times New Roman" w:hAnsi="Times New Roman" w:cs="Times New Roman"/>
          <w:i/>
          <w:iCs/>
          <w:snapToGrid/>
          <w:color w:val="1A171C"/>
          <w:sz w:val="16"/>
          <w:szCs w:val="16"/>
          <w:lang w:eastAsia="en-AU"/>
        </w:rPr>
        <w:t xml:space="preserve">EGFR </w:t>
      </w:r>
      <w:r w:rsidRPr="00E05A4A">
        <w:rPr>
          <w:rFonts w:ascii="Times New Roman" w:hAnsi="Times New Roman" w:cs="Times New Roman"/>
          <w:snapToGrid/>
          <w:color w:val="1A171C"/>
          <w:sz w:val="16"/>
          <w:szCs w:val="16"/>
          <w:lang w:eastAsia="en-AU"/>
        </w:rPr>
        <w:t>L858R Mutation in Circulating Free DNA</w:t>
      </w:r>
    </w:p>
    <w:p w:rsidR="00E23754" w:rsidRPr="00E05A4A" w:rsidRDefault="00E23754" w:rsidP="00DB5CA7">
      <w:pPr>
        <w:widowControl/>
        <w:autoSpaceDE w:val="0"/>
        <w:autoSpaceDN w:val="0"/>
        <w:adjustRightInd w:val="0"/>
        <w:jc w:val="left"/>
        <w:rPr>
          <w:rFonts w:ascii="Times New Roman" w:eastAsia="GuardianSansGR-Regular" w:hAnsi="Times New Roman" w:cs="Times New Roman"/>
          <w:snapToGrid/>
          <w:color w:val="1A171C"/>
          <w:sz w:val="16"/>
          <w:szCs w:val="16"/>
          <w:lang w:eastAsia="en-AU"/>
        </w:rPr>
      </w:pPr>
      <w:r w:rsidRPr="00E05A4A">
        <w:rPr>
          <w:rFonts w:ascii="Times New Roman" w:hAnsi="Times New Roman" w:cs="Times New Roman"/>
          <w:snapToGrid/>
          <w:color w:val="1A171C"/>
          <w:sz w:val="16"/>
          <w:szCs w:val="16"/>
          <w:lang w:eastAsia="en-AU"/>
        </w:rPr>
        <w:t>With Survival in the EURTAC Trial</w:t>
      </w:r>
      <w:r>
        <w:rPr>
          <w:rFonts w:ascii="Times New Roman" w:hAnsi="Times New Roman" w:cs="Times New Roman"/>
          <w:snapToGrid/>
          <w:color w:val="1A171C"/>
          <w:sz w:val="16"/>
          <w:szCs w:val="16"/>
          <w:lang w:eastAsia="en-AU"/>
        </w:rPr>
        <w:t xml:space="preserve">. </w:t>
      </w:r>
      <w:r>
        <w:rPr>
          <w:rFonts w:ascii="GuardianSans-RegularIt" w:hAnsi="GuardianSans-RegularIt" w:cs="GuardianSans-RegularIt"/>
          <w:i/>
          <w:iCs/>
          <w:snapToGrid/>
          <w:color w:val="1A171C"/>
          <w:sz w:val="14"/>
          <w:szCs w:val="14"/>
          <w:lang w:eastAsia="en-AU"/>
        </w:rPr>
        <w:t>J</w:t>
      </w:r>
      <w:r w:rsidRPr="00E05A4A">
        <w:rPr>
          <w:rFonts w:ascii="Times New Roman" w:hAnsi="Times New Roman" w:cs="Times New Roman"/>
          <w:i/>
          <w:iCs/>
          <w:snapToGrid/>
          <w:color w:val="1A171C"/>
          <w:sz w:val="16"/>
          <w:szCs w:val="16"/>
          <w:lang w:eastAsia="en-AU"/>
        </w:rPr>
        <w:t>AMA Oncol</w:t>
      </w:r>
      <w:r w:rsidRPr="00E05A4A">
        <w:rPr>
          <w:rFonts w:ascii="Times New Roman" w:eastAsia="GuardianSansGR-Regular" w:hAnsi="Times New Roman" w:cs="Times New Roman"/>
          <w:snapToGrid/>
          <w:color w:val="1A171C"/>
          <w:sz w:val="16"/>
          <w:szCs w:val="16"/>
          <w:lang w:eastAsia="en-AU"/>
        </w:rPr>
        <w:t>. 2015;1(2):149-157. doi:10.1001/jamaoncol.2014.257</w:t>
      </w:r>
      <w:r>
        <w:rPr>
          <w:rFonts w:ascii="Times New Roman" w:eastAsia="GuardianSansGR-Regular" w:hAnsi="Times New Roman" w:cs="Times New Roman"/>
          <w:snapToGrid/>
          <w:color w:val="1A171C"/>
          <w:sz w:val="16"/>
          <w:szCs w:val="16"/>
          <w:lang w:eastAsia="en-AU"/>
        </w:rPr>
        <w:t xml:space="preserve">. </w:t>
      </w:r>
      <w:r w:rsidRPr="00E05A4A">
        <w:rPr>
          <w:rFonts w:ascii="Times New Roman" w:eastAsia="GuardianSansGR-Regular" w:hAnsi="Times New Roman" w:cs="Times New Roman"/>
          <w:snapToGrid/>
          <w:color w:val="1A171C"/>
          <w:sz w:val="16"/>
          <w:szCs w:val="16"/>
          <w:lang w:eastAsia="en-AU"/>
        </w:rPr>
        <w:t>Published online February 26,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54" w:rsidRPr="00DF217D" w:rsidRDefault="00E23754" w:rsidP="00C31854">
    <w:pPr>
      <w:pStyle w:val="Header"/>
      <w:ind w:left="360"/>
      <w:jc w:val="center"/>
      <w:rPr>
        <w:i/>
        <w:color w:val="808080"/>
      </w:rPr>
    </w:pPr>
    <w:r>
      <w:rPr>
        <w:i/>
        <w:color w:val="808080"/>
      </w:rPr>
      <w:t>Public Summary Document</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E23754" w:rsidRDefault="00E23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54" w:rsidRPr="00124A51" w:rsidRDefault="00E23754" w:rsidP="00393C73">
    <w:pPr>
      <w:tabs>
        <w:tab w:val="left" w:pos="142"/>
        <w:tab w:val="left" w:pos="12735"/>
      </w:tabs>
      <w:ind w:right="-359"/>
      <w:jc w:val="left"/>
    </w:pPr>
    <w:r w:rsidRPr="007C0C29">
      <w:rPr>
        <w:color w:val="D9D9D9" w:themeColor="background1" w:themeShade="D9"/>
        <w:lang w:val="fr-FR"/>
      </w:rPr>
      <w:t>AFATINIB DIMALEATE</w:t>
    </w:r>
    <w:r w:rsidR="00393C73">
      <w:rPr>
        <w:color w:val="D9D9D9" w:themeColor="background1" w:themeShade="D9"/>
        <w:lang w:val="fr-FR"/>
      </w:rPr>
      <w:t xml:space="preserve">  </w:t>
    </w:r>
    <w:r w:rsidR="00393C73">
      <w:rPr>
        <w:noProof/>
      </w:rPr>
      <w:tab/>
      <w:t>7.02.COM.14</w:t>
    </w:r>
  </w:p>
  <w:p w:rsidR="00E23754" w:rsidRDefault="00E237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54" w:rsidRPr="00124A51" w:rsidRDefault="00E23754" w:rsidP="00C60842">
    <w:pPr>
      <w:tabs>
        <w:tab w:val="left" w:pos="142"/>
        <w:tab w:val="right" w:pos="9027"/>
      </w:tabs>
      <w:jc w:val="left"/>
    </w:pPr>
    <w:r w:rsidRPr="007C0C29">
      <w:rPr>
        <w:color w:val="D9D9D9" w:themeColor="background1" w:themeShade="D9"/>
        <w:lang w:val="fr-FR"/>
      </w:rPr>
      <w:t>AFATINIB DIMALEATE</w:t>
    </w:r>
    <w:r w:rsidRPr="007C0C29">
      <w:rPr>
        <w:color w:val="D9D9D9" w:themeColor="background1" w:themeShade="D9"/>
        <w:lang w:val="fr-FR"/>
      </w:rPr>
      <w:tab/>
    </w:r>
    <w:r>
      <w:rPr>
        <w:lang w:val="fr-FR"/>
      </w:rPr>
      <w:t>7.02</w:t>
    </w:r>
    <w:r w:rsidRPr="007C0C29">
      <w:rPr>
        <w:lang w:val="fr-FR"/>
      </w:rPr>
      <w:t>.COM.</w:t>
    </w:r>
    <w:r>
      <w:fldChar w:fldCharType="begin"/>
    </w:r>
    <w:r w:rsidRPr="007C0C29">
      <w:rPr>
        <w:lang w:val="fr-FR"/>
      </w:rPr>
      <w:instrText xml:space="preserve"> PAGE   \* MERGEFORMAT </w:instrText>
    </w:r>
    <w:r>
      <w:fldChar w:fldCharType="separate"/>
    </w:r>
    <w:r w:rsidR="00393C73" w:rsidRPr="00393C73">
      <w:rPr>
        <w:noProof/>
      </w:rPr>
      <w:t>16</w:t>
    </w:r>
    <w:r>
      <w:rPr>
        <w:noProof/>
      </w:rPr>
      <w:fldChar w:fldCharType="end"/>
    </w:r>
  </w:p>
  <w:p w:rsidR="00E23754" w:rsidRDefault="00E23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21A9"/>
    <w:multiLevelType w:val="hybridMultilevel"/>
    <w:tmpl w:val="23E0B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3E46339"/>
    <w:multiLevelType w:val="hybridMultilevel"/>
    <w:tmpl w:val="9782C0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AE93D42"/>
    <w:multiLevelType w:val="hybridMultilevel"/>
    <w:tmpl w:val="BA2CB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5F477A0"/>
    <w:multiLevelType w:val="hybridMultilevel"/>
    <w:tmpl w:val="1DFEFE1E"/>
    <w:lvl w:ilvl="0" w:tplc="176E21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9E803D0"/>
    <w:multiLevelType w:val="hybridMultilevel"/>
    <w:tmpl w:val="D50E0F48"/>
    <w:lvl w:ilvl="0" w:tplc="0C090001">
      <w:start w:val="1"/>
      <w:numFmt w:val="bullet"/>
      <w:lvlText w:val=""/>
      <w:lvlJc w:val="left"/>
      <w:pPr>
        <w:ind w:left="790" w:hanging="360"/>
      </w:pPr>
      <w:rPr>
        <w:rFonts w:ascii="Symbol" w:hAnsi="Symbol" w:hint="default"/>
      </w:rPr>
    </w:lvl>
    <w:lvl w:ilvl="1" w:tplc="0C090003">
      <w:start w:val="1"/>
      <w:numFmt w:val="bullet"/>
      <w:lvlText w:val="o"/>
      <w:lvlJc w:val="left"/>
      <w:pPr>
        <w:ind w:left="1510" w:hanging="360"/>
      </w:pPr>
      <w:rPr>
        <w:rFonts w:ascii="Courier New" w:hAnsi="Courier New" w:cs="Courier New" w:hint="default"/>
      </w:rPr>
    </w:lvl>
    <w:lvl w:ilvl="2" w:tplc="0C090005">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nsid w:val="4FC50D66"/>
    <w:multiLevelType w:val="hybridMultilevel"/>
    <w:tmpl w:val="454863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58BA1363"/>
    <w:multiLevelType w:val="hybridMultilevel"/>
    <w:tmpl w:val="D07257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B756F37"/>
    <w:multiLevelType w:val="hybridMultilevel"/>
    <w:tmpl w:val="B562F5E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9496B02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4"/>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6"/>
  </w:num>
  <w:num w:numId="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ie Jackowski">
    <w15:presenceInfo w15:providerId="Windows Live" w15:userId="24f8055e49ac7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0p0sz5uatetne0tvixssabsvrs529wvpvd&quot;&gt;EGFR&lt;record-ids&gt;&lt;item&gt;5&lt;/item&gt;&lt;item&gt;34&lt;/item&gt;&lt;item&gt;36&lt;/item&gt;&lt;item&gt;43&lt;/item&gt;&lt;item&gt;44&lt;/item&gt;&lt;item&gt;45&lt;/item&gt;&lt;item&gt;102&lt;/item&gt;&lt;item&gt;112&lt;/item&gt;&lt;item&gt;291&lt;/item&gt;&lt;item&gt;293&lt;/item&gt;&lt;item&gt;294&lt;/item&gt;&lt;item&gt;296&lt;/item&gt;&lt;item&gt;297&lt;/item&gt;&lt;item&gt;300&lt;/item&gt;&lt;item&gt;313&lt;/item&gt;&lt;item&gt;320&lt;/item&gt;&lt;item&gt;329&lt;/item&gt;&lt;item&gt;416&lt;/item&gt;&lt;item&gt;477&lt;/item&gt;&lt;item&gt;485&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record-ids&gt;&lt;/item&gt;&lt;/Libraries&gt;"/>
  </w:docVars>
  <w:rsids>
    <w:rsidRoot w:val="00E65E79"/>
    <w:rsid w:val="00000790"/>
    <w:rsid w:val="0000110B"/>
    <w:rsid w:val="000018B9"/>
    <w:rsid w:val="000019A6"/>
    <w:rsid w:val="00003499"/>
    <w:rsid w:val="00004BBB"/>
    <w:rsid w:val="00005B4B"/>
    <w:rsid w:val="00007A91"/>
    <w:rsid w:val="00007B3C"/>
    <w:rsid w:val="00013247"/>
    <w:rsid w:val="0001404E"/>
    <w:rsid w:val="000140F2"/>
    <w:rsid w:val="00014363"/>
    <w:rsid w:val="0001500C"/>
    <w:rsid w:val="00015176"/>
    <w:rsid w:val="00015886"/>
    <w:rsid w:val="00015B3A"/>
    <w:rsid w:val="000162B8"/>
    <w:rsid w:val="000162EF"/>
    <w:rsid w:val="00016F11"/>
    <w:rsid w:val="00017A59"/>
    <w:rsid w:val="00020311"/>
    <w:rsid w:val="00020C6D"/>
    <w:rsid w:val="0002225F"/>
    <w:rsid w:val="00023763"/>
    <w:rsid w:val="000247AE"/>
    <w:rsid w:val="00027244"/>
    <w:rsid w:val="00030B8E"/>
    <w:rsid w:val="00030B92"/>
    <w:rsid w:val="00032510"/>
    <w:rsid w:val="00034560"/>
    <w:rsid w:val="00036184"/>
    <w:rsid w:val="000364BB"/>
    <w:rsid w:val="00037228"/>
    <w:rsid w:val="00037CA4"/>
    <w:rsid w:val="00040367"/>
    <w:rsid w:val="00040895"/>
    <w:rsid w:val="000417AE"/>
    <w:rsid w:val="000420A4"/>
    <w:rsid w:val="00043C37"/>
    <w:rsid w:val="000451CD"/>
    <w:rsid w:val="000454E4"/>
    <w:rsid w:val="00046EB7"/>
    <w:rsid w:val="00047454"/>
    <w:rsid w:val="000546D7"/>
    <w:rsid w:val="000552E7"/>
    <w:rsid w:val="0005583F"/>
    <w:rsid w:val="000567A5"/>
    <w:rsid w:val="000626BF"/>
    <w:rsid w:val="0006449A"/>
    <w:rsid w:val="00064D6B"/>
    <w:rsid w:val="00066E84"/>
    <w:rsid w:val="00071248"/>
    <w:rsid w:val="00072011"/>
    <w:rsid w:val="000720B9"/>
    <w:rsid w:val="000726B3"/>
    <w:rsid w:val="000744DA"/>
    <w:rsid w:val="00074E58"/>
    <w:rsid w:val="0007698C"/>
    <w:rsid w:val="00080935"/>
    <w:rsid w:val="0008123E"/>
    <w:rsid w:val="000812CA"/>
    <w:rsid w:val="000822A2"/>
    <w:rsid w:val="00082B3C"/>
    <w:rsid w:val="0008307F"/>
    <w:rsid w:val="000839F1"/>
    <w:rsid w:val="000846E3"/>
    <w:rsid w:val="00084A5A"/>
    <w:rsid w:val="00084FC8"/>
    <w:rsid w:val="00086262"/>
    <w:rsid w:val="00086689"/>
    <w:rsid w:val="00086A7F"/>
    <w:rsid w:val="00090C7E"/>
    <w:rsid w:val="00090F7E"/>
    <w:rsid w:val="00092EBF"/>
    <w:rsid w:val="000962F0"/>
    <w:rsid w:val="000968B1"/>
    <w:rsid w:val="000969C0"/>
    <w:rsid w:val="000A09FE"/>
    <w:rsid w:val="000A694A"/>
    <w:rsid w:val="000A6D76"/>
    <w:rsid w:val="000B08C5"/>
    <w:rsid w:val="000B324E"/>
    <w:rsid w:val="000B4DE3"/>
    <w:rsid w:val="000B5440"/>
    <w:rsid w:val="000B7646"/>
    <w:rsid w:val="000B7D42"/>
    <w:rsid w:val="000C0101"/>
    <w:rsid w:val="000C05A6"/>
    <w:rsid w:val="000C2413"/>
    <w:rsid w:val="000C516C"/>
    <w:rsid w:val="000C68DD"/>
    <w:rsid w:val="000D18A9"/>
    <w:rsid w:val="000D1964"/>
    <w:rsid w:val="000D1BFC"/>
    <w:rsid w:val="000D368B"/>
    <w:rsid w:val="000D481B"/>
    <w:rsid w:val="000D54B3"/>
    <w:rsid w:val="000D60A3"/>
    <w:rsid w:val="000D6116"/>
    <w:rsid w:val="000D6D0E"/>
    <w:rsid w:val="000D77CA"/>
    <w:rsid w:val="000E09F8"/>
    <w:rsid w:val="000E6B65"/>
    <w:rsid w:val="000F094D"/>
    <w:rsid w:val="000F4390"/>
    <w:rsid w:val="000F4B7D"/>
    <w:rsid w:val="000F4BB8"/>
    <w:rsid w:val="000F63A3"/>
    <w:rsid w:val="000F7127"/>
    <w:rsid w:val="000F7722"/>
    <w:rsid w:val="00100F8A"/>
    <w:rsid w:val="00101958"/>
    <w:rsid w:val="0010386F"/>
    <w:rsid w:val="00105BE1"/>
    <w:rsid w:val="00106EB0"/>
    <w:rsid w:val="0010771A"/>
    <w:rsid w:val="0011032E"/>
    <w:rsid w:val="00110A38"/>
    <w:rsid w:val="001113DF"/>
    <w:rsid w:val="0011348B"/>
    <w:rsid w:val="001167CA"/>
    <w:rsid w:val="00121799"/>
    <w:rsid w:val="00121837"/>
    <w:rsid w:val="00121BE7"/>
    <w:rsid w:val="001222FC"/>
    <w:rsid w:val="00122867"/>
    <w:rsid w:val="001231B1"/>
    <w:rsid w:val="00124A51"/>
    <w:rsid w:val="00124DF0"/>
    <w:rsid w:val="00125A05"/>
    <w:rsid w:val="00126621"/>
    <w:rsid w:val="001301E9"/>
    <w:rsid w:val="001313E8"/>
    <w:rsid w:val="00132AA9"/>
    <w:rsid w:val="00132DC3"/>
    <w:rsid w:val="001330D1"/>
    <w:rsid w:val="0013445B"/>
    <w:rsid w:val="00135D5A"/>
    <w:rsid w:val="00137645"/>
    <w:rsid w:val="0014015A"/>
    <w:rsid w:val="00140E99"/>
    <w:rsid w:val="00141A59"/>
    <w:rsid w:val="001424F0"/>
    <w:rsid w:val="00143691"/>
    <w:rsid w:val="00145540"/>
    <w:rsid w:val="001456B0"/>
    <w:rsid w:val="00145CC6"/>
    <w:rsid w:val="00150D64"/>
    <w:rsid w:val="0015236B"/>
    <w:rsid w:val="00152C09"/>
    <w:rsid w:val="00157130"/>
    <w:rsid w:val="00157EDE"/>
    <w:rsid w:val="00157FA8"/>
    <w:rsid w:val="00162913"/>
    <w:rsid w:val="0016373B"/>
    <w:rsid w:val="00163EFF"/>
    <w:rsid w:val="001661FB"/>
    <w:rsid w:val="001701E4"/>
    <w:rsid w:val="0017174C"/>
    <w:rsid w:val="00173CAB"/>
    <w:rsid w:val="001761A2"/>
    <w:rsid w:val="0017628A"/>
    <w:rsid w:val="001803D9"/>
    <w:rsid w:val="001818E4"/>
    <w:rsid w:val="001819AC"/>
    <w:rsid w:val="0018313B"/>
    <w:rsid w:val="001854D0"/>
    <w:rsid w:val="0018628B"/>
    <w:rsid w:val="0018752F"/>
    <w:rsid w:val="0019129B"/>
    <w:rsid w:val="001935DF"/>
    <w:rsid w:val="0019401D"/>
    <w:rsid w:val="00195222"/>
    <w:rsid w:val="00195550"/>
    <w:rsid w:val="00195CA1"/>
    <w:rsid w:val="0019728D"/>
    <w:rsid w:val="001973CD"/>
    <w:rsid w:val="001975D8"/>
    <w:rsid w:val="001977A3"/>
    <w:rsid w:val="001A00B9"/>
    <w:rsid w:val="001A04EA"/>
    <w:rsid w:val="001A2900"/>
    <w:rsid w:val="001A7012"/>
    <w:rsid w:val="001A7DF4"/>
    <w:rsid w:val="001B3443"/>
    <w:rsid w:val="001B4AA3"/>
    <w:rsid w:val="001B5396"/>
    <w:rsid w:val="001C02A9"/>
    <w:rsid w:val="001C3B14"/>
    <w:rsid w:val="001C56FD"/>
    <w:rsid w:val="001C6CF9"/>
    <w:rsid w:val="001C6E66"/>
    <w:rsid w:val="001C7DF0"/>
    <w:rsid w:val="001D066C"/>
    <w:rsid w:val="001D2271"/>
    <w:rsid w:val="001D316F"/>
    <w:rsid w:val="001D337E"/>
    <w:rsid w:val="001D70B4"/>
    <w:rsid w:val="001D7571"/>
    <w:rsid w:val="001E1A73"/>
    <w:rsid w:val="001E238E"/>
    <w:rsid w:val="001E2B1E"/>
    <w:rsid w:val="001E3E82"/>
    <w:rsid w:val="001E52EB"/>
    <w:rsid w:val="001E6A23"/>
    <w:rsid w:val="001E740C"/>
    <w:rsid w:val="001E7668"/>
    <w:rsid w:val="001F056A"/>
    <w:rsid w:val="001F1235"/>
    <w:rsid w:val="001F1CB3"/>
    <w:rsid w:val="001F4E52"/>
    <w:rsid w:val="001F55A0"/>
    <w:rsid w:val="001F7361"/>
    <w:rsid w:val="001F74B5"/>
    <w:rsid w:val="00202B00"/>
    <w:rsid w:val="0020385F"/>
    <w:rsid w:val="0020444C"/>
    <w:rsid w:val="002044B6"/>
    <w:rsid w:val="00204E51"/>
    <w:rsid w:val="00206CB2"/>
    <w:rsid w:val="00207021"/>
    <w:rsid w:val="00207D00"/>
    <w:rsid w:val="002105C1"/>
    <w:rsid w:val="0021240D"/>
    <w:rsid w:val="00215DD5"/>
    <w:rsid w:val="002229B6"/>
    <w:rsid w:val="00222F75"/>
    <w:rsid w:val="0022362D"/>
    <w:rsid w:val="00223B49"/>
    <w:rsid w:val="00224DD4"/>
    <w:rsid w:val="00225BC5"/>
    <w:rsid w:val="00226893"/>
    <w:rsid w:val="002269A5"/>
    <w:rsid w:val="0022748F"/>
    <w:rsid w:val="00230247"/>
    <w:rsid w:val="002309CC"/>
    <w:rsid w:val="00233391"/>
    <w:rsid w:val="002344C1"/>
    <w:rsid w:val="00234B33"/>
    <w:rsid w:val="002419EF"/>
    <w:rsid w:val="00241BEC"/>
    <w:rsid w:val="00242C1D"/>
    <w:rsid w:val="00242D3C"/>
    <w:rsid w:val="00243690"/>
    <w:rsid w:val="002448AA"/>
    <w:rsid w:val="00245D89"/>
    <w:rsid w:val="0025308B"/>
    <w:rsid w:val="00253B08"/>
    <w:rsid w:val="00254DCF"/>
    <w:rsid w:val="0025534B"/>
    <w:rsid w:val="00255BB7"/>
    <w:rsid w:val="00257F5B"/>
    <w:rsid w:val="00261467"/>
    <w:rsid w:val="002616A3"/>
    <w:rsid w:val="00261AD6"/>
    <w:rsid w:val="00262A87"/>
    <w:rsid w:val="002660F1"/>
    <w:rsid w:val="002707A2"/>
    <w:rsid w:val="00270DDD"/>
    <w:rsid w:val="00271D8F"/>
    <w:rsid w:val="002726EF"/>
    <w:rsid w:val="00272DDB"/>
    <w:rsid w:val="00273406"/>
    <w:rsid w:val="00274872"/>
    <w:rsid w:val="00275C5A"/>
    <w:rsid w:val="00280902"/>
    <w:rsid w:val="00281014"/>
    <w:rsid w:val="002810A0"/>
    <w:rsid w:val="00281BC4"/>
    <w:rsid w:val="00281D19"/>
    <w:rsid w:val="00282954"/>
    <w:rsid w:val="0028308E"/>
    <w:rsid w:val="00286A77"/>
    <w:rsid w:val="00286C7A"/>
    <w:rsid w:val="002915F5"/>
    <w:rsid w:val="0029352C"/>
    <w:rsid w:val="002A098A"/>
    <w:rsid w:val="002A0A96"/>
    <w:rsid w:val="002A14AB"/>
    <w:rsid w:val="002A163B"/>
    <w:rsid w:val="002A1DA8"/>
    <w:rsid w:val="002A225D"/>
    <w:rsid w:val="002A292C"/>
    <w:rsid w:val="002A5EEF"/>
    <w:rsid w:val="002B1C1F"/>
    <w:rsid w:val="002B3D95"/>
    <w:rsid w:val="002B40C0"/>
    <w:rsid w:val="002B432F"/>
    <w:rsid w:val="002B6CCE"/>
    <w:rsid w:val="002C0F1F"/>
    <w:rsid w:val="002C1D5E"/>
    <w:rsid w:val="002C2775"/>
    <w:rsid w:val="002C27C1"/>
    <w:rsid w:val="002C39BF"/>
    <w:rsid w:val="002C3E72"/>
    <w:rsid w:val="002C40E2"/>
    <w:rsid w:val="002C5150"/>
    <w:rsid w:val="002C5E1D"/>
    <w:rsid w:val="002C68E5"/>
    <w:rsid w:val="002C7956"/>
    <w:rsid w:val="002D106B"/>
    <w:rsid w:val="002D5318"/>
    <w:rsid w:val="002D6F06"/>
    <w:rsid w:val="002D74BA"/>
    <w:rsid w:val="002E259D"/>
    <w:rsid w:val="002E25AC"/>
    <w:rsid w:val="002E27A2"/>
    <w:rsid w:val="002E600E"/>
    <w:rsid w:val="002E6164"/>
    <w:rsid w:val="002E7672"/>
    <w:rsid w:val="002E79BD"/>
    <w:rsid w:val="002F0B70"/>
    <w:rsid w:val="002F109D"/>
    <w:rsid w:val="002F4CC7"/>
    <w:rsid w:val="002F5732"/>
    <w:rsid w:val="002F5EEE"/>
    <w:rsid w:val="002F7AEE"/>
    <w:rsid w:val="00300FA6"/>
    <w:rsid w:val="00301017"/>
    <w:rsid w:val="003035DF"/>
    <w:rsid w:val="0030786C"/>
    <w:rsid w:val="0030797C"/>
    <w:rsid w:val="00307E38"/>
    <w:rsid w:val="0031031A"/>
    <w:rsid w:val="00310981"/>
    <w:rsid w:val="003129CC"/>
    <w:rsid w:val="00315498"/>
    <w:rsid w:val="003201DE"/>
    <w:rsid w:val="00320BE9"/>
    <w:rsid w:val="00321C3B"/>
    <w:rsid w:val="00321F69"/>
    <w:rsid w:val="00326365"/>
    <w:rsid w:val="00326EF1"/>
    <w:rsid w:val="003309CB"/>
    <w:rsid w:val="00330FE7"/>
    <w:rsid w:val="00332D45"/>
    <w:rsid w:val="00334539"/>
    <w:rsid w:val="003366C9"/>
    <w:rsid w:val="003371B0"/>
    <w:rsid w:val="00337C09"/>
    <w:rsid w:val="00337CFC"/>
    <w:rsid w:val="00341F2E"/>
    <w:rsid w:val="00350634"/>
    <w:rsid w:val="00350F5E"/>
    <w:rsid w:val="0035201C"/>
    <w:rsid w:val="0035395E"/>
    <w:rsid w:val="00355E7E"/>
    <w:rsid w:val="0035620E"/>
    <w:rsid w:val="00356814"/>
    <w:rsid w:val="003620B8"/>
    <w:rsid w:val="0036371C"/>
    <w:rsid w:val="00364671"/>
    <w:rsid w:val="00364CAE"/>
    <w:rsid w:val="0036655B"/>
    <w:rsid w:val="00370E81"/>
    <w:rsid w:val="00371B89"/>
    <w:rsid w:val="00381AC1"/>
    <w:rsid w:val="0038365C"/>
    <w:rsid w:val="00386D52"/>
    <w:rsid w:val="003904CB"/>
    <w:rsid w:val="00390CBA"/>
    <w:rsid w:val="003925F9"/>
    <w:rsid w:val="00392B66"/>
    <w:rsid w:val="00393C73"/>
    <w:rsid w:val="00395CCA"/>
    <w:rsid w:val="00396D68"/>
    <w:rsid w:val="00396FD0"/>
    <w:rsid w:val="0039728F"/>
    <w:rsid w:val="00397A58"/>
    <w:rsid w:val="003A01C4"/>
    <w:rsid w:val="003A109A"/>
    <w:rsid w:val="003A1A7A"/>
    <w:rsid w:val="003A31B0"/>
    <w:rsid w:val="003A38DE"/>
    <w:rsid w:val="003A4234"/>
    <w:rsid w:val="003A561B"/>
    <w:rsid w:val="003A5A83"/>
    <w:rsid w:val="003A79FB"/>
    <w:rsid w:val="003A79FC"/>
    <w:rsid w:val="003B04E9"/>
    <w:rsid w:val="003B2812"/>
    <w:rsid w:val="003B2CC7"/>
    <w:rsid w:val="003B54B8"/>
    <w:rsid w:val="003B5A7A"/>
    <w:rsid w:val="003B6FAD"/>
    <w:rsid w:val="003C1AD7"/>
    <w:rsid w:val="003C5922"/>
    <w:rsid w:val="003D0274"/>
    <w:rsid w:val="003D11B0"/>
    <w:rsid w:val="003D1828"/>
    <w:rsid w:val="003D1A9B"/>
    <w:rsid w:val="003D2422"/>
    <w:rsid w:val="003D27C5"/>
    <w:rsid w:val="003D2A2D"/>
    <w:rsid w:val="003D2E00"/>
    <w:rsid w:val="003D3BFD"/>
    <w:rsid w:val="003D4342"/>
    <w:rsid w:val="003D4617"/>
    <w:rsid w:val="003D54F5"/>
    <w:rsid w:val="003D56BF"/>
    <w:rsid w:val="003D5965"/>
    <w:rsid w:val="003D7D06"/>
    <w:rsid w:val="003E5EB7"/>
    <w:rsid w:val="003E71EB"/>
    <w:rsid w:val="003F4156"/>
    <w:rsid w:val="003F4DD6"/>
    <w:rsid w:val="003F57C2"/>
    <w:rsid w:val="003F7193"/>
    <w:rsid w:val="00404903"/>
    <w:rsid w:val="004049D4"/>
    <w:rsid w:val="00407430"/>
    <w:rsid w:val="00410708"/>
    <w:rsid w:val="00410EC7"/>
    <w:rsid w:val="00411F82"/>
    <w:rsid w:val="0041339B"/>
    <w:rsid w:val="00414476"/>
    <w:rsid w:val="00416621"/>
    <w:rsid w:val="00420B9F"/>
    <w:rsid w:val="00420E10"/>
    <w:rsid w:val="00422B69"/>
    <w:rsid w:val="00423696"/>
    <w:rsid w:val="00423A05"/>
    <w:rsid w:val="004319F8"/>
    <w:rsid w:val="004320E5"/>
    <w:rsid w:val="00433044"/>
    <w:rsid w:val="0043344D"/>
    <w:rsid w:val="0043372F"/>
    <w:rsid w:val="004345CE"/>
    <w:rsid w:val="004352AB"/>
    <w:rsid w:val="00441115"/>
    <w:rsid w:val="0044174C"/>
    <w:rsid w:val="004443A7"/>
    <w:rsid w:val="00445572"/>
    <w:rsid w:val="004464EB"/>
    <w:rsid w:val="00446762"/>
    <w:rsid w:val="0044684B"/>
    <w:rsid w:val="0044688C"/>
    <w:rsid w:val="004469C3"/>
    <w:rsid w:val="00447A54"/>
    <w:rsid w:val="00450108"/>
    <w:rsid w:val="00450A8C"/>
    <w:rsid w:val="0045250A"/>
    <w:rsid w:val="004538F0"/>
    <w:rsid w:val="004543D6"/>
    <w:rsid w:val="00455D45"/>
    <w:rsid w:val="00455FFB"/>
    <w:rsid w:val="00456EB2"/>
    <w:rsid w:val="00457127"/>
    <w:rsid w:val="00464595"/>
    <w:rsid w:val="0046618E"/>
    <w:rsid w:val="00467227"/>
    <w:rsid w:val="00470E6D"/>
    <w:rsid w:val="004725DA"/>
    <w:rsid w:val="00474CCB"/>
    <w:rsid w:val="00475119"/>
    <w:rsid w:val="00476D02"/>
    <w:rsid w:val="00477147"/>
    <w:rsid w:val="00483BE7"/>
    <w:rsid w:val="00485E18"/>
    <w:rsid w:val="004867E2"/>
    <w:rsid w:val="00487E36"/>
    <w:rsid w:val="004901B2"/>
    <w:rsid w:val="004904DD"/>
    <w:rsid w:val="00490D31"/>
    <w:rsid w:val="00491B3A"/>
    <w:rsid w:val="00492CFD"/>
    <w:rsid w:val="00493BD5"/>
    <w:rsid w:val="004940DD"/>
    <w:rsid w:val="00494D82"/>
    <w:rsid w:val="0049519E"/>
    <w:rsid w:val="004962D2"/>
    <w:rsid w:val="004A0018"/>
    <w:rsid w:val="004A0DA1"/>
    <w:rsid w:val="004A2583"/>
    <w:rsid w:val="004A3DD2"/>
    <w:rsid w:val="004A6597"/>
    <w:rsid w:val="004A67B9"/>
    <w:rsid w:val="004A7EDF"/>
    <w:rsid w:val="004B18C6"/>
    <w:rsid w:val="004B1CB4"/>
    <w:rsid w:val="004B254C"/>
    <w:rsid w:val="004B2F18"/>
    <w:rsid w:val="004B3D46"/>
    <w:rsid w:val="004B3DDB"/>
    <w:rsid w:val="004B427B"/>
    <w:rsid w:val="004B4371"/>
    <w:rsid w:val="004B44FD"/>
    <w:rsid w:val="004B5CFC"/>
    <w:rsid w:val="004B7687"/>
    <w:rsid w:val="004C0C72"/>
    <w:rsid w:val="004C1A67"/>
    <w:rsid w:val="004C202E"/>
    <w:rsid w:val="004C2112"/>
    <w:rsid w:val="004C2DD1"/>
    <w:rsid w:val="004C4AED"/>
    <w:rsid w:val="004C4C2F"/>
    <w:rsid w:val="004C6A76"/>
    <w:rsid w:val="004C7322"/>
    <w:rsid w:val="004C7DF8"/>
    <w:rsid w:val="004D019D"/>
    <w:rsid w:val="004D068A"/>
    <w:rsid w:val="004D246C"/>
    <w:rsid w:val="004D49DE"/>
    <w:rsid w:val="004D7395"/>
    <w:rsid w:val="004D7480"/>
    <w:rsid w:val="004D7FD3"/>
    <w:rsid w:val="004E0775"/>
    <w:rsid w:val="004E0958"/>
    <w:rsid w:val="004E0EB8"/>
    <w:rsid w:val="004E1B17"/>
    <w:rsid w:val="004E2ADC"/>
    <w:rsid w:val="004E355A"/>
    <w:rsid w:val="004E43B2"/>
    <w:rsid w:val="004E4A0D"/>
    <w:rsid w:val="004E66B6"/>
    <w:rsid w:val="004E68B7"/>
    <w:rsid w:val="004E6A28"/>
    <w:rsid w:val="004E7097"/>
    <w:rsid w:val="004F000F"/>
    <w:rsid w:val="004F1D02"/>
    <w:rsid w:val="004F2679"/>
    <w:rsid w:val="004F5776"/>
    <w:rsid w:val="004F6EBC"/>
    <w:rsid w:val="004F7865"/>
    <w:rsid w:val="004F7A23"/>
    <w:rsid w:val="005000CC"/>
    <w:rsid w:val="00502057"/>
    <w:rsid w:val="00502C74"/>
    <w:rsid w:val="00503AAE"/>
    <w:rsid w:val="0050572F"/>
    <w:rsid w:val="00505BC3"/>
    <w:rsid w:val="005060C6"/>
    <w:rsid w:val="005062CB"/>
    <w:rsid w:val="00506928"/>
    <w:rsid w:val="00511B83"/>
    <w:rsid w:val="00511CBE"/>
    <w:rsid w:val="0051267A"/>
    <w:rsid w:val="005150D9"/>
    <w:rsid w:val="005152B5"/>
    <w:rsid w:val="005152CE"/>
    <w:rsid w:val="00516507"/>
    <w:rsid w:val="0051708E"/>
    <w:rsid w:val="005206AC"/>
    <w:rsid w:val="00521319"/>
    <w:rsid w:val="005232FD"/>
    <w:rsid w:val="00523B7A"/>
    <w:rsid w:val="00523C28"/>
    <w:rsid w:val="005261F3"/>
    <w:rsid w:val="00530E9B"/>
    <w:rsid w:val="0053158D"/>
    <w:rsid w:val="005319D9"/>
    <w:rsid w:val="00535853"/>
    <w:rsid w:val="00536344"/>
    <w:rsid w:val="00536EB1"/>
    <w:rsid w:val="0054255A"/>
    <w:rsid w:val="00544B15"/>
    <w:rsid w:val="00547BA8"/>
    <w:rsid w:val="00550E7C"/>
    <w:rsid w:val="00551770"/>
    <w:rsid w:val="005517EE"/>
    <w:rsid w:val="00552BD3"/>
    <w:rsid w:val="0055335F"/>
    <w:rsid w:val="005538EA"/>
    <w:rsid w:val="005539F8"/>
    <w:rsid w:val="00553C72"/>
    <w:rsid w:val="00555109"/>
    <w:rsid w:val="005561BD"/>
    <w:rsid w:val="005566EE"/>
    <w:rsid w:val="00557402"/>
    <w:rsid w:val="005611F2"/>
    <w:rsid w:val="00561900"/>
    <w:rsid w:val="00561E71"/>
    <w:rsid w:val="005622AF"/>
    <w:rsid w:val="00562998"/>
    <w:rsid w:val="0056392D"/>
    <w:rsid w:val="0056428E"/>
    <w:rsid w:val="0056696F"/>
    <w:rsid w:val="00566A53"/>
    <w:rsid w:val="00566EDE"/>
    <w:rsid w:val="005671EA"/>
    <w:rsid w:val="0057044E"/>
    <w:rsid w:val="00572C6C"/>
    <w:rsid w:val="005734CB"/>
    <w:rsid w:val="00574677"/>
    <w:rsid w:val="00575D8D"/>
    <w:rsid w:val="00576393"/>
    <w:rsid w:val="00576972"/>
    <w:rsid w:val="00577EA9"/>
    <w:rsid w:val="00581B0A"/>
    <w:rsid w:val="00583699"/>
    <w:rsid w:val="00586779"/>
    <w:rsid w:val="00593FB3"/>
    <w:rsid w:val="0059411A"/>
    <w:rsid w:val="00594290"/>
    <w:rsid w:val="00594C56"/>
    <w:rsid w:val="00594FC2"/>
    <w:rsid w:val="00595424"/>
    <w:rsid w:val="005955B9"/>
    <w:rsid w:val="0059589F"/>
    <w:rsid w:val="005A0562"/>
    <w:rsid w:val="005A0DFF"/>
    <w:rsid w:val="005A1E0A"/>
    <w:rsid w:val="005A266A"/>
    <w:rsid w:val="005A2B14"/>
    <w:rsid w:val="005A3067"/>
    <w:rsid w:val="005B4A18"/>
    <w:rsid w:val="005B4E24"/>
    <w:rsid w:val="005B5857"/>
    <w:rsid w:val="005C0D5D"/>
    <w:rsid w:val="005C1B83"/>
    <w:rsid w:val="005C2493"/>
    <w:rsid w:val="005C346B"/>
    <w:rsid w:val="005C56BA"/>
    <w:rsid w:val="005C75AC"/>
    <w:rsid w:val="005C7F65"/>
    <w:rsid w:val="005D044D"/>
    <w:rsid w:val="005D18AD"/>
    <w:rsid w:val="005D5A4D"/>
    <w:rsid w:val="005D6A93"/>
    <w:rsid w:val="005D7BBE"/>
    <w:rsid w:val="005D7C80"/>
    <w:rsid w:val="005E2F86"/>
    <w:rsid w:val="005E2FA6"/>
    <w:rsid w:val="005E425F"/>
    <w:rsid w:val="005E4821"/>
    <w:rsid w:val="005E73C0"/>
    <w:rsid w:val="005E75EE"/>
    <w:rsid w:val="005E7CC7"/>
    <w:rsid w:val="005F0AAF"/>
    <w:rsid w:val="005F2706"/>
    <w:rsid w:val="005F58FF"/>
    <w:rsid w:val="005F6A8F"/>
    <w:rsid w:val="0060075B"/>
    <w:rsid w:val="00601D66"/>
    <w:rsid w:val="0060637A"/>
    <w:rsid w:val="00607669"/>
    <w:rsid w:val="00612C36"/>
    <w:rsid w:val="00612F97"/>
    <w:rsid w:val="00613285"/>
    <w:rsid w:val="00614C4E"/>
    <w:rsid w:val="006162FA"/>
    <w:rsid w:val="00616802"/>
    <w:rsid w:val="006175CF"/>
    <w:rsid w:val="00617683"/>
    <w:rsid w:val="00617E12"/>
    <w:rsid w:val="00620C76"/>
    <w:rsid w:val="00621477"/>
    <w:rsid w:val="00622210"/>
    <w:rsid w:val="00622B65"/>
    <w:rsid w:val="00623709"/>
    <w:rsid w:val="00625CB9"/>
    <w:rsid w:val="00626C8D"/>
    <w:rsid w:val="00631D6B"/>
    <w:rsid w:val="006334B7"/>
    <w:rsid w:val="006340B4"/>
    <w:rsid w:val="0063479F"/>
    <w:rsid w:val="00635E8F"/>
    <w:rsid w:val="006364A1"/>
    <w:rsid w:val="0063705D"/>
    <w:rsid w:val="00637BFD"/>
    <w:rsid w:val="006403B5"/>
    <w:rsid w:val="006471CC"/>
    <w:rsid w:val="0064720A"/>
    <w:rsid w:val="00650298"/>
    <w:rsid w:val="0065079F"/>
    <w:rsid w:val="00652457"/>
    <w:rsid w:val="00652F02"/>
    <w:rsid w:val="00653A39"/>
    <w:rsid w:val="00654378"/>
    <w:rsid w:val="00656BDD"/>
    <w:rsid w:val="00666AC3"/>
    <w:rsid w:val="00666F46"/>
    <w:rsid w:val="006716DE"/>
    <w:rsid w:val="00671910"/>
    <w:rsid w:val="006748E2"/>
    <w:rsid w:val="00674E42"/>
    <w:rsid w:val="0067542A"/>
    <w:rsid w:val="00676C0A"/>
    <w:rsid w:val="00677EEB"/>
    <w:rsid w:val="0068097E"/>
    <w:rsid w:val="00680D7B"/>
    <w:rsid w:val="00682112"/>
    <w:rsid w:val="006823C1"/>
    <w:rsid w:val="006839CC"/>
    <w:rsid w:val="006872BA"/>
    <w:rsid w:val="00687BD2"/>
    <w:rsid w:val="006917D7"/>
    <w:rsid w:val="00693F9E"/>
    <w:rsid w:val="00694F44"/>
    <w:rsid w:val="006962AE"/>
    <w:rsid w:val="00697224"/>
    <w:rsid w:val="006A2877"/>
    <w:rsid w:val="006A2E0B"/>
    <w:rsid w:val="006A5EE1"/>
    <w:rsid w:val="006B0B3A"/>
    <w:rsid w:val="006B15AA"/>
    <w:rsid w:val="006B2E0A"/>
    <w:rsid w:val="006B4060"/>
    <w:rsid w:val="006B41C0"/>
    <w:rsid w:val="006B4429"/>
    <w:rsid w:val="006B6107"/>
    <w:rsid w:val="006B66EB"/>
    <w:rsid w:val="006B7C44"/>
    <w:rsid w:val="006C121E"/>
    <w:rsid w:val="006C13AE"/>
    <w:rsid w:val="006C1B18"/>
    <w:rsid w:val="006C2A8E"/>
    <w:rsid w:val="006C523D"/>
    <w:rsid w:val="006C7BB9"/>
    <w:rsid w:val="006D08A2"/>
    <w:rsid w:val="006D34F5"/>
    <w:rsid w:val="006D3C7D"/>
    <w:rsid w:val="006D4BD3"/>
    <w:rsid w:val="006D5371"/>
    <w:rsid w:val="006D5D5F"/>
    <w:rsid w:val="006D76B3"/>
    <w:rsid w:val="006E06A3"/>
    <w:rsid w:val="006E40DE"/>
    <w:rsid w:val="006E6EF8"/>
    <w:rsid w:val="006F0011"/>
    <w:rsid w:val="006F02CD"/>
    <w:rsid w:val="006F0F7D"/>
    <w:rsid w:val="006F1B4A"/>
    <w:rsid w:val="006F1E4C"/>
    <w:rsid w:val="006F307F"/>
    <w:rsid w:val="006F3285"/>
    <w:rsid w:val="006F371B"/>
    <w:rsid w:val="006F4158"/>
    <w:rsid w:val="006F44FD"/>
    <w:rsid w:val="006F48AD"/>
    <w:rsid w:val="006F541B"/>
    <w:rsid w:val="006F63A5"/>
    <w:rsid w:val="006F68C7"/>
    <w:rsid w:val="0070276E"/>
    <w:rsid w:val="00702F8F"/>
    <w:rsid w:val="00703934"/>
    <w:rsid w:val="00703B31"/>
    <w:rsid w:val="0070588E"/>
    <w:rsid w:val="00706520"/>
    <w:rsid w:val="00711A36"/>
    <w:rsid w:val="00712FCE"/>
    <w:rsid w:val="0071302D"/>
    <w:rsid w:val="00713F47"/>
    <w:rsid w:val="0071426A"/>
    <w:rsid w:val="0071459C"/>
    <w:rsid w:val="00714832"/>
    <w:rsid w:val="00714D08"/>
    <w:rsid w:val="007165EF"/>
    <w:rsid w:val="007172AD"/>
    <w:rsid w:val="007210D1"/>
    <w:rsid w:val="007217A1"/>
    <w:rsid w:val="007222E2"/>
    <w:rsid w:val="0072416F"/>
    <w:rsid w:val="00724171"/>
    <w:rsid w:val="00724F6C"/>
    <w:rsid w:val="007254B0"/>
    <w:rsid w:val="00726855"/>
    <w:rsid w:val="00731249"/>
    <w:rsid w:val="007318B2"/>
    <w:rsid w:val="007320F1"/>
    <w:rsid w:val="00733D1D"/>
    <w:rsid w:val="00733D6B"/>
    <w:rsid w:val="007345DB"/>
    <w:rsid w:val="00734D72"/>
    <w:rsid w:val="00735328"/>
    <w:rsid w:val="0073545F"/>
    <w:rsid w:val="00735A89"/>
    <w:rsid w:val="00736167"/>
    <w:rsid w:val="0073685B"/>
    <w:rsid w:val="00740EC1"/>
    <w:rsid w:val="007428A9"/>
    <w:rsid w:val="00744CB6"/>
    <w:rsid w:val="0074511A"/>
    <w:rsid w:val="00746035"/>
    <w:rsid w:val="00746B96"/>
    <w:rsid w:val="00751E7D"/>
    <w:rsid w:val="00752D75"/>
    <w:rsid w:val="00752E40"/>
    <w:rsid w:val="007539AC"/>
    <w:rsid w:val="00754052"/>
    <w:rsid w:val="00760064"/>
    <w:rsid w:val="00760099"/>
    <w:rsid w:val="00760EEB"/>
    <w:rsid w:val="007614B1"/>
    <w:rsid w:val="007638D1"/>
    <w:rsid w:val="00763A4B"/>
    <w:rsid w:val="00764ED6"/>
    <w:rsid w:val="00766104"/>
    <w:rsid w:val="00766E87"/>
    <w:rsid w:val="007676B6"/>
    <w:rsid w:val="00767E5D"/>
    <w:rsid w:val="0077006B"/>
    <w:rsid w:val="00770115"/>
    <w:rsid w:val="00772197"/>
    <w:rsid w:val="00774AD9"/>
    <w:rsid w:val="007809B0"/>
    <w:rsid w:val="00780E57"/>
    <w:rsid w:val="00781837"/>
    <w:rsid w:val="007839DD"/>
    <w:rsid w:val="007845BC"/>
    <w:rsid w:val="00785A7C"/>
    <w:rsid w:val="007906E5"/>
    <w:rsid w:val="00791759"/>
    <w:rsid w:val="0079597A"/>
    <w:rsid w:val="007964D5"/>
    <w:rsid w:val="00796FE5"/>
    <w:rsid w:val="007975E1"/>
    <w:rsid w:val="007A0739"/>
    <w:rsid w:val="007A0A12"/>
    <w:rsid w:val="007A1937"/>
    <w:rsid w:val="007A1D5F"/>
    <w:rsid w:val="007A4C70"/>
    <w:rsid w:val="007A5A4D"/>
    <w:rsid w:val="007A6464"/>
    <w:rsid w:val="007A6C26"/>
    <w:rsid w:val="007B075B"/>
    <w:rsid w:val="007B19A0"/>
    <w:rsid w:val="007B1B6E"/>
    <w:rsid w:val="007B251D"/>
    <w:rsid w:val="007B356B"/>
    <w:rsid w:val="007B5995"/>
    <w:rsid w:val="007B631F"/>
    <w:rsid w:val="007B77D1"/>
    <w:rsid w:val="007C0C29"/>
    <w:rsid w:val="007C2E61"/>
    <w:rsid w:val="007C361D"/>
    <w:rsid w:val="007C6CB0"/>
    <w:rsid w:val="007C7E74"/>
    <w:rsid w:val="007D0B38"/>
    <w:rsid w:val="007D1E0C"/>
    <w:rsid w:val="007D28EB"/>
    <w:rsid w:val="007D445D"/>
    <w:rsid w:val="007D71D5"/>
    <w:rsid w:val="007E0A11"/>
    <w:rsid w:val="007E3E2E"/>
    <w:rsid w:val="007E5582"/>
    <w:rsid w:val="007E64F0"/>
    <w:rsid w:val="007E6B17"/>
    <w:rsid w:val="007E7300"/>
    <w:rsid w:val="007F0503"/>
    <w:rsid w:val="007F1017"/>
    <w:rsid w:val="007F2952"/>
    <w:rsid w:val="007F38F3"/>
    <w:rsid w:val="007F3DAF"/>
    <w:rsid w:val="007F4A3F"/>
    <w:rsid w:val="007F6039"/>
    <w:rsid w:val="007F7B12"/>
    <w:rsid w:val="008012E7"/>
    <w:rsid w:val="008031EB"/>
    <w:rsid w:val="00804CBE"/>
    <w:rsid w:val="00805142"/>
    <w:rsid w:val="008078E6"/>
    <w:rsid w:val="00807A8B"/>
    <w:rsid w:val="00811798"/>
    <w:rsid w:val="00811D4A"/>
    <w:rsid w:val="00812149"/>
    <w:rsid w:val="008135B9"/>
    <w:rsid w:val="008135F1"/>
    <w:rsid w:val="008166EF"/>
    <w:rsid w:val="008215E0"/>
    <w:rsid w:val="008240D3"/>
    <w:rsid w:val="00825CD0"/>
    <w:rsid w:val="008264EB"/>
    <w:rsid w:val="008270A0"/>
    <w:rsid w:val="00830287"/>
    <w:rsid w:val="008311EE"/>
    <w:rsid w:val="00831457"/>
    <w:rsid w:val="00833B05"/>
    <w:rsid w:val="00835A11"/>
    <w:rsid w:val="00836CD0"/>
    <w:rsid w:val="00837B56"/>
    <w:rsid w:val="00840CA2"/>
    <w:rsid w:val="0084615D"/>
    <w:rsid w:val="00847C9C"/>
    <w:rsid w:val="00850DB9"/>
    <w:rsid w:val="00850DF7"/>
    <w:rsid w:val="00856E9A"/>
    <w:rsid w:val="0085797C"/>
    <w:rsid w:val="008616D2"/>
    <w:rsid w:val="00861E8B"/>
    <w:rsid w:val="0086246C"/>
    <w:rsid w:val="00862502"/>
    <w:rsid w:val="00863AFA"/>
    <w:rsid w:val="00863B4B"/>
    <w:rsid w:val="00866473"/>
    <w:rsid w:val="00866770"/>
    <w:rsid w:val="008677B0"/>
    <w:rsid w:val="0087138D"/>
    <w:rsid w:val="00871674"/>
    <w:rsid w:val="00871EBB"/>
    <w:rsid w:val="0087222E"/>
    <w:rsid w:val="008723D4"/>
    <w:rsid w:val="00875C6E"/>
    <w:rsid w:val="008814A3"/>
    <w:rsid w:val="008816F7"/>
    <w:rsid w:val="0088225E"/>
    <w:rsid w:val="00882874"/>
    <w:rsid w:val="0088294D"/>
    <w:rsid w:val="00882BC4"/>
    <w:rsid w:val="00883787"/>
    <w:rsid w:val="008841EF"/>
    <w:rsid w:val="008909D3"/>
    <w:rsid w:val="00892B18"/>
    <w:rsid w:val="00892FCD"/>
    <w:rsid w:val="00893A1C"/>
    <w:rsid w:val="00894489"/>
    <w:rsid w:val="008963A5"/>
    <w:rsid w:val="008965C8"/>
    <w:rsid w:val="0089669A"/>
    <w:rsid w:val="00897981"/>
    <w:rsid w:val="00897C88"/>
    <w:rsid w:val="008A2C33"/>
    <w:rsid w:val="008A36E6"/>
    <w:rsid w:val="008A3C3E"/>
    <w:rsid w:val="008A71F8"/>
    <w:rsid w:val="008A75FD"/>
    <w:rsid w:val="008A79DE"/>
    <w:rsid w:val="008B04D3"/>
    <w:rsid w:val="008B0577"/>
    <w:rsid w:val="008B095F"/>
    <w:rsid w:val="008B2279"/>
    <w:rsid w:val="008B7D7E"/>
    <w:rsid w:val="008C135E"/>
    <w:rsid w:val="008C29DA"/>
    <w:rsid w:val="008C3BD4"/>
    <w:rsid w:val="008C4541"/>
    <w:rsid w:val="008C5918"/>
    <w:rsid w:val="008C5B9A"/>
    <w:rsid w:val="008C6FA8"/>
    <w:rsid w:val="008C6FFD"/>
    <w:rsid w:val="008C7ECB"/>
    <w:rsid w:val="008D0C07"/>
    <w:rsid w:val="008D1681"/>
    <w:rsid w:val="008D4C7C"/>
    <w:rsid w:val="008D5059"/>
    <w:rsid w:val="008D5C53"/>
    <w:rsid w:val="008D7D39"/>
    <w:rsid w:val="008E0D06"/>
    <w:rsid w:val="008E1B9E"/>
    <w:rsid w:val="008E615A"/>
    <w:rsid w:val="008E640B"/>
    <w:rsid w:val="008F01F6"/>
    <w:rsid w:val="008F120A"/>
    <w:rsid w:val="008F3199"/>
    <w:rsid w:val="008F36E0"/>
    <w:rsid w:val="008F48EB"/>
    <w:rsid w:val="008F4CBE"/>
    <w:rsid w:val="008F4F0B"/>
    <w:rsid w:val="00900C8E"/>
    <w:rsid w:val="00902E13"/>
    <w:rsid w:val="00903991"/>
    <w:rsid w:val="00905912"/>
    <w:rsid w:val="009062A5"/>
    <w:rsid w:val="009069FD"/>
    <w:rsid w:val="0090717E"/>
    <w:rsid w:val="00907700"/>
    <w:rsid w:val="00910995"/>
    <w:rsid w:val="00911272"/>
    <w:rsid w:val="0091218C"/>
    <w:rsid w:val="009125D7"/>
    <w:rsid w:val="00912730"/>
    <w:rsid w:val="009219F3"/>
    <w:rsid w:val="00922DF5"/>
    <w:rsid w:val="00923092"/>
    <w:rsid w:val="009233FE"/>
    <w:rsid w:val="00923F73"/>
    <w:rsid w:val="00925A8B"/>
    <w:rsid w:val="00925EB2"/>
    <w:rsid w:val="00927F00"/>
    <w:rsid w:val="00930811"/>
    <w:rsid w:val="00931BF6"/>
    <w:rsid w:val="009336EF"/>
    <w:rsid w:val="00933A24"/>
    <w:rsid w:val="00934F36"/>
    <w:rsid w:val="00935105"/>
    <w:rsid w:val="00935DB6"/>
    <w:rsid w:val="009368BC"/>
    <w:rsid w:val="0093712C"/>
    <w:rsid w:val="00940B71"/>
    <w:rsid w:val="009424A9"/>
    <w:rsid w:val="00947C46"/>
    <w:rsid w:val="009503B4"/>
    <w:rsid w:val="0095098D"/>
    <w:rsid w:val="00950F48"/>
    <w:rsid w:val="00956DAD"/>
    <w:rsid w:val="00962CB9"/>
    <w:rsid w:val="00963162"/>
    <w:rsid w:val="009631C1"/>
    <w:rsid w:val="00964312"/>
    <w:rsid w:val="00964D6E"/>
    <w:rsid w:val="0096506E"/>
    <w:rsid w:val="0096576A"/>
    <w:rsid w:val="00967855"/>
    <w:rsid w:val="00970051"/>
    <w:rsid w:val="00970BAF"/>
    <w:rsid w:val="00971A37"/>
    <w:rsid w:val="00973FAD"/>
    <w:rsid w:val="009764CA"/>
    <w:rsid w:val="009802A3"/>
    <w:rsid w:val="00980C33"/>
    <w:rsid w:val="00981A0E"/>
    <w:rsid w:val="00983E57"/>
    <w:rsid w:val="009840F6"/>
    <w:rsid w:val="00991537"/>
    <w:rsid w:val="009918CE"/>
    <w:rsid w:val="00991936"/>
    <w:rsid w:val="00992176"/>
    <w:rsid w:val="00996060"/>
    <w:rsid w:val="00996B1A"/>
    <w:rsid w:val="00997E16"/>
    <w:rsid w:val="009A292D"/>
    <w:rsid w:val="009A2B2F"/>
    <w:rsid w:val="009B0425"/>
    <w:rsid w:val="009B1AA4"/>
    <w:rsid w:val="009B28FA"/>
    <w:rsid w:val="009B2975"/>
    <w:rsid w:val="009B3016"/>
    <w:rsid w:val="009B3E26"/>
    <w:rsid w:val="009B6094"/>
    <w:rsid w:val="009C00B0"/>
    <w:rsid w:val="009C5049"/>
    <w:rsid w:val="009C6127"/>
    <w:rsid w:val="009C752E"/>
    <w:rsid w:val="009C764F"/>
    <w:rsid w:val="009C7694"/>
    <w:rsid w:val="009C7798"/>
    <w:rsid w:val="009D0975"/>
    <w:rsid w:val="009D13AC"/>
    <w:rsid w:val="009D5B02"/>
    <w:rsid w:val="009D5B91"/>
    <w:rsid w:val="009D6EC4"/>
    <w:rsid w:val="009D717B"/>
    <w:rsid w:val="009E0CDA"/>
    <w:rsid w:val="009E46B0"/>
    <w:rsid w:val="009E4C07"/>
    <w:rsid w:val="009E5EDE"/>
    <w:rsid w:val="009F0C26"/>
    <w:rsid w:val="009F0DB7"/>
    <w:rsid w:val="009F1E7C"/>
    <w:rsid w:val="009F1F1B"/>
    <w:rsid w:val="009F2151"/>
    <w:rsid w:val="009F50A0"/>
    <w:rsid w:val="009F5768"/>
    <w:rsid w:val="009F6311"/>
    <w:rsid w:val="00A0094E"/>
    <w:rsid w:val="00A02927"/>
    <w:rsid w:val="00A02BD2"/>
    <w:rsid w:val="00A03D43"/>
    <w:rsid w:val="00A04380"/>
    <w:rsid w:val="00A043DA"/>
    <w:rsid w:val="00A044C4"/>
    <w:rsid w:val="00A07BF7"/>
    <w:rsid w:val="00A11FFD"/>
    <w:rsid w:val="00A13948"/>
    <w:rsid w:val="00A20BA0"/>
    <w:rsid w:val="00A213CC"/>
    <w:rsid w:val="00A236E6"/>
    <w:rsid w:val="00A2392D"/>
    <w:rsid w:val="00A26353"/>
    <w:rsid w:val="00A27A0D"/>
    <w:rsid w:val="00A27AEC"/>
    <w:rsid w:val="00A27EC4"/>
    <w:rsid w:val="00A30224"/>
    <w:rsid w:val="00A3341E"/>
    <w:rsid w:val="00A35D16"/>
    <w:rsid w:val="00A365C4"/>
    <w:rsid w:val="00A3765C"/>
    <w:rsid w:val="00A408C8"/>
    <w:rsid w:val="00A41427"/>
    <w:rsid w:val="00A42630"/>
    <w:rsid w:val="00A43C59"/>
    <w:rsid w:val="00A509F6"/>
    <w:rsid w:val="00A50ECD"/>
    <w:rsid w:val="00A52729"/>
    <w:rsid w:val="00A53675"/>
    <w:rsid w:val="00A54BDB"/>
    <w:rsid w:val="00A56979"/>
    <w:rsid w:val="00A56B6A"/>
    <w:rsid w:val="00A578DC"/>
    <w:rsid w:val="00A61648"/>
    <w:rsid w:val="00A61F53"/>
    <w:rsid w:val="00A63827"/>
    <w:rsid w:val="00A65BB1"/>
    <w:rsid w:val="00A6725B"/>
    <w:rsid w:val="00A673DE"/>
    <w:rsid w:val="00A6766B"/>
    <w:rsid w:val="00A70D97"/>
    <w:rsid w:val="00A7412A"/>
    <w:rsid w:val="00A77A0D"/>
    <w:rsid w:val="00A80E55"/>
    <w:rsid w:val="00A80E68"/>
    <w:rsid w:val="00A81DD2"/>
    <w:rsid w:val="00A83857"/>
    <w:rsid w:val="00A86E8B"/>
    <w:rsid w:val="00A92CFA"/>
    <w:rsid w:val="00A93072"/>
    <w:rsid w:val="00A959D8"/>
    <w:rsid w:val="00A965E2"/>
    <w:rsid w:val="00A96698"/>
    <w:rsid w:val="00A97613"/>
    <w:rsid w:val="00AA020D"/>
    <w:rsid w:val="00AA0B96"/>
    <w:rsid w:val="00AA1546"/>
    <w:rsid w:val="00AA263C"/>
    <w:rsid w:val="00AA296F"/>
    <w:rsid w:val="00AA3020"/>
    <w:rsid w:val="00AA64C0"/>
    <w:rsid w:val="00AB042A"/>
    <w:rsid w:val="00AB2D34"/>
    <w:rsid w:val="00AB2DF0"/>
    <w:rsid w:val="00AB3430"/>
    <w:rsid w:val="00AB5310"/>
    <w:rsid w:val="00AB69DE"/>
    <w:rsid w:val="00AB7955"/>
    <w:rsid w:val="00AB7CFA"/>
    <w:rsid w:val="00AC04FE"/>
    <w:rsid w:val="00AC081E"/>
    <w:rsid w:val="00AD084D"/>
    <w:rsid w:val="00AD1DC6"/>
    <w:rsid w:val="00AD1F73"/>
    <w:rsid w:val="00AD23C2"/>
    <w:rsid w:val="00AD4086"/>
    <w:rsid w:val="00AE729B"/>
    <w:rsid w:val="00AF0134"/>
    <w:rsid w:val="00AF4B35"/>
    <w:rsid w:val="00B014B4"/>
    <w:rsid w:val="00B05701"/>
    <w:rsid w:val="00B060B5"/>
    <w:rsid w:val="00B1070E"/>
    <w:rsid w:val="00B1139A"/>
    <w:rsid w:val="00B12AA3"/>
    <w:rsid w:val="00B134C0"/>
    <w:rsid w:val="00B151DE"/>
    <w:rsid w:val="00B15D98"/>
    <w:rsid w:val="00B21DBD"/>
    <w:rsid w:val="00B24DEF"/>
    <w:rsid w:val="00B26CB4"/>
    <w:rsid w:val="00B26F18"/>
    <w:rsid w:val="00B31E33"/>
    <w:rsid w:val="00B33714"/>
    <w:rsid w:val="00B37BE6"/>
    <w:rsid w:val="00B424CA"/>
    <w:rsid w:val="00B42851"/>
    <w:rsid w:val="00B42960"/>
    <w:rsid w:val="00B43E0D"/>
    <w:rsid w:val="00B4465D"/>
    <w:rsid w:val="00B44B86"/>
    <w:rsid w:val="00B45BA1"/>
    <w:rsid w:val="00B465F8"/>
    <w:rsid w:val="00B46C8F"/>
    <w:rsid w:val="00B5028F"/>
    <w:rsid w:val="00B50DB8"/>
    <w:rsid w:val="00B53905"/>
    <w:rsid w:val="00B54B5B"/>
    <w:rsid w:val="00B5535E"/>
    <w:rsid w:val="00B5562E"/>
    <w:rsid w:val="00B56999"/>
    <w:rsid w:val="00B57000"/>
    <w:rsid w:val="00B600F1"/>
    <w:rsid w:val="00B60939"/>
    <w:rsid w:val="00B60AFD"/>
    <w:rsid w:val="00B62715"/>
    <w:rsid w:val="00B63789"/>
    <w:rsid w:val="00B640F6"/>
    <w:rsid w:val="00B64EA0"/>
    <w:rsid w:val="00B666C0"/>
    <w:rsid w:val="00B730BA"/>
    <w:rsid w:val="00B73289"/>
    <w:rsid w:val="00B7523E"/>
    <w:rsid w:val="00B818A4"/>
    <w:rsid w:val="00B8375D"/>
    <w:rsid w:val="00B84316"/>
    <w:rsid w:val="00B854BB"/>
    <w:rsid w:val="00B8556E"/>
    <w:rsid w:val="00B86230"/>
    <w:rsid w:val="00B8649C"/>
    <w:rsid w:val="00B87FAB"/>
    <w:rsid w:val="00B901C6"/>
    <w:rsid w:val="00B9123F"/>
    <w:rsid w:val="00B919C0"/>
    <w:rsid w:val="00B92D0B"/>
    <w:rsid w:val="00B93E10"/>
    <w:rsid w:val="00B94945"/>
    <w:rsid w:val="00BA0F58"/>
    <w:rsid w:val="00BA1011"/>
    <w:rsid w:val="00BA258E"/>
    <w:rsid w:val="00BB1851"/>
    <w:rsid w:val="00BB1A9E"/>
    <w:rsid w:val="00BB31AD"/>
    <w:rsid w:val="00BB3586"/>
    <w:rsid w:val="00BB42C3"/>
    <w:rsid w:val="00BB6CE7"/>
    <w:rsid w:val="00BB6DDF"/>
    <w:rsid w:val="00BB7405"/>
    <w:rsid w:val="00BC2384"/>
    <w:rsid w:val="00BC23B5"/>
    <w:rsid w:val="00BC2461"/>
    <w:rsid w:val="00BC6E1A"/>
    <w:rsid w:val="00BD0596"/>
    <w:rsid w:val="00BD192B"/>
    <w:rsid w:val="00BD3448"/>
    <w:rsid w:val="00BD3D75"/>
    <w:rsid w:val="00BD4512"/>
    <w:rsid w:val="00BD5EB8"/>
    <w:rsid w:val="00BD6CF3"/>
    <w:rsid w:val="00BE0E11"/>
    <w:rsid w:val="00BE1E9C"/>
    <w:rsid w:val="00BE2180"/>
    <w:rsid w:val="00BE4275"/>
    <w:rsid w:val="00BE4D33"/>
    <w:rsid w:val="00BE5EFF"/>
    <w:rsid w:val="00BF1A26"/>
    <w:rsid w:val="00BF2433"/>
    <w:rsid w:val="00BF2BED"/>
    <w:rsid w:val="00BF4A83"/>
    <w:rsid w:val="00BF61C9"/>
    <w:rsid w:val="00C01802"/>
    <w:rsid w:val="00C027CC"/>
    <w:rsid w:val="00C04644"/>
    <w:rsid w:val="00C05CA3"/>
    <w:rsid w:val="00C063A5"/>
    <w:rsid w:val="00C06480"/>
    <w:rsid w:val="00C1210C"/>
    <w:rsid w:val="00C12CEF"/>
    <w:rsid w:val="00C13489"/>
    <w:rsid w:val="00C13AD7"/>
    <w:rsid w:val="00C174E2"/>
    <w:rsid w:val="00C179A2"/>
    <w:rsid w:val="00C208CF"/>
    <w:rsid w:val="00C21547"/>
    <w:rsid w:val="00C21AE3"/>
    <w:rsid w:val="00C24877"/>
    <w:rsid w:val="00C25418"/>
    <w:rsid w:val="00C25D9C"/>
    <w:rsid w:val="00C27A71"/>
    <w:rsid w:val="00C31649"/>
    <w:rsid w:val="00C31854"/>
    <w:rsid w:val="00C31B81"/>
    <w:rsid w:val="00C33357"/>
    <w:rsid w:val="00C33470"/>
    <w:rsid w:val="00C346B0"/>
    <w:rsid w:val="00C354B2"/>
    <w:rsid w:val="00C379BA"/>
    <w:rsid w:val="00C40385"/>
    <w:rsid w:val="00C42BD1"/>
    <w:rsid w:val="00C42C9C"/>
    <w:rsid w:val="00C43890"/>
    <w:rsid w:val="00C44344"/>
    <w:rsid w:val="00C46309"/>
    <w:rsid w:val="00C46B11"/>
    <w:rsid w:val="00C50EE8"/>
    <w:rsid w:val="00C51D3C"/>
    <w:rsid w:val="00C52495"/>
    <w:rsid w:val="00C563A7"/>
    <w:rsid w:val="00C60842"/>
    <w:rsid w:val="00C609B5"/>
    <w:rsid w:val="00C625BB"/>
    <w:rsid w:val="00C64875"/>
    <w:rsid w:val="00C6535E"/>
    <w:rsid w:val="00C65576"/>
    <w:rsid w:val="00C65755"/>
    <w:rsid w:val="00C65B08"/>
    <w:rsid w:val="00C65C99"/>
    <w:rsid w:val="00C66165"/>
    <w:rsid w:val="00C70581"/>
    <w:rsid w:val="00C71D95"/>
    <w:rsid w:val="00C71E27"/>
    <w:rsid w:val="00C7298B"/>
    <w:rsid w:val="00C72E10"/>
    <w:rsid w:val="00C73BFE"/>
    <w:rsid w:val="00C73EA9"/>
    <w:rsid w:val="00C750C8"/>
    <w:rsid w:val="00C803CD"/>
    <w:rsid w:val="00C8213F"/>
    <w:rsid w:val="00C82E94"/>
    <w:rsid w:val="00C864FF"/>
    <w:rsid w:val="00C8797A"/>
    <w:rsid w:val="00C91EFA"/>
    <w:rsid w:val="00C92630"/>
    <w:rsid w:val="00C92B08"/>
    <w:rsid w:val="00C92F2F"/>
    <w:rsid w:val="00C938CF"/>
    <w:rsid w:val="00C97886"/>
    <w:rsid w:val="00C97A8C"/>
    <w:rsid w:val="00CA0E41"/>
    <w:rsid w:val="00CA13B1"/>
    <w:rsid w:val="00CA2A28"/>
    <w:rsid w:val="00CA5245"/>
    <w:rsid w:val="00CA52B8"/>
    <w:rsid w:val="00CA7177"/>
    <w:rsid w:val="00CA77B6"/>
    <w:rsid w:val="00CA7B09"/>
    <w:rsid w:val="00CB0C0E"/>
    <w:rsid w:val="00CB1597"/>
    <w:rsid w:val="00CB1A50"/>
    <w:rsid w:val="00CB1D1A"/>
    <w:rsid w:val="00CB5618"/>
    <w:rsid w:val="00CB59B3"/>
    <w:rsid w:val="00CB5B1A"/>
    <w:rsid w:val="00CC145D"/>
    <w:rsid w:val="00CC1765"/>
    <w:rsid w:val="00CC40AF"/>
    <w:rsid w:val="00CC4A08"/>
    <w:rsid w:val="00CC66A2"/>
    <w:rsid w:val="00CC7D58"/>
    <w:rsid w:val="00CC7E3C"/>
    <w:rsid w:val="00CD5BA0"/>
    <w:rsid w:val="00CD6ADC"/>
    <w:rsid w:val="00CD7164"/>
    <w:rsid w:val="00CE0A4E"/>
    <w:rsid w:val="00CE3CA0"/>
    <w:rsid w:val="00CE3F67"/>
    <w:rsid w:val="00CE421E"/>
    <w:rsid w:val="00CE4FA7"/>
    <w:rsid w:val="00CE53CE"/>
    <w:rsid w:val="00CE583F"/>
    <w:rsid w:val="00CE6274"/>
    <w:rsid w:val="00CF456B"/>
    <w:rsid w:val="00CF5A22"/>
    <w:rsid w:val="00CF5C58"/>
    <w:rsid w:val="00CF77C3"/>
    <w:rsid w:val="00D00746"/>
    <w:rsid w:val="00D021F8"/>
    <w:rsid w:val="00D0262E"/>
    <w:rsid w:val="00D036E0"/>
    <w:rsid w:val="00D04BF5"/>
    <w:rsid w:val="00D053AE"/>
    <w:rsid w:val="00D068A8"/>
    <w:rsid w:val="00D110BD"/>
    <w:rsid w:val="00D11E32"/>
    <w:rsid w:val="00D12407"/>
    <w:rsid w:val="00D1357E"/>
    <w:rsid w:val="00D14711"/>
    <w:rsid w:val="00D1705A"/>
    <w:rsid w:val="00D17D6C"/>
    <w:rsid w:val="00D20F33"/>
    <w:rsid w:val="00D226DF"/>
    <w:rsid w:val="00D23D40"/>
    <w:rsid w:val="00D270BE"/>
    <w:rsid w:val="00D270D9"/>
    <w:rsid w:val="00D30AAC"/>
    <w:rsid w:val="00D3298F"/>
    <w:rsid w:val="00D357FF"/>
    <w:rsid w:val="00D40448"/>
    <w:rsid w:val="00D408FC"/>
    <w:rsid w:val="00D427B5"/>
    <w:rsid w:val="00D42953"/>
    <w:rsid w:val="00D4326B"/>
    <w:rsid w:val="00D43567"/>
    <w:rsid w:val="00D43EAB"/>
    <w:rsid w:val="00D44301"/>
    <w:rsid w:val="00D44812"/>
    <w:rsid w:val="00D455A7"/>
    <w:rsid w:val="00D51552"/>
    <w:rsid w:val="00D52F53"/>
    <w:rsid w:val="00D60417"/>
    <w:rsid w:val="00D62AA9"/>
    <w:rsid w:val="00D64974"/>
    <w:rsid w:val="00D64E7B"/>
    <w:rsid w:val="00D652A9"/>
    <w:rsid w:val="00D658F9"/>
    <w:rsid w:val="00D65C40"/>
    <w:rsid w:val="00D66CFA"/>
    <w:rsid w:val="00D67C8C"/>
    <w:rsid w:val="00D67F6F"/>
    <w:rsid w:val="00D74ABB"/>
    <w:rsid w:val="00D76A44"/>
    <w:rsid w:val="00D813DC"/>
    <w:rsid w:val="00D81872"/>
    <w:rsid w:val="00D90FBD"/>
    <w:rsid w:val="00D92C15"/>
    <w:rsid w:val="00D93753"/>
    <w:rsid w:val="00D94EE3"/>
    <w:rsid w:val="00D97E30"/>
    <w:rsid w:val="00DA5A89"/>
    <w:rsid w:val="00DA77A5"/>
    <w:rsid w:val="00DB16C0"/>
    <w:rsid w:val="00DB16F7"/>
    <w:rsid w:val="00DB520A"/>
    <w:rsid w:val="00DB5363"/>
    <w:rsid w:val="00DB5CA7"/>
    <w:rsid w:val="00DB6BDC"/>
    <w:rsid w:val="00DC45D3"/>
    <w:rsid w:val="00DC5501"/>
    <w:rsid w:val="00DC62A0"/>
    <w:rsid w:val="00DD0BA3"/>
    <w:rsid w:val="00DD157C"/>
    <w:rsid w:val="00DD3B9B"/>
    <w:rsid w:val="00DD3F28"/>
    <w:rsid w:val="00DD4537"/>
    <w:rsid w:val="00DD4E15"/>
    <w:rsid w:val="00DD5C8B"/>
    <w:rsid w:val="00DE19CE"/>
    <w:rsid w:val="00DE2AB0"/>
    <w:rsid w:val="00DE4A44"/>
    <w:rsid w:val="00DE4FCB"/>
    <w:rsid w:val="00DE5477"/>
    <w:rsid w:val="00DE6EB4"/>
    <w:rsid w:val="00DE7BC0"/>
    <w:rsid w:val="00DF2139"/>
    <w:rsid w:val="00DF3B7D"/>
    <w:rsid w:val="00DF3CD8"/>
    <w:rsid w:val="00DF454E"/>
    <w:rsid w:val="00DF57F9"/>
    <w:rsid w:val="00DF5D2B"/>
    <w:rsid w:val="00DF5E57"/>
    <w:rsid w:val="00DF661C"/>
    <w:rsid w:val="00E020A3"/>
    <w:rsid w:val="00E020E7"/>
    <w:rsid w:val="00E0380F"/>
    <w:rsid w:val="00E0386F"/>
    <w:rsid w:val="00E05A4A"/>
    <w:rsid w:val="00E0629C"/>
    <w:rsid w:val="00E10149"/>
    <w:rsid w:val="00E11107"/>
    <w:rsid w:val="00E161A7"/>
    <w:rsid w:val="00E16372"/>
    <w:rsid w:val="00E17258"/>
    <w:rsid w:val="00E17AD6"/>
    <w:rsid w:val="00E20BA2"/>
    <w:rsid w:val="00E20CDD"/>
    <w:rsid w:val="00E20ED6"/>
    <w:rsid w:val="00E21358"/>
    <w:rsid w:val="00E2249B"/>
    <w:rsid w:val="00E22A0D"/>
    <w:rsid w:val="00E23754"/>
    <w:rsid w:val="00E23AA6"/>
    <w:rsid w:val="00E23EEC"/>
    <w:rsid w:val="00E24462"/>
    <w:rsid w:val="00E26732"/>
    <w:rsid w:val="00E26A8F"/>
    <w:rsid w:val="00E26B18"/>
    <w:rsid w:val="00E2771E"/>
    <w:rsid w:val="00E316A9"/>
    <w:rsid w:val="00E324B2"/>
    <w:rsid w:val="00E36660"/>
    <w:rsid w:val="00E37249"/>
    <w:rsid w:val="00E37569"/>
    <w:rsid w:val="00E41E30"/>
    <w:rsid w:val="00E427B4"/>
    <w:rsid w:val="00E428CA"/>
    <w:rsid w:val="00E43AE8"/>
    <w:rsid w:val="00E43D70"/>
    <w:rsid w:val="00E47B2C"/>
    <w:rsid w:val="00E51560"/>
    <w:rsid w:val="00E51D9F"/>
    <w:rsid w:val="00E51F3C"/>
    <w:rsid w:val="00E526EA"/>
    <w:rsid w:val="00E5447C"/>
    <w:rsid w:val="00E54C92"/>
    <w:rsid w:val="00E55424"/>
    <w:rsid w:val="00E5576B"/>
    <w:rsid w:val="00E55BB5"/>
    <w:rsid w:val="00E56B1D"/>
    <w:rsid w:val="00E57176"/>
    <w:rsid w:val="00E575B3"/>
    <w:rsid w:val="00E60F5A"/>
    <w:rsid w:val="00E62EF4"/>
    <w:rsid w:val="00E65E79"/>
    <w:rsid w:val="00E67416"/>
    <w:rsid w:val="00E67B27"/>
    <w:rsid w:val="00E67B81"/>
    <w:rsid w:val="00E67FA8"/>
    <w:rsid w:val="00E718B6"/>
    <w:rsid w:val="00E73581"/>
    <w:rsid w:val="00E7412D"/>
    <w:rsid w:val="00E75032"/>
    <w:rsid w:val="00E75493"/>
    <w:rsid w:val="00E77861"/>
    <w:rsid w:val="00E81789"/>
    <w:rsid w:val="00E83BDF"/>
    <w:rsid w:val="00E86531"/>
    <w:rsid w:val="00E91F5A"/>
    <w:rsid w:val="00E9366A"/>
    <w:rsid w:val="00E9515B"/>
    <w:rsid w:val="00E959F1"/>
    <w:rsid w:val="00E95A87"/>
    <w:rsid w:val="00E96A0C"/>
    <w:rsid w:val="00E97A2F"/>
    <w:rsid w:val="00EA0503"/>
    <w:rsid w:val="00EA0E73"/>
    <w:rsid w:val="00EA17AB"/>
    <w:rsid w:val="00EA228D"/>
    <w:rsid w:val="00EA3641"/>
    <w:rsid w:val="00EA3864"/>
    <w:rsid w:val="00EA44D0"/>
    <w:rsid w:val="00EA4EC3"/>
    <w:rsid w:val="00EA575E"/>
    <w:rsid w:val="00EA7A3F"/>
    <w:rsid w:val="00EB03A5"/>
    <w:rsid w:val="00EB15B6"/>
    <w:rsid w:val="00EB3B86"/>
    <w:rsid w:val="00EB4916"/>
    <w:rsid w:val="00EB4D2B"/>
    <w:rsid w:val="00EB5643"/>
    <w:rsid w:val="00EB6A11"/>
    <w:rsid w:val="00EC00C9"/>
    <w:rsid w:val="00EC3380"/>
    <w:rsid w:val="00ED3E07"/>
    <w:rsid w:val="00ED6C4A"/>
    <w:rsid w:val="00EE005B"/>
    <w:rsid w:val="00EE0506"/>
    <w:rsid w:val="00EE07D3"/>
    <w:rsid w:val="00EE0BFC"/>
    <w:rsid w:val="00EE3570"/>
    <w:rsid w:val="00EE6C47"/>
    <w:rsid w:val="00EE7975"/>
    <w:rsid w:val="00EF3A03"/>
    <w:rsid w:val="00EF6420"/>
    <w:rsid w:val="00EF735C"/>
    <w:rsid w:val="00F00570"/>
    <w:rsid w:val="00F0467C"/>
    <w:rsid w:val="00F04F81"/>
    <w:rsid w:val="00F067A2"/>
    <w:rsid w:val="00F12DA4"/>
    <w:rsid w:val="00F1325C"/>
    <w:rsid w:val="00F14F1D"/>
    <w:rsid w:val="00F16D9E"/>
    <w:rsid w:val="00F20A42"/>
    <w:rsid w:val="00F244DB"/>
    <w:rsid w:val="00F24837"/>
    <w:rsid w:val="00F256A0"/>
    <w:rsid w:val="00F2575F"/>
    <w:rsid w:val="00F25C6A"/>
    <w:rsid w:val="00F31F81"/>
    <w:rsid w:val="00F33DE9"/>
    <w:rsid w:val="00F3406F"/>
    <w:rsid w:val="00F35FE0"/>
    <w:rsid w:val="00F3619A"/>
    <w:rsid w:val="00F3761F"/>
    <w:rsid w:val="00F3767F"/>
    <w:rsid w:val="00F436E9"/>
    <w:rsid w:val="00F43F0C"/>
    <w:rsid w:val="00F44D42"/>
    <w:rsid w:val="00F46CB6"/>
    <w:rsid w:val="00F47CFA"/>
    <w:rsid w:val="00F55E73"/>
    <w:rsid w:val="00F5663B"/>
    <w:rsid w:val="00F60092"/>
    <w:rsid w:val="00F6149F"/>
    <w:rsid w:val="00F623A6"/>
    <w:rsid w:val="00F639CB"/>
    <w:rsid w:val="00F64145"/>
    <w:rsid w:val="00F643E9"/>
    <w:rsid w:val="00F64505"/>
    <w:rsid w:val="00F65F2A"/>
    <w:rsid w:val="00F70D63"/>
    <w:rsid w:val="00F7270B"/>
    <w:rsid w:val="00F739AC"/>
    <w:rsid w:val="00F747B9"/>
    <w:rsid w:val="00F76C75"/>
    <w:rsid w:val="00F80E5D"/>
    <w:rsid w:val="00F83EC9"/>
    <w:rsid w:val="00F84A5C"/>
    <w:rsid w:val="00F851CE"/>
    <w:rsid w:val="00F85743"/>
    <w:rsid w:val="00F86C52"/>
    <w:rsid w:val="00F87225"/>
    <w:rsid w:val="00F90385"/>
    <w:rsid w:val="00F949F6"/>
    <w:rsid w:val="00F95F62"/>
    <w:rsid w:val="00F97A78"/>
    <w:rsid w:val="00FA23AB"/>
    <w:rsid w:val="00FA24E7"/>
    <w:rsid w:val="00FA2D32"/>
    <w:rsid w:val="00FA3600"/>
    <w:rsid w:val="00FA44AC"/>
    <w:rsid w:val="00FA667D"/>
    <w:rsid w:val="00FA6B8D"/>
    <w:rsid w:val="00FB0174"/>
    <w:rsid w:val="00FB1E51"/>
    <w:rsid w:val="00FB2B26"/>
    <w:rsid w:val="00FB2FCB"/>
    <w:rsid w:val="00FB3522"/>
    <w:rsid w:val="00FB3573"/>
    <w:rsid w:val="00FB414B"/>
    <w:rsid w:val="00FB4509"/>
    <w:rsid w:val="00FB4EF5"/>
    <w:rsid w:val="00FB52CB"/>
    <w:rsid w:val="00FB733D"/>
    <w:rsid w:val="00FC1074"/>
    <w:rsid w:val="00FC14F1"/>
    <w:rsid w:val="00FC1884"/>
    <w:rsid w:val="00FC417E"/>
    <w:rsid w:val="00FC4D0B"/>
    <w:rsid w:val="00FD0FF5"/>
    <w:rsid w:val="00FD1200"/>
    <w:rsid w:val="00FD1A32"/>
    <w:rsid w:val="00FD2100"/>
    <w:rsid w:val="00FD3926"/>
    <w:rsid w:val="00FD446D"/>
    <w:rsid w:val="00FD4D63"/>
    <w:rsid w:val="00FD67EE"/>
    <w:rsid w:val="00FD7323"/>
    <w:rsid w:val="00FE0013"/>
    <w:rsid w:val="00FE26B7"/>
    <w:rsid w:val="00FE2B47"/>
    <w:rsid w:val="00FE36F7"/>
    <w:rsid w:val="00FE40DA"/>
    <w:rsid w:val="00FE5BF4"/>
    <w:rsid w:val="00FE7B15"/>
    <w:rsid w:val="00FE7FB4"/>
    <w:rsid w:val="00FF107E"/>
    <w:rsid w:val="00FF19FD"/>
    <w:rsid w:val="00FF1B98"/>
    <w:rsid w:val="00FF3DCF"/>
    <w:rsid w:val="00FF5AA3"/>
    <w:rsid w:val="00FF7A18"/>
    <w:rsid w:val="00FF7B0E"/>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table of figures"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20" w:unhideWhenUsed="0" w:qFormat="1"/>
    <w:lsdException w:name="Normal (Web)" w:uiPriority="99"/>
    <w:lsdException w:name="HTML Cite"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PRIMA,Caption Char2 Char,Caption Char Char Char2,Caption Char1 Char Char Char1,Caption Char2 Char Char Char1 Char1,Caption Char Char1 Char Char Char1 Char1,Caption Char1 Char Char Char Char Char Char,Caption Char2,Caption Char1,c"/>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Caption PRIMA Char,Caption Char2 Char Char,Caption Char Char Char2 Char,Caption Char1 Char Char Char1 Char,Caption Char2 Char Char Char1 Char1 Char,Caption Char Char1 Char Char Char1 Char1 Char,Caption Char2 Char1,Caption Char1 Char,c Char"/>
    <w:link w:val="Caption"/>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aliases w:val="Footnote Text Char1,Footnote Text Char Char,Footnote Text Char2,Footnote Text Char Char1"/>
    <w:basedOn w:val="Normal"/>
    <w:link w:val="FootnoteTextChar"/>
    <w:unhideWhenUsed/>
    <w:rsid w:val="00B4465D"/>
    <w:rPr>
      <w:sz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B4465D"/>
    <w:rPr>
      <w:rFonts w:ascii="Arial" w:hAnsi="Arial" w:cs="Arial"/>
      <w:snapToGrid w:val="0"/>
      <w:lang w:eastAsia="en-US"/>
    </w:rPr>
  </w:style>
  <w:style w:type="character" w:styleId="FootnoteReference">
    <w:name w:val="footnote reference"/>
    <w:basedOn w:val="DefaultParagraphFont"/>
    <w:unhideWhenUsed/>
    <w:rsid w:val="00B4465D"/>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4465D"/>
    <w:pPr>
      <w:widowControl/>
      <w:spacing w:after="160" w:line="240" w:lineRule="exact"/>
      <w:jc w:val="left"/>
    </w:pPr>
    <w:rPr>
      <w:rFonts w:ascii="Verdana" w:eastAsia="MS Mincho" w:hAnsi="Verdana" w:cs="Verdana"/>
      <w:snapToGrid/>
      <w:sz w:val="20"/>
      <w:lang w:val="en-US"/>
    </w:rPr>
  </w:style>
  <w:style w:type="paragraph" w:customStyle="1" w:styleId="Tableorfigurefootnote">
    <w:name w:val="Table or figure footnote"/>
    <w:next w:val="BodyText"/>
    <w:rsid w:val="00014363"/>
    <w:rPr>
      <w:rFonts w:ascii="Arial" w:hAnsi="Arial"/>
      <w:sz w:val="18"/>
      <w:szCs w:val="22"/>
      <w:lang w:eastAsia="en-GB"/>
    </w:rPr>
  </w:style>
  <w:style w:type="character" w:customStyle="1" w:styleId="A9">
    <w:name w:val="A9"/>
    <w:uiPriority w:val="99"/>
    <w:rsid w:val="00ED3E07"/>
    <w:rPr>
      <w:rFonts w:cs="TimesNewRomanPS"/>
      <w:color w:val="221E1F"/>
      <w:sz w:val="11"/>
      <w:szCs w:val="11"/>
    </w:rPr>
  </w:style>
  <w:style w:type="paragraph" w:customStyle="1" w:styleId="Default">
    <w:name w:val="Default"/>
    <w:rsid w:val="000D6D0E"/>
    <w:pPr>
      <w:autoSpaceDE w:val="0"/>
      <w:autoSpaceDN w:val="0"/>
      <w:adjustRightInd w:val="0"/>
    </w:pPr>
    <w:rPr>
      <w:rFonts w:ascii="Times" w:hAnsi="Times" w:cs="Times"/>
      <w:color w:val="000000"/>
      <w:sz w:val="24"/>
      <w:szCs w:val="24"/>
    </w:rPr>
  </w:style>
  <w:style w:type="paragraph" w:customStyle="1" w:styleId="Pa3">
    <w:name w:val="Pa3"/>
    <w:basedOn w:val="Default"/>
    <w:next w:val="Default"/>
    <w:uiPriority w:val="99"/>
    <w:rsid w:val="000D6D0E"/>
    <w:pPr>
      <w:spacing w:line="191" w:lineRule="atLeast"/>
    </w:pPr>
    <w:rPr>
      <w:color w:val="auto"/>
    </w:rPr>
  </w:style>
  <w:style w:type="paragraph" w:customStyle="1" w:styleId="TableHeaderRow">
    <w:name w:val="Table Header Row"/>
    <w:qFormat/>
    <w:rsid w:val="000726B3"/>
    <w:pPr>
      <w:keepNext/>
      <w:spacing w:before="60" w:after="60"/>
      <w:jc w:val="center"/>
    </w:pPr>
    <w:rPr>
      <w:rFonts w:ascii="Arial" w:hAnsi="Arial"/>
      <w:b/>
      <w:sz w:val="22"/>
      <w:szCs w:val="24"/>
      <w:lang w:eastAsia="en-GB"/>
    </w:rPr>
  </w:style>
  <w:style w:type="character" w:styleId="Emphasis">
    <w:name w:val="Emphasis"/>
    <w:basedOn w:val="DefaultParagraphFont"/>
    <w:uiPriority w:val="20"/>
    <w:qFormat/>
    <w:rsid w:val="00370E81"/>
    <w:rPr>
      <w:i/>
      <w:iCs/>
    </w:rPr>
  </w:style>
  <w:style w:type="character" w:styleId="HTMLCite">
    <w:name w:val="HTML Cite"/>
    <w:basedOn w:val="DefaultParagraphFont"/>
    <w:uiPriority w:val="99"/>
    <w:semiHidden/>
    <w:unhideWhenUsed/>
    <w:rsid w:val="004E7097"/>
    <w:rPr>
      <w:i/>
      <w:iCs/>
    </w:rPr>
  </w:style>
  <w:style w:type="paragraph" w:customStyle="1" w:styleId="Source">
    <w:name w:val="Source"/>
    <w:basedOn w:val="Normal"/>
    <w:link w:val="SourceChar1"/>
    <w:rsid w:val="00124DF0"/>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character" w:customStyle="1" w:styleId="SourceChar1">
    <w:name w:val="Source Char1"/>
    <w:link w:val="Source"/>
    <w:rsid w:val="00124DF0"/>
    <w:rPr>
      <w:rFonts w:eastAsia="SimSun"/>
      <w:sz w:val="18"/>
      <w:szCs w:val="18"/>
      <w:lang w:eastAsia="en-US"/>
    </w:rPr>
  </w:style>
  <w:style w:type="paragraph" w:customStyle="1" w:styleId="TableA10">
    <w:name w:val="Table A10"/>
    <w:basedOn w:val="Normal"/>
    <w:link w:val="TableA10Char"/>
    <w:qFormat/>
    <w:rsid w:val="00124DF0"/>
    <w:pPr>
      <w:widowControl/>
      <w:jc w:val="left"/>
    </w:pPr>
    <w:rPr>
      <w:rFonts w:eastAsia="SimSun" w:cs="Times New Roman"/>
      <w:snapToGrid/>
      <w:sz w:val="20"/>
      <w:szCs w:val="24"/>
    </w:rPr>
  </w:style>
  <w:style w:type="character" w:customStyle="1" w:styleId="TableA10Char">
    <w:name w:val="Table A10 Char"/>
    <w:link w:val="TableA10"/>
    <w:rsid w:val="00124DF0"/>
    <w:rPr>
      <w:rFonts w:ascii="Arial" w:eastAsia="SimSun" w:hAnsi="Arial"/>
      <w:szCs w:val="24"/>
      <w:lang w:eastAsia="en-US"/>
    </w:rPr>
  </w:style>
  <w:style w:type="character" w:styleId="PageNumber">
    <w:name w:val="page number"/>
    <w:basedOn w:val="DefaultParagraphFont"/>
    <w:semiHidden/>
    <w:rsid w:val="00261467"/>
    <w:rPr>
      <w:rFonts w:ascii="Garamond" w:hAnsi="Garamond"/>
      <w:b/>
      <w:sz w:val="22"/>
    </w:rPr>
  </w:style>
  <w:style w:type="character" w:customStyle="1" w:styleId="Heading1Char">
    <w:name w:val="Heading 1 Char"/>
    <w:basedOn w:val="DefaultParagraphFont"/>
    <w:link w:val="Heading1"/>
    <w:uiPriority w:val="1"/>
    <w:rsid w:val="00270DDD"/>
    <w:rPr>
      <w:rFonts w:ascii="Arial Bold" w:hAnsi="Arial Bold" w:cs="Arial"/>
      <w:b/>
      <w:caps/>
      <w:snapToGrid w:val="0"/>
      <w:sz w:val="22"/>
      <w:lang w:eastAsia="en-US"/>
    </w:rPr>
  </w:style>
  <w:style w:type="paragraph" w:customStyle="1" w:styleId="TableText1">
    <w:name w:val="Table Text"/>
    <w:basedOn w:val="Normal"/>
    <w:qFormat/>
    <w:rsid w:val="00C92F2F"/>
    <w:pPr>
      <w:keepNext/>
      <w:widowControl/>
      <w:spacing w:before="40" w:after="40"/>
      <w:jc w:val="left"/>
    </w:pPr>
    <w:rPr>
      <w:rFonts w:eastAsia="SimSun" w:cs="Arial Narrow"/>
      <w:snapToGrid/>
      <w:sz w:val="20"/>
    </w:rPr>
  </w:style>
  <w:style w:type="character" w:styleId="FollowedHyperlink">
    <w:name w:val="FollowedHyperlink"/>
    <w:basedOn w:val="DefaultParagraphFont"/>
    <w:semiHidden/>
    <w:unhideWhenUsed/>
    <w:rsid w:val="007F38F3"/>
    <w:rPr>
      <w:color w:val="800080" w:themeColor="followedHyperlink"/>
      <w:u w:val="single"/>
    </w:rPr>
  </w:style>
  <w:style w:type="paragraph" w:styleId="TableofFigures">
    <w:name w:val="table of figures"/>
    <w:next w:val="BodyText"/>
    <w:link w:val="TableofFiguresChar"/>
    <w:uiPriority w:val="99"/>
    <w:unhideWhenUsed/>
    <w:rsid w:val="007F38F3"/>
    <w:rPr>
      <w:rFonts w:ascii="Arial" w:hAnsi="Arial"/>
      <w:iCs/>
      <w:lang w:eastAsia="en-GB"/>
    </w:rPr>
  </w:style>
  <w:style w:type="character" w:customStyle="1" w:styleId="TableofFiguresChar">
    <w:name w:val="Table of Figures Char"/>
    <w:basedOn w:val="DefaultParagraphFont"/>
    <w:link w:val="TableofFigures"/>
    <w:uiPriority w:val="99"/>
    <w:rsid w:val="007F38F3"/>
    <w:rPr>
      <w:rFonts w:ascii="Arial" w:hAnsi="Arial"/>
      <w:iCs/>
      <w:lang w:eastAsia="en-GB"/>
    </w:rPr>
  </w:style>
  <w:style w:type="character" w:customStyle="1" w:styleId="st">
    <w:name w:val="st"/>
    <w:basedOn w:val="DefaultParagraphFont"/>
    <w:rsid w:val="007F38F3"/>
  </w:style>
  <w:style w:type="paragraph" w:customStyle="1" w:styleId="PBACheading10">
    <w:name w:val="PBAC heading 1"/>
    <w:qFormat/>
    <w:rsid w:val="00E20CDD"/>
    <w:pPr>
      <w:ind w:left="720" w:hanging="720"/>
    </w:pPr>
    <w:rPr>
      <w:rFonts w:ascii="Arial" w:hAnsi="Arial" w:cs="Arial"/>
      <w:snapToGrid w:val="0"/>
      <w:sz w:val="22"/>
      <w:szCs w:val="22"/>
      <w:lang w:eastAsia="en-US"/>
    </w:rPr>
  </w:style>
  <w:style w:type="table" w:customStyle="1" w:styleId="TableGrid7">
    <w:name w:val="Table Grid7"/>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270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C12CEF"/>
    <w:pPr>
      <w:jc w:val="center"/>
    </w:pPr>
    <w:rPr>
      <w:noProof/>
      <w:lang w:val="en-US"/>
    </w:rPr>
  </w:style>
  <w:style w:type="character" w:customStyle="1" w:styleId="EndNoteBibliographyTitleChar">
    <w:name w:val="EndNote Bibliography Title Char"/>
    <w:basedOn w:val="DefaultParagraphFont"/>
    <w:link w:val="EndNoteBibliographyTitle"/>
    <w:rsid w:val="00C12CEF"/>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C12CEF"/>
    <w:rPr>
      <w:noProof/>
      <w:lang w:val="en-US"/>
    </w:rPr>
  </w:style>
  <w:style w:type="character" w:customStyle="1" w:styleId="EndNoteBibliographyChar">
    <w:name w:val="EndNote Bibliography Char"/>
    <w:basedOn w:val="DefaultParagraphFont"/>
    <w:link w:val="EndNoteBibliography"/>
    <w:rsid w:val="00C12CEF"/>
    <w:rPr>
      <w:rFonts w:ascii="Arial" w:hAnsi="Arial" w:cs="Arial"/>
      <w:noProof/>
      <w:snapToGrid w:val="0"/>
      <w:sz w:val="22"/>
      <w:lang w:val="en-US" w:eastAsia="en-US"/>
    </w:rPr>
  </w:style>
  <w:style w:type="character" w:customStyle="1" w:styleId="ListParagraphChar">
    <w:name w:val="List Paragraph Char"/>
    <w:link w:val="ListParagraph"/>
    <w:uiPriority w:val="34"/>
    <w:rsid w:val="00B9123F"/>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table of figures"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20" w:unhideWhenUsed="0" w:qFormat="1"/>
    <w:lsdException w:name="Normal (Web)" w:uiPriority="99"/>
    <w:lsdException w:name="HTML Cite"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PRIMA,Caption Char2 Char,Caption Char Char Char2,Caption Char1 Char Char Char1,Caption Char2 Char Char Char1 Char1,Caption Char Char1 Char Char Char1 Char1,Caption Char1 Char Char Char Char Char Char,Caption Char2,Caption Char1,c"/>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Caption PRIMA Char,Caption Char2 Char Char,Caption Char Char Char2 Char,Caption Char1 Char Char Char1 Char,Caption Char2 Char Char Char1 Char1 Char,Caption Char Char1 Char Char Char1 Char1 Char,Caption Char2 Char1,Caption Char1 Char,c Char"/>
    <w:link w:val="Caption"/>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aliases w:val="Footnote Text Char1,Footnote Text Char Char,Footnote Text Char2,Footnote Text Char Char1"/>
    <w:basedOn w:val="Normal"/>
    <w:link w:val="FootnoteTextChar"/>
    <w:unhideWhenUsed/>
    <w:rsid w:val="00B4465D"/>
    <w:rPr>
      <w:sz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B4465D"/>
    <w:rPr>
      <w:rFonts w:ascii="Arial" w:hAnsi="Arial" w:cs="Arial"/>
      <w:snapToGrid w:val="0"/>
      <w:lang w:eastAsia="en-US"/>
    </w:rPr>
  </w:style>
  <w:style w:type="character" w:styleId="FootnoteReference">
    <w:name w:val="footnote reference"/>
    <w:basedOn w:val="DefaultParagraphFont"/>
    <w:unhideWhenUsed/>
    <w:rsid w:val="00B4465D"/>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4465D"/>
    <w:pPr>
      <w:widowControl/>
      <w:spacing w:after="160" w:line="240" w:lineRule="exact"/>
      <w:jc w:val="left"/>
    </w:pPr>
    <w:rPr>
      <w:rFonts w:ascii="Verdana" w:eastAsia="MS Mincho" w:hAnsi="Verdana" w:cs="Verdana"/>
      <w:snapToGrid/>
      <w:sz w:val="20"/>
      <w:lang w:val="en-US"/>
    </w:rPr>
  </w:style>
  <w:style w:type="paragraph" w:customStyle="1" w:styleId="Tableorfigurefootnote">
    <w:name w:val="Table or figure footnote"/>
    <w:next w:val="BodyText"/>
    <w:rsid w:val="00014363"/>
    <w:rPr>
      <w:rFonts w:ascii="Arial" w:hAnsi="Arial"/>
      <w:sz w:val="18"/>
      <w:szCs w:val="22"/>
      <w:lang w:eastAsia="en-GB"/>
    </w:rPr>
  </w:style>
  <w:style w:type="character" w:customStyle="1" w:styleId="A9">
    <w:name w:val="A9"/>
    <w:uiPriority w:val="99"/>
    <w:rsid w:val="00ED3E07"/>
    <w:rPr>
      <w:rFonts w:cs="TimesNewRomanPS"/>
      <w:color w:val="221E1F"/>
      <w:sz w:val="11"/>
      <w:szCs w:val="11"/>
    </w:rPr>
  </w:style>
  <w:style w:type="paragraph" w:customStyle="1" w:styleId="Default">
    <w:name w:val="Default"/>
    <w:rsid w:val="000D6D0E"/>
    <w:pPr>
      <w:autoSpaceDE w:val="0"/>
      <w:autoSpaceDN w:val="0"/>
      <w:adjustRightInd w:val="0"/>
    </w:pPr>
    <w:rPr>
      <w:rFonts w:ascii="Times" w:hAnsi="Times" w:cs="Times"/>
      <w:color w:val="000000"/>
      <w:sz w:val="24"/>
      <w:szCs w:val="24"/>
    </w:rPr>
  </w:style>
  <w:style w:type="paragraph" w:customStyle="1" w:styleId="Pa3">
    <w:name w:val="Pa3"/>
    <w:basedOn w:val="Default"/>
    <w:next w:val="Default"/>
    <w:uiPriority w:val="99"/>
    <w:rsid w:val="000D6D0E"/>
    <w:pPr>
      <w:spacing w:line="191" w:lineRule="atLeast"/>
    </w:pPr>
    <w:rPr>
      <w:color w:val="auto"/>
    </w:rPr>
  </w:style>
  <w:style w:type="paragraph" w:customStyle="1" w:styleId="TableHeaderRow">
    <w:name w:val="Table Header Row"/>
    <w:qFormat/>
    <w:rsid w:val="000726B3"/>
    <w:pPr>
      <w:keepNext/>
      <w:spacing w:before="60" w:after="60"/>
      <w:jc w:val="center"/>
    </w:pPr>
    <w:rPr>
      <w:rFonts w:ascii="Arial" w:hAnsi="Arial"/>
      <w:b/>
      <w:sz w:val="22"/>
      <w:szCs w:val="24"/>
      <w:lang w:eastAsia="en-GB"/>
    </w:rPr>
  </w:style>
  <w:style w:type="character" w:styleId="Emphasis">
    <w:name w:val="Emphasis"/>
    <w:basedOn w:val="DefaultParagraphFont"/>
    <w:uiPriority w:val="20"/>
    <w:qFormat/>
    <w:rsid w:val="00370E81"/>
    <w:rPr>
      <w:i/>
      <w:iCs/>
    </w:rPr>
  </w:style>
  <w:style w:type="character" w:styleId="HTMLCite">
    <w:name w:val="HTML Cite"/>
    <w:basedOn w:val="DefaultParagraphFont"/>
    <w:uiPriority w:val="99"/>
    <w:semiHidden/>
    <w:unhideWhenUsed/>
    <w:rsid w:val="004E7097"/>
    <w:rPr>
      <w:i/>
      <w:iCs/>
    </w:rPr>
  </w:style>
  <w:style w:type="paragraph" w:customStyle="1" w:styleId="Source">
    <w:name w:val="Source"/>
    <w:basedOn w:val="Normal"/>
    <w:link w:val="SourceChar1"/>
    <w:rsid w:val="00124DF0"/>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character" w:customStyle="1" w:styleId="SourceChar1">
    <w:name w:val="Source Char1"/>
    <w:link w:val="Source"/>
    <w:rsid w:val="00124DF0"/>
    <w:rPr>
      <w:rFonts w:eastAsia="SimSun"/>
      <w:sz w:val="18"/>
      <w:szCs w:val="18"/>
      <w:lang w:eastAsia="en-US"/>
    </w:rPr>
  </w:style>
  <w:style w:type="paragraph" w:customStyle="1" w:styleId="TableA10">
    <w:name w:val="Table A10"/>
    <w:basedOn w:val="Normal"/>
    <w:link w:val="TableA10Char"/>
    <w:qFormat/>
    <w:rsid w:val="00124DF0"/>
    <w:pPr>
      <w:widowControl/>
      <w:jc w:val="left"/>
    </w:pPr>
    <w:rPr>
      <w:rFonts w:eastAsia="SimSun" w:cs="Times New Roman"/>
      <w:snapToGrid/>
      <w:sz w:val="20"/>
      <w:szCs w:val="24"/>
    </w:rPr>
  </w:style>
  <w:style w:type="character" w:customStyle="1" w:styleId="TableA10Char">
    <w:name w:val="Table A10 Char"/>
    <w:link w:val="TableA10"/>
    <w:rsid w:val="00124DF0"/>
    <w:rPr>
      <w:rFonts w:ascii="Arial" w:eastAsia="SimSun" w:hAnsi="Arial"/>
      <w:szCs w:val="24"/>
      <w:lang w:eastAsia="en-US"/>
    </w:rPr>
  </w:style>
  <w:style w:type="character" w:styleId="PageNumber">
    <w:name w:val="page number"/>
    <w:basedOn w:val="DefaultParagraphFont"/>
    <w:semiHidden/>
    <w:rsid w:val="00261467"/>
    <w:rPr>
      <w:rFonts w:ascii="Garamond" w:hAnsi="Garamond"/>
      <w:b/>
      <w:sz w:val="22"/>
    </w:rPr>
  </w:style>
  <w:style w:type="character" w:customStyle="1" w:styleId="Heading1Char">
    <w:name w:val="Heading 1 Char"/>
    <w:basedOn w:val="DefaultParagraphFont"/>
    <w:link w:val="Heading1"/>
    <w:uiPriority w:val="1"/>
    <w:rsid w:val="00270DDD"/>
    <w:rPr>
      <w:rFonts w:ascii="Arial Bold" w:hAnsi="Arial Bold" w:cs="Arial"/>
      <w:b/>
      <w:caps/>
      <w:snapToGrid w:val="0"/>
      <w:sz w:val="22"/>
      <w:lang w:eastAsia="en-US"/>
    </w:rPr>
  </w:style>
  <w:style w:type="paragraph" w:customStyle="1" w:styleId="TableText1">
    <w:name w:val="Table Text"/>
    <w:basedOn w:val="Normal"/>
    <w:qFormat/>
    <w:rsid w:val="00C92F2F"/>
    <w:pPr>
      <w:keepNext/>
      <w:widowControl/>
      <w:spacing w:before="40" w:after="40"/>
      <w:jc w:val="left"/>
    </w:pPr>
    <w:rPr>
      <w:rFonts w:eastAsia="SimSun" w:cs="Arial Narrow"/>
      <w:snapToGrid/>
      <w:sz w:val="20"/>
    </w:rPr>
  </w:style>
  <w:style w:type="character" w:styleId="FollowedHyperlink">
    <w:name w:val="FollowedHyperlink"/>
    <w:basedOn w:val="DefaultParagraphFont"/>
    <w:semiHidden/>
    <w:unhideWhenUsed/>
    <w:rsid w:val="007F38F3"/>
    <w:rPr>
      <w:color w:val="800080" w:themeColor="followedHyperlink"/>
      <w:u w:val="single"/>
    </w:rPr>
  </w:style>
  <w:style w:type="paragraph" w:styleId="TableofFigures">
    <w:name w:val="table of figures"/>
    <w:next w:val="BodyText"/>
    <w:link w:val="TableofFiguresChar"/>
    <w:uiPriority w:val="99"/>
    <w:unhideWhenUsed/>
    <w:rsid w:val="007F38F3"/>
    <w:rPr>
      <w:rFonts w:ascii="Arial" w:hAnsi="Arial"/>
      <w:iCs/>
      <w:lang w:eastAsia="en-GB"/>
    </w:rPr>
  </w:style>
  <w:style w:type="character" w:customStyle="1" w:styleId="TableofFiguresChar">
    <w:name w:val="Table of Figures Char"/>
    <w:basedOn w:val="DefaultParagraphFont"/>
    <w:link w:val="TableofFigures"/>
    <w:uiPriority w:val="99"/>
    <w:rsid w:val="007F38F3"/>
    <w:rPr>
      <w:rFonts w:ascii="Arial" w:hAnsi="Arial"/>
      <w:iCs/>
      <w:lang w:eastAsia="en-GB"/>
    </w:rPr>
  </w:style>
  <w:style w:type="character" w:customStyle="1" w:styleId="st">
    <w:name w:val="st"/>
    <w:basedOn w:val="DefaultParagraphFont"/>
    <w:rsid w:val="007F38F3"/>
  </w:style>
  <w:style w:type="paragraph" w:customStyle="1" w:styleId="PBACheading10">
    <w:name w:val="PBAC heading 1"/>
    <w:qFormat/>
    <w:rsid w:val="00E20CDD"/>
    <w:pPr>
      <w:ind w:left="720" w:hanging="720"/>
    </w:pPr>
    <w:rPr>
      <w:rFonts w:ascii="Arial" w:hAnsi="Arial" w:cs="Arial"/>
      <w:snapToGrid w:val="0"/>
      <w:sz w:val="22"/>
      <w:szCs w:val="22"/>
      <w:lang w:eastAsia="en-US"/>
    </w:rPr>
  </w:style>
  <w:style w:type="table" w:customStyle="1" w:styleId="TableGrid7">
    <w:name w:val="Table Grid7"/>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827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270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C12CEF"/>
    <w:pPr>
      <w:jc w:val="center"/>
    </w:pPr>
    <w:rPr>
      <w:noProof/>
      <w:lang w:val="en-US"/>
    </w:rPr>
  </w:style>
  <w:style w:type="character" w:customStyle="1" w:styleId="EndNoteBibliographyTitleChar">
    <w:name w:val="EndNote Bibliography Title Char"/>
    <w:basedOn w:val="DefaultParagraphFont"/>
    <w:link w:val="EndNoteBibliographyTitle"/>
    <w:rsid w:val="00C12CEF"/>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C12CEF"/>
    <w:rPr>
      <w:noProof/>
      <w:lang w:val="en-US"/>
    </w:rPr>
  </w:style>
  <w:style w:type="character" w:customStyle="1" w:styleId="EndNoteBibliographyChar">
    <w:name w:val="EndNote Bibliography Char"/>
    <w:basedOn w:val="DefaultParagraphFont"/>
    <w:link w:val="EndNoteBibliography"/>
    <w:rsid w:val="00C12CEF"/>
    <w:rPr>
      <w:rFonts w:ascii="Arial" w:hAnsi="Arial" w:cs="Arial"/>
      <w:noProof/>
      <w:snapToGrid w:val="0"/>
      <w:sz w:val="22"/>
      <w:lang w:val="en-US" w:eastAsia="en-US"/>
    </w:rPr>
  </w:style>
  <w:style w:type="character" w:customStyle="1" w:styleId="ListParagraphChar">
    <w:name w:val="List Paragraph Char"/>
    <w:link w:val="ListParagraph"/>
    <w:uiPriority w:val="34"/>
    <w:rsid w:val="00B9123F"/>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0387">
      <w:bodyDiv w:val="1"/>
      <w:marLeft w:val="0"/>
      <w:marRight w:val="0"/>
      <w:marTop w:val="0"/>
      <w:marBottom w:val="0"/>
      <w:divBdr>
        <w:top w:val="none" w:sz="0" w:space="0" w:color="auto"/>
        <w:left w:val="none" w:sz="0" w:space="0" w:color="auto"/>
        <w:bottom w:val="none" w:sz="0" w:space="0" w:color="auto"/>
        <w:right w:val="none" w:sz="0" w:space="0" w:color="auto"/>
      </w:divBdr>
    </w:div>
    <w:div w:id="498236134">
      <w:bodyDiv w:val="1"/>
      <w:marLeft w:val="0"/>
      <w:marRight w:val="0"/>
      <w:marTop w:val="0"/>
      <w:marBottom w:val="0"/>
      <w:divBdr>
        <w:top w:val="none" w:sz="0" w:space="0" w:color="auto"/>
        <w:left w:val="none" w:sz="0" w:space="0" w:color="auto"/>
        <w:bottom w:val="none" w:sz="0" w:space="0" w:color="auto"/>
        <w:right w:val="none" w:sz="0" w:space="0" w:color="auto"/>
      </w:divBdr>
    </w:div>
    <w:div w:id="561789625">
      <w:bodyDiv w:val="1"/>
      <w:marLeft w:val="0"/>
      <w:marRight w:val="0"/>
      <w:marTop w:val="0"/>
      <w:marBottom w:val="0"/>
      <w:divBdr>
        <w:top w:val="none" w:sz="0" w:space="0" w:color="auto"/>
        <w:left w:val="none" w:sz="0" w:space="0" w:color="auto"/>
        <w:bottom w:val="none" w:sz="0" w:space="0" w:color="auto"/>
        <w:right w:val="none" w:sz="0" w:space="0" w:color="auto"/>
      </w:divBdr>
    </w:div>
    <w:div w:id="1195386628">
      <w:bodyDiv w:val="1"/>
      <w:marLeft w:val="0"/>
      <w:marRight w:val="0"/>
      <w:marTop w:val="0"/>
      <w:marBottom w:val="0"/>
      <w:divBdr>
        <w:top w:val="none" w:sz="0" w:space="0" w:color="auto"/>
        <w:left w:val="none" w:sz="0" w:space="0" w:color="auto"/>
        <w:bottom w:val="none" w:sz="0" w:space="0" w:color="auto"/>
        <w:right w:val="none" w:sz="0" w:space="0" w:color="auto"/>
      </w:divBdr>
    </w:div>
    <w:div w:id="1459565177">
      <w:bodyDiv w:val="1"/>
      <w:marLeft w:val="0"/>
      <w:marRight w:val="0"/>
      <w:marTop w:val="0"/>
      <w:marBottom w:val="0"/>
      <w:divBdr>
        <w:top w:val="none" w:sz="0" w:space="0" w:color="auto"/>
        <w:left w:val="none" w:sz="0" w:space="0" w:color="auto"/>
        <w:bottom w:val="none" w:sz="0" w:space="0" w:color="auto"/>
        <w:right w:val="none" w:sz="0" w:space="0" w:color="auto"/>
      </w:divBdr>
    </w:div>
    <w:div w:id="1601795854">
      <w:bodyDiv w:val="1"/>
      <w:marLeft w:val="0"/>
      <w:marRight w:val="0"/>
      <w:marTop w:val="0"/>
      <w:marBottom w:val="0"/>
      <w:divBdr>
        <w:top w:val="none" w:sz="0" w:space="0" w:color="auto"/>
        <w:left w:val="none" w:sz="0" w:space="0" w:color="auto"/>
        <w:bottom w:val="none" w:sz="0" w:space="0" w:color="auto"/>
        <w:right w:val="none" w:sz="0" w:space="0" w:color="auto"/>
      </w:divBdr>
      <w:divsChild>
        <w:div w:id="237402950">
          <w:marLeft w:val="0"/>
          <w:marRight w:val="0"/>
          <w:marTop w:val="0"/>
          <w:marBottom w:val="0"/>
          <w:divBdr>
            <w:top w:val="none" w:sz="0" w:space="0" w:color="auto"/>
            <w:left w:val="none" w:sz="0" w:space="0" w:color="auto"/>
            <w:bottom w:val="none" w:sz="0" w:space="0" w:color="auto"/>
            <w:right w:val="none" w:sz="0" w:space="0" w:color="auto"/>
          </w:divBdr>
          <w:divsChild>
            <w:div w:id="1554928469">
              <w:marLeft w:val="0"/>
              <w:marRight w:val="0"/>
              <w:marTop w:val="0"/>
              <w:marBottom w:val="0"/>
              <w:divBdr>
                <w:top w:val="none" w:sz="0" w:space="0" w:color="auto"/>
                <w:left w:val="none" w:sz="0" w:space="0" w:color="auto"/>
                <w:bottom w:val="none" w:sz="0" w:space="0" w:color="auto"/>
                <w:right w:val="none" w:sz="0" w:space="0" w:color="auto"/>
              </w:divBdr>
              <w:divsChild>
                <w:div w:id="1255359448">
                  <w:marLeft w:val="0"/>
                  <w:marRight w:val="0"/>
                  <w:marTop w:val="0"/>
                  <w:marBottom w:val="0"/>
                  <w:divBdr>
                    <w:top w:val="none" w:sz="0" w:space="0" w:color="auto"/>
                    <w:left w:val="none" w:sz="0" w:space="0" w:color="auto"/>
                    <w:bottom w:val="none" w:sz="0" w:space="0" w:color="auto"/>
                    <w:right w:val="none" w:sz="0" w:space="0" w:color="auto"/>
                  </w:divBdr>
                  <w:divsChild>
                    <w:div w:id="775564513">
                      <w:marLeft w:val="0"/>
                      <w:marRight w:val="0"/>
                      <w:marTop w:val="0"/>
                      <w:marBottom w:val="0"/>
                      <w:divBdr>
                        <w:top w:val="none" w:sz="0" w:space="0" w:color="auto"/>
                        <w:left w:val="none" w:sz="0" w:space="0" w:color="auto"/>
                        <w:bottom w:val="none" w:sz="0" w:space="0" w:color="auto"/>
                        <w:right w:val="none" w:sz="0" w:space="0" w:color="auto"/>
                      </w:divBdr>
                      <w:divsChild>
                        <w:div w:id="12589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2831">
          <w:marLeft w:val="0"/>
          <w:marRight w:val="0"/>
          <w:marTop w:val="0"/>
          <w:marBottom w:val="0"/>
          <w:divBdr>
            <w:top w:val="none" w:sz="0" w:space="0" w:color="auto"/>
            <w:left w:val="none" w:sz="0" w:space="0" w:color="auto"/>
            <w:bottom w:val="none" w:sz="0" w:space="0" w:color="auto"/>
            <w:right w:val="none" w:sz="0" w:space="0" w:color="auto"/>
          </w:divBdr>
          <w:divsChild>
            <w:div w:id="1303121859">
              <w:marLeft w:val="0"/>
              <w:marRight w:val="0"/>
              <w:marTop w:val="0"/>
              <w:marBottom w:val="0"/>
              <w:divBdr>
                <w:top w:val="none" w:sz="0" w:space="0" w:color="auto"/>
                <w:left w:val="none" w:sz="0" w:space="0" w:color="auto"/>
                <w:bottom w:val="none" w:sz="0" w:space="0" w:color="auto"/>
                <w:right w:val="none" w:sz="0" w:space="0" w:color="auto"/>
              </w:divBdr>
            </w:div>
            <w:div w:id="35080751">
              <w:marLeft w:val="0"/>
              <w:marRight w:val="0"/>
              <w:marTop w:val="0"/>
              <w:marBottom w:val="0"/>
              <w:divBdr>
                <w:top w:val="none" w:sz="0" w:space="0" w:color="auto"/>
                <w:left w:val="none" w:sz="0" w:space="0" w:color="auto"/>
                <w:bottom w:val="none" w:sz="0" w:space="0" w:color="auto"/>
                <w:right w:val="none" w:sz="0" w:space="0" w:color="auto"/>
              </w:divBdr>
              <w:divsChild>
                <w:div w:id="1915387756">
                  <w:marLeft w:val="0"/>
                  <w:marRight w:val="0"/>
                  <w:marTop w:val="0"/>
                  <w:marBottom w:val="0"/>
                  <w:divBdr>
                    <w:top w:val="none" w:sz="0" w:space="0" w:color="auto"/>
                    <w:left w:val="none" w:sz="0" w:space="0" w:color="auto"/>
                    <w:bottom w:val="none" w:sz="0" w:space="0" w:color="auto"/>
                    <w:right w:val="none" w:sz="0" w:space="0" w:color="auto"/>
                  </w:divBdr>
                  <w:divsChild>
                    <w:div w:id="2108840419">
                      <w:marLeft w:val="0"/>
                      <w:marRight w:val="0"/>
                      <w:marTop w:val="0"/>
                      <w:marBottom w:val="0"/>
                      <w:divBdr>
                        <w:top w:val="none" w:sz="0" w:space="0" w:color="auto"/>
                        <w:left w:val="none" w:sz="0" w:space="0" w:color="auto"/>
                        <w:bottom w:val="none" w:sz="0" w:space="0" w:color="auto"/>
                        <w:right w:val="none" w:sz="0" w:space="0" w:color="auto"/>
                      </w:divBdr>
                      <w:divsChild>
                        <w:div w:id="7971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4453">
          <w:marLeft w:val="0"/>
          <w:marRight w:val="0"/>
          <w:marTop w:val="0"/>
          <w:marBottom w:val="0"/>
          <w:divBdr>
            <w:top w:val="none" w:sz="0" w:space="0" w:color="auto"/>
            <w:left w:val="none" w:sz="0" w:space="0" w:color="auto"/>
            <w:bottom w:val="none" w:sz="0" w:space="0" w:color="auto"/>
            <w:right w:val="none" w:sz="0" w:space="0" w:color="auto"/>
          </w:divBdr>
          <w:divsChild>
            <w:div w:id="1291008610">
              <w:marLeft w:val="0"/>
              <w:marRight w:val="0"/>
              <w:marTop w:val="0"/>
              <w:marBottom w:val="0"/>
              <w:divBdr>
                <w:top w:val="none" w:sz="0" w:space="0" w:color="auto"/>
                <w:left w:val="none" w:sz="0" w:space="0" w:color="auto"/>
                <w:bottom w:val="none" w:sz="0" w:space="0" w:color="auto"/>
                <w:right w:val="none" w:sz="0" w:space="0" w:color="auto"/>
              </w:divBdr>
            </w:div>
            <w:div w:id="1864585395">
              <w:marLeft w:val="0"/>
              <w:marRight w:val="0"/>
              <w:marTop w:val="0"/>
              <w:marBottom w:val="0"/>
              <w:divBdr>
                <w:top w:val="none" w:sz="0" w:space="0" w:color="auto"/>
                <w:left w:val="none" w:sz="0" w:space="0" w:color="auto"/>
                <w:bottom w:val="none" w:sz="0" w:space="0" w:color="auto"/>
                <w:right w:val="none" w:sz="0" w:space="0" w:color="auto"/>
              </w:divBdr>
              <w:divsChild>
                <w:div w:id="1884827981">
                  <w:marLeft w:val="0"/>
                  <w:marRight w:val="0"/>
                  <w:marTop w:val="0"/>
                  <w:marBottom w:val="0"/>
                  <w:divBdr>
                    <w:top w:val="none" w:sz="0" w:space="0" w:color="auto"/>
                    <w:left w:val="none" w:sz="0" w:space="0" w:color="auto"/>
                    <w:bottom w:val="none" w:sz="0" w:space="0" w:color="auto"/>
                    <w:right w:val="none" w:sz="0" w:space="0" w:color="auto"/>
                  </w:divBdr>
                  <w:divsChild>
                    <w:div w:id="1534150273">
                      <w:marLeft w:val="0"/>
                      <w:marRight w:val="0"/>
                      <w:marTop w:val="0"/>
                      <w:marBottom w:val="0"/>
                      <w:divBdr>
                        <w:top w:val="none" w:sz="0" w:space="0" w:color="auto"/>
                        <w:left w:val="none" w:sz="0" w:space="0" w:color="auto"/>
                        <w:bottom w:val="none" w:sz="0" w:space="0" w:color="auto"/>
                        <w:right w:val="none" w:sz="0" w:space="0" w:color="auto"/>
                      </w:divBdr>
                      <w:divsChild>
                        <w:div w:id="15733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40872">
          <w:marLeft w:val="0"/>
          <w:marRight w:val="0"/>
          <w:marTop w:val="0"/>
          <w:marBottom w:val="0"/>
          <w:divBdr>
            <w:top w:val="none" w:sz="0" w:space="0" w:color="auto"/>
            <w:left w:val="none" w:sz="0" w:space="0" w:color="auto"/>
            <w:bottom w:val="none" w:sz="0" w:space="0" w:color="auto"/>
            <w:right w:val="none" w:sz="0" w:space="0" w:color="auto"/>
          </w:divBdr>
          <w:divsChild>
            <w:div w:id="858469918">
              <w:marLeft w:val="0"/>
              <w:marRight w:val="0"/>
              <w:marTop w:val="0"/>
              <w:marBottom w:val="0"/>
              <w:divBdr>
                <w:top w:val="none" w:sz="0" w:space="0" w:color="auto"/>
                <w:left w:val="none" w:sz="0" w:space="0" w:color="auto"/>
                <w:bottom w:val="none" w:sz="0" w:space="0" w:color="auto"/>
                <w:right w:val="none" w:sz="0" w:space="0" w:color="auto"/>
              </w:divBdr>
            </w:div>
            <w:div w:id="1176187536">
              <w:marLeft w:val="0"/>
              <w:marRight w:val="0"/>
              <w:marTop w:val="0"/>
              <w:marBottom w:val="0"/>
              <w:divBdr>
                <w:top w:val="none" w:sz="0" w:space="0" w:color="auto"/>
                <w:left w:val="none" w:sz="0" w:space="0" w:color="auto"/>
                <w:bottom w:val="none" w:sz="0" w:space="0" w:color="auto"/>
                <w:right w:val="none" w:sz="0" w:space="0" w:color="auto"/>
              </w:divBdr>
              <w:divsChild>
                <w:div w:id="930699932">
                  <w:marLeft w:val="0"/>
                  <w:marRight w:val="0"/>
                  <w:marTop w:val="0"/>
                  <w:marBottom w:val="0"/>
                  <w:divBdr>
                    <w:top w:val="none" w:sz="0" w:space="0" w:color="auto"/>
                    <w:left w:val="none" w:sz="0" w:space="0" w:color="auto"/>
                    <w:bottom w:val="none" w:sz="0" w:space="0" w:color="auto"/>
                    <w:right w:val="none" w:sz="0" w:space="0" w:color="auto"/>
                  </w:divBdr>
                  <w:divsChild>
                    <w:div w:id="114639051">
                      <w:marLeft w:val="0"/>
                      <w:marRight w:val="0"/>
                      <w:marTop w:val="0"/>
                      <w:marBottom w:val="0"/>
                      <w:divBdr>
                        <w:top w:val="none" w:sz="0" w:space="0" w:color="auto"/>
                        <w:left w:val="none" w:sz="0" w:space="0" w:color="auto"/>
                        <w:bottom w:val="none" w:sz="0" w:space="0" w:color="auto"/>
                        <w:right w:val="none" w:sz="0" w:space="0" w:color="auto"/>
                      </w:divBdr>
                      <w:divsChild>
                        <w:div w:id="6790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250">
          <w:marLeft w:val="0"/>
          <w:marRight w:val="0"/>
          <w:marTop w:val="0"/>
          <w:marBottom w:val="0"/>
          <w:divBdr>
            <w:top w:val="none" w:sz="0" w:space="0" w:color="auto"/>
            <w:left w:val="none" w:sz="0" w:space="0" w:color="auto"/>
            <w:bottom w:val="none" w:sz="0" w:space="0" w:color="auto"/>
            <w:right w:val="none" w:sz="0" w:space="0" w:color="auto"/>
          </w:divBdr>
          <w:divsChild>
            <w:div w:id="2092965464">
              <w:marLeft w:val="0"/>
              <w:marRight w:val="0"/>
              <w:marTop w:val="0"/>
              <w:marBottom w:val="0"/>
              <w:divBdr>
                <w:top w:val="none" w:sz="0" w:space="0" w:color="auto"/>
                <w:left w:val="none" w:sz="0" w:space="0" w:color="auto"/>
                <w:bottom w:val="none" w:sz="0" w:space="0" w:color="auto"/>
                <w:right w:val="none" w:sz="0" w:space="0" w:color="auto"/>
              </w:divBdr>
            </w:div>
            <w:div w:id="1068846132">
              <w:marLeft w:val="0"/>
              <w:marRight w:val="0"/>
              <w:marTop w:val="0"/>
              <w:marBottom w:val="0"/>
              <w:divBdr>
                <w:top w:val="none" w:sz="0" w:space="0" w:color="auto"/>
                <w:left w:val="none" w:sz="0" w:space="0" w:color="auto"/>
                <w:bottom w:val="none" w:sz="0" w:space="0" w:color="auto"/>
                <w:right w:val="none" w:sz="0" w:space="0" w:color="auto"/>
              </w:divBdr>
              <w:divsChild>
                <w:div w:id="842476105">
                  <w:marLeft w:val="0"/>
                  <w:marRight w:val="0"/>
                  <w:marTop w:val="0"/>
                  <w:marBottom w:val="0"/>
                  <w:divBdr>
                    <w:top w:val="none" w:sz="0" w:space="0" w:color="auto"/>
                    <w:left w:val="none" w:sz="0" w:space="0" w:color="auto"/>
                    <w:bottom w:val="none" w:sz="0" w:space="0" w:color="auto"/>
                    <w:right w:val="none" w:sz="0" w:space="0" w:color="auto"/>
                  </w:divBdr>
                  <w:divsChild>
                    <w:div w:id="1179387519">
                      <w:marLeft w:val="0"/>
                      <w:marRight w:val="0"/>
                      <w:marTop w:val="0"/>
                      <w:marBottom w:val="0"/>
                      <w:divBdr>
                        <w:top w:val="none" w:sz="0" w:space="0" w:color="auto"/>
                        <w:left w:val="none" w:sz="0" w:space="0" w:color="auto"/>
                        <w:bottom w:val="none" w:sz="0" w:space="0" w:color="auto"/>
                        <w:right w:val="none" w:sz="0" w:space="0" w:color="auto"/>
                      </w:divBdr>
                      <w:divsChild>
                        <w:div w:id="650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2126">
          <w:marLeft w:val="0"/>
          <w:marRight w:val="0"/>
          <w:marTop w:val="0"/>
          <w:marBottom w:val="0"/>
          <w:divBdr>
            <w:top w:val="none" w:sz="0" w:space="0" w:color="auto"/>
            <w:left w:val="none" w:sz="0" w:space="0" w:color="auto"/>
            <w:bottom w:val="none" w:sz="0" w:space="0" w:color="auto"/>
            <w:right w:val="none" w:sz="0" w:space="0" w:color="auto"/>
          </w:divBdr>
          <w:divsChild>
            <w:div w:id="1767190483">
              <w:marLeft w:val="0"/>
              <w:marRight w:val="0"/>
              <w:marTop w:val="0"/>
              <w:marBottom w:val="0"/>
              <w:divBdr>
                <w:top w:val="none" w:sz="0" w:space="0" w:color="auto"/>
                <w:left w:val="none" w:sz="0" w:space="0" w:color="auto"/>
                <w:bottom w:val="none" w:sz="0" w:space="0" w:color="auto"/>
                <w:right w:val="none" w:sz="0" w:space="0" w:color="auto"/>
              </w:divBdr>
            </w:div>
            <w:div w:id="1266772837">
              <w:marLeft w:val="0"/>
              <w:marRight w:val="0"/>
              <w:marTop w:val="0"/>
              <w:marBottom w:val="0"/>
              <w:divBdr>
                <w:top w:val="none" w:sz="0" w:space="0" w:color="auto"/>
                <w:left w:val="none" w:sz="0" w:space="0" w:color="auto"/>
                <w:bottom w:val="none" w:sz="0" w:space="0" w:color="auto"/>
                <w:right w:val="none" w:sz="0" w:space="0" w:color="auto"/>
              </w:divBdr>
              <w:divsChild>
                <w:div w:id="10002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7722">
          <w:marLeft w:val="0"/>
          <w:marRight w:val="0"/>
          <w:marTop w:val="0"/>
          <w:marBottom w:val="0"/>
          <w:divBdr>
            <w:top w:val="none" w:sz="0" w:space="0" w:color="auto"/>
            <w:left w:val="none" w:sz="0" w:space="0" w:color="auto"/>
            <w:bottom w:val="none" w:sz="0" w:space="0" w:color="auto"/>
            <w:right w:val="none" w:sz="0" w:space="0" w:color="auto"/>
          </w:divBdr>
          <w:divsChild>
            <w:div w:id="422071993">
              <w:marLeft w:val="0"/>
              <w:marRight w:val="0"/>
              <w:marTop w:val="0"/>
              <w:marBottom w:val="0"/>
              <w:divBdr>
                <w:top w:val="none" w:sz="0" w:space="0" w:color="auto"/>
                <w:left w:val="none" w:sz="0" w:space="0" w:color="auto"/>
                <w:bottom w:val="none" w:sz="0" w:space="0" w:color="auto"/>
                <w:right w:val="none" w:sz="0" w:space="0" w:color="auto"/>
              </w:divBdr>
            </w:div>
            <w:div w:id="1496804552">
              <w:marLeft w:val="0"/>
              <w:marRight w:val="0"/>
              <w:marTop w:val="0"/>
              <w:marBottom w:val="0"/>
              <w:divBdr>
                <w:top w:val="none" w:sz="0" w:space="0" w:color="auto"/>
                <w:left w:val="none" w:sz="0" w:space="0" w:color="auto"/>
                <w:bottom w:val="none" w:sz="0" w:space="0" w:color="auto"/>
                <w:right w:val="none" w:sz="0" w:space="0" w:color="auto"/>
              </w:divBdr>
              <w:divsChild>
                <w:div w:id="5975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1631">
          <w:marLeft w:val="0"/>
          <w:marRight w:val="0"/>
          <w:marTop w:val="0"/>
          <w:marBottom w:val="0"/>
          <w:divBdr>
            <w:top w:val="none" w:sz="0" w:space="0" w:color="auto"/>
            <w:left w:val="none" w:sz="0" w:space="0" w:color="auto"/>
            <w:bottom w:val="none" w:sz="0" w:space="0" w:color="auto"/>
            <w:right w:val="none" w:sz="0" w:space="0" w:color="auto"/>
          </w:divBdr>
          <w:divsChild>
            <w:div w:id="1436288631">
              <w:marLeft w:val="0"/>
              <w:marRight w:val="0"/>
              <w:marTop w:val="0"/>
              <w:marBottom w:val="0"/>
              <w:divBdr>
                <w:top w:val="none" w:sz="0" w:space="0" w:color="auto"/>
                <w:left w:val="none" w:sz="0" w:space="0" w:color="auto"/>
                <w:bottom w:val="none" w:sz="0" w:space="0" w:color="auto"/>
                <w:right w:val="none" w:sz="0" w:space="0" w:color="auto"/>
              </w:divBdr>
            </w:div>
            <w:div w:id="94982571">
              <w:marLeft w:val="0"/>
              <w:marRight w:val="0"/>
              <w:marTop w:val="0"/>
              <w:marBottom w:val="0"/>
              <w:divBdr>
                <w:top w:val="none" w:sz="0" w:space="0" w:color="auto"/>
                <w:left w:val="none" w:sz="0" w:space="0" w:color="auto"/>
                <w:bottom w:val="none" w:sz="0" w:space="0" w:color="auto"/>
                <w:right w:val="none" w:sz="0" w:space="0" w:color="auto"/>
              </w:divBdr>
              <w:divsChild>
                <w:div w:id="749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82086620">
      <w:bodyDiv w:val="1"/>
      <w:marLeft w:val="0"/>
      <w:marRight w:val="0"/>
      <w:marTop w:val="0"/>
      <w:marBottom w:val="0"/>
      <w:divBdr>
        <w:top w:val="none" w:sz="0" w:space="0" w:color="auto"/>
        <w:left w:val="none" w:sz="0" w:space="0" w:color="auto"/>
        <w:bottom w:val="none" w:sz="0" w:space="0" w:color="auto"/>
        <w:right w:val="none" w:sz="0" w:space="0" w:color="auto"/>
      </w:divBdr>
      <w:divsChild>
        <w:div w:id="974867784">
          <w:marLeft w:val="360"/>
          <w:marRight w:val="0"/>
          <w:marTop w:val="200"/>
          <w:marBottom w:val="0"/>
          <w:divBdr>
            <w:top w:val="none" w:sz="0" w:space="0" w:color="auto"/>
            <w:left w:val="none" w:sz="0" w:space="0" w:color="auto"/>
            <w:bottom w:val="none" w:sz="0" w:space="0" w:color="auto"/>
            <w:right w:val="none" w:sz="0" w:space="0" w:color="auto"/>
          </w:divBdr>
        </w:div>
      </w:divsChild>
    </w:div>
    <w:div w:id="19959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9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9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3B61-0170-4E27-A520-E26219EB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10135</Words>
  <Characters>58735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2015-10-27T03:30:00Z</dcterms:created>
  <dcterms:modified xsi:type="dcterms:W3CDTF">2015-10-27T03:49:00Z</dcterms:modified>
</cp:coreProperties>
</file>