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B7" w:rsidRDefault="009C3158" w:rsidP="00207D00">
      <w:pPr>
        <w:pStyle w:val="Heading1"/>
        <w:rPr>
          <w:sz w:val="28"/>
        </w:rPr>
      </w:pPr>
      <w:bookmarkStart w:id="0" w:name="_Toc419455586"/>
      <w:r>
        <w:rPr>
          <w:sz w:val="28"/>
        </w:rPr>
        <w:t>5</w:t>
      </w:r>
      <w:r w:rsidR="00433044">
        <w:rPr>
          <w:sz w:val="28"/>
        </w:rPr>
        <w:t>.</w:t>
      </w:r>
      <w:r w:rsidR="002F4FB7">
        <w:rPr>
          <w:sz w:val="28"/>
        </w:rPr>
        <w:t>0</w:t>
      </w:r>
      <w:r>
        <w:rPr>
          <w:sz w:val="28"/>
        </w:rPr>
        <w:t>1</w:t>
      </w:r>
      <w:r w:rsidR="00B60939" w:rsidRPr="00207D00">
        <w:rPr>
          <w:sz w:val="28"/>
        </w:rPr>
        <w:tab/>
      </w:r>
      <w:r w:rsidR="00B15467" w:rsidRPr="00B15467">
        <w:rPr>
          <w:sz w:val="28"/>
        </w:rPr>
        <w:t>Aclidinium bromide plus eformoterol fumarate dihydrate</w:t>
      </w:r>
    </w:p>
    <w:p w:rsidR="002F4FB7" w:rsidRDefault="00B15467" w:rsidP="002F4FB7">
      <w:pPr>
        <w:pStyle w:val="Heading1"/>
        <w:ind w:firstLine="0"/>
        <w:rPr>
          <w:caps w:val="0"/>
          <w:sz w:val="28"/>
        </w:rPr>
      </w:pPr>
      <w:r w:rsidRPr="00B15467">
        <w:rPr>
          <w:caps w:val="0"/>
          <w:sz w:val="28"/>
        </w:rPr>
        <w:t>dry powder inhaler, 3</w:t>
      </w:r>
      <w:r w:rsidR="002F4FB7">
        <w:rPr>
          <w:caps w:val="0"/>
          <w:sz w:val="28"/>
        </w:rPr>
        <w:t>40 µg plus 12 µg per actuation</w:t>
      </w:r>
      <w:r w:rsidR="00220463">
        <w:rPr>
          <w:caps w:val="0"/>
          <w:sz w:val="28"/>
        </w:rPr>
        <w:t>, 60</w:t>
      </w:r>
      <w:r w:rsidR="002D4208">
        <w:rPr>
          <w:rFonts w:hint="eastAsia"/>
          <w:caps w:val="0"/>
          <w:sz w:val="28"/>
        </w:rPr>
        <w:t> </w:t>
      </w:r>
      <w:r w:rsidR="00220463">
        <w:rPr>
          <w:caps w:val="0"/>
          <w:sz w:val="28"/>
        </w:rPr>
        <w:t>actuations</w:t>
      </w:r>
    </w:p>
    <w:p w:rsidR="002F4FB7" w:rsidRDefault="002F4FB7" w:rsidP="002F4FB7">
      <w:pPr>
        <w:pStyle w:val="Heading1"/>
        <w:ind w:firstLine="0"/>
        <w:rPr>
          <w:caps w:val="0"/>
          <w:sz w:val="28"/>
        </w:rPr>
      </w:pPr>
      <w:r>
        <w:rPr>
          <w:caps w:val="0"/>
          <w:sz w:val="28"/>
        </w:rPr>
        <w:t>Brimica® Genuair®</w:t>
      </w:r>
    </w:p>
    <w:p w:rsidR="00B60939" w:rsidRPr="00207D00" w:rsidRDefault="00B15467" w:rsidP="002F4FB7">
      <w:pPr>
        <w:pStyle w:val="Heading1"/>
        <w:ind w:firstLine="0"/>
        <w:rPr>
          <w:sz w:val="28"/>
        </w:rPr>
      </w:pPr>
      <w:r w:rsidRPr="00B15467">
        <w:rPr>
          <w:caps w:val="0"/>
          <w:sz w:val="28"/>
        </w:rPr>
        <w:t>A. Menarini Australia Pty Ltd</w:t>
      </w:r>
      <w:r w:rsidR="00B60939" w:rsidRPr="00207D00">
        <w:rPr>
          <w:sz w:val="28"/>
        </w:rPr>
        <w:t>.</w:t>
      </w:r>
      <w:bookmarkEnd w:id="0"/>
    </w:p>
    <w:p w:rsidR="00433044" w:rsidRDefault="00433044" w:rsidP="00433044"/>
    <w:p w:rsidR="00B60939" w:rsidRDefault="00B60939" w:rsidP="00207D00"/>
    <w:p w:rsidR="00B50DB8" w:rsidRPr="00407F2D" w:rsidRDefault="00B50DB8" w:rsidP="006E522E">
      <w:pPr>
        <w:pStyle w:val="PBACHeading1"/>
        <w:keepNext/>
      </w:pPr>
      <w:bookmarkStart w:id="1" w:name="_Toc419455588"/>
      <w:r w:rsidRPr="00407F2D">
        <w:t>Purpose of Application</w:t>
      </w:r>
      <w:bookmarkEnd w:id="1"/>
    </w:p>
    <w:p w:rsidR="00B60939" w:rsidRPr="00882085" w:rsidRDefault="00B60939" w:rsidP="006E522E">
      <w:pPr>
        <w:keepNext/>
        <w:rPr>
          <w:szCs w:val="22"/>
        </w:rPr>
      </w:pPr>
    </w:p>
    <w:p w:rsidR="002C2775" w:rsidRPr="00B50DB8" w:rsidRDefault="00231C8B" w:rsidP="006E522E">
      <w:pPr>
        <w:pStyle w:val="ListParagraph"/>
        <w:keepNext/>
        <w:widowControl/>
        <w:numPr>
          <w:ilvl w:val="1"/>
          <w:numId w:val="4"/>
        </w:numPr>
        <w:rPr>
          <w:szCs w:val="22"/>
        </w:rPr>
      </w:pPr>
      <w:r>
        <w:t xml:space="preserve">The submission requested </w:t>
      </w:r>
      <w:r w:rsidR="001E238E" w:rsidRPr="004B3DDB">
        <w:t>Authority Required</w:t>
      </w:r>
      <w:r>
        <w:t xml:space="preserve"> </w:t>
      </w:r>
      <w:r w:rsidR="001E238E" w:rsidRPr="004B3DDB">
        <w:t xml:space="preserve">listing for </w:t>
      </w:r>
      <w:r>
        <w:t xml:space="preserve">aclidinium/eformoterol </w:t>
      </w:r>
      <w:r w:rsidR="00A4795A">
        <w:t>fixed dose</w:t>
      </w:r>
      <w:r>
        <w:t xml:space="preserve"> combination (FDC)</w:t>
      </w:r>
      <w:r w:rsidR="001E238E" w:rsidRPr="004B3DDB">
        <w:t xml:space="preserve"> for treatment of </w:t>
      </w:r>
      <w:r w:rsidR="00D63480">
        <w:t>chronic obstructive pulmonary disease (</w:t>
      </w:r>
      <w:r>
        <w:t>COPD</w:t>
      </w:r>
      <w:r w:rsidR="00D63480">
        <w:t>)</w:t>
      </w:r>
      <w:r w:rsidR="001E238E" w:rsidRPr="004B3DDB">
        <w:t>.</w:t>
      </w:r>
    </w:p>
    <w:p w:rsidR="004E43B2" w:rsidRDefault="004E43B2" w:rsidP="004B1CB4"/>
    <w:p w:rsidR="009C3158" w:rsidRPr="00882085" w:rsidRDefault="009C3158" w:rsidP="004B1CB4"/>
    <w:p w:rsidR="00B50DB8" w:rsidRPr="00407F2D" w:rsidRDefault="00B50DB8" w:rsidP="00BD6CF3">
      <w:pPr>
        <w:pStyle w:val="PBACHeading1"/>
      </w:pPr>
      <w:bookmarkStart w:id="2" w:name="_Toc419455589"/>
      <w:r w:rsidRPr="00407F2D">
        <w:t>Requested listing</w:t>
      </w:r>
      <w:bookmarkEnd w:id="2"/>
    </w:p>
    <w:p w:rsidR="00B60939" w:rsidRPr="00882085" w:rsidRDefault="00B60939" w:rsidP="004B1CB4"/>
    <w:p w:rsidR="00B9727A" w:rsidRPr="00E0164F" w:rsidRDefault="00B9727A" w:rsidP="00B9727A">
      <w:pPr>
        <w:pStyle w:val="ListParagraph"/>
        <w:widowControl/>
        <w:numPr>
          <w:ilvl w:val="1"/>
          <w:numId w:val="4"/>
        </w:numPr>
        <w:rPr>
          <w:szCs w:val="22"/>
        </w:rPr>
      </w:pPr>
      <w:r>
        <w:rPr>
          <w:szCs w:val="22"/>
        </w:rPr>
        <w:t xml:space="preserve">The requested </w:t>
      </w:r>
      <w:r w:rsidRPr="00E0164F">
        <w:rPr>
          <w:szCs w:val="22"/>
        </w:rPr>
        <w:t>listing is presented below.</w:t>
      </w:r>
      <w:r w:rsidR="00960813" w:rsidRPr="00E0164F">
        <w:rPr>
          <w:szCs w:val="22"/>
        </w:rPr>
        <w:t xml:space="preserve"> Suggestions and additions proposed by the Secretariat </w:t>
      </w:r>
      <w:r w:rsidR="00641AB5" w:rsidRPr="00E0164F">
        <w:rPr>
          <w:szCs w:val="22"/>
        </w:rPr>
        <w:t>to the requested listing are added in italics.</w:t>
      </w:r>
    </w:p>
    <w:p w:rsidR="006350D9" w:rsidRPr="006350D9" w:rsidRDefault="006350D9" w:rsidP="006E522E">
      <w:pPr>
        <w:pStyle w:val="ListParagraph"/>
        <w:widowControl/>
        <w:rPr>
          <w:szCs w:val="22"/>
        </w:rPr>
      </w:pPr>
    </w:p>
    <w:tbl>
      <w:tblPr>
        <w:tblW w:w="8363" w:type="dxa"/>
        <w:tblInd w:w="817" w:type="dxa"/>
        <w:tblLayout w:type="fixed"/>
        <w:tblLook w:val="0000" w:firstRow="0" w:lastRow="0" w:firstColumn="0" w:lastColumn="0" w:noHBand="0" w:noVBand="0"/>
      </w:tblPr>
      <w:tblGrid>
        <w:gridCol w:w="2835"/>
        <w:gridCol w:w="567"/>
        <w:gridCol w:w="567"/>
        <w:gridCol w:w="567"/>
        <w:gridCol w:w="1418"/>
        <w:gridCol w:w="1134"/>
        <w:gridCol w:w="1275"/>
      </w:tblGrid>
      <w:tr w:rsidR="00960813" w:rsidRPr="00260CE3" w:rsidTr="00960813">
        <w:trPr>
          <w:cantSplit/>
          <w:trHeight w:val="471"/>
        </w:trPr>
        <w:tc>
          <w:tcPr>
            <w:tcW w:w="3402" w:type="dxa"/>
            <w:gridSpan w:val="2"/>
            <w:tcBorders>
              <w:bottom w:val="single" w:sz="4" w:space="0" w:color="auto"/>
            </w:tcBorders>
          </w:tcPr>
          <w:p w:rsidR="00960813" w:rsidRPr="00260CE3" w:rsidRDefault="00960813" w:rsidP="00A1607F">
            <w:pPr>
              <w:keepNext/>
              <w:ind w:left="-108"/>
              <w:rPr>
                <w:rFonts w:ascii="Arial Narrow" w:hAnsi="Arial Narrow"/>
                <w:sz w:val="20"/>
              </w:rPr>
            </w:pPr>
            <w:r w:rsidRPr="00260CE3">
              <w:rPr>
                <w:rFonts w:ascii="Arial Narrow" w:hAnsi="Arial Narrow"/>
                <w:sz w:val="20"/>
              </w:rPr>
              <w:t>Name, Restriction,</w:t>
            </w:r>
          </w:p>
          <w:p w:rsidR="00960813" w:rsidRPr="00260CE3" w:rsidRDefault="00960813" w:rsidP="00A1607F">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960813" w:rsidRPr="00260CE3" w:rsidRDefault="00960813" w:rsidP="00A1607F">
            <w:pPr>
              <w:keepNext/>
              <w:ind w:left="-108"/>
              <w:rPr>
                <w:rFonts w:ascii="Arial Narrow" w:hAnsi="Arial Narrow"/>
                <w:sz w:val="20"/>
              </w:rPr>
            </w:pPr>
            <w:r w:rsidRPr="00260CE3">
              <w:rPr>
                <w:rFonts w:ascii="Arial Narrow" w:hAnsi="Arial Narrow"/>
                <w:sz w:val="20"/>
              </w:rPr>
              <w:t>Max.</w:t>
            </w:r>
          </w:p>
          <w:p w:rsidR="00960813" w:rsidRPr="00260CE3" w:rsidRDefault="00960813" w:rsidP="00A1607F">
            <w:pPr>
              <w:keepNext/>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960813" w:rsidRPr="00260CE3" w:rsidRDefault="00960813" w:rsidP="00A1607F">
            <w:pPr>
              <w:keepNext/>
              <w:ind w:left="-108"/>
              <w:rPr>
                <w:rFonts w:ascii="Arial Narrow" w:hAnsi="Arial Narrow"/>
                <w:sz w:val="20"/>
              </w:rPr>
            </w:pPr>
            <w:r w:rsidRPr="00260CE3">
              <w:rPr>
                <w:rFonts w:ascii="Arial Narrow" w:hAnsi="Arial Narrow"/>
                <w:sz w:val="20"/>
              </w:rPr>
              <w:t>№.of</w:t>
            </w:r>
          </w:p>
          <w:p w:rsidR="00960813" w:rsidRPr="00260CE3" w:rsidRDefault="00960813" w:rsidP="00A1607F">
            <w:pPr>
              <w:keepNext/>
              <w:ind w:left="-108"/>
              <w:rPr>
                <w:rFonts w:ascii="Arial Narrow" w:hAnsi="Arial Narrow"/>
                <w:sz w:val="20"/>
              </w:rPr>
            </w:pPr>
            <w:r w:rsidRPr="00260CE3">
              <w:rPr>
                <w:rFonts w:ascii="Arial Narrow" w:hAnsi="Arial Narrow"/>
                <w:sz w:val="20"/>
              </w:rPr>
              <w:t>Rpts</w:t>
            </w:r>
          </w:p>
        </w:tc>
        <w:tc>
          <w:tcPr>
            <w:tcW w:w="1418" w:type="dxa"/>
            <w:tcBorders>
              <w:bottom w:val="single" w:sz="4" w:space="0" w:color="auto"/>
            </w:tcBorders>
          </w:tcPr>
          <w:p w:rsidR="00960813" w:rsidRPr="00260CE3" w:rsidRDefault="00960813" w:rsidP="00A1607F">
            <w:pPr>
              <w:keepNext/>
              <w:ind w:left="-108"/>
              <w:rPr>
                <w:rFonts w:ascii="Arial Narrow" w:hAnsi="Arial Narrow"/>
                <w:sz w:val="20"/>
              </w:rPr>
            </w:pPr>
            <w:r w:rsidRPr="00260CE3">
              <w:rPr>
                <w:rFonts w:ascii="Arial Narrow" w:hAnsi="Arial Narrow"/>
                <w:sz w:val="20"/>
              </w:rPr>
              <w:t>Dispensed Price for Max. Qty</w:t>
            </w:r>
          </w:p>
        </w:tc>
        <w:tc>
          <w:tcPr>
            <w:tcW w:w="2409" w:type="dxa"/>
            <w:gridSpan w:val="2"/>
            <w:tcBorders>
              <w:bottom w:val="single" w:sz="4" w:space="0" w:color="auto"/>
            </w:tcBorders>
          </w:tcPr>
          <w:p w:rsidR="00960813" w:rsidRPr="00260CE3" w:rsidRDefault="00960813" w:rsidP="00A1607F">
            <w:pPr>
              <w:keepNext/>
              <w:rPr>
                <w:rFonts w:ascii="Arial Narrow" w:hAnsi="Arial Narrow"/>
                <w:sz w:val="20"/>
                <w:lang w:val="fr-FR"/>
              </w:rPr>
            </w:pPr>
            <w:r w:rsidRPr="00260CE3">
              <w:rPr>
                <w:rFonts w:ascii="Arial Narrow" w:hAnsi="Arial Narrow"/>
                <w:sz w:val="20"/>
              </w:rPr>
              <w:t>Proprietary Name and Manufacturer</w:t>
            </w:r>
          </w:p>
        </w:tc>
      </w:tr>
      <w:tr w:rsidR="00960813" w:rsidRPr="00260CE3" w:rsidTr="00641AB5">
        <w:trPr>
          <w:cantSplit/>
          <w:trHeight w:val="577"/>
        </w:trPr>
        <w:tc>
          <w:tcPr>
            <w:tcW w:w="3402" w:type="dxa"/>
            <w:gridSpan w:val="2"/>
          </w:tcPr>
          <w:p w:rsidR="00960813" w:rsidRPr="00260CE3" w:rsidRDefault="00960813" w:rsidP="00A1607F">
            <w:pPr>
              <w:keepNext/>
              <w:ind w:left="-108"/>
              <w:rPr>
                <w:rFonts w:ascii="Arial Narrow" w:hAnsi="Arial Narrow"/>
                <w:sz w:val="20"/>
              </w:rPr>
            </w:pPr>
            <w:r>
              <w:rPr>
                <w:rFonts w:ascii="Arial Narrow" w:hAnsi="Arial Narrow"/>
                <w:smallCaps/>
                <w:sz w:val="20"/>
              </w:rPr>
              <w:t>ACLIDINIUM + EFORMOTEROL</w:t>
            </w:r>
          </w:p>
          <w:p w:rsidR="00960813" w:rsidRPr="00260CE3" w:rsidRDefault="00960813" w:rsidP="00A1607F">
            <w:pPr>
              <w:keepNext/>
              <w:ind w:left="-108"/>
              <w:rPr>
                <w:rFonts w:ascii="Arial Narrow" w:hAnsi="Arial Narrow"/>
                <w:sz w:val="20"/>
              </w:rPr>
            </w:pPr>
            <w:r>
              <w:rPr>
                <w:rFonts w:ascii="Arial Narrow" w:hAnsi="Arial Narrow"/>
                <w:sz w:val="20"/>
              </w:rPr>
              <w:t xml:space="preserve">aclidinium 340 microgram/actuation + eformoterol 12 microgram/actuation inhalation: powder for, 60 actuations </w:t>
            </w:r>
          </w:p>
        </w:tc>
        <w:tc>
          <w:tcPr>
            <w:tcW w:w="567" w:type="dxa"/>
          </w:tcPr>
          <w:p w:rsidR="00960813" w:rsidRPr="00260CE3" w:rsidRDefault="00960813" w:rsidP="00A1607F">
            <w:pPr>
              <w:keepNext/>
              <w:ind w:left="-108"/>
              <w:rPr>
                <w:rFonts w:ascii="Arial Narrow" w:hAnsi="Arial Narrow"/>
                <w:sz w:val="20"/>
              </w:rPr>
            </w:pPr>
          </w:p>
          <w:p w:rsidR="00960813" w:rsidRPr="00260CE3" w:rsidRDefault="00960813" w:rsidP="00A1607F">
            <w:pPr>
              <w:keepNext/>
              <w:ind w:left="-108"/>
              <w:rPr>
                <w:rFonts w:ascii="Arial Narrow" w:hAnsi="Arial Narrow"/>
                <w:sz w:val="20"/>
              </w:rPr>
            </w:pPr>
            <w:r>
              <w:rPr>
                <w:rFonts w:ascii="Arial Narrow" w:hAnsi="Arial Narrow"/>
                <w:sz w:val="20"/>
              </w:rPr>
              <w:t>1</w:t>
            </w:r>
          </w:p>
        </w:tc>
        <w:tc>
          <w:tcPr>
            <w:tcW w:w="567" w:type="dxa"/>
          </w:tcPr>
          <w:p w:rsidR="00960813" w:rsidRPr="00260CE3" w:rsidRDefault="00960813" w:rsidP="00A1607F">
            <w:pPr>
              <w:keepNext/>
              <w:ind w:left="-108"/>
              <w:rPr>
                <w:rFonts w:ascii="Arial Narrow" w:hAnsi="Arial Narrow"/>
                <w:sz w:val="20"/>
              </w:rPr>
            </w:pPr>
          </w:p>
          <w:p w:rsidR="00960813" w:rsidRPr="00260CE3" w:rsidRDefault="00960813" w:rsidP="00A1607F">
            <w:pPr>
              <w:keepNext/>
              <w:ind w:left="-108"/>
              <w:rPr>
                <w:rFonts w:ascii="Arial Narrow" w:hAnsi="Arial Narrow"/>
                <w:sz w:val="20"/>
              </w:rPr>
            </w:pPr>
            <w:r>
              <w:rPr>
                <w:rFonts w:ascii="Arial Narrow" w:hAnsi="Arial Narrow"/>
                <w:sz w:val="20"/>
              </w:rPr>
              <w:t>5</w:t>
            </w:r>
          </w:p>
        </w:tc>
        <w:tc>
          <w:tcPr>
            <w:tcW w:w="1418" w:type="dxa"/>
          </w:tcPr>
          <w:p w:rsidR="00960813" w:rsidRPr="00260CE3" w:rsidRDefault="00960813" w:rsidP="00A1607F">
            <w:pPr>
              <w:keepNext/>
              <w:ind w:left="-108"/>
              <w:rPr>
                <w:rFonts w:ascii="Arial Narrow" w:hAnsi="Arial Narrow"/>
                <w:sz w:val="20"/>
              </w:rPr>
            </w:pPr>
          </w:p>
          <w:p w:rsidR="00960813" w:rsidRPr="00260CE3" w:rsidRDefault="00960813" w:rsidP="00A1607F">
            <w:pPr>
              <w:keepNext/>
              <w:ind w:left="-108"/>
              <w:rPr>
                <w:rFonts w:ascii="Arial Narrow" w:hAnsi="Arial Narrow"/>
                <w:sz w:val="20"/>
              </w:rPr>
            </w:pPr>
            <w:r w:rsidRPr="00260CE3">
              <w:rPr>
                <w:rFonts w:ascii="Arial Narrow" w:hAnsi="Arial Narrow"/>
                <w:sz w:val="20"/>
              </w:rPr>
              <w:t>$</w:t>
            </w:r>
            <w:r w:rsidR="00BE5FC9">
              <w:rPr>
                <w:rFonts w:ascii="Arial Narrow" w:hAnsi="Arial Narrow"/>
                <w:noProof/>
                <w:color w:val="000000"/>
                <w:sz w:val="20"/>
                <w:highlight w:val="black"/>
              </w:rPr>
              <w:t>''''''''''''''</w:t>
            </w:r>
          </w:p>
        </w:tc>
        <w:tc>
          <w:tcPr>
            <w:tcW w:w="1134" w:type="dxa"/>
          </w:tcPr>
          <w:p w:rsidR="00960813" w:rsidRPr="00260CE3" w:rsidRDefault="00960813" w:rsidP="00A1607F">
            <w:pPr>
              <w:keepNext/>
              <w:rPr>
                <w:rFonts w:ascii="Arial Narrow" w:hAnsi="Arial Narrow"/>
                <w:sz w:val="20"/>
              </w:rPr>
            </w:pPr>
            <w:r>
              <w:rPr>
                <w:rFonts w:ascii="Arial Narrow" w:hAnsi="Arial Narrow"/>
                <w:sz w:val="20"/>
              </w:rPr>
              <w:t>Brimica</w:t>
            </w:r>
            <w:r w:rsidRPr="00A557B3">
              <w:rPr>
                <w:rFonts w:ascii="Arial Narrow" w:hAnsi="Arial Narrow"/>
                <w:sz w:val="20"/>
                <w:vertAlign w:val="superscript"/>
              </w:rPr>
              <w:t>®</w:t>
            </w:r>
            <w:r>
              <w:rPr>
                <w:rFonts w:ascii="Arial Narrow" w:hAnsi="Arial Narrow"/>
                <w:sz w:val="20"/>
              </w:rPr>
              <w:t xml:space="preserve"> Genuair</w:t>
            </w:r>
            <w:r w:rsidRPr="00A557B3">
              <w:rPr>
                <w:rFonts w:ascii="Arial Narrow" w:hAnsi="Arial Narrow"/>
                <w:sz w:val="20"/>
                <w:vertAlign w:val="superscript"/>
              </w:rPr>
              <w:t>®</w:t>
            </w:r>
          </w:p>
        </w:tc>
        <w:tc>
          <w:tcPr>
            <w:tcW w:w="1275" w:type="dxa"/>
          </w:tcPr>
          <w:p w:rsidR="00960813" w:rsidRPr="00260CE3" w:rsidRDefault="00960813" w:rsidP="00A1607F">
            <w:pPr>
              <w:keepNext/>
              <w:rPr>
                <w:rFonts w:ascii="Arial Narrow" w:hAnsi="Arial Narrow"/>
                <w:sz w:val="20"/>
              </w:rPr>
            </w:pPr>
            <w:r>
              <w:rPr>
                <w:rFonts w:ascii="Arial Narrow" w:hAnsi="Arial Narrow"/>
                <w:sz w:val="20"/>
              </w:rPr>
              <w:t>A. Menarini</w:t>
            </w:r>
          </w:p>
        </w:tc>
      </w:tr>
      <w:tr w:rsidR="00960813" w:rsidRPr="00260CE3" w:rsidTr="00960813">
        <w:trPr>
          <w:cantSplit/>
          <w:trHeight w:val="360"/>
        </w:trPr>
        <w:tc>
          <w:tcPr>
            <w:tcW w:w="8363" w:type="dxa"/>
            <w:gridSpan w:val="7"/>
            <w:tcBorders>
              <w:bottom w:val="single" w:sz="4" w:space="0" w:color="auto"/>
            </w:tcBorders>
          </w:tcPr>
          <w:p w:rsidR="00960813" w:rsidRPr="00260CE3" w:rsidRDefault="00960813" w:rsidP="00A1607F">
            <w:pPr>
              <w:rPr>
                <w:rFonts w:ascii="Arial Narrow" w:hAnsi="Arial Narrow"/>
                <w:sz w:val="20"/>
              </w:rPr>
            </w:pP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sidRPr="00260CE3">
              <w:rPr>
                <w:rFonts w:ascii="Arial Narrow" w:hAnsi="Arial Narrow"/>
                <w:sz w:val="20"/>
              </w:rPr>
              <w:t>GENERAL – General Schedule (Code GE)</w:t>
            </w:r>
          </w:p>
          <w:p w:rsidR="00960813" w:rsidRPr="00260CE3" w:rsidRDefault="00960813" w:rsidP="00A1607F">
            <w:pPr>
              <w:rPr>
                <w:rFonts w:ascii="Arial Narrow" w:hAnsi="Arial Narrow"/>
                <w:sz w:val="20"/>
              </w:rPr>
            </w:pP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Prescriber type:</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3" w:name="Check3"/>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bookmarkEnd w:id="3"/>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Episodicity:</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Pr>
                <w:rFonts w:ascii="Arial Narrow" w:hAnsi="Arial Narrow"/>
                <w:sz w:val="20"/>
              </w:rPr>
              <w:t>-</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Severity:</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Pr>
                <w:rFonts w:ascii="Arial Narrow" w:hAnsi="Arial Narrow"/>
                <w:sz w:val="20"/>
              </w:rPr>
              <w:t>-</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Pr>
                <w:rFonts w:ascii="Arial Narrow" w:hAnsi="Arial Narrow"/>
                <w:sz w:val="20"/>
              </w:rPr>
              <w:t>Chronic obstructive pulmonary disease (COPD)</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Pr>
                <w:rFonts w:ascii="Arial Narrow" w:hAnsi="Arial Narrow"/>
                <w:sz w:val="20"/>
              </w:rPr>
              <w:t>Chronic obstructive pulmonary disease (COPD)</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t>Treatment phase:</w:t>
            </w:r>
          </w:p>
          <w:p w:rsidR="00960813" w:rsidRPr="00260CE3" w:rsidRDefault="00960813" w:rsidP="00A1607F">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Pr>
                <w:rFonts w:ascii="Arial Narrow" w:hAnsi="Arial Narrow"/>
                <w:sz w:val="20"/>
              </w:rPr>
              <w:t>-</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452908" w:rsidRDefault="00960813" w:rsidP="00A1607F">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106BCF" w:rsidRDefault="00960813" w:rsidP="00A1607F">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960813" w:rsidRPr="00106BCF" w:rsidRDefault="00960813" w:rsidP="00A1607F">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960813" w:rsidRPr="00106BCF" w:rsidRDefault="00960813" w:rsidP="00A1607F">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960813" w:rsidRPr="00106BCF" w:rsidRDefault="00960813" w:rsidP="00A1607F">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960813" w:rsidRPr="00106BCF" w:rsidRDefault="00960813" w:rsidP="00A1607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960813" w:rsidRPr="00260CE3" w:rsidRDefault="00960813" w:rsidP="00A1607F">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Streamlined</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B24CE8" w:rsidRDefault="00960813" w:rsidP="00A1607F">
            <w:pPr>
              <w:rPr>
                <w:rFonts w:ascii="Arial Narrow" w:hAnsi="Arial Narrow"/>
                <w:b/>
                <w:sz w:val="20"/>
              </w:rPr>
            </w:pPr>
            <w:r w:rsidRPr="00260CE3">
              <w:rPr>
                <w:rFonts w:ascii="Arial Narrow" w:hAnsi="Arial Narrow"/>
                <w:b/>
                <w:sz w:val="20"/>
              </w:rPr>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sz w:val="20"/>
              </w:rPr>
            </w:pPr>
            <w:r w:rsidRPr="00B24CE8">
              <w:rPr>
                <w:rFonts w:ascii="Arial Narrow" w:hAnsi="Arial Narrow"/>
                <w:sz w:val="20"/>
              </w:rPr>
              <w:t>Patient must have been stabilised on a combination of a long acting muscarinic antagonist and long acting beta-2 agonist.</w:t>
            </w:r>
          </w:p>
        </w:tc>
      </w:tr>
      <w:tr w:rsidR="00960813" w:rsidRPr="00260CE3" w:rsidTr="00960813">
        <w:trPr>
          <w:cantSplit/>
          <w:trHeight w:val="360"/>
        </w:trPr>
        <w:tc>
          <w:tcPr>
            <w:tcW w:w="2835" w:type="dxa"/>
            <w:tcBorders>
              <w:top w:val="single" w:sz="4" w:space="0" w:color="auto"/>
              <w:left w:val="single" w:sz="4" w:space="0" w:color="auto"/>
              <w:bottom w:val="single" w:sz="4" w:space="0" w:color="auto"/>
              <w:right w:val="single" w:sz="4" w:space="0" w:color="auto"/>
            </w:tcBorders>
          </w:tcPr>
          <w:p w:rsidR="00960813" w:rsidRPr="00260CE3" w:rsidRDefault="00960813" w:rsidP="00A1607F">
            <w:pPr>
              <w:rPr>
                <w:rFonts w:ascii="Arial Narrow" w:hAnsi="Arial Narrow"/>
                <w:b/>
                <w:sz w:val="20"/>
              </w:rPr>
            </w:pPr>
            <w:r w:rsidRPr="00260CE3">
              <w:rPr>
                <w:rFonts w:ascii="Arial Narrow" w:hAnsi="Arial Narrow"/>
                <w:b/>
                <w:sz w:val="20"/>
              </w:rPr>
              <w:lastRenderedPageBreak/>
              <w:t>Administrative Advice</w:t>
            </w:r>
          </w:p>
          <w:p w:rsidR="00960813" w:rsidRPr="00260CE3" w:rsidRDefault="00960813" w:rsidP="00A1607F">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960813" w:rsidRDefault="00960813" w:rsidP="00A1607F">
            <w:pPr>
              <w:rPr>
                <w:rFonts w:ascii="Arial Narrow" w:hAnsi="Arial Narrow"/>
                <w:sz w:val="20"/>
              </w:rPr>
            </w:pPr>
            <w:r w:rsidRPr="00B24CE8">
              <w:rPr>
                <w:rFonts w:ascii="Arial Narrow" w:hAnsi="Arial Narrow"/>
                <w:sz w:val="20"/>
              </w:rPr>
              <w:t>The treatment must not be used in combination with an ICS/LABA, or LAMA or LABA monotherapy.</w:t>
            </w:r>
          </w:p>
          <w:p w:rsidR="00960813" w:rsidRDefault="00960813" w:rsidP="00A1607F">
            <w:pPr>
              <w:rPr>
                <w:rFonts w:ascii="Arial Narrow" w:hAnsi="Arial Narrow"/>
                <w:sz w:val="20"/>
              </w:rPr>
            </w:pPr>
          </w:p>
          <w:p w:rsidR="00960813" w:rsidRDefault="00960813" w:rsidP="00A1607F">
            <w:pPr>
              <w:rPr>
                <w:rFonts w:ascii="Arial Narrow" w:hAnsi="Arial Narrow"/>
                <w:sz w:val="20"/>
              </w:rPr>
            </w:pPr>
            <w:r w:rsidRPr="00B24CE8">
              <w:rPr>
                <w:rFonts w:ascii="Arial Narrow" w:hAnsi="Arial Narrow"/>
                <w:sz w:val="20"/>
              </w:rPr>
              <w:t>A LAMA includes tiotropium, glycopyrronium, aclidinium or umeclidinium.</w:t>
            </w:r>
          </w:p>
          <w:p w:rsidR="00960813" w:rsidRDefault="00960813" w:rsidP="00A1607F">
            <w:pPr>
              <w:rPr>
                <w:rFonts w:ascii="Arial Narrow" w:hAnsi="Arial Narrow"/>
                <w:sz w:val="20"/>
              </w:rPr>
            </w:pPr>
          </w:p>
          <w:p w:rsidR="00960813" w:rsidRDefault="00960813" w:rsidP="00A1607F">
            <w:pPr>
              <w:rPr>
                <w:rFonts w:ascii="Arial Narrow" w:hAnsi="Arial Narrow"/>
                <w:sz w:val="20"/>
              </w:rPr>
            </w:pPr>
            <w:r w:rsidRPr="00B24CE8">
              <w:rPr>
                <w:rFonts w:ascii="Arial Narrow" w:hAnsi="Arial Narrow"/>
                <w:sz w:val="20"/>
              </w:rPr>
              <w:t xml:space="preserve">A LABA includes indacaterol, salmeterol, eformoterol or </w:t>
            </w:r>
            <w:r w:rsidRPr="00234398">
              <w:rPr>
                <w:rFonts w:ascii="Arial Narrow" w:hAnsi="Arial Narrow"/>
                <w:i/>
                <w:sz w:val="20"/>
              </w:rPr>
              <w:t>vilanterol</w:t>
            </w:r>
            <w:r w:rsidRPr="00B24CE8">
              <w:rPr>
                <w:rFonts w:ascii="Arial Narrow" w:hAnsi="Arial Narrow"/>
                <w:sz w:val="20"/>
              </w:rPr>
              <w:t>.</w:t>
            </w:r>
          </w:p>
          <w:p w:rsidR="00960813" w:rsidRDefault="00960813" w:rsidP="00A1607F">
            <w:pPr>
              <w:rPr>
                <w:rFonts w:ascii="Arial Narrow" w:hAnsi="Arial Narrow"/>
                <w:sz w:val="20"/>
              </w:rPr>
            </w:pPr>
          </w:p>
          <w:p w:rsidR="00960813" w:rsidRDefault="00960813" w:rsidP="00A1607F">
            <w:pPr>
              <w:rPr>
                <w:rFonts w:ascii="Arial Narrow" w:hAnsi="Arial Narrow"/>
                <w:sz w:val="20"/>
              </w:rPr>
            </w:pPr>
            <w:r w:rsidRPr="00B24CE8">
              <w:rPr>
                <w:rFonts w:ascii="Arial Narrow" w:hAnsi="Arial Narrow"/>
                <w:sz w:val="20"/>
              </w:rPr>
              <w:t>This product is not PBS-subsidised for the treatment of asthma.</w:t>
            </w:r>
          </w:p>
          <w:p w:rsidR="00960813" w:rsidRDefault="00960813" w:rsidP="00A1607F">
            <w:pPr>
              <w:rPr>
                <w:rFonts w:ascii="Arial Narrow" w:hAnsi="Arial Narrow"/>
                <w:sz w:val="20"/>
              </w:rPr>
            </w:pPr>
          </w:p>
          <w:p w:rsidR="00960813" w:rsidRPr="00260CE3" w:rsidRDefault="00960813" w:rsidP="00A1607F">
            <w:pPr>
              <w:rPr>
                <w:rFonts w:ascii="Arial Narrow" w:hAnsi="Arial Narrow"/>
                <w:sz w:val="20"/>
              </w:rPr>
            </w:pPr>
            <w:r w:rsidRPr="00A557B3">
              <w:rPr>
                <w:rFonts w:ascii="Arial Narrow" w:hAnsi="Arial Narrow"/>
                <w:sz w:val="20"/>
              </w:rPr>
              <w:t>This product is not indicated for the initiation of bronchodilator therapy in COPD.</w:t>
            </w:r>
          </w:p>
        </w:tc>
      </w:tr>
    </w:tbl>
    <w:p w:rsidR="00960813" w:rsidRPr="00882085" w:rsidRDefault="00960813" w:rsidP="004B1CB4"/>
    <w:p w:rsidR="002C2775" w:rsidRPr="00F30E15" w:rsidRDefault="00F30E15" w:rsidP="00EB0FDB">
      <w:pPr>
        <w:pStyle w:val="ListParagraph"/>
        <w:widowControl/>
        <w:numPr>
          <w:ilvl w:val="1"/>
          <w:numId w:val="4"/>
        </w:numPr>
        <w:rPr>
          <w:szCs w:val="22"/>
        </w:rPr>
      </w:pPr>
      <w:r w:rsidRPr="00F30E15">
        <w:rPr>
          <w:szCs w:val="22"/>
        </w:rPr>
        <w:t xml:space="preserve">The </w:t>
      </w:r>
      <w:r w:rsidR="00D63480">
        <w:rPr>
          <w:szCs w:val="22"/>
        </w:rPr>
        <w:t xml:space="preserve">requested </w:t>
      </w:r>
      <w:r w:rsidRPr="00F30E15">
        <w:rPr>
          <w:szCs w:val="22"/>
        </w:rPr>
        <w:t>listing was based on a</w:t>
      </w:r>
      <w:r w:rsidR="00B60939" w:rsidRPr="00F30E15">
        <w:rPr>
          <w:szCs w:val="22"/>
        </w:rPr>
        <w:t xml:space="preserve"> cost-min</w:t>
      </w:r>
      <w:r w:rsidRPr="00F30E15">
        <w:rPr>
          <w:szCs w:val="22"/>
        </w:rPr>
        <w:t>imisation</w:t>
      </w:r>
      <w:r w:rsidR="00B60939" w:rsidRPr="00F30E15">
        <w:rPr>
          <w:szCs w:val="22"/>
        </w:rPr>
        <w:t xml:space="preserve"> </w:t>
      </w:r>
      <w:r w:rsidRPr="00F30E15">
        <w:rPr>
          <w:szCs w:val="22"/>
        </w:rPr>
        <w:t>analysis v</w:t>
      </w:r>
      <w:r w:rsidR="00D63480">
        <w:rPr>
          <w:szCs w:val="22"/>
        </w:rPr>
        <w:t>ersu</w:t>
      </w:r>
      <w:r w:rsidRPr="00F30E15">
        <w:rPr>
          <w:szCs w:val="22"/>
        </w:rPr>
        <w:t>s glycopyrronium/indacaterol FDC and umeclidinium/vilanterol FDC.</w:t>
      </w:r>
      <w:r w:rsidR="0020385F" w:rsidRPr="00F30E15">
        <w:rPr>
          <w:szCs w:val="22"/>
        </w:rPr>
        <w:t xml:space="preserve"> </w:t>
      </w:r>
    </w:p>
    <w:p w:rsidR="004E43B2" w:rsidRDefault="004E43B2" w:rsidP="004B1CB4"/>
    <w:p w:rsidR="00E0164F" w:rsidRDefault="00E0164F" w:rsidP="00E05F59">
      <w:pPr>
        <w:ind w:firstLine="720"/>
        <w:rPr>
          <w:i/>
          <w:szCs w:val="22"/>
        </w:rPr>
      </w:pPr>
      <w:r w:rsidRPr="000A12E2">
        <w:rPr>
          <w:i/>
          <w:szCs w:val="22"/>
        </w:rPr>
        <w:t>For more detail on PBAC’s view, see section 7 “PBAC outcome”</w:t>
      </w:r>
    </w:p>
    <w:p w:rsidR="00E0164F" w:rsidRDefault="00E0164F" w:rsidP="004B1CB4"/>
    <w:p w:rsidR="009C3158" w:rsidRPr="00882085" w:rsidRDefault="009C3158" w:rsidP="004B1CB4"/>
    <w:p w:rsidR="00B50DB8" w:rsidRPr="00407F2D" w:rsidRDefault="00B50DB8" w:rsidP="00BD6CF3">
      <w:pPr>
        <w:pStyle w:val="PBACHeading1"/>
      </w:pPr>
      <w:bookmarkStart w:id="5" w:name="_Toc419455590"/>
      <w:r w:rsidRPr="00407F2D">
        <w:t>Background</w:t>
      </w:r>
      <w:bookmarkEnd w:id="5"/>
    </w:p>
    <w:p w:rsidR="00B60939" w:rsidRPr="00882085" w:rsidRDefault="00B60939" w:rsidP="00B60939">
      <w:pPr>
        <w:rPr>
          <w:szCs w:val="22"/>
        </w:rPr>
      </w:pPr>
    </w:p>
    <w:p w:rsidR="00B60939" w:rsidRPr="00F42D3B" w:rsidRDefault="002F4FB7" w:rsidP="00EB0FDB">
      <w:pPr>
        <w:pStyle w:val="ListParagraph"/>
        <w:widowControl/>
        <w:numPr>
          <w:ilvl w:val="1"/>
          <w:numId w:val="4"/>
        </w:numPr>
        <w:rPr>
          <w:szCs w:val="22"/>
        </w:rPr>
      </w:pPr>
      <w:r w:rsidRPr="00F42D3B">
        <w:t xml:space="preserve">TGA status: </w:t>
      </w:r>
      <w:r w:rsidR="00B60939" w:rsidRPr="00F42D3B">
        <w:t xml:space="preserve">The submission was made under TGA/PBAC Parallel Process. </w:t>
      </w:r>
      <w:r w:rsidR="0029730C" w:rsidRPr="00F42D3B">
        <w:t>The TGA approved the registration of aclidinium/eformoterol</w:t>
      </w:r>
      <w:r w:rsidRPr="00F42D3B">
        <w:t xml:space="preserve"> on 17 </w:t>
      </w:r>
      <w:r w:rsidR="00EB6B28" w:rsidRPr="00F42D3B">
        <w:t>April 2015</w:t>
      </w:r>
      <w:r w:rsidR="0029730C" w:rsidRPr="00F42D3B">
        <w:t xml:space="preserve">. At </w:t>
      </w:r>
      <w:r w:rsidR="00264D6A" w:rsidRPr="00F42D3B">
        <w:t xml:space="preserve">the time of </w:t>
      </w:r>
      <w:r w:rsidR="0040490E">
        <w:t>PBAC consideration</w:t>
      </w:r>
      <w:r w:rsidR="0040490E" w:rsidRPr="00F42D3B">
        <w:t xml:space="preserve"> </w:t>
      </w:r>
      <w:r w:rsidR="00D63480" w:rsidRPr="00F42D3B">
        <w:t>all relevant data were available</w:t>
      </w:r>
      <w:r w:rsidR="00DC1A2E" w:rsidRPr="00F42D3B">
        <w:t xml:space="preserve">. </w:t>
      </w:r>
    </w:p>
    <w:p w:rsidR="00B60939" w:rsidRPr="00882085" w:rsidRDefault="00B60939" w:rsidP="00B60939">
      <w:pPr>
        <w:pStyle w:val="ListParagraph"/>
        <w:rPr>
          <w:szCs w:val="22"/>
        </w:rPr>
      </w:pPr>
    </w:p>
    <w:p w:rsidR="002C2775" w:rsidRPr="00600088" w:rsidRDefault="00600088" w:rsidP="00EB0FDB">
      <w:pPr>
        <w:pStyle w:val="ListParagraph"/>
        <w:widowControl/>
        <w:numPr>
          <w:ilvl w:val="1"/>
          <w:numId w:val="4"/>
        </w:numPr>
        <w:rPr>
          <w:szCs w:val="22"/>
        </w:rPr>
      </w:pPr>
      <w:r w:rsidRPr="00600088">
        <w:rPr>
          <w:szCs w:val="22"/>
        </w:rPr>
        <w:t>This product had not been previously considered by the PBAC.</w:t>
      </w:r>
      <w:r w:rsidR="004C5B60">
        <w:rPr>
          <w:szCs w:val="22"/>
        </w:rPr>
        <w:t xml:space="preserve"> Aclidinium was recommended for listing by the PBAC in March 2014. Eformoterol is not listed as monotherapy for the treatment of COPD, however it is PBS listed in combination with budesonide (inhaled corticosteroid).</w:t>
      </w:r>
    </w:p>
    <w:p w:rsidR="00E55BB5" w:rsidRDefault="00E55BB5" w:rsidP="004B1CB4"/>
    <w:p w:rsidR="009C3158" w:rsidRDefault="009C3158">
      <w:pPr>
        <w:widowControl/>
        <w:jc w:val="left"/>
        <w:rPr>
          <w:b/>
          <w:szCs w:val="22"/>
        </w:rPr>
      </w:pPr>
    </w:p>
    <w:p w:rsidR="00B50DB8" w:rsidRPr="00407F2D" w:rsidRDefault="00B50DB8" w:rsidP="00BD6CF3">
      <w:pPr>
        <w:pStyle w:val="PBACHeading1"/>
      </w:pPr>
      <w:bookmarkStart w:id="6" w:name="_Toc419455591"/>
      <w:r w:rsidRPr="00407F2D">
        <w:t>Clinical place for the proposed therapy</w:t>
      </w:r>
      <w:bookmarkEnd w:id="6"/>
    </w:p>
    <w:p w:rsidR="00B60939" w:rsidRPr="00882085" w:rsidRDefault="00B60939" w:rsidP="00B60939">
      <w:pPr>
        <w:rPr>
          <w:szCs w:val="22"/>
        </w:rPr>
      </w:pPr>
    </w:p>
    <w:p w:rsidR="00B60939" w:rsidRPr="00B50DB8" w:rsidRDefault="004579CB" w:rsidP="00EB0FDB">
      <w:pPr>
        <w:pStyle w:val="ListParagraph"/>
        <w:widowControl/>
        <w:numPr>
          <w:ilvl w:val="1"/>
          <w:numId w:val="4"/>
        </w:numPr>
        <w:rPr>
          <w:szCs w:val="22"/>
        </w:rPr>
      </w:pPr>
      <w:r>
        <w:t xml:space="preserve">Aclidinium/eformoterol FDC would </w:t>
      </w:r>
      <w:r w:rsidR="004C5B60">
        <w:t>provide an alternative for other available</w:t>
      </w:r>
      <w:r>
        <w:t xml:space="preserve"> </w:t>
      </w:r>
      <w:r w:rsidR="002F4FB7">
        <w:t>long</w:t>
      </w:r>
      <w:r w:rsidR="002F4FB7">
        <w:noBreakHyphen/>
      </w:r>
      <w:r w:rsidR="004C5B60">
        <w:t>acting muscarinic receptor antagonist</w:t>
      </w:r>
      <w:r w:rsidR="004C5B60" w:rsidRPr="004F4B29">
        <w:t xml:space="preserve"> </w:t>
      </w:r>
      <w:r w:rsidR="004C5B60">
        <w:t>(</w:t>
      </w:r>
      <w:r w:rsidR="004C5B60" w:rsidRPr="004F4B29">
        <w:t>LAMA</w:t>
      </w:r>
      <w:r w:rsidR="004C5B60">
        <w:t>)</w:t>
      </w:r>
      <w:r w:rsidR="00B9727A">
        <w:t xml:space="preserve"> </w:t>
      </w:r>
      <w:r w:rsidR="004C5B60" w:rsidRPr="004F4B29">
        <w:t>/</w:t>
      </w:r>
      <w:r w:rsidR="004C5B60">
        <w:t xml:space="preserve"> long-acting selective β</w:t>
      </w:r>
      <w:r w:rsidR="004C5B60" w:rsidRPr="00472546">
        <w:rPr>
          <w:vertAlign w:val="subscript"/>
        </w:rPr>
        <w:t>2</w:t>
      </w:r>
      <w:r w:rsidR="004C5B60">
        <w:t xml:space="preserve"> agonist (</w:t>
      </w:r>
      <w:r w:rsidR="004C5B60" w:rsidRPr="004F4B29">
        <w:t>LABA</w:t>
      </w:r>
      <w:r w:rsidR="004C5B60">
        <w:t>)</w:t>
      </w:r>
      <w:r w:rsidR="004C5B60" w:rsidRPr="004F4B29">
        <w:t xml:space="preserve"> </w:t>
      </w:r>
      <w:r>
        <w:t xml:space="preserve">FDCs for mild, moderate and severe COPD, as defined by the </w:t>
      </w:r>
      <w:r w:rsidRPr="00E831B0">
        <w:t>Lung Foundation Australia</w:t>
      </w:r>
      <w:r>
        <w:t xml:space="preserve"> </w:t>
      </w:r>
      <w:r w:rsidRPr="00E831B0">
        <w:t>2014</w:t>
      </w:r>
      <w:r>
        <w:t xml:space="preserve"> </w:t>
      </w:r>
      <w:r w:rsidRPr="00E831B0">
        <w:t>clinical guidelines</w:t>
      </w:r>
      <w:r>
        <w:t>.</w:t>
      </w:r>
    </w:p>
    <w:p w:rsidR="00894489" w:rsidRDefault="00894489" w:rsidP="00894489">
      <w:pPr>
        <w:widowControl/>
        <w:rPr>
          <w:szCs w:val="22"/>
        </w:rPr>
      </w:pPr>
    </w:p>
    <w:p w:rsidR="009C3158" w:rsidRPr="002C2775" w:rsidRDefault="009C3158" w:rsidP="00894489">
      <w:pPr>
        <w:widowControl/>
        <w:rPr>
          <w:szCs w:val="22"/>
        </w:rPr>
      </w:pPr>
    </w:p>
    <w:p w:rsidR="00B60939" w:rsidRDefault="006278F2" w:rsidP="004B1CB4">
      <w:pPr>
        <w:pStyle w:val="PBACHeading1"/>
      </w:pPr>
      <w:bookmarkStart w:id="7" w:name="_Toc419455592"/>
      <w:r>
        <w:t>Comparator</w:t>
      </w:r>
      <w:bookmarkEnd w:id="7"/>
    </w:p>
    <w:p w:rsidR="006278F2" w:rsidRPr="00A24AC1" w:rsidRDefault="006278F2" w:rsidP="006278F2">
      <w:pPr>
        <w:pStyle w:val="PBACHeading1"/>
        <w:numPr>
          <w:ilvl w:val="0"/>
          <w:numId w:val="0"/>
        </w:numPr>
        <w:ind w:left="720"/>
      </w:pPr>
    </w:p>
    <w:p w:rsidR="002C2775" w:rsidRPr="00A24AC1" w:rsidRDefault="000D0FA3" w:rsidP="00EB0FDB">
      <w:pPr>
        <w:pStyle w:val="ListParagraph"/>
        <w:widowControl/>
        <w:numPr>
          <w:ilvl w:val="1"/>
          <w:numId w:val="4"/>
        </w:numPr>
        <w:rPr>
          <w:szCs w:val="22"/>
        </w:rPr>
      </w:pPr>
      <w:r w:rsidRPr="00A24AC1">
        <w:rPr>
          <w:szCs w:val="22"/>
        </w:rPr>
        <w:t>The nominated comparators were glycopyrronium/indacaterol FDC and umeclidinium/vilanterol FDC.</w:t>
      </w:r>
      <w:r w:rsidR="00F067A2" w:rsidRPr="00A24AC1">
        <w:rPr>
          <w:color w:val="3366FF"/>
        </w:rPr>
        <w:t xml:space="preserve"> </w:t>
      </w:r>
      <w:r w:rsidR="00D63480" w:rsidRPr="00A24AC1">
        <w:t>The submission nominated aclidinium monotherapy and eformoterol monotherapy</w:t>
      </w:r>
      <w:r w:rsidR="00D04740" w:rsidRPr="00A24AC1">
        <w:t xml:space="preserve"> as supportive comparators</w:t>
      </w:r>
      <w:r w:rsidR="00D63480" w:rsidRPr="00A24AC1">
        <w:t xml:space="preserve">. </w:t>
      </w:r>
      <w:r w:rsidR="00136842">
        <w:t>The PBAC considered that the comparators were appropriate.</w:t>
      </w:r>
    </w:p>
    <w:p w:rsidR="00B60939" w:rsidRDefault="00B60939" w:rsidP="00DF5D2B">
      <w:pPr>
        <w:rPr>
          <w:szCs w:val="22"/>
        </w:rPr>
      </w:pPr>
    </w:p>
    <w:p w:rsidR="009C3158" w:rsidRPr="00DF5D2B" w:rsidRDefault="009C3158" w:rsidP="00DF5D2B">
      <w:pPr>
        <w:rPr>
          <w:szCs w:val="22"/>
        </w:rPr>
      </w:pPr>
    </w:p>
    <w:p w:rsidR="00B50DB8" w:rsidRPr="00407F2D" w:rsidRDefault="00BD6CF3" w:rsidP="00BD6CF3">
      <w:pPr>
        <w:pStyle w:val="PBACHeading1"/>
      </w:pPr>
      <w:bookmarkStart w:id="8" w:name="_Toc419455593"/>
      <w:r>
        <w:t>C</w:t>
      </w:r>
      <w:r w:rsidR="00B50DB8" w:rsidRPr="00407F2D">
        <w:t>onsideration of the evidence</w:t>
      </w:r>
      <w:bookmarkEnd w:id="8"/>
    </w:p>
    <w:p w:rsidR="00B60939" w:rsidRDefault="00B60939" w:rsidP="00E0164F"/>
    <w:p w:rsidR="00F42D3B" w:rsidRDefault="00F42D3B" w:rsidP="000624B6">
      <w:pPr>
        <w:pStyle w:val="Heading2"/>
        <w:rPr>
          <w:bCs/>
          <w:i/>
          <w:szCs w:val="22"/>
        </w:rPr>
      </w:pPr>
      <w:r w:rsidRPr="000624B6">
        <w:rPr>
          <w:bCs/>
          <w:i/>
          <w:szCs w:val="22"/>
        </w:rPr>
        <w:t>Sponsor hearing</w:t>
      </w:r>
    </w:p>
    <w:p w:rsidR="000624B6" w:rsidRPr="000624B6" w:rsidRDefault="000624B6" w:rsidP="000624B6"/>
    <w:p w:rsidR="00F42D3B" w:rsidRPr="00F42D3B" w:rsidRDefault="00F42D3B" w:rsidP="00F42D3B">
      <w:pPr>
        <w:numPr>
          <w:ilvl w:val="1"/>
          <w:numId w:val="4"/>
        </w:numPr>
        <w:contextualSpacing/>
        <w:rPr>
          <w:bCs/>
          <w:szCs w:val="22"/>
        </w:rPr>
      </w:pPr>
      <w:r w:rsidRPr="00F42D3B">
        <w:rPr>
          <w:bCs/>
          <w:szCs w:val="22"/>
        </w:rPr>
        <w:t>There was no hearing for this item.</w:t>
      </w:r>
    </w:p>
    <w:p w:rsidR="00F42D3B" w:rsidRPr="00F42D3B" w:rsidRDefault="00F42D3B" w:rsidP="00F42D3B">
      <w:pPr>
        <w:rPr>
          <w:bCs/>
          <w:szCs w:val="22"/>
        </w:rPr>
      </w:pPr>
    </w:p>
    <w:p w:rsidR="00F42D3B" w:rsidRDefault="00F42D3B" w:rsidP="000624B6">
      <w:pPr>
        <w:pStyle w:val="Heading2"/>
        <w:rPr>
          <w:bCs/>
          <w:i/>
          <w:szCs w:val="22"/>
        </w:rPr>
      </w:pPr>
      <w:r w:rsidRPr="000624B6">
        <w:rPr>
          <w:bCs/>
          <w:i/>
          <w:szCs w:val="22"/>
        </w:rPr>
        <w:lastRenderedPageBreak/>
        <w:t>Consumer comments</w:t>
      </w:r>
    </w:p>
    <w:p w:rsidR="000624B6" w:rsidRPr="000624B6" w:rsidRDefault="000624B6" w:rsidP="000624B6"/>
    <w:p w:rsidR="00F42D3B" w:rsidRPr="00F42D3B" w:rsidRDefault="00F42D3B" w:rsidP="00F42D3B">
      <w:pPr>
        <w:numPr>
          <w:ilvl w:val="1"/>
          <w:numId w:val="4"/>
        </w:numPr>
        <w:contextualSpacing/>
        <w:rPr>
          <w:bCs/>
          <w:szCs w:val="22"/>
        </w:rPr>
      </w:pPr>
      <w:r w:rsidRPr="00F42D3B">
        <w:rPr>
          <w:bCs/>
          <w:szCs w:val="22"/>
        </w:rPr>
        <w:t>The PBAC noted that no consumer comments were received for this item.</w:t>
      </w:r>
    </w:p>
    <w:p w:rsidR="00E0164F" w:rsidRPr="00882085" w:rsidRDefault="00E0164F" w:rsidP="00E0164F"/>
    <w:p w:rsidR="00B60939" w:rsidRPr="002C2775" w:rsidRDefault="00B60939" w:rsidP="002C2775">
      <w:pPr>
        <w:pStyle w:val="Heading2"/>
        <w:rPr>
          <w:i/>
        </w:rPr>
      </w:pPr>
      <w:bookmarkStart w:id="9" w:name="_Toc419455594"/>
      <w:r w:rsidRPr="002C2775">
        <w:rPr>
          <w:i/>
        </w:rPr>
        <w:t>Clinical trials</w:t>
      </w:r>
      <w:bookmarkEnd w:id="9"/>
    </w:p>
    <w:p w:rsidR="00B60939" w:rsidRPr="00882085" w:rsidRDefault="00B60939" w:rsidP="00B60939">
      <w:pPr>
        <w:rPr>
          <w:szCs w:val="22"/>
        </w:rPr>
      </w:pPr>
    </w:p>
    <w:p w:rsidR="007F1017" w:rsidRPr="00B50DB8" w:rsidRDefault="00F504C3" w:rsidP="00EB0FDB">
      <w:pPr>
        <w:pStyle w:val="ListParagraph"/>
        <w:widowControl/>
        <w:numPr>
          <w:ilvl w:val="1"/>
          <w:numId w:val="4"/>
        </w:numPr>
        <w:rPr>
          <w:szCs w:val="22"/>
        </w:rPr>
      </w:pPr>
      <w:r w:rsidRPr="00F504C3">
        <w:t>The submission relied on five placebo-controlled trials of three treatments (aclidinium/eformoterol</w:t>
      </w:r>
      <w:r w:rsidR="003C0BE1">
        <w:t xml:space="preserve"> FDC</w:t>
      </w:r>
      <w:r w:rsidRPr="00F504C3">
        <w:t>, glycopyrronium/indacaterol</w:t>
      </w:r>
      <w:r w:rsidR="003C0BE1">
        <w:t xml:space="preserve"> FDC</w:t>
      </w:r>
      <w:r w:rsidRPr="00F504C3">
        <w:t xml:space="preserve"> and umeclidinium/vilanterol</w:t>
      </w:r>
      <w:r w:rsidR="003C0BE1">
        <w:t xml:space="preserve"> FDC</w:t>
      </w:r>
      <w:r w:rsidRPr="00F504C3">
        <w:t>).</w:t>
      </w:r>
      <w:r w:rsidR="00EF134E">
        <w:t xml:space="preserve"> The trials are presented in Figure 1</w:t>
      </w:r>
      <w:r w:rsidR="005C0243">
        <w:t xml:space="preserve"> below</w:t>
      </w:r>
      <w:r w:rsidR="00EF134E">
        <w:t>.</w:t>
      </w:r>
      <w:r>
        <w:rPr>
          <w:i/>
        </w:rPr>
        <w:t xml:space="preserve"> </w:t>
      </w:r>
      <w:r w:rsidRPr="00F504C3">
        <w:t>However</w:t>
      </w:r>
      <w:r w:rsidR="00B20F12">
        <w:t>,</w:t>
      </w:r>
      <w:r w:rsidR="00FE2F31">
        <w:rPr>
          <w:i/>
        </w:rPr>
        <w:t xml:space="preserve"> </w:t>
      </w:r>
      <w:r w:rsidR="00FE2F31">
        <w:t>th</w:t>
      </w:r>
      <w:r w:rsidR="00862502" w:rsidRPr="00862502">
        <w:t xml:space="preserve">e </w:t>
      </w:r>
      <w:r w:rsidR="005F1D01">
        <w:t xml:space="preserve">key </w:t>
      </w:r>
      <w:r w:rsidR="00352D28">
        <w:t>evidence was</w:t>
      </w:r>
      <w:r w:rsidR="00862502" w:rsidRPr="00862502">
        <w:t xml:space="preserve"> based on </w:t>
      </w:r>
      <w:r w:rsidR="00352D28">
        <w:t xml:space="preserve">a network meta-analysis </w:t>
      </w:r>
      <w:r>
        <w:t>that comprised</w:t>
      </w:r>
      <w:r w:rsidR="00352D28">
        <w:t xml:space="preserve"> six placebo-controlled trials. </w:t>
      </w:r>
      <w:r w:rsidR="00B7131C">
        <w:t>One trial included</w:t>
      </w:r>
      <w:r w:rsidR="005F1D01" w:rsidRPr="00265DBE">
        <w:t xml:space="preserve"> </w:t>
      </w:r>
      <w:r w:rsidR="00D01CF8" w:rsidRPr="00265DBE">
        <w:t>tiotropium</w:t>
      </w:r>
      <w:r w:rsidR="00D63480">
        <w:t xml:space="preserve"> 18 µg plus e</w:t>
      </w:r>
      <w:r w:rsidR="00D01CF8" w:rsidRPr="00265DBE">
        <w:t xml:space="preserve">formoterol 10 µg </w:t>
      </w:r>
      <w:r w:rsidR="00413BC1">
        <w:t xml:space="preserve">which </w:t>
      </w:r>
      <w:r w:rsidR="005F1D01" w:rsidRPr="00265DBE">
        <w:t>was not presented in the submission as a comparator.</w:t>
      </w:r>
      <w:r w:rsidR="00A40705">
        <w:rPr>
          <w:i/>
        </w:rPr>
        <w:t xml:space="preserve"> </w:t>
      </w:r>
      <w:r w:rsidR="00D72696">
        <w:t xml:space="preserve">Additionally, </w:t>
      </w:r>
      <w:r w:rsidR="00C67E55">
        <w:t xml:space="preserve">the submission presented </w:t>
      </w:r>
      <w:r w:rsidR="00D72696">
        <w:t xml:space="preserve">efficacy and safety of </w:t>
      </w:r>
      <w:r w:rsidR="00D72696" w:rsidRPr="00D72696">
        <w:t>aclidinium/eformoterol</w:t>
      </w:r>
      <w:r w:rsidR="00D72696">
        <w:t xml:space="preserve"> FDC </w:t>
      </w:r>
      <w:r w:rsidR="00F47B07">
        <w:t xml:space="preserve">compared </w:t>
      </w:r>
      <w:r w:rsidR="006B5282">
        <w:t>to its individual constituent products</w:t>
      </w:r>
      <w:r w:rsidR="00D72696">
        <w:t xml:space="preserve">. </w:t>
      </w:r>
      <w:r w:rsidR="006B5282">
        <w:t xml:space="preserve">This analysis </w:t>
      </w:r>
      <w:r w:rsidR="002916D0">
        <w:t>was based on two trials</w:t>
      </w:r>
      <w:r w:rsidR="00CE743F">
        <w:t>, which were</w:t>
      </w:r>
      <w:r w:rsidR="002916D0">
        <w:t xml:space="preserve"> included in the </w:t>
      </w:r>
      <w:r w:rsidR="00CE743F">
        <w:t xml:space="preserve">above </w:t>
      </w:r>
      <w:r w:rsidR="002916D0">
        <w:t>network meta-analysis</w:t>
      </w:r>
      <w:r w:rsidR="00D72696">
        <w:t>.</w:t>
      </w:r>
    </w:p>
    <w:p w:rsidR="00862502" w:rsidRDefault="00862502" w:rsidP="00862502">
      <w:pPr>
        <w:widowControl/>
        <w:rPr>
          <w:szCs w:val="22"/>
        </w:rPr>
      </w:pPr>
    </w:p>
    <w:p w:rsidR="00FE2F31" w:rsidRPr="00C7749B" w:rsidRDefault="00FE2F31" w:rsidP="005B70BA">
      <w:pPr>
        <w:keepNext/>
        <w:keepLines/>
        <w:widowControl/>
        <w:ind w:left="709"/>
        <w:rPr>
          <w:rStyle w:val="CommentReference"/>
        </w:rPr>
      </w:pPr>
      <w:r w:rsidRPr="00C7749B">
        <w:rPr>
          <w:rStyle w:val="CommentReference"/>
        </w:rPr>
        <w:t xml:space="preserve">Figure 1: </w:t>
      </w:r>
      <w:r w:rsidR="00C7749B" w:rsidRPr="00C7749B">
        <w:rPr>
          <w:rStyle w:val="CommentReference"/>
        </w:rPr>
        <w:t>Clinical evidence presented in the submission</w:t>
      </w:r>
    </w:p>
    <w:p w:rsidR="00FE2F31" w:rsidRDefault="00AA416A" w:rsidP="005B70BA">
      <w:pPr>
        <w:keepNext/>
        <w:keepLines/>
        <w:widowControl/>
        <w:ind w:left="709"/>
        <w:rPr>
          <w:szCs w:val="22"/>
        </w:rPr>
      </w:pPr>
      <w:r>
        <w:rPr>
          <w:noProof/>
          <w:snapToGrid/>
          <w:szCs w:val="22"/>
          <w:lang w:eastAsia="en-AU"/>
        </w:rPr>
        <w:drawing>
          <wp:inline distT="0" distB="0" distL="0" distR="0" wp14:anchorId="6F6975ED" wp14:editId="3BDDEC0D">
            <wp:extent cx="4355311" cy="2781300"/>
            <wp:effectExtent l="0" t="0" r="7620" b="0"/>
            <wp:docPr id="3" name="Picture 3" descr="The figure is a diagram of the clinical evidence presented in the submission. " title="Figure 1: Clinical evidence presented in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i-formoterol flow chart.png"/>
                    <pic:cNvPicPr/>
                  </pic:nvPicPr>
                  <pic:blipFill>
                    <a:blip r:embed="rId9">
                      <a:extLst>
                        <a:ext uri="{28A0092B-C50C-407E-A947-70E740481C1C}">
                          <a14:useLocalDpi xmlns:a14="http://schemas.microsoft.com/office/drawing/2010/main" val="0"/>
                        </a:ext>
                      </a:extLst>
                    </a:blip>
                    <a:stretch>
                      <a:fillRect/>
                    </a:stretch>
                  </pic:blipFill>
                  <pic:spPr>
                    <a:xfrm>
                      <a:off x="0" y="0"/>
                      <a:ext cx="4353382" cy="2780068"/>
                    </a:xfrm>
                    <a:prstGeom prst="rect">
                      <a:avLst/>
                    </a:prstGeom>
                  </pic:spPr>
                </pic:pic>
              </a:graphicData>
            </a:graphic>
          </wp:inline>
        </w:drawing>
      </w:r>
    </w:p>
    <w:p w:rsidR="00FE2F31" w:rsidRPr="00FE2F31" w:rsidRDefault="00FE2F31" w:rsidP="005B70BA">
      <w:pPr>
        <w:pStyle w:val="TableFooter"/>
        <w:keepNext/>
        <w:keepLines/>
        <w:ind w:left="709"/>
      </w:pPr>
      <w:r w:rsidRPr="00FE2F31">
        <w:t>Source: Compiled during evaluation</w:t>
      </w:r>
    </w:p>
    <w:p w:rsidR="00FE2F31" w:rsidRDefault="00FE2F31" w:rsidP="005B70BA">
      <w:pPr>
        <w:pStyle w:val="TableFooter"/>
        <w:keepNext/>
        <w:keepLines/>
        <w:ind w:left="709"/>
      </w:pPr>
      <w:r w:rsidRPr="00FE2F31">
        <w:t xml:space="preserve">Acli = aclidinium; </w:t>
      </w:r>
      <w:r w:rsidR="00EE489E">
        <w:t xml:space="preserve">Efor </w:t>
      </w:r>
      <w:r w:rsidR="00215628">
        <w:t>=</w:t>
      </w:r>
      <w:r w:rsidRPr="00FE2F31">
        <w:t xml:space="preserve"> eformoterol; </w:t>
      </w:r>
      <w:r w:rsidR="00EE489E">
        <w:t xml:space="preserve">Gly </w:t>
      </w:r>
      <w:r w:rsidR="00215628">
        <w:t>=</w:t>
      </w:r>
      <w:r w:rsidRPr="00FE2F31">
        <w:t xml:space="preserve"> glycopyrronium; </w:t>
      </w:r>
      <w:r w:rsidR="00EE489E">
        <w:t xml:space="preserve">Ind </w:t>
      </w:r>
      <w:r w:rsidR="00215628">
        <w:t>=</w:t>
      </w:r>
      <w:r w:rsidRPr="00FE2F31">
        <w:t xml:space="preserve"> indacaterol; </w:t>
      </w:r>
      <w:r w:rsidR="00EE489E">
        <w:t xml:space="preserve">Umec </w:t>
      </w:r>
      <w:r w:rsidR="00215628">
        <w:t>=</w:t>
      </w:r>
      <w:r w:rsidRPr="00FE2F31">
        <w:t xml:space="preserve"> umeclidinium; </w:t>
      </w:r>
      <w:r w:rsidR="00EE489E">
        <w:t xml:space="preserve">Vi </w:t>
      </w:r>
      <w:r w:rsidR="00215628">
        <w:t>=</w:t>
      </w:r>
      <w:r w:rsidRPr="00FE2F31">
        <w:t xml:space="preserve"> vilanterol; wks</w:t>
      </w:r>
      <w:r w:rsidR="007603C1">
        <w:t> </w:t>
      </w:r>
      <w:r w:rsidRPr="00FE2F31">
        <w:t>=</w:t>
      </w:r>
      <w:r w:rsidR="007603C1">
        <w:t> </w:t>
      </w:r>
      <w:r w:rsidRPr="00FE2F31">
        <w:t>weeks; PBS = Pharmaceutical Benefits Scheme; COPD = chronic obstr</w:t>
      </w:r>
      <w:r w:rsidR="00735FFF">
        <w:t>uctive pulmonary disease</w:t>
      </w:r>
    </w:p>
    <w:p w:rsidR="00FE2F31" w:rsidRPr="00862502" w:rsidRDefault="00FE2F31" w:rsidP="00862502">
      <w:pPr>
        <w:widowControl/>
        <w:rPr>
          <w:szCs w:val="22"/>
        </w:rPr>
      </w:pPr>
    </w:p>
    <w:p w:rsidR="00862502" w:rsidRPr="00B50DB8" w:rsidRDefault="00862502" w:rsidP="00EB0FDB">
      <w:pPr>
        <w:pStyle w:val="ListParagraph"/>
        <w:widowControl/>
        <w:numPr>
          <w:ilvl w:val="1"/>
          <w:numId w:val="4"/>
        </w:numPr>
        <w:rPr>
          <w:szCs w:val="22"/>
        </w:rPr>
      </w:pPr>
      <w:r w:rsidRPr="00B50DB8">
        <w:rPr>
          <w:szCs w:val="22"/>
        </w:rPr>
        <w:t xml:space="preserve">Details of the </w:t>
      </w:r>
      <w:r w:rsidR="00076D42">
        <w:rPr>
          <w:szCs w:val="22"/>
        </w:rPr>
        <w:t xml:space="preserve">five </w:t>
      </w:r>
      <w:r w:rsidRPr="00B50DB8">
        <w:rPr>
          <w:szCs w:val="22"/>
        </w:rPr>
        <w:t xml:space="preserve">trials </w:t>
      </w:r>
      <w:r w:rsidR="00BB00C9">
        <w:rPr>
          <w:szCs w:val="22"/>
        </w:rPr>
        <w:t>included</w:t>
      </w:r>
      <w:r w:rsidRPr="00B50DB8">
        <w:rPr>
          <w:szCs w:val="22"/>
        </w:rPr>
        <w:t xml:space="preserve"> in the </w:t>
      </w:r>
      <w:r w:rsidR="00076D42">
        <w:rPr>
          <w:szCs w:val="22"/>
        </w:rPr>
        <w:t xml:space="preserve">network meta-analysis </w:t>
      </w:r>
      <w:r w:rsidR="00BB00C9">
        <w:rPr>
          <w:szCs w:val="22"/>
        </w:rPr>
        <w:t xml:space="preserve">used for the generation of </w:t>
      </w:r>
      <w:r w:rsidR="003C0BE1">
        <w:rPr>
          <w:szCs w:val="22"/>
        </w:rPr>
        <w:t xml:space="preserve">the </w:t>
      </w:r>
      <w:r w:rsidR="00BB00C9">
        <w:rPr>
          <w:szCs w:val="22"/>
        </w:rPr>
        <w:t xml:space="preserve">key evidence </w:t>
      </w:r>
      <w:r w:rsidRPr="00B50DB8">
        <w:rPr>
          <w:szCs w:val="22"/>
        </w:rPr>
        <w:t>ar</w:t>
      </w:r>
      <w:r w:rsidR="009D3952">
        <w:rPr>
          <w:szCs w:val="22"/>
        </w:rPr>
        <w:t>e provided in the following table</w:t>
      </w:r>
      <w:r w:rsidR="00752F46">
        <w:rPr>
          <w:szCs w:val="22"/>
        </w:rPr>
        <w:t xml:space="preserve">. </w:t>
      </w:r>
    </w:p>
    <w:p w:rsidR="00862502" w:rsidRPr="00862502" w:rsidRDefault="00862502" w:rsidP="00862502">
      <w:pPr>
        <w:widowControl/>
        <w:rPr>
          <w:szCs w:val="22"/>
        </w:rPr>
      </w:pPr>
    </w:p>
    <w:p w:rsidR="008F120A" w:rsidRDefault="008F120A" w:rsidP="000B4DCE">
      <w:pPr>
        <w:keepNext/>
        <w:keepLines/>
        <w:ind w:firstLine="720"/>
        <w:rPr>
          <w:rStyle w:val="CommentReference"/>
        </w:rPr>
      </w:pPr>
      <w:r w:rsidRPr="000812CA">
        <w:rPr>
          <w:rStyle w:val="CommentReference"/>
        </w:rPr>
        <w:t xml:space="preserve">Table </w:t>
      </w:r>
      <w:r w:rsidR="00AC7104">
        <w:rPr>
          <w:rStyle w:val="CommentReference"/>
        </w:rPr>
        <w:t>1</w:t>
      </w:r>
      <w:r w:rsidRPr="000812CA">
        <w:rPr>
          <w:rStyle w:val="CommentReference"/>
        </w:rPr>
        <w:t>: Trials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81"/>
        <w:gridCol w:w="6012"/>
        <w:gridCol w:w="1253"/>
      </w:tblGrid>
      <w:tr w:rsidR="000B4DCE" w:rsidRPr="004E2ADC" w:rsidTr="00D5039F">
        <w:trPr>
          <w:tblHeader/>
        </w:trPr>
        <w:tc>
          <w:tcPr>
            <w:tcW w:w="0" w:type="auto"/>
          </w:tcPr>
          <w:p w:rsidR="000B4DCE" w:rsidRPr="004E2ADC" w:rsidRDefault="000B4DCE" w:rsidP="000B4DCE">
            <w:pPr>
              <w:keepNext/>
              <w:keepLines/>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0" w:type="auto"/>
          </w:tcPr>
          <w:p w:rsidR="000B4DCE" w:rsidRPr="004E2ADC" w:rsidRDefault="000B4DCE" w:rsidP="000B4DCE">
            <w:pPr>
              <w:keepNext/>
              <w:keepLines/>
              <w:jc w:val="center"/>
              <w:rPr>
                <w:rFonts w:ascii="Arial Narrow" w:hAnsi="Arial Narrow"/>
                <w:b/>
                <w:sz w:val="20"/>
              </w:rPr>
            </w:pPr>
            <w:r w:rsidRPr="004E2ADC">
              <w:rPr>
                <w:rFonts w:ascii="Arial Narrow" w:hAnsi="Arial Narrow"/>
                <w:b/>
                <w:sz w:val="20"/>
              </w:rPr>
              <w:t>Protocol title/ Publication title</w:t>
            </w:r>
          </w:p>
        </w:tc>
        <w:tc>
          <w:tcPr>
            <w:tcW w:w="0" w:type="auto"/>
          </w:tcPr>
          <w:p w:rsidR="000B4DCE" w:rsidRPr="004E2ADC" w:rsidRDefault="000B4DCE" w:rsidP="000B4DCE">
            <w:pPr>
              <w:keepNext/>
              <w:keepLines/>
              <w:jc w:val="center"/>
              <w:rPr>
                <w:rFonts w:ascii="Arial Narrow" w:hAnsi="Arial Narrow"/>
                <w:b/>
                <w:sz w:val="20"/>
              </w:rPr>
            </w:pPr>
            <w:r w:rsidRPr="004E2ADC">
              <w:rPr>
                <w:rFonts w:ascii="Arial Narrow" w:hAnsi="Arial Narrow"/>
                <w:b/>
                <w:sz w:val="20"/>
              </w:rPr>
              <w:t>Publication citation</w:t>
            </w:r>
          </w:p>
        </w:tc>
      </w:tr>
      <w:tr w:rsidR="000B4DCE" w:rsidRPr="004E2ADC" w:rsidTr="0000744D">
        <w:tc>
          <w:tcPr>
            <w:tcW w:w="0" w:type="auto"/>
            <w:gridSpan w:val="3"/>
          </w:tcPr>
          <w:p w:rsidR="000B4DCE" w:rsidRPr="004E2ADC" w:rsidRDefault="000B4DCE" w:rsidP="000B4DCE">
            <w:pPr>
              <w:keepNext/>
              <w:keepLines/>
              <w:jc w:val="left"/>
              <w:rPr>
                <w:rFonts w:ascii="Arial Narrow" w:hAnsi="Arial Narrow"/>
                <w:b/>
                <w:sz w:val="20"/>
              </w:rPr>
            </w:pPr>
            <w:r>
              <w:rPr>
                <w:rFonts w:ascii="Arial Narrow" w:hAnsi="Arial Narrow"/>
                <w:b/>
                <w:sz w:val="20"/>
              </w:rPr>
              <w:t>Aclidinium/</w:t>
            </w:r>
            <w:r w:rsidR="007603C1">
              <w:rPr>
                <w:rFonts w:ascii="Arial Narrow" w:hAnsi="Arial Narrow"/>
                <w:b/>
                <w:sz w:val="20"/>
              </w:rPr>
              <w:t>e</w:t>
            </w:r>
            <w:r>
              <w:rPr>
                <w:rFonts w:ascii="Arial Narrow" w:hAnsi="Arial Narrow"/>
                <w:b/>
                <w:sz w:val="20"/>
              </w:rPr>
              <w:t>formoterol FDC vs. placebo</w:t>
            </w:r>
          </w:p>
        </w:tc>
      </w:tr>
      <w:tr w:rsidR="000B4DCE" w:rsidRPr="004E2ADC" w:rsidTr="00D5039F">
        <w:tc>
          <w:tcPr>
            <w:tcW w:w="0" w:type="auto"/>
          </w:tcPr>
          <w:p w:rsidR="000B4DCE" w:rsidRPr="004E2ADC" w:rsidRDefault="000B4DCE" w:rsidP="000B4DCE">
            <w:pPr>
              <w:keepNext/>
              <w:keepLines/>
              <w:jc w:val="left"/>
              <w:rPr>
                <w:rFonts w:ascii="Arial Narrow" w:hAnsi="Arial Narrow"/>
                <w:sz w:val="20"/>
              </w:rPr>
            </w:pPr>
            <w:r w:rsidRPr="00ED57AC">
              <w:rPr>
                <w:rFonts w:ascii="Arial Narrow" w:hAnsi="Arial Narrow"/>
                <w:sz w:val="20"/>
              </w:rPr>
              <w:t>ACLIFORM</w:t>
            </w:r>
          </w:p>
        </w:tc>
        <w:tc>
          <w:tcPr>
            <w:tcW w:w="0" w:type="auto"/>
          </w:tcPr>
          <w:p w:rsidR="007603C1" w:rsidRPr="00D5039F" w:rsidRDefault="007603C1" w:rsidP="000B4DCE">
            <w:pPr>
              <w:keepNext/>
              <w:keepLines/>
              <w:jc w:val="left"/>
              <w:rPr>
                <w:rFonts w:ascii="Arial Narrow" w:hAnsi="Arial Narrow"/>
                <w:sz w:val="20"/>
              </w:rPr>
            </w:pPr>
            <w:r w:rsidRPr="00D5039F">
              <w:rPr>
                <w:rFonts w:ascii="Arial Narrow" w:hAnsi="Arial Narrow"/>
              </w:rPr>
              <w:t>E</w:t>
            </w:r>
            <w:r w:rsidRPr="00D5039F">
              <w:rPr>
                <w:rFonts w:ascii="Arial Narrow" w:hAnsi="Arial Narrow"/>
                <w:sz w:val="20"/>
              </w:rPr>
              <w:t>fficacy And Safety Of Aclidinium Bromide/Eformoterol Fumarate Fixed-Dose Combinations Compared With Individual Components And Placebo When Administered To Patients With Stable Chronic Obstructive Pulmonary Disease. Clinical Study Report M/40464/30R</w:t>
            </w:r>
            <w:r w:rsidR="003C0BE1">
              <w:rPr>
                <w:rFonts w:ascii="Arial Narrow" w:hAnsi="Arial Narrow"/>
                <w:sz w:val="20"/>
              </w:rPr>
              <w:t>.</w:t>
            </w:r>
            <w:r w:rsidRPr="00D5039F">
              <w:rPr>
                <w:rFonts w:ascii="Arial Narrow" w:hAnsi="Arial Narrow"/>
                <w:sz w:val="20"/>
              </w:rPr>
              <w:t xml:space="preserve"> </w:t>
            </w:r>
          </w:p>
          <w:p w:rsidR="007603C1" w:rsidRDefault="007603C1" w:rsidP="000B4DCE">
            <w:pPr>
              <w:keepNext/>
              <w:keepLines/>
              <w:jc w:val="left"/>
              <w:rPr>
                <w:rFonts w:ascii="Arial Narrow" w:hAnsi="Arial Narrow"/>
                <w:sz w:val="20"/>
              </w:rPr>
            </w:pPr>
          </w:p>
          <w:p w:rsidR="000B4DCE" w:rsidRPr="004E2ADC" w:rsidRDefault="000B4DCE" w:rsidP="000B4DCE">
            <w:pPr>
              <w:keepNext/>
              <w:keepLines/>
              <w:jc w:val="left"/>
              <w:rPr>
                <w:rFonts w:ascii="Arial Narrow" w:hAnsi="Arial Narrow"/>
                <w:b/>
                <w:sz w:val="20"/>
              </w:rPr>
            </w:pPr>
            <w:r w:rsidRPr="00196658">
              <w:rPr>
                <w:rFonts w:ascii="Arial Narrow" w:hAnsi="Arial Narrow"/>
                <w:sz w:val="20"/>
              </w:rPr>
              <w:t xml:space="preserve">Singh D, Jones PW, Bateman ED, </w:t>
            </w:r>
            <w:r w:rsidRPr="00D5039F">
              <w:rPr>
                <w:rFonts w:ascii="Arial Narrow" w:hAnsi="Arial Narrow"/>
                <w:i/>
                <w:sz w:val="20"/>
              </w:rPr>
              <w:t>et al</w:t>
            </w:r>
            <w:r w:rsidRPr="00196658">
              <w:rPr>
                <w:rFonts w:ascii="Arial Narrow" w:hAnsi="Arial Narrow"/>
                <w:sz w:val="20"/>
              </w:rPr>
              <w:t>. Efficacy and safety of aclidinium bromide/formoterol fumarate fixed-dose combinations compared with individual components and placebo in patients with COPD (ACLIFORM-COPD): a multicentre, randomised study</w:t>
            </w:r>
            <w:r w:rsidR="007603C1">
              <w:rPr>
                <w:rFonts w:ascii="Arial Narrow" w:hAnsi="Arial Narrow"/>
                <w:sz w:val="20"/>
              </w:rPr>
              <w:t>.</w:t>
            </w:r>
          </w:p>
        </w:tc>
        <w:tc>
          <w:tcPr>
            <w:tcW w:w="0" w:type="auto"/>
          </w:tcPr>
          <w:p w:rsidR="007603C1" w:rsidRDefault="007603C1" w:rsidP="000B4DCE">
            <w:pPr>
              <w:keepNext/>
              <w:keepLines/>
              <w:jc w:val="left"/>
              <w:rPr>
                <w:rFonts w:ascii="Arial Narrow" w:hAnsi="Arial Narrow"/>
                <w:i/>
                <w:sz w:val="20"/>
              </w:rPr>
            </w:pPr>
            <w:r>
              <w:rPr>
                <w:rFonts w:ascii="Arial Narrow" w:hAnsi="Arial Narrow"/>
                <w:i/>
                <w:sz w:val="20"/>
              </w:rPr>
              <w:t>19 August 2013</w:t>
            </w:r>
          </w:p>
          <w:p w:rsidR="007603C1" w:rsidRDefault="007603C1" w:rsidP="000B4DCE">
            <w:pPr>
              <w:keepNext/>
              <w:keepLines/>
              <w:jc w:val="left"/>
              <w:rPr>
                <w:rFonts w:ascii="Arial Narrow" w:hAnsi="Arial Narrow"/>
                <w:i/>
                <w:sz w:val="20"/>
              </w:rPr>
            </w:pPr>
            <w:r w:rsidRPr="00027D45">
              <w:rPr>
                <w:rFonts w:ascii="Arial Narrow" w:hAnsi="Arial Narrow"/>
                <w:i/>
                <w:sz w:val="20"/>
              </w:rPr>
              <w:t>NCT</w:t>
            </w:r>
            <w:r>
              <w:rPr>
                <w:rFonts w:ascii="Arial Narrow" w:hAnsi="Arial Narrow"/>
                <w:i/>
                <w:sz w:val="20"/>
              </w:rPr>
              <w:t>0</w:t>
            </w:r>
            <w:r w:rsidRPr="00027D45">
              <w:rPr>
                <w:rFonts w:ascii="Arial Narrow" w:hAnsi="Arial Narrow"/>
                <w:i/>
                <w:sz w:val="20"/>
              </w:rPr>
              <w:t>1462942</w:t>
            </w:r>
          </w:p>
          <w:p w:rsidR="007603C1" w:rsidRDefault="007603C1" w:rsidP="000B4DCE">
            <w:pPr>
              <w:keepNext/>
              <w:keepLines/>
              <w:jc w:val="left"/>
              <w:rPr>
                <w:rFonts w:ascii="Arial Narrow" w:hAnsi="Arial Narrow"/>
                <w:i/>
                <w:sz w:val="20"/>
              </w:rPr>
            </w:pPr>
          </w:p>
          <w:p w:rsidR="007603C1" w:rsidRDefault="007603C1" w:rsidP="000B4DCE">
            <w:pPr>
              <w:keepNext/>
              <w:keepLines/>
              <w:jc w:val="left"/>
              <w:rPr>
                <w:rFonts w:ascii="Arial Narrow" w:hAnsi="Arial Narrow"/>
                <w:i/>
                <w:sz w:val="20"/>
              </w:rPr>
            </w:pPr>
          </w:p>
          <w:p w:rsidR="007603C1" w:rsidRDefault="007603C1" w:rsidP="000B4DCE">
            <w:pPr>
              <w:keepNext/>
              <w:keepLines/>
              <w:jc w:val="left"/>
              <w:rPr>
                <w:rFonts w:ascii="Arial Narrow" w:hAnsi="Arial Narrow"/>
                <w:i/>
                <w:sz w:val="20"/>
              </w:rPr>
            </w:pPr>
          </w:p>
          <w:p w:rsidR="000B4DCE" w:rsidRDefault="000B4DCE" w:rsidP="000B4DCE">
            <w:pPr>
              <w:keepNext/>
              <w:keepLines/>
              <w:jc w:val="left"/>
              <w:rPr>
                <w:rFonts w:ascii="Arial Narrow" w:hAnsi="Arial Narrow"/>
                <w:sz w:val="20"/>
              </w:rPr>
            </w:pPr>
            <w:r w:rsidRPr="00430E50">
              <w:rPr>
                <w:rFonts w:ascii="Arial Narrow" w:hAnsi="Arial Narrow"/>
                <w:i/>
                <w:sz w:val="20"/>
              </w:rPr>
              <w:t>BMC Pulm Med</w:t>
            </w:r>
            <w:r w:rsidRPr="00430E50">
              <w:rPr>
                <w:rFonts w:ascii="Arial Narrow" w:hAnsi="Arial Narrow"/>
                <w:sz w:val="20"/>
              </w:rPr>
              <w:t xml:space="preserve"> </w:t>
            </w:r>
          </w:p>
          <w:p w:rsidR="000B4DCE" w:rsidRPr="00027D45" w:rsidRDefault="000B4DCE" w:rsidP="007603C1">
            <w:pPr>
              <w:keepNext/>
              <w:keepLines/>
              <w:jc w:val="left"/>
              <w:rPr>
                <w:rFonts w:ascii="Arial Narrow" w:hAnsi="Arial Narrow"/>
                <w:b/>
                <w:i/>
                <w:sz w:val="20"/>
              </w:rPr>
            </w:pPr>
            <w:r>
              <w:rPr>
                <w:rFonts w:ascii="Arial Narrow" w:hAnsi="Arial Narrow"/>
                <w:sz w:val="20"/>
              </w:rPr>
              <w:t xml:space="preserve">2014; </w:t>
            </w:r>
            <w:r w:rsidRPr="00430E50">
              <w:rPr>
                <w:rFonts w:ascii="Arial Narrow" w:hAnsi="Arial Narrow"/>
                <w:sz w:val="20"/>
              </w:rPr>
              <w:t>14</w:t>
            </w:r>
            <w:r>
              <w:rPr>
                <w:rFonts w:ascii="Arial Narrow" w:hAnsi="Arial Narrow"/>
                <w:sz w:val="20"/>
              </w:rPr>
              <w:t>(</w:t>
            </w:r>
            <w:r w:rsidRPr="00430E50">
              <w:rPr>
                <w:rFonts w:ascii="Arial Narrow" w:hAnsi="Arial Narrow"/>
                <w:sz w:val="20"/>
              </w:rPr>
              <w:t>1</w:t>
            </w:r>
            <w:r>
              <w:rPr>
                <w:rFonts w:ascii="Arial Narrow" w:hAnsi="Arial Narrow"/>
                <w:sz w:val="20"/>
              </w:rPr>
              <w:t>)</w:t>
            </w:r>
            <w:r w:rsidRPr="00430E50">
              <w:rPr>
                <w:rFonts w:ascii="Arial Narrow" w:hAnsi="Arial Narrow"/>
                <w:sz w:val="20"/>
              </w:rPr>
              <w:t>: 178</w:t>
            </w:r>
          </w:p>
        </w:tc>
      </w:tr>
      <w:tr w:rsidR="000B4DCE" w:rsidRPr="004E2ADC" w:rsidTr="00D5039F">
        <w:tc>
          <w:tcPr>
            <w:tcW w:w="0" w:type="auto"/>
          </w:tcPr>
          <w:p w:rsidR="000B4DCE" w:rsidRPr="004E2ADC" w:rsidRDefault="000B4DCE" w:rsidP="000B4DCE">
            <w:pPr>
              <w:keepNext/>
              <w:keepLines/>
              <w:jc w:val="left"/>
              <w:rPr>
                <w:rFonts w:ascii="Arial Narrow" w:hAnsi="Arial Narrow"/>
                <w:sz w:val="20"/>
              </w:rPr>
            </w:pPr>
            <w:r w:rsidRPr="00ED57AC">
              <w:rPr>
                <w:rFonts w:ascii="Arial Narrow" w:hAnsi="Arial Narrow"/>
                <w:sz w:val="20"/>
              </w:rPr>
              <w:t>AUGMENT</w:t>
            </w:r>
          </w:p>
        </w:tc>
        <w:tc>
          <w:tcPr>
            <w:tcW w:w="0" w:type="auto"/>
          </w:tcPr>
          <w:p w:rsidR="007603C1" w:rsidRDefault="007603C1" w:rsidP="000B4DCE">
            <w:pPr>
              <w:keepNext/>
              <w:keepLines/>
              <w:jc w:val="left"/>
              <w:rPr>
                <w:rFonts w:ascii="Arial Narrow" w:hAnsi="Arial Narrow"/>
                <w:sz w:val="20"/>
              </w:rPr>
            </w:pPr>
            <w:r w:rsidRPr="007603C1">
              <w:rPr>
                <w:rFonts w:ascii="Arial Narrow" w:hAnsi="Arial Narrow"/>
                <w:sz w:val="20"/>
              </w:rPr>
              <w:t>A Phase III, Randomized, Double-Blind, Placebo-Controlled Study Evaluating The Efficacy, Safety, And Tolerability Of Two Fixed-Dose Combinations Of Aclidinium Bromide/Eformoterol Fumarate Compared With Aclidinium Bromide, Eformoterol Fumarate And Placebo For 24-Weeks Treatment In Patients With Moderate To Severe, Stable Chronic Obstructive Pulmonary Disease (COPD) (AUGMENT COPD). Clinical Study Report LAC-MD-31</w:t>
            </w:r>
            <w:r>
              <w:rPr>
                <w:rFonts w:ascii="Arial Narrow" w:hAnsi="Arial Narrow"/>
                <w:sz w:val="20"/>
              </w:rPr>
              <w:t>.</w:t>
            </w:r>
          </w:p>
          <w:p w:rsidR="007603C1" w:rsidRDefault="007603C1" w:rsidP="000B4DCE">
            <w:pPr>
              <w:keepNext/>
              <w:keepLines/>
              <w:jc w:val="left"/>
              <w:rPr>
                <w:rFonts w:ascii="Arial Narrow" w:hAnsi="Arial Narrow"/>
                <w:sz w:val="20"/>
              </w:rPr>
            </w:pPr>
          </w:p>
          <w:p w:rsidR="000B4DCE" w:rsidRPr="004E2ADC" w:rsidRDefault="000B4DCE" w:rsidP="007603C1">
            <w:pPr>
              <w:keepNext/>
              <w:keepLines/>
              <w:jc w:val="left"/>
              <w:rPr>
                <w:rFonts w:ascii="Arial Narrow" w:hAnsi="Arial Narrow"/>
                <w:b/>
                <w:sz w:val="20"/>
              </w:rPr>
            </w:pPr>
            <w:r w:rsidRPr="0017091F">
              <w:rPr>
                <w:rFonts w:ascii="Arial Narrow" w:hAnsi="Arial Narrow"/>
                <w:sz w:val="20"/>
              </w:rPr>
              <w:t xml:space="preserve">D'Urzo AD, Rennard SI, Kerwin EM, </w:t>
            </w:r>
            <w:r w:rsidRPr="00D5039F">
              <w:rPr>
                <w:rFonts w:ascii="Arial Narrow" w:hAnsi="Arial Narrow"/>
                <w:i/>
                <w:sz w:val="20"/>
              </w:rPr>
              <w:t>et al</w:t>
            </w:r>
            <w:r>
              <w:rPr>
                <w:rFonts w:ascii="Arial Narrow" w:hAnsi="Arial Narrow"/>
                <w:sz w:val="20"/>
              </w:rPr>
              <w:t xml:space="preserve">. </w:t>
            </w:r>
            <w:r w:rsidRPr="0017091F">
              <w:rPr>
                <w:rFonts w:ascii="Arial Narrow" w:hAnsi="Arial Narrow"/>
                <w:sz w:val="20"/>
              </w:rPr>
              <w:t>Efficacy and safety of fixed-dose combinations of aclidinium bromide/formoterol fumarate: the 24-week, randomized, placebo-controlled AUGMENT COPD study</w:t>
            </w:r>
            <w:r w:rsidR="007603C1">
              <w:rPr>
                <w:rFonts w:ascii="Arial Narrow" w:hAnsi="Arial Narrow"/>
                <w:sz w:val="20"/>
              </w:rPr>
              <w:t>.</w:t>
            </w:r>
            <w:r>
              <w:rPr>
                <w:rFonts w:ascii="Arial Narrow" w:hAnsi="Arial Narrow"/>
                <w:sz w:val="20"/>
              </w:rPr>
              <w:t xml:space="preserve"> </w:t>
            </w:r>
          </w:p>
        </w:tc>
        <w:tc>
          <w:tcPr>
            <w:tcW w:w="0" w:type="auto"/>
          </w:tcPr>
          <w:p w:rsidR="007603C1" w:rsidRDefault="007603C1" w:rsidP="000B4DCE">
            <w:pPr>
              <w:keepNext/>
              <w:keepLines/>
              <w:jc w:val="left"/>
              <w:rPr>
                <w:rFonts w:ascii="Arial Narrow" w:hAnsi="Arial Narrow"/>
                <w:i/>
                <w:sz w:val="20"/>
              </w:rPr>
            </w:pPr>
            <w:r w:rsidRPr="004841E0">
              <w:rPr>
                <w:rFonts w:ascii="Arial Narrow" w:hAnsi="Arial Narrow"/>
                <w:sz w:val="20"/>
              </w:rPr>
              <w:t>28</w:t>
            </w:r>
            <w:r>
              <w:rPr>
                <w:rFonts w:ascii="Arial Narrow" w:hAnsi="Arial Narrow"/>
                <w:sz w:val="20"/>
              </w:rPr>
              <w:t xml:space="preserve"> August 2013</w:t>
            </w:r>
          </w:p>
          <w:p w:rsidR="007603C1" w:rsidRDefault="007603C1" w:rsidP="007603C1">
            <w:pPr>
              <w:keepNext/>
              <w:keepLines/>
              <w:jc w:val="left"/>
              <w:rPr>
                <w:rFonts w:ascii="Arial Narrow" w:hAnsi="Arial Narrow"/>
                <w:sz w:val="20"/>
              </w:rPr>
            </w:pPr>
            <w:r w:rsidRPr="00027D45">
              <w:rPr>
                <w:rFonts w:ascii="Arial Narrow" w:hAnsi="Arial Narrow"/>
                <w:i/>
                <w:sz w:val="20"/>
              </w:rPr>
              <w:t>NCT01437397</w:t>
            </w:r>
          </w:p>
          <w:p w:rsidR="007603C1" w:rsidRDefault="007603C1" w:rsidP="000B4DCE">
            <w:pPr>
              <w:keepNext/>
              <w:keepLines/>
              <w:jc w:val="left"/>
              <w:rPr>
                <w:rFonts w:ascii="Arial Narrow" w:hAnsi="Arial Narrow"/>
                <w:i/>
                <w:sz w:val="20"/>
              </w:rPr>
            </w:pPr>
          </w:p>
          <w:p w:rsidR="007603C1" w:rsidRDefault="007603C1" w:rsidP="000B4DCE">
            <w:pPr>
              <w:keepNext/>
              <w:keepLines/>
              <w:jc w:val="left"/>
              <w:rPr>
                <w:rFonts w:ascii="Arial Narrow" w:hAnsi="Arial Narrow"/>
                <w:i/>
                <w:sz w:val="20"/>
              </w:rPr>
            </w:pPr>
          </w:p>
          <w:p w:rsidR="007603C1" w:rsidRDefault="007603C1" w:rsidP="000B4DCE">
            <w:pPr>
              <w:keepNext/>
              <w:keepLines/>
              <w:jc w:val="left"/>
              <w:rPr>
                <w:rFonts w:ascii="Arial Narrow" w:hAnsi="Arial Narrow"/>
                <w:i/>
                <w:sz w:val="20"/>
              </w:rPr>
            </w:pPr>
          </w:p>
          <w:p w:rsidR="007603C1" w:rsidRDefault="007603C1" w:rsidP="000B4DCE">
            <w:pPr>
              <w:keepNext/>
              <w:keepLines/>
              <w:jc w:val="left"/>
              <w:rPr>
                <w:rFonts w:ascii="Arial Narrow" w:hAnsi="Arial Narrow"/>
                <w:i/>
                <w:sz w:val="20"/>
              </w:rPr>
            </w:pPr>
          </w:p>
          <w:p w:rsidR="000B4DCE" w:rsidRPr="0017091F" w:rsidRDefault="000B4DCE" w:rsidP="000B4DCE">
            <w:pPr>
              <w:keepNext/>
              <w:keepLines/>
              <w:jc w:val="left"/>
              <w:rPr>
                <w:rFonts w:ascii="Arial Narrow" w:hAnsi="Arial Narrow"/>
                <w:i/>
                <w:sz w:val="20"/>
              </w:rPr>
            </w:pPr>
            <w:r w:rsidRPr="0017091F">
              <w:rPr>
                <w:rFonts w:ascii="Arial Narrow" w:hAnsi="Arial Narrow"/>
                <w:i/>
                <w:sz w:val="20"/>
              </w:rPr>
              <w:t>Respir Res</w:t>
            </w:r>
          </w:p>
          <w:p w:rsidR="000B4DCE" w:rsidRPr="00027D45" w:rsidRDefault="000B4DCE" w:rsidP="000B4DCE">
            <w:pPr>
              <w:keepNext/>
              <w:keepLines/>
              <w:jc w:val="left"/>
              <w:rPr>
                <w:rFonts w:ascii="Arial Narrow" w:hAnsi="Arial Narrow"/>
                <w:b/>
                <w:i/>
                <w:sz w:val="20"/>
              </w:rPr>
            </w:pPr>
            <w:r w:rsidRPr="0017091F">
              <w:rPr>
                <w:rFonts w:ascii="Arial Narrow" w:hAnsi="Arial Narrow"/>
                <w:sz w:val="20"/>
              </w:rPr>
              <w:t>2014</w:t>
            </w:r>
            <w:r>
              <w:rPr>
                <w:rFonts w:ascii="Arial Narrow" w:hAnsi="Arial Narrow"/>
                <w:sz w:val="20"/>
              </w:rPr>
              <w:t>;</w:t>
            </w:r>
            <w:r w:rsidRPr="0017091F">
              <w:rPr>
                <w:rFonts w:ascii="Arial Narrow" w:hAnsi="Arial Narrow"/>
                <w:sz w:val="20"/>
              </w:rPr>
              <w:t xml:space="preserve"> 14</w:t>
            </w:r>
            <w:r>
              <w:rPr>
                <w:rFonts w:ascii="Arial Narrow" w:hAnsi="Arial Narrow"/>
                <w:sz w:val="20"/>
              </w:rPr>
              <w:t>(</w:t>
            </w:r>
            <w:r w:rsidRPr="0017091F">
              <w:rPr>
                <w:rFonts w:ascii="Arial Narrow" w:hAnsi="Arial Narrow"/>
                <w:sz w:val="20"/>
              </w:rPr>
              <w:t>15</w:t>
            </w:r>
            <w:r>
              <w:rPr>
                <w:rFonts w:ascii="Arial Narrow" w:hAnsi="Arial Narrow"/>
                <w:sz w:val="20"/>
              </w:rPr>
              <w:t>)</w:t>
            </w:r>
            <w:r w:rsidRPr="0017091F">
              <w:rPr>
                <w:rFonts w:ascii="Arial Narrow" w:hAnsi="Arial Narrow"/>
                <w:sz w:val="20"/>
              </w:rPr>
              <w:t>:123</w:t>
            </w:r>
            <w:r w:rsidR="007603C1">
              <w:rPr>
                <w:rFonts w:ascii="Arial Narrow" w:hAnsi="Arial Narrow"/>
                <w:sz w:val="20"/>
              </w:rPr>
              <w:t xml:space="preserve"> [abstract]</w:t>
            </w:r>
          </w:p>
        </w:tc>
      </w:tr>
      <w:tr w:rsidR="000B4DCE" w:rsidRPr="004E2ADC" w:rsidTr="0000744D">
        <w:tc>
          <w:tcPr>
            <w:tcW w:w="0" w:type="auto"/>
            <w:gridSpan w:val="3"/>
          </w:tcPr>
          <w:p w:rsidR="000B4DCE" w:rsidRPr="00082DC6" w:rsidRDefault="000B4DCE" w:rsidP="000B4DCE">
            <w:pPr>
              <w:keepNext/>
              <w:keepLines/>
              <w:jc w:val="left"/>
              <w:rPr>
                <w:rFonts w:ascii="Arial Narrow" w:hAnsi="Arial Narrow"/>
                <w:b/>
                <w:sz w:val="20"/>
              </w:rPr>
            </w:pPr>
            <w:r w:rsidRPr="00082DC6">
              <w:rPr>
                <w:rFonts w:ascii="Arial Narrow" w:hAnsi="Arial Narrow"/>
                <w:b/>
                <w:sz w:val="20"/>
              </w:rPr>
              <w:t>Glycopyrronium/indacaterol FDC vs. placebo</w:t>
            </w:r>
          </w:p>
        </w:tc>
      </w:tr>
      <w:tr w:rsidR="000B4DCE" w:rsidRPr="004E2ADC" w:rsidTr="00D5039F">
        <w:tc>
          <w:tcPr>
            <w:tcW w:w="0" w:type="auto"/>
          </w:tcPr>
          <w:p w:rsidR="000B4DCE" w:rsidRPr="004E2ADC" w:rsidRDefault="000B4DCE" w:rsidP="000B4DCE">
            <w:pPr>
              <w:keepNext/>
              <w:keepLines/>
              <w:jc w:val="left"/>
              <w:rPr>
                <w:rFonts w:ascii="Arial Narrow" w:hAnsi="Arial Narrow"/>
                <w:sz w:val="20"/>
              </w:rPr>
            </w:pPr>
            <w:r w:rsidRPr="002D4C8E">
              <w:rPr>
                <w:rFonts w:ascii="Arial Narrow" w:hAnsi="Arial Narrow"/>
                <w:sz w:val="20"/>
              </w:rPr>
              <w:t>SHINE</w:t>
            </w:r>
          </w:p>
        </w:tc>
        <w:tc>
          <w:tcPr>
            <w:tcW w:w="0" w:type="auto"/>
          </w:tcPr>
          <w:p w:rsidR="000B4DCE" w:rsidRPr="004E2ADC" w:rsidRDefault="000B4DCE" w:rsidP="000B4DCE">
            <w:pPr>
              <w:keepNext/>
              <w:keepLines/>
              <w:jc w:val="left"/>
              <w:rPr>
                <w:rFonts w:ascii="Arial Narrow" w:hAnsi="Arial Narrow"/>
                <w:b/>
                <w:sz w:val="20"/>
              </w:rPr>
            </w:pPr>
            <w:r w:rsidRPr="00C05CAA">
              <w:rPr>
                <w:rFonts w:ascii="Arial Narrow" w:hAnsi="Arial Narrow"/>
                <w:sz w:val="20"/>
              </w:rPr>
              <w:t xml:space="preserve">Bateman ED, Ferguson GT, Barnes N, </w:t>
            </w:r>
            <w:r w:rsidRPr="006E522E">
              <w:rPr>
                <w:rFonts w:ascii="Arial Narrow" w:hAnsi="Arial Narrow"/>
                <w:i/>
                <w:sz w:val="20"/>
              </w:rPr>
              <w:t>et al.</w:t>
            </w:r>
            <w:r w:rsidRPr="00C05CAA">
              <w:rPr>
                <w:rFonts w:ascii="Arial Narrow" w:hAnsi="Arial Narrow"/>
                <w:sz w:val="20"/>
              </w:rPr>
              <w:t xml:space="preserve"> Dual bronchodilation with QVA149 versus single bronchodilator therapy: The SHINE study</w:t>
            </w:r>
            <w:r w:rsidR="007603C1">
              <w:rPr>
                <w:rFonts w:ascii="Arial Narrow" w:hAnsi="Arial Narrow"/>
                <w:sz w:val="20"/>
              </w:rPr>
              <w:t>.</w:t>
            </w:r>
          </w:p>
        </w:tc>
        <w:tc>
          <w:tcPr>
            <w:tcW w:w="0" w:type="auto"/>
          </w:tcPr>
          <w:p w:rsidR="000B4DCE" w:rsidRDefault="000B4DCE" w:rsidP="000B4DCE">
            <w:pPr>
              <w:keepNext/>
              <w:keepLines/>
              <w:jc w:val="left"/>
              <w:rPr>
                <w:rFonts w:ascii="Arial Narrow" w:hAnsi="Arial Narrow"/>
                <w:sz w:val="20"/>
              </w:rPr>
            </w:pPr>
            <w:r w:rsidRPr="002219DC">
              <w:rPr>
                <w:rFonts w:ascii="Arial Narrow" w:hAnsi="Arial Narrow"/>
                <w:i/>
                <w:sz w:val="20"/>
              </w:rPr>
              <w:t>Eur Respir J</w:t>
            </w:r>
            <w:r w:rsidRPr="002219DC">
              <w:rPr>
                <w:rFonts w:ascii="Arial Narrow" w:hAnsi="Arial Narrow"/>
                <w:sz w:val="20"/>
              </w:rPr>
              <w:t xml:space="preserve"> </w:t>
            </w:r>
          </w:p>
          <w:p w:rsidR="000B4DCE" w:rsidRDefault="000B4DCE" w:rsidP="000B4DCE">
            <w:pPr>
              <w:keepNext/>
              <w:keepLines/>
              <w:jc w:val="left"/>
              <w:rPr>
                <w:rFonts w:ascii="Arial Narrow" w:hAnsi="Arial Narrow"/>
                <w:sz w:val="20"/>
              </w:rPr>
            </w:pPr>
            <w:r>
              <w:rPr>
                <w:rFonts w:ascii="Arial Narrow" w:hAnsi="Arial Narrow"/>
                <w:sz w:val="20"/>
              </w:rPr>
              <w:t>2013; 42(</w:t>
            </w:r>
            <w:r w:rsidRPr="002219DC">
              <w:rPr>
                <w:rFonts w:ascii="Arial Narrow" w:hAnsi="Arial Narrow"/>
                <w:sz w:val="20"/>
              </w:rPr>
              <w:t>6</w:t>
            </w:r>
            <w:r>
              <w:rPr>
                <w:rFonts w:ascii="Arial Narrow" w:hAnsi="Arial Narrow"/>
                <w:sz w:val="20"/>
              </w:rPr>
              <w:t>)</w:t>
            </w:r>
            <w:r w:rsidRPr="002219DC">
              <w:rPr>
                <w:rFonts w:ascii="Arial Narrow" w:hAnsi="Arial Narrow"/>
                <w:sz w:val="20"/>
              </w:rPr>
              <w:t>: 1484-1494</w:t>
            </w:r>
          </w:p>
          <w:p w:rsidR="000B4DCE" w:rsidRPr="004E2ADC" w:rsidRDefault="000B4DCE" w:rsidP="000B4DCE">
            <w:pPr>
              <w:keepNext/>
              <w:keepLines/>
              <w:jc w:val="left"/>
              <w:rPr>
                <w:rFonts w:ascii="Arial Narrow" w:hAnsi="Arial Narrow"/>
                <w:b/>
                <w:sz w:val="20"/>
              </w:rPr>
            </w:pPr>
            <w:r w:rsidRPr="002D4C8E">
              <w:rPr>
                <w:rFonts w:ascii="Arial Narrow" w:hAnsi="Arial Narrow"/>
                <w:i/>
                <w:sz w:val="20"/>
              </w:rPr>
              <w:t>NCT01202188</w:t>
            </w:r>
          </w:p>
        </w:tc>
      </w:tr>
      <w:tr w:rsidR="000B4DCE" w:rsidRPr="004E2ADC" w:rsidTr="00D5039F">
        <w:tc>
          <w:tcPr>
            <w:tcW w:w="0" w:type="auto"/>
          </w:tcPr>
          <w:p w:rsidR="000B4DCE" w:rsidRPr="004E2ADC" w:rsidRDefault="000B4DCE" w:rsidP="000B4DCE">
            <w:pPr>
              <w:keepNext/>
              <w:keepLines/>
              <w:jc w:val="left"/>
              <w:rPr>
                <w:rFonts w:ascii="Arial Narrow" w:hAnsi="Arial Narrow"/>
                <w:sz w:val="20"/>
              </w:rPr>
            </w:pPr>
            <w:r w:rsidRPr="002D4C8E">
              <w:rPr>
                <w:rFonts w:ascii="Arial Narrow" w:hAnsi="Arial Narrow"/>
                <w:sz w:val="20"/>
              </w:rPr>
              <w:t>ENLIGHTEN</w:t>
            </w:r>
          </w:p>
        </w:tc>
        <w:tc>
          <w:tcPr>
            <w:tcW w:w="0" w:type="auto"/>
          </w:tcPr>
          <w:p w:rsidR="000B4DCE" w:rsidRPr="004E2ADC" w:rsidRDefault="000B4DCE" w:rsidP="000B4DCE">
            <w:pPr>
              <w:keepNext/>
              <w:keepLines/>
              <w:jc w:val="left"/>
              <w:rPr>
                <w:rFonts w:ascii="Arial Narrow" w:hAnsi="Arial Narrow"/>
                <w:b/>
                <w:sz w:val="20"/>
              </w:rPr>
            </w:pPr>
            <w:r w:rsidRPr="00C05CAA">
              <w:rPr>
                <w:rFonts w:ascii="Arial Narrow" w:hAnsi="Arial Narrow"/>
                <w:sz w:val="20"/>
              </w:rPr>
              <w:t xml:space="preserve">Dahl R, Chapman KR, Rudolf M, </w:t>
            </w:r>
            <w:r w:rsidRPr="006E522E">
              <w:rPr>
                <w:rFonts w:ascii="Arial Narrow" w:hAnsi="Arial Narrow"/>
                <w:i/>
                <w:sz w:val="20"/>
              </w:rPr>
              <w:t>et al.</w:t>
            </w:r>
            <w:r w:rsidRPr="00C05CAA">
              <w:rPr>
                <w:rFonts w:ascii="Arial Narrow" w:hAnsi="Arial Narrow"/>
                <w:sz w:val="20"/>
              </w:rPr>
              <w:t xml:space="preserve"> Safety and efficacy of dual bronchodilation with QVA149 in COPD patients: The ENLIGHTEN study</w:t>
            </w:r>
            <w:r w:rsidR="007603C1">
              <w:rPr>
                <w:rFonts w:ascii="Arial Narrow" w:hAnsi="Arial Narrow"/>
                <w:sz w:val="20"/>
              </w:rPr>
              <w:t>.</w:t>
            </w:r>
          </w:p>
        </w:tc>
        <w:tc>
          <w:tcPr>
            <w:tcW w:w="0" w:type="auto"/>
          </w:tcPr>
          <w:p w:rsidR="000B4DCE" w:rsidRDefault="000B4DCE" w:rsidP="000B4DCE">
            <w:pPr>
              <w:keepNext/>
              <w:keepLines/>
              <w:jc w:val="left"/>
              <w:rPr>
                <w:rFonts w:ascii="Arial Narrow" w:hAnsi="Arial Narrow"/>
                <w:sz w:val="20"/>
              </w:rPr>
            </w:pPr>
            <w:r>
              <w:rPr>
                <w:rFonts w:ascii="Arial Narrow" w:hAnsi="Arial Narrow"/>
                <w:i/>
                <w:sz w:val="20"/>
              </w:rPr>
              <w:t>Respir</w:t>
            </w:r>
            <w:r w:rsidRPr="00E40768">
              <w:rPr>
                <w:rFonts w:ascii="Arial Narrow" w:hAnsi="Arial Narrow"/>
                <w:i/>
                <w:sz w:val="20"/>
              </w:rPr>
              <w:t xml:space="preserve"> </w:t>
            </w:r>
            <w:r>
              <w:rPr>
                <w:rFonts w:ascii="Arial Narrow" w:hAnsi="Arial Narrow"/>
                <w:i/>
                <w:sz w:val="20"/>
              </w:rPr>
              <w:t>M</w:t>
            </w:r>
            <w:r w:rsidRPr="00E40768">
              <w:rPr>
                <w:rFonts w:ascii="Arial Narrow" w:hAnsi="Arial Narrow"/>
                <w:i/>
                <w:sz w:val="20"/>
              </w:rPr>
              <w:t>ed</w:t>
            </w:r>
            <w:r w:rsidRPr="00E40768">
              <w:rPr>
                <w:rFonts w:ascii="Arial Narrow" w:hAnsi="Arial Narrow"/>
                <w:sz w:val="20"/>
              </w:rPr>
              <w:t xml:space="preserve"> </w:t>
            </w:r>
          </w:p>
          <w:p w:rsidR="000B4DCE" w:rsidRDefault="000B4DCE" w:rsidP="000B4DCE">
            <w:pPr>
              <w:keepNext/>
              <w:keepLines/>
              <w:jc w:val="left"/>
              <w:rPr>
                <w:rFonts w:ascii="Arial Narrow" w:hAnsi="Arial Narrow"/>
                <w:sz w:val="20"/>
              </w:rPr>
            </w:pPr>
            <w:r w:rsidRPr="00E40768">
              <w:rPr>
                <w:rFonts w:ascii="Arial Narrow" w:hAnsi="Arial Narrow"/>
                <w:sz w:val="20"/>
              </w:rPr>
              <w:t>2013</w:t>
            </w:r>
            <w:r>
              <w:rPr>
                <w:rFonts w:ascii="Arial Narrow" w:hAnsi="Arial Narrow"/>
                <w:sz w:val="20"/>
              </w:rPr>
              <w:t>; 107(</w:t>
            </w:r>
            <w:r w:rsidRPr="00E40768">
              <w:rPr>
                <w:rFonts w:ascii="Arial Narrow" w:hAnsi="Arial Narrow"/>
                <w:sz w:val="20"/>
              </w:rPr>
              <w:t>10</w:t>
            </w:r>
            <w:r>
              <w:rPr>
                <w:rFonts w:ascii="Arial Narrow" w:hAnsi="Arial Narrow"/>
                <w:sz w:val="20"/>
              </w:rPr>
              <w:t>)</w:t>
            </w:r>
            <w:r w:rsidRPr="00E40768">
              <w:rPr>
                <w:rFonts w:ascii="Arial Narrow" w:hAnsi="Arial Narrow"/>
                <w:sz w:val="20"/>
              </w:rPr>
              <w:t>: 1558-1567</w:t>
            </w:r>
          </w:p>
          <w:p w:rsidR="000B4DCE" w:rsidRPr="002D4C8E" w:rsidRDefault="000B4DCE" w:rsidP="000B4DCE">
            <w:pPr>
              <w:keepNext/>
              <w:keepLines/>
              <w:jc w:val="left"/>
              <w:rPr>
                <w:rFonts w:ascii="Arial Narrow" w:hAnsi="Arial Narrow"/>
                <w:sz w:val="20"/>
              </w:rPr>
            </w:pPr>
            <w:r w:rsidRPr="002D4C8E">
              <w:rPr>
                <w:rFonts w:ascii="Arial Narrow" w:hAnsi="Arial Narrow"/>
                <w:i/>
                <w:sz w:val="20"/>
              </w:rPr>
              <w:t>NCT01120717</w:t>
            </w:r>
          </w:p>
        </w:tc>
      </w:tr>
      <w:tr w:rsidR="000B4DCE" w:rsidRPr="004E2ADC" w:rsidTr="0000744D">
        <w:tc>
          <w:tcPr>
            <w:tcW w:w="0" w:type="auto"/>
            <w:gridSpan w:val="3"/>
          </w:tcPr>
          <w:p w:rsidR="000B4DCE" w:rsidRPr="00082DC6" w:rsidRDefault="000B4DCE" w:rsidP="000B4DCE">
            <w:pPr>
              <w:keepNext/>
              <w:keepLines/>
              <w:jc w:val="left"/>
              <w:rPr>
                <w:rFonts w:ascii="Arial Narrow" w:hAnsi="Arial Narrow"/>
                <w:b/>
                <w:sz w:val="20"/>
              </w:rPr>
            </w:pPr>
            <w:r w:rsidRPr="00082DC6">
              <w:rPr>
                <w:rFonts w:ascii="Arial Narrow" w:hAnsi="Arial Narrow"/>
                <w:b/>
                <w:sz w:val="20"/>
              </w:rPr>
              <w:t>Umeclidinium/vilanterol FDC vs. placebo</w:t>
            </w:r>
          </w:p>
        </w:tc>
      </w:tr>
      <w:tr w:rsidR="000B4DCE" w:rsidRPr="004E2ADC" w:rsidTr="00D5039F">
        <w:tc>
          <w:tcPr>
            <w:tcW w:w="0" w:type="auto"/>
          </w:tcPr>
          <w:p w:rsidR="000B4DCE" w:rsidRPr="004E2ADC" w:rsidRDefault="000B4DCE" w:rsidP="000B4DCE">
            <w:pPr>
              <w:keepNext/>
              <w:keepLines/>
              <w:jc w:val="left"/>
              <w:rPr>
                <w:rFonts w:ascii="Arial Narrow" w:hAnsi="Arial Narrow"/>
                <w:sz w:val="20"/>
              </w:rPr>
            </w:pPr>
            <w:r w:rsidRPr="00494CFD">
              <w:rPr>
                <w:rFonts w:ascii="Arial Narrow" w:hAnsi="Arial Narrow"/>
                <w:sz w:val="20"/>
              </w:rPr>
              <w:t>Donohue</w:t>
            </w:r>
            <w:r>
              <w:rPr>
                <w:rFonts w:ascii="Arial Narrow" w:hAnsi="Arial Narrow"/>
                <w:sz w:val="20"/>
              </w:rPr>
              <w:t xml:space="preserve"> (2013)</w:t>
            </w:r>
          </w:p>
        </w:tc>
        <w:tc>
          <w:tcPr>
            <w:tcW w:w="0" w:type="auto"/>
          </w:tcPr>
          <w:p w:rsidR="000B4DCE" w:rsidRPr="004E2ADC" w:rsidRDefault="000B4DCE" w:rsidP="000B4DCE">
            <w:pPr>
              <w:keepNext/>
              <w:keepLines/>
              <w:jc w:val="left"/>
              <w:rPr>
                <w:rFonts w:ascii="Arial Narrow" w:hAnsi="Arial Narrow"/>
                <w:b/>
                <w:sz w:val="20"/>
              </w:rPr>
            </w:pPr>
            <w:r w:rsidRPr="00845E48">
              <w:rPr>
                <w:rFonts w:ascii="Arial Narrow" w:hAnsi="Arial Narrow"/>
                <w:sz w:val="20"/>
              </w:rPr>
              <w:t>Donohue</w:t>
            </w:r>
            <w:r>
              <w:rPr>
                <w:rFonts w:ascii="Arial Narrow" w:hAnsi="Arial Narrow"/>
                <w:sz w:val="20"/>
              </w:rPr>
              <w:t xml:space="preserve"> </w:t>
            </w:r>
            <w:r w:rsidRPr="00845E48">
              <w:rPr>
                <w:rFonts w:ascii="Arial Narrow" w:hAnsi="Arial Narrow"/>
                <w:sz w:val="20"/>
              </w:rPr>
              <w:t>JF, Maleki-Yazdi</w:t>
            </w:r>
            <w:r>
              <w:rPr>
                <w:rFonts w:ascii="Arial Narrow" w:hAnsi="Arial Narrow"/>
                <w:sz w:val="20"/>
              </w:rPr>
              <w:t xml:space="preserve"> </w:t>
            </w:r>
            <w:r w:rsidRPr="00845E48">
              <w:rPr>
                <w:rFonts w:ascii="Arial Narrow" w:hAnsi="Arial Narrow"/>
                <w:sz w:val="20"/>
              </w:rPr>
              <w:t>MR, Kilbride</w:t>
            </w:r>
            <w:r>
              <w:rPr>
                <w:rFonts w:ascii="Arial Narrow" w:hAnsi="Arial Narrow"/>
                <w:sz w:val="20"/>
              </w:rPr>
              <w:t xml:space="preserve"> </w:t>
            </w:r>
            <w:r w:rsidRPr="00845E48">
              <w:rPr>
                <w:rFonts w:ascii="Arial Narrow" w:hAnsi="Arial Narrow"/>
                <w:sz w:val="20"/>
              </w:rPr>
              <w:t>S</w:t>
            </w:r>
            <w:r>
              <w:rPr>
                <w:rFonts w:ascii="Arial Narrow" w:hAnsi="Arial Narrow"/>
                <w:sz w:val="20"/>
              </w:rPr>
              <w:t xml:space="preserve">, </w:t>
            </w:r>
            <w:r w:rsidRPr="006E522E">
              <w:rPr>
                <w:rFonts w:ascii="Arial Narrow" w:hAnsi="Arial Narrow"/>
                <w:i/>
                <w:sz w:val="20"/>
              </w:rPr>
              <w:t>et al</w:t>
            </w:r>
            <w:r>
              <w:rPr>
                <w:rFonts w:ascii="Arial Narrow" w:hAnsi="Arial Narrow"/>
                <w:sz w:val="20"/>
              </w:rPr>
              <w:t xml:space="preserve">. </w:t>
            </w:r>
            <w:r w:rsidRPr="00845E48">
              <w:rPr>
                <w:rFonts w:ascii="Arial Narrow" w:hAnsi="Arial Narrow"/>
                <w:sz w:val="20"/>
              </w:rPr>
              <w:t>Efficacy and safety of once-daily umeclidinium/vilanterol 62.5/25 mcg in COPD</w:t>
            </w:r>
            <w:r w:rsidR="007603C1">
              <w:rPr>
                <w:rFonts w:ascii="Arial Narrow" w:hAnsi="Arial Narrow"/>
                <w:sz w:val="20"/>
              </w:rPr>
              <w:t>.</w:t>
            </w:r>
            <w:r>
              <w:rPr>
                <w:rFonts w:ascii="Arial Narrow" w:hAnsi="Arial Narrow"/>
                <w:sz w:val="20"/>
              </w:rPr>
              <w:br/>
            </w:r>
            <w:r w:rsidRPr="00494CFD">
              <w:rPr>
                <w:rFonts w:ascii="Arial Narrow" w:hAnsi="Arial Narrow"/>
                <w:sz w:val="20"/>
              </w:rPr>
              <w:t>GSK-DB2113373</w:t>
            </w:r>
          </w:p>
        </w:tc>
        <w:tc>
          <w:tcPr>
            <w:tcW w:w="0" w:type="auto"/>
          </w:tcPr>
          <w:p w:rsidR="000B4DCE" w:rsidRDefault="000B4DCE" w:rsidP="000B4DCE">
            <w:pPr>
              <w:keepNext/>
              <w:keepLines/>
              <w:jc w:val="left"/>
              <w:rPr>
                <w:rFonts w:ascii="Arial Narrow" w:hAnsi="Arial Narrow"/>
                <w:sz w:val="20"/>
              </w:rPr>
            </w:pPr>
            <w:r w:rsidRPr="005A71C3">
              <w:rPr>
                <w:rFonts w:ascii="Arial Narrow" w:hAnsi="Arial Narrow"/>
                <w:i/>
                <w:sz w:val="20"/>
              </w:rPr>
              <w:t>Respi</w:t>
            </w:r>
            <w:r>
              <w:rPr>
                <w:rFonts w:ascii="Arial Narrow" w:hAnsi="Arial Narrow"/>
                <w:i/>
                <w:sz w:val="20"/>
              </w:rPr>
              <w:t>r</w:t>
            </w:r>
            <w:r w:rsidRPr="005A71C3">
              <w:rPr>
                <w:rFonts w:ascii="Arial Narrow" w:hAnsi="Arial Narrow"/>
                <w:i/>
                <w:sz w:val="20"/>
              </w:rPr>
              <w:t xml:space="preserve"> </w:t>
            </w:r>
            <w:r>
              <w:rPr>
                <w:rFonts w:ascii="Arial Narrow" w:hAnsi="Arial Narrow"/>
                <w:i/>
                <w:sz w:val="20"/>
              </w:rPr>
              <w:t>M</w:t>
            </w:r>
            <w:r w:rsidRPr="005A71C3">
              <w:rPr>
                <w:rFonts w:ascii="Arial Narrow" w:hAnsi="Arial Narrow"/>
                <w:i/>
                <w:sz w:val="20"/>
              </w:rPr>
              <w:t>ed</w:t>
            </w:r>
            <w:r w:rsidRPr="005A71C3">
              <w:rPr>
                <w:rFonts w:ascii="Arial Narrow" w:hAnsi="Arial Narrow"/>
                <w:sz w:val="20"/>
              </w:rPr>
              <w:t xml:space="preserve"> </w:t>
            </w:r>
          </w:p>
          <w:p w:rsidR="000B4DCE" w:rsidRDefault="000B4DCE" w:rsidP="000B4DCE">
            <w:pPr>
              <w:keepNext/>
              <w:keepLines/>
              <w:jc w:val="left"/>
              <w:rPr>
                <w:rFonts w:ascii="Arial Narrow" w:hAnsi="Arial Narrow"/>
                <w:sz w:val="20"/>
              </w:rPr>
            </w:pPr>
            <w:r>
              <w:rPr>
                <w:rFonts w:ascii="Arial Narrow" w:hAnsi="Arial Narrow"/>
                <w:sz w:val="20"/>
              </w:rPr>
              <w:t xml:space="preserve">2013; </w:t>
            </w:r>
            <w:r w:rsidRPr="005A71C3">
              <w:rPr>
                <w:rFonts w:ascii="Arial Narrow" w:hAnsi="Arial Narrow"/>
                <w:sz w:val="20"/>
              </w:rPr>
              <w:t>107</w:t>
            </w:r>
            <w:r>
              <w:rPr>
                <w:rFonts w:ascii="Arial Narrow" w:hAnsi="Arial Narrow"/>
                <w:sz w:val="20"/>
              </w:rPr>
              <w:t>(</w:t>
            </w:r>
            <w:r w:rsidRPr="005A71C3">
              <w:rPr>
                <w:rFonts w:ascii="Arial Narrow" w:hAnsi="Arial Narrow"/>
                <w:sz w:val="20"/>
              </w:rPr>
              <w:t>10</w:t>
            </w:r>
            <w:r>
              <w:rPr>
                <w:rFonts w:ascii="Arial Narrow" w:hAnsi="Arial Narrow"/>
                <w:sz w:val="20"/>
              </w:rPr>
              <w:t>)</w:t>
            </w:r>
            <w:r w:rsidRPr="005A71C3">
              <w:rPr>
                <w:rFonts w:ascii="Arial Narrow" w:hAnsi="Arial Narrow"/>
                <w:sz w:val="20"/>
              </w:rPr>
              <w:t>: 1538-1546</w:t>
            </w:r>
          </w:p>
          <w:p w:rsidR="000B4DCE" w:rsidRPr="002D4C8E" w:rsidRDefault="000B4DCE" w:rsidP="000B4DCE">
            <w:pPr>
              <w:keepNext/>
              <w:keepLines/>
              <w:jc w:val="left"/>
              <w:rPr>
                <w:rFonts w:ascii="Arial Narrow" w:hAnsi="Arial Narrow"/>
                <w:sz w:val="20"/>
              </w:rPr>
            </w:pPr>
            <w:r w:rsidRPr="002D4C8E">
              <w:rPr>
                <w:rFonts w:ascii="Arial Narrow" w:hAnsi="Arial Narrow"/>
                <w:i/>
                <w:sz w:val="20"/>
              </w:rPr>
              <w:t>NCT01313650</w:t>
            </w:r>
          </w:p>
        </w:tc>
      </w:tr>
    </w:tbl>
    <w:p w:rsidR="000B4DCE" w:rsidRDefault="000B4DCE" w:rsidP="000B4DCE">
      <w:pPr>
        <w:pStyle w:val="TableFooter"/>
        <w:ind w:firstLine="720"/>
      </w:pPr>
      <w:r w:rsidRPr="00D13A3E">
        <w:t xml:space="preserve">Source: </w:t>
      </w:r>
      <w:r w:rsidR="007559A1" w:rsidRPr="00D13A3E">
        <w:t>Table</w:t>
      </w:r>
      <w:r w:rsidR="007559A1">
        <w:t xml:space="preserve"> B-3, p26; Table B-49, p74 </w:t>
      </w:r>
      <w:r w:rsidR="007559A1" w:rsidRPr="00D13A3E">
        <w:t>of the submission</w:t>
      </w:r>
    </w:p>
    <w:p w:rsidR="00B20F12" w:rsidRPr="00862502" w:rsidRDefault="00E36EB4" w:rsidP="000B4DCE">
      <w:pPr>
        <w:pStyle w:val="TableFooter"/>
        <w:ind w:firstLine="720"/>
        <w:rPr>
          <w:szCs w:val="22"/>
        </w:rPr>
      </w:pPr>
      <w:r>
        <w:t>COPD = c</w:t>
      </w:r>
      <w:r w:rsidRPr="00E36EB4">
        <w:t xml:space="preserve">hronic </w:t>
      </w:r>
      <w:r>
        <w:t>o</w:t>
      </w:r>
      <w:r w:rsidRPr="00E36EB4">
        <w:t xml:space="preserve">bstructive </w:t>
      </w:r>
      <w:r>
        <w:t>pulmonary d</w:t>
      </w:r>
      <w:r w:rsidRPr="00E36EB4">
        <w:t>isease</w:t>
      </w:r>
      <w:r>
        <w:t>;</w:t>
      </w:r>
      <w:r w:rsidRPr="00E36EB4">
        <w:t xml:space="preserve"> </w:t>
      </w:r>
      <w:r w:rsidR="00B20F12" w:rsidRPr="00031454">
        <w:t>FDC = fixed-dose combination</w:t>
      </w:r>
    </w:p>
    <w:p w:rsidR="00862502" w:rsidRPr="008F120A" w:rsidRDefault="00862502" w:rsidP="008F120A">
      <w:pPr>
        <w:widowControl/>
        <w:rPr>
          <w:szCs w:val="22"/>
        </w:rPr>
      </w:pPr>
    </w:p>
    <w:p w:rsidR="00862502" w:rsidRPr="00B50DB8" w:rsidRDefault="008F120A" w:rsidP="00EB0FDB">
      <w:pPr>
        <w:pStyle w:val="ListParagraph"/>
        <w:widowControl/>
        <w:numPr>
          <w:ilvl w:val="1"/>
          <w:numId w:val="4"/>
        </w:numPr>
        <w:rPr>
          <w:szCs w:val="22"/>
        </w:rPr>
      </w:pPr>
      <w:r w:rsidRPr="00B50DB8">
        <w:rPr>
          <w:szCs w:val="22"/>
        </w:rPr>
        <w:t>The key features</w:t>
      </w:r>
      <w:r w:rsidR="00E10C14">
        <w:rPr>
          <w:szCs w:val="22"/>
        </w:rPr>
        <w:t xml:space="preserve"> of the randomised trial</w:t>
      </w:r>
      <w:r w:rsidRPr="00B50DB8">
        <w:rPr>
          <w:szCs w:val="22"/>
        </w:rPr>
        <w:t xml:space="preserve">s are </w:t>
      </w:r>
      <w:r w:rsidR="00A05EB3">
        <w:rPr>
          <w:szCs w:val="22"/>
        </w:rPr>
        <w:t xml:space="preserve">summarised in </w:t>
      </w:r>
      <w:r w:rsidR="003758EA">
        <w:rPr>
          <w:szCs w:val="22"/>
        </w:rPr>
        <w:t>T</w:t>
      </w:r>
      <w:r w:rsidR="00A05EB3">
        <w:rPr>
          <w:szCs w:val="22"/>
        </w:rPr>
        <w:t xml:space="preserve">able </w:t>
      </w:r>
      <w:r w:rsidR="003758EA">
        <w:rPr>
          <w:szCs w:val="22"/>
        </w:rPr>
        <w:t xml:space="preserve">2 </w:t>
      </w:r>
      <w:r w:rsidR="00A05EB3">
        <w:rPr>
          <w:szCs w:val="22"/>
        </w:rPr>
        <w:t>below.</w:t>
      </w:r>
      <w:r w:rsidR="000F19B6">
        <w:rPr>
          <w:szCs w:val="22"/>
        </w:rPr>
        <w:t xml:space="preserve"> Patients treated with umeclidinium/vilanterol </w:t>
      </w:r>
      <w:r w:rsidR="003C0BE1">
        <w:rPr>
          <w:szCs w:val="22"/>
        </w:rPr>
        <w:t xml:space="preserve">FDC </w:t>
      </w:r>
      <w:r w:rsidR="000F19B6">
        <w:rPr>
          <w:szCs w:val="22"/>
        </w:rPr>
        <w:t>had slightly more severe COPD, as defined by the predicted FEV</w:t>
      </w:r>
      <w:r w:rsidR="000F19B6" w:rsidRPr="000F19B6">
        <w:rPr>
          <w:szCs w:val="22"/>
          <w:vertAlign w:val="subscript"/>
        </w:rPr>
        <w:t>1</w:t>
      </w:r>
      <w:r w:rsidR="000F19B6">
        <w:rPr>
          <w:szCs w:val="22"/>
        </w:rPr>
        <w:t xml:space="preserve">. </w:t>
      </w:r>
    </w:p>
    <w:p w:rsidR="007F1017" w:rsidRDefault="007F1017" w:rsidP="007F1017">
      <w:pPr>
        <w:widowControl/>
        <w:rPr>
          <w:szCs w:val="22"/>
        </w:rPr>
      </w:pPr>
    </w:p>
    <w:p w:rsidR="007F1017" w:rsidRPr="00E2771E" w:rsidRDefault="00CF76F8" w:rsidP="00934418">
      <w:pPr>
        <w:keepNext/>
        <w:widowControl/>
        <w:ind w:firstLine="720"/>
        <w:rPr>
          <w:rStyle w:val="CommentReference"/>
        </w:rPr>
      </w:pPr>
      <w:r>
        <w:rPr>
          <w:rStyle w:val="CommentReference"/>
        </w:rPr>
        <w:t>Table 2</w:t>
      </w:r>
      <w:r w:rsidR="007F1017" w:rsidRPr="00E2771E">
        <w:rPr>
          <w:rStyle w:val="CommentReference"/>
        </w:rPr>
        <w:t>: Key features of the included evidence</w:t>
      </w:r>
      <w:r w:rsidR="00545DA7">
        <w:rPr>
          <w:rStyle w:val="CommentReference"/>
        </w:rPr>
        <w:t xml:space="preserve"> </w:t>
      </w:r>
      <w:r w:rsidR="00545DA7" w:rsidRPr="00A13948">
        <w:rPr>
          <w:rStyle w:val="CommentReference"/>
        </w:rPr>
        <w:t>– indirect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3"/>
        <w:gridCol w:w="423"/>
        <w:gridCol w:w="1817"/>
        <w:gridCol w:w="813"/>
        <w:gridCol w:w="2081"/>
        <w:gridCol w:w="1807"/>
      </w:tblGrid>
      <w:tr w:rsidR="005B4201" w:rsidRPr="00E2771E" w:rsidTr="0000744D">
        <w:tc>
          <w:tcPr>
            <w:tcW w:w="851" w:type="pct"/>
            <w:tcBorders>
              <w:bottom w:val="single" w:sz="4" w:space="0" w:color="auto"/>
            </w:tcBorders>
            <w:shd w:val="clear" w:color="auto" w:fill="auto"/>
            <w:vAlign w:val="center"/>
          </w:tcPr>
          <w:p w:rsidR="005B4201" w:rsidRPr="00E2771E" w:rsidRDefault="005B4201" w:rsidP="00934418">
            <w:pPr>
              <w:keepNext/>
              <w:widowControl/>
              <w:jc w:val="left"/>
              <w:rPr>
                <w:rFonts w:ascii="Arial Narrow" w:hAnsi="Arial Narrow"/>
                <w:b/>
                <w:sz w:val="20"/>
                <w:lang w:val="en-US"/>
              </w:rPr>
            </w:pPr>
            <w:r w:rsidRPr="00E2771E">
              <w:rPr>
                <w:rFonts w:ascii="Arial Narrow" w:hAnsi="Arial Narrow"/>
                <w:b/>
                <w:sz w:val="20"/>
                <w:lang w:val="en-US"/>
              </w:rPr>
              <w:t>Trial</w:t>
            </w:r>
          </w:p>
        </w:tc>
        <w:tc>
          <w:tcPr>
            <w:tcW w:w="253" w:type="pct"/>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b/>
                <w:sz w:val="20"/>
                <w:lang w:val="en-US"/>
              </w:rPr>
            </w:pPr>
            <w:r w:rsidRPr="00E2771E">
              <w:rPr>
                <w:rFonts w:ascii="Arial Narrow" w:hAnsi="Arial Narrow"/>
                <w:b/>
                <w:sz w:val="20"/>
                <w:lang w:val="en-US"/>
              </w:rPr>
              <w:t>N</w:t>
            </w:r>
            <w:r>
              <w:rPr>
                <w:rFonts w:ascii="Arial Narrow" w:hAnsi="Arial Narrow"/>
                <w:b/>
                <w:sz w:val="20"/>
                <w:lang w:val="en-US"/>
              </w:rPr>
              <w:t xml:space="preserve"> </w:t>
            </w:r>
            <w:r w:rsidRPr="00AF6696">
              <w:rPr>
                <w:rFonts w:ascii="Arial Narrow" w:hAnsi="Arial Narrow"/>
                <w:b/>
                <w:sz w:val="20"/>
                <w:vertAlign w:val="superscript"/>
                <w:lang w:val="en-US"/>
              </w:rPr>
              <w:t>a</w:t>
            </w:r>
          </w:p>
        </w:tc>
        <w:tc>
          <w:tcPr>
            <w:tcW w:w="1086" w:type="pct"/>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486" w:type="pct"/>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244" w:type="pct"/>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080" w:type="pct"/>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b/>
                <w:sz w:val="20"/>
                <w:lang w:val="en-US"/>
              </w:rPr>
            </w:pPr>
            <w:r w:rsidRPr="00E2771E">
              <w:rPr>
                <w:rFonts w:ascii="Arial Narrow" w:hAnsi="Arial Narrow"/>
                <w:b/>
                <w:sz w:val="20"/>
                <w:lang w:val="en-US"/>
              </w:rPr>
              <w:t>Outcomes</w:t>
            </w:r>
          </w:p>
        </w:tc>
      </w:tr>
      <w:tr w:rsidR="005B4201" w:rsidRPr="00E2771E" w:rsidTr="0000744D">
        <w:tc>
          <w:tcPr>
            <w:tcW w:w="2190" w:type="pct"/>
            <w:gridSpan w:val="3"/>
            <w:tcBorders>
              <w:top w:val="single" w:sz="4" w:space="0" w:color="auto"/>
              <w:left w:val="single" w:sz="4" w:space="0" w:color="auto"/>
              <w:bottom w:val="single" w:sz="4" w:space="0" w:color="auto"/>
              <w:right w:val="nil"/>
            </w:tcBorders>
            <w:shd w:val="clear" w:color="auto" w:fill="auto"/>
            <w:vAlign w:val="center"/>
          </w:tcPr>
          <w:p w:rsidR="005B4201" w:rsidRDefault="005B4201" w:rsidP="00934418">
            <w:pPr>
              <w:keepNext/>
              <w:keepLines/>
              <w:widowControl/>
              <w:jc w:val="left"/>
              <w:rPr>
                <w:rFonts w:ascii="Arial Narrow" w:hAnsi="Arial Narrow"/>
                <w:sz w:val="20"/>
                <w:szCs w:val="16"/>
                <w:lang w:val="en-US"/>
              </w:rPr>
            </w:pPr>
            <w:r w:rsidRPr="009E56C9">
              <w:rPr>
                <w:rFonts w:ascii="Arial Narrow" w:hAnsi="Arial Narrow"/>
                <w:b/>
                <w:sz w:val="20"/>
                <w:szCs w:val="16"/>
                <w:lang w:val="en-US"/>
              </w:rPr>
              <w:t>Aclidinium/eformoterol FDC vs. placebo</w:t>
            </w:r>
          </w:p>
        </w:tc>
        <w:tc>
          <w:tcPr>
            <w:tcW w:w="486" w:type="pct"/>
            <w:tcBorders>
              <w:top w:val="single" w:sz="4" w:space="0" w:color="auto"/>
              <w:left w:val="nil"/>
              <w:bottom w:val="single" w:sz="4" w:space="0" w:color="auto"/>
              <w:right w:val="nil"/>
            </w:tcBorders>
            <w:shd w:val="clear" w:color="auto" w:fill="auto"/>
            <w:vAlign w:val="center"/>
          </w:tcPr>
          <w:p w:rsidR="005B4201" w:rsidRDefault="005B4201" w:rsidP="00934418">
            <w:pPr>
              <w:keepNext/>
              <w:keepLines/>
              <w:widowControl/>
              <w:jc w:val="center"/>
              <w:rPr>
                <w:rFonts w:ascii="Arial Narrow" w:hAnsi="Arial Narrow"/>
                <w:sz w:val="20"/>
                <w:szCs w:val="16"/>
                <w:lang w:val="en-US"/>
              </w:rPr>
            </w:pPr>
          </w:p>
        </w:tc>
        <w:tc>
          <w:tcPr>
            <w:tcW w:w="1244" w:type="pct"/>
            <w:tcBorders>
              <w:top w:val="single" w:sz="4" w:space="0" w:color="auto"/>
              <w:left w:val="nil"/>
              <w:bottom w:val="single" w:sz="4" w:space="0" w:color="auto"/>
              <w:right w:val="nil"/>
            </w:tcBorders>
            <w:shd w:val="clear" w:color="auto" w:fill="auto"/>
            <w:vAlign w:val="center"/>
          </w:tcPr>
          <w:p w:rsidR="005B4201" w:rsidRPr="00E2771E" w:rsidRDefault="005B4201" w:rsidP="00934418">
            <w:pPr>
              <w:keepNext/>
              <w:widowControl/>
              <w:jc w:val="center"/>
              <w:rPr>
                <w:rFonts w:ascii="Arial Narrow" w:hAnsi="Arial Narrow"/>
                <w:sz w:val="20"/>
                <w:lang w:val="en-US"/>
              </w:rPr>
            </w:pPr>
          </w:p>
        </w:tc>
        <w:tc>
          <w:tcPr>
            <w:tcW w:w="1080" w:type="pct"/>
            <w:tcBorders>
              <w:top w:val="single" w:sz="4" w:space="0" w:color="auto"/>
              <w:left w:val="nil"/>
              <w:bottom w:val="single" w:sz="4" w:space="0" w:color="auto"/>
              <w:right w:val="single" w:sz="4" w:space="0" w:color="auto"/>
            </w:tcBorders>
            <w:shd w:val="clear" w:color="auto" w:fill="auto"/>
            <w:vAlign w:val="center"/>
          </w:tcPr>
          <w:p w:rsidR="005B4201" w:rsidRPr="00E2771E" w:rsidRDefault="005B4201" w:rsidP="00934418">
            <w:pPr>
              <w:keepNext/>
              <w:widowControl/>
              <w:jc w:val="center"/>
              <w:rPr>
                <w:rFonts w:ascii="Arial Narrow" w:hAnsi="Arial Narrow"/>
                <w:sz w:val="20"/>
                <w:lang w:val="en-US"/>
              </w:rPr>
            </w:pPr>
          </w:p>
        </w:tc>
      </w:tr>
      <w:tr w:rsidR="005B4201" w:rsidRPr="00E2771E" w:rsidTr="0000744D">
        <w:tc>
          <w:tcPr>
            <w:tcW w:w="851" w:type="pct"/>
            <w:tcBorders>
              <w:top w:val="single" w:sz="4" w:space="0" w:color="auto"/>
            </w:tcBorders>
            <w:shd w:val="clear" w:color="auto" w:fill="auto"/>
            <w:vAlign w:val="center"/>
          </w:tcPr>
          <w:p w:rsidR="005B4201" w:rsidRPr="00E2771E" w:rsidRDefault="005B4201" w:rsidP="00934418">
            <w:pPr>
              <w:keepNext/>
              <w:keepLines/>
              <w:widowControl/>
              <w:jc w:val="left"/>
              <w:rPr>
                <w:rFonts w:ascii="Arial Narrow" w:hAnsi="Arial Narrow"/>
                <w:sz w:val="20"/>
                <w:szCs w:val="16"/>
                <w:lang w:val="en-US"/>
              </w:rPr>
            </w:pPr>
            <w:r w:rsidRPr="006970E4">
              <w:rPr>
                <w:rFonts w:ascii="Arial Narrow" w:hAnsi="Arial Narrow"/>
                <w:sz w:val="20"/>
                <w:szCs w:val="16"/>
                <w:lang w:val="en-US"/>
              </w:rPr>
              <w:t>ACLIFORM</w:t>
            </w:r>
          </w:p>
        </w:tc>
        <w:tc>
          <w:tcPr>
            <w:tcW w:w="253"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sidRPr="00EE052A">
              <w:rPr>
                <w:rFonts w:ascii="Arial Narrow" w:hAnsi="Arial Narrow"/>
                <w:sz w:val="20"/>
                <w:szCs w:val="16"/>
                <w:lang w:val="en-US"/>
              </w:rPr>
              <w:t>579</w:t>
            </w:r>
          </w:p>
        </w:tc>
        <w:tc>
          <w:tcPr>
            <w:tcW w:w="10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R, DB, 24 wks</w:t>
            </w:r>
          </w:p>
        </w:tc>
        <w:tc>
          <w:tcPr>
            <w:tcW w:w="4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Low</w:t>
            </w:r>
          </w:p>
        </w:tc>
        <w:tc>
          <w:tcPr>
            <w:tcW w:w="1244" w:type="pct"/>
            <w:vMerge w:val="restart"/>
            <w:tcBorders>
              <w:top w:val="single" w:sz="4" w:space="0" w:color="auto"/>
            </w:tcBorders>
            <w:shd w:val="clear" w:color="auto" w:fill="auto"/>
            <w:vAlign w:val="center"/>
          </w:tcPr>
          <w:p w:rsidR="005B4201" w:rsidRDefault="005B4201" w:rsidP="00934418">
            <w:pPr>
              <w:keepNext/>
              <w:widowControl/>
              <w:jc w:val="left"/>
              <w:rPr>
                <w:rFonts w:ascii="Arial Narrow" w:hAnsi="Arial Narrow"/>
                <w:sz w:val="20"/>
                <w:lang w:val="en-US"/>
              </w:rPr>
            </w:pPr>
            <w:r>
              <w:rPr>
                <w:rFonts w:ascii="Arial Narrow" w:hAnsi="Arial Narrow"/>
                <w:sz w:val="20"/>
                <w:lang w:val="en-US"/>
              </w:rPr>
              <w:t>COPD</w:t>
            </w:r>
          </w:p>
          <w:p w:rsidR="005B4201" w:rsidRPr="00E2771E" w:rsidRDefault="005B4201" w:rsidP="00934418">
            <w:pPr>
              <w:keepNext/>
              <w:jc w:val="left"/>
              <w:rPr>
                <w:rFonts w:ascii="Arial Narrow" w:hAnsi="Arial Narrow"/>
                <w:sz w:val="20"/>
                <w:lang w:val="en-US"/>
              </w:rPr>
            </w:pPr>
            <w:r w:rsidRPr="00E879FF">
              <w:rPr>
                <w:rFonts w:ascii="Arial Narrow" w:hAnsi="Arial Narrow"/>
                <w:sz w:val="20"/>
                <w:lang w:val="en-US"/>
              </w:rPr>
              <w:t>FEV</w:t>
            </w:r>
            <w:r w:rsidRPr="00082DC6">
              <w:rPr>
                <w:rFonts w:ascii="Arial Narrow" w:hAnsi="Arial Narrow"/>
                <w:sz w:val="20"/>
                <w:vertAlign w:val="subscript"/>
                <w:lang w:val="en-US"/>
              </w:rPr>
              <w:t>1</w:t>
            </w:r>
            <w:r w:rsidRPr="00E879FF">
              <w:rPr>
                <w:rFonts w:ascii="Arial Narrow" w:hAnsi="Arial Narrow"/>
                <w:sz w:val="20"/>
                <w:lang w:val="en-US"/>
              </w:rPr>
              <w:t xml:space="preserve"> predict</w:t>
            </w:r>
            <w:r>
              <w:rPr>
                <w:rFonts w:ascii="Arial Narrow" w:hAnsi="Arial Narrow"/>
                <w:sz w:val="20"/>
                <w:lang w:val="en-US"/>
              </w:rPr>
              <w:t xml:space="preserve">. </w:t>
            </w:r>
            <w:r w:rsidRPr="00E879FF">
              <w:rPr>
                <w:rFonts w:ascii="Arial Narrow" w:hAnsi="Arial Narrow"/>
                <w:sz w:val="20"/>
                <w:lang w:val="en-US"/>
              </w:rPr>
              <w:t>&lt;80%, ≥30%</w:t>
            </w:r>
            <w:r w:rsidR="007603C1" w:rsidRPr="00E879FF">
              <w:rPr>
                <w:rFonts w:ascii="Arial Narrow" w:hAnsi="Arial Narrow"/>
                <w:sz w:val="20"/>
                <w:lang w:val="en-US"/>
              </w:rPr>
              <w:t xml:space="preserve"> </w:t>
            </w:r>
          </w:p>
        </w:tc>
        <w:tc>
          <w:tcPr>
            <w:tcW w:w="1080" w:type="pct"/>
            <w:vMerge w:val="restart"/>
            <w:tcBorders>
              <w:top w:val="single" w:sz="4" w:space="0" w:color="auto"/>
            </w:tcBorders>
            <w:shd w:val="clear" w:color="auto" w:fill="auto"/>
            <w:vAlign w:val="center"/>
          </w:tcPr>
          <w:p w:rsidR="005B4201" w:rsidRPr="0057124F" w:rsidRDefault="005B4201" w:rsidP="00934418">
            <w:pPr>
              <w:keepNext/>
              <w:keepLines/>
              <w:widowControl/>
              <w:jc w:val="left"/>
              <w:rPr>
                <w:rFonts w:ascii="Arial Narrow" w:hAnsi="Arial Narrow"/>
                <w:sz w:val="20"/>
              </w:rPr>
            </w:pPr>
            <w:r>
              <w:rPr>
                <w:rFonts w:ascii="Arial Narrow" w:hAnsi="Arial Narrow"/>
                <w:sz w:val="20"/>
              </w:rPr>
              <w:t>Trough FEV</w:t>
            </w:r>
            <w:r w:rsidRPr="00E87FA0">
              <w:rPr>
                <w:rFonts w:ascii="Arial Narrow" w:hAnsi="Arial Narrow"/>
                <w:sz w:val="20"/>
                <w:vertAlign w:val="subscript"/>
              </w:rPr>
              <w:t>1</w:t>
            </w:r>
            <w:r>
              <w:rPr>
                <w:rFonts w:ascii="Arial Narrow" w:hAnsi="Arial Narrow"/>
                <w:sz w:val="20"/>
              </w:rPr>
              <w:t xml:space="preserve"> </w:t>
            </w:r>
          </w:p>
          <w:p w:rsidR="005B4201" w:rsidRPr="0057124F" w:rsidRDefault="005B4201" w:rsidP="00934418">
            <w:pPr>
              <w:keepNext/>
              <w:keepLines/>
              <w:widowControl/>
              <w:jc w:val="left"/>
              <w:rPr>
                <w:rFonts w:ascii="Arial Narrow" w:hAnsi="Arial Narrow"/>
                <w:sz w:val="20"/>
              </w:rPr>
            </w:pPr>
            <w:r>
              <w:rPr>
                <w:rFonts w:ascii="Arial Narrow" w:hAnsi="Arial Narrow"/>
                <w:sz w:val="20"/>
              </w:rPr>
              <w:t>1-hour</w:t>
            </w:r>
            <w:r w:rsidRPr="009973C9">
              <w:rPr>
                <w:rFonts w:ascii="Arial Narrow" w:hAnsi="Arial Narrow"/>
                <w:sz w:val="20"/>
              </w:rPr>
              <w:t xml:space="preserve"> post-dose FEV</w:t>
            </w:r>
            <w:r w:rsidRPr="009973C9">
              <w:rPr>
                <w:rFonts w:ascii="Arial Narrow" w:hAnsi="Arial Narrow"/>
                <w:sz w:val="20"/>
                <w:vertAlign w:val="subscript"/>
              </w:rPr>
              <w:t>1</w:t>
            </w:r>
          </w:p>
        </w:tc>
      </w:tr>
      <w:tr w:rsidR="005B4201" w:rsidRPr="00E2771E" w:rsidTr="00934418">
        <w:tc>
          <w:tcPr>
            <w:tcW w:w="851" w:type="pct"/>
            <w:tcBorders>
              <w:bottom w:val="single" w:sz="4" w:space="0" w:color="auto"/>
            </w:tcBorders>
            <w:shd w:val="clear" w:color="auto" w:fill="auto"/>
            <w:vAlign w:val="center"/>
          </w:tcPr>
          <w:p w:rsidR="005B4201" w:rsidRPr="00E2771E" w:rsidRDefault="005B4201" w:rsidP="00934418">
            <w:pPr>
              <w:keepNext/>
              <w:keepLines/>
              <w:widowControl/>
              <w:jc w:val="left"/>
              <w:rPr>
                <w:rFonts w:ascii="Arial Narrow" w:hAnsi="Arial Narrow"/>
                <w:sz w:val="20"/>
                <w:szCs w:val="16"/>
                <w:lang w:val="en-US"/>
              </w:rPr>
            </w:pPr>
            <w:r w:rsidRPr="006970E4">
              <w:rPr>
                <w:rFonts w:ascii="Arial Narrow" w:hAnsi="Arial Narrow"/>
                <w:sz w:val="20"/>
                <w:szCs w:val="16"/>
                <w:lang w:val="en-US"/>
              </w:rPr>
              <w:t>AUGMENT</w:t>
            </w:r>
          </w:p>
        </w:tc>
        <w:tc>
          <w:tcPr>
            <w:tcW w:w="253" w:type="pct"/>
            <w:tcBorders>
              <w:bottom w:val="single" w:sz="4" w:space="0" w:color="auto"/>
            </w:tcBorders>
            <w:shd w:val="clear" w:color="auto" w:fill="auto"/>
            <w:vAlign w:val="center"/>
          </w:tcPr>
          <w:p w:rsidR="005B4201" w:rsidRPr="002E6EDF" w:rsidRDefault="005B4201" w:rsidP="007603C1">
            <w:pPr>
              <w:pStyle w:val="Tabletext"/>
              <w:keepNext/>
              <w:keepLines/>
              <w:jc w:val="center"/>
            </w:pPr>
            <w:r w:rsidRPr="00EE052A">
              <w:t>675</w:t>
            </w:r>
          </w:p>
        </w:tc>
        <w:tc>
          <w:tcPr>
            <w:tcW w:w="1086" w:type="pct"/>
            <w:tcBorders>
              <w:bottom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R, DB, 24 wks</w:t>
            </w:r>
          </w:p>
        </w:tc>
        <w:tc>
          <w:tcPr>
            <w:tcW w:w="486" w:type="pct"/>
            <w:tcBorders>
              <w:bottom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Low</w:t>
            </w:r>
          </w:p>
        </w:tc>
        <w:tc>
          <w:tcPr>
            <w:tcW w:w="1244" w:type="pct"/>
            <w:vMerge/>
            <w:shd w:val="clear" w:color="auto" w:fill="auto"/>
            <w:vAlign w:val="center"/>
          </w:tcPr>
          <w:p w:rsidR="005B4201" w:rsidRPr="00E2771E" w:rsidRDefault="005B4201" w:rsidP="00934418">
            <w:pPr>
              <w:keepNext/>
              <w:widowControl/>
              <w:jc w:val="center"/>
              <w:rPr>
                <w:rFonts w:ascii="Arial Narrow" w:hAnsi="Arial Narrow"/>
                <w:sz w:val="20"/>
                <w:lang w:val="en-US"/>
              </w:rPr>
            </w:pPr>
          </w:p>
        </w:tc>
        <w:tc>
          <w:tcPr>
            <w:tcW w:w="1080" w:type="pct"/>
            <w:vMerge/>
            <w:tcBorders>
              <w:bottom w:val="single" w:sz="4" w:space="0" w:color="auto"/>
            </w:tcBorders>
            <w:shd w:val="clear" w:color="auto" w:fill="auto"/>
            <w:vAlign w:val="center"/>
          </w:tcPr>
          <w:p w:rsidR="005B4201" w:rsidRPr="0057124F" w:rsidRDefault="005B4201" w:rsidP="00934418">
            <w:pPr>
              <w:keepNext/>
              <w:keepLines/>
              <w:widowControl/>
              <w:jc w:val="left"/>
              <w:rPr>
                <w:rFonts w:ascii="Arial Narrow" w:hAnsi="Arial Narrow"/>
                <w:sz w:val="20"/>
              </w:rPr>
            </w:pPr>
          </w:p>
        </w:tc>
      </w:tr>
      <w:tr w:rsidR="005B4201" w:rsidRPr="00E2771E" w:rsidTr="0000744D">
        <w:tc>
          <w:tcPr>
            <w:tcW w:w="2190" w:type="pct"/>
            <w:gridSpan w:val="3"/>
            <w:tcBorders>
              <w:top w:val="single" w:sz="4" w:space="0" w:color="auto"/>
              <w:left w:val="single" w:sz="4" w:space="0" w:color="auto"/>
              <w:bottom w:val="single" w:sz="4" w:space="0" w:color="auto"/>
              <w:right w:val="nil"/>
            </w:tcBorders>
            <w:shd w:val="clear" w:color="auto" w:fill="auto"/>
            <w:vAlign w:val="center"/>
          </w:tcPr>
          <w:p w:rsidR="005B4201" w:rsidRDefault="005B4201" w:rsidP="00934418">
            <w:pPr>
              <w:keepNext/>
              <w:keepLines/>
              <w:widowControl/>
              <w:jc w:val="left"/>
              <w:rPr>
                <w:rFonts w:ascii="Arial Narrow" w:hAnsi="Arial Narrow"/>
                <w:sz w:val="20"/>
                <w:szCs w:val="16"/>
                <w:lang w:val="en-US"/>
              </w:rPr>
            </w:pPr>
            <w:r w:rsidRPr="009E56C9">
              <w:rPr>
                <w:rFonts w:ascii="Arial Narrow" w:hAnsi="Arial Narrow"/>
                <w:b/>
                <w:sz w:val="20"/>
                <w:szCs w:val="16"/>
                <w:lang w:val="en-US"/>
              </w:rPr>
              <w:t>Glycopyrroni</w:t>
            </w:r>
            <w:r>
              <w:rPr>
                <w:rFonts w:ascii="Arial Narrow" w:hAnsi="Arial Narrow"/>
                <w:b/>
                <w:sz w:val="20"/>
                <w:szCs w:val="16"/>
                <w:lang w:val="en-US"/>
              </w:rPr>
              <w:t>um/indacaterol FDC vs.</w:t>
            </w:r>
            <w:r w:rsidRPr="009E56C9">
              <w:rPr>
                <w:rFonts w:ascii="Arial Narrow" w:hAnsi="Arial Narrow"/>
                <w:b/>
                <w:sz w:val="20"/>
                <w:szCs w:val="16"/>
                <w:lang w:val="en-US"/>
              </w:rPr>
              <w:t xml:space="preserve"> </w:t>
            </w:r>
            <w:r>
              <w:rPr>
                <w:rFonts w:ascii="Arial Narrow" w:hAnsi="Arial Narrow"/>
                <w:b/>
                <w:sz w:val="20"/>
                <w:szCs w:val="16"/>
                <w:lang w:val="en-US"/>
              </w:rPr>
              <w:t>p</w:t>
            </w:r>
            <w:r w:rsidRPr="009E56C9">
              <w:rPr>
                <w:rFonts w:ascii="Arial Narrow" w:hAnsi="Arial Narrow"/>
                <w:b/>
                <w:sz w:val="20"/>
                <w:szCs w:val="16"/>
                <w:lang w:val="en-US"/>
              </w:rPr>
              <w:t>lacebo</w:t>
            </w:r>
          </w:p>
        </w:tc>
        <w:tc>
          <w:tcPr>
            <w:tcW w:w="486" w:type="pct"/>
            <w:tcBorders>
              <w:top w:val="single" w:sz="4" w:space="0" w:color="auto"/>
              <w:left w:val="nil"/>
              <w:bottom w:val="single" w:sz="4" w:space="0" w:color="auto"/>
            </w:tcBorders>
            <w:shd w:val="clear" w:color="auto" w:fill="auto"/>
            <w:vAlign w:val="center"/>
          </w:tcPr>
          <w:p w:rsidR="005B4201" w:rsidRDefault="005B4201" w:rsidP="00934418">
            <w:pPr>
              <w:keepNext/>
              <w:jc w:val="left"/>
              <w:rPr>
                <w:rFonts w:ascii="Arial Narrow" w:hAnsi="Arial Narrow"/>
                <w:sz w:val="20"/>
                <w:szCs w:val="16"/>
                <w:lang w:val="en-US"/>
              </w:rPr>
            </w:pPr>
          </w:p>
        </w:tc>
        <w:tc>
          <w:tcPr>
            <w:tcW w:w="1244" w:type="pct"/>
            <w:shd w:val="clear" w:color="auto" w:fill="auto"/>
            <w:vAlign w:val="center"/>
          </w:tcPr>
          <w:p w:rsidR="005B4201" w:rsidRPr="00E2771E" w:rsidRDefault="005B4201" w:rsidP="00934418">
            <w:pPr>
              <w:keepNext/>
              <w:jc w:val="left"/>
              <w:rPr>
                <w:rFonts w:ascii="Arial Narrow" w:hAnsi="Arial Narrow"/>
                <w:sz w:val="20"/>
                <w:lang w:val="en-US"/>
              </w:rPr>
            </w:pPr>
          </w:p>
        </w:tc>
        <w:tc>
          <w:tcPr>
            <w:tcW w:w="1080" w:type="pct"/>
            <w:tcBorders>
              <w:top w:val="single" w:sz="4" w:space="0" w:color="auto"/>
              <w:bottom w:val="single" w:sz="4" w:space="0" w:color="auto"/>
              <w:right w:val="single" w:sz="4" w:space="0" w:color="auto"/>
            </w:tcBorders>
            <w:shd w:val="clear" w:color="auto" w:fill="auto"/>
            <w:vAlign w:val="center"/>
          </w:tcPr>
          <w:p w:rsidR="005B4201" w:rsidRPr="00E2771E" w:rsidRDefault="005B4201" w:rsidP="00934418">
            <w:pPr>
              <w:keepNext/>
              <w:widowControl/>
              <w:jc w:val="left"/>
              <w:rPr>
                <w:rFonts w:ascii="Arial Narrow" w:hAnsi="Arial Narrow"/>
                <w:sz w:val="20"/>
                <w:lang w:val="en-US"/>
              </w:rPr>
            </w:pPr>
          </w:p>
        </w:tc>
      </w:tr>
      <w:tr w:rsidR="005B4201" w:rsidRPr="00E2771E" w:rsidTr="0000744D">
        <w:tc>
          <w:tcPr>
            <w:tcW w:w="851" w:type="pct"/>
            <w:tcBorders>
              <w:top w:val="single" w:sz="4" w:space="0" w:color="auto"/>
            </w:tcBorders>
            <w:shd w:val="clear" w:color="auto" w:fill="auto"/>
            <w:vAlign w:val="center"/>
          </w:tcPr>
          <w:p w:rsidR="005B4201" w:rsidRPr="00E2771E" w:rsidRDefault="005B4201" w:rsidP="00934418">
            <w:pPr>
              <w:keepNext/>
              <w:keepLines/>
              <w:widowControl/>
              <w:jc w:val="left"/>
              <w:rPr>
                <w:rFonts w:ascii="Arial Narrow" w:hAnsi="Arial Narrow"/>
                <w:sz w:val="20"/>
                <w:szCs w:val="16"/>
                <w:lang w:val="en-US"/>
              </w:rPr>
            </w:pPr>
            <w:r>
              <w:rPr>
                <w:rFonts w:ascii="Arial Narrow" w:hAnsi="Arial Narrow"/>
                <w:sz w:val="20"/>
                <w:szCs w:val="16"/>
                <w:lang w:val="en-US"/>
              </w:rPr>
              <w:t>SHINE</w:t>
            </w:r>
          </w:p>
        </w:tc>
        <w:tc>
          <w:tcPr>
            <w:tcW w:w="253"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sidRPr="00F21245">
              <w:rPr>
                <w:rFonts w:ascii="Arial Narrow" w:hAnsi="Arial Narrow"/>
                <w:sz w:val="20"/>
                <w:szCs w:val="16"/>
                <w:lang w:val="en-US"/>
              </w:rPr>
              <w:t>709</w:t>
            </w:r>
          </w:p>
        </w:tc>
        <w:tc>
          <w:tcPr>
            <w:tcW w:w="10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R, DB, 26 wks</w:t>
            </w:r>
          </w:p>
        </w:tc>
        <w:tc>
          <w:tcPr>
            <w:tcW w:w="4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Low</w:t>
            </w:r>
          </w:p>
        </w:tc>
        <w:tc>
          <w:tcPr>
            <w:tcW w:w="1244" w:type="pct"/>
            <w:vMerge w:val="restart"/>
            <w:shd w:val="clear" w:color="auto" w:fill="auto"/>
            <w:vAlign w:val="center"/>
          </w:tcPr>
          <w:p w:rsidR="007603C1" w:rsidRDefault="007603C1" w:rsidP="007603C1">
            <w:pPr>
              <w:keepNext/>
              <w:widowControl/>
              <w:jc w:val="left"/>
              <w:rPr>
                <w:rFonts w:ascii="Arial Narrow" w:hAnsi="Arial Narrow"/>
                <w:sz w:val="20"/>
                <w:lang w:val="en-US"/>
              </w:rPr>
            </w:pPr>
            <w:r>
              <w:rPr>
                <w:rFonts w:ascii="Arial Narrow" w:hAnsi="Arial Narrow"/>
                <w:sz w:val="20"/>
                <w:lang w:val="en-US"/>
              </w:rPr>
              <w:t>COPD</w:t>
            </w:r>
          </w:p>
          <w:p w:rsidR="005B4201" w:rsidRPr="00E2771E" w:rsidRDefault="007603C1" w:rsidP="00934418">
            <w:pPr>
              <w:keepNext/>
              <w:jc w:val="left"/>
              <w:rPr>
                <w:rFonts w:ascii="Arial Narrow" w:hAnsi="Arial Narrow"/>
                <w:sz w:val="20"/>
                <w:lang w:val="en-US"/>
              </w:rPr>
            </w:pPr>
            <w:r w:rsidRPr="00E879FF">
              <w:rPr>
                <w:rFonts w:ascii="Arial Narrow" w:hAnsi="Arial Narrow"/>
                <w:sz w:val="20"/>
                <w:lang w:val="en-US"/>
              </w:rPr>
              <w:t>FEV</w:t>
            </w:r>
            <w:r w:rsidRPr="00082DC6">
              <w:rPr>
                <w:rFonts w:ascii="Arial Narrow" w:hAnsi="Arial Narrow"/>
                <w:sz w:val="20"/>
                <w:vertAlign w:val="subscript"/>
                <w:lang w:val="en-US"/>
              </w:rPr>
              <w:t>1</w:t>
            </w:r>
            <w:r w:rsidRPr="00E879FF">
              <w:rPr>
                <w:rFonts w:ascii="Arial Narrow" w:hAnsi="Arial Narrow"/>
                <w:sz w:val="20"/>
                <w:lang w:val="en-US"/>
              </w:rPr>
              <w:t xml:space="preserve"> predict</w:t>
            </w:r>
            <w:r>
              <w:rPr>
                <w:rFonts w:ascii="Arial Narrow" w:hAnsi="Arial Narrow"/>
                <w:sz w:val="20"/>
                <w:lang w:val="en-US"/>
              </w:rPr>
              <w:t xml:space="preserve">. </w:t>
            </w:r>
            <w:r w:rsidRPr="00E879FF">
              <w:rPr>
                <w:rFonts w:ascii="Arial Narrow" w:hAnsi="Arial Narrow"/>
                <w:sz w:val="20"/>
                <w:lang w:val="en-US"/>
              </w:rPr>
              <w:t xml:space="preserve">&lt;80%, ≥30% </w:t>
            </w:r>
          </w:p>
        </w:tc>
        <w:tc>
          <w:tcPr>
            <w:tcW w:w="1080" w:type="pct"/>
            <w:tcBorders>
              <w:top w:val="single" w:sz="4" w:space="0" w:color="auto"/>
            </w:tcBorders>
            <w:shd w:val="clear" w:color="auto" w:fill="auto"/>
            <w:vAlign w:val="center"/>
          </w:tcPr>
          <w:p w:rsidR="005B4201" w:rsidRPr="00E2771E" w:rsidRDefault="005B4201" w:rsidP="00934418">
            <w:pPr>
              <w:keepNext/>
              <w:widowControl/>
              <w:jc w:val="left"/>
              <w:rPr>
                <w:rFonts w:ascii="Arial Narrow" w:hAnsi="Arial Narrow"/>
                <w:sz w:val="20"/>
                <w:lang w:val="en-US"/>
              </w:rPr>
            </w:pPr>
            <w:r>
              <w:rPr>
                <w:rFonts w:ascii="Arial Narrow" w:hAnsi="Arial Narrow"/>
                <w:sz w:val="20"/>
              </w:rPr>
              <w:t>Trough FEV</w:t>
            </w:r>
            <w:r w:rsidRPr="00E87FA0">
              <w:rPr>
                <w:rFonts w:ascii="Arial Narrow" w:hAnsi="Arial Narrow"/>
                <w:sz w:val="20"/>
                <w:vertAlign w:val="subscript"/>
              </w:rPr>
              <w:t>1</w:t>
            </w:r>
          </w:p>
        </w:tc>
      </w:tr>
      <w:tr w:rsidR="005B4201" w:rsidRPr="00E2771E" w:rsidTr="0000744D">
        <w:tc>
          <w:tcPr>
            <w:tcW w:w="851" w:type="pct"/>
            <w:tcBorders>
              <w:bottom w:val="single" w:sz="4" w:space="0" w:color="auto"/>
            </w:tcBorders>
            <w:shd w:val="clear" w:color="auto" w:fill="auto"/>
            <w:vAlign w:val="center"/>
          </w:tcPr>
          <w:p w:rsidR="005B4201" w:rsidRPr="00E2771E" w:rsidRDefault="005B4201" w:rsidP="00934418">
            <w:pPr>
              <w:keepNext/>
              <w:keepLines/>
              <w:widowControl/>
              <w:jc w:val="left"/>
              <w:rPr>
                <w:rFonts w:ascii="Arial Narrow" w:hAnsi="Arial Narrow"/>
                <w:sz w:val="20"/>
                <w:szCs w:val="16"/>
                <w:lang w:val="en-US"/>
              </w:rPr>
            </w:pPr>
            <w:r>
              <w:rPr>
                <w:rFonts w:ascii="Arial Narrow" w:hAnsi="Arial Narrow"/>
                <w:sz w:val="20"/>
                <w:szCs w:val="16"/>
                <w:lang w:val="en-US"/>
              </w:rPr>
              <w:t>ENLIGHTEN</w:t>
            </w:r>
          </w:p>
        </w:tc>
        <w:tc>
          <w:tcPr>
            <w:tcW w:w="253" w:type="pct"/>
            <w:tcBorders>
              <w:bottom w:val="single" w:sz="4" w:space="0" w:color="auto"/>
            </w:tcBorders>
            <w:shd w:val="clear" w:color="auto" w:fill="auto"/>
            <w:vAlign w:val="center"/>
          </w:tcPr>
          <w:p w:rsidR="005B4201" w:rsidRPr="00C30047" w:rsidRDefault="005B4201" w:rsidP="007603C1">
            <w:pPr>
              <w:pStyle w:val="Tabletext"/>
              <w:keepNext/>
              <w:keepLines/>
              <w:jc w:val="center"/>
            </w:pPr>
            <w:r w:rsidRPr="00F21245">
              <w:t>339</w:t>
            </w:r>
          </w:p>
        </w:tc>
        <w:tc>
          <w:tcPr>
            <w:tcW w:w="1086" w:type="pct"/>
            <w:tcBorders>
              <w:bottom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R, DB, 52 wks</w:t>
            </w:r>
          </w:p>
        </w:tc>
        <w:tc>
          <w:tcPr>
            <w:tcW w:w="486" w:type="pct"/>
            <w:tcBorders>
              <w:bottom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Low</w:t>
            </w:r>
          </w:p>
        </w:tc>
        <w:tc>
          <w:tcPr>
            <w:tcW w:w="1244" w:type="pct"/>
            <w:vMerge/>
            <w:tcBorders>
              <w:bottom w:val="single" w:sz="4" w:space="0" w:color="auto"/>
            </w:tcBorders>
            <w:shd w:val="clear" w:color="auto" w:fill="auto"/>
            <w:vAlign w:val="center"/>
          </w:tcPr>
          <w:p w:rsidR="005B4201" w:rsidRPr="00E2771E" w:rsidRDefault="005B4201" w:rsidP="00934418">
            <w:pPr>
              <w:keepNext/>
              <w:widowControl/>
              <w:jc w:val="center"/>
              <w:rPr>
                <w:rFonts w:ascii="Arial Narrow" w:hAnsi="Arial Narrow"/>
                <w:sz w:val="20"/>
                <w:lang w:val="en-US"/>
              </w:rPr>
            </w:pPr>
          </w:p>
        </w:tc>
        <w:tc>
          <w:tcPr>
            <w:tcW w:w="1080" w:type="pct"/>
            <w:tcBorders>
              <w:bottom w:val="single" w:sz="4" w:space="0" w:color="auto"/>
            </w:tcBorders>
            <w:shd w:val="clear" w:color="auto" w:fill="auto"/>
            <w:vAlign w:val="center"/>
          </w:tcPr>
          <w:p w:rsidR="005B4201" w:rsidRPr="0057124F" w:rsidRDefault="005B4201" w:rsidP="00934418">
            <w:pPr>
              <w:keepNext/>
              <w:keepLines/>
              <w:widowControl/>
              <w:jc w:val="left"/>
              <w:rPr>
                <w:rFonts w:ascii="Arial Narrow" w:hAnsi="Arial Narrow"/>
                <w:sz w:val="20"/>
              </w:rPr>
            </w:pPr>
            <w:r>
              <w:rPr>
                <w:rFonts w:ascii="Arial Narrow" w:hAnsi="Arial Narrow"/>
                <w:sz w:val="20"/>
                <w:lang w:val="en-US"/>
              </w:rPr>
              <w:t>Adverse events</w:t>
            </w:r>
            <w:r>
              <w:rPr>
                <w:rFonts w:ascii="Arial Narrow" w:hAnsi="Arial Narrow"/>
                <w:sz w:val="20"/>
                <w:lang w:val="en-US"/>
              </w:rPr>
              <w:br/>
            </w:r>
            <w:r>
              <w:rPr>
                <w:rFonts w:ascii="Arial Narrow" w:hAnsi="Arial Narrow"/>
                <w:sz w:val="20"/>
              </w:rPr>
              <w:t>Pre-dose FEV</w:t>
            </w:r>
            <w:r w:rsidRPr="00DA1B2E">
              <w:rPr>
                <w:rFonts w:ascii="Arial Narrow" w:hAnsi="Arial Narrow"/>
                <w:sz w:val="20"/>
                <w:vertAlign w:val="subscript"/>
              </w:rPr>
              <w:t>1</w:t>
            </w:r>
            <w:r>
              <w:rPr>
                <w:rFonts w:ascii="Arial Narrow" w:hAnsi="Arial Narrow"/>
                <w:sz w:val="20"/>
              </w:rPr>
              <w:t xml:space="preserve"> </w:t>
            </w:r>
          </w:p>
        </w:tc>
      </w:tr>
      <w:tr w:rsidR="005B4201" w:rsidRPr="00E2771E" w:rsidTr="0000744D">
        <w:tc>
          <w:tcPr>
            <w:tcW w:w="2190" w:type="pct"/>
            <w:gridSpan w:val="3"/>
            <w:tcBorders>
              <w:top w:val="single" w:sz="4" w:space="0" w:color="auto"/>
              <w:left w:val="single" w:sz="4" w:space="0" w:color="auto"/>
              <w:bottom w:val="single" w:sz="4" w:space="0" w:color="auto"/>
              <w:right w:val="nil"/>
            </w:tcBorders>
            <w:shd w:val="clear" w:color="auto" w:fill="auto"/>
            <w:vAlign w:val="center"/>
          </w:tcPr>
          <w:p w:rsidR="005B4201" w:rsidRDefault="005B4201" w:rsidP="00934418">
            <w:pPr>
              <w:keepNext/>
              <w:keepLines/>
              <w:widowControl/>
              <w:jc w:val="left"/>
              <w:rPr>
                <w:rFonts w:ascii="Arial Narrow" w:hAnsi="Arial Narrow"/>
                <w:sz w:val="20"/>
                <w:szCs w:val="16"/>
                <w:lang w:val="en-US"/>
              </w:rPr>
            </w:pPr>
            <w:r w:rsidRPr="009E56C9">
              <w:rPr>
                <w:rFonts w:ascii="Arial Narrow" w:hAnsi="Arial Narrow"/>
                <w:b/>
                <w:sz w:val="20"/>
                <w:szCs w:val="16"/>
                <w:lang w:val="en-US"/>
              </w:rPr>
              <w:t>Umeclidinium/vilanterol</w:t>
            </w:r>
            <w:r>
              <w:rPr>
                <w:rFonts w:ascii="Arial Narrow" w:hAnsi="Arial Narrow"/>
                <w:b/>
                <w:sz w:val="20"/>
                <w:szCs w:val="16"/>
                <w:lang w:val="en-US"/>
              </w:rPr>
              <w:t xml:space="preserve"> FDC</w:t>
            </w:r>
            <w:r w:rsidRPr="009E56C9">
              <w:rPr>
                <w:rFonts w:ascii="Arial Narrow" w:hAnsi="Arial Narrow"/>
                <w:b/>
                <w:sz w:val="20"/>
                <w:szCs w:val="16"/>
                <w:lang w:val="en-US"/>
              </w:rPr>
              <w:t xml:space="preserve"> vs. placebo</w:t>
            </w:r>
          </w:p>
        </w:tc>
        <w:tc>
          <w:tcPr>
            <w:tcW w:w="486" w:type="pct"/>
            <w:tcBorders>
              <w:top w:val="single" w:sz="4" w:space="0" w:color="auto"/>
              <w:left w:val="nil"/>
              <w:bottom w:val="single" w:sz="4" w:space="0" w:color="auto"/>
              <w:right w:val="nil"/>
            </w:tcBorders>
            <w:shd w:val="clear" w:color="auto" w:fill="auto"/>
            <w:vAlign w:val="center"/>
          </w:tcPr>
          <w:p w:rsidR="005B4201" w:rsidRDefault="005B4201" w:rsidP="00934418">
            <w:pPr>
              <w:keepNext/>
              <w:keepLines/>
              <w:widowControl/>
              <w:jc w:val="center"/>
              <w:rPr>
                <w:rFonts w:ascii="Arial Narrow" w:hAnsi="Arial Narrow"/>
                <w:sz w:val="20"/>
                <w:szCs w:val="16"/>
                <w:lang w:val="en-US"/>
              </w:rPr>
            </w:pPr>
          </w:p>
        </w:tc>
        <w:tc>
          <w:tcPr>
            <w:tcW w:w="1244" w:type="pct"/>
            <w:tcBorders>
              <w:top w:val="single" w:sz="4" w:space="0" w:color="auto"/>
              <w:left w:val="nil"/>
              <w:bottom w:val="single" w:sz="4" w:space="0" w:color="auto"/>
              <w:right w:val="nil"/>
            </w:tcBorders>
            <w:shd w:val="clear" w:color="auto" w:fill="auto"/>
            <w:vAlign w:val="center"/>
          </w:tcPr>
          <w:p w:rsidR="005B4201" w:rsidRPr="00E2771E" w:rsidRDefault="005B4201" w:rsidP="00934418">
            <w:pPr>
              <w:keepNext/>
              <w:widowControl/>
              <w:jc w:val="center"/>
              <w:rPr>
                <w:rFonts w:ascii="Arial Narrow" w:hAnsi="Arial Narrow"/>
                <w:sz w:val="20"/>
                <w:lang w:val="en-US"/>
              </w:rPr>
            </w:pPr>
          </w:p>
        </w:tc>
        <w:tc>
          <w:tcPr>
            <w:tcW w:w="1080" w:type="pct"/>
            <w:tcBorders>
              <w:top w:val="single" w:sz="4" w:space="0" w:color="auto"/>
              <w:left w:val="nil"/>
              <w:bottom w:val="single" w:sz="4" w:space="0" w:color="auto"/>
              <w:right w:val="single" w:sz="4" w:space="0" w:color="auto"/>
            </w:tcBorders>
            <w:shd w:val="clear" w:color="auto" w:fill="auto"/>
            <w:vAlign w:val="center"/>
          </w:tcPr>
          <w:p w:rsidR="005B4201" w:rsidRPr="00E2771E" w:rsidRDefault="005B4201" w:rsidP="00934418">
            <w:pPr>
              <w:keepNext/>
              <w:widowControl/>
              <w:jc w:val="center"/>
              <w:rPr>
                <w:rFonts w:ascii="Arial Narrow" w:hAnsi="Arial Narrow"/>
                <w:sz w:val="20"/>
                <w:lang w:val="en-US"/>
              </w:rPr>
            </w:pPr>
          </w:p>
        </w:tc>
      </w:tr>
      <w:tr w:rsidR="005B4201" w:rsidRPr="00E2771E" w:rsidTr="0000744D">
        <w:tc>
          <w:tcPr>
            <w:tcW w:w="851" w:type="pct"/>
            <w:tcBorders>
              <w:top w:val="single" w:sz="4" w:space="0" w:color="auto"/>
            </w:tcBorders>
            <w:shd w:val="clear" w:color="auto" w:fill="auto"/>
            <w:vAlign w:val="center"/>
          </w:tcPr>
          <w:p w:rsidR="005B4201" w:rsidRPr="00E2771E" w:rsidRDefault="00606C87" w:rsidP="00934418">
            <w:pPr>
              <w:keepNext/>
              <w:keepLines/>
              <w:widowControl/>
              <w:jc w:val="left"/>
              <w:rPr>
                <w:rFonts w:ascii="Arial Narrow" w:hAnsi="Arial Narrow"/>
                <w:sz w:val="20"/>
                <w:szCs w:val="16"/>
                <w:lang w:val="en-US"/>
              </w:rPr>
            </w:pPr>
            <w:r w:rsidRPr="00606C87">
              <w:rPr>
                <w:rFonts w:ascii="Arial Narrow" w:hAnsi="Arial Narrow"/>
                <w:sz w:val="20"/>
                <w:szCs w:val="16"/>
                <w:lang w:val="en-US"/>
              </w:rPr>
              <w:t>Donohue (2013)</w:t>
            </w:r>
          </w:p>
        </w:tc>
        <w:tc>
          <w:tcPr>
            <w:tcW w:w="253" w:type="pct"/>
            <w:tcBorders>
              <w:top w:val="single" w:sz="4" w:space="0" w:color="auto"/>
            </w:tcBorders>
            <w:shd w:val="clear" w:color="auto" w:fill="auto"/>
            <w:vAlign w:val="center"/>
          </w:tcPr>
          <w:p w:rsidR="005B4201" w:rsidRPr="00C30047" w:rsidRDefault="005B4201" w:rsidP="007603C1">
            <w:pPr>
              <w:pStyle w:val="Tabletext"/>
              <w:keepNext/>
              <w:keepLines/>
              <w:jc w:val="center"/>
            </w:pPr>
            <w:r w:rsidRPr="00F21245">
              <w:t>694</w:t>
            </w:r>
          </w:p>
        </w:tc>
        <w:tc>
          <w:tcPr>
            <w:tcW w:w="10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R, DB, 24 wks</w:t>
            </w:r>
          </w:p>
        </w:tc>
        <w:tc>
          <w:tcPr>
            <w:tcW w:w="486" w:type="pct"/>
            <w:tcBorders>
              <w:top w:val="single" w:sz="4" w:space="0" w:color="auto"/>
            </w:tcBorders>
            <w:shd w:val="clear" w:color="auto" w:fill="auto"/>
            <w:vAlign w:val="center"/>
          </w:tcPr>
          <w:p w:rsidR="005B4201" w:rsidRPr="00E2771E" w:rsidRDefault="005B4201" w:rsidP="00934418">
            <w:pPr>
              <w:keepNext/>
              <w:keepLines/>
              <w:widowControl/>
              <w:jc w:val="center"/>
              <w:rPr>
                <w:rFonts w:ascii="Arial Narrow" w:hAnsi="Arial Narrow"/>
                <w:sz w:val="20"/>
                <w:szCs w:val="16"/>
                <w:lang w:val="en-US"/>
              </w:rPr>
            </w:pPr>
            <w:r>
              <w:rPr>
                <w:rFonts w:ascii="Arial Narrow" w:hAnsi="Arial Narrow"/>
                <w:sz w:val="20"/>
                <w:szCs w:val="16"/>
                <w:lang w:val="en-US"/>
              </w:rPr>
              <w:t>Low</w:t>
            </w:r>
          </w:p>
        </w:tc>
        <w:tc>
          <w:tcPr>
            <w:tcW w:w="1244" w:type="pct"/>
            <w:tcBorders>
              <w:top w:val="single" w:sz="4" w:space="0" w:color="auto"/>
            </w:tcBorders>
            <w:shd w:val="clear" w:color="auto" w:fill="auto"/>
            <w:vAlign w:val="center"/>
          </w:tcPr>
          <w:p w:rsidR="005B4201" w:rsidRDefault="005B4201" w:rsidP="00934418">
            <w:pPr>
              <w:keepNext/>
              <w:widowControl/>
              <w:jc w:val="left"/>
              <w:rPr>
                <w:rFonts w:ascii="Arial Narrow" w:hAnsi="Arial Narrow"/>
                <w:sz w:val="20"/>
                <w:lang w:val="en-US"/>
              </w:rPr>
            </w:pPr>
            <w:r>
              <w:rPr>
                <w:rFonts w:ascii="Arial Narrow" w:hAnsi="Arial Narrow"/>
                <w:sz w:val="20"/>
                <w:lang w:val="en-US"/>
              </w:rPr>
              <w:t>COPD</w:t>
            </w:r>
          </w:p>
          <w:p w:rsidR="005B4201" w:rsidRPr="00E2771E" w:rsidRDefault="005B4201" w:rsidP="00934418">
            <w:pPr>
              <w:keepNext/>
              <w:widowControl/>
              <w:jc w:val="left"/>
              <w:rPr>
                <w:rFonts w:ascii="Arial Narrow" w:hAnsi="Arial Narrow"/>
                <w:sz w:val="20"/>
                <w:lang w:val="en-US"/>
              </w:rPr>
            </w:pPr>
            <w:r w:rsidRPr="00E879FF">
              <w:rPr>
                <w:rFonts w:ascii="Arial Narrow" w:hAnsi="Arial Narrow"/>
                <w:sz w:val="20"/>
                <w:lang w:val="en-US"/>
              </w:rPr>
              <w:t>FEV</w:t>
            </w:r>
            <w:r w:rsidRPr="00082DC6">
              <w:rPr>
                <w:rFonts w:ascii="Arial Narrow" w:hAnsi="Arial Narrow"/>
                <w:sz w:val="20"/>
                <w:vertAlign w:val="subscript"/>
                <w:lang w:val="en-US"/>
              </w:rPr>
              <w:t>1</w:t>
            </w:r>
            <w:r w:rsidRPr="00E879FF">
              <w:rPr>
                <w:rFonts w:ascii="Arial Narrow" w:hAnsi="Arial Narrow"/>
                <w:sz w:val="20"/>
                <w:lang w:val="en-US"/>
              </w:rPr>
              <w:t xml:space="preserve"> predict</w:t>
            </w:r>
            <w:r>
              <w:rPr>
                <w:rFonts w:ascii="Arial Narrow" w:hAnsi="Arial Narrow"/>
                <w:sz w:val="20"/>
                <w:lang w:val="en-US"/>
              </w:rPr>
              <w:t xml:space="preserve">. </w:t>
            </w:r>
            <w:r w:rsidRPr="00E879FF">
              <w:rPr>
                <w:rFonts w:ascii="Arial Narrow" w:hAnsi="Arial Narrow"/>
                <w:sz w:val="20"/>
                <w:lang w:val="en-US"/>
              </w:rPr>
              <w:t>&lt;</w:t>
            </w:r>
            <w:r>
              <w:rPr>
                <w:rFonts w:ascii="Arial Narrow" w:hAnsi="Arial Narrow"/>
                <w:sz w:val="20"/>
                <w:lang w:val="en-US"/>
              </w:rPr>
              <w:t>70%</w:t>
            </w:r>
          </w:p>
        </w:tc>
        <w:tc>
          <w:tcPr>
            <w:tcW w:w="1080" w:type="pct"/>
            <w:tcBorders>
              <w:top w:val="single" w:sz="4" w:space="0" w:color="auto"/>
            </w:tcBorders>
            <w:shd w:val="clear" w:color="auto" w:fill="auto"/>
            <w:vAlign w:val="center"/>
          </w:tcPr>
          <w:p w:rsidR="005B4201" w:rsidRPr="00E2771E" w:rsidRDefault="005B4201" w:rsidP="00934418">
            <w:pPr>
              <w:keepNext/>
              <w:widowControl/>
              <w:jc w:val="left"/>
              <w:rPr>
                <w:rFonts w:ascii="Arial Narrow" w:hAnsi="Arial Narrow"/>
                <w:sz w:val="20"/>
                <w:lang w:val="en-US"/>
              </w:rPr>
            </w:pPr>
            <w:r>
              <w:rPr>
                <w:rFonts w:ascii="Arial Narrow" w:hAnsi="Arial Narrow"/>
                <w:sz w:val="20"/>
              </w:rPr>
              <w:t>Trough FEV</w:t>
            </w:r>
            <w:r w:rsidRPr="00E87FA0">
              <w:rPr>
                <w:rFonts w:ascii="Arial Narrow" w:hAnsi="Arial Narrow"/>
                <w:sz w:val="20"/>
                <w:vertAlign w:val="subscript"/>
              </w:rPr>
              <w:t>1</w:t>
            </w:r>
          </w:p>
        </w:tc>
      </w:tr>
    </w:tbl>
    <w:p w:rsidR="00AC3E58" w:rsidRDefault="00AC3E58" w:rsidP="00934418">
      <w:pPr>
        <w:pStyle w:val="TableFooter"/>
        <w:keepNext/>
        <w:keepLines/>
        <w:widowControl/>
        <w:ind w:left="720"/>
        <w:rPr>
          <w:szCs w:val="18"/>
        </w:rPr>
      </w:pPr>
      <w:r w:rsidRPr="007F1017">
        <w:rPr>
          <w:szCs w:val="18"/>
        </w:rPr>
        <w:t xml:space="preserve">Source: </w:t>
      </w:r>
      <w:r w:rsidR="007559A1">
        <w:rPr>
          <w:szCs w:val="18"/>
        </w:rPr>
        <w:t>Table 5, pp30-32 of the Technical Document 2 attachment to the submission</w:t>
      </w:r>
    </w:p>
    <w:p w:rsidR="00AC3E58" w:rsidRDefault="00AC3E58" w:rsidP="00934418">
      <w:pPr>
        <w:pStyle w:val="TableFooter"/>
        <w:keepNext/>
        <w:keepLines/>
        <w:widowControl/>
        <w:ind w:left="720"/>
      </w:pPr>
      <w:r w:rsidRPr="001E18C1">
        <w:rPr>
          <w:szCs w:val="18"/>
        </w:rPr>
        <w:t>FDC</w:t>
      </w:r>
      <w:r>
        <w:rPr>
          <w:szCs w:val="18"/>
        </w:rPr>
        <w:t xml:space="preserve"> = </w:t>
      </w:r>
      <w:r w:rsidR="00A4795A">
        <w:rPr>
          <w:szCs w:val="18"/>
        </w:rPr>
        <w:t>fixed dose</w:t>
      </w:r>
      <w:r>
        <w:rPr>
          <w:szCs w:val="18"/>
        </w:rPr>
        <w:t xml:space="preserve"> combination; R = randomised; DB = double blind; wks = weeks</w:t>
      </w:r>
      <w:r w:rsidR="0078538E">
        <w:rPr>
          <w:szCs w:val="18"/>
        </w:rPr>
        <w:t xml:space="preserve">; COPD = </w:t>
      </w:r>
      <w:r w:rsidR="0078538E" w:rsidRPr="00BC17BA">
        <w:t>chronic obstructive pulmonary disease</w:t>
      </w:r>
      <w:r w:rsidR="0078538E">
        <w:rPr>
          <w:szCs w:val="18"/>
        </w:rPr>
        <w:t>;</w:t>
      </w:r>
      <w:r w:rsidR="0078538E" w:rsidRPr="0078538E">
        <w:t xml:space="preserve"> </w:t>
      </w:r>
      <w:r w:rsidR="0078538E" w:rsidRPr="00903F77">
        <w:t>FEV</w:t>
      </w:r>
      <w:r w:rsidR="0078538E" w:rsidRPr="00903F77">
        <w:rPr>
          <w:vertAlign w:val="subscript"/>
        </w:rPr>
        <w:t>1</w:t>
      </w:r>
      <w:r w:rsidR="0078538E" w:rsidRPr="00903F77">
        <w:t xml:space="preserve"> = forced expiratory volume in one second</w:t>
      </w:r>
      <w:r w:rsidR="00B132D8">
        <w:t xml:space="preserve">; </w:t>
      </w:r>
      <w:r w:rsidR="00B132D8" w:rsidRPr="00B132D8">
        <w:t>FVC = forced vital capacity</w:t>
      </w:r>
      <w:r w:rsidR="00E36EB4">
        <w:t>; predict = predicted</w:t>
      </w:r>
    </w:p>
    <w:p w:rsidR="00E36EB4" w:rsidRPr="001E18C1" w:rsidRDefault="00E36EB4" w:rsidP="00934418">
      <w:pPr>
        <w:pStyle w:val="TableFooter"/>
        <w:keepNext/>
        <w:keepLines/>
        <w:widowControl/>
        <w:ind w:left="720"/>
        <w:rPr>
          <w:szCs w:val="18"/>
        </w:rPr>
      </w:pPr>
      <w:r w:rsidRPr="0053479D">
        <w:rPr>
          <w:szCs w:val="18"/>
          <w:vertAlign w:val="superscript"/>
        </w:rPr>
        <w:t>a</w:t>
      </w:r>
      <w:r>
        <w:rPr>
          <w:szCs w:val="18"/>
        </w:rPr>
        <w:t xml:space="preserve"> numbers of patients randomised in treatment arms relevant for the indirect comparison</w:t>
      </w:r>
    </w:p>
    <w:p w:rsidR="007F1017" w:rsidRDefault="007F1017" w:rsidP="007F1017"/>
    <w:p w:rsidR="00B60939" w:rsidRPr="002C2775" w:rsidRDefault="00B60939" w:rsidP="002C2775">
      <w:pPr>
        <w:pStyle w:val="Heading2"/>
        <w:rPr>
          <w:i/>
        </w:rPr>
      </w:pPr>
      <w:bookmarkStart w:id="10" w:name="_Toc419455595"/>
      <w:r w:rsidRPr="002C2775">
        <w:rPr>
          <w:i/>
        </w:rPr>
        <w:t>Comparative effectiveness</w:t>
      </w:r>
      <w:bookmarkEnd w:id="10"/>
    </w:p>
    <w:p w:rsidR="00B60939" w:rsidRPr="00882085" w:rsidRDefault="00B60939" w:rsidP="00B60939">
      <w:pPr>
        <w:rPr>
          <w:szCs w:val="22"/>
        </w:rPr>
      </w:pPr>
    </w:p>
    <w:p w:rsidR="002C2775" w:rsidRPr="00B50DB8" w:rsidRDefault="003758EA" w:rsidP="00EB0FDB">
      <w:pPr>
        <w:pStyle w:val="ListParagraph"/>
        <w:widowControl/>
        <w:numPr>
          <w:ilvl w:val="1"/>
          <w:numId w:val="4"/>
        </w:numPr>
        <w:rPr>
          <w:szCs w:val="22"/>
        </w:rPr>
      </w:pPr>
      <w:r>
        <w:rPr>
          <w:szCs w:val="22"/>
        </w:rPr>
        <w:t>Results of a network analysis of trough FEV</w:t>
      </w:r>
      <w:r w:rsidRPr="009B32F9">
        <w:rPr>
          <w:szCs w:val="22"/>
          <w:vertAlign w:val="subscript"/>
        </w:rPr>
        <w:t>1</w:t>
      </w:r>
      <w:r>
        <w:rPr>
          <w:szCs w:val="22"/>
        </w:rPr>
        <w:t xml:space="preserve"> </w:t>
      </w:r>
      <w:r w:rsidR="0070668B">
        <w:rPr>
          <w:szCs w:val="22"/>
        </w:rPr>
        <w:t>for the main comparisons and the supportive comparisons</w:t>
      </w:r>
      <w:r>
        <w:rPr>
          <w:szCs w:val="22"/>
        </w:rPr>
        <w:t xml:space="preserve"> are presented in Table</w:t>
      </w:r>
      <w:r w:rsidR="0070668B">
        <w:rPr>
          <w:szCs w:val="22"/>
        </w:rPr>
        <w:t>s</w:t>
      </w:r>
      <w:r>
        <w:rPr>
          <w:szCs w:val="22"/>
        </w:rPr>
        <w:t xml:space="preserve"> 3</w:t>
      </w:r>
      <w:r w:rsidR="0070668B">
        <w:rPr>
          <w:szCs w:val="22"/>
        </w:rPr>
        <w:t xml:space="preserve"> and 4</w:t>
      </w:r>
      <w:r w:rsidR="00E36EB4">
        <w:rPr>
          <w:szCs w:val="22"/>
        </w:rPr>
        <w:t>,</w:t>
      </w:r>
      <w:r w:rsidR="0070668B">
        <w:rPr>
          <w:szCs w:val="22"/>
        </w:rPr>
        <w:t xml:space="preserve"> respectively</w:t>
      </w:r>
      <w:r>
        <w:rPr>
          <w:szCs w:val="22"/>
        </w:rPr>
        <w:t>.</w:t>
      </w:r>
      <w:r w:rsidR="0000661E">
        <w:rPr>
          <w:szCs w:val="22"/>
        </w:rPr>
        <w:t xml:space="preserve"> A higher trough FEV</w:t>
      </w:r>
      <w:r w:rsidR="0000661E" w:rsidRPr="009B32F9">
        <w:rPr>
          <w:szCs w:val="22"/>
          <w:vertAlign w:val="subscript"/>
        </w:rPr>
        <w:t>1</w:t>
      </w:r>
      <w:r w:rsidR="0000661E">
        <w:rPr>
          <w:szCs w:val="22"/>
          <w:vertAlign w:val="subscript"/>
        </w:rPr>
        <w:t xml:space="preserve"> </w:t>
      </w:r>
      <w:r w:rsidR="0000661E">
        <w:rPr>
          <w:szCs w:val="22"/>
        </w:rPr>
        <w:t>indicates better lung function.</w:t>
      </w:r>
    </w:p>
    <w:p w:rsidR="007F1017" w:rsidRDefault="007F1017" w:rsidP="007F1017">
      <w:pPr>
        <w:widowControl/>
        <w:rPr>
          <w:szCs w:val="22"/>
        </w:rPr>
      </w:pPr>
    </w:p>
    <w:p w:rsidR="007F1017" w:rsidRDefault="007F1017" w:rsidP="00F65997">
      <w:pPr>
        <w:keepNext/>
        <w:keepLines/>
        <w:ind w:firstLine="720"/>
        <w:rPr>
          <w:rStyle w:val="CommentReference"/>
        </w:rPr>
      </w:pPr>
      <w:r w:rsidRPr="001F7361">
        <w:rPr>
          <w:rStyle w:val="CommentReference"/>
        </w:rPr>
        <w:t xml:space="preserve">Table </w:t>
      </w:r>
      <w:r w:rsidR="004D596A">
        <w:rPr>
          <w:rStyle w:val="CommentReference"/>
        </w:rPr>
        <w:t>3</w:t>
      </w:r>
      <w:r>
        <w:rPr>
          <w:rStyle w:val="CommentReference"/>
        </w:rPr>
        <w:t xml:space="preserve">: </w:t>
      </w:r>
      <w:r w:rsidRPr="001F7361">
        <w:rPr>
          <w:rStyle w:val="CommentReference"/>
        </w:rPr>
        <w:t xml:space="preserve">Results of </w:t>
      </w:r>
      <w:r w:rsidR="004D596A">
        <w:rPr>
          <w:rStyle w:val="CommentReference"/>
        </w:rPr>
        <w:t>trough FEV</w:t>
      </w:r>
      <w:r w:rsidR="004D596A" w:rsidRPr="004D596A">
        <w:rPr>
          <w:rStyle w:val="CommentReference"/>
          <w:vertAlign w:val="subscript"/>
        </w:rPr>
        <w:t>1</w:t>
      </w:r>
      <w:r w:rsidR="004D596A">
        <w:rPr>
          <w:rStyle w:val="CommentReference"/>
        </w:rPr>
        <w:t xml:space="preserve"> </w:t>
      </w:r>
      <w:r w:rsidRPr="001F7361">
        <w:rPr>
          <w:rStyle w:val="CommentReference"/>
        </w:rPr>
        <w:t xml:space="preserve">across the randomised trials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88"/>
        <w:gridCol w:w="804"/>
        <w:gridCol w:w="827"/>
        <w:gridCol w:w="850"/>
        <w:gridCol w:w="851"/>
        <w:gridCol w:w="992"/>
        <w:gridCol w:w="1134"/>
        <w:gridCol w:w="1417"/>
      </w:tblGrid>
      <w:tr w:rsidR="0070668B" w:rsidRPr="00581523" w:rsidTr="00934418">
        <w:trPr>
          <w:trHeight w:val="20"/>
          <w:tblHeader/>
        </w:trPr>
        <w:tc>
          <w:tcPr>
            <w:tcW w:w="0" w:type="auto"/>
            <w:vMerge w:val="restart"/>
            <w:shd w:val="clear" w:color="auto" w:fill="auto"/>
            <w:vAlign w:val="center"/>
            <w:hideMark/>
          </w:tcPr>
          <w:p w:rsidR="0070668B" w:rsidRPr="00FB7835" w:rsidRDefault="0070668B" w:rsidP="00B16E64">
            <w:pPr>
              <w:keepNext/>
              <w:keepLines/>
              <w:widowControl/>
              <w:jc w:val="left"/>
              <w:rPr>
                <w:rFonts w:ascii="Arial Narrow" w:hAnsi="Arial Narrow" w:cs="Times New Roman"/>
                <w:snapToGrid/>
                <w:sz w:val="20"/>
                <w:lang w:val="en-GB" w:eastAsia="en-GB"/>
              </w:rPr>
            </w:pPr>
            <w:r w:rsidRPr="00FB7835">
              <w:rPr>
                <w:rFonts w:ascii="Arial Narrow" w:hAnsi="Arial Narrow" w:cs="Times New Roman"/>
                <w:snapToGrid/>
                <w:sz w:val="20"/>
                <w:lang w:val="en-GB" w:eastAsia="en-GB"/>
              </w:rPr>
              <w:t>Trial ID</w:t>
            </w:r>
          </w:p>
        </w:tc>
        <w:tc>
          <w:tcPr>
            <w:tcW w:w="0" w:type="auto"/>
            <w:vMerge w:val="restart"/>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eastAsia="en-GB"/>
              </w:rPr>
              <w:t>MD (SE)</w:t>
            </w:r>
          </w:p>
        </w:tc>
        <w:tc>
          <w:tcPr>
            <w:tcW w:w="827" w:type="dxa"/>
            <w:shd w:val="clear" w:color="auto" w:fill="auto"/>
            <w:vAlign w:val="center"/>
            <w:hideMark/>
          </w:tcPr>
          <w:p w:rsidR="0070668B" w:rsidRPr="00FB7835" w:rsidRDefault="00EE489E" w:rsidP="00B16E64">
            <w:pPr>
              <w:keepNext/>
              <w:keepLines/>
              <w:widowControl/>
              <w:jc w:val="center"/>
              <w:rPr>
                <w:rFonts w:ascii="Arial Narrow" w:hAnsi="Arial Narrow" w:cs="Times New Roman"/>
                <w:b/>
                <w:bCs/>
                <w:snapToGrid/>
                <w:sz w:val="20"/>
                <w:lang w:val="en-GB" w:eastAsia="en-GB"/>
              </w:rPr>
            </w:pPr>
            <w:r>
              <w:rPr>
                <w:rFonts w:ascii="Arial Narrow" w:hAnsi="Arial Narrow" w:cs="Times New Roman"/>
                <w:b/>
                <w:bCs/>
                <w:snapToGrid/>
                <w:sz w:val="20"/>
                <w:lang w:eastAsia="en-GB"/>
              </w:rPr>
              <w:t>Acli/Efor</w:t>
            </w:r>
          </w:p>
        </w:tc>
        <w:tc>
          <w:tcPr>
            <w:tcW w:w="850" w:type="dxa"/>
            <w:tcBorders>
              <w:right w:val="double" w:sz="4" w:space="0" w:color="auto"/>
            </w:tcBorders>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eastAsia="en-GB"/>
              </w:rPr>
              <w:t>Placebo</w:t>
            </w:r>
          </w:p>
        </w:tc>
        <w:tc>
          <w:tcPr>
            <w:tcW w:w="851" w:type="dxa"/>
            <w:tcBorders>
              <w:left w:val="double" w:sz="4" w:space="0" w:color="auto"/>
            </w:tcBorders>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eastAsia="en-GB"/>
              </w:rPr>
              <w:t>Placebo</w:t>
            </w:r>
          </w:p>
        </w:tc>
        <w:tc>
          <w:tcPr>
            <w:tcW w:w="992" w:type="dxa"/>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eastAsia="en-GB"/>
              </w:rPr>
              <w:t>Comparator</w:t>
            </w:r>
          </w:p>
        </w:tc>
        <w:tc>
          <w:tcPr>
            <w:tcW w:w="1134" w:type="dxa"/>
            <w:vMerge w:val="restart"/>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eastAsia="en-GB"/>
              </w:rPr>
              <w:t>MD (SE)</w:t>
            </w:r>
          </w:p>
        </w:tc>
        <w:tc>
          <w:tcPr>
            <w:tcW w:w="1417" w:type="dxa"/>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val="en-GB" w:eastAsia="en-GB"/>
              </w:rPr>
              <w:t>Indirect</w:t>
            </w:r>
          </w:p>
        </w:tc>
      </w:tr>
      <w:tr w:rsidR="0070668B" w:rsidRPr="00581523" w:rsidTr="00934418">
        <w:trPr>
          <w:trHeight w:val="20"/>
          <w:tblHeader/>
        </w:trPr>
        <w:tc>
          <w:tcPr>
            <w:tcW w:w="0" w:type="auto"/>
            <w:vMerge/>
            <w:vAlign w:val="center"/>
            <w:hideMark/>
          </w:tcPr>
          <w:p w:rsidR="0070668B" w:rsidRPr="00FB7835" w:rsidRDefault="0070668B" w:rsidP="00B16E64">
            <w:pPr>
              <w:keepNext/>
              <w:keepLines/>
              <w:widowControl/>
              <w:jc w:val="left"/>
              <w:rPr>
                <w:rFonts w:ascii="Arial Narrow" w:hAnsi="Arial Narrow" w:cs="Times New Roman"/>
                <w:snapToGrid/>
                <w:sz w:val="20"/>
                <w:lang w:val="en-GB" w:eastAsia="en-GB"/>
              </w:rPr>
            </w:pPr>
          </w:p>
        </w:tc>
        <w:tc>
          <w:tcPr>
            <w:tcW w:w="0" w:type="auto"/>
            <w:vMerge/>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val="en-GB" w:eastAsia="en-GB"/>
              </w:rPr>
              <w:t>MD (SE)</w:t>
            </w: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val="en-GB" w:eastAsia="en-GB"/>
              </w:rPr>
              <w:t>MD (SE)</w:t>
            </w: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val="en-GB" w:eastAsia="en-GB"/>
              </w:rPr>
              <w:t>MD (SE)</w:t>
            </w: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b/>
                <w:bCs/>
                <w:snapToGrid/>
                <w:sz w:val="20"/>
                <w:lang w:val="en-GB" w:eastAsia="en-GB"/>
              </w:rPr>
            </w:pPr>
            <w:r w:rsidRPr="00FB7835">
              <w:rPr>
                <w:rFonts w:ascii="Arial Narrow" w:hAnsi="Arial Narrow" w:cs="Times New Roman"/>
                <w:b/>
                <w:bCs/>
                <w:snapToGrid/>
                <w:sz w:val="20"/>
                <w:lang w:val="en-GB" w:eastAsia="en-GB"/>
              </w:rPr>
              <w:t>MD (SE)</w:t>
            </w:r>
          </w:p>
        </w:tc>
        <w:tc>
          <w:tcPr>
            <w:tcW w:w="1134" w:type="dxa"/>
            <w:vMerge/>
            <w:shd w:val="clear" w:color="auto" w:fill="auto"/>
            <w:vAlign w:val="center"/>
            <w:hideMark/>
          </w:tcPr>
          <w:p w:rsidR="0070668B" w:rsidRPr="00FB7835" w:rsidRDefault="0070668B" w:rsidP="00B16E64">
            <w:pPr>
              <w:keepNext/>
              <w:keepLines/>
              <w:widowControl/>
              <w:jc w:val="center"/>
              <w:rPr>
                <w:rFonts w:ascii="Arial Narrow" w:hAnsi="Arial Narrow" w:cs="Times New Roman"/>
                <w:b/>
                <w:bCs/>
                <w:snapToGrid/>
                <w:sz w:val="20"/>
                <w:lang w:val="en-GB" w:eastAsia="en-GB"/>
              </w:rPr>
            </w:pPr>
          </w:p>
        </w:tc>
        <w:tc>
          <w:tcPr>
            <w:tcW w:w="1417" w:type="dxa"/>
            <w:shd w:val="clear" w:color="auto" w:fill="auto"/>
            <w:noWrap/>
            <w:vAlign w:val="bottom"/>
            <w:hideMark/>
          </w:tcPr>
          <w:p w:rsidR="0070668B" w:rsidRPr="00FB7835" w:rsidRDefault="0070668B" w:rsidP="00B16E64">
            <w:pPr>
              <w:keepNext/>
              <w:keepLines/>
              <w:widowControl/>
              <w:jc w:val="center"/>
              <w:rPr>
                <w:rFonts w:ascii="Arial Narrow" w:hAnsi="Arial Narrow" w:cs="Times New Roman"/>
                <w:snapToGrid/>
                <w:sz w:val="20"/>
                <w:lang w:val="en-GB" w:eastAsia="en-GB"/>
              </w:rPr>
            </w:pPr>
            <w:r w:rsidRPr="00FB7835">
              <w:rPr>
                <w:rFonts w:ascii="Arial Narrow" w:hAnsi="Arial Narrow" w:cs="Times New Roman"/>
                <w:b/>
                <w:bCs/>
                <w:snapToGrid/>
                <w:sz w:val="20"/>
                <w:lang w:eastAsia="en-GB"/>
              </w:rPr>
              <w:t>MD (95% CI)</w:t>
            </w:r>
          </w:p>
        </w:tc>
      </w:tr>
      <w:tr w:rsidR="0070668B" w:rsidRPr="00E17E1A" w:rsidTr="00934418">
        <w:trPr>
          <w:trHeight w:val="20"/>
        </w:trPr>
        <w:tc>
          <w:tcPr>
            <w:tcW w:w="8363" w:type="dxa"/>
            <w:gridSpan w:val="8"/>
            <w:tcBorders>
              <w:right w:val="double" w:sz="4" w:space="0" w:color="auto"/>
            </w:tcBorders>
            <w:shd w:val="clear" w:color="auto" w:fill="auto"/>
            <w:vAlign w:val="center"/>
            <w:hideMark/>
          </w:tcPr>
          <w:p w:rsidR="0070668B" w:rsidRPr="00543126" w:rsidRDefault="0070668B" w:rsidP="00B16E64">
            <w:pPr>
              <w:pStyle w:val="TableText0"/>
              <w:keepLines/>
              <w:spacing w:before="0" w:after="0"/>
              <w:rPr>
                <w:rFonts w:cs="Arial"/>
                <w:b/>
              </w:rPr>
            </w:pPr>
            <w:r w:rsidRPr="00543126">
              <w:rPr>
                <w:rFonts w:cs="Arial"/>
                <w:b/>
              </w:rPr>
              <w:t>Aclidinium/eformoterol FDC trials</w:t>
            </w:r>
          </w:p>
        </w:tc>
      </w:tr>
      <w:tr w:rsidR="0070668B" w:rsidRPr="00581523" w:rsidTr="00934418">
        <w:trPr>
          <w:trHeight w:val="20"/>
        </w:trPr>
        <w:tc>
          <w:tcPr>
            <w:tcW w:w="0" w:type="auto"/>
            <w:shd w:val="clear" w:color="auto" w:fill="auto"/>
            <w:hideMark/>
          </w:tcPr>
          <w:p w:rsidR="0070668B" w:rsidRPr="00543126" w:rsidRDefault="0070668B" w:rsidP="00B16E64">
            <w:pPr>
              <w:pStyle w:val="TableText0"/>
              <w:keepLines/>
              <w:spacing w:before="0" w:after="0"/>
              <w:rPr>
                <w:rFonts w:cs="Arial"/>
              </w:rPr>
            </w:pPr>
            <w:r w:rsidRPr="00543126">
              <w:rPr>
                <w:rFonts w:cs="Arial"/>
              </w:rPr>
              <w:t>ACLIFORM</w:t>
            </w:r>
          </w:p>
        </w:tc>
        <w:tc>
          <w:tcPr>
            <w:tcW w:w="0" w:type="auto"/>
            <w:shd w:val="clear" w:color="auto" w:fill="auto"/>
            <w:vAlign w:val="center"/>
          </w:tcPr>
          <w:p w:rsidR="0070668B" w:rsidRPr="00FB7835" w:rsidRDefault="0070668B" w:rsidP="00B16E64">
            <w:pPr>
              <w:pStyle w:val="TableText0"/>
              <w:keepLines/>
              <w:spacing w:before="0" w:after="0"/>
              <w:jc w:val="center"/>
              <w:rPr>
                <w:rFonts w:cs="Arial"/>
              </w:rPr>
            </w:pPr>
            <w:r w:rsidRPr="00FB7835">
              <w:rPr>
                <w:rFonts w:cs="Arial"/>
              </w:rPr>
              <w:t>143 (21)</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83 (12)</w:t>
            </w: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-61 (18)</w:t>
            </w: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0" w:type="auto"/>
            <w:shd w:val="clear" w:color="auto" w:fill="auto"/>
            <w:hideMark/>
          </w:tcPr>
          <w:p w:rsidR="0070668B" w:rsidRPr="00543126" w:rsidRDefault="0070668B" w:rsidP="00B16E64">
            <w:pPr>
              <w:pStyle w:val="TableText0"/>
              <w:keepLines/>
              <w:spacing w:before="0" w:after="0"/>
              <w:rPr>
                <w:rFonts w:cs="Arial"/>
              </w:rPr>
            </w:pPr>
            <w:r w:rsidRPr="00543126">
              <w:rPr>
                <w:rFonts w:cs="Arial"/>
              </w:rPr>
              <w:t>AUGMENT</w:t>
            </w:r>
          </w:p>
        </w:tc>
        <w:tc>
          <w:tcPr>
            <w:tcW w:w="0" w:type="auto"/>
            <w:shd w:val="clear" w:color="auto" w:fill="auto"/>
            <w:vAlign w:val="center"/>
          </w:tcPr>
          <w:p w:rsidR="0070668B" w:rsidRPr="00FB7835" w:rsidRDefault="0070668B" w:rsidP="00B16E64">
            <w:pPr>
              <w:pStyle w:val="TableText0"/>
              <w:keepLines/>
              <w:spacing w:before="0" w:after="0"/>
              <w:jc w:val="center"/>
              <w:rPr>
                <w:rFonts w:cs="Arial"/>
              </w:rPr>
            </w:pPr>
            <w:r w:rsidRPr="00FB7835">
              <w:rPr>
                <w:rFonts w:cs="Arial"/>
              </w:rPr>
              <w:t>130 (18)</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95 (12)</w:t>
            </w: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-35 (13)</w:t>
            </w: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3969" w:type="dxa"/>
            <w:gridSpan w:val="4"/>
            <w:tcBorders>
              <w:right w:val="double" w:sz="4" w:space="0" w:color="auto"/>
            </w:tcBorders>
            <w:shd w:val="clear" w:color="auto" w:fill="auto"/>
          </w:tcPr>
          <w:p w:rsidR="0070668B" w:rsidRPr="00FB7835" w:rsidRDefault="0070668B" w:rsidP="00B16E64">
            <w:pPr>
              <w:keepNext/>
              <w:keepLines/>
              <w:widowControl/>
              <w:jc w:val="left"/>
              <w:rPr>
                <w:rFonts w:ascii="Arial Narrow" w:hAnsi="Arial Narrow" w:cs="Times New Roman"/>
                <w:b/>
                <w:snapToGrid/>
                <w:sz w:val="20"/>
                <w:lang w:val="en-GB" w:eastAsia="en-GB"/>
              </w:rPr>
            </w:pPr>
            <w:r w:rsidRPr="00FB7835">
              <w:rPr>
                <w:rFonts w:ascii="Arial Narrow" w:hAnsi="Arial Narrow" w:cs="Times New Roman"/>
                <w:b/>
                <w:snapToGrid/>
                <w:sz w:val="20"/>
                <w:lang w:val="en-GB" w:eastAsia="en-GB"/>
              </w:rPr>
              <w:t>Glycopyrronium/indacaterol FDC trials</w:t>
            </w: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EE489E" w:rsidP="00B16E64">
            <w:pPr>
              <w:keepNext/>
              <w:keepLines/>
              <w:widowControl/>
              <w:jc w:val="center"/>
              <w:rPr>
                <w:rFonts w:ascii="Arial Narrow" w:hAnsi="Arial Narrow" w:cs="Times New Roman"/>
                <w:b/>
                <w:bCs/>
                <w:snapToGrid/>
                <w:sz w:val="20"/>
                <w:lang w:eastAsia="en-GB"/>
              </w:rPr>
            </w:pPr>
            <w:r>
              <w:rPr>
                <w:rFonts w:ascii="Arial Narrow" w:hAnsi="Arial Narrow" w:cs="Times New Roman"/>
                <w:b/>
                <w:bCs/>
                <w:snapToGrid/>
                <w:sz w:val="20"/>
                <w:lang w:eastAsia="en-GB"/>
              </w:rPr>
              <w:t>Gly/Ind</w:t>
            </w:r>
          </w:p>
        </w:tc>
        <w:tc>
          <w:tcPr>
            <w:tcW w:w="1134" w:type="dxa"/>
            <w:shd w:val="clear" w:color="auto" w:fill="auto"/>
            <w:vAlign w:val="center"/>
          </w:tcPr>
          <w:p w:rsidR="0070668B" w:rsidRPr="00FB7835" w:rsidRDefault="0070668B" w:rsidP="00B16E64">
            <w:pPr>
              <w:keepNext/>
              <w:keepLines/>
              <w:widowControl/>
              <w:jc w:val="center"/>
              <w:rPr>
                <w:rFonts w:ascii="Arial Narrow" w:hAnsi="Arial Narrow" w:cs="Times New Roman"/>
                <w:bCs/>
                <w:snapToGrid/>
                <w:sz w:val="20"/>
                <w:lang w:val="en-GB" w:eastAsia="en-GB"/>
              </w:rPr>
            </w:pP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0" w:type="auto"/>
            <w:shd w:val="clear" w:color="auto" w:fill="auto"/>
            <w:hideMark/>
          </w:tcPr>
          <w:p w:rsidR="0070668B" w:rsidRPr="00543126" w:rsidRDefault="0070668B" w:rsidP="00B16E64">
            <w:pPr>
              <w:pStyle w:val="TableText0"/>
              <w:keepLines/>
              <w:spacing w:before="0" w:after="0"/>
              <w:rPr>
                <w:rFonts w:cs="Arial"/>
              </w:rPr>
            </w:pPr>
            <w:r w:rsidRPr="00543126">
              <w:rPr>
                <w:rFonts w:cs="Arial"/>
              </w:rPr>
              <w:t>SHINE</w:t>
            </w:r>
          </w:p>
        </w:tc>
        <w:tc>
          <w:tcPr>
            <w:tcW w:w="0" w:type="auto"/>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 xml:space="preserve">-50 (NR) </w:t>
            </w:r>
            <w:r w:rsidRPr="00FB7835">
              <w:rPr>
                <w:rFonts w:ascii="Arial Narrow" w:hAnsi="Arial Narrow" w:cs="Times New Roman"/>
                <w:i/>
                <w:snapToGrid/>
                <w:sz w:val="20"/>
                <w:vertAlign w:val="superscript"/>
                <w:lang w:val="en-GB" w:eastAsia="en-GB"/>
              </w:rPr>
              <w:t>a</w:t>
            </w: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 xml:space="preserve">150 (NR) </w:t>
            </w:r>
            <w:r w:rsidRPr="00FB7835">
              <w:rPr>
                <w:rFonts w:ascii="Arial Narrow" w:hAnsi="Arial Narrow" w:cs="Times New Roman"/>
                <w:i/>
                <w:snapToGrid/>
                <w:sz w:val="20"/>
                <w:vertAlign w:val="superscript"/>
                <w:lang w:val="en-GB" w:eastAsia="en-GB"/>
              </w:rPr>
              <w:t>a</w:t>
            </w:r>
          </w:p>
        </w:tc>
        <w:tc>
          <w:tcPr>
            <w:tcW w:w="1134" w:type="dxa"/>
            <w:shd w:val="clear" w:color="auto" w:fill="auto"/>
            <w:vAlign w:val="center"/>
          </w:tcPr>
          <w:p w:rsidR="0070668B" w:rsidRPr="00FB7835" w:rsidRDefault="0070668B" w:rsidP="00B16E64">
            <w:pPr>
              <w:pStyle w:val="TableText0"/>
              <w:keepLines/>
              <w:spacing w:before="0" w:after="0"/>
              <w:jc w:val="center"/>
              <w:rPr>
                <w:rFonts w:cs="Arial"/>
              </w:rPr>
            </w:pPr>
            <w:r w:rsidRPr="00FB7835">
              <w:rPr>
                <w:rFonts w:cs="Arial"/>
              </w:rPr>
              <w:t>200 (18)</w:t>
            </w: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0" w:type="auto"/>
            <w:shd w:val="clear" w:color="auto" w:fill="auto"/>
            <w:hideMark/>
          </w:tcPr>
          <w:p w:rsidR="0070668B" w:rsidRPr="00543126" w:rsidRDefault="0070668B" w:rsidP="00B16E64">
            <w:pPr>
              <w:pStyle w:val="TableText0"/>
              <w:keepLines/>
              <w:spacing w:before="0" w:after="0"/>
              <w:rPr>
                <w:rFonts w:cs="Arial"/>
              </w:rPr>
            </w:pPr>
            <w:r w:rsidRPr="00543126">
              <w:rPr>
                <w:rFonts w:cs="Arial"/>
              </w:rPr>
              <w:t>ENLIGHTEN</w:t>
            </w:r>
          </w:p>
        </w:tc>
        <w:tc>
          <w:tcPr>
            <w:tcW w:w="0" w:type="auto"/>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 xml:space="preserve">-57 (NR) </w:t>
            </w:r>
            <w:r w:rsidRPr="00FB7835">
              <w:rPr>
                <w:rFonts w:ascii="Arial Narrow" w:hAnsi="Arial Narrow" w:cs="Times New Roman"/>
                <w:i/>
                <w:snapToGrid/>
                <w:sz w:val="20"/>
                <w:vertAlign w:val="superscript"/>
                <w:lang w:val="en-GB" w:eastAsia="en-GB"/>
              </w:rPr>
              <w:t>a</w:t>
            </w: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 xml:space="preserve">95 (NR) </w:t>
            </w:r>
            <w:r w:rsidRPr="00FB7835">
              <w:rPr>
                <w:rFonts w:ascii="Arial Narrow" w:hAnsi="Arial Narrow" w:cs="Times New Roman"/>
                <w:i/>
                <w:snapToGrid/>
                <w:sz w:val="20"/>
                <w:vertAlign w:val="superscript"/>
                <w:lang w:val="en-GB" w:eastAsia="en-GB"/>
              </w:rPr>
              <w:t>a</w:t>
            </w:r>
          </w:p>
        </w:tc>
        <w:tc>
          <w:tcPr>
            <w:tcW w:w="1134" w:type="dxa"/>
            <w:shd w:val="clear" w:color="auto" w:fill="auto"/>
            <w:vAlign w:val="center"/>
          </w:tcPr>
          <w:p w:rsidR="0070668B" w:rsidRPr="00FB7835" w:rsidRDefault="0070668B" w:rsidP="00B16E64">
            <w:pPr>
              <w:pStyle w:val="TableText0"/>
              <w:keepLines/>
              <w:spacing w:before="0" w:after="0"/>
              <w:jc w:val="center"/>
              <w:rPr>
                <w:rFonts w:cs="Arial"/>
              </w:rPr>
            </w:pPr>
            <w:r w:rsidRPr="00FB7835">
              <w:rPr>
                <w:rFonts w:cs="Arial"/>
              </w:rPr>
              <w:t>152 (35)</w:t>
            </w: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44BB4">
        <w:trPr>
          <w:trHeight w:val="20"/>
        </w:trPr>
        <w:tc>
          <w:tcPr>
            <w:tcW w:w="0" w:type="auto"/>
            <w:shd w:val="clear" w:color="auto" w:fill="auto"/>
            <w:vAlign w:val="center"/>
            <w:hideMark/>
          </w:tcPr>
          <w:p w:rsidR="0070668B" w:rsidRPr="00543126" w:rsidRDefault="0070668B" w:rsidP="00944BB4">
            <w:pPr>
              <w:pStyle w:val="TableText0"/>
              <w:keepLines/>
              <w:spacing w:before="0" w:after="0"/>
              <w:rPr>
                <w:rFonts w:cs="Arial"/>
              </w:rPr>
            </w:pPr>
            <w:r w:rsidRPr="00543126">
              <w:rPr>
                <w:rFonts w:cs="Arial"/>
              </w:rPr>
              <w:t>Network analysis</w:t>
            </w:r>
          </w:p>
        </w:tc>
        <w:tc>
          <w:tcPr>
            <w:tcW w:w="0" w:type="auto"/>
            <w:shd w:val="clear" w:color="auto" w:fill="auto"/>
            <w:vAlign w:val="center"/>
          </w:tcPr>
          <w:p w:rsidR="0070668B" w:rsidRPr="00FB7835" w:rsidRDefault="0070668B" w:rsidP="00B16E64">
            <w:pPr>
              <w:pStyle w:val="TableText0"/>
              <w:keepLines/>
              <w:spacing w:before="0" w:after="0"/>
              <w:jc w:val="center"/>
              <w:rPr>
                <w:rFonts w:cs="Arial"/>
                <w:b/>
              </w:rPr>
            </w:pPr>
            <w:r w:rsidRPr="00FB7835">
              <w:rPr>
                <w:rFonts w:cs="Arial"/>
                <w:b/>
              </w:rPr>
              <w:t xml:space="preserve">136 </w:t>
            </w:r>
            <w:r w:rsidRPr="00FB7835">
              <w:rPr>
                <w:rFonts w:cs="Arial"/>
                <w:b/>
              </w:rPr>
              <w:br/>
              <w:t>(109, 163)</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Pr="00FB7835" w:rsidRDefault="0070668B" w:rsidP="00B16E64">
            <w:pPr>
              <w:pStyle w:val="TableText0"/>
              <w:keepLines/>
              <w:spacing w:before="0" w:after="0"/>
              <w:jc w:val="center"/>
              <w:rPr>
                <w:rFonts w:cs="Arial"/>
                <w:b/>
              </w:rPr>
            </w:pPr>
            <w:r w:rsidRPr="00FB7835">
              <w:rPr>
                <w:rFonts w:cs="Arial"/>
                <w:b/>
              </w:rPr>
              <w:t xml:space="preserve">190 </w:t>
            </w:r>
            <w:r w:rsidRPr="00FB7835">
              <w:rPr>
                <w:rFonts w:cs="Arial"/>
                <w:b/>
              </w:rPr>
              <w:br/>
              <w:t>(159, 222)</w:t>
            </w:r>
          </w:p>
        </w:tc>
        <w:tc>
          <w:tcPr>
            <w:tcW w:w="1417" w:type="dxa"/>
            <w:shd w:val="clear" w:color="auto" w:fill="auto"/>
            <w:noWrap/>
            <w:vAlign w:val="center"/>
          </w:tcPr>
          <w:p w:rsidR="0070668B" w:rsidRPr="00FB7835" w:rsidRDefault="0070668B" w:rsidP="00B16E64">
            <w:pPr>
              <w:pStyle w:val="TableText0"/>
              <w:keepLines/>
              <w:spacing w:before="0" w:after="0"/>
              <w:jc w:val="center"/>
              <w:rPr>
                <w:rFonts w:cs="Arial"/>
              </w:rPr>
            </w:pPr>
            <w:r w:rsidRPr="00FB7835">
              <w:rPr>
                <w:rFonts w:cs="Arial"/>
                <w:b/>
              </w:rPr>
              <w:t>-54</w:t>
            </w:r>
            <w:r w:rsidRPr="00FB7835">
              <w:rPr>
                <w:rFonts w:cs="Arial"/>
                <w:b/>
              </w:rPr>
              <w:br/>
              <w:t>(-9</w:t>
            </w:r>
            <w:r>
              <w:rPr>
                <w:rFonts w:cs="Arial"/>
                <w:b/>
              </w:rPr>
              <w:t>6</w:t>
            </w:r>
            <w:r w:rsidRPr="00FB7835">
              <w:rPr>
                <w:rFonts w:cs="Arial"/>
                <w:b/>
              </w:rPr>
              <w:t>, -13)</w:t>
            </w:r>
          </w:p>
        </w:tc>
      </w:tr>
      <w:tr w:rsidR="0070668B" w:rsidRPr="00581523" w:rsidTr="00934418">
        <w:trPr>
          <w:trHeight w:val="20"/>
        </w:trPr>
        <w:tc>
          <w:tcPr>
            <w:tcW w:w="0" w:type="auto"/>
            <w:shd w:val="clear" w:color="auto" w:fill="auto"/>
            <w:vAlign w:val="center"/>
          </w:tcPr>
          <w:p w:rsidR="0070668B" w:rsidRPr="00FB7835" w:rsidRDefault="0070668B" w:rsidP="00B16E64">
            <w:pPr>
              <w:pStyle w:val="TableText0"/>
              <w:keepLines/>
              <w:spacing w:before="0" w:after="0"/>
              <w:rPr>
                <w:rFonts w:cs="Arial"/>
                <w:i/>
              </w:rPr>
            </w:pPr>
            <w:r w:rsidRPr="00FB7835">
              <w:rPr>
                <w:rFonts w:cs="Arial"/>
                <w:i/>
              </w:rPr>
              <w:t>Indirect comparison</w:t>
            </w:r>
          </w:p>
        </w:tc>
        <w:tc>
          <w:tcPr>
            <w:tcW w:w="0" w:type="auto"/>
            <w:shd w:val="clear" w:color="auto" w:fill="auto"/>
            <w:vAlign w:val="center"/>
          </w:tcPr>
          <w:p w:rsidR="0070668B" w:rsidRPr="00543126" w:rsidRDefault="0070668B" w:rsidP="00B16E64">
            <w:pPr>
              <w:pStyle w:val="TableText0"/>
              <w:keepLines/>
              <w:spacing w:before="0" w:after="0"/>
              <w:jc w:val="center"/>
              <w:rPr>
                <w:rFonts w:cs="Arial"/>
                <w:b/>
                <w:i/>
              </w:rPr>
            </w:pPr>
            <w:r w:rsidRPr="00543126">
              <w:rPr>
                <w:rFonts w:cs="Arial"/>
                <w:b/>
                <w:i/>
              </w:rPr>
              <w:t xml:space="preserve">136 </w:t>
            </w:r>
            <w:r w:rsidRPr="00543126">
              <w:rPr>
                <w:rFonts w:cs="Arial"/>
                <w:b/>
                <w:i/>
              </w:rPr>
              <w:br/>
              <w:t>(109, 16</w:t>
            </w:r>
            <w:r>
              <w:rPr>
                <w:rFonts w:cs="Arial"/>
                <w:b/>
                <w:i/>
              </w:rPr>
              <w:t>2</w:t>
            </w:r>
            <w:r w:rsidRPr="00543126">
              <w:rPr>
                <w:rFonts w:cs="Arial"/>
                <w:b/>
                <w:i/>
              </w:rPr>
              <w:t>)</w:t>
            </w:r>
          </w:p>
          <w:p w:rsidR="0070668B" w:rsidRPr="00FB7835" w:rsidRDefault="0070668B" w:rsidP="00B16E64">
            <w:pPr>
              <w:pStyle w:val="TableText0"/>
              <w:keepLines/>
              <w:spacing w:before="0" w:after="0"/>
              <w:jc w:val="center"/>
              <w:rPr>
                <w:rFonts w:cs="Arial"/>
                <w:b/>
              </w:rPr>
            </w:pPr>
            <w:r w:rsidRPr="00543126">
              <w:rPr>
                <w:rFonts w:cs="Arial"/>
                <w:b/>
                <w:i/>
              </w:rPr>
              <w:t>I</w:t>
            </w:r>
            <w:r w:rsidRPr="00FB7835">
              <w:rPr>
                <w:rFonts w:cs="Arial"/>
                <w:b/>
                <w:i/>
                <w:vertAlign w:val="superscript"/>
              </w:rPr>
              <w:t>2</w:t>
            </w:r>
            <w:r w:rsidRPr="00543126">
              <w:rPr>
                <w:rFonts w:cs="Arial"/>
                <w:b/>
                <w:i/>
              </w:rPr>
              <w:t xml:space="preserve"> = </w:t>
            </w:r>
            <w:r>
              <w:rPr>
                <w:rFonts w:cs="Arial"/>
                <w:b/>
                <w:i/>
              </w:rPr>
              <w:t>0%</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Default="0070668B" w:rsidP="00B16E64">
            <w:pPr>
              <w:pStyle w:val="TableText0"/>
              <w:keepLines/>
              <w:spacing w:before="0" w:after="0"/>
              <w:jc w:val="center"/>
              <w:rPr>
                <w:rFonts w:cs="Arial"/>
                <w:b/>
                <w:i/>
              </w:rPr>
            </w:pPr>
            <w:r w:rsidRPr="00543126">
              <w:rPr>
                <w:rFonts w:cs="Arial"/>
                <w:b/>
                <w:i/>
              </w:rPr>
              <w:t xml:space="preserve">186 </w:t>
            </w:r>
            <w:r w:rsidRPr="00543126">
              <w:rPr>
                <w:rFonts w:cs="Arial"/>
                <w:b/>
                <w:i/>
              </w:rPr>
              <w:br/>
              <w:t>(143, 229)</w:t>
            </w:r>
          </w:p>
          <w:p w:rsidR="0070668B" w:rsidRPr="00FB7835" w:rsidRDefault="0070668B" w:rsidP="00B16E64">
            <w:pPr>
              <w:pStyle w:val="TableText0"/>
              <w:keepLines/>
              <w:spacing w:before="0" w:after="0"/>
              <w:jc w:val="center"/>
              <w:rPr>
                <w:rFonts w:cs="Arial"/>
                <w:b/>
              </w:rPr>
            </w:pPr>
            <w:r>
              <w:rPr>
                <w:rFonts w:cs="Arial"/>
                <w:b/>
                <w:i/>
              </w:rPr>
              <w:t>I</w:t>
            </w:r>
            <w:r w:rsidRPr="00FB7835">
              <w:rPr>
                <w:rFonts w:cs="Arial"/>
                <w:b/>
                <w:i/>
                <w:vertAlign w:val="superscript"/>
              </w:rPr>
              <w:t xml:space="preserve">2 </w:t>
            </w:r>
            <w:r>
              <w:rPr>
                <w:rFonts w:cs="Arial"/>
                <w:b/>
                <w:i/>
              </w:rPr>
              <w:t>= 30.3%</w:t>
            </w:r>
          </w:p>
        </w:tc>
        <w:tc>
          <w:tcPr>
            <w:tcW w:w="1417" w:type="dxa"/>
            <w:shd w:val="clear" w:color="auto" w:fill="auto"/>
            <w:noWrap/>
            <w:vAlign w:val="center"/>
          </w:tcPr>
          <w:p w:rsidR="0070668B" w:rsidRPr="00FB7835" w:rsidRDefault="0070668B" w:rsidP="00B16E64">
            <w:pPr>
              <w:pStyle w:val="TableText0"/>
              <w:keepLines/>
              <w:spacing w:before="0" w:after="0"/>
              <w:jc w:val="center"/>
              <w:rPr>
                <w:rFonts w:cs="Arial"/>
                <w:b/>
              </w:rPr>
            </w:pPr>
            <w:r>
              <w:rPr>
                <w:rFonts w:cs="Arial"/>
                <w:i/>
              </w:rPr>
              <w:t>-50</w:t>
            </w:r>
            <w:r w:rsidRPr="00543126">
              <w:rPr>
                <w:rFonts w:cs="Arial"/>
                <w:i/>
              </w:rPr>
              <w:br/>
              <w:t>(-10</w:t>
            </w:r>
            <w:r>
              <w:rPr>
                <w:rFonts w:cs="Arial"/>
                <w:i/>
              </w:rPr>
              <w:t>1</w:t>
            </w:r>
            <w:r w:rsidRPr="00543126">
              <w:rPr>
                <w:rFonts w:cs="Arial"/>
                <w:i/>
              </w:rPr>
              <w:t xml:space="preserve">, </w:t>
            </w:r>
            <w:r>
              <w:rPr>
                <w:rFonts w:cs="Arial"/>
                <w:i/>
              </w:rPr>
              <w:t>0</w:t>
            </w:r>
            <w:r w:rsidRPr="00543126">
              <w:rPr>
                <w:rFonts w:cs="Arial"/>
                <w:i/>
              </w:rPr>
              <w:t>)</w:t>
            </w:r>
          </w:p>
        </w:tc>
      </w:tr>
      <w:tr w:rsidR="0070668B" w:rsidRPr="00581523" w:rsidTr="00934418">
        <w:trPr>
          <w:trHeight w:val="20"/>
        </w:trPr>
        <w:tc>
          <w:tcPr>
            <w:tcW w:w="3969" w:type="dxa"/>
            <w:gridSpan w:val="4"/>
            <w:tcBorders>
              <w:right w:val="double" w:sz="4" w:space="0" w:color="auto"/>
            </w:tcBorders>
            <w:shd w:val="clear" w:color="auto" w:fill="auto"/>
          </w:tcPr>
          <w:p w:rsidR="0070668B" w:rsidRPr="00FB7835" w:rsidRDefault="0070668B" w:rsidP="00B16E64">
            <w:pPr>
              <w:keepNext/>
              <w:keepLines/>
              <w:widowControl/>
              <w:jc w:val="left"/>
              <w:rPr>
                <w:rFonts w:ascii="Arial Narrow" w:hAnsi="Arial Narrow" w:cs="Times New Roman"/>
                <w:b/>
                <w:snapToGrid/>
                <w:sz w:val="20"/>
                <w:lang w:val="en-GB" w:eastAsia="en-GB"/>
              </w:rPr>
            </w:pPr>
            <w:r w:rsidRPr="00FB7835">
              <w:rPr>
                <w:rFonts w:ascii="Arial Narrow" w:hAnsi="Arial Narrow" w:cs="Times New Roman"/>
                <w:b/>
                <w:snapToGrid/>
                <w:sz w:val="20"/>
                <w:lang w:val="en-GB" w:eastAsia="en-GB"/>
              </w:rPr>
              <w:t>Umeclidinium/vilanterol FDC trials</w:t>
            </w: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EE489E" w:rsidP="00B16E64">
            <w:pPr>
              <w:keepNext/>
              <w:keepLines/>
              <w:widowControl/>
              <w:jc w:val="center"/>
              <w:rPr>
                <w:rFonts w:ascii="Arial Narrow" w:hAnsi="Arial Narrow" w:cs="Times New Roman"/>
                <w:b/>
                <w:bCs/>
                <w:snapToGrid/>
                <w:sz w:val="20"/>
                <w:lang w:eastAsia="en-GB"/>
              </w:rPr>
            </w:pPr>
            <w:r>
              <w:rPr>
                <w:rFonts w:ascii="Arial Narrow" w:hAnsi="Arial Narrow" w:cs="Times New Roman"/>
                <w:b/>
                <w:bCs/>
                <w:snapToGrid/>
                <w:sz w:val="20"/>
                <w:lang w:eastAsia="en-GB"/>
              </w:rPr>
              <w:t>Umec/Vi</w:t>
            </w:r>
          </w:p>
        </w:tc>
        <w:tc>
          <w:tcPr>
            <w:tcW w:w="1134" w:type="dxa"/>
            <w:shd w:val="clear" w:color="auto" w:fill="auto"/>
            <w:vAlign w:val="center"/>
          </w:tcPr>
          <w:p w:rsidR="0070668B" w:rsidRPr="00FB7835" w:rsidRDefault="0070668B" w:rsidP="00B16E64">
            <w:pPr>
              <w:keepNext/>
              <w:keepLines/>
              <w:widowControl/>
              <w:jc w:val="center"/>
              <w:rPr>
                <w:rFonts w:ascii="Arial Narrow" w:hAnsi="Arial Narrow" w:cs="Times New Roman"/>
                <w:bCs/>
                <w:snapToGrid/>
                <w:sz w:val="20"/>
                <w:lang w:val="en-GB" w:eastAsia="en-GB"/>
              </w:rPr>
            </w:pP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0" w:type="auto"/>
            <w:shd w:val="clear" w:color="auto" w:fill="auto"/>
            <w:hideMark/>
          </w:tcPr>
          <w:p w:rsidR="0070668B" w:rsidRPr="00543126" w:rsidRDefault="0070668B" w:rsidP="00B16E64">
            <w:pPr>
              <w:pStyle w:val="TableText0"/>
              <w:keepLines/>
              <w:spacing w:before="0" w:after="0"/>
              <w:rPr>
                <w:rFonts w:cs="Arial"/>
              </w:rPr>
            </w:pPr>
            <w:r w:rsidRPr="00815EEF">
              <w:rPr>
                <w:rFonts w:cs="Arial"/>
              </w:rPr>
              <w:t>Donohue (2013)</w:t>
            </w:r>
          </w:p>
        </w:tc>
        <w:tc>
          <w:tcPr>
            <w:tcW w:w="0" w:type="auto"/>
            <w:shd w:val="clear" w:color="auto" w:fill="auto"/>
            <w:vAlign w:val="center"/>
          </w:tcPr>
          <w:p w:rsidR="0070668B" w:rsidRPr="00543126" w:rsidRDefault="0070668B" w:rsidP="00B16E64">
            <w:pPr>
              <w:pStyle w:val="TableText0"/>
              <w:keepLines/>
              <w:spacing w:before="0" w:after="0"/>
              <w:jc w:val="center"/>
              <w:rPr>
                <w:rFonts w:cs="Arial"/>
              </w:rPr>
            </w:pP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4 (16)</w:t>
            </w: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i/>
                <w:snapToGrid/>
                <w:sz w:val="20"/>
                <w:lang w:val="en-GB" w:eastAsia="en-GB"/>
              </w:rPr>
            </w:pPr>
            <w:r w:rsidRPr="00FB7835">
              <w:rPr>
                <w:rFonts w:ascii="Arial Narrow" w:hAnsi="Arial Narrow" w:cs="Times New Roman"/>
                <w:i/>
                <w:snapToGrid/>
                <w:sz w:val="20"/>
                <w:lang w:val="en-GB" w:eastAsia="en-GB"/>
              </w:rPr>
              <w:t>171 (13)</w:t>
            </w:r>
          </w:p>
        </w:tc>
        <w:tc>
          <w:tcPr>
            <w:tcW w:w="1134" w:type="dxa"/>
            <w:shd w:val="clear" w:color="auto" w:fill="auto"/>
            <w:vAlign w:val="center"/>
          </w:tcPr>
          <w:p w:rsidR="0070668B" w:rsidRPr="00FB7835" w:rsidRDefault="0070668B" w:rsidP="00B16E64">
            <w:pPr>
              <w:pStyle w:val="TableText0"/>
              <w:keepLines/>
              <w:spacing w:before="0" w:after="0"/>
              <w:jc w:val="center"/>
              <w:rPr>
                <w:rFonts w:cs="Arial"/>
              </w:rPr>
            </w:pPr>
            <w:r w:rsidRPr="00FB7835">
              <w:rPr>
                <w:rFonts w:cs="Arial"/>
              </w:rPr>
              <w:t>167 (20)</w:t>
            </w:r>
          </w:p>
        </w:tc>
        <w:tc>
          <w:tcPr>
            <w:tcW w:w="1417" w:type="dxa"/>
            <w:shd w:val="clear" w:color="auto" w:fill="auto"/>
            <w:noWrap/>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r>
      <w:tr w:rsidR="0070668B" w:rsidRPr="00581523" w:rsidTr="00934418">
        <w:trPr>
          <w:trHeight w:val="20"/>
        </w:trPr>
        <w:tc>
          <w:tcPr>
            <w:tcW w:w="0" w:type="auto"/>
            <w:shd w:val="clear" w:color="auto" w:fill="auto"/>
            <w:vAlign w:val="center"/>
          </w:tcPr>
          <w:p w:rsidR="0070668B" w:rsidRPr="00543126" w:rsidRDefault="0070668B" w:rsidP="00B16E64">
            <w:pPr>
              <w:pStyle w:val="TableText0"/>
              <w:keepLines/>
              <w:spacing w:before="0" w:after="0"/>
              <w:rPr>
                <w:rFonts w:cs="Arial"/>
              </w:rPr>
            </w:pPr>
            <w:r w:rsidRPr="00543126">
              <w:rPr>
                <w:rFonts w:cs="Arial"/>
              </w:rPr>
              <w:t>Network analysis</w:t>
            </w:r>
          </w:p>
        </w:tc>
        <w:tc>
          <w:tcPr>
            <w:tcW w:w="0" w:type="auto"/>
            <w:shd w:val="clear" w:color="auto" w:fill="auto"/>
            <w:vAlign w:val="center"/>
          </w:tcPr>
          <w:p w:rsidR="0070668B" w:rsidRPr="00543126" w:rsidRDefault="0070668B" w:rsidP="00B16E64">
            <w:pPr>
              <w:pStyle w:val="TableText0"/>
              <w:keepLines/>
              <w:spacing w:before="0" w:after="0"/>
              <w:jc w:val="center"/>
              <w:rPr>
                <w:rFonts w:cs="Arial"/>
                <w:b/>
              </w:rPr>
            </w:pPr>
            <w:r w:rsidRPr="00FB7835">
              <w:rPr>
                <w:rFonts w:cs="Arial"/>
                <w:b/>
              </w:rPr>
              <w:t xml:space="preserve">136 </w:t>
            </w:r>
            <w:r w:rsidRPr="00FB7835">
              <w:rPr>
                <w:rFonts w:cs="Arial"/>
                <w:b/>
              </w:rPr>
              <w:br/>
              <w:t>(109, 163)</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Pr="00FB7835" w:rsidRDefault="0070668B" w:rsidP="00B16E64">
            <w:pPr>
              <w:pStyle w:val="TableText0"/>
              <w:keepLines/>
              <w:spacing w:before="0" w:after="0"/>
              <w:jc w:val="center"/>
              <w:rPr>
                <w:rFonts w:cs="Arial"/>
                <w:b/>
              </w:rPr>
            </w:pPr>
            <w:r w:rsidRPr="00FB7835">
              <w:rPr>
                <w:rFonts w:cs="Arial"/>
                <w:b/>
              </w:rPr>
              <w:t xml:space="preserve">167 </w:t>
            </w:r>
            <w:r w:rsidRPr="00FB7835">
              <w:rPr>
                <w:rFonts w:cs="Arial"/>
                <w:b/>
              </w:rPr>
              <w:br/>
              <w:t>(128, 206)</w:t>
            </w:r>
          </w:p>
        </w:tc>
        <w:tc>
          <w:tcPr>
            <w:tcW w:w="1417" w:type="dxa"/>
            <w:shd w:val="clear" w:color="auto" w:fill="auto"/>
            <w:noWrap/>
            <w:vAlign w:val="center"/>
          </w:tcPr>
          <w:p w:rsidR="0070668B" w:rsidRPr="00FB7835" w:rsidRDefault="0070668B" w:rsidP="00B16E64">
            <w:pPr>
              <w:pStyle w:val="TableText0"/>
              <w:keepLines/>
              <w:spacing w:before="0" w:after="0"/>
              <w:jc w:val="center"/>
              <w:rPr>
                <w:rFonts w:cs="Arial"/>
                <w:b/>
              </w:rPr>
            </w:pPr>
            <w:r w:rsidRPr="00FB7835">
              <w:rPr>
                <w:rFonts w:cs="Arial"/>
              </w:rPr>
              <w:t>-31</w:t>
            </w:r>
            <w:r w:rsidRPr="00FB7835">
              <w:rPr>
                <w:rFonts w:cs="Arial"/>
              </w:rPr>
              <w:br/>
              <w:t>(-7</w:t>
            </w:r>
            <w:r>
              <w:rPr>
                <w:rFonts w:cs="Arial"/>
              </w:rPr>
              <w:t>9</w:t>
            </w:r>
            <w:r w:rsidRPr="00FB7835">
              <w:rPr>
                <w:rFonts w:cs="Arial"/>
              </w:rPr>
              <w:t>, 16)</w:t>
            </w:r>
          </w:p>
        </w:tc>
      </w:tr>
      <w:tr w:rsidR="0070668B" w:rsidRPr="00581523" w:rsidTr="00934418">
        <w:trPr>
          <w:trHeight w:val="20"/>
        </w:trPr>
        <w:tc>
          <w:tcPr>
            <w:tcW w:w="0" w:type="auto"/>
            <w:shd w:val="clear" w:color="auto" w:fill="auto"/>
            <w:vAlign w:val="center"/>
          </w:tcPr>
          <w:p w:rsidR="0070668B" w:rsidRPr="00FB7835" w:rsidRDefault="0070668B" w:rsidP="00B16E64">
            <w:pPr>
              <w:pStyle w:val="TableText0"/>
              <w:keepLines/>
              <w:spacing w:before="0" w:after="0"/>
              <w:rPr>
                <w:rFonts w:cs="Arial"/>
                <w:i/>
              </w:rPr>
            </w:pPr>
            <w:r w:rsidRPr="00FB7835">
              <w:rPr>
                <w:rFonts w:cs="Arial"/>
                <w:i/>
              </w:rPr>
              <w:t>Indirect comparison</w:t>
            </w:r>
          </w:p>
        </w:tc>
        <w:tc>
          <w:tcPr>
            <w:tcW w:w="0" w:type="auto"/>
            <w:shd w:val="clear" w:color="auto" w:fill="auto"/>
            <w:vAlign w:val="center"/>
          </w:tcPr>
          <w:p w:rsidR="0070668B" w:rsidRPr="00FB7835" w:rsidRDefault="0070668B" w:rsidP="00B16E64">
            <w:pPr>
              <w:pStyle w:val="TableText0"/>
              <w:keepLines/>
              <w:spacing w:before="0" w:after="0"/>
              <w:jc w:val="center"/>
              <w:rPr>
                <w:rFonts w:cs="Arial"/>
                <w:b/>
              </w:rPr>
            </w:pPr>
            <w:r w:rsidRPr="00543126">
              <w:rPr>
                <w:rFonts w:cs="Arial"/>
                <w:b/>
                <w:i/>
              </w:rPr>
              <w:t xml:space="preserve">136 </w:t>
            </w:r>
            <w:r w:rsidRPr="00543126">
              <w:rPr>
                <w:rFonts w:cs="Arial"/>
                <w:b/>
                <w:i/>
              </w:rPr>
              <w:br/>
              <w:t>(109, 16</w:t>
            </w:r>
            <w:r>
              <w:rPr>
                <w:rFonts w:cs="Arial"/>
                <w:b/>
                <w:i/>
              </w:rPr>
              <w:t>2</w:t>
            </w:r>
            <w:r w:rsidRPr="00543126">
              <w:rPr>
                <w:rFonts w:cs="Arial"/>
                <w:b/>
                <w:i/>
              </w:rPr>
              <w:t>)</w:t>
            </w:r>
            <w:r>
              <w:rPr>
                <w:rFonts w:cs="Arial"/>
                <w:b/>
                <w:i/>
              </w:rPr>
              <w:br/>
            </w:r>
            <w:r w:rsidRPr="00543126">
              <w:rPr>
                <w:rFonts w:cs="Arial"/>
                <w:b/>
                <w:i/>
              </w:rPr>
              <w:t>I</w:t>
            </w:r>
            <w:r w:rsidRPr="00FB7835">
              <w:rPr>
                <w:rFonts w:cs="Arial"/>
                <w:b/>
                <w:i/>
                <w:vertAlign w:val="superscript"/>
              </w:rPr>
              <w:t>2</w:t>
            </w:r>
            <w:r w:rsidRPr="00543126">
              <w:rPr>
                <w:rFonts w:cs="Arial"/>
                <w:b/>
                <w:i/>
              </w:rPr>
              <w:t xml:space="preserve"> = </w:t>
            </w:r>
            <w:r>
              <w:rPr>
                <w:rFonts w:cs="Arial"/>
                <w:b/>
                <w:i/>
              </w:rPr>
              <w:t>0%</w:t>
            </w:r>
            <w:r w:rsidRPr="00543126">
              <w:rPr>
                <w:rFonts w:cs="Arial"/>
                <w:b/>
                <w:i/>
              </w:rPr>
              <w:t xml:space="preserve"> </w:t>
            </w:r>
          </w:p>
        </w:tc>
        <w:tc>
          <w:tcPr>
            <w:tcW w:w="827"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0" w:type="dxa"/>
            <w:tcBorders>
              <w:righ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851" w:type="dxa"/>
            <w:tcBorders>
              <w:left w:val="double" w:sz="4" w:space="0" w:color="auto"/>
            </w:tcBorders>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992" w:type="dxa"/>
            <w:shd w:val="clear" w:color="auto" w:fill="auto"/>
            <w:vAlign w:val="center"/>
          </w:tcPr>
          <w:p w:rsidR="0070668B" w:rsidRPr="00FB7835" w:rsidRDefault="0070668B" w:rsidP="00B16E64">
            <w:pPr>
              <w:keepNext/>
              <w:keepLines/>
              <w:widowControl/>
              <w:jc w:val="center"/>
              <w:rPr>
                <w:rFonts w:ascii="Arial Narrow" w:hAnsi="Arial Narrow" w:cs="Times New Roman"/>
                <w:snapToGrid/>
                <w:sz w:val="20"/>
                <w:lang w:val="en-GB" w:eastAsia="en-GB"/>
              </w:rPr>
            </w:pPr>
          </w:p>
        </w:tc>
        <w:tc>
          <w:tcPr>
            <w:tcW w:w="1134" w:type="dxa"/>
            <w:shd w:val="clear" w:color="auto" w:fill="auto"/>
            <w:vAlign w:val="center"/>
          </w:tcPr>
          <w:p w:rsidR="0070668B" w:rsidRPr="00FB7835" w:rsidRDefault="0070668B" w:rsidP="00B16E64">
            <w:pPr>
              <w:pStyle w:val="TableText0"/>
              <w:keepLines/>
              <w:spacing w:before="0" w:after="0"/>
              <w:jc w:val="center"/>
              <w:rPr>
                <w:rFonts w:cs="Arial"/>
                <w:b/>
              </w:rPr>
            </w:pPr>
            <w:r w:rsidRPr="00543126">
              <w:rPr>
                <w:rFonts w:cs="Arial"/>
                <w:b/>
              </w:rPr>
              <w:t xml:space="preserve">167 </w:t>
            </w:r>
            <w:r w:rsidRPr="00543126">
              <w:rPr>
                <w:rFonts w:cs="Arial"/>
                <w:b/>
              </w:rPr>
              <w:br/>
              <w:t>(128, 206)</w:t>
            </w:r>
          </w:p>
        </w:tc>
        <w:tc>
          <w:tcPr>
            <w:tcW w:w="1417" w:type="dxa"/>
            <w:shd w:val="clear" w:color="auto" w:fill="auto"/>
            <w:noWrap/>
            <w:vAlign w:val="center"/>
          </w:tcPr>
          <w:p w:rsidR="0070668B" w:rsidRPr="00FB7835" w:rsidRDefault="0070668B" w:rsidP="00B16E64">
            <w:pPr>
              <w:pStyle w:val="TableText0"/>
              <w:keepLines/>
              <w:spacing w:before="0" w:after="0"/>
              <w:jc w:val="center"/>
              <w:rPr>
                <w:rFonts w:cs="Arial"/>
              </w:rPr>
            </w:pPr>
            <w:r w:rsidRPr="00543126">
              <w:rPr>
                <w:rFonts w:cs="Arial"/>
                <w:i/>
              </w:rPr>
              <w:t>-31</w:t>
            </w:r>
            <w:r w:rsidRPr="00543126">
              <w:rPr>
                <w:rFonts w:cs="Arial"/>
                <w:i/>
              </w:rPr>
              <w:br/>
              <w:t>(-79, 16)</w:t>
            </w:r>
          </w:p>
        </w:tc>
      </w:tr>
    </w:tbl>
    <w:p w:rsidR="0070668B" w:rsidRPr="00136842" w:rsidRDefault="0070668B" w:rsidP="00934418">
      <w:pPr>
        <w:pStyle w:val="TableFooter"/>
        <w:keepNext/>
        <w:keepLines/>
        <w:ind w:left="720"/>
      </w:pPr>
      <w:r>
        <w:t xml:space="preserve">Source: </w:t>
      </w:r>
      <w:r w:rsidR="007559A1">
        <w:t>Tables B-57 to B-58, pp</w:t>
      </w:r>
      <w:r w:rsidR="007559A1" w:rsidRPr="00B15588">
        <w:t>86-87 of the submission</w:t>
      </w:r>
      <w:r w:rsidR="007559A1">
        <w:t xml:space="preserve">; </w:t>
      </w:r>
      <w:r w:rsidRPr="00136842">
        <w:t>calculated during evaluation using random effect methods for the meta-analyses and Bucher method for indirect comparisons</w:t>
      </w:r>
    </w:p>
    <w:p w:rsidR="0070668B" w:rsidRDefault="0070668B" w:rsidP="00934418">
      <w:pPr>
        <w:pStyle w:val="TableFooter"/>
        <w:keepNext/>
        <w:keepLines/>
        <w:ind w:left="720"/>
      </w:pPr>
      <w:r w:rsidRPr="00162CA2">
        <w:rPr>
          <w:i/>
        </w:rPr>
        <w:t xml:space="preserve">Italics </w:t>
      </w:r>
      <w:r w:rsidRPr="00EE1622">
        <w:t>information retrieved during evaluation from trial reports/publications attachments to the submission</w:t>
      </w:r>
    </w:p>
    <w:p w:rsidR="0070668B" w:rsidRDefault="0070668B" w:rsidP="00934418">
      <w:pPr>
        <w:pStyle w:val="TableFooter"/>
        <w:keepNext/>
        <w:keepLines/>
        <w:ind w:left="720"/>
        <w:rPr>
          <w:i/>
        </w:rPr>
      </w:pPr>
      <w:r w:rsidRPr="001F0D67">
        <w:rPr>
          <w:i/>
          <w:vertAlign w:val="superscript"/>
        </w:rPr>
        <w:t>a</w:t>
      </w:r>
      <w:r>
        <w:rPr>
          <w:i/>
        </w:rPr>
        <w:t xml:space="preserve"> </w:t>
      </w:r>
      <w:r w:rsidRPr="00136842">
        <w:t>calculated during evaluation from baseline pre-bronchodilator FEV</w:t>
      </w:r>
      <w:r w:rsidRPr="00136842">
        <w:rPr>
          <w:vertAlign w:val="subscript"/>
        </w:rPr>
        <w:t>1</w:t>
      </w:r>
      <w:r w:rsidRPr="00136842">
        <w:t xml:space="preserve"> and trough FEV</w:t>
      </w:r>
      <w:r w:rsidRPr="00136842">
        <w:rPr>
          <w:vertAlign w:val="subscript"/>
        </w:rPr>
        <w:t>1</w:t>
      </w:r>
      <w:r w:rsidRPr="00136842">
        <w:t xml:space="preserve"> at week 26</w:t>
      </w:r>
    </w:p>
    <w:p w:rsidR="0070668B" w:rsidRPr="001F0D67" w:rsidRDefault="000C4044" w:rsidP="00934418">
      <w:pPr>
        <w:pStyle w:val="TableFooter"/>
        <w:keepNext/>
        <w:keepLines/>
        <w:ind w:left="720"/>
        <w:rPr>
          <w:i/>
        </w:rPr>
      </w:pPr>
      <w:r w:rsidRPr="000C4044">
        <w:rPr>
          <w:b/>
        </w:rPr>
        <w:t>Bold</w:t>
      </w:r>
      <w:r w:rsidRPr="000C4044">
        <w:t xml:space="preserve"> = stati</w:t>
      </w:r>
      <w:r w:rsidR="00B50428">
        <w:t>sti</w:t>
      </w:r>
      <w:r w:rsidRPr="000C4044">
        <w:t>cally significant;</w:t>
      </w:r>
      <w:r>
        <w:rPr>
          <w:i/>
        </w:rPr>
        <w:t xml:space="preserve"> </w:t>
      </w:r>
      <w:r w:rsidR="0070668B" w:rsidRPr="00B40755">
        <w:t>MD = mean difference; CI = confidence interval;</w:t>
      </w:r>
      <w:r w:rsidR="0070668B" w:rsidRPr="00B40755">
        <w:rPr>
          <w:iCs/>
        </w:rPr>
        <w:t xml:space="preserve"> NR = not reported; SE = standard error;</w:t>
      </w:r>
      <w:r w:rsidR="0070668B" w:rsidRPr="00B40755">
        <w:t xml:space="preserve"> </w:t>
      </w:r>
      <w:r w:rsidR="0070668B">
        <w:t>FEV</w:t>
      </w:r>
      <w:r w:rsidR="0070668B" w:rsidRPr="001021D2">
        <w:rPr>
          <w:vertAlign w:val="subscript"/>
        </w:rPr>
        <w:t>1</w:t>
      </w:r>
      <w:r w:rsidR="00C46A06">
        <w:t> </w:t>
      </w:r>
      <w:r w:rsidR="0070668B">
        <w:t>=</w:t>
      </w:r>
      <w:r w:rsidR="00C46A06">
        <w:t> </w:t>
      </w:r>
      <w:r w:rsidR="0070668B" w:rsidRPr="00903F77">
        <w:t>forced expiratory volume in one second</w:t>
      </w:r>
      <w:r w:rsidR="0070668B">
        <w:t xml:space="preserve">; </w:t>
      </w:r>
      <w:r w:rsidR="00031454" w:rsidRPr="00031454">
        <w:t>Acli/</w:t>
      </w:r>
      <w:r w:rsidR="00031454">
        <w:t>E</w:t>
      </w:r>
      <w:r w:rsidR="00031454" w:rsidRPr="00031454">
        <w:t xml:space="preserve">for = aclidinium/eformoterol FDC; </w:t>
      </w:r>
      <w:r w:rsidR="00031454">
        <w:t>G</w:t>
      </w:r>
      <w:r w:rsidR="00031454" w:rsidRPr="00031454">
        <w:t>ly/</w:t>
      </w:r>
      <w:r w:rsidR="00031454">
        <w:t>I</w:t>
      </w:r>
      <w:r w:rsidR="00031454" w:rsidRPr="00031454">
        <w:t xml:space="preserve">nd = glycopyrronium/indacaterol FDC; </w:t>
      </w:r>
      <w:r w:rsidR="00031454">
        <w:t>U</w:t>
      </w:r>
      <w:r w:rsidR="00031454" w:rsidRPr="00031454">
        <w:t>mec/</w:t>
      </w:r>
      <w:r w:rsidR="00031454">
        <w:t>V</w:t>
      </w:r>
      <w:r w:rsidR="00031454" w:rsidRPr="00031454">
        <w:t xml:space="preserve">i = umeclidinium/vilanterol FDC; FDC = </w:t>
      </w:r>
      <w:r w:rsidR="00A4795A">
        <w:t>fixed dose</w:t>
      </w:r>
      <w:r w:rsidR="00031454" w:rsidRPr="00031454">
        <w:t xml:space="preserve"> combination</w:t>
      </w:r>
      <w:r w:rsidR="00D85681">
        <w:t>; I</w:t>
      </w:r>
      <w:r w:rsidR="00D85681" w:rsidRPr="00D85681">
        <w:rPr>
          <w:vertAlign w:val="superscript"/>
        </w:rPr>
        <w:t>2</w:t>
      </w:r>
      <w:r w:rsidR="00D85681">
        <w:t xml:space="preserve"> = proportion of </w:t>
      </w:r>
      <w:r w:rsidR="00197A2D">
        <w:t>variation</w:t>
      </w:r>
      <w:r w:rsidR="00D85681">
        <w:t xml:space="preserve"> </w:t>
      </w:r>
      <w:r w:rsidR="00500F70">
        <w:t xml:space="preserve">across studies </w:t>
      </w:r>
      <w:r w:rsidR="00D85681">
        <w:t>attributable to heterogeneity</w:t>
      </w:r>
    </w:p>
    <w:p w:rsidR="00B60939" w:rsidRDefault="00B60939" w:rsidP="00B60939">
      <w:pPr>
        <w:rPr>
          <w:szCs w:val="22"/>
        </w:rPr>
      </w:pPr>
    </w:p>
    <w:p w:rsidR="00A1607F" w:rsidRPr="00E0164F" w:rsidRDefault="00A1607F" w:rsidP="007769FA">
      <w:pPr>
        <w:pStyle w:val="ListParagraph"/>
        <w:widowControl/>
        <w:numPr>
          <w:ilvl w:val="1"/>
          <w:numId w:val="4"/>
        </w:numPr>
        <w:rPr>
          <w:szCs w:val="22"/>
        </w:rPr>
      </w:pPr>
      <w:r w:rsidRPr="00E0164F">
        <w:rPr>
          <w:szCs w:val="22"/>
        </w:rPr>
        <w:t xml:space="preserve">The ESC </w:t>
      </w:r>
      <w:r w:rsidR="001A5E3E" w:rsidRPr="00E0164F">
        <w:rPr>
          <w:szCs w:val="22"/>
        </w:rPr>
        <w:t>noted</w:t>
      </w:r>
      <w:r w:rsidRPr="00E0164F">
        <w:rPr>
          <w:szCs w:val="22"/>
        </w:rPr>
        <w:t xml:space="preserve"> that </w:t>
      </w:r>
      <w:r w:rsidR="007769FA" w:rsidRPr="00E0164F">
        <w:rPr>
          <w:szCs w:val="22"/>
        </w:rPr>
        <w:t>the</w:t>
      </w:r>
      <w:r w:rsidR="00DE2272" w:rsidRPr="00E0164F">
        <w:rPr>
          <w:szCs w:val="22"/>
        </w:rPr>
        <w:t xml:space="preserve"> individual</w:t>
      </w:r>
      <w:r w:rsidR="007769FA" w:rsidRPr="00E0164F">
        <w:rPr>
          <w:szCs w:val="22"/>
        </w:rPr>
        <w:t xml:space="preserve"> trials included in the indirect comparison were assessed as having a low </w:t>
      </w:r>
      <w:r w:rsidR="001A5E3E" w:rsidRPr="00E0164F">
        <w:rPr>
          <w:szCs w:val="22"/>
        </w:rPr>
        <w:t xml:space="preserve">within-trial </w:t>
      </w:r>
      <w:r w:rsidR="007769FA" w:rsidRPr="00E0164F">
        <w:rPr>
          <w:szCs w:val="22"/>
        </w:rPr>
        <w:t>risk of bias</w:t>
      </w:r>
      <w:r w:rsidR="001A5E3E" w:rsidRPr="00E0164F">
        <w:rPr>
          <w:szCs w:val="22"/>
        </w:rPr>
        <w:t>. However</w:t>
      </w:r>
      <w:r w:rsidR="007769FA" w:rsidRPr="00E0164F">
        <w:rPr>
          <w:szCs w:val="22"/>
        </w:rPr>
        <w:t xml:space="preserve">, due to </w:t>
      </w:r>
      <w:r w:rsidR="006D2F89" w:rsidRPr="00E0164F">
        <w:rPr>
          <w:szCs w:val="22"/>
        </w:rPr>
        <w:t xml:space="preserve">exchangeability issues when </w:t>
      </w:r>
      <w:r w:rsidR="007769FA" w:rsidRPr="00E0164F">
        <w:rPr>
          <w:szCs w:val="22"/>
        </w:rPr>
        <w:t>us</w:t>
      </w:r>
      <w:r w:rsidR="006D2F89" w:rsidRPr="00E0164F">
        <w:rPr>
          <w:szCs w:val="22"/>
        </w:rPr>
        <w:t>ing</w:t>
      </w:r>
      <w:r w:rsidR="007769FA" w:rsidRPr="00E0164F">
        <w:rPr>
          <w:szCs w:val="22"/>
        </w:rPr>
        <w:t xml:space="preserve"> these trials in an</w:t>
      </w:r>
      <w:r w:rsidRPr="00E0164F">
        <w:rPr>
          <w:szCs w:val="22"/>
        </w:rPr>
        <w:t xml:space="preserve"> indirect comparison</w:t>
      </w:r>
      <w:r w:rsidR="00DE2272" w:rsidRPr="00E0164F">
        <w:rPr>
          <w:szCs w:val="22"/>
        </w:rPr>
        <w:t>, there is a high risk of bias in the results</w:t>
      </w:r>
      <w:r w:rsidR="001A5E3E" w:rsidRPr="00E0164F">
        <w:rPr>
          <w:szCs w:val="22"/>
        </w:rPr>
        <w:t xml:space="preserve"> of the indirect comparison</w:t>
      </w:r>
      <w:r w:rsidRPr="00E0164F">
        <w:rPr>
          <w:szCs w:val="22"/>
        </w:rPr>
        <w:t>.</w:t>
      </w:r>
    </w:p>
    <w:p w:rsidR="00A1607F" w:rsidRPr="007769FA" w:rsidRDefault="00A1607F" w:rsidP="00B60939">
      <w:pPr>
        <w:rPr>
          <w:i/>
          <w:szCs w:val="22"/>
        </w:rPr>
      </w:pPr>
    </w:p>
    <w:p w:rsidR="0070668B" w:rsidRPr="000D1D6F" w:rsidRDefault="0070668B" w:rsidP="00934418">
      <w:pPr>
        <w:keepNext/>
        <w:keepLines/>
        <w:ind w:left="720"/>
        <w:rPr>
          <w:rStyle w:val="CommentReference"/>
        </w:rPr>
      </w:pPr>
      <w:r w:rsidRPr="000D1D6F">
        <w:rPr>
          <w:rStyle w:val="CommentReference"/>
        </w:rPr>
        <w:t xml:space="preserve">Table </w:t>
      </w:r>
      <w:r>
        <w:rPr>
          <w:rStyle w:val="CommentReference"/>
        </w:rPr>
        <w:t>4</w:t>
      </w:r>
      <w:r w:rsidRPr="000D1D6F">
        <w:rPr>
          <w:rStyle w:val="CommentReference"/>
        </w:rPr>
        <w:t>: The results of change in trough FEV</w:t>
      </w:r>
      <w:r w:rsidRPr="000D1D6F">
        <w:rPr>
          <w:rStyle w:val="CommentReference"/>
          <w:vertAlign w:val="subscript"/>
        </w:rPr>
        <w:t>1</w:t>
      </w:r>
      <w:r w:rsidRPr="000D1D6F">
        <w:rPr>
          <w:rStyle w:val="CommentReference"/>
        </w:rPr>
        <w:t xml:space="preserve"> </w:t>
      </w:r>
      <w:r>
        <w:rPr>
          <w:rStyle w:val="CommentReference"/>
        </w:rPr>
        <w:t xml:space="preserve">(mL) </w:t>
      </w:r>
      <w:r w:rsidRPr="000D1D6F">
        <w:rPr>
          <w:rStyle w:val="CommentReference"/>
        </w:rPr>
        <w:t xml:space="preserve">from baseline </w:t>
      </w:r>
      <w:r w:rsidR="00581FF9">
        <w:rPr>
          <w:rStyle w:val="CommentReference"/>
        </w:rPr>
        <w:t>to</w:t>
      </w:r>
      <w:r w:rsidR="00581FF9" w:rsidRPr="000D1D6F">
        <w:rPr>
          <w:rStyle w:val="CommentReference"/>
        </w:rPr>
        <w:t xml:space="preserve"> </w:t>
      </w:r>
      <w:r w:rsidRPr="000D1D6F">
        <w:rPr>
          <w:rStyle w:val="CommentReference"/>
        </w:rPr>
        <w:t>24 weeks (</w:t>
      </w:r>
      <w:r>
        <w:rPr>
          <w:rStyle w:val="CommentReference"/>
        </w:rPr>
        <w:t xml:space="preserve">direct </w:t>
      </w:r>
      <w:r w:rsidRPr="000D1D6F">
        <w:rPr>
          <w:rStyle w:val="CommentReference"/>
        </w:rPr>
        <w:t xml:space="preserve">comparison </w:t>
      </w:r>
      <w:r>
        <w:rPr>
          <w:rStyle w:val="CommentReference"/>
        </w:rPr>
        <w:t>versus aclidinium monotherapy and eformoterol monotherapy</w:t>
      </w:r>
      <w:r w:rsidRPr="000D1D6F">
        <w:rPr>
          <w:rStyle w:val="CommentReference"/>
        </w:rPr>
        <w:t>)</w:t>
      </w:r>
    </w:p>
    <w:tbl>
      <w:tblPr>
        <w:tblW w:w="4614"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2"/>
        <w:gridCol w:w="1135"/>
        <w:gridCol w:w="1135"/>
        <w:gridCol w:w="1276"/>
        <w:gridCol w:w="1772"/>
        <w:gridCol w:w="1772"/>
      </w:tblGrid>
      <w:tr w:rsidR="0070668B" w:rsidRPr="00B5504C" w:rsidTr="00215628">
        <w:trPr>
          <w:trHeight w:val="20"/>
        </w:trPr>
        <w:tc>
          <w:tcPr>
            <w:tcW w:w="770" w:type="pct"/>
            <w:vMerge w:val="restart"/>
            <w:shd w:val="clear" w:color="auto" w:fill="auto"/>
            <w:vAlign w:val="center"/>
            <w:hideMark/>
          </w:tcPr>
          <w:p w:rsidR="0070668B" w:rsidRPr="00B5504C" w:rsidRDefault="0070668B" w:rsidP="00B16E64">
            <w:pPr>
              <w:pStyle w:val="Tabletext"/>
              <w:keepNext/>
              <w:keepLines/>
              <w:rPr>
                <w:lang w:val="en-GB" w:eastAsia="en-GB"/>
              </w:rPr>
            </w:pPr>
            <w:r w:rsidRPr="00B5504C">
              <w:rPr>
                <w:lang w:eastAsia="en-GB"/>
              </w:rPr>
              <w:t> </w:t>
            </w:r>
            <w:r w:rsidRPr="00B5504C">
              <w:rPr>
                <w:lang w:val="en-GB" w:eastAsia="en-GB"/>
              </w:rPr>
              <w:t> </w:t>
            </w:r>
          </w:p>
        </w:tc>
        <w:tc>
          <w:tcPr>
            <w:tcW w:w="677" w:type="pct"/>
            <w:shd w:val="clear" w:color="auto" w:fill="auto"/>
            <w:vAlign w:val="center"/>
            <w:hideMark/>
          </w:tcPr>
          <w:p w:rsidR="0070668B" w:rsidRPr="00B5504C" w:rsidRDefault="00EE489E" w:rsidP="008473AE">
            <w:pPr>
              <w:pStyle w:val="Tabletext"/>
              <w:keepNext/>
              <w:keepLines/>
              <w:jc w:val="center"/>
              <w:rPr>
                <w:b/>
                <w:bCs/>
                <w:lang w:val="en-GB" w:eastAsia="en-GB"/>
              </w:rPr>
            </w:pPr>
            <w:r>
              <w:rPr>
                <w:b/>
                <w:bCs/>
                <w:lang w:val="en-GB" w:eastAsia="en-GB"/>
              </w:rPr>
              <w:t>Acli/Efor</w:t>
            </w:r>
            <w:r w:rsidR="008473AE">
              <w:rPr>
                <w:b/>
                <w:bCs/>
                <w:lang w:val="en-GB" w:eastAsia="en-GB"/>
              </w:rPr>
              <w:t xml:space="preserve"> FDC</w:t>
            </w:r>
          </w:p>
        </w:tc>
        <w:tc>
          <w:tcPr>
            <w:tcW w:w="677" w:type="pct"/>
            <w:shd w:val="clear" w:color="auto" w:fill="auto"/>
            <w:vAlign w:val="center"/>
            <w:hideMark/>
          </w:tcPr>
          <w:p w:rsidR="0070668B" w:rsidRPr="00B5504C" w:rsidRDefault="0070668B" w:rsidP="00B16E64">
            <w:pPr>
              <w:pStyle w:val="Tabletext"/>
              <w:keepNext/>
              <w:keepLines/>
              <w:jc w:val="center"/>
              <w:rPr>
                <w:b/>
                <w:bCs/>
                <w:lang w:val="en-GB" w:eastAsia="en-GB"/>
              </w:rPr>
            </w:pPr>
            <w:r>
              <w:rPr>
                <w:b/>
                <w:bCs/>
                <w:lang w:val="en-GB" w:eastAsia="en-GB"/>
              </w:rPr>
              <w:t xml:space="preserve">Acli 400 </w:t>
            </w:r>
            <w:r w:rsidRPr="00252BBD">
              <w:rPr>
                <w:b/>
                <w:bCs/>
                <w:lang w:val="en-GB" w:eastAsia="en-GB"/>
              </w:rPr>
              <w:t>μg</w:t>
            </w:r>
          </w:p>
        </w:tc>
        <w:tc>
          <w:tcPr>
            <w:tcW w:w="761" w:type="pct"/>
            <w:tcBorders>
              <w:right w:val="double" w:sz="4" w:space="0" w:color="auto"/>
            </w:tcBorders>
            <w:shd w:val="clear" w:color="auto" w:fill="auto"/>
            <w:vAlign w:val="center"/>
            <w:hideMark/>
          </w:tcPr>
          <w:p w:rsidR="0070668B" w:rsidRPr="00B5504C" w:rsidRDefault="0070668B" w:rsidP="00B16E64">
            <w:pPr>
              <w:pStyle w:val="Tabletext"/>
              <w:keepNext/>
              <w:keepLines/>
              <w:jc w:val="center"/>
              <w:rPr>
                <w:b/>
                <w:bCs/>
                <w:lang w:val="en-GB" w:eastAsia="en-GB"/>
              </w:rPr>
            </w:pPr>
            <w:r>
              <w:rPr>
                <w:b/>
                <w:bCs/>
                <w:lang w:val="en-GB" w:eastAsia="en-GB"/>
              </w:rPr>
              <w:t xml:space="preserve">Efor 12 </w:t>
            </w:r>
            <w:r w:rsidRPr="00252BBD">
              <w:rPr>
                <w:b/>
                <w:bCs/>
                <w:lang w:val="en-GB" w:eastAsia="en-GB"/>
              </w:rPr>
              <w:t>μg</w:t>
            </w:r>
          </w:p>
        </w:tc>
        <w:tc>
          <w:tcPr>
            <w:tcW w:w="1057" w:type="pct"/>
            <w:tcBorders>
              <w:left w:val="double" w:sz="4" w:space="0" w:color="auto"/>
            </w:tcBorders>
            <w:shd w:val="clear" w:color="auto" w:fill="auto"/>
            <w:vAlign w:val="center"/>
            <w:hideMark/>
          </w:tcPr>
          <w:p w:rsidR="0070668B" w:rsidRPr="00B5504C" w:rsidRDefault="00EE489E" w:rsidP="00215628">
            <w:pPr>
              <w:pStyle w:val="Tabletext"/>
              <w:keepNext/>
              <w:keepLines/>
              <w:jc w:val="center"/>
              <w:rPr>
                <w:b/>
                <w:bCs/>
                <w:lang w:val="en-GB" w:eastAsia="en-GB"/>
              </w:rPr>
            </w:pPr>
            <w:r>
              <w:rPr>
                <w:b/>
                <w:bCs/>
                <w:lang w:val="en-GB" w:eastAsia="en-GB"/>
              </w:rPr>
              <w:t>Acli/Efor</w:t>
            </w:r>
            <w:r w:rsidR="0070668B" w:rsidRPr="00B5504C">
              <w:rPr>
                <w:b/>
                <w:bCs/>
                <w:lang w:val="en-GB" w:eastAsia="en-GB"/>
              </w:rPr>
              <w:t xml:space="preserve"> </w:t>
            </w:r>
            <w:r w:rsidR="00215628">
              <w:rPr>
                <w:b/>
                <w:bCs/>
                <w:lang w:val="en-GB" w:eastAsia="en-GB"/>
              </w:rPr>
              <w:t xml:space="preserve">FDC </w:t>
            </w:r>
            <w:r w:rsidR="0070668B" w:rsidRPr="00B5504C">
              <w:rPr>
                <w:b/>
                <w:bCs/>
                <w:lang w:val="en-GB" w:eastAsia="en-GB"/>
              </w:rPr>
              <w:t>vs</w:t>
            </w:r>
            <w:r w:rsidR="0070668B">
              <w:rPr>
                <w:b/>
                <w:bCs/>
                <w:lang w:val="en-GB" w:eastAsia="en-GB"/>
              </w:rPr>
              <w:t>.</w:t>
            </w:r>
            <w:r w:rsidR="0070668B" w:rsidRPr="00B5504C">
              <w:rPr>
                <w:b/>
                <w:bCs/>
                <w:lang w:val="en-GB" w:eastAsia="en-GB"/>
              </w:rPr>
              <w:t xml:space="preserve"> </w:t>
            </w:r>
            <w:r w:rsidR="0070668B">
              <w:rPr>
                <w:b/>
                <w:bCs/>
                <w:lang w:val="en-GB" w:eastAsia="en-GB"/>
              </w:rPr>
              <w:t>Acli</w:t>
            </w:r>
          </w:p>
        </w:tc>
        <w:tc>
          <w:tcPr>
            <w:tcW w:w="1057" w:type="pct"/>
            <w:shd w:val="clear" w:color="auto" w:fill="auto"/>
            <w:vAlign w:val="center"/>
            <w:hideMark/>
          </w:tcPr>
          <w:p w:rsidR="0070668B" w:rsidRPr="00B5504C" w:rsidRDefault="00EE489E" w:rsidP="00B16E64">
            <w:pPr>
              <w:pStyle w:val="Tabletext"/>
              <w:keepNext/>
              <w:keepLines/>
              <w:jc w:val="center"/>
              <w:rPr>
                <w:b/>
                <w:bCs/>
                <w:lang w:val="en-GB" w:eastAsia="en-GB"/>
              </w:rPr>
            </w:pPr>
            <w:r>
              <w:rPr>
                <w:b/>
                <w:bCs/>
                <w:lang w:val="en-GB" w:eastAsia="en-GB"/>
              </w:rPr>
              <w:t>Acli/Efor</w:t>
            </w:r>
            <w:r w:rsidR="0070668B" w:rsidRPr="00B5504C">
              <w:rPr>
                <w:b/>
                <w:bCs/>
                <w:lang w:val="en-GB" w:eastAsia="en-GB"/>
              </w:rPr>
              <w:t xml:space="preserve"> </w:t>
            </w:r>
            <w:r w:rsidR="00215628">
              <w:rPr>
                <w:b/>
                <w:bCs/>
                <w:lang w:val="en-GB" w:eastAsia="en-GB"/>
              </w:rPr>
              <w:t xml:space="preserve">FDC </w:t>
            </w:r>
            <w:r w:rsidR="0070668B" w:rsidRPr="00B5504C">
              <w:rPr>
                <w:b/>
                <w:bCs/>
                <w:lang w:val="en-GB" w:eastAsia="en-GB"/>
              </w:rPr>
              <w:t xml:space="preserve">vs. </w:t>
            </w:r>
            <w:r w:rsidR="0070668B">
              <w:rPr>
                <w:b/>
                <w:bCs/>
                <w:lang w:val="en-GB" w:eastAsia="en-GB"/>
              </w:rPr>
              <w:t>Efor</w:t>
            </w:r>
          </w:p>
        </w:tc>
      </w:tr>
      <w:tr w:rsidR="0070668B" w:rsidRPr="00B5504C" w:rsidTr="00215628">
        <w:trPr>
          <w:trHeight w:val="20"/>
        </w:trPr>
        <w:tc>
          <w:tcPr>
            <w:tcW w:w="770" w:type="pct"/>
            <w:vMerge/>
            <w:shd w:val="clear" w:color="auto" w:fill="auto"/>
            <w:vAlign w:val="center"/>
            <w:hideMark/>
          </w:tcPr>
          <w:p w:rsidR="0070668B" w:rsidRPr="00B5504C" w:rsidRDefault="0070668B" w:rsidP="00B16E64">
            <w:pPr>
              <w:pStyle w:val="Tabletext"/>
              <w:keepNext/>
              <w:keepLines/>
              <w:rPr>
                <w:lang w:val="en-GB" w:eastAsia="en-GB"/>
              </w:rPr>
            </w:pPr>
          </w:p>
        </w:tc>
        <w:tc>
          <w:tcPr>
            <w:tcW w:w="677" w:type="pct"/>
            <w:shd w:val="clear" w:color="auto" w:fill="auto"/>
            <w:vAlign w:val="center"/>
            <w:hideMark/>
          </w:tcPr>
          <w:p w:rsidR="0070668B" w:rsidRPr="00B5504C" w:rsidRDefault="0070668B" w:rsidP="00B16E64">
            <w:pPr>
              <w:pStyle w:val="Tabletext"/>
              <w:keepNext/>
              <w:keepLines/>
              <w:jc w:val="center"/>
              <w:rPr>
                <w:b/>
                <w:bCs/>
                <w:lang w:val="en-GB" w:eastAsia="en-GB"/>
              </w:rPr>
            </w:pPr>
            <w:r w:rsidRPr="00B5504C">
              <w:rPr>
                <w:b/>
                <w:bCs/>
                <w:lang w:eastAsia="en-GB"/>
              </w:rPr>
              <w:t>Mean (SE)</w:t>
            </w:r>
          </w:p>
        </w:tc>
        <w:tc>
          <w:tcPr>
            <w:tcW w:w="677" w:type="pct"/>
            <w:shd w:val="clear" w:color="auto" w:fill="auto"/>
            <w:vAlign w:val="center"/>
            <w:hideMark/>
          </w:tcPr>
          <w:p w:rsidR="0070668B" w:rsidRPr="00B5504C" w:rsidRDefault="0070668B" w:rsidP="00B16E64">
            <w:pPr>
              <w:pStyle w:val="Tabletext"/>
              <w:keepNext/>
              <w:keepLines/>
              <w:jc w:val="center"/>
              <w:rPr>
                <w:b/>
                <w:bCs/>
                <w:lang w:val="en-GB" w:eastAsia="en-GB"/>
              </w:rPr>
            </w:pPr>
            <w:r w:rsidRPr="00B5504C">
              <w:rPr>
                <w:b/>
                <w:bCs/>
                <w:lang w:eastAsia="en-GB"/>
              </w:rPr>
              <w:t>Mean (SE)</w:t>
            </w:r>
          </w:p>
        </w:tc>
        <w:tc>
          <w:tcPr>
            <w:tcW w:w="761" w:type="pct"/>
            <w:tcBorders>
              <w:right w:val="double" w:sz="4" w:space="0" w:color="auto"/>
            </w:tcBorders>
            <w:shd w:val="clear" w:color="auto" w:fill="auto"/>
            <w:vAlign w:val="center"/>
            <w:hideMark/>
          </w:tcPr>
          <w:p w:rsidR="0070668B" w:rsidRPr="00B5504C" w:rsidRDefault="0070668B" w:rsidP="00B16E64">
            <w:pPr>
              <w:pStyle w:val="Tabletext"/>
              <w:keepNext/>
              <w:keepLines/>
              <w:jc w:val="center"/>
              <w:rPr>
                <w:b/>
                <w:bCs/>
                <w:lang w:val="en-GB" w:eastAsia="en-GB"/>
              </w:rPr>
            </w:pPr>
            <w:r w:rsidRPr="00B5504C">
              <w:rPr>
                <w:b/>
                <w:bCs/>
                <w:lang w:eastAsia="en-GB"/>
              </w:rPr>
              <w:t>Mean (SE)</w:t>
            </w:r>
          </w:p>
        </w:tc>
        <w:tc>
          <w:tcPr>
            <w:tcW w:w="1057" w:type="pct"/>
            <w:tcBorders>
              <w:left w:val="double" w:sz="4" w:space="0" w:color="auto"/>
            </w:tcBorders>
            <w:shd w:val="clear" w:color="auto" w:fill="auto"/>
            <w:vAlign w:val="center"/>
            <w:hideMark/>
          </w:tcPr>
          <w:p w:rsidR="0070668B" w:rsidRPr="00B5504C" w:rsidRDefault="0070668B" w:rsidP="00B16E64">
            <w:pPr>
              <w:pStyle w:val="Tabletext"/>
              <w:keepNext/>
              <w:keepLines/>
              <w:jc w:val="center"/>
              <w:rPr>
                <w:b/>
                <w:bCs/>
                <w:lang w:val="en-GB" w:eastAsia="en-GB"/>
              </w:rPr>
            </w:pPr>
            <w:r w:rsidRPr="00B5504C">
              <w:rPr>
                <w:b/>
                <w:bCs/>
                <w:lang w:eastAsia="en-GB"/>
              </w:rPr>
              <w:t>MD (95% CI)</w:t>
            </w:r>
          </w:p>
        </w:tc>
        <w:tc>
          <w:tcPr>
            <w:tcW w:w="1057" w:type="pct"/>
            <w:shd w:val="clear" w:color="auto" w:fill="auto"/>
            <w:vAlign w:val="center"/>
            <w:hideMark/>
          </w:tcPr>
          <w:p w:rsidR="0070668B" w:rsidRPr="00B5504C" w:rsidRDefault="0070668B" w:rsidP="00B16E64">
            <w:pPr>
              <w:pStyle w:val="Tabletext"/>
              <w:keepNext/>
              <w:keepLines/>
              <w:jc w:val="center"/>
              <w:rPr>
                <w:b/>
                <w:bCs/>
                <w:lang w:val="en-GB" w:eastAsia="en-GB"/>
              </w:rPr>
            </w:pPr>
            <w:r w:rsidRPr="00B5504C">
              <w:rPr>
                <w:b/>
                <w:bCs/>
                <w:lang w:eastAsia="en-GB"/>
              </w:rPr>
              <w:t>MD (95% CI)</w:t>
            </w:r>
          </w:p>
        </w:tc>
      </w:tr>
      <w:tr w:rsidR="0070668B" w:rsidRPr="00B5504C" w:rsidTr="00215628">
        <w:trPr>
          <w:trHeight w:val="20"/>
        </w:trPr>
        <w:tc>
          <w:tcPr>
            <w:tcW w:w="770" w:type="pct"/>
            <w:shd w:val="clear" w:color="auto" w:fill="auto"/>
            <w:vAlign w:val="center"/>
          </w:tcPr>
          <w:p w:rsidR="0070668B" w:rsidRPr="00B5504C" w:rsidRDefault="0070668B" w:rsidP="00B16E64">
            <w:pPr>
              <w:pStyle w:val="Tabletext"/>
              <w:keepNext/>
              <w:keepLines/>
              <w:rPr>
                <w:lang w:val="en-GB" w:eastAsia="en-GB"/>
              </w:rPr>
            </w:pPr>
            <w:r>
              <w:rPr>
                <w:lang w:val="en-GB" w:eastAsia="en-GB"/>
              </w:rPr>
              <w:t>ACLIFORM</w:t>
            </w:r>
          </w:p>
        </w:tc>
        <w:tc>
          <w:tcPr>
            <w:tcW w:w="677" w:type="pct"/>
            <w:shd w:val="clear" w:color="auto" w:fill="auto"/>
            <w:noWrap/>
            <w:vAlign w:val="center"/>
            <w:hideMark/>
          </w:tcPr>
          <w:p w:rsidR="0070668B" w:rsidRPr="00B5504C" w:rsidRDefault="0070668B" w:rsidP="00B16E64">
            <w:pPr>
              <w:pStyle w:val="Tabletext"/>
              <w:keepNext/>
              <w:keepLines/>
              <w:jc w:val="center"/>
              <w:rPr>
                <w:lang w:val="en-GB" w:eastAsia="en-GB"/>
              </w:rPr>
            </w:pPr>
            <w:r w:rsidRPr="00FB1D4A">
              <w:rPr>
                <w:lang w:val="en-GB" w:eastAsia="en-GB"/>
              </w:rPr>
              <w:t>83 (12)</w:t>
            </w:r>
          </w:p>
        </w:tc>
        <w:tc>
          <w:tcPr>
            <w:tcW w:w="677" w:type="pct"/>
            <w:shd w:val="clear" w:color="auto" w:fill="auto"/>
            <w:noWrap/>
            <w:vAlign w:val="center"/>
            <w:hideMark/>
          </w:tcPr>
          <w:p w:rsidR="0070668B" w:rsidRPr="00B5504C" w:rsidRDefault="0070668B" w:rsidP="00B16E64">
            <w:pPr>
              <w:pStyle w:val="Tabletext"/>
              <w:keepNext/>
              <w:keepLines/>
              <w:jc w:val="center"/>
              <w:rPr>
                <w:lang w:val="en-GB" w:eastAsia="en-GB"/>
              </w:rPr>
            </w:pPr>
            <w:r w:rsidRPr="00FB1D4A">
              <w:rPr>
                <w:lang w:val="en-GB" w:eastAsia="en-GB"/>
              </w:rPr>
              <w:t>56 (12)</w:t>
            </w:r>
          </w:p>
        </w:tc>
        <w:tc>
          <w:tcPr>
            <w:tcW w:w="761" w:type="pct"/>
            <w:tcBorders>
              <w:right w:val="double" w:sz="4" w:space="0" w:color="auto"/>
            </w:tcBorders>
            <w:shd w:val="clear" w:color="auto" w:fill="auto"/>
            <w:noWrap/>
            <w:vAlign w:val="center"/>
            <w:hideMark/>
          </w:tcPr>
          <w:p w:rsidR="0070668B" w:rsidRPr="00B5504C" w:rsidRDefault="0070668B" w:rsidP="00B16E64">
            <w:pPr>
              <w:pStyle w:val="Tabletext"/>
              <w:keepNext/>
              <w:keepLines/>
              <w:jc w:val="center"/>
              <w:rPr>
                <w:szCs w:val="22"/>
                <w:lang w:val="en-GB" w:eastAsia="en-GB"/>
              </w:rPr>
            </w:pPr>
            <w:r w:rsidRPr="00FB1D4A">
              <w:rPr>
                <w:lang w:val="en-GB" w:eastAsia="en-GB"/>
              </w:rPr>
              <w:t>-2 (12)</w:t>
            </w:r>
          </w:p>
        </w:tc>
        <w:tc>
          <w:tcPr>
            <w:tcW w:w="1057" w:type="pct"/>
            <w:tcBorders>
              <w:left w:val="double" w:sz="4" w:space="0" w:color="auto"/>
            </w:tcBorders>
            <w:shd w:val="clear" w:color="auto" w:fill="auto"/>
            <w:noWrap/>
            <w:vAlign w:val="center"/>
            <w:hideMark/>
          </w:tcPr>
          <w:p w:rsidR="0070668B" w:rsidRPr="00B5504C" w:rsidRDefault="0070668B" w:rsidP="00B16E64">
            <w:pPr>
              <w:pStyle w:val="Tabletext"/>
              <w:keepNext/>
              <w:keepLines/>
              <w:jc w:val="center"/>
              <w:rPr>
                <w:b/>
                <w:bCs/>
                <w:szCs w:val="22"/>
                <w:lang w:val="en-GB" w:eastAsia="en-GB"/>
              </w:rPr>
            </w:pPr>
            <w:r w:rsidRPr="00FB1D4A">
              <w:rPr>
                <w:lang w:val="en-GB" w:eastAsia="en-GB"/>
              </w:rPr>
              <w:t>26 (-7, 60)</w:t>
            </w:r>
          </w:p>
        </w:tc>
        <w:tc>
          <w:tcPr>
            <w:tcW w:w="1057" w:type="pct"/>
            <w:shd w:val="clear" w:color="auto" w:fill="auto"/>
            <w:noWrap/>
            <w:vAlign w:val="center"/>
            <w:hideMark/>
          </w:tcPr>
          <w:p w:rsidR="0070668B" w:rsidRPr="00B5504C" w:rsidRDefault="0070668B" w:rsidP="00B16E64">
            <w:pPr>
              <w:pStyle w:val="Tabletext"/>
              <w:keepNext/>
              <w:keepLines/>
              <w:jc w:val="center"/>
              <w:rPr>
                <w:b/>
                <w:bCs/>
                <w:szCs w:val="22"/>
                <w:lang w:val="en-GB" w:eastAsia="en-GB"/>
              </w:rPr>
            </w:pPr>
            <w:r w:rsidRPr="00FB1D4A">
              <w:rPr>
                <w:b/>
                <w:lang w:val="en-GB" w:eastAsia="en-GB"/>
              </w:rPr>
              <w:t>85 (51, 119)</w:t>
            </w:r>
          </w:p>
        </w:tc>
      </w:tr>
      <w:tr w:rsidR="0070668B" w:rsidRPr="00B5504C" w:rsidTr="00215628">
        <w:trPr>
          <w:trHeight w:val="20"/>
        </w:trPr>
        <w:tc>
          <w:tcPr>
            <w:tcW w:w="770" w:type="pct"/>
            <w:shd w:val="clear" w:color="auto" w:fill="auto"/>
            <w:vAlign w:val="center"/>
          </w:tcPr>
          <w:p w:rsidR="0070668B" w:rsidRPr="00B5504C" w:rsidRDefault="0070668B" w:rsidP="00B16E64">
            <w:pPr>
              <w:pStyle w:val="Tabletext"/>
              <w:keepNext/>
              <w:keepLines/>
              <w:rPr>
                <w:lang w:val="en-GB" w:eastAsia="en-GB"/>
              </w:rPr>
            </w:pPr>
            <w:r>
              <w:rPr>
                <w:lang w:val="en-GB" w:eastAsia="en-GB"/>
              </w:rPr>
              <w:t>AUGMENT</w:t>
            </w:r>
          </w:p>
        </w:tc>
        <w:tc>
          <w:tcPr>
            <w:tcW w:w="677" w:type="pct"/>
            <w:shd w:val="clear" w:color="auto" w:fill="auto"/>
            <w:noWrap/>
            <w:vAlign w:val="center"/>
            <w:hideMark/>
          </w:tcPr>
          <w:p w:rsidR="0070668B" w:rsidRPr="00B5504C" w:rsidRDefault="0070668B" w:rsidP="00B16E64">
            <w:pPr>
              <w:pStyle w:val="Tabletext"/>
              <w:keepNext/>
              <w:keepLines/>
              <w:jc w:val="center"/>
              <w:rPr>
                <w:lang w:val="en-GB" w:eastAsia="en-GB"/>
              </w:rPr>
            </w:pPr>
            <w:r w:rsidRPr="00FB1D4A">
              <w:rPr>
                <w:lang w:val="en-GB" w:eastAsia="en-GB"/>
              </w:rPr>
              <w:t>95 (12)</w:t>
            </w:r>
          </w:p>
        </w:tc>
        <w:tc>
          <w:tcPr>
            <w:tcW w:w="677" w:type="pct"/>
            <w:shd w:val="clear" w:color="auto" w:fill="auto"/>
            <w:noWrap/>
            <w:vAlign w:val="center"/>
            <w:hideMark/>
          </w:tcPr>
          <w:p w:rsidR="0070668B" w:rsidRPr="00B5504C" w:rsidRDefault="0070668B" w:rsidP="00B16E64">
            <w:pPr>
              <w:pStyle w:val="Tabletext"/>
              <w:keepNext/>
              <w:keepLines/>
              <w:jc w:val="center"/>
              <w:rPr>
                <w:lang w:val="en-GB" w:eastAsia="en-GB"/>
              </w:rPr>
            </w:pPr>
            <w:r w:rsidRPr="00FB1D4A">
              <w:rPr>
                <w:lang w:val="en-GB" w:eastAsia="en-GB"/>
              </w:rPr>
              <w:t>66 (12)</w:t>
            </w:r>
          </w:p>
        </w:tc>
        <w:tc>
          <w:tcPr>
            <w:tcW w:w="761" w:type="pct"/>
            <w:tcBorders>
              <w:right w:val="double" w:sz="4" w:space="0" w:color="auto"/>
            </w:tcBorders>
            <w:shd w:val="clear" w:color="auto" w:fill="auto"/>
            <w:noWrap/>
            <w:vAlign w:val="center"/>
            <w:hideMark/>
          </w:tcPr>
          <w:p w:rsidR="0070668B" w:rsidRPr="00B5504C" w:rsidRDefault="0070668B" w:rsidP="00B16E64">
            <w:pPr>
              <w:pStyle w:val="Tabletext"/>
              <w:keepNext/>
              <w:keepLines/>
              <w:jc w:val="center"/>
              <w:rPr>
                <w:lang w:val="en-GB" w:eastAsia="en-GB"/>
              </w:rPr>
            </w:pPr>
            <w:r>
              <w:rPr>
                <w:lang w:val="en-GB" w:eastAsia="en-GB"/>
              </w:rPr>
              <w:t xml:space="preserve">50 </w:t>
            </w:r>
            <w:r w:rsidRPr="00FB1D4A">
              <w:rPr>
                <w:lang w:val="en-GB" w:eastAsia="en-GB"/>
              </w:rPr>
              <w:t>(12)</w:t>
            </w:r>
          </w:p>
        </w:tc>
        <w:tc>
          <w:tcPr>
            <w:tcW w:w="1057" w:type="pct"/>
            <w:tcBorders>
              <w:left w:val="double" w:sz="4" w:space="0" w:color="auto"/>
            </w:tcBorders>
            <w:shd w:val="clear" w:color="auto" w:fill="auto"/>
            <w:noWrap/>
            <w:vAlign w:val="center"/>
            <w:hideMark/>
          </w:tcPr>
          <w:p w:rsidR="0070668B" w:rsidRPr="00B5504C" w:rsidRDefault="0070668B" w:rsidP="00B16E64">
            <w:pPr>
              <w:pStyle w:val="Tabletext"/>
              <w:keepNext/>
              <w:keepLines/>
              <w:jc w:val="center"/>
              <w:rPr>
                <w:b/>
                <w:bCs/>
                <w:lang w:val="en-GB" w:eastAsia="en-GB"/>
              </w:rPr>
            </w:pPr>
            <w:r w:rsidRPr="00FB1D4A">
              <w:rPr>
                <w:lang w:val="en-GB" w:eastAsia="en-GB"/>
              </w:rPr>
              <w:t>28</w:t>
            </w:r>
            <w:r>
              <w:rPr>
                <w:lang w:val="en-GB" w:eastAsia="en-GB"/>
              </w:rPr>
              <w:t xml:space="preserve"> </w:t>
            </w:r>
            <w:r w:rsidRPr="00FB1D4A">
              <w:rPr>
                <w:lang w:val="en-GB" w:eastAsia="en-GB"/>
              </w:rPr>
              <w:t>(-</w:t>
            </w:r>
            <w:r>
              <w:rPr>
                <w:lang w:val="en-GB" w:eastAsia="en-GB"/>
              </w:rPr>
              <w:t>6,</w:t>
            </w:r>
            <w:r w:rsidRPr="00FB1D4A">
              <w:rPr>
                <w:lang w:val="en-GB" w:eastAsia="en-GB"/>
              </w:rPr>
              <w:t xml:space="preserve"> 6</w:t>
            </w:r>
            <w:r>
              <w:rPr>
                <w:lang w:val="en-GB" w:eastAsia="en-GB"/>
              </w:rPr>
              <w:t>3</w:t>
            </w:r>
            <w:r w:rsidRPr="00FB1D4A">
              <w:rPr>
                <w:lang w:val="en-GB" w:eastAsia="en-GB"/>
              </w:rPr>
              <w:t>)</w:t>
            </w:r>
          </w:p>
        </w:tc>
        <w:tc>
          <w:tcPr>
            <w:tcW w:w="1057" w:type="pct"/>
            <w:shd w:val="clear" w:color="auto" w:fill="auto"/>
            <w:noWrap/>
            <w:vAlign w:val="center"/>
            <w:hideMark/>
          </w:tcPr>
          <w:p w:rsidR="0070668B" w:rsidRPr="00B5504C" w:rsidRDefault="0070668B" w:rsidP="00B16E64">
            <w:pPr>
              <w:pStyle w:val="Tabletext"/>
              <w:keepNext/>
              <w:keepLines/>
              <w:jc w:val="center"/>
              <w:rPr>
                <w:b/>
                <w:bCs/>
                <w:szCs w:val="22"/>
                <w:lang w:val="en-GB" w:eastAsia="en-GB"/>
              </w:rPr>
            </w:pPr>
            <w:r w:rsidRPr="00FB1D4A">
              <w:rPr>
                <w:b/>
                <w:lang w:val="en-GB" w:eastAsia="en-GB"/>
              </w:rPr>
              <w:t>4</w:t>
            </w:r>
            <w:r>
              <w:rPr>
                <w:b/>
                <w:lang w:val="en-GB" w:eastAsia="en-GB"/>
              </w:rPr>
              <w:t xml:space="preserve">5 </w:t>
            </w:r>
            <w:r w:rsidRPr="00FB1D4A">
              <w:rPr>
                <w:b/>
                <w:lang w:val="en-GB" w:eastAsia="en-GB"/>
              </w:rPr>
              <w:t>(1</w:t>
            </w:r>
            <w:r>
              <w:rPr>
                <w:b/>
                <w:lang w:val="en-GB" w:eastAsia="en-GB"/>
              </w:rPr>
              <w:t>1</w:t>
            </w:r>
            <w:r w:rsidRPr="00FB1D4A">
              <w:rPr>
                <w:b/>
                <w:lang w:val="en-GB" w:eastAsia="en-GB"/>
              </w:rPr>
              <w:t>, 79)</w:t>
            </w:r>
          </w:p>
        </w:tc>
      </w:tr>
      <w:tr w:rsidR="0070668B" w:rsidRPr="00B5504C" w:rsidTr="00215628">
        <w:trPr>
          <w:trHeight w:val="20"/>
        </w:trPr>
        <w:tc>
          <w:tcPr>
            <w:tcW w:w="770" w:type="pct"/>
            <w:shd w:val="clear" w:color="auto" w:fill="auto"/>
            <w:vAlign w:val="center"/>
            <w:hideMark/>
          </w:tcPr>
          <w:p w:rsidR="0070668B" w:rsidRPr="00B5504C" w:rsidRDefault="0070668B" w:rsidP="00B16E64">
            <w:pPr>
              <w:pStyle w:val="Tabletext"/>
              <w:keepNext/>
              <w:keepLines/>
              <w:rPr>
                <w:lang w:val="en-GB" w:eastAsia="en-GB"/>
              </w:rPr>
            </w:pPr>
            <w:r>
              <w:rPr>
                <w:lang w:eastAsia="en-GB"/>
              </w:rPr>
              <w:t>Pooled analysis</w:t>
            </w:r>
          </w:p>
        </w:tc>
        <w:tc>
          <w:tcPr>
            <w:tcW w:w="677" w:type="pct"/>
            <w:shd w:val="clear" w:color="auto" w:fill="auto"/>
            <w:vAlign w:val="center"/>
            <w:hideMark/>
          </w:tcPr>
          <w:p w:rsidR="0070668B" w:rsidRPr="00B5504C" w:rsidRDefault="0070668B" w:rsidP="00B16E64">
            <w:pPr>
              <w:pStyle w:val="Tabletext"/>
              <w:keepNext/>
              <w:keepLines/>
              <w:jc w:val="center"/>
              <w:rPr>
                <w:lang w:val="en-GB" w:eastAsia="en-GB"/>
              </w:rPr>
            </w:pPr>
            <w:r w:rsidRPr="00144C1A">
              <w:rPr>
                <w:lang w:val="en-GB" w:eastAsia="en-GB"/>
              </w:rPr>
              <w:t>90 (9)</w:t>
            </w:r>
          </w:p>
        </w:tc>
        <w:tc>
          <w:tcPr>
            <w:tcW w:w="677" w:type="pct"/>
            <w:shd w:val="clear" w:color="auto" w:fill="auto"/>
            <w:vAlign w:val="center"/>
            <w:hideMark/>
          </w:tcPr>
          <w:p w:rsidR="0070668B" w:rsidRPr="00B5504C" w:rsidRDefault="0070668B" w:rsidP="00B16E64">
            <w:pPr>
              <w:pStyle w:val="Tabletext"/>
              <w:keepNext/>
              <w:keepLines/>
              <w:jc w:val="center"/>
              <w:rPr>
                <w:lang w:val="en-GB" w:eastAsia="en-GB"/>
              </w:rPr>
            </w:pPr>
            <w:r w:rsidRPr="00144C1A">
              <w:rPr>
                <w:lang w:val="en-GB" w:eastAsia="en-GB"/>
              </w:rPr>
              <w:t>61 (9)</w:t>
            </w:r>
          </w:p>
        </w:tc>
        <w:tc>
          <w:tcPr>
            <w:tcW w:w="761" w:type="pct"/>
            <w:tcBorders>
              <w:right w:val="double" w:sz="4" w:space="0" w:color="auto"/>
            </w:tcBorders>
            <w:shd w:val="clear" w:color="auto" w:fill="auto"/>
            <w:vAlign w:val="center"/>
            <w:hideMark/>
          </w:tcPr>
          <w:p w:rsidR="0070668B" w:rsidRPr="00B5504C" w:rsidRDefault="0070668B" w:rsidP="00B16E64">
            <w:pPr>
              <w:pStyle w:val="Tabletext"/>
              <w:keepNext/>
              <w:keepLines/>
              <w:jc w:val="center"/>
              <w:rPr>
                <w:lang w:val="en-GB" w:eastAsia="en-GB"/>
              </w:rPr>
            </w:pPr>
            <w:r w:rsidRPr="00144C1A">
              <w:rPr>
                <w:lang w:val="en-GB" w:eastAsia="en-GB"/>
              </w:rPr>
              <w:t xml:space="preserve">21 </w:t>
            </w:r>
            <w:r>
              <w:rPr>
                <w:lang w:val="en-GB" w:eastAsia="en-GB"/>
              </w:rPr>
              <w:t>(</w:t>
            </w:r>
            <w:r w:rsidRPr="00144C1A">
              <w:rPr>
                <w:lang w:val="en-GB" w:eastAsia="en-GB"/>
              </w:rPr>
              <w:t>9)</w:t>
            </w:r>
          </w:p>
        </w:tc>
        <w:tc>
          <w:tcPr>
            <w:tcW w:w="1057" w:type="pct"/>
            <w:tcBorders>
              <w:left w:val="double" w:sz="4" w:space="0" w:color="auto"/>
            </w:tcBorders>
            <w:shd w:val="clear" w:color="auto" w:fill="auto"/>
            <w:vAlign w:val="center"/>
            <w:hideMark/>
          </w:tcPr>
          <w:p w:rsidR="0070668B" w:rsidRPr="00B5504C" w:rsidRDefault="0070668B" w:rsidP="00B16E64">
            <w:pPr>
              <w:pStyle w:val="Tabletext"/>
              <w:keepNext/>
              <w:keepLines/>
              <w:jc w:val="center"/>
              <w:rPr>
                <w:b/>
                <w:bCs/>
                <w:lang w:val="en-GB" w:eastAsia="en-GB"/>
              </w:rPr>
            </w:pPr>
            <w:r w:rsidRPr="00A821CC">
              <w:rPr>
                <w:b/>
                <w:lang w:val="en-GB" w:eastAsia="en-GB"/>
              </w:rPr>
              <w:t>28 (4, 52)</w:t>
            </w:r>
          </w:p>
        </w:tc>
        <w:tc>
          <w:tcPr>
            <w:tcW w:w="1057" w:type="pct"/>
            <w:shd w:val="clear" w:color="auto" w:fill="auto"/>
            <w:noWrap/>
            <w:vAlign w:val="center"/>
            <w:hideMark/>
          </w:tcPr>
          <w:p w:rsidR="0070668B" w:rsidRPr="00B5504C" w:rsidRDefault="0070668B" w:rsidP="00B16E64">
            <w:pPr>
              <w:pStyle w:val="Tabletext"/>
              <w:keepNext/>
              <w:keepLines/>
              <w:jc w:val="center"/>
              <w:rPr>
                <w:b/>
                <w:bCs/>
                <w:szCs w:val="22"/>
                <w:lang w:val="en-GB" w:eastAsia="en-GB"/>
              </w:rPr>
            </w:pPr>
            <w:r w:rsidRPr="00A821CC">
              <w:rPr>
                <w:b/>
                <w:lang w:val="en-GB" w:eastAsia="en-GB"/>
              </w:rPr>
              <w:t>68 (44, 92)</w:t>
            </w:r>
          </w:p>
        </w:tc>
      </w:tr>
    </w:tbl>
    <w:p w:rsidR="0070668B" w:rsidRDefault="0070668B" w:rsidP="00934418">
      <w:pPr>
        <w:pStyle w:val="TableFooter"/>
        <w:keepNext/>
        <w:keepLines/>
        <w:ind w:left="720"/>
      </w:pPr>
      <w:r>
        <w:t xml:space="preserve">Source: </w:t>
      </w:r>
      <w:r w:rsidR="007559A1">
        <w:t>Table B-18, p50; Table B-21, p53; Table B-34, pp60-61; Table B-40, p65; Table B-46, p70 of the submission</w:t>
      </w:r>
    </w:p>
    <w:p w:rsidR="0070668B" w:rsidRDefault="00B50428" w:rsidP="00934418">
      <w:pPr>
        <w:pStyle w:val="TableFooter"/>
        <w:keepNext/>
        <w:keepLines/>
        <w:ind w:left="720"/>
      </w:pPr>
      <w:r w:rsidRPr="000C4044">
        <w:rPr>
          <w:b/>
        </w:rPr>
        <w:t>Bold</w:t>
      </w:r>
      <w:r w:rsidRPr="000C4044">
        <w:t xml:space="preserve"> = stati</w:t>
      </w:r>
      <w:r>
        <w:t>sti</w:t>
      </w:r>
      <w:r w:rsidRPr="000C4044">
        <w:t>cally significant;</w:t>
      </w:r>
      <w:r>
        <w:rPr>
          <w:i/>
        </w:rPr>
        <w:t xml:space="preserve"> </w:t>
      </w:r>
      <w:r w:rsidR="0070668B" w:rsidRPr="00117AA4">
        <w:t>Acli =</w:t>
      </w:r>
      <w:r w:rsidR="0070668B">
        <w:t xml:space="preserve"> aclidinium; </w:t>
      </w:r>
      <w:r w:rsidR="00EE489E">
        <w:t xml:space="preserve">Efor </w:t>
      </w:r>
      <w:r w:rsidR="00215628">
        <w:t>=</w:t>
      </w:r>
      <w:r w:rsidR="0070668B">
        <w:t xml:space="preserve"> eformoterol; FDC = </w:t>
      </w:r>
      <w:r w:rsidR="00A4795A">
        <w:t>fixed dose</w:t>
      </w:r>
      <w:r w:rsidR="0070668B">
        <w:t xml:space="preserve"> combination; FEV</w:t>
      </w:r>
      <w:r w:rsidR="0070668B" w:rsidRPr="001021D2">
        <w:rPr>
          <w:vertAlign w:val="subscript"/>
        </w:rPr>
        <w:t>1</w:t>
      </w:r>
      <w:r w:rsidR="0070668B">
        <w:t xml:space="preserve"> = </w:t>
      </w:r>
      <w:r w:rsidR="0070668B" w:rsidRPr="00903F77">
        <w:t>forced expiratory volume in one second</w:t>
      </w:r>
      <w:r w:rsidR="0070668B">
        <w:t>; CI = confidence interval; MD = mean difference; SE = standard error</w:t>
      </w:r>
    </w:p>
    <w:p w:rsidR="0070668B" w:rsidRDefault="0070668B" w:rsidP="00B60939">
      <w:pPr>
        <w:rPr>
          <w:szCs w:val="22"/>
        </w:rPr>
      </w:pPr>
    </w:p>
    <w:p w:rsidR="000663B9" w:rsidRPr="000663B9" w:rsidRDefault="0070668B" w:rsidP="00934418">
      <w:pPr>
        <w:pStyle w:val="ListParagraph"/>
        <w:widowControl/>
        <w:numPr>
          <w:ilvl w:val="1"/>
          <w:numId w:val="4"/>
        </w:numPr>
        <w:rPr>
          <w:szCs w:val="22"/>
        </w:rPr>
      </w:pPr>
      <w:r w:rsidRPr="00A24AC1">
        <w:t>Aclidinium/eformoterol FDC resulted in statistically significant lower trough FEV</w:t>
      </w:r>
      <w:r w:rsidRPr="00A24AC1">
        <w:rPr>
          <w:vertAlign w:val="subscript"/>
        </w:rPr>
        <w:t>1</w:t>
      </w:r>
      <w:r w:rsidRPr="00A24AC1">
        <w:t xml:space="preserve"> </w:t>
      </w:r>
      <w:r w:rsidR="00B16E64" w:rsidRPr="00A24AC1">
        <w:t xml:space="preserve">at 24 weeks </w:t>
      </w:r>
      <w:r w:rsidRPr="00A24AC1">
        <w:t>compared to glycopyrronium/indacaterol FDC</w:t>
      </w:r>
      <w:r w:rsidR="00B16E64" w:rsidRPr="00A24AC1">
        <w:t xml:space="preserve"> (comparator 1)</w:t>
      </w:r>
      <w:r w:rsidRPr="00A24AC1">
        <w:t>, although this difference was not clinically relevant</w:t>
      </w:r>
      <w:r w:rsidR="00C35B2D" w:rsidRPr="00A24AC1">
        <w:t xml:space="preserve"> given </w:t>
      </w:r>
      <w:r w:rsidR="003C0BE1" w:rsidRPr="00A24AC1">
        <w:t xml:space="preserve">the </w:t>
      </w:r>
      <w:r w:rsidR="00C35B2D" w:rsidRPr="00A24AC1">
        <w:t>minimal clinically important difference of 100 to 140 mL</w:t>
      </w:r>
      <w:r w:rsidRPr="00A24AC1">
        <w:t xml:space="preserve">. </w:t>
      </w:r>
      <w:r w:rsidR="00B16E64" w:rsidRPr="00A24AC1">
        <w:t xml:space="preserve">No statistically significant difference was observed for the comparison with umeclidinium/vilanterol FDC (comparator 2). </w:t>
      </w:r>
    </w:p>
    <w:p w:rsidR="000663B9" w:rsidRPr="00E0164F" w:rsidRDefault="000663B9" w:rsidP="000663B9">
      <w:pPr>
        <w:pStyle w:val="ListParagraph"/>
        <w:widowControl/>
        <w:rPr>
          <w:szCs w:val="22"/>
        </w:rPr>
      </w:pPr>
    </w:p>
    <w:p w:rsidR="00A22F01" w:rsidRPr="00E0164F" w:rsidRDefault="00B16E64" w:rsidP="000663B9">
      <w:pPr>
        <w:pStyle w:val="ListParagraph"/>
        <w:widowControl/>
        <w:numPr>
          <w:ilvl w:val="1"/>
          <w:numId w:val="4"/>
        </w:numPr>
        <w:rPr>
          <w:szCs w:val="22"/>
        </w:rPr>
      </w:pPr>
      <w:r w:rsidRPr="00E0164F">
        <w:t>Aclidinium/eformoterol FDC was statistically significantly superior to its mono-components (comparator 3a and 3b)</w:t>
      </w:r>
      <w:r w:rsidR="00A4795A" w:rsidRPr="00E0164F">
        <w:t>;</w:t>
      </w:r>
      <w:r w:rsidRPr="00E0164F">
        <w:t xml:space="preserve"> however</w:t>
      </w:r>
      <w:r w:rsidR="00A4795A" w:rsidRPr="00E0164F">
        <w:t>,</w:t>
      </w:r>
      <w:r w:rsidRPr="00E0164F">
        <w:t xml:space="preserve"> this difference was not</w:t>
      </w:r>
      <w:r w:rsidR="00380110">
        <w:t xml:space="preserve"> </w:t>
      </w:r>
      <w:r w:rsidRPr="00E0164F">
        <w:t xml:space="preserve">clinically relevant. </w:t>
      </w:r>
      <w:r w:rsidR="00A22F01" w:rsidRPr="00E0164F">
        <w:t xml:space="preserve">While this is similar to other FDCs, the difference between aclidinium and aclidinium/eformoterol </w:t>
      </w:r>
      <w:r w:rsidR="00214383" w:rsidRPr="00E0164F">
        <w:t>(</w:t>
      </w:r>
      <w:r w:rsidR="00A22F01" w:rsidRPr="00E0164F">
        <w:rPr>
          <w:lang w:val="en-GB" w:eastAsia="en-GB"/>
        </w:rPr>
        <w:t>28 (4, 52) mL</w:t>
      </w:r>
      <w:r w:rsidR="00214383" w:rsidRPr="00E0164F">
        <w:rPr>
          <w:lang w:val="en-GB" w:eastAsia="en-GB"/>
        </w:rPr>
        <w:t>)</w:t>
      </w:r>
      <w:r w:rsidR="00A22F01" w:rsidRPr="00E0164F">
        <w:rPr>
          <w:b/>
          <w:lang w:val="en-GB" w:eastAsia="en-GB"/>
        </w:rPr>
        <w:t xml:space="preserve"> </w:t>
      </w:r>
      <w:r w:rsidR="00A22F01" w:rsidRPr="00E0164F">
        <w:t>is less than that for other FDCs, where addition of the LABA resulted in a 70mL (glycop</w:t>
      </w:r>
      <w:r w:rsidR="00214383" w:rsidRPr="00E0164F">
        <w:t>y</w:t>
      </w:r>
      <w:r w:rsidR="00A22F01" w:rsidRPr="00E0164F">
        <w:t>rronium/indacaterol) or 95mL (umeclidinium/vilanterol) increase.</w:t>
      </w:r>
    </w:p>
    <w:p w:rsidR="00A22F01" w:rsidRPr="00E0164F" w:rsidRDefault="00A22F01" w:rsidP="00A22F01">
      <w:pPr>
        <w:pStyle w:val="ListParagraph"/>
      </w:pPr>
    </w:p>
    <w:p w:rsidR="00F63A38" w:rsidRPr="00E0164F" w:rsidRDefault="000663B9" w:rsidP="000663B9">
      <w:pPr>
        <w:pStyle w:val="ListParagraph"/>
        <w:widowControl/>
        <w:numPr>
          <w:ilvl w:val="1"/>
          <w:numId w:val="4"/>
        </w:numPr>
        <w:rPr>
          <w:szCs w:val="22"/>
        </w:rPr>
      </w:pPr>
      <w:r w:rsidRPr="00E0164F">
        <w:t>The ESC noted that application of minimal clinically important difference to combination therapies has recently been discussed (Jones PW et al., 2014 (</w:t>
      </w:r>
      <w:r w:rsidRPr="00E0164F">
        <w:rPr>
          <w:lang w:val="en-US"/>
        </w:rPr>
        <w:t xml:space="preserve">American Journal of </w:t>
      </w:r>
      <w:r w:rsidRPr="00E0164F">
        <w:t xml:space="preserve">Respiratory and Critical Care </w:t>
      </w:r>
      <w:r w:rsidR="00D94E8C" w:rsidRPr="00E0164F">
        <w:t>Medicine Vol 189, Iss 3, pp 250</w:t>
      </w:r>
      <w:r w:rsidR="00D94E8C" w:rsidRPr="00E0164F">
        <w:noBreakHyphen/>
      </w:r>
      <w:r w:rsidRPr="00E0164F">
        <w:t>255</w:t>
      </w:r>
      <w:r w:rsidR="008E3AD1" w:rsidRPr="00E0164F">
        <w:t>)</w:t>
      </w:r>
      <w:r w:rsidRPr="00E0164F">
        <w:t>), with consideration of the role of responder</w:t>
      </w:r>
      <w:r w:rsidR="00B66FDF" w:rsidRPr="00E0164F">
        <w:t xml:space="preserve"> rates</w:t>
      </w:r>
      <w:r w:rsidR="005E3069" w:rsidRPr="00E0164F">
        <w:t xml:space="preserve"> and responder analysis as an appropriate method in assessing </w:t>
      </w:r>
      <w:r w:rsidR="00E41385" w:rsidRPr="00E0164F">
        <w:t>clinical incremental advantage</w:t>
      </w:r>
      <w:r w:rsidRPr="00E0164F">
        <w:t xml:space="preserve"> in this setting.</w:t>
      </w:r>
    </w:p>
    <w:p w:rsidR="0070668B" w:rsidRPr="00A24AC1" w:rsidRDefault="0070668B" w:rsidP="003F1301">
      <w:pPr>
        <w:pStyle w:val="ListParagraph"/>
        <w:widowControl/>
      </w:pPr>
    </w:p>
    <w:p w:rsidR="00F63A38" w:rsidRPr="00F63A38" w:rsidRDefault="00B16E64" w:rsidP="00F63A38">
      <w:pPr>
        <w:pStyle w:val="ListParagraph"/>
        <w:widowControl/>
        <w:numPr>
          <w:ilvl w:val="1"/>
          <w:numId w:val="4"/>
        </w:numPr>
      </w:pPr>
      <w:r>
        <w:t xml:space="preserve">Results for COPD exacerbations did not result in statistically significant differences between aclidinium/eformoterol FDC and any of </w:t>
      </w:r>
      <w:r w:rsidR="00581FF9">
        <w:t xml:space="preserve">the </w:t>
      </w:r>
      <w:r>
        <w:t xml:space="preserve">comparators. </w:t>
      </w:r>
    </w:p>
    <w:p w:rsidR="009B32F9" w:rsidRPr="00882085" w:rsidRDefault="009B32F9" w:rsidP="00B60939">
      <w:pPr>
        <w:rPr>
          <w:szCs w:val="22"/>
        </w:rPr>
      </w:pPr>
    </w:p>
    <w:p w:rsidR="00B60939" w:rsidRPr="002C2775" w:rsidRDefault="00B60939" w:rsidP="002C2775">
      <w:pPr>
        <w:pStyle w:val="Heading2"/>
        <w:rPr>
          <w:i/>
        </w:rPr>
      </w:pPr>
      <w:bookmarkStart w:id="11" w:name="_Toc419455596"/>
      <w:r w:rsidRPr="002C2775">
        <w:rPr>
          <w:i/>
        </w:rPr>
        <w:t>Comparative harms</w:t>
      </w:r>
      <w:bookmarkEnd w:id="11"/>
    </w:p>
    <w:p w:rsidR="00B60939" w:rsidRPr="00882085" w:rsidRDefault="00B60939" w:rsidP="00B60939">
      <w:pPr>
        <w:ind w:left="720" w:hanging="720"/>
        <w:rPr>
          <w:szCs w:val="22"/>
        </w:rPr>
      </w:pPr>
    </w:p>
    <w:p w:rsidR="00B60939" w:rsidRPr="004757EB" w:rsidRDefault="004757EB" w:rsidP="00EB0FDB">
      <w:pPr>
        <w:pStyle w:val="ListParagraph"/>
        <w:widowControl/>
        <w:numPr>
          <w:ilvl w:val="1"/>
          <w:numId w:val="4"/>
        </w:numPr>
        <w:rPr>
          <w:szCs w:val="22"/>
        </w:rPr>
      </w:pPr>
      <w:r w:rsidRPr="004757EB">
        <w:t>The submission presented</w:t>
      </w:r>
      <w:r>
        <w:t xml:space="preserve"> </w:t>
      </w:r>
      <w:r w:rsidR="00F01B9F">
        <w:t>evidence of adverse events at 24 weeks and serious adverse events at 24 weeks of aclidinium/eformoterol FDC v</w:t>
      </w:r>
      <w:r w:rsidR="00B16E64">
        <w:t>ersu</w:t>
      </w:r>
      <w:r w:rsidR="00F01B9F">
        <w:t xml:space="preserve">s </w:t>
      </w:r>
      <w:r w:rsidR="00B16E64">
        <w:t xml:space="preserve">the </w:t>
      </w:r>
      <w:r w:rsidR="00F01B9F">
        <w:t>main comparators</w:t>
      </w:r>
      <w:r w:rsidR="00B16E64">
        <w:t xml:space="preserve"> (Table 5)</w:t>
      </w:r>
      <w:r w:rsidR="00F01B9F">
        <w:t xml:space="preserve">. </w:t>
      </w:r>
      <w:r w:rsidR="00901851">
        <w:t xml:space="preserve">The submission also </w:t>
      </w:r>
      <w:r w:rsidR="001A6129">
        <w:t>considered</w:t>
      </w:r>
      <w:r w:rsidR="00901851">
        <w:t xml:space="preserve"> an extended assessment of comparative harms. </w:t>
      </w:r>
      <w:r w:rsidR="007A4A24">
        <w:t>T</w:t>
      </w:r>
      <w:r w:rsidR="00A14D1B">
        <w:t xml:space="preserve">he extended </w:t>
      </w:r>
      <w:r w:rsidR="007A4A24">
        <w:t xml:space="preserve">information </w:t>
      </w:r>
      <w:r w:rsidR="00857892">
        <w:t xml:space="preserve">supported </w:t>
      </w:r>
      <w:r w:rsidR="007A4A24">
        <w:t xml:space="preserve">the </w:t>
      </w:r>
      <w:r w:rsidR="000A6040">
        <w:t xml:space="preserve">results </w:t>
      </w:r>
      <w:r w:rsidR="009B310F">
        <w:t xml:space="preserve">of the harms </w:t>
      </w:r>
      <w:r w:rsidR="007A4A24">
        <w:t>analysis.</w:t>
      </w:r>
    </w:p>
    <w:p w:rsidR="00B60939" w:rsidRDefault="00B60939" w:rsidP="007F1017">
      <w:pPr>
        <w:pStyle w:val="ListParagraph"/>
        <w:ind w:left="0"/>
        <w:rPr>
          <w:szCs w:val="22"/>
        </w:rPr>
      </w:pPr>
    </w:p>
    <w:p w:rsidR="00741374" w:rsidRDefault="00741374" w:rsidP="003F1301">
      <w:pPr>
        <w:keepNext/>
        <w:widowControl/>
        <w:ind w:firstLine="720"/>
        <w:rPr>
          <w:rStyle w:val="CommentReference"/>
        </w:rPr>
      </w:pPr>
      <w:r w:rsidRPr="001F7361">
        <w:rPr>
          <w:rStyle w:val="CommentReference"/>
        </w:rPr>
        <w:t xml:space="preserve">Table </w:t>
      </w:r>
      <w:r w:rsidR="00B16E64">
        <w:rPr>
          <w:rStyle w:val="CommentReference"/>
        </w:rPr>
        <w:t>5</w:t>
      </w:r>
      <w:r>
        <w:rPr>
          <w:rStyle w:val="CommentReference"/>
        </w:rPr>
        <w:t>: Safety results of network meta-analysis</w:t>
      </w:r>
    </w:p>
    <w:tbl>
      <w:tblPr>
        <w:tblW w:w="0" w:type="auto"/>
        <w:tblInd w:w="737" w:type="dxa"/>
        <w:tblLayout w:type="fixed"/>
        <w:tblCellMar>
          <w:left w:w="28" w:type="dxa"/>
          <w:right w:w="28" w:type="dxa"/>
        </w:tblCellMar>
        <w:tblLook w:val="04A0" w:firstRow="1" w:lastRow="0" w:firstColumn="1" w:lastColumn="0" w:noHBand="0" w:noVBand="1"/>
      </w:tblPr>
      <w:tblGrid>
        <w:gridCol w:w="995"/>
        <w:gridCol w:w="1239"/>
        <w:gridCol w:w="1168"/>
        <w:gridCol w:w="1134"/>
        <w:gridCol w:w="709"/>
        <w:gridCol w:w="992"/>
        <w:gridCol w:w="992"/>
        <w:gridCol w:w="1116"/>
      </w:tblGrid>
      <w:tr w:rsidR="00B16E64" w:rsidRPr="00581523" w:rsidTr="0017388D">
        <w:trPr>
          <w:trHeight w:val="20"/>
          <w:tblHead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E64" w:rsidRPr="00581523" w:rsidRDefault="00B16E64" w:rsidP="00B16E64">
            <w:pPr>
              <w:keepNext/>
              <w:widowControl/>
              <w:jc w:val="left"/>
              <w:rPr>
                <w:rFonts w:ascii="Arial Narrow" w:hAnsi="Arial Narrow" w:cs="Times New Roman"/>
                <w:snapToGrid/>
                <w:color w:val="000000"/>
                <w:sz w:val="20"/>
                <w:lang w:val="en-GB" w:eastAsia="en-GB"/>
              </w:rPr>
            </w:pPr>
            <w:r w:rsidRPr="00FC0EE8">
              <w:rPr>
                <w:rFonts w:ascii="Arial Narrow" w:hAnsi="Arial Narrow" w:cs="Times New Roman"/>
                <w:snapToGrid/>
                <w:color w:val="000000"/>
                <w:sz w:val="20"/>
                <w:lang w:val="en-GB" w:eastAsia="en-GB"/>
              </w:rPr>
              <w:t>Trial ID</w:t>
            </w:r>
          </w:p>
        </w:tc>
        <w:tc>
          <w:tcPr>
            <w:tcW w:w="1239" w:type="dxa"/>
            <w:vMerge w:val="restart"/>
            <w:tcBorders>
              <w:top w:val="single" w:sz="4" w:space="0" w:color="auto"/>
              <w:left w:val="nil"/>
              <w:right w:val="single" w:sz="4" w:space="0" w:color="auto"/>
            </w:tcBorders>
            <w:shd w:val="clear" w:color="auto" w:fill="auto"/>
            <w:vAlign w:val="center"/>
            <w:hideMark/>
          </w:tcPr>
          <w:p w:rsidR="00B16E64" w:rsidRPr="00581523" w:rsidRDefault="00B16E64" w:rsidP="00B94B3D">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OR</w:t>
            </w:r>
            <w:r w:rsidRPr="00581523">
              <w:rPr>
                <w:rFonts w:ascii="Arial Narrow" w:hAnsi="Arial Narrow" w:cs="Times New Roman"/>
                <w:b/>
                <w:bCs/>
                <w:snapToGrid/>
                <w:color w:val="000000"/>
                <w:sz w:val="20"/>
                <w:lang w:eastAsia="en-GB"/>
              </w:rPr>
              <w:t xml:space="preserve"> </w:t>
            </w:r>
            <w:r>
              <w:rPr>
                <w:rFonts w:ascii="Arial Narrow" w:hAnsi="Arial Narrow" w:cs="Times New Roman"/>
                <w:b/>
                <w:bCs/>
                <w:snapToGrid/>
                <w:color w:val="000000"/>
                <w:sz w:val="20"/>
                <w:lang w:eastAsia="en-GB"/>
              </w:rPr>
              <w:br/>
            </w:r>
            <w:r w:rsidRPr="00581523">
              <w:rPr>
                <w:rFonts w:ascii="Arial Narrow" w:hAnsi="Arial Narrow" w:cs="Times New Roman"/>
                <w:b/>
                <w:bCs/>
                <w:snapToGrid/>
                <w:color w:val="000000"/>
                <w:sz w:val="20"/>
                <w:lang w:eastAsia="en-GB"/>
              </w:rPr>
              <w:t>(95% C</w:t>
            </w:r>
            <w:r w:rsidR="0017388D">
              <w:rPr>
                <w:rFonts w:ascii="Arial Narrow" w:hAnsi="Arial Narrow" w:cs="Times New Roman"/>
                <w:b/>
                <w:bCs/>
                <w:snapToGrid/>
                <w:color w:val="000000"/>
                <w:sz w:val="20"/>
                <w:lang w:eastAsia="en-GB"/>
              </w:rPr>
              <w:t>r</w:t>
            </w:r>
            <w:r w:rsidRPr="00581523">
              <w:rPr>
                <w:rFonts w:ascii="Arial Narrow" w:hAnsi="Arial Narrow" w:cs="Times New Roman"/>
                <w:b/>
                <w:bCs/>
                <w:snapToGrid/>
                <w:color w:val="000000"/>
                <w:sz w:val="20"/>
                <w:lang w:eastAsia="en-GB"/>
              </w:rPr>
              <w:t>I)</w:t>
            </w:r>
            <w:r w:rsidRPr="00581523">
              <w:rPr>
                <w:rFonts w:ascii="Arial Narrow" w:hAnsi="Arial Narrow" w:cs="Times New Roman"/>
                <w:b/>
                <w:bCs/>
                <w:snapToGrid/>
                <w:color w:val="000000"/>
                <w:sz w:val="20"/>
                <w:lang w:val="en-GB" w:eastAsia="en-GB"/>
              </w:rPr>
              <w:t>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B16E64" w:rsidRPr="00581523" w:rsidRDefault="00EE489E" w:rsidP="00B94B3D">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Acli/Efor</w:t>
            </w:r>
          </w:p>
        </w:tc>
        <w:tc>
          <w:tcPr>
            <w:tcW w:w="1134" w:type="dxa"/>
            <w:tcBorders>
              <w:top w:val="single" w:sz="4" w:space="0" w:color="auto"/>
              <w:left w:val="nil"/>
              <w:bottom w:val="single" w:sz="4" w:space="0" w:color="auto"/>
              <w:right w:val="double" w:sz="6" w:space="0" w:color="auto"/>
            </w:tcBorders>
            <w:shd w:val="clear" w:color="auto" w:fill="auto"/>
            <w:vAlign w:val="center"/>
            <w:hideMark/>
          </w:tcPr>
          <w:p w:rsidR="00B16E64" w:rsidRPr="00581523" w:rsidRDefault="00B16E64" w:rsidP="00B94B3D">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PBO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PBO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Comp</w:t>
            </w:r>
            <w:r w:rsidR="005B64F1">
              <w:rPr>
                <w:rFonts w:ascii="Arial Narrow" w:hAnsi="Arial Narrow" w:cs="Times New Roman"/>
                <w:b/>
                <w:bCs/>
                <w:snapToGrid/>
                <w:color w:val="000000"/>
                <w:sz w:val="20"/>
                <w:lang w:eastAsia="en-GB"/>
              </w:rPr>
              <w:t>arator</w:t>
            </w:r>
          </w:p>
        </w:tc>
        <w:tc>
          <w:tcPr>
            <w:tcW w:w="992" w:type="dxa"/>
            <w:vMerge w:val="restart"/>
            <w:tcBorders>
              <w:top w:val="single" w:sz="4" w:space="0" w:color="auto"/>
              <w:left w:val="nil"/>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OR</w:t>
            </w:r>
            <w:r w:rsidRPr="00581523">
              <w:rPr>
                <w:rFonts w:ascii="Arial Narrow" w:hAnsi="Arial Narrow" w:cs="Times New Roman"/>
                <w:b/>
                <w:bCs/>
                <w:snapToGrid/>
                <w:color w:val="000000"/>
                <w:sz w:val="20"/>
                <w:lang w:eastAsia="en-GB"/>
              </w:rPr>
              <w:t xml:space="preserve"> </w:t>
            </w:r>
            <w:r>
              <w:rPr>
                <w:rFonts w:ascii="Arial Narrow" w:hAnsi="Arial Narrow" w:cs="Times New Roman"/>
                <w:b/>
                <w:bCs/>
                <w:snapToGrid/>
                <w:color w:val="000000"/>
                <w:sz w:val="20"/>
                <w:lang w:eastAsia="en-GB"/>
              </w:rPr>
              <w:br/>
            </w:r>
            <w:r w:rsidRPr="00581523">
              <w:rPr>
                <w:rFonts w:ascii="Arial Narrow" w:hAnsi="Arial Narrow" w:cs="Times New Roman"/>
                <w:b/>
                <w:bCs/>
                <w:snapToGrid/>
                <w:color w:val="000000"/>
                <w:sz w:val="20"/>
                <w:lang w:eastAsia="en-GB"/>
              </w:rPr>
              <w:t>(95% C</w:t>
            </w:r>
            <w:r w:rsidR="0017388D">
              <w:rPr>
                <w:rFonts w:ascii="Arial Narrow" w:hAnsi="Arial Narrow" w:cs="Times New Roman"/>
                <w:b/>
                <w:bCs/>
                <w:snapToGrid/>
                <w:color w:val="000000"/>
                <w:sz w:val="20"/>
                <w:lang w:eastAsia="en-GB"/>
              </w:rPr>
              <w:t>r</w:t>
            </w:r>
            <w:r w:rsidRPr="00581523">
              <w:rPr>
                <w:rFonts w:ascii="Arial Narrow" w:hAnsi="Arial Narrow" w:cs="Times New Roman"/>
                <w:b/>
                <w:bCs/>
                <w:snapToGrid/>
                <w:color w:val="000000"/>
                <w:sz w:val="20"/>
                <w:lang w:eastAsia="en-GB"/>
              </w:rPr>
              <w:t>I)</w:t>
            </w:r>
            <w:r w:rsidRPr="00581523">
              <w:rPr>
                <w:rFonts w:ascii="Arial Narrow" w:hAnsi="Arial Narrow" w:cs="Times New Roman"/>
                <w:b/>
                <w:bCs/>
                <w:snapToGrid/>
                <w:color w:val="000000"/>
                <w:sz w:val="20"/>
                <w:lang w:val="en-GB" w:eastAsia="en-GB"/>
              </w:rPr>
              <w:t>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val="en-GB" w:eastAsia="en-GB"/>
              </w:rPr>
              <w:t>Indirect</w:t>
            </w:r>
          </w:p>
        </w:tc>
      </w:tr>
      <w:tr w:rsidR="00B16E64" w:rsidRPr="00581523" w:rsidTr="0017388D">
        <w:trPr>
          <w:trHeight w:val="20"/>
          <w:tblHeader/>
        </w:trPr>
        <w:tc>
          <w:tcPr>
            <w:tcW w:w="995" w:type="dxa"/>
            <w:vMerge/>
            <w:tcBorders>
              <w:top w:val="nil"/>
              <w:left w:val="single" w:sz="4" w:space="0" w:color="auto"/>
              <w:bottom w:val="single" w:sz="4" w:space="0" w:color="auto"/>
              <w:right w:val="single" w:sz="4" w:space="0" w:color="auto"/>
            </w:tcBorders>
            <w:vAlign w:val="center"/>
            <w:hideMark/>
          </w:tcPr>
          <w:p w:rsidR="00B16E64" w:rsidRPr="00581523" w:rsidRDefault="00B16E64">
            <w:pPr>
              <w:keepNext/>
              <w:keepLines/>
              <w:widowControl/>
              <w:jc w:val="left"/>
              <w:rPr>
                <w:rFonts w:ascii="Arial Narrow" w:hAnsi="Arial Narrow" w:cs="Times New Roman"/>
                <w:snapToGrid/>
                <w:color w:val="000000"/>
                <w:sz w:val="20"/>
                <w:lang w:val="en-GB" w:eastAsia="en-GB"/>
              </w:rPr>
            </w:pPr>
          </w:p>
        </w:tc>
        <w:tc>
          <w:tcPr>
            <w:tcW w:w="1239" w:type="dxa"/>
            <w:vMerge/>
            <w:tcBorders>
              <w:left w:val="nil"/>
              <w:bottom w:val="single" w:sz="4" w:space="0" w:color="auto"/>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val="en-GB" w:eastAsia="en-GB"/>
              </w:rPr>
              <w:t>n/N (%)</w:t>
            </w:r>
          </w:p>
        </w:tc>
        <w:tc>
          <w:tcPr>
            <w:tcW w:w="1134" w:type="dxa"/>
            <w:tcBorders>
              <w:top w:val="nil"/>
              <w:left w:val="nil"/>
              <w:bottom w:val="single" w:sz="4" w:space="0" w:color="auto"/>
              <w:right w:val="double" w:sz="6" w:space="0" w:color="auto"/>
            </w:tcBorders>
            <w:shd w:val="clear" w:color="auto" w:fill="auto"/>
            <w:vAlign w:val="center"/>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val="en-GB" w:eastAsia="en-GB"/>
              </w:rPr>
              <w:t>n/N (%)</w:t>
            </w:r>
          </w:p>
        </w:tc>
        <w:tc>
          <w:tcPr>
            <w:tcW w:w="709" w:type="dxa"/>
            <w:tcBorders>
              <w:top w:val="nil"/>
              <w:left w:val="nil"/>
              <w:bottom w:val="single" w:sz="4" w:space="0" w:color="auto"/>
              <w:right w:val="single" w:sz="4" w:space="0" w:color="auto"/>
            </w:tcBorders>
            <w:shd w:val="clear" w:color="auto" w:fill="auto"/>
            <w:vAlign w:val="center"/>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val="en-GB" w:eastAsia="en-GB"/>
              </w:rPr>
              <w:t>n/N (%)</w:t>
            </w:r>
          </w:p>
        </w:tc>
        <w:tc>
          <w:tcPr>
            <w:tcW w:w="992" w:type="dxa"/>
            <w:tcBorders>
              <w:top w:val="nil"/>
              <w:left w:val="nil"/>
              <w:bottom w:val="single" w:sz="4" w:space="0" w:color="auto"/>
              <w:right w:val="single" w:sz="4" w:space="0" w:color="auto"/>
            </w:tcBorders>
            <w:shd w:val="clear" w:color="auto" w:fill="auto"/>
            <w:vAlign w:val="center"/>
          </w:tcPr>
          <w:p w:rsidR="00B16E64" w:rsidRPr="00581523" w:rsidRDefault="00B16E64">
            <w:pPr>
              <w:keepNext/>
              <w:keepLines/>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val="en-GB" w:eastAsia="en-GB"/>
              </w:rPr>
              <w:t>n/N (%)</w:t>
            </w:r>
          </w:p>
        </w:tc>
        <w:tc>
          <w:tcPr>
            <w:tcW w:w="992" w:type="dxa"/>
            <w:vMerge/>
            <w:tcBorders>
              <w:left w:val="nil"/>
              <w:bottom w:val="single" w:sz="4" w:space="0" w:color="auto"/>
              <w:right w:val="single" w:sz="4" w:space="0" w:color="auto"/>
            </w:tcBorders>
            <w:shd w:val="clear" w:color="auto" w:fill="auto"/>
            <w:vAlign w:val="center"/>
            <w:hideMark/>
          </w:tcPr>
          <w:p w:rsidR="00B16E64" w:rsidRPr="00581523" w:rsidRDefault="00B16E64">
            <w:pPr>
              <w:keepNext/>
              <w:keepLines/>
              <w:widowControl/>
              <w:jc w:val="center"/>
              <w:rPr>
                <w:rFonts w:ascii="Arial Narrow" w:hAnsi="Arial Narrow" w:cs="Times New Roman"/>
                <w:b/>
                <w:bCs/>
                <w:snapToGrid/>
                <w:color w:val="000000"/>
                <w:sz w:val="20"/>
                <w:lang w:val="en-GB" w:eastAsia="en-GB"/>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B16E64" w:rsidRPr="00581523" w:rsidRDefault="00B16E64">
            <w:pPr>
              <w:keepNext/>
              <w:keepLines/>
              <w:widowControl/>
              <w:jc w:val="center"/>
              <w:rPr>
                <w:rFonts w:ascii="Arial Narrow" w:hAnsi="Arial Narrow" w:cs="Times New Roman"/>
                <w:snapToGrid/>
                <w:color w:val="000000"/>
                <w:sz w:val="20"/>
                <w:lang w:val="en-GB" w:eastAsia="en-GB"/>
              </w:rPr>
            </w:pPr>
            <w:r>
              <w:rPr>
                <w:rFonts w:ascii="Arial Narrow" w:hAnsi="Arial Narrow" w:cs="Times New Roman"/>
                <w:b/>
                <w:bCs/>
                <w:snapToGrid/>
                <w:color w:val="000000"/>
                <w:sz w:val="20"/>
                <w:lang w:eastAsia="en-GB"/>
              </w:rPr>
              <w:t xml:space="preserve">OR </w:t>
            </w:r>
            <w:r w:rsidRPr="00581523">
              <w:rPr>
                <w:rFonts w:ascii="Arial Narrow" w:hAnsi="Arial Narrow" w:cs="Times New Roman"/>
                <w:b/>
                <w:bCs/>
                <w:snapToGrid/>
                <w:color w:val="000000"/>
                <w:sz w:val="20"/>
                <w:lang w:eastAsia="en-GB"/>
              </w:rPr>
              <w:t>(95% C</w:t>
            </w:r>
            <w:r w:rsidR="0017388D">
              <w:rPr>
                <w:rFonts w:ascii="Arial Narrow" w:hAnsi="Arial Narrow" w:cs="Times New Roman"/>
                <w:b/>
                <w:bCs/>
                <w:snapToGrid/>
                <w:color w:val="000000"/>
                <w:sz w:val="20"/>
                <w:lang w:eastAsia="en-GB"/>
              </w:rPr>
              <w:t>r</w:t>
            </w:r>
            <w:r w:rsidRPr="00581523">
              <w:rPr>
                <w:rFonts w:ascii="Arial Narrow" w:hAnsi="Arial Narrow" w:cs="Times New Roman"/>
                <w:b/>
                <w:bCs/>
                <w:snapToGrid/>
                <w:color w:val="000000"/>
                <w:sz w:val="20"/>
                <w:lang w:eastAsia="en-GB"/>
              </w:rPr>
              <w:t>I)</w:t>
            </w:r>
            <w:r w:rsidRPr="00581523">
              <w:rPr>
                <w:rFonts w:ascii="Arial Narrow" w:hAnsi="Arial Narrow" w:cs="Times New Roman"/>
                <w:snapToGrid/>
                <w:color w:val="000000"/>
                <w:sz w:val="20"/>
                <w:lang w:val="en-GB" w:eastAsia="en-GB"/>
              </w:rPr>
              <w:t> </w:t>
            </w:r>
          </w:p>
        </w:tc>
      </w:tr>
      <w:tr w:rsidR="00B16E64" w:rsidRPr="00E17E1A" w:rsidTr="005B64F1">
        <w:trPr>
          <w:trHeight w:val="20"/>
        </w:trPr>
        <w:tc>
          <w:tcPr>
            <w:tcW w:w="8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16E64" w:rsidRPr="00E17E1A" w:rsidRDefault="00B16E64" w:rsidP="00B16E64">
            <w:pPr>
              <w:pStyle w:val="TableText0"/>
              <w:keepLines/>
              <w:spacing w:before="0" w:after="0"/>
              <w:rPr>
                <w:rFonts w:cs="Arial"/>
                <w:b/>
              </w:rPr>
            </w:pPr>
            <w:r>
              <w:rPr>
                <w:rFonts w:cs="Arial"/>
                <w:b/>
              </w:rPr>
              <w:t xml:space="preserve">ADVERSE EVENTS </w:t>
            </w:r>
            <w:r w:rsidRPr="008168B6">
              <w:rPr>
                <w:rFonts w:cs="Arial"/>
                <w:b/>
              </w:rPr>
              <w:t>AT 24 WEEKS</w:t>
            </w:r>
          </w:p>
        </w:tc>
      </w:tr>
      <w:tr w:rsidR="00B16E64" w:rsidRPr="00E17E1A" w:rsidTr="005B64F1">
        <w:trPr>
          <w:trHeight w:val="20"/>
        </w:trPr>
        <w:tc>
          <w:tcPr>
            <w:tcW w:w="8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16E64" w:rsidRPr="00E17E1A" w:rsidRDefault="00B16E64" w:rsidP="00B16E64">
            <w:pPr>
              <w:pStyle w:val="TableText0"/>
              <w:keepLines/>
              <w:spacing w:before="0" w:after="0"/>
              <w:rPr>
                <w:rFonts w:cs="Arial"/>
                <w:b/>
              </w:rPr>
            </w:pPr>
            <w:r w:rsidRPr="00543126">
              <w:rPr>
                <w:rFonts w:cs="Arial"/>
                <w:b/>
              </w:rPr>
              <w:t>Aclidinium/eformoterol FDC trials</w:t>
            </w: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ACLIFORM</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194/385 (50%)</w:t>
            </w: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103/194 (53%)</w:t>
            </w: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AUGMENT</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215/335 (64%)</w:t>
            </w: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181/332 (55%)</w:t>
            </w: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4536" w:type="dxa"/>
            <w:gridSpan w:val="4"/>
            <w:tcBorders>
              <w:top w:val="single" w:sz="4" w:space="0" w:color="auto"/>
              <w:left w:val="single" w:sz="4" w:space="0" w:color="auto"/>
              <w:bottom w:val="single" w:sz="4" w:space="0" w:color="auto"/>
            </w:tcBorders>
            <w:shd w:val="clear" w:color="auto" w:fill="auto"/>
            <w:vAlign w:val="center"/>
          </w:tcPr>
          <w:p w:rsidR="00B16E64" w:rsidRPr="00AA48A6" w:rsidRDefault="00B16E64" w:rsidP="00B16E64">
            <w:pPr>
              <w:keepNext/>
              <w:keepLines/>
              <w:widowControl/>
              <w:jc w:val="left"/>
              <w:rPr>
                <w:rFonts w:ascii="Arial Narrow" w:hAnsi="Arial Narrow" w:cs="Times New Roman"/>
                <w:snapToGrid/>
                <w:sz w:val="20"/>
                <w:lang w:val="en-GB" w:eastAsia="en-GB"/>
              </w:rPr>
            </w:pPr>
            <w:r w:rsidRPr="00FB7835">
              <w:rPr>
                <w:rFonts w:ascii="Arial Narrow" w:hAnsi="Arial Narrow" w:cs="Times New Roman"/>
                <w:b/>
                <w:snapToGrid/>
                <w:sz w:val="20"/>
                <w:lang w:val="en-GB" w:eastAsia="en-GB"/>
              </w:rPr>
              <w:t>Glycopyrronium/indacaterol FDC trials</w:t>
            </w:r>
          </w:p>
        </w:tc>
        <w:tc>
          <w:tcPr>
            <w:tcW w:w="709"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single" w:sz="4" w:space="0" w:color="auto"/>
              <w:bottom w:val="single" w:sz="4" w:space="0" w:color="auto"/>
            </w:tcBorders>
            <w:shd w:val="clear" w:color="auto" w:fill="auto"/>
            <w:vAlign w:val="center"/>
          </w:tcPr>
          <w:p w:rsidR="00B16E64" w:rsidRPr="00AA48A6" w:rsidRDefault="00EE489E" w:rsidP="00B16E64">
            <w:pPr>
              <w:keepNext/>
              <w:keepLines/>
              <w:widowControl/>
              <w:jc w:val="center"/>
              <w:rPr>
                <w:rFonts w:ascii="Arial Narrow" w:hAnsi="Arial Narrow" w:cs="Times New Roman"/>
                <w:snapToGrid/>
                <w:sz w:val="20"/>
                <w:lang w:val="en-GB" w:eastAsia="en-GB"/>
              </w:rPr>
            </w:pPr>
            <w:r>
              <w:rPr>
                <w:rFonts w:ascii="Arial Narrow" w:hAnsi="Arial Narrow" w:cs="Times New Roman"/>
                <w:b/>
                <w:bCs/>
                <w:snapToGrid/>
                <w:sz w:val="20"/>
                <w:lang w:eastAsia="en-GB"/>
              </w:rPr>
              <w:t>Gly/Ind</w:t>
            </w:r>
          </w:p>
        </w:tc>
        <w:tc>
          <w:tcPr>
            <w:tcW w:w="992"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single" w:sz="4" w:space="0" w:color="auto"/>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SHINE</w:t>
            </w:r>
          </w:p>
        </w:tc>
        <w:tc>
          <w:tcPr>
            <w:tcW w:w="123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single" w:sz="4" w:space="0" w:color="auto"/>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134/232 (58%)</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261/474 (55%)</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ENLIGHTEN</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64/113 </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(57%)</w:t>
            </w: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130/225 (58%)</w:t>
            </w: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Network analysis</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1.20 </w:t>
            </w:r>
            <w:r w:rsidRPr="00AA48A6">
              <w:rPr>
                <w:rFonts w:ascii="Arial Narrow" w:hAnsi="Arial Narrow" w:cs="Times New Roman"/>
                <w:snapToGrid/>
                <w:sz w:val="20"/>
                <w:lang w:val="en-GB" w:eastAsia="en-GB"/>
              </w:rPr>
              <w:br/>
              <w:t>(0.95, 1.51)</w:t>
            </w: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0.94 </w:t>
            </w:r>
            <w:r w:rsidRPr="00AA48A6">
              <w:rPr>
                <w:rFonts w:ascii="Arial Narrow" w:hAnsi="Arial Narrow" w:cs="Times New Roman"/>
                <w:snapToGrid/>
                <w:sz w:val="20"/>
                <w:lang w:val="en-GB" w:eastAsia="en-GB"/>
              </w:rPr>
              <w:br/>
              <w:t xml:space="preserve">(0.72, </w:t>
            </w:r>
            <w:r w:rsidRPr="00AA48A6">
              <w:rPr>
                <w:rFonts w:ascii="Arial Narrow" w:hAnsi="Arial Narrow" w:cs="Times New Roman"/>
                <w:i/>
                <w:snapToGrid/>
                <w:sz w:val="20"/>
                <w:lang w:val="en-GB" w:eastAsia="en-GB"/>
              </w:rPr>
              <w:t>1.22</w:t>
            </w:r>
            <w:r w:rsidRPr="00AA48A6">
              <w:rPr>
                <w:rFonts w:ascii="Arial Narrow" w:hAnsi="Arial Narrow" w:cs="Times New Roman"/>
                <w:snapToGrid/>
                <w:sz w:val="20"/>
                <w:lang w:val="en-GB" w:eastAsia="en-GB"/>
              </w:rPr>
              <w:t>)</w:t>
            </w: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1.27 </w:t>
            </w:r>
            <w:r w:rsidRPr="00AA48A6">
              <w:rPr>
                <w:rFonts w:ascii="Arial Narrow" w:hAnsi="Arial Narrow" w:cs="Times New Roman"/>
                <w:snapToGrid/>
                <w:sz w:val="20"/>
                <w:lang w:val="en-GB" w:eastAsia="en-GB"/>
              </w:rPr>
              <w:br/>
              <w:t xml:space="preserve">(0.90, </w:t>
            </w:r>
            <w:r w:rsidRPr="00AA48A6">
              <w:rPr>
                <w:rFonts w:ascii="Arial Narrow" w:hAnsi="Arial Narrow" w:cs="Times New Roman"/>
                <w:i/>
                <w:snapToGrid/>
                <w:sz w:val="20"/>
                <w:lang w:val="en-GB" w:eastAsia="en-GB"/>
              </w:rPr>
              <w:t>1.80</w:t>
            </w:r>
            <w:r w:rsidRPr="00AA48A6">
              <w:rPr>
                <w:rFonts w:ascii="Arial Narrow" w:hAnsi="Arial Narrow" w:cs="Times New Roman"/>
                <w:snapToGrid/>
                <w:sz w:val="20"/>
                <w:lang w:val="en-GB" w:eastAsia="en-GB"/>
              </w:rPr>
              <w:t>)</w:t>
            </w:r>
          </w:p>
        </w:tc>
      </w:tr>
      <w:tr w:rsidR="00B16E64" w:rsidRPr="00581523" w:rsidTr="0017388D">
        <w:trPr>
          <w:trHeight w:val="20"/>
        </w:trPr>
        <w:tc>
          <w:tcPr>
            <w:tcW w:w="4536" w:type="dxa"/>
            <w:gridSpan w:val="4"/>
            <w:tcBorders>
              <w:top w:val="single" w:sz="4" w:space="0" w:color="auto"/>
              <w:left w:val="single" w:sz="4" w:space="0" w:color="auto"/>
              <w:bottom w:val="single" w:sz="4" w:space="0" w:color="auto"/>
            </w:tcBorders>
            <w:shd w:val="clear" w:color="auto" w:fill="auto"/>
            <w:vAlign w:val="center"/>
          </w:tcPr>
          <w:p w:rsidR="00B16E64" w:rsidRPr="00AA48A6" w:rsidRDefault="00B16E64" w:rsidP="00B16E64">
            <w:pPr>
              <w:keepNext/>
              <w:keepLines/>
              <w:widowControl/>
              <w:jc w:val="left"/>
              <w:rPr>
                <w:rFonts w:ascii="Arial Narrow" w:hAnsi="Arial Narrow" w:cs="Times New Roman"/>
                <w:snapToGrid/>
                <w:sz w:val="20"/>
                <w:lang w:val="en-GB" w:eastAsia="en-GB"/>
              </w:rPr>
            </w:pPr>
            <w:r w:rsidRPr="00FB7835">
              <w:rPr>
                <w:rFonts w:ascii="Arial Narrow" w:hAnsi="Arial Narrow" w:cs="Times New Roman"/>
                <w:b/>
                <w:snapToGrid/>
                <w:sz w:val="20"/>
                <w:lang w:val="en-GB" w:eastAsia="en-GB"/>
              </w:rPr>
              <w:t>Umeclidinium/vilanterol FDC trials</w:t>
            </w:r>
          </w:p>
        </w:tc>
        <w:tc>
          <w:tcPr>
            <w:tcW w:w="709"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single" w:sz="4" w:space="0" w:color="auto"/>
              <w:bottom w:val="single" w:sz="4" w:space="0" w:color="auto"/>
            </w:tcBorders>
            <w:shd w:val="clear" w:color="auto" w:fill="auto"/>
            <w:vAlign w:val="center"/>
          </w:tcPr>
          <w:p w:rsidR="00B16E64" w:rsidRPr="00AA48A6" w:rsidRDefault="00EE489E" w:rsidP="00215628">
            <w:pPr>
              <w:keepNext/>
              <w:keepLines/>
              <w:widowControl/>
              <w:jc w:val="center"/>
              <w:rPr>
                <w:rFonts w:ascii="Arial Narrow" w:hAnsi="Arial Narrow" w:cs="Times New Roman"/>
                <w:snapToGrid/>
                <w:sz w:val="20"/>
                <w:lang w:val="en-GB" w:eastAsia="en-GB"/>
              </w:rPr>
            </w:pPr>
            <w:r>
              <w:rPr>
                <w:rFonts w:ascii="Arial Narrow" w:hAnsi="Arial Narrow" w:cs="Times New Roman"/>
                <w:b/>
                <w:bCs/>
                <w:snapToGrid/>
                <w:sz w:val="20"/>
                <w:lang w:eastAsia="en-GB"/>
              </w:rPr>
              <w:t>Umec/Vi</w:t>
            </w:r>
          </w:p>
        </w:tc>
        <w:tc>
          <w:tcPr>
            <w:tcW w:w="992"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single" w:sz="4" w:space="0" w:color="auto"/>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815EEF">
              <w:rPr>
                <w:rFonts w:cs="Arial"/>
              </w:rPr>
              <w:t>Donohue (2013)</w:t>
            </w:r>
          </w:p>
        </w:tc>
        <w:tc>
          <w:tcPr>
            <w:tcW w:w="123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single" w:sz="4" w:space="0" w:color="auto"/>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130/280 (46%)</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212/413 (51%)</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Network analysis</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1.20 </w:t>
            </w:r>
            <w:r w:rsidRPr="00AA48A6">
              <w:rPr>
                <w:rFonts w:ascii="Arial Narrow" w:hAnsi="Arial Narrow" w:cs="Times New Roman"/>
                <w:snapToGrid/>
                <w:sz w:val="20"/>
                <w:lang w:val="en-GB" w:eastAsia="en-GB"/>
              </w:rPr>
              <w:br/>
              <w:t>(0.95, 1.51)</w:t>
            </w: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1.22 </w:t>
            </w:r>
            <w:r w:rsidRPr="00AA48A6">
              <w:rPr>
                <w:rFonts w:ascii="Arial Narrow" w:hAnsi="Arial Narrow" w:cs="Times New Roman"/>
                <w:snapToGrid/>
                <w:sz w:val="20"/>
                <w:lang w:val="en-GB" w:eastAsia="en-GB"/>
              </w:rPr>
              <w:br/>
              <w:t>(0.90, 1.65)</w:t>
            </w: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0.98 </w:t>
            </w:r>
            <w:r w:rsidRPr="00AA48A6">
              <w:rPr>
                <w:rFonts w:ascii="Arial Narrow" w:hAnsi="Arial Narrow" w:cs="Times New Roman"/>
                <w:snapToGrid/>
                <w:sz w:val="20"/>
                <w:lang w:val="en-GB" w:eastAsia="en-GB"/>
              </w:rPr>
              <w:br/>
              <w:t>(</w:t>
            </w:r>
            <w:r w:rsidRPr="00AA48A6">
              <w:rPr>
                <w:rFonts w:ascii="Arial Narrow" w:hAnsi="Arial Narrow" w:cs="Times New Roman"/>
                <w:i/>
                <w:snapToGrid/>
                <w:sz w:val="20"/>
                <w:lang w:val="en-GB" w:eastAsia="en-GB"/>
              </w:rPr>
              <w:t>0.67, 1.44</w:t>
            </w:r>
            <w:r w:rsidRPr="00AA48A6">
              <w:rPr>
                <w:rFonts w:ascii="Arial Narrow" w:hAnsi="Arial Narrow" w:cs="Times New Roman"/>
                <w:snapToGrid/>
                <w:sz w:val="20"/>
                <w:lang w:val="en-GB" w:eastAsia="en-GB"/>
              </w:rPr>
              <w:t>)</w:t>
            </w:r>
          </w:p>
        </w:tc>
      </w:tr>
      <w:tr w:rsidR="00B16E64" w:rsidRPr="00E17E1A" w:rsidTr="005B64F1">
        <w:trPr>
          <w:trHeight w:val="20"/>
        </w:trPr>
        <w:tc>
          <w:tcPr>
            <w:tcW w:w="8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16E64" w:rsidRPr="002F4018" w:rsidRDefault="00B16E64" w:rsidP="00B16E64">
            <w:pPr>
              <w:pStyle w:val="TableText0"/>
              <w:keepLines/>
              <w:spacing w:before="0" w:after="0"/>
              <w:rPr>
                <w:rFonts w:cs="Arial"/>
                <w:b/>
              </w:rPr>
            </w:pPr>
            <w:r w:rsidRPr="002F4018">
              <w:rPr>
                <w:rFonts w:cs="Arial"/>
                <w:b/>
              </w:rPr>
              <w:t>SERIOUS ADVERSE EVENT AT 24 WEEKS</w:t>
            </w:r>
          </w:p>
        </w:tc>
      </w:tr>
      <w:tr w:rsidR="00B16E64" w:rsidRPr="00E17E1A" w:rsidTr="005B64F1">
        <w:trPr>
          <w:trHeight w:val="20"/>
        </w:trPr>
        <w:tc>
          <w:tcPr>
            <w:tcW w:w="8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16E64" w:rsidRPr="002F4018" w:rsidRDefault="00B16E64" w:rsidP="00B16E64">
            <w:pPr>
              <w:pStyle w:val="TableText0"/>
              <w:keepLines/>
              <w:spacing w:before="0" w:after="0"/>
              <w:rPr>
                <w:rFonts w:cs="Arial"/>
                <w:b/>
              </w:rPr>
            </w:pPr>
            <w:r w:rsidRPr="00543126">
              <w:rPr>
                <w:rFonts w:cs="Arial"/>
                <w:b/>
              </w:rPr>
              <w:t>Aclidinium/eformoterol FDC trials</w:t>
            </w: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ACLIFORM</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23/385 (6%)</w:t>
            </w: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12/194 (6%)</w:t>
            </w: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AUGMENT</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19/335 (6%)</w:t>
            </w: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12/332 (4%)</w:t>
            </w: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4536" w:type="dxa"/>
            <w:gridSpan w:val="4"/>
            <w:tcBorders>
              <w:top w:val="single" w:sz="4" w:space="0" w:color="auto"/>
              <w:left w:val="single" w:sz="4" w:space="0" w:color="auto"/>
              <w:bottom w:val="single" w:sz="4" w:space="0" w:color="auto"/>
            </w:tcBorders>
            <w:shd w:val="clear" w:color="auto" w:fill="auto"/>
            <w:vAlign w:val="center"/>
          </w:tcPr>
          <w:p w:rsidR="00B16E64" w:rsidRPr="00AA48A6" w:rsidRDefault="00B16E64" w:rsidP="00B16E64">
            <w:pPr>
              <w:keepNext/>
              <w:keepLines/>
              <w:widowControl/>
              <w:jc w:val="left"/>
              <w:rPr>
                <w:rFonts w:ascii="Arial Narrow" w:hAnsi="Arial Narrow" w:cs="Times New Roman"/>
                <w:snapToGrid/>
                <w:sz w:val="20"/>
                <w:lang w:val="en-GB" w:eastAsia="en-GB"/>
              </w:rPr>
            </w:pPr>
            <w:r w:rsidRPr="00FB7835">
              <w:rPr>
                <w:rFonts w:ascii="Arial Narrow" w:hAnsi="Arial Narrow" w:cs="Times New Roman"/>
                <w:b/>
                <w:snapToGrid/>
                <w:sz w:val="20"/>
                <w:lang w:val="en-GB" w:eastAsia="en-GB"/>
              </w:rPr>
              <w:t>Glycopyrronium/indacaterol FDC trials</w:t>
            </w:r>
          </w:p>
        </w:tc>
        <w:tc>
          <w:tcPr>
            <w:tcW w:w="709"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single" w:sz="4" w:space="0" w:color="auto"/>
              <w:bottom w:val="single" w:sz="4" w:space="0" w:color="auto"/>
            </w:tcBorders>
            <w:shd w:val="clear" w:color="auto" w:fill="auto"/>
            <w:vAlign w:val="center"/>
          </w:tcPr>
          <w:p w:rsidR="00B16E64" w:rsidRPr="00AA48A6" w:rsidRDefault="00EE489E" w:rsidP="00B16E64">
            <w:pPr>
              <w:keepNext/>
              <w:keepLines/>
              <w:widowControl/>
              <w:jc w:val="center"/>
              <w:rPr>
                <w:rFonts w:ascii="Arial Narrow" w:hAnsi="Arial Narrow" w:cs="Times New Roman"/>
                <w:snapToGrid/>
                <w:sz w:val="20"/>
                <w:lang w:val="en-GB" w:eastAsia="en-GB"/>
              </w:rPr>
            </w:pPr>
            <w:r>
              <w:rPr>
                <w:rFonts w:ascii="Arial Narrow" w:hAnsi="Arial Narrow" w:cs="Times New Roman"/>
                <w:b/>
                <w:bCs/>
                <w:snapToGrid/>
                <w:sz w:val="20"/>
                <w:lang w:eastAsia="en-GB"/>
              </w:rPr>
              <w:t>Gly/Ind</w:t>
            </w:r>
          </w:p>
        </w:tc>
        <w:tc>
          <w:tcPr>
            <w:tcW w:w="992"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single" w:sz="4" w:space="0" w:color="auto"/>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350CE8">
              <w:rPr>
                <w:rFonts w:cs="Arial"/>
              </w:rPr>
              <w:t>SHINE</w:t>
            </w:r>
          </w:p>
        </w:tc>
        <w:tc>
          <w:tcPr>
            <w:tcW w:w="123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single" w:sz="4" w:space="0" w:color="auto"/>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13/232</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(6%)</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22/474</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(5%)</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ENLIGHTEN</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12/113</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(11%)</w:t>
            </w:r>
          </w:p>
        </w:tc>
        <w:tc>
          <w:tcPr>
            <w:tcW w:w="992" w:type="dxa"/>
            <w:tcBorders>
              <w:top w:val="nil"/>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37/225</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(16%)</w:t>
            </w: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Network analysis</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1.28 </w:t>
            </w:r>
            <w:r w:rsidRPr="00AA48A6">
              <w:rPr>
                <w:rFonts w:ascii="Arial Narrow" w:hAnsi="Arial Narrow" w:cs="Times New Roman"/>
                <w:snapToGrid/>
                <w:sz w:val="20"/>
                <w:lang w:val="en-GB" w:eastAsia="en-GB"/>
              </w:rPr>
              <w:br/>
              <w:t>(0.77, 2.20)</w:t>
            </w: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1.21 </w:t>
            </w:r>
            <w:r w:rsidRPr="00AA48A6">
              <w:rPr>
                <w:rFonts w:ascii="Arial Narrow" w:hAnsi="Arial Narrow" w:cs="Times New Roman"/>
                <w:snapToGrid/>
                <w:sz w:val="20"/>
                <w:lang w:val="en-GB" w:eastAsia="en-GB"/>
              </w:rPr>
              <w:br/>
              <w:t xml:space="preserve">(0.74, </w:t>
            </w:r>
            <w:r w:rsidRPr="00AA48A6">
              <w:rPr>
                <w:rFonts w:ascii="Arial Narrow" w:hAnsi="Arial Narrow" w:cs="Times New Roman"/>
                <w:i/>
                <w:snapToGrid/>
                <w:sz w:val="20"/>
                <w:lang w:val="en-GB" w:eastAsia="en-GB"/>
              </w:rPr>
              <w:t>2.00</w:t>
            </w:r>
            <w:r w:rsidRPr="00AA48A6">
              <w:rPr>
                <w:rFonts w:ascii="Arial Narrow" w:hAnsi="Arial Narrow" w:cs="Times New Roman"/>
                <w:snapToGrid/>
                <w:sz w:val="20"/>
                <w:lang w:val="en-GB" w:eastAsia="en-GB"/>
              </w:rPr>
              <w:t>)</w:t>
            </w: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1.06 </w:t>
            </w:r>
            <w:r w:rsidRPr="00AA48A6">
              <w:rPr>
                <w:rFonts w:ascii="Arial Narrow" w:hAnsi="Arial Narrow" w:cs="Times New Roman"/>
                <w:snapToGrid/>
                <w:sz w:val="20"/>
                <w:lang w:val="en-GB" w:eastAsia="en-GB"/>
              </w:rPr>
              <w:br/>
              <w:t>(0.52, 2.18)</w:t>
            </w:r>
          </w:p>
        </w:tc>
      </w:tr>
      <w:tr w:rsidR="00B16E64" w:rsidRPr="00581523" w:rsidTr="0017388D">
        <w:trPr>
          <w:trHeight w:val="20"/>
        </w:trPr>
        <w:tc>
          <w:tcPr>
            <w:tcW w:w="4536" w:type="dxa"/>
            <w:gridSpan w:val="4"/>
            <w:tcBorders>
              <w:top w:val="single" w:sz="4" w:space="0" w:color="auto"/>
              <w:left w:val="single" w:sz="4" w:space="0" w:color="auto"/>
              <w:bottom w:val="single" w:sz="4" w:space="0" w:color="auto"/>
            </w:tcBorders>
            <w:shd w:val="clear" w:color="auto" w:fill="auto"/>
            <w:vAlign w:val="center"/>
          </w:tcPr>
          <w:p w:rsidR="00B16E64" w:rsidRPr="00AA48A6" w:rsidRDefault="00B16E64" w:rsidP="00B16E64">
            <w:pPr>
              <w:keepNext/>
              <w:keepLines/>
              <w:widowControl/>
              <w:jc w:val="left"/>
              <w:rPr>
                <w:rFonts w:ascii="Arial Narrow" w:hAnsi="Arial Narrow" w:cs="Times New Roman"/>
                <w:snapToGrid/>
                <w:sz w:val="20"/>
                <w:lang w:val="en-GB" w:eastAsia="en-GB"/>
              </w:rPr>
            </w:pPr>
            <w:r w:rsidRPr="00FB7835">
              <w:rPr>
                <w:rFonts w:ascii="Arial Narrow" w:hAnsi="Arial Narrow" w:cs="Times New Roman"/>
                <w:b/>
                <w:snapToGrid/>
                <w:sz w:val="20"/>
                <w:lang w:val="en-GB" w:eastAsia="en-GB"/>
              </w:rPr>
              <w:t>Umeclidinium/vilanterol FDC trials</w:t>
            </w:r>
          </w:p>
        </w:tc>
        <w:tc>
          <w:tcPr>
            <w:tcW w:w="709"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single" w:sz="4" w:space="0" w:color="auto"/>
              <w:bottom w:val="single" w:sz="4" w:space="0" w:color="auto"/>
            </w:tcBorders>
            <w:shd w:val="clear" w:color="auto" w:fill="auto"/>
            <w:vAlign w:val="center"/>
          </w:tcPr>
          <w:p w:rsidR="00B16E64" w:rsidRPr="00AA48A6" w:rsidRDefault="00EE489E" w:rsidP="00215628">
            <w:pPr>
              <w:keepNext/>
              <w:keepLines/>
              <w:widowControl/>
              <w:jc w:val="center"/>
              <w:rPr>
                <w:rFonts w:ascii="Arial Narrow" w:hAnsi="Arial Narrow" w:cs="Times New Roman"/>
                <w:snapToGrid/>
                <w:sz w:val="20"/>
                <w:lang w:val="en-GB" w:eastAsia="en-GB"/>
              </w:rPr>
            </w:pPr>
            <w:r>
              <w:rPr>
                <w:rFonts w:ascii="Arial Narrow" w:hAnsi="Arial Narrow" w:cs="Times New Roman"/>
                <w:b/>
                <w:bCs/>
                <w:snapToGrid/>
                <w:sz w:val="20"/>
                <w:lang w:eastAsia="en-GB"/>
              </w:rPr>
              <w:t>Umec/Vi</w:t>
            </w:r>
          </w:p>
        </w:tc>
        <w:tc>
          <w:tcPr>
            <w:tcW w:w="992" w:type="dxa"/>
            <w:tcBorders>
              <w:top w:val="single" w:sz="4" w:space="0" w:color="auto"/>
              <w:bottom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16" w:type="dxa"/>
            <w:tcBorders>
              <w:top w:val="single" w:sz="4" w:space="0" w:color="auto"/>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B16E64" w:rsidRPr="00350CE8" w:rsidRDefault="00B16E64" w:rsidP="00B16E64">
            <w:pPr>
              <w:pStyle w:val="TableText0"/>
              <w:keepLines/>
              <w:spacing w:before="0" w:after="0"/>
              <w:rPr>
                <w:rFonts w:cs="Arial"/>
              </w:rPr>
            </w:pPr>
            <w:r w:rsidRPr="00815EEF">
              <w:rPr>
                <w:rFonts w:cs="Arial"/>
              </w:rPr>
              <w:t>Donohue (2013)</w:t>
            </w:r>
          </w:p>
        </w:tc>
        <w:tc>
          <w:tcPr>
            <w:tcW w:w="1239"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68"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single" w:sz="4" w:space="0" w:color="auto"/>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9/280</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(3%)</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21/413</w:t>
            </w:r>
          </w:p>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 (5%)</w:t>
            </w:r>
          </w:p>
        </w:tc>
        <w:tc>
          <w:tcPr>
            <w:tcW w:w="992" w:type="dxa"/>
            <w:tcBorders>
              <w:top w:val="single" w:sz="4" w:space="0" w:color="auto"/>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bCs/>
                <w:snapToGrid/>
                <w:sz w:val="20"/>
                <w:lang w:val="en-GB" w:eastAsia="en-GB"/>
              </w:rPr>
            </w:pP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r>
      <w:tr w:rsidR="00B16E64" w:rsidRPr="00581523" w:rsidTr="0017388D">
        <w:trPr>
          <w:trHeight w:val="20"/>
        </w:trPr>
        <w:tc>
          <w:tcPr>
            <w:tcW w:w="995" w:type="dxa"/>
            <w:tcBorders>
              <w:top w:val="nil"/>
              <w:left w:val="single" w:sz="4" w:space="0" w:color="auto"/>
              <w:bottom w:val="single" w:sz="4" w:space="0" w:color="auto"/>
              <w:right w:val="single" w:sz="4" w:space="0" w:color="auto"/>
            </w:tcBorders>
            <w:shd w:val="clear" w:color="auto" w:fill="auto"/>
          </w:tcPr>
          <w:p w:rsidR="00B16E64" w:rsidRPr="00350CE8" w:rsidRDefault="00B16E64" w:rsidP="00B16E64">
            <w:pPr>
              <w:pStyle w:val="TableText0"/>
              <w:keepLines/>
              <w:spacing w:before="0" w:after="0"/>
              <w:rPr>
                <w:rFonts w:cs="Arial"/>
              </w:rPr>
            </w:pPr>
            <w:r>
              <w:rPr>
                <w:rFonts w:cs="Arial"/>
              </w:rPr>
              <w:t>Network analysis</w:t>
            </w:r>
          </w:p>
        </w:tc>
        <w:tc>
          <w:tcPr>
            <w:tcW w:w="123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1.28 </w:t>
            </w:r>
            <w:r w:rsidRPr="00AA48A6">
              <w:rPr>
                <w:rFonts w:ascii="Arial Narrow" w:hAnsi="Arial Narrow" w:cs="Times New Roman"/>
                <w:snapToGrid/>
                <w:sz w:val="20"/>
                <w:lang w:val="en-GB" w:eastAsia="en-GB"/>
              </w:rPr>
              <w:br/>
              <w:t>(0.77, 2.20)</w:t>
            </w:r>
          </w:p>
        </w:tc>
        <w:tc>
          <w:tcPr>
            <w:tcW w:w="1168"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1134" w:type="dxa"/>
            <w:tcBorders>
              <w:top w:val="nil"/>
              <w:left w:val="nil"/>
              <w:bottom w:val="single" w:sz="4" w:space="0" w:color="auto"/>
              <w:right w:val="double" w:sz="6"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709"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 xml:space="preserve">1.65 </w:t>
            </w:r>
            <w:r w:rsidRPr="00AA48A6">
              <w:rPr>
                <w:rFonts w:ascii="Arial Narrow" w:hAnsi="Arial Narrow" w:cs="Times New Roman"/>
                <w:snapToGrid/>
                <w:sz w:val="20"/>
                <w:lang w:val="en-GB" w:eastAsia="en-GB"/>
              </w:rPr>
              <w:br/>
              <w:t>(0.77, 3.89)</w:t>
            </w:r>
          </w:p>
        </w:tc>
        <w:tc>
          <w:tcPr>
            <w:tcW w:w="1116" w:type="dxa"/>
            <w:tcBorders>
              <w:top w:val="nil"/>
              <w:left w:val="nil"/>
              <w:bottom w:val="single" w:sz="4" w:space="0" w:color="auto"/>
              <w:right w:val="single" w:sz="4" w:space="0" w:color="auto"/>
            </w:tcBorders>
            <w:shd w:val="clear" w:color="auto" w:fill="auto"/>
            <w:noWrap/>
            <w:vAlign w:val="center"/>
          </w:tcPr>
          <w:p w:rsidR="00B16E64" w:rsidRPr="00AA48A6" w:rsidRDefault="00B16E64" w:rsidP="00B16E64">
            <w:pPr>
              <w:keepNext/>
              <w:keepLines/>
              <w:widowControl/>
              <w:jc w:val="center"/>
              <w:rPr>
                <w:rFonts w:ascii="Arial Narrow" w:hAnsi="Arial Narrow" w:cs="Times New Roman"/>
                <w:snapToGrid/>
                <w:sz w:val="20"/>
                <w:lang w:val="en-GB" w:eastAsia="en-GB"/>
              </w:rPr>
            </w:pPr>
            <w:r w:rsidRPr="00AA48A6">
              <w:rPr>
                <w:rFonts w:ascii="Arial Narrow" w:hAnsi="Arial Narrow" w:cs="Times New Roman"/>
                <w:snapToGrid/>
                <w:sz w:val="20"/>
                <w:lang w:val="en-GB" w:eastAsia="en-GB"/>
              </w:rPr>
              <w:t>0.77</w:t>
            </w:r>
            <w:r w:rsidRPr="00AA48A6">
              <w:rPr>
                <w:rFonts w:ascii="Arial Narrow" w:hAnsi="Arial Narrow" w:cs="Times New Roman"/>
                <w:snapToGrid/>
                <w:sz w:val="20"/>
                <w:lang w:val="en-GB" w:eastAsia="en-GB"/>
              </w:rPr>
              <w:br/>
              <w:t>(0.29, 1.97)</w:t>
            </w:r>
          </w:p>
        </w:tc>
      </w:tr>
    </w:tbl>
    <w:p w:rsidR="00B16E64" w:rsidRPr="00D75EDB" w:rsidRDefault="00B16E64" w:rsidP="003F1301">
      <w:pPr>
        <w:pStyle w:val="TableFooter"/>
        <w:keepNext/>
        <w:keepLines/>
        <w:ind w:left="720"/>
      </w:pPr>
      <w:r w:rsidRPr="00D75EDB">
        <w:t xml:space="preserve">Source: </w:t>
      </w:r>
      <w:r w:rsidR="00D767CB" w:rsidRPr="00D75EDB">
        <w:t>Table B-</w:t>
      </w:r>
      <w:r w:rsidR="00D767CB">
        <w:t>65, p93;</w:t>
      </w:r>
      <w:r w:rsidR="00D767CB" w:rsidRPr="00D75EDB">
        <w:t xml:space="preserve"> Table</w:t>
      </w:r>
      <w:r w:rsidR="00D767CB">
        <w:t xml:space="preserve"> </w:t>
      </w:r>
      <w:r w:rsidR="00D767CB" w:rsidRPr="00D75EDB">
        <w:t>B-6</w:t>
      </w:r>
      <w:r w:rsidR="00D767CB">
        <w:t>6,</w:t>
      </w:r>
      <w:r w:rsidR="00D767CB" w:rsidRPr="00D75EDB">
        <w:t xml:space="preserve"> p</w:t>
      </w:r>
      <w:r w:rsidR="00D767CB">
        <w:t>p</w:t>
      </w:r>
      <w:r w:rsidR="00D767CB" w:rsidRPr="00D75EDB">
        <w:t>9</w:t>
      </w:r>
      <w:r w:rsidR="00D767CB">
        <w:t xml:space="preserve">3-94; </w:t>
      </w:r>
      <w:r w:rsidR="00D767CB" w:rsidRPr="00D75EDB">
        <w:t>Table</w:t>
      </w:r>
      <w:r w:rsidR="00D767CB">
        <w:t xml:space="preserve"> B-67,</w:t>
      </w:r>
      <w:r w:rsidR="00D767CB" w:rsidRPr="00D75EDB">
        <w:t xml:space="preserve"> p</w:t>
      </w:r>
      <w:r w:rsidR="00D767CB">
        <w:t>p</w:t>
      </w:r>
      <w:r w:rsidR="00D767CB" w:rsidRPr="00D75EDB">
        <w:t>9</w:t>
      </w:r>
      <w:r w:rsidR="00D767CB">
        <w:t>4-95;</w:t>
      </w:r>
      <w:r w:rsidR="00D767CB" w:rsidRPr="00D75EDB">
        <w:t xml:space="preserve"> Table</w:t>
      </w:r>
      <w:r w:rsidR="00D767CB">
        <w:t xml:space="preserve"> </w:t>
      </w:r>
      <w:r w:rsidR="00D767CB" w:rsidRPr="00D75EDB">
        <w:t>B-6</w:t>
      </w:r>
      <w:r w:rsidR="00D767CB">
        <w:t>8, p</w:t>
      </w:r>
      <w:r w:rsidR="00D767CB" w:rsidRPr="00D75EDB">
        <w:t>9</w:t>
      </w:r>
      <w:r w:rsidR="00D767CB">
        <w:t>5</w:t>
      </w:r>
      <w:r w:rsidR="00D767CB" w:rsidRPr="00D75EDB">
        <w:t xml:space="preserve"> of the submission</w:t>
      </w:r>
    </w:p>
    <w:p w:rsidR="00B16E64" w:rsidRDefault="00B16E64" w:rsidP="003F1301">
      <w:pPr>
        <w:pStyle w:val="TableFooter"/>
        <w:ind w:left="720"/>
      </w:pPr>
      <w:r w:rsidRPr="00AD2BD3">
        <w:rPr>
          <w:i/>
        </w:rPr>
        <w:t>Italics</w:t>
      </w:r>
      <w:r>
        <w:t xml:space="preserve"> indicates values corrected based on Technical Document 2 attachment to the submission</w:t>
      </w:r>
    </w:p>
    <w:p w:rsidR="00B16E64" w:rsidRPr="001021D2" w:rsidRDefault="00B16E64" w:rsidP="003F1301">
      <w:pPr>
        <w:pStyle w:val="TableFooter"/>
        <w:keepNext/>
        <w:keepLines/>
        <w:ind w:left="720"/>
      </w:pPr>
      <w:r w:rsidRPr="00117AA4">
        <w:t>OR = odds ratio; C</w:t>
      </w:r>
      <w:r w:rsidR="0017388D">
        <w:t>r</w:t>
      </w:r>
      <w:r w:rsidRPr="00117AA4">
        <w:t xml:space="preserve">I = credible interval; </w:t>
      </w:r>
      <w:r w:rsidR="009F4723" w:rsidRPr="009F4723">
        <w:t xml:space="preserve">Acli/Efor = aclidinium/eformoterol FDC; Gly/Ind = glycopyrronium/indacaterol FDC; Umec/Vi = umeclidinium/vilanterol FDC; FDC = </w:t>
      </w:r>
      <w:r w:rsidR="00A4795A">
        <w:t>fixed dose</w:t>
      </w:r>
      <w:r w:rsidR="009F4723" w:rsidRPr="009F4723">
        <w:t xml:space="preserve"> combination</w:t>
      </w:r>
      <w:r w:rsidR="009F4723">
        <w:t>;</w:t>
      </w:r>
      <w:r w:rsidR="009F4723" w:rsidRPr="009F4723">
        <w:t xml:space="preserve"> </w:t>
      </w:r>
      <w:r>
        <w:t>PBO = placebo</w:t>
      </w:r>
    </w:p>
    <w:p w:rsidR="00C007B5" w:rsidRDefault="00C007B5" w:rsidP="007F1017">
      <w:pPr>
        <w:pStyle w:val="ListParagraph"/>
        <w:ind w:left="0"/>
        <w:rPr>
          <w:szCs w:val="22"/>
        </w:rPr>
      </w:pPr>
    </w:p>
    <w:p w:rsidR="00B60939" w:rsidRDefault="00361FF1" w:rsidP="00AC6475">
      <w:pPr>
        <w:pStyle w:val="ListParagraph"/>
        <w:widowControl/>
        <w:numPr>
          <w:ilvl w:val="1"/>
          <w:numId w:val="4"/>
        </w:numPr>
      </w:pPr>
      <w:r>
        <w:t xml:space="preserve">The network analysis using placebo as </w:t>
      </w:r>
      <w:r w:rsidR="00FD393D">
        <w:t xml:space="preserve">the </w:t>
      </w:r>
      <w:r>
        <w:t>reference arm detected no statistically significant differences between aclidinium/eformoterol FDC and its comparators in terms of odds ratios for adverse events and serious adverse events.</w:t>
      </w:r>
      <w:r w:rsidR="003C0BE1">
        <w:t xml:space="preserve"> The most common treatment emergent adverse event for aclidinium/eformoterol FDC was headache and nasopharyngitis, with similar event rates for the placebo group.</w:t>
      </w:r>
    </w:p>
    <w:p w:rsidR="00361FF1" w:rsidRPr="00882085" w:rsidRDefault="00361FF1" w:rsidP="00FC1884"/>
    <w:p w:rsidR="00B60939" w:rsidRPr="002C2775" w:rsidRDefault="00B60939" w:rsidP="002C2775">
      <w:pPr>
        <w:pStyle w:val="Heading2"/>
        <w:rPr>
          <w:i/>
        </w:rPr>
      </w:pPr>
      <w:bookmarkStart w:id="12" w:name="_Toc419455597"/>
      <w:r w:rsidRPr="002C2775">
        <w:rPr>
          <w:i/>
        </w:rPr>
        <w:t>Clinical claim</w:t>
      </w:r>
      <w:bookmarkEnd w:id="12"/>
    </w:p>
    <w:p w:rsidR="00B60939" w:rsidRPr="00882085" w:rsidRDefault="00B60939" w:rsidP="00B60939">
      <w:pPr>
        <w:ind w:left="720" w:hanging="720"/>
        <w:rPr>
          <w:szCs w:val="22"/>
        </w:rPr>
      </w:pPr>
    </w:p>
    <w:p w:rsidR="00B16E64" w:rsidRPr="00B827FC" w:rsidRDefault="00B16E64" w:rsidP="00B16E64">
      <w:pPr>
        <w:pStyle w:val="ListParagraph"/>
        <w:widowControl/>
        <w:numPr>
          <w:ilvl w:val="1"/>
          <w:numId w:val="4"/>
        </w:numPr>
        <w:rPr>
          <w:b/>
        </w:rPr>
      </w:pPr>
      <w:r w:rsidRPr="00B827FC">
        <w:rPr>
          <w:b/>
        </w:rPr>
        <w:t>Comparison 1: versus glycopyrronium/indacaterol FDC</w:t>
      </w:r>
    </w:p>
    <w:p w:rsidR="00B16E64" w:rsidRPr="00B827FC" w:rsidRDefault="00B16E64" w:rsidP="003F1301">
      <w:pPr>
        <w:pStyle w:val="ListParagraph"/>
        <w:widowControl/>
        <w:rPr>
          <w:b/>
        </w:rPr>
      </w:pPr>
      <w:r w:rsidRPr="00B827FC">
        <w:rPr>
          <w:b/>
        </w:rPr>
        <w:t>Comparison 2: versus umeclidinium/vilanterol FDC</w:t>
      </w:r>
    </w:p>
    <w:p w:rsidR="00664DF3" w:rsidRPr="00E0164F" w:rsidRDefault="00B16E64" w:rsidP="00B827FC">
      <w:pPr>
        <w:pStyle w:val="ListParagraph"/>
        <w:widowControl/>
      </w:pPr>
      <w:r w:rsidRPr="00B16E64">
        <w:t>The submission described aclidinium/eformoterol FDC as non-inferior in terms of comparative effectiveness and non-inferior in terms of comparative safety over glycopyrronium/indacaterol FDC and um</w:t>
      </w:r>
      <w:r w:rsidRPr="00A24AC1">
        <w:t xml:space="preserve">eclidinium/vilanterol FDC. </w:t>
      </w:r>
    </w:p>
    <w:p w:rsidR="00B16E64" w:rsidRPr="00E0164F" w:rsidRDefault="00B16E64" w:rsidP="009F24EC">
      <w:pPr>
        <w:pStyle w:val="ListParagraph"/>
        <w:widowControl/>
        <w:numPr>
          <w:ilvl w:val="0"/>
          <w:numId w:val="39"/>
        </w:numPr>
      </w:pPr>
      <w:r w:rsidRPr="00E0164F">
        <w:t xml:space="preserve">The appropriateness of using placebo as the common comparator arm. In all trials the discontinuation rates in the placebo arm were higher than in the active treatment arm. Placebo might not have been an adequate </w:t>
      </w:r>
      <w:r w:rsidR="009D598D" w:rsidRPr="00E0164F">
        <w:t>treatment</w:t>
      </w:r>
      <w:r w:rsidRPr="00E0164F">
        <w:t xml:space="preserve"> in this setting, given that patients who had prior LAMA and/or LABA treatment experience might be able to identify placebo treatment due to lack of efficacy thus breaking the blinding</w:t>
      </w:r>
      <w:r w:rsidR="00454DAE" w:rsidRPr="00E0164F">
        <w:t xml:space="preserve">. The </w:t>
      </w:r>
      <w:r w:rsidR="00424B9C" w:rsidRPr="00E0164F">
        <w:t xml:space="preserve">Pre-Sub-Committee Response </w:t>
      </w:r>
      <w:r w:rsidR="00BB3A9A" w:rsidRPr="00E0164F">
        <w:t>(</w:t>
      </w:r>
      <w:r w:rsidR="00454DAE" w:rsidRPr="00E0164F">
        <w:t>PSCR</w:t>
      </w:r>
      <w:r w:rsidR="00BB3A9A" w:rsidRPr="00E0164F">
        <w:t>)</w:t>
      </w:r>
      <w:r w:rsidR="00454DAE" w:rsidRPr="00E0164F">
        <w:t xml:space="preserve"> argued that FEV</w:t>
      </w:r>
      <w:r w:rsidR="00454DAE" w:rsidRPr="00E0164F">
        <w:rPr>
          <w:vertAlign w:val="subscript"/>
        </w:rPr>
        <w:t>1</w:t>
      </w:r>
      <w:r w:rsidR="00454DAE" w:rsidRPr="00E0164F">
        <w:t xml:space="preserve"> is an objective outcome that is minimally impacted by unblinding of patients</w:t>
      </w:r>
      <w:r w:rsidR="00C94A38" w:rsidRPr="00E0164F">
        <w:t>;</w:t>
      </w:r>
    </w:p>
    <w:p w:rsidR="00B16E64" w:rsidRPr="00E0164F" w:rsidRDefault="00B16E64" w:rsidP="009F24EC">
      <w:pPr>
        <w:pStyle w:val="ListParagraph"/>
        <w:widowControl/>
        <w:numPr>
          <w:ilvl w:val="0"/>
          <w:numId w:val="39"/>
        </w:numPr>
      </w:pPr>
      <w:r w:rsidRPr="00E0164F">
        <w:t>Patients in the umeclidinium/vilanterol FDC trial had more severe COPD</w:t>
      </w:r>
      <w:r w:rsidR="003252D4" w:rsidRPr="00E0164F">
        <w:t xml:space="preserve">, which may impact on response to treatment, as well as interpretation of the </w:t>
      </w:r>
      <w:r w:rsidR="00BB3A9A" w:rsidRPr="00E0164F">
        <w:t xml:space="preserve">minimal clinically important difference </w:t>
      </w:r>
      <w:r w:rsidR="003252D4" w:rsidRPr="00E0164F">
        <w:t>due to floor and ceiling effects</w:t>
      </w:r>
      <w:r w:rsidR="00C94A38" w:rsidRPr="00E0164F">
        <w:t>;</w:t>
      </w:r>
    </w:p>
    <w:p w:rsidR="00B16E64" w:rsidRPr="00E0164F" w:rsidRDefault="00B16E64" w:rsidP="009F24EC">
      <w:pPr>
        <w:pStyle w:val="ListParagraph"/>
        <w:widowControl/>
        <w:numPr>
          <w:ilvl w:val="0"/>
          <w:numId w:val="39"/>
        </w:numPr>
      </w:pPr>
      <w:r w:rsidRPr="00E0164F">
        <w:t>For the comparison with umeclidinium/vilanterol FDC, the efficacy and safety in the placebo arms were not comparable, limiting the appropriateness of per</w:t>
      </w:r>
      <w:r w:rsidR="00C94A38" w:rsidRPr="00E0164F">
        <w:t>forming an indirect comparison;</w:t>
      </w:r>
    </w:p>
    <w:p w:rsidR="00B16E64" w:rsidRPr="00E0164F" w:rsidRDefault="00B16E64" w:rsidP="009F24EC">
      <w:pPr>
        <w:pStyle w:val="ListParagraph"/>
        <w:widowControl/>
        <w:numPr>
          <w:ilvl w:val="0"/>
          <w:numId w:val="39"/>
        </w:numPr>
      </w:pPr>
      <w:r w:rsidRPr="00E0164F">
        <w:t>Trial lengths of 24/26 weeks may not have been sufficient for the exacerbation rates to be a meaningful outcome measure</w:t>
      </w:r>
      <w:r w:rsidR="00C94A38" w:rsidRPr="00E0164F">
        <w:t>.</w:t>
      </w:r>
    </w:p>
    <w:p w:rsidR="0040490E" w:rsidRPr="009F24EC" w:rsidRDefault="0040490E" w:rsidP="009F24EC">
      <w:pPr>
        <w:rPr>
          <w:i/>
        </w:rPr>
      </w:pPr>
    </w:p>
    <w:p w:rsidR="00B16E64" w:rsidRPr="00B827FC" w:rsidRDefault="00B16E64" w:rsidP="00AC6475">
      <w:pPr>
        <w:pStyle w:val="ListParagraph"/>
        <w:widowControl/>
        <w:numPr>
          <w:ilvl w:val="1"/>
          <w:numId w:val="4"/>
        </w:numPr>
        <w:rPr>
          <w:b/>
        </w:rPr>
      </w:pPr>
      <w:r w:rsidRPr="00B827FC">
        <w:rPr>
          <w:b/>
        </w:rPr>
        <w:t>Comparison 3a: versus aclidinium monotherapy</w:t>
      </w:r>
    </w:p>
    <w:p w:rsidR="00B94B3D" w:rsidRPr="006079EE" w:rsidRDefault="00B16E64">
      <w:pPr>
        <w:ind w:firstLine="720"/>
        <w:rPr>
          <w:b/>
        </w:rPr>
      </w:pPr>
      <w:r w:rsidRPr="00B827FC">
        <w:rPr>
          <w:b/>
        </w:rPr>
        <w:t>Comparison 3b: versus eformoterol monotherapy</w:t>
      </w:r>
    </w:p>
    <w:p w:rsidR="00B94B3D" w:rsidRPr="00E0164F" w:rsidRDefault="00B94B3D" w:rsidP="00B827FC">
      <w:pPr>
        <w:pStyle w:val="ListParagraph"/>
        <w:widowControl/>
      </w:pPr>
      <w:r w:rsidRPr="00A24AC1">
        <w:t xml:space="preserve">The submission described aclidinium/eformoterol FDC as superior in terms of comparative effectiveness and non-inferior in terms of comparative safety over aclidinium monotherapy or eformoterol monotherapy. </w:t>
      </w:r>
      <w:r w:rsidR="00115F55" w:rsidRPr="00706E57">
        <w:t>With respect to this claim, the ESC noted that:</w:t>
      </w:r>
    </w:p>
    <w:p w:rsidR="00B94B3D" w:rsidRPr="00E0164F" w:rsidRDefault="00AC463A" w:rsidP="009F24EC">
      <w:pPr>
        <w:pStyle w:val="ListParagraph"/>
        <w:numPr>
          <w:ilvl w:val="0"/>
          <w:numId w:val="39"/>
        </w:numPr>
      </w:pPr>
      <w:r w:rsidRPr="00E0164F">
        <w:t>For one of the two primary endpoints,</w:t>
      </w:r>
      <w:r w:rsidR="00B94B3D" w:rsidRPr="00E0164F">
        <w:t xml:space="preserve"> </w:t>
      </w:r>
      <w:r w:rsidR="00DA6863" w:rsidRPr="00E0164F">
        <w:t xml:space="preserve">the difference in </w:t>
      </w:r>
      <w:r w:rsidR="00B94B3D" w:rsidRPr="00E0164F">
        <w:t>trough FEV</w:t>
      </w:r>
      <w:r w:rsidR="00B94B3D" w:rsidRPr="00E0164F">
        <w:rPr>
          <w:vertAlign w:val="subscript"/>
        </w:rPr>
        <w:t>1</w:t>
      </w:r>
      <w:r w:rsidR="006F242E" w:rsidRPr="00E0164F">
        <w:t xml:space="preserve"> versus </w:t>
      </w:r>
      <w:r w:rsidR="00B94B3D" w:rsidRPr="00E0164F">
        <w:t xml:space="preserve">either comparator </w:t>
      </w:r>
      <w:r w:rsidR="006F242E" w:rsidRPr="00E0164F">
        <w:t>did not reach</w:t>
      </w:r>
      <w:r w:rsidR="00B94B3D" w:rsidRPr="00E0164F">
        <w:t xml:space="preserve"> the minimal clinically imp</w:t>
      </w:r>
      <w:r w:rsidR="00883F12" w:rsidRPr="00E0164F">
        <w:t>ortant difference of 100 to 140 </w:t>
      </w:r>
      <w:r w:rsidR="00B94B3D" w:rsidRPr="00E0164F">
        <w:t xml:space="preserve">mL, despite being statistically significant. </w:t>
      </w:r>
      <w:r w:rsidRPr="00E0164F">
        <w:t>The PSCR</w:t>
      </w:r>
      <w:r w:rsidR="009010AB" w:rsidRPr="00E0164F">
        <w:t xml:space="preserve"> </w:t>
      </w:r>
      <w:r w:rsidRPr="00E0164F">
        <w:t>argue</w:t>
      </w:r>
      <w:r w:rsidR="00656B59" w:rsidRPr="00E0164F">
        <w:t>d</w:t>
      </w:r>
      <w:r w:rsidRPr="00E0164F">
        <w:t xml:space="preserve"> that as with aclidinium/eformoterol, clinically meaningful differences in trough pre-dose FEV</w:t>
      </w:r>
      <w:r w:rsidRPr="00E0164F">
        <w:rPr>
          <w:vertAlign w:val="subscript"/>
        </w:rPr>
        <w:t>1</w:t>
      </w:r>
      <w:r w:rsidRPr="00E0164F">
        <w:t xml:space="preserve"> over mono components were not report</w:t>
      </w:r>
      <w:r w:rsidR="00883F12" w:rsidRPr="00E0164F">
        <w:t>ed</w:t>
      </w:r>
      <w:r w:rsidRPr="00E0164F">
        <w:t xml:space="preserve"> for the comparator </w:t>
      </w:r>
      <w:r w:rsidR="00883F12" w:rsidRPr="00E0164F">
        <w:t xml:space="preserve">FDCs </w:t>
      </w:r>
      <w:r w:rsidRPr="00E0164F">
        <w:t xml:space="preserve">(glycopyrronium/indacaterol and umeclidinium/vilanterol). </w:t>
      </w:r>
      <w:r w:rsidR="006F35EA" w:rsidRPr="00E0164F">
        <w:t>The ESC considered that this may be reasonable</w:t>
      </w:r>
      <w:r w:rsidR="00A22F01" w:rsidRPr="00E0164F">
        <w:t>, although the difference between aclidinium and aclidinium/eformoterol was smaller than for the comparators.</w:t>
      </w:r>
    </w:p>
    <w:p w:rsidR="0040490E" w:rsidRPr="00E0164F" w:rsidRDefault="00B94B3D" w:rsidP="0040490E">
      <w:pPr>
        <w:pStyle w:val="ListParagraph"/>
        <w:numPr>
          <w:ilvl w:val="0"/>
          <w:numId w:val="39"/>
        </w:numPr>
      </w:pPr>
      <w:r w:rsidRPr="00E0164F">
        <w:t>In terms of patient exacerbations no statistically significant differences were detected versus either constituent.</w:t>
      </w:r>
      <w:r w:rsidR="00AC463A" w:rsidRPr="00E0164F">
        <w:t xml:space="preserve"> The PSCR</w:t>
      </w:r>
      <w:r w:rsidR="009010AB" w:rsidRPr="00E0164F">
        <w:t xml:space="preserve"> </w:t>
      </w:r>
      <w:r w:rsidR="00656B59" w:rsidRPr="00E0164F">
        <w:t>advised</w:t>
      </w:r>
      <w:r w:rsidR="00AC463A" w:rsidRPr="00E0164F">
        <w:t xml:space="preserve"> that </w:t>
      </w:r>
      <w:r w:rsidR="00656B59" w:rsidRPr="00E0164F">
        <w:t>the clinical trials were not designed to detect a treatment difference for this outcome</w:t>
      </w:r>
      <w:r w:rsidR="00883F12" w:rsidRPr="00E0164F">
        <w:t xml:space="preserve"> and re</w:t>
      </w:r>
      <w:r w:rsidR="00883F12" w:rsidRPr="00E0164F">
        <w:noBreakHyphen/>
      </w:r>
      <w:r w:rsidR="00BB2DB1" w:rsidRPr="00E0164F">
        <w:t>presented data from the submission on the rate of COPD exacerbations reported in the ACLIFORM and AUGMENT trials. This showed non-significant differences in the proportion of patients with an exacerbation.</w:t>
      </w:r>
    </w:p>
    <w:p w:rsidR="00664DF3" w:rsidRPr="00882085" w:rsidRDefault="00664DF3" w:rsidP="00B60939">
      <w:pPr>
        <w:ind w:left="720" w:hanging="720"/>
        <w:rPr>
          <w:szCs w:val="22"/>
        </w:rPr>
      </w:pPr>
    </w:p>
    <w:p w:rsidR="00B60939" w:rsidRPr="002C2775" w:rsidRDefault="00B60939" w:rsidP="002C2775">
      <w:pPr>
        <w:pStyle w:val="Heading2"/>
        <w:rPr>
          <w:i/>
        </w:rPr>
      </w:pPr>
      <w:bookmarkStart w:id="13" w:name="_Toc419455598"/>
      <w:r w:rsidRPr="002C2775">
        <w:rPr>
          <w:i/>
        </w:rPr>
        <w:t>Economic analysis</w:t>
      </w:r>
      <w:bookmarkEnd w:id="13"/>
      <w:r w:rsidR="00491B3A" w:rsidRPr="002C2775">
        <w:rPr>
          <w:i/>
        </w:rPr>
        <w:t xml:space="preserve"> </w:t>
      </w:r>
    </w:p>
    <w:p w:rsidR="00B60939" w:rsidRPr="00882085" w:rsidRDefault="00B60939" w:rsidP="00B60939">
      <w:pPr>
        <w:ind w:left="720" w:hanging="720"/>
        <w:rPr>
          <w:szCs w:val="22"/>
        </w:rPr>
      </w:pPr>
    </w:p>
    <w:p w:rsidR="00932B1D" w:rsidRPr="0060091D" w:rsidRDefault="0060091D" w:rsidP="00932B1D">
      <w:pPr>
        <w:pStyle w:val="ListParagraph"/>
        <w:widowControl/>
        <w:numPr>
          <w:ilvl w:val="1"/>
          <w:numId w:val="4"/>
        </w:numPr>
        <w:rPr>
          <w:szCs w:val="22"/>
        </w:rPr>
      </w:pPr>
      <w:r w:rsidRPr="0060091D">
        <w:t xml:space="preserve">The submission presented a cost-minimisation analysis. </w:t>
      </w:r>
      <w:r w:rsidR="00932B1D" w:rsidRPr="001222FC">
        <w:t xml:space="preserve">The equi-effective doses </w:t>
      </w:r>
      <w:r w:rsidR="009D598D">
        <w:t>we</w:t>
      </w:r>
      <w:r w:rsidR="00932B1D" w:rsidRPr="001222FC">
        <w:t>re estimated as</w:t>
      </w:r>
      <w:r w:rsidR="00932B1D">
        <w:t>:</w:t>
      </w:r>
    </w:p>
    <w:p w:rsidR="00932B1D" w:rsidRPr="00A24AC1" w:rsidRDefault="00932B1D" w:rsidP="00F72333">
      <w:pPr>
        <w:pStyle w:val="ListParagraph"/>
        <w:numPr>
          <w:ilvl w:val="0"/>
          <w:numId w:val="14"/>
        </w:numPr>
        <w:ind w:left="1134"/>
      </w:pPr>
      <w:r w:rsidRPr="00A24AC1">
        <w:t>aclidinium/eformoterol 340/12 µg twice daily</w:t>
      </w:r>
      <w:r w:rsidR="00F72333" w:rsidRPr="00A24AC1">
        <w:t>;</w:t>
      </w:r>
    </w:p>
    <w:p w:rsidR="00932B1D" w:rsidRPr="00A24AC1" w:rsidRDefault="00932B1D" w:rsidP="00F72333">
      <w:pPr>
        <w:pStyle w:val="ListParagraph"/>
        <w:numPr>
          <w:ilvl w:val="0"/>
          <w:numId w:val="14"/>
        </w:numPr>
        <w:ind w:left="1134"/>
      </w:pPr>
      <w:r w:rsidRPr="00A24AC1">
        <w:t>glycopyrronium/indacaterol 50/110 µg once daily</w:t>
      </w:r>
      <w:r w:rsidR="00F72333" w:rsidRPr="00A24AC1">
        <w:t>; and</w:t>
      </w:r>
    </w:p>
    <w:p w:rsidR="00932B1D" w:rsidRPr="00A24AC1" w:rsidRDefault="00932B1D" w:rsidP="00F72333">
      <w:pPr>
        <w:pStyle w:val="ListParagraph"/>
        <w:numPr>
          <w:ilvl w:val="0"/>
          <w:numId w:val="14"/>
        </w:numPr>
        <w:ind w:left="1134"/>
      </w:pPr>
      <w:r w:rsidRPr="00A24AC1">
        <w:t>umeclidinium/vilanterol 62.5/25 µg once daily.</w:t>
      </w:r>
    </w:p>
    <w:p w:rsidR="00932B1D" w:rsidRPr="00A24AC1" w:rsidRDefault="00932B1D" w:rsidP="002B1D5C">
      <w:pPr>
        <w:widowControl/>
        <w:ind w:left="774"/>
      </w:pPr>
      <w:r w:rsidRPr="00A24AC1">
        <w:t xml:space="preserve">The equi-effective doses were trial-based. This was appropriate. </w:t>
      </w:r>
    </w:p>
    <w:p w:rsidR="00932B1D" w:rsidRPr="00A24AC1" w:rsidRDefault="00932B1D" w:rsidP="00932B1D">
      <w:pPr>
        <w:pStyle w:val="ListParagraph"/>
        <w:widowControl/>
        <w:rPr>
          <w:szCs w:val="22"/>
        </w:rPr>
      </w:pPr>
    </w:p>
    <w:p w:rsidR="00B60939" w:rsidRPr="00822713" w:rsidRDefault="00EA5C48" w:rsidP="00EB0FDB">
      <w:pPr>
        <w:pStyle w:val="ListParagraph"/>
        <w:widowControl/>
        <w:numPr>
          <w:ilvl w:val="1"/>
          <w:numId w:val="4"/>
        </w:numPr>
        <w:rPr>
          <w:szCs w:val="22"/>
        </w:rPr>
      </w:pPr>
      <w:r w:rsidRPr="00A24AC1">
        <w:t>The proposed drug and the comparators were all</w:t>
      </w:r>
      <w:r w:rsidR="002B1D5C">
        <w:t xml:space="preserve"> ongoing treatments offering 30 </w:t>
      </w:r>
      <w:r w:rsidRPr="00A24AC1">
        <w:t xml:space="preserve">days of treatment per pack at the same dispensed price for maximum quantity </w:t>
      </w:r>
      <w:r w:rsidR="009D598D" w:rsidRPr="00A24AC1">
        <w:t>(DPMQ</w:t>
      </w:r>
      <w:r w:rsidR="009D598D" w:rsidRPr="00822713">
        <w:t xml:space="preserve">) </w:t>
      </w:r>
      <w:r w:rsidRPr="00822713">
        <w:t xml:space="preserve">of $96.38. </w:t>
      </w:r>
      <w:r w:rsidR="008C76D8" w:rsidRPr="00822713">
        <w:t>The analysis assumed no differences in healthcare resource utilisation, drug administration, management of adverse events or other treatments of COPD. This seemed reasonable.</w:t>
      </w:r>
    </w:p>
    <w:p w:rsidR="009D598D" w:rsidRPr="00822713" w:rsidRDefault="009D598D" w:rsidP="009D598D">
      <w:pPr>
        <w:pStyle w:val="ListParagraph"/>
        <w:widowControl/>
        <w:rPr>
          <w:szCs w:val="22"/>
        </w:rPr>
      </w:pPr>
    </w:p>
    <w:p w:rsidR="009D598D" w:rsidRPr="00822713" w:rsidRDefault="009D598D" w:rsidP="009D598D">
      <w:pPr>
        <w:pStyle w:val="ListParagraph"/>
        <w:numPr>
          <w:ilvl w:val="1"/>
          <w:numId w:val="4"/>
        </w:numPr>
        <w:rPr>
          <w:szCs w:val="22"/>
        </w:rPr>
      </w:pPr>
      <w:r w:rsidRPr="00822713">
        <w:rPr>
          <w:szCs w:val="22"/>
        </w:rPr>
        <w:t>The submission also presented a cost-minimisation analysis versus aclidinium plus eformoterol provided as two prescriptions. The submission estimated that the cost for the FDC would be lower than the two products ($96.38 vs. $99.04, respectively). This comparison was not relevant, as the submission did not provide eviden</w:t>
      </w:r>
      <w:r w:rsidR="002B1D5C" w:rsidRPr="00822713">
        <w:rPr>
          <w:szCs w:val="22"/>
        </w:rPr>
        <w:t>ce of non</w:t>
      </w:r>
      <w:r w:rsidR="002B1D5C" w:rsidRPr="00822713">
        <w:rPr>
          <w:szCs w:val="22"/>
        </w:rPr>
        <w:noBreakHyphen/>
      </w:r>
      <w:r w:rsidRPr="00822713">
        <w:rPr>
          <w:szCs w:val="22"/>
        </w:rPr>
        <w:t>inferior efficacy and the DPMQ price for eformoterol 12 µg was for the asthma indication. Eformoterol monotherapy was not listed for the treatment of COPD.</w:t>
      </w:r>
    </w:p>
    <w:p w:rsidR="00A86E8B" w:rsidRPr="00822713" w:rsidRDefault="00A86E8B" w:rsidP="00A86E8B">
      <w:pPr>
        <w:widowControl/>
        <w:rPr>
          <w:szCs w:val="22"/>
        </w:rPr>
      </w:pPr>
    </w:p>
    <w:p w:rsidR="00C25D9C" w:rsidRPr="00822713" w:rsidRDefault="00C25D9C" w:rsidP="002C2775">
      <w:pPr>
        <w:pStyle w:val="Heading2"/>
        <w:rPr>
          <w:i/>
          <w:szCs w:val="22"/>
        </w:rPr>
      </w:pPr>
      <w:bookmarkStart w:id="14" w:name="_Toc419455599"/>
      <w:r w:rsidRPr="00822713">
        <w:rPr>
          <w:i/>
        </w:rPr>
        <w:t xml:space="preserve">Drug cost/patient/year: </w:t>
      </w:r>
      <w:r w:rsidR="006502EB" w:rsidRPr="00822713">
        <w:rPr>
          <w:i/>
        </w:rPr>
        <w:t>$1,173</w:t>
      </w:r>
      <w:bookmarkEnd w:id="14"/>
    </w:p>
    <w:p w:rsidR="00C25D9C" w:rsidRPr="00822713" w:rsidRDefault="00C25D9C" w:rsidP="00C25D9C">
      <w:pPr>
        <w:widowControl/>
        <w:rPr>
          <w:szCs w:val="22"/>
        </w:rPr>
      </w:pPr>
    </w:p>
    <w:p w:rsidR="00A86E8B" w:rsidRPr="00822713" w:rsidRDefault="00A41B9E" w:rsidP="004C5E70">
      <w:pPr>
        <w:pStyle w:val="ListParagraph"/>
        <w:widowControl/>
        <w:numPr>
          <w:ilvl w:val="1"/>
          <w:numId w:val="4"/>
        </w:numPr>
        <w:rPr>
          <w:szCs w:val="22"/>
        </w:rPr>
      </w:pPr>
      <w:r w:rsidRPr="00822713">
        <w:rPr>
          <w:szCs w:val="22"/>
        </w:rPr>
        <w:t xml:space="preserve">Aclidinium/eformoterol FDC is an ongoing treatment. The drug cost per patient per year </w:t>
      </w:r>
      <w:r w:rsidR="00C120F0" w:rsidRPr="00822713">
        <w:rPr>
          <w:szCs w:val="22"/>
        </w:rPr>
        <w:t>wa</w:t>
      </w:r>
      <w:r w:rsidR="00B827FC" w:rsidRPr="00822713">
        <w:rPr>
          <w:szCs w:val="22"/>
        </w:rPr>
        <w:t>s calculated as 12.17</w:t>
      </w:r>
      <w:r w:rsidRPr="00822713">
        <w:rPr>
          <w:szCs w:val="22"/>
        </w:rPr>
        <w:t xml:space="preserve"> 30-day packs per year at </w:t>
      </w:r>
      <w:r w:rsidR="009D598D" w:rsidRPr="00822713">
        <w:rPr>
          <w:szCs w:val="22"/>
        </w:rPr>
        <w:t xml:space="preserve">a DPMQ of </w:t>
      </w:r>
      <w:r w:rsidRPr="00822713">
        <w:rPr>
          <w:szCs w:val="22"/>
        </w:rPr>
        <w:t>$9</w:t>
      </w:r>
      <w:r w:rsidR="006C205D" w:rsidRPr="00822713">
        <w:rPr>
          <w:szCs w:val="22"/>
        </w:rPr>
        <w:t>6</w:t>
      </w:r>
      <w:r w:rsidRPr="00822713">
        <w:rPr>
          <w:szCs w:val="22"/>
        </w:rPr>
        <w:t>.3</w:t>
      </w:r>
      <w:r w:rsidR="006C205D" w:rsidRPr="00822713">
        <w:rPr>
          <w:szCs w:val="22"/>
        </w:rPr>
        <w:t>8</w:t>
      </w:r>
      <w:r w:rsidRPr="00822713">
        <w:rPr>
          <w:szCs w:val="22"/>
        </w:rPr>
        <w:t xml:space="preserve">. This calculation </w:t>
      </w:r>
      <w:r w:rsidR="006C205D" w:rsidRPr="00822713">
        <w:rPr>
          <w:szCs w:val="22"/>
        </w:rPr>
        <w:t>wa</w:t>
      </w:r>
      <w:r w:rsidRPr="00822713">
        <w:rPr>
          <w:szCs w:val="22"/>
        </w:rPr>
        <w:t xml:space="preserve">s the same for the </w:t>
      </w:r>
      <w:r w:rsidR="004D1EB9" w:rsidRPr="00822713">
        <w:rPr>
          <w:szCs w:val="22"/>
        </w:rPr>
        <w:t xml:space="preserve">two </w:t>
      </w:r>
      <w:r w:rsidR="009D598D" w:rsidRPr="00822713">
        <w:rPr>
          <w:szCs w:val="22"/>
        </w:rPr>
        <w:t xml:space="preserve">main </w:t>
      </w:r>
      <w:r w:rsidRPr="00822713">
        <w:rPr>
          <w:szCs w:val="22"/>
        </w:rPr>
        <w:t>comparator drugs</w:t>
      </w:r>
      <w:r w:rsidR="009D598D" w:rsidRPr="00822713">
        <w:rPr>
          <w:szCs w:val="22"/>
        </w:rPr>
        <w:t xml:space="preserve"> glycopyrronium/indacaterol FDC and umeclidinium/vilanterol FDC</w:t>
      </w:r>
      <w:r w:rsidRPr="00822713">
        <w:rPr>
          <w:szCs w:val="22"/>
        </w:rPr>
        <w:t xml:space="preserve">. </w:t>
      </w:r>
    </w:p>
    <w:p w:rsidR="00B60939" w:rsidRPr="001E2B1E" w:rsidRDefault="00B60939" w:rsidP="001456B0">
      <w:pPr>
        <w:rPr>
          <w:szCs w:val="22"/>
        </w:rPr>
      </w:pPr>
    </w:p>
    <w:p w:rsidR="00B60939" w:rsidRPr="002C2775" w:rsidRDefault="00B60939" w:rsidP="002C2775">
      <w:pPr>
        <w:pStyle w:val="Heading2"/>
        <w:rPr>
          <w:i/>
        </w:rPr>
      </w:pPr>
      <w:bookmarkStart w:id="15" w:name="_Toc419455600"/>
      <w:r w:rsidRPr="002C2775">
        <w:rPr>
          <w:i/>
        </w:rPr>
        <w:t>Estimated PBS usage &amp; financial implications</w:t>
      </w:r>
      <w:bookmarkEnd w:id="15"/>
    </w:p>
    <w:p w:rsidR="00B60939" w:rsidRPr="00882085" w:rsidRDefault="00B60939" w:rsidP="00B60939">
      <w:pPr>
        <w:ind w:left="720" w:hanging="720"/>
        <w:rPr>
          <w:b/>
          <w:i/>
          <w:szCs w:val="22"/>
        </w:rPr>
      </w:pPr>
    </w:p>
    <w:p w:rsidR="00C25D9C" w:rsidRPr="00C25D9C" w:rsidRDefault="00C25D9C" w:rsidP="00EB0FDB">
      <w:pPr>
        <w:pStyle w:val="ListParagraph"/>
        <w:widowControl/>
        <w:numPr>
          <w:ilvl w:val="1"/>
          <w:numId w:val="4"/>
        </w:numPr>
        <w:rPr>
          <w:szCs w:val="22"/>
        </w:rPr>
      </w:pPr>
      <w:r>
        <w:t xml:space="preserve">This submission </w:t>
      </w:r>
      <w:r w:rsidR="00A24AC1">
        <w:t>wa</w:t>
      </w:r>
      <w:r>
        <w:t xml:space="preserve">s not considered by </w:t>
      </w:r>
      <w:r w:rsidR="006873C8">
        <w:t xml:space="preserve">the </w:t>
      </w:r>
      <w:r>
        <w:t>DUSC</w:t>
      </w:r>
      <w:r w:rsidRPr="002C438F">
        <w:t>.</w:t>
      </w:r>
      <w:r w:rsidR="002458D9" w:rsidRPr="002C438F">
        <w:t xml:space="preserve"> The submission took a mixed epidemiological and market share approach to calculating the financial impacts.</w:t>
      </w:r>
      <w:r w:rsidRPr="002C438F">
        <w:t xml:space="preserve"> </w:t>
      </w:r>
      <w:r w:rsidR="002458D9" w:rsidRPr="002C438F">
        <w:t>This was due to the immaturity of the LAMA/LABA FDC market.</w:t>
      </w:r>
      <w:r w:rsidRPr="002C438F">
        <w:t xml:space="preserve"> </w:t>
      </w:r>
      <w:r w:rsidR="002C438F" w:rsidRPr="002C438F">
        <w:t>Key sources of information used in the submission were:</w:t>
      </w:r>
    </w:p>
    <w:p w:rsidR="002C438F" w:rsidRDefault="006873C8" w:rsidP="006873C8">
      <w:pPr>
        <w:pStyle w:val="ListParagraph"/>
        <w:numPr>
          <w:ilvl w:val="0"/>
          <w:numId w:val="14"/>
        </w:numPr>
        <w:ind w:left="993" w:hanging="284"/>
      </w:pPr>
      <w:r>
        <w:t>Australia Bureau of Statistics (</w:t>
      </w:r>
      <w:r w:rsidR="002C438F">
        <w:t>ABS</w:t>
      </w:r>
      <w:r>
        <w:t>)</w:t>
      </w:r>
      <w:r w:rsidR="002C438F">
        <w:t xml:space="preserve"> population size projections</w:t>
      </w:r>
      <w:r w:rsidR="00C94A38">
        <w:t>;</w:t>
      </w:r>
    </w:p>
    <w:p w:rsidR="002C438F" w:rsidRDefault="002C438F" w:rsidP="006873C8">
      <w:pPr>
        <w:pStyle w:val="ListParagraph"/>
        <w:numPr>
          <w:ilvl w:val="0"/>
          <w:numId w:val="14"/>
        </w:numPr>
        <w:ind w:left="993" w:hanging="284"/>
      </w:pPr>
      <w:r>
        <w:t>COPD prevalence based on self-reported evidence from an Australian sample (Toelle 2013)</w:t>
      </w:r>
      <w:r w:rsidR="00C94A38">
        <w:t>;</w:t>
      </w:r>
    </w:p>
    <w:p w:rsidR="002C438F" w:rsidRDefault="002C438F" w:rsidP="006873C8">
      <w:pPr>
        <w:pStyle w:val="ListParagraph"/>
        <w:numPr>
          <w:ilvl w:val="0"/>
          <w:numId w:val="14"/>
        </w:numPr>
        <w:ind w:left="993" w:hanging="284"/>
      </w:pPr>
      <w:r>
        <w:t>Proportions of COPD severity and drug utilisation within severity groups based on a European and US population s</w:t>
      </w:r>
      <w:r w:rsidR="009D598D">
        <w:t>tudy</w:t>
      </w:r>
      <w:r>
        <w:t xml:space="preserve"> (Vestbo 2014)</w:t>
      </w:r>
      <w:r w:rsidR="00C94A38">
        <w:t>;</w:t>
      </w:r>
    </w:p>
    <w:p w:rsidR="002C438F" w:rsidRDefault="002C438F" w:rsidP="006873C8">
      <w:pPr>
        <w:pStyle w:val="ListParagraph"/>
        <w:numPr>
          <w:ilvl w:val="0"/>
          <w:numId w:val="14"/>
        </w:numPr>
        <w:ind w:left="993" w:hanging="284"/>
      </w:pPr>
      <w:r>
        <w:t>Assumptions regarding switching to LAMA/LABA FDC from other COPD treatments</w:t>
      </w:r>
      <w:r w:rsidR="00C94A38">
        <w:t>;</w:t>
      </w:r>
      <w:r w:rsidR="006873C8">
        <w:t xml:space="preserve"> and</w:t>
      </w:r>
    </w:p>
    <w:p w:rsidR="00C25D9C" w:rsidRDefault="002C438F" w:rsidP="006873C8">
      <w:pPr>
        <w:pStyle w:val="ListParagraph"/>
        <w:numPr>
          <w:ilvl w:val="0"/>
          <w:numId w:val="14"/>
        </w:numPr>
        <w:ind w:left="993" w:hanging="284"/>
      </w:pPr>
      <w:r>
        <w:t>Assumptions regarding the relative market shares of LAMA/LABA FDCs.</w:t>
      </w:r>
    </w:p>
    <w:p w:rsidR="002C438F" w:rsidRDefault="002C438F" w:rsidP="002C438F"/>
    <w:p w:rsidR="00C25D9C" w:rsidRDefault="00C25D9C" w:rsidP="00AA1443">
      <w:pPr>
        <w:keepNext/>
        <w:keepLines/>
        <w:ind w:firstLine="709"/>
        <w:rPr>
          <w:rStyle w:val="CommentReference"/>
        </w:rPr>
      </w:pPr>
      <w:r w:rsidRPr="001222FC">
        <w:rPr>
          <w:rStyle w:val="CommentReference"/>
        </w:rPr>
        <w:t xml:space="preserve">Table </w:t>
      </w:r>
      <w:r w:rsidR="002C30A0">
        <w:rPr>
          <w:rStyle w:val="CommentReference"/>
        </w:rPr>
        <w:t>6</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58"/>
        <w:gridCol w:w="1159"/>
        <w:gridCol w:w="1159"/>
        <w:gridCol w:w="1159"/>
        <w:gridCol w:w="1160"/>
      </w:tblGrid>
      <w:tr w:rsidR="00CB3860" w:rsidRPr="004E2ADC" w:rsidTr="004427D6">
        <w:trPr>
          <w:tblHeader/>
        </w:trPr>
        <w:tc>
          <w:tcPr>
            <w:tcW w:w="1529" w:type="pct"/>
            <w:shd w:val="clear" w:color="auto" w:fill="auto"/>
            <w:vAlign w:val="center"/>
          </w:tcPr>
          <w:p w:rsidR="00CB3860" w:rsidRPr="004E2ADC" w:rsidRDefault="00CB3860" w:rsidP="00AA1443">
            <w:pPr>
              <w:keepNext/>
              <w:keepLines/>
              <w:tabs>
                <w:tab w:val="left" w:pos="142"/>
              </w:tabs>
              <w:jc w:val="left"/>
              <w:rPr>
                <w:rFonts w:ascii="Arial Narrow" w:hAnsi="Arial Narrow"/>
                <w:b/>
                <w:sz w:val="20"/>
              </w:rPr>
            </w:pPr>
          </w:p>
        </w:tc>
        <w:tc>
          <w:tcPr>
            <w:tcW w:w="694" w:type="pct"/>
            <w:shd w:val="clear" w:color="auto" w:fill="auto"/>
            <w:vAlign w:val="center"/>
          </w:tcPr>
          <w:p w:rsidR="00CB3860" w:rsidRPr="00E51265" w:rsidRDefault="00CB3860" w:rsidP="00AA1443">
            <w:pPr>
              <w:keepNext/>
              <w:keepLines/>
              <w:jc w:val="center"/>
              <w:rPr>
                <w:rFonts w:ascii="Arial Narrow" w:hAnsi="Arial Narrow"/>
                <w:b/>
                <w:sz w:val="20"/>
              </w:rPr>
            </w:pPr>
            <w:r w:rsidRPr="00E51265">
              <w:rPr>
                <w:rFonts w:ascii="Arial Narrow" w:hAnsi="Arial Narrow"/>
                <w:b/>
                <w:sz w:val="20"/>
              </w:rPr>
              <w:t>2016</w:t>
            </w:r>
          </w:p>
        </w:tc>
        <w:tc>
          <w:tcPr>
            <w:tcW w:w="694" w:type="pct"/>
            <w:shd w:val="clear" w:color="auto" w:fill="auto"/>
            <w:vAlign w:val="center"/>
          </w:tcPr>
          <w:p w:rsidR="00CB3860" w:rsidRPr="00E51265" w:rsidRDefault="00CB3860" w:rsidP="00AA1443">
            <w:pPr>
              <w:keepNext/>
              <w:keepLines/>
              <w:jc w:val="center"/>
              <w:rPr>
                <w:rFonts w:ascii="Arial Narrow" w:hAnsi="Arial Narrow"/>
                <w:b/>
                <w:sz w:val="20"/>
              </w:rPr>
            </w:pPr>
            <w:r w:rsidRPr="00E51265">
              <w:rPr>
                <w:rFonts w:ascii="Arial Narrow" w:hAnsi="Arial Narrow"/>
                <w:b/>
                <w:sz w:val="20"/>
              </w:rPr>
              <w:t>2017</w:t>
            </w:r>
          </w:p>
        </w:tc>
        <w:tc>
          <w:tcPr>
            <w:tcW w:w="694" w:type="pct"/>
            <w:shd w:val="clear" w:color="auto" w:fill="auto"/>
            <w:vAlign w:val="center"/>
          </w:tcPr>
          <w:p w:rsidR="00CB3860" w:rsidRPr="00E51265" w:rsidRDefault="00CB3860" w:rsidP="00AA1443">
            <w:pPr>
              <w:keepNext/>
              <w:keepLines/>
              <w:jc w:val="center"/>
              <w:rPr>
                <w:rFonts w:ascii="Arial Narrow" w:hAnsi="Arial Narrow"/>
                <w:b/>
                <w:sz w:val="20"/>
              </w:rPr>
            </w:pPr>
            <w:r w:rsidRPr="00E51265">
              <w:rPr>
                <w:rFonts w:ascii="Arial Narrow" w:hAnsi="Arial Narrow"/>
                <w:b/>
                <w:sz w:val="20"/>
              </w:rPr>
              <w:t>2018</w:t>
            </w:r>
          </w:p>
        </w:tc>
        <w:tc>
          <w:tcPr>
            <w:tcW w:w="694" w:type="pct"/>
            <w:shd w:val="clear" w:color="auto" w:fill="auto"/>
            <w:vAlign w:val="center"/>
          </w:tcPr>
          <w:p w:rsidR="00CB3860" w:rsidRPr="00E51265" w:rsidRDefault="00CB3860" w:rsidP="00AA1443">
            <w:pPr>
              <w:keepNext/>
              <w:keepLines/>
              <w:jc w:val="center"/>
              <w:rPr>
                <w:rFonts w:ascii="Arial Narrow" w:hAnsi="Arial Narrow"/>
                <w:b/>
                <w:sz w:val="20"/>
              </w:rPr>
            </w:pPr>
            <w:r w:rsidRPr="00E51265">
              <w:rPr>
                <w:rFonts w:ascii="Arial Narrow" w:hAnsi="Arial Narrow"/>
                <w:b/>
                <w:sz w:val="20"/>
              </w:rPr>
              <w:t>2019</w:t>
            </w:r>
          </w:p>
        </w:tc>
        <w:tc>
          <w:tcPr>
            <w:tcW w:w="695" w:type="pct"/>
            <w:shd w:val="clear" w:color="auto" w:fill="auto"/>
          </w:tcPr>
          <w:p w:rsidR="00CB3860" w:rsidRPr="00E51265" w:rsidRDefault="00CB3860" w:rsidP="00AA1443">
            <w:pPr>
              <w:keepNext/>
              <w:keepLines/>
              <w:jc w:val="center"/>
              <w:rPr>
                <w:rFonts w:ascii="Arial Narrow" w:hAnsi="Arial Narrow"/>
                <w:b/>
                <w:sz w:val="20"/>
              </w:rPr>
            </w:pPr>
            <w:r w:rsidRPr="005A3447">
              <w:rPr>
                <w:rFonts w:ascii="Arial Narrow" w:hAnsi="Arial Narrow"/>
                <w:b/>
                <w:sz w:val="20"/>
              </w:rPr>
              <w:t>2020</w:t>
            </w:r>
          </w:p>
        </w:tc>
      </w:tr>
      <w:tr w:rsidR="00C25D9C" w:rsidRPr="004E2ADC" w:rsidTr="005D044D">
        <w:tc>
          <w:tcPr>
            <w:tcW w:w="5000" w:type="pct"/>
            <w:gridSpan w:val="6"/>
            <w:shd w:val="clear" w:color="auto" w:fill="auto"/>
            <w:vAlign w:val="center"/>
          </w:tcPr>
          <w:p w:rsidR="00C25D9C" w:rsidRPr="004E2ADC" w:rsidRDefault="00C25D9C" w:rsidP="00AA1443">
            <w:pPr>
              <w:keepNext/>
              <w:keepLines/>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B3860" w:rsidRPr="004E2ADC" w:rsidTr="004427D6">
        <w:tc>
          <w:tcPr>
            <w:tcW w:w="1529" w:type="pct"/>
            <w:shd w:val="clear" w:color="auto" w:fill="auto"/>
            <w:vAlign w:val="center"/>
          </w:tcPr>
          <w:p w:rsidR="00CB3860" w:rsidRPr="004E2ADC" w:rsidRDefault="00CB3860" w:rsidP="00AA1443">
            <w:pPr>
              <w:keepNext/>
              <w:keepLines/>
              <w:tabs>
                <w:tab w:val="left" w:pos="142"/>
              </w:tabs>
              <w:jc w:val="left"/>
              <w:rPr>
                <w:rFonts w:ascii="Arial Narrow" w:hAnsi="Arial Narrow"/>
                <w:sz w:val="20"/>
              </w:rPr>
            </w:pPr>
            <w:r>
              <w:rPr>
                <w:rFonts w:ascii="Arial Narrow" w:hAnsi="Arial Narrow"/>
                <w:sz w:val="20"/>
              </w:rPr>
              <w:t>L</w:t>
            </w:r>
            <w:r w:rsidR="002458D9">
              <w:rPr>
                <w:rFonts w:ascii="Arial Narrow" w:hAnsi="Arial Narrow"/>
                <w:sz w:val="20"/>
              </w:rPr>
              <w:t>AMA/</w:t>
            </w:r>
            <w:r>
              <w:rPr>
                <w:rFonts w:ascii="Arial Narrow" w:hAnsi="Arial Narrow"/>
                <w:sz w:val="20"/>
              </w:rPr>
              <w:t>LABA FDC patients</w:t>
            </w:r>
          </w:p>
        </w:tc>
        <w:tc>
          <w:tcPr>
            <w:tcW w:w="694" w:type="pct"/>
            <w:shd w:val="clear" w:color="auto" w:fill="auto"/>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5" w:type="pct"/>
            <w:shd w:val="clear" w:color="auto" w:fill="auto"/>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r>
      <w:tr w:rsidR="00CB3860" w:rsidRPr="004E2ADC" w:rsidTr="004427D6">
        <w:tc>
          <w:tcPr>
            <w:tcW w:w="1529" w:type="pct"/>
            <w:shd w:val="clear" w:color="auto" w:fill="auto"/>
            <w:vAlign w:val="center"/>
          </w:tcPr>
          <w:p w:rsidR="00CB3860" w:rsidRPr="004E2ADC" w:rsidRDefault="00EE489E" w:rsidP="00AA1443">
            <w:pPr>
              <w:keepNext/>
              <w:keepLines/>
              <w:tabs>
                <w:tab w:val="left" w:pos="142"/>
              </w:tabs>
              <w:jc w:val="left"/>
              <w:rPr>
                <w:rFonts w:ascii="Arial Narrow" w:hAnsi="Arial Narrow"/>
                <w:sz w:val="20"/>
              </w:rPr>
            </w:pPr>
            <w:r>
              <w:rPr>
                <w:rFonts w:ascii="Arial Narrow" w:hAnsi="Arial Narrow"/>
                <w:sz w:val="20"/>
              </w:rPr>
              <w:t>Acli/Efor</w:t>
            </w:r>
            <w:r w:rsidR="00CB3860">
              <w:rPr>
                <w:rFonts w:ascii="Arial Narrow" w:hAnsi="Arial Narrow"/>
                <w:sz w:val="20"/>
              </w:rPr>
              <w:t xml:space="preserve"> m</w:t>
            </w:r>
            <w:r w:rsidR="00CB3860" w:rsidRPr="004E2ADC">
              <w:rPr>
                <w:rFonts w:ascii="Arial Narrow" w:hAnsi="Arial Narrow"/>
                <w:sz w:val="20"/>
              </w:rPr>
              <w:t>arket share</w:t>
            </w:r>
          </w:p>
        </w:tc>
        <w:tc>
          <w:tcPr>
            <w:tcW w:w="694" w:type="pct"/>
            <w:shd w:val="clear" w:color="auto" w:fill="auto"/>
            <w:vAlign w:val="center"/>
          </w:tcPr>
          <w:p w:rsidR="00CB3860" w:rsidRPr="00310D68" w:rsidRDefault="00BE5FC9" w:rsidP="00AA1443">
            <w:pPr>
              <w:keepNext/>
              <w:keepLines/>
              <w:ind w:left="-38"/>
              <w:jc w:val="center"/>
              <w:rPr>
                <w:rFonts w:ascii="Arial Narrow" w:hAnsi="Arial Narrow"/>
                <w:sz w:val="20"/>
              </w:rPr>
            </w:pPr>
            <w:r>
              <w:rPr>
                <w:rFonts w:ascii="Arial Narrow" w:hAnsi="Arial Narrow"/>
                <w:noProof/>
                <w:color w:val="000000"/>
                <w:sz w:val="20"/>
                <w:highlight w:val="black"/>
              </w:rPr>
              <w:t>'''''</w:t>
            </w:r>
            <w:r w:rsidR="00CB3860">
              <w:rPr>
                <w:rFonts w:ascii="Arial Narrow" w:hAnsi="Arial Narrow"/>
                <w:sz w:val="20"/>
              </w:rPr>
              <w:t>%</w:t>
            </w:r>
          </w:p>
        </w:tc>
        <w:tc>
          <w:tcPr>
            <w:tcW w:w="694" w:type="pct"/>
            <w:shd w:val="clear" w:color="auto" w:fill="auto"/>
            <w:vAlign w:val="center"/>
          </w:tcPr>
          <w:p w:rsidR="00CB3860" w:rsidRPr="00310D68" w:rsidRDefault="00BE5FC9" w:rsidP="00AA1443">
            <w:pPr>
              <w:keepNext/>
              <w:keepLines/>
              <w:ind w:left="-38"/>
              <w:jc w:val="center"/>
              <w:rPr>
                <w:rFonts w:ascii="Arial Narrow" w:hAnsi="Arial Narrow"/>
                <w:sz w:val="20"/>
              </w:rPr>
            </w:pPr>
            <w:r>
              <w:rPr>
                <w:rFonts w:ascii="Arial Narrow" w:hAnsi="Arial Narrow"/>
                <w:noProof/>
                <w:color w:val="000000"/>
                <w:sz w:val="20"/>
                <w:highlight w:val="black"/>
              </w:rPr>
              <w:t>'''''''</w:t>
            </w:r>
            <w:r w:rsidR="00CB3860">
              <w:rPr>
                <w:rFonts w:ascii="Arial Narrow" w:hAnsi="Arial Narrow"/>
                <w:sz w:val="20"/>
              </w:rPr>
              <w:t>%</w:t>
            </w:r>
          </w:p>
        </w:tc>
        <w:tc>
          <w:tcPr>
            <w:tcW w:w="694" w:type="pct"/>
            <w:shd w:val="clear" w:color="auto" w:fill="auto"/>
            <w:vAlign w:val="center"/>
          </w:tcPr>
          <w:p w:rsidR="00CB3860" w:rsidRPr="00310D68" w:rsidRDefault="00BE5FC9" w:rsidP="00AA1443">
            <w:pPr>
              <w:keepNext/>
              <w:keepLines/>
              <w:ind w:left="-38"/>
              <w:jc w:val="center"/>
              <w:rPr>
                <w:rFonts w:ascii="Arial Narrow" w:hAnsi="Arial Narrow"/>
                <w:sz w:val="20"/>
              </w:rPr>
            </w:pPr>
            <w:r>
              <w:rPr>
                <w:rFonts w:ascii="Arial Narrow" w:hAnsi="Arial Narrow"/>
                <w:noProof/>
                <w:color w:val="000000"/>
                <w:sz w:val="20"/>
                <w:highlight w:val="black"/>
              </w:rPr>
              <w:t>''''''</w:t>
            </w:r>
            <w:r w:rsidR="00CB3860">
              <w:rPr>
                <w:rFonts w:ascii="Arial Narrow" w:hAnsi="Arial Narrow"/>
                <w:sz w:val="20"/>
              </w:rPr>
              <w:t>%</w:t>
            </w:r>
          </w:p>
        </w:tc>
        <w:tc>
          <w:tcPr>
            <w:tcW w:w="694" w:type="pct"/>
            <w:shd w:val="clear" w:color="auto" w:fill="auto"/>
            <w:vAlign w:val="center"/>
          </w:tcPr>
          <w:p w:rsidR="00CB3860" w:rsidRPr="00310D68" w:rsidRDefault="00BE5FC9" w:rsidP="00AA1443">
            <w:pPr>
              <w:keepNext/>
              <w:keepLines/>
              <w:ind w:left="-38"/>
              <w:jc w:val="center"/>
              <w:rPr>
                <w:rFonts w:ascii="Arial Narrow" w:hAnsi="Arial Narrow"/>
                <w:sz w:val="20"/>
              </w:rPr>
            </w:pPr>
            <w:r>
              <w:rPr>
                <w:rFonts w:ascii="Arial Narrow" w:hAnsi="Arial Narrow"/>
                <w:noProof/>
                <w:color w:val="000000"/>
                <w:sz w:val="20"/>
                <w:highlight w:val="black"/>
              </w:rPr>
              <w:t>''''''</w:t>
            </w:r>
            <w:r w:rsidR="00CB3860">
              <w:rPr>
                <w:rFonts w:ascii="Arial Narrow" w:hAnsi="Arial Narrow"/>
                <w:sz w:val="20"/>
              </w:rPr>
              <w:t>%</w:t>
            </w:r>
          </w:p>
        </w:tc>
        <w:tc>
          <w:tcPr>
            <w:tcW w:w="695" w:type="pct"/>
            <w:shd w:val="clear" w:color="auto" w:fill="auto"/>
            <w:vAlign w:val="center"/>
          </w:tcPr>
          <w:p w:rsidR="00CB3860" w:rsidRPr="00310D68" w:rsidRDefault="00BE5FC9" w:rsidP="00AA1443">
            <w:pPr>
              <w:keepNext/>
              <w:keepLines/>
              <w:ind w:left="-38"/>
              <w:jc w:val="center"/>
              <w:rPr>
                <w:rFonts w:ascii="Arial Narrow" w:hAnsi="Arial Narrow"/>
                <w:sz w:val="20"/>
              </w:rPr>
            </w:pPr>
            <w:r>
              <w:rPr>
                <w:rFonts w:ascii="Arial Narrow" w:hAnsi="Arial Narrow"/>
                <w:noProof/>
                <w:color w:val="000000"/>
                <w:sz w:val="20"/>
                <w:highlight w:val="black"/>
              </w:rPr>
              <w:t>''''''</w:t>
            </w:r>
            <w:r w:rsidR="00CB3860">
              <w:rPr>
                <w:rFonts w:ascii="Arial Narrow" w:hAnsi="Arial Narrow"/>
                <w:sz w:val="20"/>
              </w:rPr>
              <w:t>%</w:t>
            </w:r>
          </w:p>
        </w:tc>
      </w:tr>
      <w:tr w:rsidR="00CB3860" w:rsidRPr="004E2ADC" w:rsidTr="004427D6">
        <w:tc>
          <w:tcPr>
            <w:tcW w:w="1529" w:type="pct"/>
            <w:shd w:val="clear" w:color="auto" w:fill="auto"/>
            <w:vAlign w:val="center"/>
          </w:tcPr>
          <w:p w:rsidR="00CB3860" w:rsidRPr="004E2ADC" w:rsidRDefault="00EE489E" w:rsidP="00AA1443">
            <w:pPr>
              <w:keepNext/>
              <w:keepLines/>
              <w:tabs>
                <w:tab w:val="left" w:pos="142"/>
              </w:tabs>
              <w:jc w:val="left"/>
              <w:rPr>
                <w:rFonts w:ascii="Arial Narrow" w:hAnsi="Arial Narrow"/>
                <w:sz w:val="20"/>
              </w:rPr>
            </w:pPr>
            <w:r>
              <w:rPr>
                <w:rFonts w:ascii="Arial Narrow" w:hAnsi="Arial Narrow"/>
                <w:sz w:val="20"/>
              </w:rPr>
              <w:t>Acli/Efor</w:t>
            </w:r>
            <w:r w:rsidR="00CB3860">
              <w:rPr>
                <w:rFonts w:ascii="Arial Narrow" w:hAnsi="Arial Narrow"/>
                <w:sz w:val="20"/>
              </w:rPr>
              <w:t xml:space="preserve"> patients</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5"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r>
      <w:tr w:rsidR="00CB3860" w:rsidRPr="004E2ADC" w:rsidTr="004427D6">
        <w:tc>
          <w:tcPr>
            <w:tcW w:w="1529" w:type="pct"/>
            <w:shd w:val="clear" w:color="auto" w:fill="auto"/>
            <w:vAlign w:val="center"/>
          </w:tcPr>
          <w:p w:rsidR="00CB3860" w:rsidRPr="004E2ADC" w:rsidRDefault="00EE489E" w:rsidP="00AA1443">
            <w:pPr>
              <w:keepNext/>
              <w:keepLines/>
              <w:tabs>
                <w:tab w:val="left" w:pos="142"/>
              </w:tabs>
              <w:jc w:val="left"/>
              <w:rPr>
                <w:rFonts w:ascii="Arial Narrow" w:hAnsi="Arial Narrow"/>
                <w:sz w:val="20"/>
              </w:rPr>
            </w:pPr>
            <w:r>
              <w:rPr>
                <w:rFonts w:ascii="Arial Narrow" w:hAnsi="Arial Narrow"/>
                <w:sz w:val="20"/>
              </w:rPr>
              <w:t>Acli/Efor</w:t>
            </w:r>
            <w:r w:rsidR="00CB3860">
              <w:rPr>
                <w:rFonts w:ascii="Arial Narrow" w:hAnsi="Arial Narrow"/>
                <w:sz w:val="20"/>
              </w:rPr>
              <w:t xml:space="preserve"> packs</w:t>
            </w:r>
            <w:r w:rsidR="004427D6">
              <w:rPr>
                <w:rFonts w:ascii="Arial Narrow" w:hAnsi="Arial Narrow"/>
                <w:sz w:val="20"/>
              </w:rPr>
              <w:t xml:space="preserve"> </w:t>
            </w:r>
            <w:r w:rsidR="004427D6" w:rsidRPr="004427D6">
              <w:rPr>
                <w:rFonts w:ascii="Arial Narrow" w:hAnsi="Arial Narrow"/>
                <w:sz w:val="20"/>
                <w:vertAlign w:val="superscript"/>
              </w:rPr>
              <w:t>a</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4"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c>
          <w:tcPr>
            <w:tcW w:w="695" w:type="pct"/>
            <w:shd w:val="clear" w:color="auto" w:fill="auto"/>
            <w:vAlign w:val="center"/>
          </w:tcPr>
          <w:p w:rsidR="00CB3860" w:rsidRPr="00BE5FC9" w:rsidRDefault="00BE5FC9" w:rsidP="00AA1443">
            <w:pPr>
              <w:keepNext/>
              <w:keepLines/>
              <w:ind w:left="-38"/>
              <w:jc w:val="center"/>
              <w:rPr>
                <w:rFonts w:ascii="Arial Narrow" w:hAnsi="Arial Narrow"/>
                <w:sz w:val="20"/>
                <w:highlight w:val="black"/>
              </w:rPr>
            </w:pPr>
            <w:r>
              <w:rPr>
                <w:rFonts w:ascii="Arial Narrow" w:hAnsi="Arial Narrow"/>
                <w:noProof/>
                <w:color w:val="000000"/>
                <w:sz w:val="20"/>
                <w:highlight w:val="black"/>
              </w:rPr>
              <w:t>''''''''''''''''''</w:t>
            </w:r>
          </w:p>
        </w:tc>
      </w:tr>
      <w:tr w:rsidR="00C25D9C" w:rsidRPr="004E2ADC" w:rsidTr="005D044D">
        <w:tc>
          <w:tcPr>
            <w:tcW w:w="5000" w:type="pct"/>
            <w:gridSpan w:val="6"/>
            <w:shd w:val="clear" w:color="auto" w:fill="auto"/>
            <w:vAlign w:val="center"/>
          </w:tcPr>
          <w:p w:rsidR="00C25D9C" w:rsidRPr="004E2ADC" w:rsidRDefault="00C25D9C" w:rsidP="00AA1443">
            <w:pPr>
              <w:keepNext/>
              <w:keepLines/>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CB3860" w:rsidRPr="004E2ADC" w:rsidTr="009F24EC">
        <w:tc>
          <w:tcPr>
            <w:tcW w:w="1529" w:type="pct"/>
            <w:shd w:val="clear" w:color="auto" w:fill="auto"/>
            <w:vAlign w:val="center"/>
          </w:tcPr>
          <w:p w:rsidR="00CB3860" w:rsidRPr="004E2ADC" w:rsidRDefault="00EE489E" w:rsidP="00AA1443">
            <w:pPr>
              <w:keepNext/>
              <w:keepLines/>
              <w:tabs>
                <w:tab w:val="left" w:pos="142"/>
              </w:tabs>
              <w:jc w:val="left"/>
              <w:rPr>
                <w:rFonts w:ascii="Arial Narrow" w:hAnsi="Arial Narrow"/>
                <w:sz w:val="20"/>
              </w:rPr>
            </w:pPr>
            <w:r>
              <w:rPr>
                <w:rFonts w:ascii="Arial Narrow" w:hAnsi="Arial Narrow"/>
                <w:sz w:val="19"/>
                <w:szCs w:val="19"/>
              </w:rPr>
              <w:t>Acli/Efor</w:t>
            </w:r>
            <w:r w:rsidR="00CB3860">
              <w:rPr>
                <w:rFonts w:ascii="Arial Narrow" w:hAnsi="Arial Narrow"/>
                <w:sz w:val="19"/>
                <w:szCs w:val="19"/>
              </w:rPr>
              <w:t xml:space="preserve"> c</w:t>
            </w:r>
            <w:r w:rsidR="00CB3860" w:rsidRPr="004E2ADC">
              <w:rPr>
                <w:rFonts w:ascii="Arial Narrow" w:hAnsi="Arial Narrow"/>
                <w:sz w:val="19"/>
                <w:szCs w:val="19"/>
              </w:rPr>
              <w:t>ost to PBS</w:t>
            </w:r>
            <w:r w:rsidR="00CB3860">
              <w:rPr>
                <w:rFonts w:ascii="Arial Narrow" w:hAnsi="Arial Narrow"/>
                <w:sz w:val="19"/>
                <w:szCs w:val="19"/>
              </w:rPr>
              <w:t>/RPBS</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w:t>
            </w:r>
            <w:r w:rsidR="00BE5FC9">
              <w:rPr>
                <w:rFonts w:ascii="Arial Narrow" w:hAnsi="Arial Narrow"/>
                <w:noProof/>
                <w:color w:val="000000"/>
                <w:sz w:val="20"/>
                <w:highlight w:val="black"/>
              </w:rPr>
              <w:t>''''''''''''''''''''''''''''</w:t>
            </w:r>
          </w:p>
        </w:tc>
        <w:tc>
          <w:tcPr>
            <w:tcW w:w="695"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w:t>
            </w:r>
            <w:r w:rsidR="00BE5FC9">
              <w:rPr>
                <w:rFonts w:ascii="Arial Narrow" w:hAnsi="Arial Narrow"/>
                <w:noProof/>
                <w:color w:val="000000"/>
                <w:sz w:val="20"/>
                <w:highlight w:val="black"/>
              </w:rPr>
              <w:t>''''''''''''''''''''''''</w:t>
            </w:r>
          </w:p>
        </w:tc>
      </w:tr>
      <w:tr w:rsidR="00CB3860" w:rsidRPr="004E2ADC" w:rsidTr="009F24EC">
        <w:tc>
          <w:tcPr>
            <w:tcW w:w="1529" w:type="pct"/>
            <w:shd w:val="clear" w:color="auto" w:fill="auto"/>
            <w:vAlign w:val="center"/>
          </w:tcPr>
          <w:p w:rsidR="00CB3860" w:rsidRPr="004E2ADC" w:rsidRDefault="00CB3860" w:rsidP="00AA1443">
            <w:pPr>
              <w:keepNext/>
              <w:keepLines/>
              <w:tabs>
                <w:tab w:val="left" w:pos="142"/>
              </w:tabs>
              <w:jc w:val="left"/>
              <w:rPr>
                <w:rFonts w:ascii="Arial Narrow" w:hAnsi="Arial Narrow"/>
                <w:sz w:val="20"/>
              </w:rPr>
            </w:pPr>
            <w:r>
              <w:rPr>
                <w:rFonts w:ascii="Arial Narrow" w:hAnsi="Arial Narrow"/>
                <w:sz w:val="19"/>
                <w:szCs w:val="19"/>
              </w:rPr>
              <w:t xml:space="preserve">Change in cost of other </w:t>
            </w:r>
            <w:r w:rsidR="00D8043A">
              <w:rPr>
                <w:rFonts w:ascii="Arial Narrow" w:hAnsi="Arial Narrow"/>
                <w:sz w:val="19"/>
                <w:szCs w:val="19"/>
              </w:rPr>
              <w:t xml:space="preserve">FDC </w:t>
            </w:r>
            <w:r>
              <w:rPr>
                <w:rFonts w:ascii="Arial Narrow" w:hAnsi="Arial Narrow"/>
                <w:sz w:val="19"/>
                <w:szCs w:val="19"/>
              </w:rPr>
              <w:t>drugs</w:t>
            </w:r>
          </w:p>
        </w:tc>
        <w:tc>
          <w:tcPr>
            <w:tcW w:w="694" w:type="pct"/>
            <w:shd w:val="clear" w:color="auto" w:fill="auto"/>
            <w:vAlign w:val="center"/>
          </w:tcPr>
          <w:p w:rsidR="00CB3860" w:rsidRPr="0049345E" w:rsidRDefault="00CB3860" w:rsidP="009F24EC">
            <w:pPr>
              <w:keepNext/>
              <w:keepLines/>
              <w:ind w:left="-38"/>
              <w:jc w:val="right"/>
              <w:rPr>
                <w:rFonts w:ascii="Arial Narrow" w:hAnsi="Arial Narrow"/>
                <w:sz w:val="20"/>
              </w:rPr>
            </w:pPr>
            <w:r>
              <w:rPr>
                <w:rFonts w:ascii="Arial Narrow" w:hAnsi="Arial Narrow"/>
                <w:sz w:val="20"/>
              </w:rPr>
              <w:t>-</w:t>
            </w:r>
            <w:r w:rsidRPr="0049345E">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49345E" w:rsidRDefault="00CB3860" w:rsidP="009F24EC">
            <w:pPr>
              <w:keepNext/>
              <w:keepLines/>
              <w:ind w:left="-38"/>
              <w:jc w:val="right"/>
              <w:rPr>
                <w:rFonts w:ascii="Arial Narrow" w:hAnsi="Arial Narrow"/>
                <w:sz w:val="20"/>
              </w:rPr>
            </w:pPr>
            <w:r>
              <w:rPr>
                <w:rFonts w:ascii="Arial Narrow" w:hAnsi="Arial Narrow"/>
                <w:sz w:val="20"/>
              </w:rPr>
              <w:t>-</w:t>
            </w:r>
            <w:r w:rsidRPr="0049345E">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49345E" w:rsidRDefault="00CB3860" w:rsidP="009F24EC">
            <w:pPr>
              <w:keepNext/>
              <w:keepLines/>
              <w:ind w:left="-38"/>
              <w:jc w:val="right"/>
              <w:rPr>
                <w:rFonts w:ascii="Arial Narrow" w:hAnsi="Arial Narrow"/>
                <w:sz w:val="20"/>
              </w:rPr>
            </w:pPr>
            <w:r>
              <w:rPr>
                <w:rFonts w:ascii="Arial Narrow" w:hAnsi="Arial Narrow"/>
                <w:sz w:val="20"/>
              </w:rPr>
              <w:t>-</w:t>
            </w:r>
            <w:r w:rsidRPr="0049345E">
              <w:rPr>
                <w:rFonts w:ascii="Arial Narrow" w:hAnsi="Arial Narrow"/>
                <w:sz w:val="20"/>
              </w:rPr>
              <w:t>$</w:t>
            </w:r>
            <w:r w:rsidR="00BE5FC9">
              <w:rPr>
                <w:rFonts w:ascii="Arial Narrow" w:hAnsi="Arial Narrow"/>
                <w:noProof/>
                <w:color w:val="000000"/>
                <w:sz w:val="20"/>
                <w:highlight w:val="black"/>
              </w:rPr>
              <w:t>''''''''''''''''''''''''</w:t>
            </w:r>
          </w:p>
        </w:tc>
        <w:tc>
          <w:tcPr>
            <w:tcW w:w="694" w:type="pct"/>
            <w:shd w:val="clear" w:color="auto" w:fill="auto"/>
            <w:vAlign w:val="center"/>
          </w:tcPr>
          <w:p w:rsidR="00CB3860" w:rsidRPr="0049345E" w:rsidRDefault="00CB3860" w:rsidP="009F24EC">
            <w:pPr>
              <w:keepNext/>
              <w:keepLines/>
              <w:ind w:left="-38"/>
              <w:jc w:val="right"/>
              <w:rPr>
                <w:rFonts w:ascii="Arial Narrow" w:hAnsi="Arial Narrow"/>
                <w:sz w:val="20"/>
              </w:rPr>
            </w:pPr>
            <w:r>
              <w:rPr>
                <w:rFonts w:ascii="Arial Narrow" w:hAnsi="Arial Narrow"/>
                <w:sz w:val="20"/>
              </w:rPr>
              <w:t>-</w:t>
            </w:r>
            <w:r w:rsidRPr="0049345E">
              <w:rPr>
                <w:rFonts w:ascii="Arial Narrow" w:hAnsi="Arial Narrow"/>
                <w:sz w:val="20"/>
              </w:rPr>
              <w:t>$</w:t>
            </w:r>
            <w:r w:rsidR="00BE5FC9">
              <w:rPr>
                <w:rFonts w:ascii="Arial Narrow" w:hAnsi="Arial Narrow"/>
                <w:noProof/>
                <w:color w:val="000000"/>
                <w:sz w:val="20"/>
                <w:highlight w:val="black"/>
              </w:rPr>
              <w:t>''''''''''''''''''''''''''</w:t>
            </w:r>
          </w:p>
        </w:tc>
        <w:tc>
          <w:tcPr>
            <w:tcW w:w="695" w:type="pct"/>
            <w:shd w:val="clear" w:color="auto" w:fill="auto"/>
            <w:vAlign w:val="center"/>
          </w:tcPr>
          <w:p w:rsidR="00CB3860" w:rsidRPr="0049345E" w:rsidRDefault="00CB3860" w:rsidP="009F24EC">
            <w:pPr>
              <w:keepNext/>
              <w:keepLines/>
              <w:ind w:left="-38"/>
              <w:jc w:val="right"/>
              <w:rPr>
                <w:rFonts w:ascii="Arial Narrow" w:hAnsi="Arial Narrow"/>
                <w:sz w:val="20"/>
              </w:rPr>
            </w:pPr>
            <w:r>
              <w:rPr>
                <w:rFonts w:ascii="Arial Narrow" w:hAnsi="Arial Narrow"/>
                <w:sz w:val="20"/>
              </w:rPr>
              <w:t>-</w:t>
            </w:r>
            <w:r w:rsidRPr="0049345E">
              <w:rPr>
                <w:rFonts w:ascii="Arial Narrow" w:hAnsi="Arial Narrow"/>
                <w:sz w:val="20"/>
              </w:rPr>
              <w:t>$</w:t>
            </w:r>
            <w:r w:rsidR="00BE5FC9">
              <w:rPr>
                <w:rFonts w:ascii="Arial Narrow" w:hAnsi="Arial Narrow"/>
                <w:noProof/>
                <w:color w:val="000000"/>
                <w:sz w:val="20"/>
                <w:highlight w:val="black"/>
              </w:rPr>
              <w:t>'''''''''''''''''''''''</w:t>
            </w:r>
          </w:p>
        </w:tc>
      </w:tr>
      <w:tr w:rsidR="00C25D9C" w:rsidRPr="004E2ADC" w:rsidTr="009F24EC">
        <w:tc>
          <w:tcPr>
            <w:tcW w:w="1529" w:type="pct"/>
            <w:shd w:val="clear" w:color="auto" w:fill="auto"/>
            <w:vAlign w:val="center"/>
          </w:tcPr>
          <w:p w:rsidR="00C25D9C" w:rsidRPr="004E2ADC" w:rsidRDefault="00CB3860" w:rsidP="00AA1443">
            <w:pPr>
              <w:keepNext/>
              <w:keepLines/>
              <w:tabs>
                <w:tab w:val="left" w:pos="142"/>
              </w:tabs>
              <w:jc w:val="left"/>
              <w:rPr>
                <w:rFonts w:ascii="Arial Narrow" w:hAnsi="Arial Narrow"/>
                <w:sz w:val="20"/>
              </w:rPr>
            </w:pPr>
            <w:r>
              <w:rPr>
                <w:rFonts w:ascii="Arial Narrow" w:hAnsi="Arial Narrow"/>
                <w:sz w:val="19"/>
                <w:szCs w:val="19"/>
              </w:rPr>
              <w:t>C</w:t>
            </w:r>
            <w:r w:rsidR="00C25D9C" w:rsidRPr="004E2ADC">
              <w:rPr>
                <w:rFonts w:ascii="Arial Narrow" w:hAnsi="Arial Narrow"/>
                <w:sz w:val="19"/>
                <w:szCs w:val="19"/>
              </w:rPr>
              <w:t>ost to MBS</w:t>
            </w:r>
          </w:p>
        </w:tc>
        <w:tc>
          <w:tcPr>
            <w:tcW w:w="694" w:type="pct"/>
            <w:shd w:val="clear" w:color="auto" w:fill="auto"/>
            <w:vAlign w:val="center"/>
          </w:tcPr>
          <w:p w:rsidR="00C25D9C"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25D9C"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25D9C"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25D9C"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5" w:type="pct"/>
            <w:shd w:val="clear" w:color="auto" w:fill="auto"/>
            <w:vAlign w:val="center"/>
          </w:tcPr>
          <w:p w:rsidR="00C25D9C"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r>
      <w:tr w:rsidR="00C25D9C" w:rsidRPr="004E2ADC" w:rsidTr="005D044D">
        <w:tc>
          <w:tcPr>
            <w:tcW w:w="5000" w:type="pct"/>
            <w:gridSpan w:val="6"/>
            <w:shd w:val="clear" w:color="auto" w:fill="auto"/>
            <w:vAlign w:val="center"/>
          </w:tcPr>
          <w:p w:rsidR="00C25D9C" w:rsidRPr="004E2ADC" w:rsidRDefault="00C25D9C" w:rsidP="00AA1443">
            <w:pPr>
              <w:keepNext/>
              <w:keepLines/>
              <w:jc w:val="left"/>
              <w:rPr>
                <w:rFonts w:ascii="Arial Narrow" w:hAnsi="Arial Narrow"/>
                <w:b/>
                <w:color w:val="000000"/>
                <w:sz w:val="20"/>
              </w:rPr>
            </w:pPr>
            <w:r w:rsidRPr="004E2ADC">
              <w:rPr>
                <w:rFonts w:ascii="Arial Narrow" w:hAnsi="Arial Narrow"/>
                <w:b/>
                <w:color w:val="000000"/>
                <w:sz w:val="20"/>
              </w:rPr>
              <w:t>Estimated total net cost</w:t>
            </w:r>
          </w:p>
        </w:tc>
      </w:tr>
      <w:tr w:rsidR="00CB3860" w:rsidRPr="004E2ADC" w:rsidTr="009F24EC">
        <w:tc>
          <w:tcPr>
            <w:tcW w:w="1529" w:type="pct"/>
            <w:shd w:val="clear" w:color="auto" w:fill="auto"/>
            <w:vAlign w:val="center"/>
          </w:tcPr>
          <w:p w:rsidR="00CB3860" w:rsidRPr="00145540" w:rsidRDefault="00CB3860" w:rsidP="00AA1443">
            <w:pPr>
              <w:keepNext/>
              <w:keepLines/>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4"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c>
          <w:tcPr>
            <w:tcW w:w="695" w:type="pct"/>
            <w:shd w:val="clear" w:color="auto" w:fill="auto"/>
            <w:vAlign w:val="center"/>
          </w:tcPr>
          <w:p w:rsidR="00CB3860" w:rsidRPr="00CB3860" w:rsidRDefault="00CB3860" w:rsidP="009F24EC">
            <w:pPr>
              <w:keepNext/>
              <w:keepLines/>
              <w:ind w:left="-38"/>
              <w:jc w:val="right"/>
              <w:rPr>
                <w:rFonts w:ascii="Arial Narrow" w:hAnsi="Arial Narrow"/>
                <w:sz w:val="20"/>
              </w:rPr>
            </w:pPr>
            <w:r w:rsidRPr="00CB3860">
              <w:rPr>
                <w:rFonts w:ascii="Arial Narrow" w:hAnsi="Arial Narrow"/>
                <w:sz w:val="20"/>
              </w:rPr>
              <w:t>$0</w:t>
            </w:r>
          </w:p>
        </w:tc>
      </w:tr>
    </w:tbl>
    <w:p w:rsidR="004427D6" w:rsidRPr="0018180D" w:rsidRDefault="004427D6" w:rsidP="00AA1443">
      <w:pPr>
        <w:pStyle w:val="TableFooter"/>
        <w:keepNext/>
        <w:keepLines/>
        <w:ind w:left="709"/>
      </w:pPr>
      <w:r w:rsidRPr="0018180D">
        <w:t xml:space="preserve">Source: </w:t>
      </w:r>
      <w:r w:rsidR="008D119C" w:rsidRPr="0018180D">
        <w:t>Table E-13</w:t>
      </w:r>
      <w:r w:rsidR="008D119C">
        <w:t>,</w:t>
      </w:r>
      <w:r w:rsidR="008D119C" w:rsidRPr="0018180D">
        <w:t xml:space="preserve"> p</w:t>
      </w:r>
      <w:r w:rsidR="008D119C">
        <w:t>p</w:t>
      </w:r>
      <w:r w:rsidR="008D119C" w:rsidRPr="0018180D">
        <w:t>127-128 of the submission</w:t>
      </w:r>
    </w:p>
    <w:p w:rsidR="00C25D9C" w:rsidRPr="0018180D" w:rsidRDefault="00C25D9C" w:rsidP="00AA1443">
      <w:pPr>
        <w:pStyle w:val="TableFooter"/>
        <w:keepNext/>
        <w:keepLines/>
        <w:ind w:left="709"/>
      </w:pPr>
      <w:r w:rsidRPr="0005304E">
        <w:rPr>
          <w:vertAlign w:val="superscript"/>
        </w:rPr>
        <w:t>a</w:t>
      </w:r>
      <w:r w:rsidRPr="0018180D">
        <w:t xml:space="preserve"> Assuming </w:t>
      </w:r>
      <w:r w:rsidR="004427D6" w:rsidRPr="0018180D">
        <w:t>12.2</w:t>
      </w:r>
      <w:r w:rsidRPr="0018180D">
        <w:t xml:space="preserve"> </w:t>
      </w:r>
      <w:r w:rsidR="004427D6" w:rsidRPr="0018180D">
        <w:t xml:space="preserve">packs </w:t>
      </w:r>
      <w:r w:rsidRPr="0018180D">
        <w:t>per year</w:t>
      </w:r>
      <w:r w:rsidR="004427D6" w:rsidRPr="0018180D">
        <w:t xml:space="preserve"> as calculated by the submission</w:t>
      </w:r>
    </w:p>
    <w:p w:rsidR="00C25D9C" w:rsidRDefault="0018180D" w:rsidP="00AA1443">
      <w:pPr>
        <w:pStyle w:val="TableFooter"/>
        <w:keepNext/>
        <w:keepLines/>
        <w:ind w:left="709"/>
      </w:pPr>
      <w:r w:rsidRPr="0018180D">
        <w:t xml:space="preserve">FDC = </w:t>
      </w:r>
      <w:r w:rsidR="00A4795A">
        <w:t>fixed dose</w:t>
      </w:r>
      <w:r w:rsidRPr="0018180D">
        <w:t xml:space="preserve"> combination; LAMA = long-acting muscarinic antagonist; LABA = </w:t>
      </w:r>
      <w:r w:rsidR="009F24EC" w:rsidRPr="009F24EC">
        <w:t>long-acting</w:t>
      </w:r>
      <w:r w:rsidR="00C46A06">
        <w:t xml:space="preserve"> selective</w:t>
      </w:r>
      <w:r w:rsidR="009F24EC" w:rsidRPr="009F24EC">
        <w:t xml:space="preserve"> β</w:t>
      </w:r>
      <w:r w:rsidR="009F24EC" w:rsidRPr="00322704">
        <w:rPr>
          <w:vertAlign w:val="subscript"/>
        </w:rPr>
        <w:t>2</w:t>
      </w:r>
      <w:r w:rsidR="009F24EC" w:rsidRPr="009F24EC">
        <w:t xml:space="preserve"> agonist</w:t>
      </w:r>
      <w:r w:rsidRPr="0018180D">
        <w:t xml:space="preserve">; </w:t>
      </w:r>
      <w:r w:rsidR="004917A4" w:rsidRPr="00CC0CD8">
        <w:t>Acli/Ef</w:t>
      </w:r>
      <w:r w:rsidR="001F6E14">
        <w:t>or = </w:t>
      </w:r>
      <w:r w:rsidR="004917A4">
        <w:t>aclidinium/eformoterol FDC;</w:t>
      </w:r>
      <w:r w:rsidR="004917A4" w:rsidRPr="00B43AC2">
        <w:t xml:space="preserve"> </w:t>
      </w:r>
      <w:r w:rsidR="00B43AC2" w:rsidRPr="00B43AC2">
        <w:t>PBS</w:t>
      </w:r>
      <w:r w:rsidR="00B1115A">
        <w:t xml:space="preserve"> </w:t>
      </w:r>
      <w:r w:rsidR="00B43AC2" w:rsidRPr="00B43AC2">
        <w:t>=</w:t>
      </w:r>
      <w:r w:rsidR="00B1115A">
        <w:t xml:space="preserve"> </w:t>
      </w:r>
      <w:r w:rsidR="00B43AC2" w:rsidRPr="00B43AC2">
        <w:t>Pharmaceutical Benefits Scheme; RPBS = Repatriation Pharmaceutical Benefits Scheme</w:t>
      </w:r>
      <w:r w:rsidR="00B43AC2">
        <w:t>;</w:t>
      </w:r>
      <w:r w:rsidR="00AA1443" w:rsidRPr="00AA1443">
        <w:t xml:space="preserve"> MBS = Medicare Benefits Schedule</w:t>
      </w:r>
    </w:p>
    <w:p w:rsidR="00B43AC2" w:rsidRDefault="00B43AC2" w:rsidP="00B43AC2"/>
    <w:p w:rsidR="00822713" w:rsidRPr="00233AF1" w:rsidRDefault="00822713" w:rsidP="00822713">
      <w:pPr>
        <w:widowControl/>
        <w:tabs>
          <w:tab w:val="left" w:pos="5372"/>
        </w:tabs>
        <w:ind w:left="709"/>
        <w:rPr>
          <w:i/>
          <w:szCs w:val="22"/>
        </w:rPr>
      </w:pPr>
      <w:r w:rsidRPr="00233AF1">
        <w:rPr>
          <w:i/>
          <w:szCs w:val="22"/>
        </w:rPr>
        <w:t>The redacted table above</w:t>
      </w:r>
      <w:r>
        <w:rPr>
          <w:i/>
          <w:szCs w:val="22"/>
        </w:rPr>
        <w:t xml:space="preserve"> shows that in Year 5, the estimated number of aclidinium/eformoterol</w:t>
      </w:r>
      <w:r w:rsidRPr="00233AF1">
        <w:rPr>
          <w:i/>
          <w:szCs w:val="22"/>
        </w:rPr>
        <w:t xml:space="preserve"> FDC</w:t>
      </w:r>
      <w:r>
        <w:rPr>
          <w:i/>
          <w:szCs w:val="22"/>
        </w:rPr>
        <w:t xml:space="preserve"> </w:t>
      </w:r>
      <w:r w:rsidR="00706939">
        <w:rPr>
          <w:i/>
          <w:szCs w:val="22"/>
        </w:rPr>
        <w:t>packs</w:t>
      </w:r>
      <w:r>
        <w:rPr>
          <w:i/>
          <w:szCs w:val="22"/>
        </w:rPr>
        <w:t xml:space="preserve"> was over 200,000 and there would be zero net cost to the PBS/RPBS.</w:t>
      </w:r>
    </w:p>
    <w:p w:rsidR="00822713" w:rsidRPr="00C25D9C" w:rsidRDefault="00822713" w:rsidP="00B43AC2"/>
    <w:p w:rsidR="00EC0874" w:rsidRPr="00E0164F" w:rsidRDefault="00440131" w:rsidP="00EB0FDB">
      <w:pPr>
        <w:pStyle w:val="ListParagraph"/>
        <w:widowControl/>
        <w:numPr>
          <w:ilvl w:val="1"/>
          <w:numId w:val="4"/>
        </w:numPr>
        <w:rPr>
          <w:szCs w:val="22"/>
        </w:rPr>
      </w:pPr>
      <w:r w:rsidRPr="00E0164F">
        <w:t xml:space="preserve">The submission estimated the net </w:t>
      </w:r>
      <w:r w:rsidR="003E3878" w:rsidRPr="00E0164F">
        <w:t xml:space="preserve">cost </w:t>
      </w:r>
      <w:r w:rsidR="00221AFB" w:rsidRPr="00E0164F">
        <w:t xml:space="preserve">to PBS </w:t>
      </w:r>
      <w:r w:rsidR="003E3878" w:rsidRPr="00E0164F">
        <w:t xml:space="preserve">of aclidinium/eformoterol FDC listing </w:t>
      </w:r>
      <w:r w:rsidRPr="00E0164F">
        <w:t>as nil in all years</w:t>
      </w:r>
      <w:r w:rsidR="002D393D" w:rsidRPr="00E0164F">
        <w:t>, resulting from a</w:t>
      </w:r>
      <w:r w:rsidRPr="00E0164F">
        <w:t xml:space="preserve"> substitution of existing FDC products and assumed no additional market growth </w:t>
      </w:r>
      <w:r w:rsidR="00980056" w:rsidRPr="00E0164F">
        <w:rPr>
          <w:szCs w:val="24"/>
        </w:rPr>
        <w:t>which may not have been</w:t>
      </w:r>
      <w:r w:rsidR="00B94B3D" w:rsidRPr="00E0164F">
        <w:rPr>
          <w:szCs w:val="24"/>
        </w:rPr>
        <w:t xml:space="preserve"> reasonable.</w:t>
      </w:r>
      <w:r w:rsidR="003E3878" w:rsidRPr="00E0164F">
        <w:t xml:space="preserve"> </w:t>
      </w:r>
    </w:p>
    <w:p w:rsidR="00B94B3D" w:rsidRPr="00E0164F" w:rsidRDefault="00B94B3D" w:rsidP="00C46A06">
      <w:pPr>
        <w:pStyle w:val="ListParagraph"/>
        <w:numPr>
          <w:ilvl w:val="0"/>
          <w:numId w:val="14"/>
        </w:numPr>
        <w:ind w:left="993" w:hanging="284"/>
      </w:pPr>
      <w:r w:rsidRPr="00E0164F">
        <w:rPr>
          <w:szCs w:val="24"/>
        </w:rPr>
        <w:t>If aclidinium/eformoterol FDC would result in a larger growth of the LAMA/LABA FDC market by replacing monotherapy, th</w:t>
      </w:r>
      <w:r w:rsidR="00C94A38" w:rsidRPr="00E0164F">
        <w:rPr>
          <w:szCs w:val="24"/>
        </w:rPr>
        <w:t>ere could be a cost to the PBS.</w:t>
      </w:r>
    </w:p>
    <w:p w:rsidR="00C25D9C" w:rsidRPr="00E0164F" w:rsidRDefault="00EC0874" w:rsidP="00C46A06">
      <w:pPr>
        <w:pStyle w:val="ListParagraph"/>
        <w:numPr>
          <w:ilvl w:val="0"/>
          <w:numId w:val="14"/>
        </w:numPr>
        <w:ind w:left="993" w:hanging="284"/>
      </w:pPr>
      <w:r w:rsidRPr="00E0164F">
        <w:t>T</w:t>
      </w:r>
      <w:r w:rsidR="003E3878" w:rsidRPr="00E0164F">
        <w:t xml:space="preserve">he overall size of the FDC market </w:t>
      </w:r>
      <w:r w:rsidR="00B94B3D" w:rsidRPr="00E0164F">
        <w:t xml:space="preserve">might </w:t>
      </w:r>
      <w:r w:rsidR="003E3878" w:rsidRPr="00E0164F">
        <w:t xml:space="preserve">be an under or overestimate because </w:t>
      </w:r>
      <w:r w:rsidR="000A1CA0" w:rsidRPr="00E0164F">
        <w:t>the calculations</w:t>
      </w:r>
      <w:r w:rsidR="003E3878" w:rsidRPr="00E0164F">
        <w:t xml:space="preserve"> w</w:t>
      </w:r>
      <w:r w:rsidR="000A1CA0" w:rsidRPr="00E0164F">
        <w:t>ere</w:t>
      </w:r>
      <w:r w:rsidR="003E3878" w:rsidRPr="00E0164F">
        <w:t xml:space="preserve"> mainly based on assumptions and international data</w:t>
      </w:r>
      <w:r w:rsidR="003E0DF1" w:rsidRPr="00E0164F">
        <w:t xml:space="preserve"> that </w:t>
      </w:r>
      <w:r w:rsidR="000A1CA0" w:rsidRPr="00E0164F">
        <w:t>were</w:t>
      </w:r>
      <w:r w:rsidR="003E0DF1" w:rsidRPr="00E0164F">
        <w:t xml:space="preserve"> not verified in the Australian context</w:t>
      </w:r>
      <w:r w:rsidR="003E3878" w:rsidRPr="00E0164F">
        <w:t>.</w:t>
      </w:r>
      <w:r w:rsidR="00EA6747" w:rsidRPr="00E0164F">
        <w:t xml:space="preserve"> Some of the assumptions were explored in sensitivity analys</w:t>
      </w:r>
      <w:r w:rsidR="00B94B3D" w:rsidRPr="00E0164F">
        <w:t>e</w:t>
      </w:r>
      <w:r w:rsidR="00C94A38" w:rsidRPr="00E0164F">
        <w:t>s.</w:t>
      </w:r>
      <w:r w:rsidR="00DB3EF0" w:rsidRPr="00E0164F">
        <w:t xml:space="preserve"> The PSCR</w:t>
      </w:r>
      <w:r w:rsidR="000A3469" w:rsidRPr="00E0164F">
        <w:t xml:space="preserve"> </w:t>
      </w:r>
      <w:r w:rsidR="00DB3EF0" w:rsidRPr="00E0164F">
        <w:t>argued that using utilisation as presented by Henderson (2012) or current market share data from the Department of Human Services, as suggested by the evaluation, would not be appropriate as Henderson (2012) does not include the use of the primary comparators nominated in the submission and is not informative with regard to current Australian prescribing and clinical management, and market share data from the Department of Human Services does not include mature data on the primary comparators as they had been listed on the PBS for less than 6 months at the time of submission.</w:t>
      </w:r>
    </w:p>
    <w:p w:rsidR="00EC0874" w:rsidRPr="00E0164F" w:rsidRDefault="00EC0874" w:rsidP="00C46A06">
      <w:pPr>
        <w:pStyle w:val="ListParagraph"/>
        <w:numPr>
          <w:ilvl w:val="0"/>
          <w:numId w:val="14"/>
        </w:numPr>
        <w:ind w:left="993" w:hanging="284"/>
      </w:pPr>
      <w:r w:rsidRPr="00E0164F">
        <w:rPr>
          <w:szCs w:val="24"/>
        </w:rPr>
        <w:t xml:space="preserve">The number of packs per patient per year did not account for compliance issues. </w:t>
      </w:r>
      <w:r w:rsidR="00DB3EF0" w:rsidRPr="00E0164F">
        <w:rPr>
          <w:szCs w:val="24"/>
        </w:rPr>
        <w:t>The PSCR</w:t>
      </w:r>
      <w:r w:rsidR="000A3469" w:rsidRPr="00E0164F">
        <w:rPr>
          <w:szCs w:val="24"/>
        </w:rPr>
        <w:t xml:space="preserve"> </w:t>
      </w:r>
      <w:r w:rsidR="00DB3EF0" w:rsidRPr="00E0164F">
        <w:rPr>
          <w:szCs w:val="24"/>
        </w:rPr>
        <w:t>claim</w:t>
      </w:r>
      <w:r w:rsidR="00540DDD" w:rsidRPr="00E0164F">
        <w:rPr>
          <w:szCs w:val="24"/>
        </w:rPr>
        <w:t>ed</w:t>
      </w:r>
      <w:r w:rsidR="00DB3EF0" w:rsidRPr="00E0164F">
        <w:rPr>
          <w:szCs w:val="24"/>
        </w:rPr>
        <w:t xml:space="preserve"> that the submission took a conservative position in assuming no compliance issues or wastage. The ESC agreed </w:t>
      </w:r>
      <w:r w:rsidR="0041470D" w:rsidRPr="00E0164F">
        <w:rPr>
          <w:szCs w:val="24"/>
        </w:rPr>
        <w:t>that</w:t>
      </w:r>
      <w:r w:rsidR="00DB3EF0" w:rsidRPr="00E0164F">
        <w:rPr>
          <w:szCs w:val="24"/>
        </w:rPr>
        <w:t xml:space="preserve"> this approach</w:t>
      </w:r>
      <w:r w:rsidR="0041470D" w:rsidRPr="00E0164F">
        <w:rPr>
          <w:szCs w:val="24"/>
        </w:rPr>
        <w:t xml:space="preserve"> was conservative, noting that the estimated number of packs may be overestimated</w:t>
      </w:r>
      <w:r w:rsidR="00DB3EF0" w:rsidRPr="00E0164F">
        <w:rPr>
          <w:szCs w:val="24"/>
        </w:rPr>
        <w:t>.</w:t>
      </w:r>
    </w:p>
    <w:p w:rsidR="00576972" w:rsidRDefault="00576972" w:rsidP="00576972">
      <w:pPr>
        <w:widowControl/>
        <w:rPr>
          <w:szCs w:val="22"/>
        </w:rPr>
      </w:pPr>
    </w:p>
    <w:p w:rsidR="00576972" w:rsidRPr="002C2775" w:rsidRDefault="00576972" w:rsidP="002C2775">
      <w:pPr>
        <w:pStyle w:val="Heading2"/>
        <w:rPr>
          <w:i/>
        </w:rPr>
      </w:pPr>
      <w:bookmarkStart w:id="16" w:name="_Toc419455601"/>
      <w:r w:rsidRPr="002C2775">
        <w:rPr>
          <w:i/>
        </w:rPr>
        <w:t>Quality Use of Medicines</w:t>
      </w:r>
      <w:bookmarkEnd w:id="16"/>
    </w:p>
    <w:p w:rsidR="00576972" w:rsidRPr="00E0164F" w:rsidRDefault="00576972" w:rsidP="00576972">
      <w:pPr>
        <w:widowControl/>
        <w:rPr>
          <w:szCs w:val="22"/>
        </w:rPr>
      </w:pPr>
    </w:p>
    <w:p w:rsidR="00A24AC1" w:rsidRPr="00A24AC1" w:rsidRDefault="00924D7A" w:rsidP="00E0164F">
      <w:pPr>
        <w:pStyle w:val="ListParagraph"/>
        <w:widowControl/>
        <w:numPr>
          <w:ilvl w:val="1"/>
          <w:numId w:val="4"/>
        </w:numPr>
      </w:pPr>
      <w:r w:rsidRPr="00E0164F">
        <w:t xml:space="preserve">The submission provided information regarding </w:t>
      </w:r>
      <w:r w:rsidR="009163CB" w:rsidRPr="00E0164F">
        <w:t xml:space="preserve">patient compliance </w:t>
      </w:r>
      <w:r w:rsidR="00A25848" w:rsidRPr="00E0164F">
        <w:t>in the context of</w:t>
      </w:r>
      <w:r w:rsidR="0032086E" w:rsidRPr="00E0164F">
        <w:t xml:space="preserve"> satisfaction with the inhaler use</w:t>
      </w:r>
      <w:r w:rsidRPr="00E0164F">
        <w:t>.</w:t>
      </w:r>
      <w:r w:rsidR="002B7A44" w:rsidRPr="00E0164F">
        <w:t xml:space="preserve"> The ESC </w:t>
      </w:r>
      <w:r w:rsidR="00761A15" w:rsidRPr="00E0164F">
        <w:t>noted</w:t>
      </w:r>
      <w:r w:rsidR="002B7A44" w:rsidRPr="00E0164F">
        <w:t xml:space="preserve"> that the associations between treatment adherence, patient satisfaction and health outcomes (i.e. exacerbations and hospitalisations) </w:t>
      </w:r>
      <w:r w:rsidR="002B1D5C" w:rsidRPr="00E0164F">
        <w:t>were</w:t>
      </w:r>
      <w:r w:rsidR="002B7A44" w:rsidRPr="00E0164F">
        <w:t xml:space="preserve"> not reliable given the study was cross-sectional and treatment adherence was determined by participating physicians who had selected patients for study inclusion. The validity of the adherence measure could not be confirmed. Further, the impact of other treatment related factors known to influence adherence (e.g. dosing regimen, cost and side effects) were not accounted for. The association between treatment adherence and health outcomes was weak and should be interpreted with caution.</w:t>
      </w:r>
    </w:p>
    <w:p w:rsidR="008F4E1B" w:rsidRDefault="008F4E1B" w:rsidP="00AF77C4">
      <w:pPr>
        <w:pStyle w:val="TableFooter"/>
      </w:pPr>
    </w:p>
    <w:p w:rsidR="00E0164F" w:rsidRDefault="00E0164F" w:rsidP="00F7240E">
      <w:pPr>
        <w:pStyle w:val="TableFooter"/>
        <w:ind w:firstLine="720"/>
        <w:rPr>
          <w:rFonts w:ascii="Arial" w:hAnsi="Arial"/>
          <w:i/>
          <w:sz w:val="22"/>
          <w:szCs w:val="22"/>
        </w:rPr>
      </w:pPr>
      <w:r w:rsidRPr="00F7240E">
        <w:rPr>
          <w:rFonts w:ascii="Arial" w:hAnsi="Arial"/>
          <w:i/>
          <w:sz w:val="22"/>
          <w:szCs w:val="22"/>
        </w:rPr>
        <w:t>For more detail on PBAC’s view, see section 7 “PBAC outcome”</w:t>
      </w:r>
    </w:p>
    <w:p w:rsidR="00E0164F" w:rsidRDefault="00E0164F" w:rsidP="00E0164F">
      <w:pPr>
        <w:pStyle w:val="TableFooter"/>
        <w:rPr>
          <w:rFonts w:ascii="Arial" w:hAnsi="Arial"/>
          <w:i/>
          <w:sz w:val="22"/>
          <w:szCs w:val="22"/>
        </w:rPr>
      </w:pPr>
    </w:p>
    <w:p w:rsidR="00E0164F" w:rsidRDefault="00E0164F" w:rsidP="00E0164F">
      <w:pPr>
        <w:pStyle w:val="TableFooter"/>
        <w:rPr>
          <w:rFonts w:ascii="Arial" w:hAnsi="Arial"/>
          <w:i/>
          <w:sz w:val="22"/>
          <w:szCs w:val="22"/>
        </w:rPr>
      </w:pPr>
    </w:p>
    <w:p w:rsidR="00E0164F" w:rsidRPr="006464D3" w:rsidRDefault="00E0164F" w:rsidP="00E0164F">
      <w:pPr>
        <w:numPr>
          <w:ilvl w:val="0"/>
          <w:numId w:val="4"/>
        </w:numPr>
        <w:rPr>
          <w:b/>
          <w:bCs/>
          <w:szCs w:val="22"/>
        </w:rPr>
      </w:pPr>
      <w:r w:rsidRPr="006464D3">
        <w:rPr>
          <w:b/>
          <w:bCs/>
          <w:szCs w:val="22"/>
        </w:rPr>
        <w:t>PBAC Outcome</w:t>
      </w:r>
    </w:p>
    <w:p w:rsidR="00E0164F" w:rsidRPr="006C307E" w:rsidRDefault="00E0164F" w:rsidP="00E0164F">
      <w:pPr>
        <w:contextualSpacing/>
        <w:rPr>
          <w:b/>
          <w:bCs/>
          <w:szCs w:val="22"/>
          <w:highlight w:val="yellow"/>
          <w:lang w:val="en-GB"/>
        </w:rPr>
      </w:pPr>
    </w:p>
    <w:p w:rsidR="00461424" w:rsidRDefault="00E0226E" w:rsidP="00E0226E">
      <w:pPr>
        <w:pStyle w:val="ListParagraph"/>
        <w:widowControl/>
        <w:numPr>
          <w:ilvl w:val="1"/>
          <w:numId w:val="4"/>
        </w:numPr>
        <w:rPr>
          <w:szCs w:val="22"/>
        </w:rPr>
      </w:pPr>
      <w:r>
        <w:rPr>
          <w:szCs w:val="22"/>
        </w:rPr>
        <w:t>The PBAC recommended the listing of aclidinium</w:t>
      </w:r>
      <w:r w:rsidR="00461424">
        <w:rPr>
          <w:szCs w:val="22"/>
        </w:rPr>
        <w:t>/</w:t>
      </w:r>
      <w:r>
        <w:rPr>
          <w:szCs w:val="22"/>
        </w:rPr>
        <w:t>eformoterol FDC as an Authority required (STREAMLINED) benefit for the treatment of chronic obstructive pulmonary disease for patients already stabilised on concomitant LAMA and LABA therapy.</w:t>
      </w:r>
    </w:p>
    <w:p w:rsidR="00461424" w:rsidRDefault="00461424" w:rsidP="00461424">
      <w:pPr>
        <w:pStyle w:val="ListParagraph"/>
        <w:widowControl/>
        <w:rPr>
          <w:szCs w:val="22"/>
        </w:rPr>
      </w:pPr>
    </w:p>
    <w:p w:rsidR="00E0226E" w:rsidRDefault="00E0226E" w:rsidP="00E0226E">
      <w:pPr>
        <w:pStyle w:val="ListParagraph"/>
        <w:widowControl/>
        <w:numPr>
          <w:ilvl w:val="1"/>
          <w:numId w:val="4"/>
        </w:numPr>
        <w:rPr>
          <w:szCs w:val="22"/>
        </w:rPr>
      </w:pPr>
      <w:r>
        <w:rPr>
          <w:szCs w:val="22"/>
        </w:rPr>
        <w:t>The PBAC recommended the listing on a cost-minimisation basis to the existing LAMA/LABA fixed dose combinations, umeclidinium/vilanterol and glycopyrronium/indacaterol. The equi-effective d</w:t>
      </w:r>
      <w:r w:rsidR="00F46083">
        <w:rPr>
          <w:szCs w:val="22"/>
        </w:rPr>
        <w:t xml:space="preserve">oses are </w:t>
      </w:r>
      <w:r w:rsidR="00461424">
        <w:rPr>
          <w:szCs w:val="22"/>
        </w:rPr>
        <w:t xml:space="preserve">considered to be </w:t>
      </w:r>
      <w:r w:rsidR="00F46083">
        <w:rPr>
          <w:szCs w:val="22"/>
        </w:rPr>
        <w:t>aclidinium</w:t>
      </w:r>
      <w:r w:rsidR="00461424">
        <w:rPr>
          <w:szCs w:val="22"/>
        </w:rPr>
        <w:t xml:space="preserve"> 340 microgram with </w:t>
      </w:r>
      <w:r w:rsidR="00F46083">
        <w:rPr>
          <w:szCs w:val="22"/>
        </w:rPr>
        <w:t>eformoterol</w:t>
      </w:r>
      <w:r w:rsidR="00136842">
        <w:rPr>
          <w:szCs w:val="22"/>
        </w:rPr>
        <w:t xml:space="preserve"> 12 microgram </w:t>
      </w:r>
      <w:r w:rsidR="001B3433">
        <w:rPr>
          <w:szCs w:val="22"/>
        </w:rPr>
        <w:t>(</w:t>
      </w:r>
      <w:r w:rsidR="00136842">
        <w:rPr>
          <w:szCs w:val="22"/>
        </w:rPr>
        <w:t>twice daily</w:t>
      </w:r>
      <w:r w:rsidR="001B3433">
        <w:rPr>
          <w:szCs w:val="22"/>
        </w:rPr>
        <w:t>)</w:t>
      </w:r>
      <w:r>
        <w:rPr>
          <w:szCs w:val="22"/>
        </w:rPr>
        <w:t>, umeclidini</w:t>
      </w:r>
      <w:r w:rsidR="00136842">
        <w:rPr>
          <w:szCs w:val="22"/>
        </w:rPr>
        <w:t>um</w:t>
      </w:r>
      <w:r w:rsidR="001B3433">
        <w:rPr>
          <w:szCs w:val="22"/>
        </w:rPr>
        <w:t xml:space="preserve"> 62.5</w:t>
      </w:r>
      <w:r w:rsidR="00A95F9E">
        <w:rPr>
          <w:szCs w:val="22"/>
        </w:rPr>
        <w:t> </w:t>
      </w:r>
      <w:r w:rsidR="001B3433">
        <w:rPr>
          <w:szCs w:val="22"/>
        </w:rPr>
        <w:t xml:space="preserve">microgram with </w:t>
      </w:r>
      <w:r w:rsidR="00136842">
        <w:rPr>
          <w:szCs w:val="22"/>
        </w:rPr>
        <w:t>vilanterol 25 </w:t>
      </w:r>
      <w:r>
        <w:rPr>
          <w:szCs w:val="22"/>
        </w:rPr>
        <w:t>microgram</w:t>
      </w:r>
      <w:r w:rsidR="00136842">
        <w:rPr>
          <w:szCs w:val="22"/>
        </w:rPr>
        <w:t xml:space="preserve"> </w:t>
      </w:r>
      <w:r w:rsidR="001B3433">
        <w:rPr>
          <w:szCs w:val="22"/>
        </w:rPr>
        <w:t>(</w:t>
      </w:r>
      <w:r w:rsidR="00136842">
        <w:rPr>
          <w:szCs w:val="22"/>
        </w:rPr>
        <w:t>daily</w:t>
      </w:r>
      <w:r w:rsidR="001B3433">
        <w:rPr>
          <w:szCs w:val="22"/>
        </w:rPr>
        <w:t>)</w:t>
      </w:r>
      <w:r>
        <w:rPr>
          <w:szCs w:val="22"/>
        </w:rPr>
        <w:t>, and glycopyrronium</w:t>
      </w:r>
      <w:r w:rsidR="00A95F9E">
        <w:rPr>
          <w:szCs w:val="22"/>
        </w:rPr>
        <w:t xml:space="preserve"> 50 </w:t>
      </w:r>
      <w:r w:rsidR="001B3433">
        <w:rPr>
          <w:szCs w:val="22"/>
        </w:rPr>
        <w:t xml:space="preserve">microgram with </w:t>
      </w:r>
      <w:r>
        <w:rPr>
          <w:szCs w:val="22"/>
        </w:rPr>
        <w:t>indacaterol 110</w:t>
      </w:r>
      <w:r w:rsidR="00136842">
        <w:rPr>
          <w:szCs w:val="22"/>
        </w:rPr>
        <w:t> </w:t>
      </w:r>
      <w:r>
        <w:rPr>
          <w:szCs w:val="22"/>
        </w:rPr>
        <w:t>microgram</w:t>
      </w:r>
      <w:r w:rsidR="001B3433">
        <w:rPr>
          <w:szCs w:val="22"/>
        </w:rPr>
        <w:t xml:space="preserve"> (</w:t>
      </w:r>
      <w:r w:rsidR="00136842">
        <w:rPr>
          <w:szCs w:val="22"/>
        </w:rPr>
        <w:t>daily</w:t>
      </w:r>
      <w:r w:rsidR="001B3433">
        <w:rPr>
          <w:szCs w:val="22"/>
        </w:rPr>
        <w:t>)</w:t>
      </w:r>
      <w:r>
        <w:rPr>
          <w:szCs w:val="22"/>
        </w:rPr>
        <w:t>.</w:t>
      </w:r>
      <w:r w:rsidR="00136842">
        <w:rPr>
          <w:szCs w:val="22"/>
        </w:rPr>
        <w:t xml:space="preserve"> </w:t>
      </w:r>
    </w:p>
    <w:p w:rsidR="00E0226E" w:rsidRDefault="00E0226E" w:rsidP="00E0226E">
      <w:pPr>
        <w:pStyle w:val="ListParagraph"/>
        <w:widowControl/>
        <w:rPr>
          <w:szCs w:val="22"/>
        </w:rPr>
      </w:pPr>
    </w:p>
    <w:p w:rsidR="00E0226E" w:rsidRDefault="00E0226E" w:rsidP="00E0226E">
      <w:pPr>
        <w:pStyle w:val="ListParagraph"/>
        <w:widowControl/>
        <w:numPr>
          <w:ilvl w:val="1"/>
          <w:numId w:val="4"/>
        </w:numPr>
        <w:rPr>
          <w:szCs w:val="22"/>
        </w:rPr>
      </w:pPr>
      <w:r>
        <w:rPr>
          <w:szCs w:val="22"/>
        </w:rPr>
        <w:t xml:space="preserve">The PBAC considered that the claim of non-inferior comparative effectiveness and safety was reasonable. </w:t>
      </w:r>
      <w:r w:rsidR="000B5088">
        <w:rPr>
          <w:szCs w:val="22"/>
        </w:rPr>
        <w:t xml:space="preserve">Noting that there was uncertainty due to the limited reliability of the indirect comparisons, the PBAC accepted that the evidence presented in the submission suggested that </w:t>
      </w:r>
      <w:r w:rsidR="00B25BA9">
        <w:rPr>
          <w:szCs w:val="22"/>
        </w:rPr>
        <w:t>aclidinium</w:t>
      </w:r>
      <w:r w:rsidR="000B5088">
        <w:rPr>
          <w:szCs w:val="22"/>
        </w:rPr>
        <w:t>/</w:t>
      </w:r>
      <w:r w:rsidR="00B25BA9">
        <w:rPr>
          <w:szCs w:val="22"/>
        </w:rPr>
        <w:t>eformoterol</w:t>
      </w:r>
      <w:r w:rsidR="000B5088">
        <w:rPr>
          <w:szCs w:val="22"/>
        </w:rPr>
        <w:t xml:space="preserve"> FDC is similar in efficacy and safety to the nominated LAMA/LABA FDC comparators.</w:t>
      </w:r>
    </w:p>
    <w:p w:rsidR="000B5088" w:rsidRPr="000B5088" w:rsidRDefault="000B5088" w:rsidP="000B5088">
      <w:pPr>
        <w:pStyle w:val="ListParagraph"/>
        <w:rPr>
          <w:szCs w:val="22"/>
        </w:rPr>
      </w:pPr>
    </w:p>
    <w:p w:rsidR="000B5088" w:rsidRPr="000B5088" w:rsidRDefault="000B5088" w:rsidP="000B5088">
      <w:pPr>
        <w:pStyle w:val="ListParagraph"/>
        <w:widowControl/>
        <w:numPr>
          <w:ilvl w:val="1"/>
          <w:numId w:val="4"/>
        </w:numPr>
        <w:rPr>
          <w:szCs w:val="22"/>
        </w:rPr>
      </w:pPr>
      <w:r>
        <w:rPr>
          <w:szCs w:val="22"/>
        </w:rPr>
        <w:t xml:space="preserve">The PBAC considered that although the market for fixed dose combination products in COPD is growing, it was unlikely that the listing of </w:t>
      </w:r>
      <w:r w:rsidR="00B25BA9">
        <w:rPr>
          <w:szCs w:val="22"/>
        </w:rPr>
        <w:t>aclidinium/eformoterol</w:t>
      </w:r>
      <w:r>
        <w:rPr>
          <w:szCs w:val="22"/>
        </w:rPr>
        <w:t xml:space="preserve"> would result in any</w:t>
      </w:r>
      <w:r w:rsidR="00402338">
        <w:rPr>
          <w:szCs w:val="22"/>
        </w:rPr>
        <w:t xml:space="preserve"> substantial</w:t>
      </w:r>
      <w:r>
        <w:rPr>
          <w:szCs w:val="22"/>
        </w:rPr>
        <w:t xml:space="preserve"> additional market growth. </w:t>
      </w:r>
    </w:p>
    <w:p w:rsidR="00E0226E" w:rsidRDefault="00E0226E" w:rsidP="00E0226E">
      <w:pPr>
        <w:pStyle w:val="ListParagraph"/>
        <w:rPr>
          <w:szCs w:val="22"/>
        </w:rPr>
      </w:pPr>
    </w:p>
    <w:p w:rsidR="00E0226E" w:rsidRPr="000A12E2" w:rsidRDefault="00E0226E" w:rsidP="000A12E2">
      <w:pPr>
        <w:pStyle w:val="ListParagraph"/>
        <w:widowControl/>
        <w:numPr>
          <w:ilvl w:val="1"/>
          <w:numId w:val="4"/>
        </w:numPr>
        <w:rPr>
          <w:szCs w:val="22"/>
        </w:rPr>
      </w:pPr>
      <w:r>
        <w:t xml:space="preserve">In accordance with subsection 101(3BA) of the </w:t>
      </w:r>
      <w:r w:rsidRPr="000A12E2">
        <w:rPr>
          <w:i/>
        </w:rPr>
        <w:t>National Health Act</w:t>
      </w:r>
      <w:r>
        <w:t xml:space="preserve"> 1953, the PBAC advised that it is of the opinion that </w:t>
      </w:r>
      <w:r w:rsidR="00F46083">
        <w:t>aclidinium/eformoterol</w:t>
      </w:r>
      <w:r>
        <w:t xml:space="preserve"> should be treated as interchangeable on an individual patient basis with indacaterol/glycopyrronium and umeclidium/vilanterol. </w:t>
      </w:r>
    </w:p>
    <w:p w:rsidR="003E2AAB" w:rsidRDefault="003E2AAB" w:rsidP="003E2AAB"/>
    <w:p w:rsidR="00E0226E" w:rsidRDefault="00E065DF" w:rsidP="00402338">
      <w:pPr>
        <w:pStyle w:val="ListParagraph"/>
        <w:numPr>
          <w:ilvl w:val="1"/>
          <w:numId w:val="4"/>
        </w:numPr>
      </w:pPr>
      <w:r>
        <w:t xml:space="preserve">In accordance with subsection 101(4AA) of the </w:t>
      </w:r>
      <w:r w:rsidRPr="00402338">
        <w:rPr>
          <w:i/>
        </w:rPr>
        <w:t>National Health Act</w:t>
      </w:r>
      <w:r>
        <w:t>, the PBAC advised that it was of the opinion that the Minister should determine a therapeutic group comprising of all LAMA/LABA fixed dose combinations</w:t>
      </w:r>
      <w:r w:rsidR="00402338">
        <w:t xml:space="preserve"> </w:t>
      </w:r>
      <w:r w:rsidR="00424877">
        <w:t xml:space="preserve">including indacaterol/glycopyrronium, umeclidium/vilanterol, and </w:t>
      </w:r>
      <w:r w:rsidR="00424877" w:rsidRPr="00402338">
        <w:rPr>
          <w:szCs w:val="22"/>
        </w:rPr>
        <w:t>aclidinium/eformoterol</w:t>
      </w:r>
      <w:r w:rsidR="00424877">
        <w:t>.</w:t>
      </w:r>
    </w:p>
    <w:p w:rsidR="00402338" w:rsidRPr="00402338" w:rsidRDefault="00402338" w:rsidP="00402338"/>
    <w:p w:rsidR="00E0226E" w:rsidRDefault="00E0226E" w:rsidP="00E0226E">
      <w:pPr>
        <w:pStyle w:val="ListParagraph"/>
        <w:widowControl/>
        <w:numPr>
          <w:ilvl w:val="1"/>
          <w:numId w:val="4"/>
        </w:numPr>
        <w:rPr>
          <w:szCs w:val="22"/>
        </w:rPr>
      </w:pPr>
      <w:r>
        <w:rPr>
          <w:szCs w:val="22"/>
        </w:rPr>
        <w:t xml:space="preserve">The PBAC advised that </w:t>
      </w:r>
      <w:r w:rsidR="00F46083">
        <w:rPr>
          <w:szCs w:val="22"/>
        </w:rPr>
        <w:t>aclidinium/eformoterol</w:t>
      </w:r>
      <w:r>
        <w:rPr>
          <w:szCs w:val="22"/>
        </w:rPr>
        <w:t xml:space="preserve"> is suitable for prescribing by nurse practitioners.</w:t>
      </w:r>
    </w:p>
    <w:p w:rsidR="00E0226E" w:rsidRDefault="00E0226E" w:rsidP="00E0226E">
      <w:pPr>
        <w:pStyle w:val="ListParagraph"/>
        <w:rPr>
          <w:szCs w:val="22"/>
        </w:rPr>
      </w:pPr>
    </w:p>
    <w:p w:rsidR="00E0164F" w:rsidRPr="00F46083" w:rsidRDefault="00E0226E" w:rsidP="00F46083">
      <w:pPr>
        <w:pStyle w:val="ListParagraph"/>
        <w:widowControl/>
        <w:numPr>
          <w:ilvl w:val="1"/>
          <w:numId w:val="4"/>
        </w:numPr>
        <w:rPr>
          <w:szCs w:val="22"/>
        </w:rPr>
      </w:pPr>
      <w:r>
        <w:rPr>
          <w:szCs w:val="22"/>
        </w:rPr>
        <w:t>The PBAC recommended that the Safety Net 20 Day Rule should apply.</w:t>
      </w:r>
    </w:p>
    <w:p w:rsidR="00E0164F" w:rsidRPr="006C307E" w:rsidRDefault="00E0164F" w:rsidP="00E0164F">
      <w:pPr>
        <w:rPr>
          <w:b/>
          <w:szCs w:val="22"/>
          <w:highlight w:val="yellow"/>
          <w:lang w:val="en-GB"/>
        </w:rPr>
      </w:pPr>
    </w:p>
    <w:p w:rsidR="00E0164F" w:rsidRPr="006464D3" w:rsidRDefault="00E0164F" w:rsidP="00E0164F">
      <w:pPr>
        <w:rPr>
          <w:b/>
          <w:bCs/>
          <w:szCs w:val="22"/>
          <w:lang w:val="en-GB"/>
        </w:rPr>
      </w:pPr>
    </w:p>
    <w:p w:rsidR="00E0164F" w:rsidRPr="006464D3" w:rsidRDefault="00E0164F" w:rsidP="00E0164F">
      <w:pPr>
        <w:rPr>
          <w:b/>
          <w:bCs/>
          <w:szCs w:val="22"/>
          <w:lang w:val="en-GB"/>
        </w:rPr>
      </w:pPr>
      <w:r w:rsidRPr="006464D3">
        <w:rPr>
          <w:b/>
          <w:bCs/>
          <w:szCs w:val="22"/>
          <w:lang w:val="en-GB"/>
        </w:rPr>
        <w:t>Outcome:</w:t>
      </w:r>
    </w:p>
    <w:p w:rsidR="00E0164F" w:rsidRPr="006464D3" w:rsidRDefault="006464D3" w:rsidP="00E0164F">
      <w:pPr>
        <w:rPr>
          <w:bCs/>
          <w:szCs w:val="22"/>
          <w:lang w:val="en-GB"/>
        </w:rPr>
      </w:pPr>
      <w:r w:rsidRPr="006464D3">
        <w:rPr>
          <w:bCs/>
          <w:szCs w:val="22"/>
          <w:lang w:val="en-GB"/>
        </w:rPr>
        <w:t>Recommended</w:t>
      </w:r>
    </w:p>
    <w:p w:rsidR="00E0164F" w:rsidRDefault="00E0164F" w:rsidP="00E0164F">
      <w:pPr>
        <w:rPr>
          <w:bCs/>
          <w:szCs w:val="22"/>
          <w:highlight w:val="yellow"/>
          <w:lang w:val="en-GB"/>
        </w:rPr>
      </w:pPr>
    </w:p>
    <w:p w:rsidR="000A12E2" w:rsidRPr="00380110" w:rsidRDefault="00380110" w:rsidP="00380110">
      <w:pPr>
        <w:widowControl/>
        <w:jc w:val="left"/>
        <w:rPr>
          <w:b/>
          <w:bCs/>
          <w:szCs w:val="22"/>
          <w:highlight w:val="yellow"/>
        </w:rPr>
      </w:pPr>
      <w:r>
        <w:rPr>
          <w:b/>
          <w:bCs/>
          <w:szCs w:val="22"/>
          <w:highlight w:val="yellow"/>
        </w:rPr>
        <w:br w:type="page"/>
      </w:r>
    </w:p>
    <w:p w:rsidR="00E0164F" w:rsidRPr="009E0297" w:rsidRDefault="00E0164F" w:rsidP="00E0164F">
      <w:pPr>
        <w:numPr>
          <w:ilvl w:val="0"/>
          <w:numId w:val="4"/>
        </w:numPr>
        <w:rPr>
          <w:b/>
          <w:bCs/>
          <w:i/>
          <w:szCs w:val="22"/>
          <w:lang w:val="en-GB"/>
        </w:rPr>
      </w:pPr>
      <w:r w:rsidRPr="009E0297">
        <w:rPr>
          <w:b/>
          <w:bCs/>
          <w:szCs w:val="22"/>
          <w:lang w:val="en-GB"/>
        </w:rPr>
        <w:t>Recommended listing</w:t>
      </w:r>
    </w:p>
    <w:p w:rsidR="00E0164F" w:rsidRPr="009E0297" w:rsidRDefault="00E0164F" w:rsidP="00E0164F">
      <w:pPr>
        <w:rPr>
          <w:b/>
          <w:bCs/>
          <w:i/>
          <w:szCs w:val="22"/>
          <w:lang w:val="en-GB"/>
        </w:rPr>
      </w:pPr>
    </w:p>
    <w:p w:rsidR="00E0164F" w:rsidRPr="009E0297" w:rsidRDefault="00E0164F" w:rsidP="009E0297">
      <w:pPr>
        <w:numPr>
          <w:ilvl w:val="1"/>
          <w:numId w:val="4"/>
        </w:numPr>
        <w:contextualSpacing/>
        <w:rPr>
          <w:b/>
          <w:bCs/>
          <w:szCs w:val="22"/>
        </w:rPr>
      </w:pPr>
      <w:r w:rsidRPr="009E0297">
        <w:rPr>
          <w:bCs/>
          <w:szCs w:val="22"/>
        </w:rPr>
        <w:t>Add new item:</w:t>
      </w:r>
    </w:p>
    <w:p w:rsidR="00E0164F" w:rsidRPr="006C307E" w:rsidRDefault="00E0164F" w:rsidP="00E0164F">
      <w:pPr>
        <w:rPr>
          <w:b/>
          <w:bCs/>
          <w:szCs w:val="22"/>
          <w:highlight w:val="yellow"/>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9E0297" w:rsidRPr="00260CE3" w:rsidTr="009E0297">
        <w:trPr>
          <w:cantSplit/>
          <w:trHeight w:val="471"/>
        </w:trPr>
        <w:tc>
          <w:tcPr>
            <w:tcW w:w="3402" w:type="dxa"/>
            <w:gridSpan w:val="2"/>
            <w:tcBorders>
              <w:bottom w:val="single" w:sz="4" w:space="0" w:color="auto"/>
            </w:tcBorders>
          </w:tcPr>
          <w:p w:rsidR="009E0297" w:rsidRPr="00260CE3" w:rsidRDefault="009E0297" w:rsidP="00E0226E">
            <w:pPr>
              <w:keepNext/>
              <w:ind w:left="-108"/>
              <w:rPr>
                <w:rFonts w:ascii="Arial Narrow" w:hAnsi="Arial Narrow"/>
                <w:sz w:val="20"/>
              </w:rPr>
            </w:pPr>
            <w:r w:rsidRPr="00260CE3">
              <w:rPr>
                <w:rFonts w:ascii="Arial Narrow" w:hAnsi="Arial Narrow"/>
                <w:sz w:val="20"/>
              </w:rPr>
              <w:t>Name, Restriction,</w:t>
            </w:r>
          </w:p>
          <w:p w:rsidR="009E0297" w:rsidRPr="00260CE3" w:rsidRDefault="009E0297" w:rsidP="00E0226E">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9E0297" w:rsidRPr="00260CE3" w:rsidRDefault="009E0297" w:rsidP="00E0226E">
            <w:pPr>
              <w:keepNext/>
              <w:ind w:left="-108"/>
              <w:rPr>
                <w:rFonts w:ascii="Arial Narrow" w:hAnsi="Arial Narrow"/>
                <w:sz w:val="20"/>
              </w:rPr>
            </w:pPr>
            <w:r w:rsidRPr="00260CE3">
              <w:rPr>
                <w:rFonts w:ascii="Arial Narrow" w:hAnsi="Arial Narrow"/>
                <w:sz w:val="20"/>
              </w:rPr>
              <w:t>Max.</w:t>
            </w:r>
          </w:p>
          <w:p w:rsidR="009E0297" w:rsidRPr="00260CE3" w:rsidRDefault="009E0297" w:rsidP="00E0226E">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rsidR="009E0297" w:rsidRPr="00260CE3" w:rsidRDefault="009E0297" w:rsidP="00E0226E">
            <w:pPr>
              <w:keepNext/>
              <w:ind w:left="-108"/>
              <w:rPr>
                <w:rFonts w:ascii="Arial Narrow" w:hAnsi="Arial Narrow"/>
                <w:sz w:val="20"/>
              </w:rPr>
            </w:pPr>
            <w:r w:rsidRPr="00260CE3">
              <w:rPr>
                <w:rFonts w:ascii="Arial Narrow" w:hAnsi="Arial Narrow"/>
                <w:sz w:val="20"/>
              </w:rPr>
              <w:t>№.of</w:t>
            </w:r>
          </w:p>
          <w:p w:rsidR="009E0297" w:rsidRPr="00260CE3" w:rsidRDefault="009E0297" w:rsidP="00E0226E">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9E0297" w:rsidRPr="00260CE3" w:rsidRDefault="009E0297" w:rsidP="00E0226E">
            <w:pPr>
              <w:keepNext/>
              <w:rPr>
                <w:rFonts w:ascii="Arial Narrow" w:hAnsi="Arial Narrow"/>
                <w:sz w:val="20"/>
                <w:lang w:val="fr-FR"/>
              </w:rPr>
            </w:pPr>
            <w:r w:rsidRPr="00260CE3">
              <w:rPr>
                <w:rFonts w:ascii="Arial Narrow" w:hAnsi="Arial Narrow"/>
                <w:sz w:val="20"/>
              </w:rPr>
              <w:t>Proprietary Name and Manufacturer</w:t>
            </w:r>
          </w:p>
        </w:tc>
      </w:tr>
      <w:tr w:rsidR="009E0297" w:rsidRPr="00260CE3" w:rsidTr="009E0297">
        <w:trPr>
          <w:cantSplit/>
          <w:trHeight w:val="577"/>
        </w:trPr>
        <w:tc>
          <w:tcPr>
            <w:tcW w:w="3402" w:type="dxa"/>
            <w:gridSpan w:val="2"/>
          </w:tcPr>
          <w:p w:rsidR="009E0297" w:rsidRPr="00260CE3" w:rsidRDefault="009E0297" w:rsidP="00E0226E">
            <w:pPr>
              <w:keepNext/>
              <w:ind w:left="-108"/>
              <w:rPr>
                <w:rFonts w:ascii="Arial Narrow" w:hAnsi="Arial Narrow"/>
                <w:sz w:val="20"/>
              </w:rPr>
            </w:pPr>
            <w:r>
              <w:rPr>
                <w:rFonts w:ascii="Arial Narrow" w:hAnsi="Arial Narrow"/>
                <w:smallCaps/>
                <w:sz w:val="20"/>
              </w:rPr>
              <w:t>ACLIDINIUM + EFORMOTEROL</w:t>
            </w:r>
          </w:p>
          <w:p w:rsidR="009E0297" w:rsidRPr="00260CE3" w:rsidRDefault="009E0297" w:rsidP="00E0226E">
            <w:pPr>
              <w:keepNext/>
              <w:ind w:left="-108"/>
              <w:rPr>
                <w:rFonts w:ascii="Arial Narrow" w:hAnsi="Arial Narrow"/>
                <w:sz w:val="20"/>
              </w:rPr>
            </w:pPr>
            <w:r>
              <w:rPr>
                <w:rFonts w:ascii="Arial Narrow" w:hAnsi="Arial Narrow"/>
                <w:sz w:val="20"/>
              </w:rPr>
              <w:t xml:space="preserve">aclidinium 340 microgram/actuation + eformoterol 12 microgram/actuation inhalation: powder for, 60 actuations </w:t>
            </w:r>
          </w:p>
        </w:tc>
        <w:tc>
          <w:tcPr>
            <w:tcW w:w="567" w:type="dxa"/>
          </w:tcPr>
          <w:p w:rsidR="009E0297" w:rsidRPr="00260CE3" w:rsidRDefault="009E0297" w:rsidP="00E0226E">
            <w:pPr>
              <w:keepNext/>
              <w:ind w:left="-108"/>
              <w:rPr>
                <w:rFonts w:ascii="Arial Narrow" w:hAnsi="Arial Narrow"/>
                <w:sz w:val="20"/>
              </w:rPr>
            </w:pPr>
          </w:p>
          <w:p w:rsidR="009E0297" w:rsidRPr="00260CE3" w:rsidRDefault="009E0297" w:rsidP="00E0226E">
            <w:pPr>
              <w:keepNext/>
              <w:ind w:left="-108"/>
              <w:rPr>
                <w:rFonts w:ascii="Arial Narrow" w:hAnsi="Arial Narrow"/>
                <w:sz w:val="20"/>
              </w:rPr>
            </w:pPr>
            <w:r>
              <w:rPr>
                <w:rFonts w:ascii="Arial Narrow" w:hAnsi="Arial Narrow"/>
                <w:sz w:val="20"/>
              </w:rPr>
              <w:t>1</w:t>
            </w:r>
          </w:p>
        </w:tc>
        <w:tc>
          <w:tcPr>
            <w:tcW w:w="1559" w:type="dxa"/>
          </w:tcPr>
          <w:p w:rsidR="009E0297" w:rsidRPr="00260CE3" w:rsidRDefault="009E0297" w:rsidP="00E0226E">
            <w:pPr>
              <w:keepNext/>
              <w:ind w:left="-108"/>
              <w:rPr>
                <w:rFonts w:ascii="Arial Narrow" w:hAnsi="Arial Narrow"/>
                <w:sz w:val="20"/>
              </w:rPr>
            </w:pPr>
          </w:p>
          <w:p w:rsidR="009E0297" w:rsidRPr="00260CE3" w:rsidRDefault="009E0297" w:rsidP="00E0226E">
            <w:pPr>
              <w:keepNext/>
              <w:ind w:left="-108"/>
              <w:rPr>
                <w:rFonts w:ascii="Arial Narrow" w:hAnsi="Arial Narrow"/>
                <w:sz w:val="20"/>
              </w:rPr>
            </w:pPr>
            <w:r>
              <w:rPr>
                <w:rFonts w:ascii="Arial Narrow" w:hAnsi="Arial Narrow"/>
                <w:sz w:val="20"/>
              </w:rPr>
              <w:t>5</w:t>
            </w:r>
          </w:p>
        </w:tc>
        <w:tc>
          <w:tcPr>
            <w:tcW w:w="1701" w:type="dxa"/>
          </w:tcPr>
          <w:p w:rsidR="009E0297" w:rsidRPr="00260CE3" w:rsidRDefault="009E0297" w:rsidP="00E0226E">
            <w:pPr>
              <w:keepNext/>
              <w:rPr>
                <w:rFonts w:ascii="Arial Narrow" w:hAnsi="Arial Narrow"/>
                <w:sz w:val="20"/>
              </w:rPr>
            </w:pPr>
            <w:r>
              <w:rPr>
                <w:rFonts w:ascii="Arial Narrow" w:hAnsi="Arial Narrow"/>
                <w:sz w:val="20"/>
              </w:rPr>
              <w:t>Brimica</w:t>
            </w:r>
            <w:r w:rsidRPr="00A557B3">
              <w:rPr>
                <w:rFonts w:ascii="Arial Narrow" w:hAnsi="Arial Narrow"/>
                <w:sz w:val="20"/>
                <w:vertAlign w:val="superscript"/>
              </w:rPr>
              <w:t>®</w:t>
            </w:r>
            <w:r>
              <w:rPr>
                <w:rFonts w:ascii="Arial Narrow" w:hAnsi="Arial Narrow"/>
                <w:sz w:val="20"/>
              </w:rPr>
              <w:t xml:space="preserve"> Genuair</w:t>
            </w:r>
            <w:r w:rsidRPr="00A557B3">
              <w:rPr>
                <w:rFonts w:ascii="Arial Narrow" w:hAnsi="Arial Narrow"/>
                <w:sz w:val="20"/>
                <w:vertAlign w:val="superscript"/>
              </w:rPr>
              <w:t>®</w:t>
            </w:r>
          </w:p>
        </w:tc>
        <w:tc>
          <w:tcPr>
            <w:tcW w:w="1134" w:type="dxa"/>
          </w:tcPr>
          <w:p w:rsidR="009E0297" w:rsidRPr="00260CE3" w:rsidRDefault="009E0297" w:rsidP="00E0226E">
            <w:pPr>
              <w:keepNext/>
              <w:rPr>
                <w:rFonts w:ascii="Arial Narrow" w:hAnsi="Arial Narrow"/>
                <w:sz w:val="20"/>
              </w:rPr>
            </w:pPr>
            <w:r>
              <w:rPr>
                <w:rFonts w:ascii="Arial Narrow" w:hAnsi="Arial Narrow"/>
                <w:sz w:val="20"/>
              </w:rPr>
              <w:t>A. Menarini</w:t>
            </w:r>
          </w:p>
        </w:tc>
      </w:tr>
      <w:tr w:rsidR="009E0297" w:rsidRPr="00260CE3" w:rsidTr="00E0226E">
        <w:trPr>
          <w:cantSplit/>
          <w:trHeight w:val="360"/>
        </w:trPr>
        <w:tc>
          <w:tcPr>
            <w:tcW w:w="8363" w:type="dxa"/>
            <w:gridSpan w:val="6"/>
            <w:tcBorders>
              <w:bottom w:val="single" w:sz="4" w:space="0" w:color="auto"/>
            </w:tcBorders>
          </w:tcPr>
          <w:p w:rsidR="009E0297" w:rsidRPr="00260CE3" w:rsidRDefault="009E0297" w:rsidP="00E0226E">
            <w:pPr>
              <w:rPr>
                <w:rFonts w:ascii="Arial Narrow" w:hAnsi="Arial Narrow"/>
                <w:sz w:val="20"/>
              </w:rPr>
            </w:pP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sidRPr="00260CE3">
              <w:rPr>
                <w:rFonts w:ascii="Arial Narrow" w:hAnsi="Arial Narrow"/>
                <w:sz w:val="20"/>
              </w:rPr>
              <w:t>GENERAL – General Schedule (Code GE)</w:t>
            </w:r>
          </w:p>
          <w:p w:rsidR="009E0297" w:rsidRPr="00260CE3" w:rsidRDefault="009E0297" w:rsidP="00E0226E">
            <w:pPr>
              <w:rPr>
                <w:rFonts w:ascii="Arial Narrow" w:hAnsi="Arial Narrow"/>
                <w:sz w:val="20"/>
              </w:rPr>
            </w:pP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Pr>
                <w:rFonts w:ascii="Arial Narrow" w:hAnsi="Arial Narrow"/>
                <w:sz w:val="20"/>
              </w:rPr>
              <w:t>-</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Pr>
                <w:rFonts w:ascii="Arial Narrow" w:hAnsi="Arial Narrow"/>
                <w:sz w:val="20"/>
              </w:rPr>
              <w:t>-</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Pr>
                <w:rFonts w:ascii="Arial Narrow" w:hAnsi="Arial Narrow"/>
                <w:sz w:val="20"/>
              </w:rPr>
              <w:t>Chronic obstructive pulmonary disease (COPD)</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Pr>
                <w:rFonts w:ascii="Arial Narrow" w:hAnsi="Arial Narrow"/>
                <w:sz w:val="20"/>
              </w:rPr>
              <w:t>Chronic obstructive pulmonary disease (COPD)</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bookmarkStart w:id="17" w:name="_GoBack"/>
            <w:bookmarkEnd w:id="17"/>
            <w:r w:rsidRPr="00260CE3">
              <w:rPr>
                <w:rFonts w:ascii="Arial Narrow" w:hAnsi="Arial Narrow"/>
                <w:b/>
                <w:sz w:val="20"/>
              </w:rPr>
              <w:t>Treatment phase:</w:t>
            </w:r>
          </w:p>
          <w:p w:rsidR="009E0297" w:rsidRPr="00260CE3" w:rsidRDefault="009E0297" w:rsidP="00E0226E">
            <w:pPr>
              <w:rPr>
                <w:rFonts w:ascii="Arial Narrow" w:hAnsi="Arial Narrow"/>
                <w:i/>
                <w:sz w:val="20"/>
              </w:rPr>
            </w:pP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Pr>
                <w:rFonts w:ascii="Arial Narrow" w:hAnsi="Arial Narrow"/>
                <w:sz w:val="20"/>
              </w:rPr>
              <w:t>-</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452908" w:rsidRDefault="009E0297" w:rsidP="00E0226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106BCF" w:rsidRDefault="009E0297" w:rsidP="00E0226E">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9E0297" w:rsidRPr="00106BCF" w:rsidRDefault="009E0297" w:rsidP="00E0226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9E0297" w:rsidRPr="00106BCF" w:rsidRDefault="009E0297" w:rsidP="00E0226E">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9E0297" w:rsidRPr="00106BCF" w:rsidRDefault="009E0297" w:rsidP="00E0226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9E0297" w:rsidRPr="00106BCF" w:rsidRDefault="009E0297" w:rsidP="00E0226E">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9E0297" w:rsidRPr="00260CE3" w:rsidRDefault="009E0297" w:rsidP="00E0226E">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4F2E56">
              <w:rPr>
                <w:rFonts w:ascii="Arial Narrow" w:hAnsi="Arial Narrow"/>
                <w:sz w:val="20"/>
              </w:rPr>
            </w:r>
            <w:r w:rsidR="004F2E5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B24CE8" w:rsidRDefault="009E0297" w:rsidP="00E0226E">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sz w:val="20"/>
              </w:rPr>
            </w:pPr>
            <w:r w:rsidRPr="00B24CE8">
              <w:rPr>
                <w:rFonts w:ascii="Arial Narrow" w:hAnsi="Arial Narrow"/>
                <w:sz w:val="20"/>
              </w:rPr>
              <w:t>Patient must have been stabilised on a combination of a long acting muscarinic antagonist and long acting beta-2 agonist.</w:t>
            </w:r>
          </w:p>
        </w:tc>
      </w:tr>
      <w:tr w:rsidR="009E0297" w:rsidRPr="00260CE3" w:rsidTr="00E0226E">
        <w:trPr>
          <w:cantSplit/>
          <w:trHeight w:val="360"/>
        </w:trPr>
        <w:tc>
          <w:tcPr>
            <w:tcW w:w="2835" w:type="dxa"/>
            <w:tcBorders>
              <w:top w:val="single" w:sz="4" w:space="0" w:color="auto"/>
              <w:left w:val="single" w:sz="4" w:space="0" w:color="auto"/>
              <w:bottom w:val="single" w:sz="4" w:space="0" w:color="auto"/>
              <w:right w:val="single" w:sz="4" w:space="0" w:color="auto"/>
            </w:tcBorders>
          </w:tcPr>
          <w:p w:rsidR="009E0297" w:rsidRPr="00260CE3" w:rsidRDefault="009E0297" w:rsidP="00E0226E">
            <w:pPr>
              <w:rPr>
                <w:rFonts w:ascii="Arial Narrow" w:hAnsi="Arial Narrow"/>
                <w:b/>
                <w:sz w:val="20"/>
              </w:rPr>
            </w:pPr>
            <w:r w:rsidRPr="00260CE3">
              <w:rPr>
                <w:rFonts w:ascii="Arial Narrow" w:hAnsi="Arial Narrow"/>
                <w:b/>
                <w:sz w:val="20"/>
              </w:rPr>
              <w:t>Administrative Advice</w:t>
            </w:r>
          </w:p>
          <w:p w:rsidR="009E0297" w:rsidRPr="00260CE3" w:rsidRDefault="009E0297" w:rsidP="00E0226E">
            <w:pPr>
              <w:rPr>
                <w:rFonts w:ascii="Arial Narrow" w:hAnsi="Arial Narrow"/>
                <w:i/>
                <w:sz w:val="20"/>
              </w:rPr>
            </w:pPr>
          </w:p>
        </w:tc>
        <w:tc>
          <w:tcPr>
            <w:tcW w:w="5528" w:type="dxa"/>
            <w:gridSpan w:val="5"/>
            <w:tcBorders>
              <w:top w:val="single" w:sz="4" w:space="0" w:color="auto"/>
              <w:left w:val="single" w:sz="4" w:space="0" w:color="auto"/>
              <w:bottom w:val="single" w:sz="4" w:space="0" w:color="auto"/>
              <w:right w:val="single" w:sz="4" w:space="0" w:color="auto"/>
            </w:tcBorders>
          </w:tcPr>
          <w:p w:rsidR="009E0297" w:rsidRDefault="009E0297" w:rsidP="00E0226E">
            <w:pPr>
              <w:rPr>
                <w:rFonts w:ascii="Arial Narrow" w:hAnsi="Arial Narrow"/>
                <w:sz w:val="20"/>
              </w:rPr>
            </w:pPr>
            <w:r w:rsidRPr="00B24CE8">
              <w:rPr>
                <w:rFonts w:ascii="Arial Narrow" w:hAnsi="Arial Narrow"/>
                <w:sz w:val="20"/>
              </w:rPr>
              <w:t>The treatment must not be used in combination with an ICS/LABA, or LAMA or LABA monotherapy.</w:t>
            </w:r>
          </w:p>
          <w:p w:rsidR="009E0297" w:rsidRDefault="009E0297" w:rsidP="00E0226E">
            <w:pPr>
              <w:rPr>
                <w:rFonts w:ascii="Arial Narrow" w:hAnsi="Arial Narrow"/>
                <w:sz w:val="20"/>
              </w:rPr>
            </w:pPr>
          </w:p>
          <w:p w:rsidR="009E0297" w:rsidRDefault="009E0297" w:rsidP="00E0226E">
            <w:pPr>
              <w:rPr>
                <w:rFonts w:ascii="Arial Narrow" w:hAnsi="Arial Narrow"/>
                <w:sz w:val="20"/>
              </w:rPr>
            </w:pPr>
            <w:r w:rsidRPr="00B24CE8">
              <w:rPr>
                <w:rFonts w:ascii="Arial Narrow" w:hAnsi="Arial Narrow"/>
                <w:sz w:val="20"/>
              </w:rPr>
              <w:t>A LAMA includes tiotropium, glycopyrronium, aclidinium or umeclidinium.</w:t>
            </w:r>
          </w:p>
          <w:p w:rsidR="009E0297" w:rsidRDefault="009E0297" w:rsidP="00E0226E">
            <w:pPr>
              <w:rPr>
                <w:rFonts w:ascii="Arial Narrow" w:hAnsi="Arial Narrow"/>
                <w:sz w:val="20"/>
              </w:rPr>
            </w:pPr>
          </w:p>
          <w:p w:rsidR="009E0297" w:rsidRPr="009E0297" w:rsidRDefault="009E0297" w:rsidP="00E0226E">
            <w:pPr>
              <w:rPr>
                <w:rFonts w:ascii="Arial Narrow" w:hAnsi="Arial Narrow"/>
                <w:sz w:val="20"/>
              </w:rPr>
            </w:pPr>
            <w:r w:rsidRPr="00B24CE8">
              <w:rPr>
                <w:rFonts w:ascii="Arial Narrow" w:hAnsi="Arial Narrow"/>
                <w:sz w:val="20"/>
              </w:rPr>
              <w:t xml:space="preserve">A LABA includes indacaterol, </w:t>
            </w:r>
            <w:r w:rsidRPr="009E0297">
              <w:rPr>
                <w:rFonts w:ascii="Arial Narrow" w:hAnsi="Arial Narrow"/>
                <w:sz w:val="20"/>
              </w:rPr>
              <w:t>salmeterol, eformoterol or vilanterol.</w:t>
            </w:r>
          </w:p>
          <w:p w:rsidR="009E0297" w:rsidRDefault="009E0297" w:rsidP="00E0226E">
            <w:pPr>
              <w:rPr>
                <w:rFonts w:ascii="Arial Narrow" w:hAnsi="Arial Narrow"/>
                <w:sz w:val="20"/>
              </w:rPr>
            </w:pPr>
          </w:p>
          <w:p w:rsidR="009E0297" w:rsidRDefault="009E0297" w:rsidP="00E0226E">
            <w:pPr>
              <w:rPr>
                <w:rFonts w:ascii="Arial Narrow" w:hAnsi="Arial Narrow"/>
                <w:sz w:val="20"/>
              </w:rPr>
            </w:pPr>
            <w:r w:rsidRPr="00B24CE8">
              <w:rPr>
                <w:rFonts w:ascii="Arial Narrow" w:hAnsi="Arial Narrow"/>
                <w:sz w:val="20"/>
              </w:rPr>
              <w:t>This product is not PBS-subsidised for the treatment of asthma.</w:t>
            </w:r>
          </w:p>
          <w:p w:rsidR="009E0297" w:rsidRDefault="009E0297" w:rsidP="00E0226E">
            <w:pPr>
              <w:rPr>
                <w:rFonts w:ascii="Arial Narrow" w:hAnsi="Arial Narrow"/>
                <w:sz w:val="20"/>
              </w:rPr>
            </w:pPr>
          </w:p>
          <w:p w:rsidR="009E0297" w:rsidRPr="00260CE3" w:rsidRDefault="009E0297" w:rsidP="00E0226E">
            <w:pPr>
              <w:rPr>
                <w:rFonts w:ascii="Arial Narrow" w:hAnsi="Arial Narrow"/>
                <w:sz w:val="20"/>
              </w:rPr>
            </w:pPr>
            <w:r w:rsidRPr="00A557B3">
              <w:rPr>
                <w:rFonts w:ascii="Arial Narrow" w:hAnsi="Arial Narrow"/>
                <w:sz w:val="20"/>
              </w:rPr>
              <w:t>This product is not indicated for the initiation of bronchodilator therapy in COPD.</w:t>
            </w:r>
          </w:p>
        </w:tc>
      </w:tr>
    </w:tbl>
    <w:p w:rsidR="00E0164F" w:rsidRDefault="00E0164F" w:rsidP="00E0164F">
      <w:pPr>
        <w:pStyle w:val="TableFooter"/>
      </w:pPr>
    </w:p>
    <w:p w:rsidR="003C6772" w:rsidRDefault="003C6772" w:rsidP="003C6772"/>
    <w:p w:rsidR="003C6772" w:rsidRPr="00AE36A8" w:rsidRDefault="003C6772" w:rsidP="003C6772">
      <w:pPr>
        <w:rPr>
          <w:b/>
          <w:bCs/>
          <w:szCs w:val="22"/>
          <w:lang w:val="en-GB" w:eastAsia="en-AU"/>
        </w:rPr>
      </w:pPr>
      <w:r>
        <w:rPr>
          <w:b/>
          <w:bCs/>
          <w:szCs w:val="22"/>
          <w:lang w:val="en-GB" w:eastAsia="en-AU"/>
        </w:rPr>
        <w:t>9</w:t>
      </w:r>
      <w:r>
        <w:rPr>
          <w:b/>
          <w:bCs/>
          <w:szCs w:val="22"/>
          <w:lang w:val="en-GB" w:eastAsia="en-AU"/>
        </w:rPr>
        <w:tab/>
      </w:r>
      <w:r w:rsidRPr="00AE36A8">
        <w:rPr>
          <w:b/>
          <w:bCs/>
          <w:szCs w:val="22"/>
          <w:lang w:val="en-GB" w:eastAsia="en-AU"/>
        </w:rPr>
        <w:t xml:space="preserve">Context for Decision </w:t>
      </w:r>
    </w:p>
    <w:p w:rsidR="003C6772" w:rsidRPr="00AE36A8" w:rsidRDefault="003C6772" w:rsidP="003C6772">
      <w:pPr>
        <w:rPr>
          <w:szCs w:val="22"/>
        </w:rPr>
      </w:pPr>
    </w:p>
    <w:p w:rsidR="003C6772" w:rsidRPr="006A0483" w:rsidRDefault="003C6772" w:rsidP="003C6772">
      <w:pPr>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3C6772" w:rsidRDefault="003C6772" w:rsidP="003C6772">
      <w:pPr>
        <w:rPr>
          <w:szCs w:val="22"/>
        </w:rPr>
      </w:pPr>
    </w:p>
    <w:p w:rsidR="003C6772" w:rsidRPr="00410DAE" w:rsidRDefault="003C6772" w:rsidP="003C6772">
      <w:pPr>
        <w:rPr>
          <w:szCs w:val="22"/>
        </w:rPr>
      </w:pPr>
    </w:p>
    <w:p w:rsidR="003C6772" w:rsidRPr="00410DAE" w:rsidRDefault="003C6772" w:rsidP="003C6772">
      <w:pPr>
        <w:rPr>
          <w:b/>
          <w:szCs w:val="22"/>
        </w:rPr>
      </w:pPr>
      <w:r>
        <w:rPr>
          <w:b/>
          <w:szCs w:val="22"/>
        </w:rPr>
        <w:t>10</w:t>
      </w:r>
      <w:r>
        <w:rPr>
          <w:b/>
          <w:szCs w:val="22"/>
        </w:rPr>
        <w:tab/>
      </w:r>
      <w:r w:rsidRPr="00AE36A8">
        <w:rPr>
          <w:b/>
          <w:szCs w:val="22"/>
        </w:rPr>
        <w:t xml:space="preserve"> Sponsor’s Comment</w:t>
      </w:r>
    </w:p>
    <w:p w:rsidR="003C6772" w:rsidRDefault="003C6772" w:rsidP="003C6772"/>
    <w:p w:rsidR="00D7421B" w:rsidRDefault="000B3713" w:rsidP="00380110">
      <w:pPr>
        <w:ind w:left="720"/>
      </w:pPr>
      <w:r>
        <w:t>A.Menarini Australia Pty Ltd welcomes the recommendation to list Brimica Genuair (aclidinium/eformoterol FDC) as a</w:t>
      </w:r>
      <w:r w:rsidRPr="004B3DDB">
        <w:t xml:space="preserve"> treatment of </w:t>
      </w:r>
      <w:r>
        <w:t>COPD on the PBS</w:t>
      </w:r>
      <w:r w:rsidR="00A51703">
        <w:t>.</w:t>
      </w:r>
    </w:p>
    <w:p w:rsidR="00A51703" w:rsidRDefault="00A51703" w:rsidP="003C6772"/>
    <w:p w:rsidR="00A51703" w:rsidRPr="00EF06E6" w:rsidRDefault="00A51703" w:rsidP="00833148"/>
    <w:sectPr w:rsidR="00A51703" w:rsidRPr="00EF06E6" w:rsidSect="00E21358">
      <w:headerReference w:type="default" r:id="rId10"/>
      <w:footerReference w:type="default" r:id="rId11"/>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64963" w15:done="0"/>
  <w15:commentEx w15:paraId="3E75374A" w15:done="0"/>
  <w15:commentEx w15:paraId="0E2654A0" w15:done="0"/>
  <w15:commentEx w15:paraId="5208B956" w15:done="0"/>
  <w15:commentEx w15:paraId="572C4EF3" w15:done="0"/>
  <w15:commentEx w15:paraId="0F0B1163" w15:done="0"/>
  <w15:commentEx w15:paraId="02AF3D8C" w15:done="0"/>
  <w15:commentEx w15:paraId="5C671D2B" w15:done="0"/>
  <w15:commentEx w15:paraId="232C2925" w15:done="0"/>
  <w15:commentEx w15:paraId="47BFB4B2" w15:done="0"/>
  <w15:commentEx w15:paraId="692DBAF5" w15:done="0"/>
  <w15:commentEx w15:paraId="74470E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FC9" w:rsidRDefault="00BE5FC9" w:rsidP="00124A51">
      <w:r>
        <w:separator/>
      </w:r>
    </w:p>
  </w:endnote>
  <w:endnote w:type="continuationSeparator" w:id="0">
    <w:p w:rsidR="00BE5FC9" w:rsidRDefault="00BE5FC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A1" w:rsidRDefault="007559A1" w:rsidP="00A24AC1">
    <w:pPr>
      <w:pStyle w:val="Footer"/>
      <w:jc w:val="center"/>
      <w:rPr>
        <w:b/>
        <w:bCs/>
        <w:szCs w:val="22"/>
      </w:rPr>
    </w:pPr>
  </w:p>
  <w:p w:rsidR="007559A1" w:rsidRDefault="007559A1" w:rsidP="00E0164F">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4F2E56">
      <w:rPr>
        <w:noProof/>
        <w:sz w:val="20"/>
      </w:rPr>
      <w:t>12</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FC9" w:rsidRDefault="00BE5FC9" w:rsidP="00124A51">
      <w:r>
        <w:separator/>
      </w:r>
    </w:p>
  </w:footnote>
  <w:footnote w:type="continuationSeparator" w:id="0">
    <w:p w:rsidR="00BE5FC9" w:rsidRDefault="00BE5FC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A1" w:rsidRPr="00DF217D" w:rsidRDefault="007559A1" w:rsidP="00E0164F">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7559A1" w:rsidRDefault="00755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009"/>
    <w:multiLevelType w:val="hybridMultilevel"/>
    <w:tmpl w:val="82FA48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AD2B61"/>
    <w:multiLevelType w:val="hybridMultilevel"/>
    <w:tmpl w:val="A3EAA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7D23540"/>
    <w:multiLevelType w:val="multilevel"/>
    <w:tmpl w:val="27E61530"/>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nsid w:val="094C62B3"/>
    <w:multiLevelType w:val="hybridMultilevel"/>
    <w:tmpl w:val="8AC0552E"/>
    <w:lvl w:ilvl="0" w:tplc="0C090011">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0356E9E"/>
    <w:multiLevelType w:val="hybridMultilevel"/>
    <w:tmpl w:val="DAFCB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702BAD"/>
    <w:multiLevelType w:val="hybridMultilevel"/>
    <w:tmpl w:val="6A82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1A223F"/>
    <w:multiLevelType w:val="hybridMultilevel"/>
    <w:tmpl w:val="F618A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2BB5161"/>
    <w:multiLevelType w:val="hybridMultilevel"/>
    <w:tmpl w:val="D652BD4E"/>
    <w:lvl w:ilvl="0" w:tplc="08090001">
      <w:start w:val="1"/>
      <w:numFmt w:val="bullet"/>
      <w:lvlText w:val=""/>
      <w:lvlJc w:val="left"/>
      <w:pPr>
        <w:ind w:left="1080" w:hanging="360"/>
      </w:pPr>
      <w:rPr>
        <w:rFonts w:ascii="Symbol" w:hAnsi="Symbol" w:hint="default"/>
      </w:rPr>
    </w:lvl>
    <w:lvl w:ilvl="1" w:tplc="DAC8E024">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8E8225D"/>
    <w:multiLevelType w:val="hybridMultilevel"/>
    <w:tmpl w:val="28F0D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476A4C"/>
    <w:multiLevelType w:val="hybridMultilevel"/>
    <w:tmpl w:val="212AC18C"/>
    <w:lvl w:ilvl="0" w:tplc="8EBC42E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A586362"/>
    <w:multiLevelType w:val="hybridMultilevel"/>
    <w:tmpl w:val="E0C6B5E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CBF0529"/>
    <w:multiLevelType w:val="hybridMultilevel"/>
    <w:tmpl w:val="355A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895B10"/>
    <w:multiLevelType w:val="hybridMultilevel"/>
    <w:tmpl w:val="5AD4C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2C34055"/>
    <w:multiLevelType w:val="hybridMultilevel"/>
    <w:tmpl w:val="8AB27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CB2794"/>
    <w:multiLevelType w:val="hybridMultilevel"/>
    <w:tmpl w:val="06AA1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D246F7B"/>
    <w:multiLevelType w:val="hybridMultilevel"/>
    <w:tmpl w:val="487AF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E7628FC"/>
    <w:multiLevelType w:val="hybridMultilevel"/>
    <w:tmpl w:val="1A22E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F7B39B9"/>
    <w:multiLevelType w:val="hybridMultilevel"/>
    <w:tmpl w:val="35F091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30630F69"/>
    <w:multiLevelType w:val="hybridMultilevel"/>
    <w:tmpl w:val="7E0876D0"/>
    <w:lvl w:ilvl="0" w:tplc="08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0F319AA"/>
    <w:multiLevelType w:val="hybridMultilevel"/>
    <w:tmpl w:val="6AD60D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1EA1091"/>
    <w:multiLevelType w:val="hybridMultilevel"/>
    <w:tmpl w:val="8FC6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79028F"/>
    <w:multiLevelType w:val="hybridMultilevel"/>
    <w:tmpl w:val="82FA48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070140"/>
    <w:multiLevelType w:val="hybridMultilevel"/>
    <w:tmpl w:val="3844E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B7C34E2"/>
    <w:multiLevelType w:val="hybridMultilevel"/>
    <w:tmpl w:val="BEC40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F016B5"/>
    <w:multiLevelType w:val="hybridMultilevel"/>
    <w:tmpl w:val="9732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5650F4"/>
    <w:multiLevelType w:val="hybridMultilevel"/>
    <w:tmpl w:val="C9E03728"/>
    <w:lvl w:ilvl="0" w:tplc="AA88D62A">
      <w:start w:val="1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7">
    <w:nsid w:val="3F52621B"/>
    <w:multiLevelType w:val="hybridMultilevel"/>
    <w:tmpl w:val="E49CB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16A5117"/>
    <w:multiLevelType w:val="hybridMultilevel"/>
    <w:tmpl w:val="4B66E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4152149"/>
    <w:multiLevelType w:val="hybridMultilevel"/>
    <w:tmpl w:val="4202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1049E2"/>
    <w:multiLevelType w:val="hybridMultilevel"/>
    <w:tmpl w:val="312A6836"/>
    <w:lvl w:ilvl="0" w:tplc="3C028808">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2C5B1C"/>
    <w:multiLevelType w:val="hybridMultilevel"/>
    <w:tmpl w:val="FDB23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B485F30"/>
    <w:multiLevelType w:val="hybridMultilevel"/>
    <w:tmpl w:val="FD16B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CDA0A16"/>
    <w:multiLevelType w:val="hybridMultilevel"/>
    <w:tmpl w:val="596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E0131C4"/>
    <w:multiLevelType w:val="hybridMultilevel"/>
    <w:tmpl w:val="014031E8"/>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4F1F207F"/>
    <w:multiLevelType w:val="hybridMultilevel"/>
    <w:tmpl w:val="BA68D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1904F52"/>
    <w:multiLevelType w:val="hybridMultilevel"/>
    <w:tmpl w:val="64184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FA0EBB"/>
    <w:multiLevelType w:val="hybridMultilevel"/>
    <w:tmpl w:val="9CDE9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92B1925"/>
    <w:multiLevelType w:val="hybridMultilevel"/>
    <w:tmpl w:val="905A7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4860EA7"/>
    <w:multiLevelType w:val="hybridMultilevel"/>
    <w:tmpl w:val="A678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4D033C"/>
    <w:multiLevelType w:val="multilevel"/>
    <w:tmpl w:val="5F7693A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8C501AB"/>
    <w:multiLevelType w:val="hybridMultilevel"/>
    <w:tmpl w:val="3A368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AA4273A"/>
    <w:multiLevelType w:val="hybridMultilevel"/>
    <w:tmpl w:val="2B7EE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BCF7E51"/>
    <w:multiLevelType w:val="hybridMultilevel"/>
    <w:tmpl w:val="92E61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DBF55AB"/>
    <w:multiLevelType w:val="hybridMultilevel"/>
    <w:tmpl w:val="7A5A3848"/>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23"/>
  </w:num>
  <w:num w:numId="4">
    <w:abstractNumId w:val="41"/>
  </w:num>
  <w:num w:numId="5">
    <w:abstractNumId w:val="30"/>
  </w:num>
  <w:num w:numId="6">
    <w:abstractNumId w:val="34"/>
  </w:num>
  <w:num w:numId="7">
    <w:abstractNumId w:val="45"/>
  </w:num>
  <w:num w:numId="8">
    <w:abstractNumId w:val="18"/>
  </w:num>
  <w:num w:numId="9">
    <w:abstractNumId w:val="25"/>
  </w:num>
  <w:num w:numId="10">
    <w:abstractNumId w:val="2"/>
  </w:num>
  <w:num w:numId="11">
    <w:abstractNumId w:val="36"/>
  </w:num>
  <w:num w:numId="12">
    <w:abstractNumId w:val="0"/>
  </w:num>
  <w:num w:numId="13">
    <w:abstractNumId w:val="21"/>
  </w:num>
  <w:num w:numId="14">
    <w:abstractNumId w:val="24"/>
  </w:num>
  <w:num w:numId="15">
    <w:abstractNumId w:val="11"/>
  </w:num>
  <w:num w:numId="16">
    <w:abstractNumId w:val="32"/>
  </w:num>
  <w:num w:numId="17">
    <w:abstractNumId w:val="3"/>
  </w:num>
  <w:num w:numId="18">
    <w:abstractNumId w:val="10"/>
  </w:num>
  <w:num w:numId="19">
    <w:abstractNumId w:val="22"/>
  </w:num>
  <w:num w:numId="20">
    <w:abstractNumId w:val="6"/>
  </w:num>
  <w:num w:numId="21">
    <w:abstractNumId w:val="4"/>
  </w:num>
  <w:num w:numId="22">
    <w:abstractNumId w:val="31"/>
  </w:num>
  <w:num w:numId="23">
    <w:abstractNumId w:val="1"/>
  </w:num>
  <w:num w:numId="24">
    <w:abstractNumId w:val="42"/>
  </w:num>
  <w:num w:numId="25">
    <w:abstractNumId w:val="15"/>
  </w:num>
  <w:num w:numId="26">
    <w:abstractNumId w:val="28"/>
  </w:num>
  <w:num w:numId="27">
    <w:abstractNumId w:val="13"/>
  </w:num>
  <w:num w:numId="28">
    <w:abstractNumId w:val="20"/>
  </w:num>
  <w:num w:numId="29">
    <w:abstractNumId w:val="33"/>
  </w:num>
  <w:num w:numId="30">
    <w:abstractNumId w:val="29"/>
  </w:num>
  <w:num w:numId="31">
    <w:abstractNumId w:val="17"/>
  </w:num>
  <w:num w:numId="32">
    <w:abstractNumId w:val="44"/>
  </w:num>
  <w:num w:numId="33">
    <w:abstractNumId w:val="37"/>
  </w:num>
  <w:num w:numId="34">
    <w:abstractNumId w:val="16"/>
  </w:num>
  <w:num w:numId="35">
    <w:abstractNumId w:val="14"/>
  </w:num>
  <w:num w:numId="36">
    <w:abstractNumId w:val="43"/>
  </w:num>
  <w:num w:numId="37">
    <w:abstractNumId w:val="5"/>
  </w:num>
  <w:num w:numId="38">
    <w:abstractNumId w:val="40"/>
  </w:num>
  <w:num w:numId="39">
    <w:abstractNumId w:val="7"/>
  </w:num>
  <w:num w:numId="40">
    <w:abstractNumId w:val="38"/>
  </w:num>
  <w:num w:numId="41">
    <w:abstractNumId w:val="12"/>
  </w:num>
  <w:num w:numId="42">
    <w:abstractNumId w:val="35"/>
  </w:num>
  <w:num w:numId="43">
    <w:abstractNumId w:val="8"/>
  </w:num>
  <w:num w:numId="44">
    <w:abstractNumId w:val="19"/>
  </w:num>
  <w:num w:numId="45">
    <w:abstractNumId w:val="27"/>
  </w:num>
  <w:num w:numId="4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E5"/>
    <w:rsid w:val="00000448"/>
    <w:rsid w:val="00000790"/>
    <w:rsid w:val="0000110B"/>
    <w:rsid w:val="00002932"/>
    <w:rsid w:val="00002C96"/>
    <w:rsid w:val="00002EA0"/>
    <w:rsid w:val="0000345C"/>
    <w:rsid w:val="00003499"/>
    <w:rsid w:val="00003E5F"/>
    <w:rsid w:val="0000414D"/>
    <w:rsid w:val="000052C4"/>
    <w:rsid w:val="0000591E"/>
    <w:rsid w:val="00005A6B"/>
    <w:rsid w:val="00005AFB"/>
    <w:rsid w:val="0000661E"/>
    <w:rsid w:val="0000744D"/>
    <w:rsid w:val="000076B5"/>
    <w:rsid w:val="000100C0"/>
    <w:rsid w:val="00010604"/>
    <w:rsid w:val="00011728"/>
    <w:rsid w:val="00012E0D"/>
    <w:rsid w:val="0001308D"/>
    <w:rsid w:val="00013247"/>
    <w:rsid w:val="00015886"/>
    <w:rsid w:val="0001612E"/>
    <w:rsid w:val="000162EF"/>
    <w:rsid w:val="00016A60"/>
    <w:rsid w:val="000175FD"/>
    <w:rsid w:val="000205A7"/>
    <w:rsid w:val="00020C5E"/>
    <w:rsid w:val="00020D5A"/>
    <w:rsid w:val="000210B7"/>
    <w:rsid w:val="00022049"/>
    <w:rsid w:val="0002225F"/>
    <w:rsid w:val="00023763"/>
    <w:rsid w:val="00023F24"/>
    <w:rsid w:val="00024D99"/>
    <w:rsid w:val="00024E97"/>
    <w:rsid w:val="0002522F"/>
    <w:rsid w:val="0002565B"/>
    <w:rsid w:val="000259FC"/>
    <w:rsid w:val="00025B61"/>
    <w:rsid w:val="000260D9"/>
    <w:rsid w:val="0002615F"/>
    <w:rsid w:val="000266AB"/>
    <w:rsid w:val="00026700"/>
    <w:rsid w:val="00026C56"/>
    <w:rsid w:val="00027BFA"/>
    <w:rsid w:val="00027D45"/>
    <w:rsid w:val="00030716"/>
    <w:rsid w:val="00030C28"/>
    <w:rsid w:val="00031454"/>
    <w:rsid w:val="00032189"/>
    <w:rsid w:val="0003236F"/>
    <w:rsid w:val="0003378E"/>
    <w:rsid w:val="00034015"/>
    <w:rsid w:val="00035715"/>
    <w:rsid w:val="00035D4F"/>
    <w:rsid w:val="00035F4D"/>
    <w:rsid w:val="000363B4"/>
    <w:rsid w:val="00036DD5"/>
    <w:rsid w:val="0004057B"/>
    <w:rsid w:val="00040895"/>
    <w:rsid w:val="00040F1B"/>
    <w:rsid w:val="00041568"/>
    <w:rsid w:val="00041ACC"/>
    <w:rsid w:val="00041F97"/>
    <w:rsid w:val="0004296E"/>
    <w:rsid w:val="00043831"/>
    <w:rsid w:val="00043C37"/>
    <w:rsid w:val="0004553B"/>
    <w:rsid w:val="00046F45"/>
    <w:rsid w:val="000472C9"/>
    <w:rsid w:val="000507D2"/>
    <w:rsid w:val="00050BAB"/>
    <w:rsid w:val="00050F4C"/>
    <w:rsid w:val="00051304"/>
    <w:rsid w:val="00051563"/>
    <w:rsid w:val="000515F3"/>
    <w:rsid w:val="000517C1"/>
    <w:rsid w:val="00051E00"/>
    <w:rsid w:val="0005297A"/>
    <w:rsid w:val="00052AC2"/>
    <w:rsid w:val="0005304E"/>
    <w:rsid w:val="00053EED"/>
    <w:rsid w:val="000546D7"/>
    <w:rsid w:val="00056C82"/>
    <w:rsid w:val="00056E84"/>
    <w:rsid w:val="00056F0D"/>
    <w:rsid w:val="000604BF"/>
    <w:rsid w:val="000604D1"/>
    <w:rsid w:val="000617E3"/>
    <w:rsid w:val="000624B6"/>
    <w:rsid w:val="00063850"/>
    <w:rsid w:val="000640DD"/>
    <w:rsid w:val="000643CD"/>
    <w:rsid w:val="00065291"/>
    <w:rsid w:val="00065627"/>
    <w:rsid w:val="00065D98"/>
    <w:rsid w:val="0006626E"/>
    <w:rsid w:val="000662CC"/>
    <w:rsid w:val="000663B9"/>
    <w:rsid w:val="00067004"/>
    <w:rsid w:val="000675F8"/>
    <w:rsid w:val="0006793C"/>
    <w:rsid w:val="000708DB"/>
    <w:rsid w:val="00071248"/>
    <w:rsid w:val="00071533"/>
    <w:rsid w:val="000720B9"/>
    <w:rsid w:val="00072882"/>
    <w:rsid w:val="00074129"/>
    <w:rsid w:val="000744DD"/>
    <w:rsid w:val="00074CB3"/>
    <w:rsid w:val="00075485"/>
    <w:rsid w:val="00076027"/>
    <w:rsid w:val="00076891"/>
    <w:rsid w:val="00076D42"/>
    <w:rsid w:val="00077969"/>
    <w:rsid w:val="00080224"/>
    <w:rsid w:val="00081168"/>
    <w:rsid w:val="000812CA"/>
    <w:rsid w:val="00081923"/>
    <w:rsid w:val="00081B3C"/>
    <w:rsid w:val="00081C62"/>
    <w:rsid w:val="00087EDC"/>
    <w:rsid w:val="00090C7E"/>
    <w:rsid w:val="00091081"/>
    <w:rsid w:val="00091116"/>
    <w:rsid w:val="00091614"/>
    <w:rsid w:val="00091D9D"/>
    <w:rsid w:val="00092783"/>
    <w:rsid w:val="00092A29"/>
    <w:rsid w:val="00092D58"/>
    <w:rsid w:val="00093520"/>
    <w:rsid w:val="00093BCF"/>
    <w:rsid w:val="00093CD4"/>
    <w:rsid w:val="000946D4"/>
    <w:rsid w:val="00094FF4"/>
    <w:rsid w:val="000950C9"/>
    <w:rsid w:val="000957F7"/>
    <w:rsid w:val="0009582C"/>
    <w:rsid w:val="00096552"/>
    <w:rsid w:val="00097F5B"/>
    <w:rsid w:val="000A0DE5"/>
    <w:rsid w:val="000A12E2"/>
    <w:rsid w:val="000A133E"/>
    <w:rsid w:val="000A1345"/>
    <w:rsid w:val="000A1CA0"/>
    <w:rsid w:val="000A227B"/>
    <w:rsid w:val="000A279A"/>
    <w:rsid w:val="000A3469"/>
    <w:rsid w:val="000A43C6"/>
    <w:rsid w:val="000A50DA"/>
    <w:rsid w:val="000A5228"/>
    <w:rsid w:val="000A6040"/>
    <w:rsid w:val="000A6B3C"/>
    <w:rsid w:val="000A7803"/>
    <w:rsid w:val="000B0500"/>
    <w:rsid w:val="000B05C4"/>
    <w:rsid w:val="000B261B"/>
    <w:rsid w:val="000B32AD"/>
    <w:rsid w:val="000B3713"/>
    <w:rsid w:val="000B3CCC"/>
    <w:rsid w:val="000B4D6B"/>
    <w:rsid w:val="000B4DCE"/>
    <w:rsid w:val="000B5088"/>
    <w:rsid w:val="000B5EB5"/>
    <w:rsid w:val="000B6863"/>
    <w:rsid w:val="000B77E7"/>
    <w:rsid w:val="000B7C3D"/>
    <w:rsid w:val="000C010B"/>
    <w:rsid w:val="000C0295"/>
    <w:rsid w:val="000C0715"/>
    <w:rsid w:val="000C0801"/>
    <w:rsid w:val="000C0A49"/>
    <w:rsid w:val="000C2190"/>
    <w:rsid w:val="000C2439"/>
    <w:rsid w:val="000C28C0"/>
    <w:rsid w:val="000C4044"/>
    <w:rsid w:val="000C41D5"/>
    <w:rsid w:val="000C6B32"/>
    <w:rsid w:val="000C6EBD"/>
    <w:rsid w:val="000C7422"/>
    <w:rsid w:val="000C7819"/>
    <w:rsid w:val="000D00A0"/>
    <w:rsid w:val="000D063E"/>
    <w:rsid w:val="000D0CAB"/>
    <w:rsid w:val="000D0FA3"/>
    <w:rsid w:val="000D13C1"/>
    <w:rsid w:val="000D1BA6"/>
    <w:rsid w:val="000D1BFC"/>
    <w:rsid w:val="000D58DD"/>
    <w:rsid w:val="000D5CCF"/>
    <w:rsid w:val="000D6219"/>
    <w:rsid w:val="000D6A9E"/>
    <w:rsid w:val="000E1805"/>
    <w:rsid w:val="000E1D3D"/>
    <w:rsid w:val="000E2E56"/>
    <w:rsid w:val="000E3003"/>
    <w:rsid w:val="000E522F"/>
    <w:rsid w:val="000E5362"/>
    <w:rsid w:val="000E56F0"/>
    <w:rsid w:val="000E5A08"/>
    <w:rsid w:val="000E5AA5"/>
    <w:rsid w:val="000E5D68"/>
    <w:rsid w:val="000E6053"/>
    <w:rsid w:val="000E61DD"/>
    <w:rsid w:val="000E6C53"/>
    <w:rsid w:val="000E7600"/>
    <w:rsid w:val="000E7800"/>
    <w:rsid w:val="000E791B"/>
    <w:rsid w:val="000F0D98"/>
    <w:rsid w:val="000F19B6"/>
    <w:rsid w:val="000F205D"/>
    <w:rsid w:val="000F2289"/>
    <w:rsid w:val="000F2EDD"/>
    <w:rsid w:val="000F363B"/>
    <w:rsid w:val="000F365F"/>
    <w:rsid w:val="000F4BB8"/>
    <w:rsid w:val="000F5251"/>
    <w:rsid w:val="000F5476"/>
    <w:rsid w:val="000F5585"/>
    <w:rsid w:val="000F56CF"/>
    <w:rsid w:val="000F609F"/>
    <w:rsid w:val="000F63F0"/>
    <w:rsid w:val="000F67EF"/>
    <w:rsid w:val="000F6D5F"/>
    <w:rsid w:val="000F7127"/>
    <w:rsid w:val="000F78EE"/>
    <w:rsid w:val="0010002E"/>
    <w:rsid w:val="00100281"/>
    <w:rsid w:val="00100F8A"/>
    <w:rsid w:val="00101855"/>
    <w:rsid w:val="00101DA7"/>
    <w:rsid w:val="00101DC3"/>
    <w:rsid w:val="001021D2"/>
    <w:rsid w:val="001025E3"/>
    <w:rsid w:val="00102A43"/>
    <w:rsid w:val="00103C6D"/>
    <w:rsid w:val="0010487E"/>
    <w:rsid w:val="00105F4E"/>
    <w:rsid w:val="00107947"/>
    <w:rsid w:val="0011032E"/>
    <w:rsid w:val="00110D83"/>
    <w:rsid w:val="00110FBA"/>
    <w:rsid w:val="00111BFD"/>
    <w:rsid w:val="001120BA"/>
    <w:rsid w:val="001126D4"/>
    <w:rsid w:val="00112ED1"/>
    <w:rsid w:val="00113374"/>
    <w:rsid w:val="001133E0"/>
    <w:rsid w:val="0011348B"/>
    <w:rsid w:val="00113783"/>
    <w:rsid w:val="0011379F"/>
    <w:rsid w:val="001145B9"/>
    <w:rsid w:val="0011563A"/>
    <w:rsid w:val="00115F55"/>
    <w:rsid w:val="00116672"/>
    <w:rsid w:val="00117AA4"/>
    <w:rsid w:val="00117DEC"/>
    <w:rsid w:val="00117EB3"/>
    <w:rsid w:val="0012001F"/>
    <w:rsid w:val="00121188"/>
    <w:rsid w:val="0012136C"/>
    <w:rsid w:val="00121799"/>
    <w:rsid w:val="00121A3D"/>
    <w:rsid w:val="001222FC"/>
    <w:rsid w:val="00122749"/>
    <w:rsid w:val="00122FD2"/>
    <w:rsid w:val="001242B2"/>
    <w:rsid w:val="00124783"/>
    <w:rsid w:val="00124A51"/>
    <w:rsid w:val="00125371"/>
    <w:rsid w:val="0012599B"/>
    <w:rsid w:val="00126621"/>
    <w:rsid w:val="001267F8"/>
    <w:rsid w:val="00126901"/>
    <w:rsid w:val="001276FD"/>
    <w:rsid w:val="00127A20"/>
    <w:rsid w:val="00127CF7"/>
    <w:rsid w:val="00127E97"/>
    <w:rsid w:val="00127FC9"/>
    <w:rsid w:val="001301E9"/>
    <w:rsid w:val="00131851"/>
    <w:rsid w:val="001327FB"/>
    <w:rsid w:val="00132BB0"/>
    <w:rsid w:val="00133A49"/>
    <w:rsid w:val="00135086"/>
    <w:rsid w:val="00135A49"/>
    <w:rsid w:val="00135CD7"/>
    <w:rsid w:val="00135EAB"/>
    <w:rsid w:val="00136842"/>
    <w:rsid w:val="001371E0"/>
    <w:rsid w:val="00137645"/>
    <w:rsid w:val="0014015A"/>
    <w:rsid w:val="00140E99"/>
    <w:rsid w:val="00141C4D"/>
    <w:rsid w:val="00141F87"/>
    <w:rsid w:val="001433A1"/>
    <w:rsid w:val="001442D4"/>
    <w:rsid w:val="00144C1A"/>
    <w:rsid w:val="00145270"/>
    <w:rsid w:val="00145540"/>
    <w:rsid w:val="001456B0"/>
    <w:rsid w:val="0014617C"/>
    <w:rsid w:val="0014722C"/>
    <w:rsid w:val="00150B29"/>
    <w:rsid w:val="00150FBB"/>
    <w:rsid w:val="00153597"/>
    <w:rsid w:val="0015467A"/>
    <w:rsid w:val="0015596D"/>
    <w:rsid w:val="00155F24"/>
    <w:rsid w:val="001562CA"/>
    <w:rsid w:val="001566E8"/>
    <w:rsid w:val="00157130"/>
    <w:rsid w:val="00157239"/>
    <w:rsid w:val="001607FF"/>
    <w:rsid w:val="0016083A"/>
    <w:rsid w:val="00160EB1"/>
    <w:rsid w:val="0016158E"/>
    <w:rsid w:val="00161D7C"/>
    <w:rsid w:val="00162656"/>
    <w:rsid w:val="00162913"/>
    <w:rsid w:val="00162CA2"/>
    <w:rsid w:val="0016312D"/>
    <w:rsid w:val="00163EFF"/>
    <w:rsid w:val="00165295"/>
    <w:rsid w:val="00165CAC"/>
    <w:rsid w:val="001661FB"/>
    <w:rsid w:val="00166C2D"/>
    <w:rsid w:val="00170D2C"/>
    <w:rsid w:val="00173367"/>
    <w:rsid w:val="0017388D"/>
    <w:rsid w:val="00173EC6"/>
    <w:rsid w:val="00174B27"/>
    <w:rsid w:val="00174B7C"/>
    <w:rsid w:val="00175BAA"/>
    <w:rsid w:val="00177B8B"/>
    <w:rsid w:val="001802C3"/>
    <w:rsid w:val="001810B3"/>
    <w:rsid w:val="0018165C"/>
    <w:rsid w:val="0018180D"/>
    <w:rsid w:val="00182725"/>
    <w:rsid w:val="001827E1"/>
    <w:rsid w:val="00182CDC"/>
    <w:rsid w:val="00183289"/>
    <w:rsid w:val="00184C1E"/>
    <w:rsid w:val="00186589"/>
    <w:rsid w:val="0018733B"/>
    <w:rsid w:val="0018752F"/>
    <w:rsid w:val="001907B5"/>
    <w:rsid w:val="00190AE6"/>
    <w:rsid w:val="00190AF3"/>
    <w:rsid w:val="0019136C"/>
    <w:rsid w:val="001918D1"/>
    <w:rsid w:val="00192CCC"/>
    <w:rsid w:val="0019350E"/>
    <w:rsid w:val="001936C8"/>
    <w:rsid w:val="00194003"/>
    <w:rsid w:val="001941E9"/>
    <w:rsid w:val="00194801"/>
    <w:rsid w:val="00194CA4"/>
    <w:rsid w:val="00195222"/>
    <w:rsid w:val="0019529E"/>
    <w:rsid w:val="001958EE"/>
    <w:rsid w:val="00196333"/>
    <w:rsid w:val="00196658"/>
    <w:rsid w:val="00196FC7"/>
    <w:rsid w:val="001975D8"/>
    <w:rsid w:val="00197709"/>
    <w:rsid w:val="001979EF"/>
    <w:rsid w:val="00197A2D"/>
    <w:rsid w:val="00197EC1"/>
    <w:rsid w:val="001A0197"/>
    <w:rsid w:val="001A08C4"/>
    <w:rsid w:val="001A0AC9"/>
    <w:rsid w:val="001A158E"/>
    <w:rsid w:val="001A36D2"/>
    <w:rsid w:val="001A36EC"/>
    <w:rsid w:val="001A4062"/>
    <w:rsid w:val="001A56C4"/>
    <w:rsid w:val="001A5E3E"/>
    <w:rsid w:val="001A6105"/>
    <w:rsid w:val="001A6129"/>
    <w:rsid w:val="001B02E8"/>
    <w:rsid w:val="001B05F2"/>
    <w:rsid w:val="001B0CB8"/>
    <w:rsid w:val="001B143A"/>
    <w:rsid w:val="001B3433"/>
    <w:rsid w:val="001B3443"/>
    <w:rsid w:val="001B3DF7"/>
    <w:rsid w:val="001B3F02"/>
    <w:rsid w:val="001B47CF"/>
    <w:rsid w:val="001B4A34"/>
    <w:rsid w:val="001B69FB"/>
    <w:rsid w:val="001B6B0F"/>
    <w:rsid w:val="001C0361"/>
    <w:rsid w:val="001C0555"/>
    <w:rsid w:val="001C0617"/>
    <w:rsid w:val="001C0B5F"/>
    <w:rsid w:val="001C160A"/>
    <w:rsid w:val="001C16AD"/>
    <w:rsid w:val="001C5238"/>
    <w:rsid w:val="001C536E"/>
    <w:rsid w:val="001C5B17"/>
    <w:rsid w:val="001C5CBC"/>
    <w:rsid w:val="001C5DA8"/>
    <w:rsid w:val="001C6AE4"/>
    <w:rsid w:val="001C6E66"/>
    <w:rsid w:val="001C786A"/>
    <w:rsid w:val="001D0284"/>
    <w:rsid w:val="001D08DB"/>
    <w:rsid w:val="001D0CCC"/>
    <w:rsid w:val="001D0F61"/>
    <w:rsid w:val="001D10E3"/>
    <w:rsid w:val="001D1E5E"/>
    <w:rsid w:val="001D20A6"/>
    <w:rsid w:val="001D2E87"/>
    <w:rsid w:val="001D2F49"/>
    <w:rsid w:val="001D2FB2"/>
    <w:rsid w:val="001D3B70"/>
    <w:rsid w:val="001D59ED"/>
    <w:rsid w:val="001D6420"/>
    <w:rsid w:val="001D70CF"/>
    <w:rsid w:val="001E08DD"/>
    <w:rsid w:val="001E18C1"/>
    <w:rsid w:val="001E238E"/>
    <w:rsid w:val="001E2B1E"/>
    <w:rsid w:val="001E395D"/>
    <w:rsid w:val="001E3B84"/>
    <w:rsid w:val="001E529B"/>
    <w:rsid w:val="001E52EB"/>
    <w:rsid w:val="001E69F5"/>
    <w:rsid w:val="001E6EDD"/>
    <w:rsid w:val="001E740C"/>
    <w:rsid w:val="001E7595"/>
    <w:rsid w:val="001E7602"/>
    <w:rsid w:val="001E7AE4"/>
    <w:rsid w:val="001E7FE9"/>
    <w:rsid w:val="001F0622"/>
    <w:rsid w:val="001F0D67"/>
    <w:rsid w:val="001F1235"/>
    <w:rsid w:val="001F12CC"/>
    <w:rsid w:val="001F15A0"/>
    <w:rsid w:val="001F1938"/>
    <w:rsid w:val="001F19B6"/>
    <w:rsid w:val="001F1CB3"/>
    <w:rsid w:val="001F2E0E"/>
    <w:rsid w:val="001F329B"/>
    <w:rsid w:val="001F57AD"/>
    <w:rsid w:val="001F5BFE"/>
    <w:rsid w:val="001F6E14"/>
    <w:rsid w:val="001F7361"/>
    <w:rsid w:val="001F7FD1"/>
    <w:rsid w:val="002002FF"/>
    <w:rsid w:val="002003C3"/>
    <w:rsid w:val="00200510"/>
    <w:rsid w:val="00200DF8"/>
    <w:rsid w:val="00202C79"/>
    <w:rsid w:val="0020385F"/>
    <w:rsid w:val="002048C0"/>
    <w:rsid w:val="00205647"/>
    <w:rsid w:val="002056C3"/>
    <w:rsid w:val="00205925"/>
    <w:rsid w:val="00206788"/>
    <w:rsid w:val="00207021"/>
    <w:rsid w:val="002075E7"/>
    <w:rsid w:val="00207BB9"/>
    <w:rsid w:val="00207D00"/>
    <w:rsid w:val="00210224"/>
    <w:rsid w:val="002105C1"/>
    <w:rsid w:val="00211472"/>
    <w:rsid w:val="00211A3B"/>
    <w:rsid w:val="0021247D"/>
    <w:rsid w:val="002126F0"/>
    <w:rsid w:val="0021416C"/>
    <w:rsid w:val="00214383"/>
    <w:rsid w:val="002149C0"/>
    <w:rsid w:val="002154B1"/>
    <w:rsid w:val="00215628"/>
    <w:rsid w:val="00216522"/>
    <w:rsid w:val="002171D7"/>
    <w:rsid w:val="0021762C"/>
    <w:rsid w:val="00220463"/>
    <w:rsid w:val="00220664"/>
    <w:rsid w:val="002219DC"/>
    <w:rsid w:val="00221AFB"/>
    <w:rsid w:val="002220BA"/>
    <w:rsid w:val="00222D78"/>
    <w:rsid w:val="002231CF"/>
    <w:rsid w:val="00223237"/>
    <w:rsid w:val="00223457"/>
    <w:rsid w:val="002234FD"/>
    <w:rsid w:val="002237E9"/>
    <w:rsid w:val="00223B49"/>
    <w:rsid w:val="00224DD4"/>
    <w:rsid w:val="00225475"/>
    <w:rsid w:val="0022567D"/>
    <w:rsid w:val="0022570D"/>
    <w:rsid w:val="00225AFC"/>
    <w:rsid w:val="0022658E"/>
    <w:rsid w:val="00227595"/>
    <w:rsid w:val="002306D6"/>
    <w:rsid w:val="002309CC"/>
    <w:rsid w:val="0023109D"/>
    <w:rsid w:val="00231C8B"/>
    <w:rsid w:val="00232713"/>
    <w:rsid w:val="0023385C"/>
    <w:rsid w:val="00240074"/>
    <w:rsid w:val="00242884"/>
    <w:rsid w:val="00243118"/>
    <w:rsid w:val="00243274"/>
    <w:rsid w:val="00243C9B"/>
    <w:rsid w:val="00244972"/>
    <w:rsid w:val="002453DE"/>
    <w:rsid w:val="002458D9"/>
    <w:rsid w:val="00245953"/>
    <w:rsid w:val="00245B22"/>
    <w:rsid w:val="0024602B"/>
    <w:rsid w:val="00246282"/>
    <w:rsid w:val="0024659A"/>
    <w:rsid w:val="00246708"/>
    <w:rsid w:val="00246BD9"/>
    <w:rsid w:val="00247314"/>
    <w:rsid w:val="0024748D"/>
    <w:rsid w:val="00247587"/>
    <w:rsid w:val="002505C3"/>
    <w:rsid w:val="002506EC"/>
    <w:rsid w:val="00250AC1"/>
    <w:rsid w:val="00250B80"/>
    <w:rsid w:val="0025112A"/>
    <w:rsid w:val="00252BBD"/>
    <w:rsid w:val="0025352C"/>
    <w:rsid w:val="00254983"/>
    <w:rsid w:val="00254DCF"/>
    <w:rsid w:val="00255255"/>
    <w:rsid w:val="0025534B"/>
    <w:rsid w:val="002555E6"/>
    <w:rsid w:val="00255B81"/>
    <w:rsid w:val="00255BB7"/>
    <w:rsid w:val="00255BCE"/>
    <w:rsid w:val="00256B43"/>
    <w:rsid w:val="00256FD6"/>
    <w:rsid w:val="002605C7"/>
    <w:rsid w:val="00260F7E"/>
    <w:rsid w:val="00260FAE"/>
    <w:rsid w:val="00261A76"/>
    <w:rsid w:val="00262A87"/>
    <w:rsid w:val="00262CE2"/>
    <w:rsid w:val="0026313B"/>
    <w:rsid w:val="00263208"/>
    <w:rsid w:val="00264A91"/>
    <w:rsid w:val="00264D6A"/>
    <w:rsid w:val="002658D5"/>
    <w:rsid w:val="00265DBE"/>
    <w:rsid w:val="00266550"/>
    <w:rsid w:val="00267409"/>
    <w:rsid w:val="00267943"/>
    <w:rsid w:val="0027125A"/>
    <w:rsid w:val="0027212E"/>
    <w:rsid w:val="00272134"/>
    <w:rsid w:val="002747A4"/>
    <w:rsid w:val="00274992"/>
    <w:rsid w:val="00275370"/>
    <w:rsid w:val="0027595F"/>
    <w:rsid w:val="00275C5A"/>
    <w:rsid w:val="00277512"/>
    <w:rsid w:val="00281014"/>
    <w:rsid w:val="00281AA4"/>
    <w:rsid w:val="00281C55"/>
    <w:rsid w:val="002820DF"/>
    <w:rsid w:val="002831ED"/>
    <w:rsid w:val="0028326E"/>
    <w:rsid w:val="002854AC"/>
    <w:rsid w:val="00285766"/>
    <w:rsid w:val="00286B13"/>
    <w:rsid w:val="00286B72"/>
    <w:rsid w:val="00286CA8"/>
    <w:rsid w:val="00286E14"/>
    <w:rsid w:val="002904E3"/>
    <w:rsid w:val="002916D0"/>
    <w:rsid w:val="00291BA9"/>
    <w:rsid w:val="00292EDD"/>
    <w:rsid w:val="0029368B"/>
    <w:rsid w:val="002939CE"/>
    <w:rsid w:val="00293BA8"/>
    <w:rsid w:val="00293FFA"/>
    <w:rsid w:val="002941B9"/>
    <w:rsid w:val="002942EE"/>
    <w:rsid w:val="00295521"/>
    <w:rsid w:val="00295A3E"/>
    <w:rsid w:val="00295BF9"/>
    <w:rsid w:val="002960C4"/>
    <w:rsid w:val="00296407"/>
    <w:rsid w:val="002970E9"/>
    <w:rsid w:val="0029730C"/>
    <w:rsid w:val="00297492"/>
    <w:rsid w:val="0029754B"/>
    <w:rsid w:val="0029793D"/>
    <w:rsid w:val="002A051A"/>
    <w:rsid w:val="002A083B"/>
    <w:rsid w:val="002A0BFD"/>
    <w:rsid w:val="002A14AB"/>
    <w:rsid w:val="002A21AA"/>
    <w:rsid w:val="002A21C3"/>
    <w:rsid w:val="002A4044"/>
    <w:rsid w:val="002A4A1A"/>
    <w:rsid w:val="002A4D22"/>
    <w:rsid w:val="002A50D1"/>
    <w:rsid w:val="002A5C77"/>
    <w:rsid w:val="002A61F9"/>
    <w:rsid w:val="002A76D3"/>
    <w:rsid w:val="002A7BC4"/>
    <w:rsid w:val="002B1C1F"/>
    <w:rsid w:val="002B1D5C"/>
    <w:rsid w:val="002B2B0F"/>
    <w:rsid w:val="002B314C"/>
    <w:rsid w:val="002B3483"/>
    <w:rsid w:val="002B41B6"/>
    <w:rsid w:val="002B4265"/>
    <w:rsid w:val="002B432F"/>
    <w:rsid w:val="002B4B81"/>
    <w:rsid w:val="002B4C44"/>
    <w:rsid w:val="002B5C3A"/>
    <w:rsid w:val="002B6CCE"/>
    <w:rsid w:val="002B750E"/>
    <w:rsid w:val="002B7A44"/>
    <w:rsid w:val="002C0233"/>
    <w:rsid w:val="002C0FD9"/>
    <w:rsid w:val="002C2775"/>
    <w:rsid w:val="002C27C1"/>
    <w:rsid w:val="002C30A0"/>
    <w:rsid w:val="002C316F"/>
    <w:rsid w:val="002C3C48"/>
    <w:rsid w:val="002C438F"/>
    <w:rsid w:val="002C499D"/>
    <w:rsid w:val="002C50C2"/>
    <w:rsid w:val="002C6A96"/>
    <w:rsid w:val="002C708B"/>
    <w:rsid w:val="002C7E80"/>
    <w:rsid w:val="002D006D"/>
    <w:rsid w:val="002D0936"/>
    <w:rsid w:val="002D1331"/>
    <w:rsid w:val="002D1408"/>
    <w:rsid w:val="002D2C49"/>
    <w:rsid w:val="002D3164"/>
    <w:rsid w:val="002D363A"/>
    <w:rsid w:val="002D393D"/>
    <w:rsid w:val="002D3F23"/>
    <w:rsid w:val="002D41F5"/>
    <w:rsid w:val="002D4208"/>
    <w:rsid w:val="002D4777"/>
    <w:rsid w:val="002D497D"/>
    <w:rsid w:val="002D4A34"/>
    <w:rsid w:val="002D4C8E"/>
    <w:rsid w:val="002D4E02"/>
    <w:rsid w:val="002D6034"/>
    <w:rsid w:val="002D7D8B"/>
    <w:rsid w:val="002E0A8A"/>
    <w:rsid w:val="002E1744"/>
    <w:rsid w:val="002E2831"/>
    <w:rsid w:val="002E3A7C"/>
    <w:rsid w:val="002E42FD"/>
    <w:rsid w:val="002E47EA"/>
    <w:rsid w:val="002E5AC9"/>
    <w:rsid w:val="002E6990"/>
    <w:rsid w:val="002E6AC3"/>
    <w:rsid w:val="002E6D9D"/>
    <w:rsid w:val="002E71DE"/>
    <w:rsid w:val="002E73EE"/>
    <w:rsid w:val="002E7F47"/>
    <w:rsid w:val="002F038B"/>
    <w:rsid w:val="002F1516"/>
    <w:rsid w:val="002F1930"/>
    <w:rsid w:val="002F1D6C"/>
    <w:rsid w:val="002F2929"/>
    <w:rsid w:val="002F33B2"/>
    <w:rsid w:val="002F4FB7"/>
    <w:rsid w:val="002F59C8"/>
    <w:rsid w:val="002F5A3C"/>
    <w:rsid w:val="002F5A92"/>
    <w:rsid w:val="002F5ACF"/>
    <w:rsid w:val="002F62FD"/>
    <w:rsid w:val="002F62FE"/>
    <w:rsid w:val="002F6EB1"/>
    <w:rsid w:val="002F7B2D"/>
    <w:rsid w:val="00300EFA"/>
    <w:rsid w:val="00301017"/>
    <w:rsid w:val="00301C1B"/>
    <w:rsid w:val="003020FB"/>
    <w:rsid w:val="00302871"/>
    <w:rsid w:val="00303157"/>
    <w:rsid w:val="00303A45"/>
    <w:rsid w:val="00303E31"/>
    <w:rsid w:val="0030500E"/>
    <w:rsid w:val="0030536C"/>
    <w:rsid w:val="0030555E"/>
    <w:rsid w:val="00305D84"/>
    <w:rsid w:val="00306166"/>
    <w:rsid w:val="00306AB4"/>
    <w:rsid w:val="00306C28"/>
    <w:rsid w:val="003070AB"/>
    <w:rsid w:val="0030786C"/>
    <w:rsid w:val="00307C04"/>
    <w:rsid w:val="0031012E"/>
    <w:rsid w:val="0031031A"/>
    <w:rsid w:val="00310981"/>
    <w:rsid w:val="00310D68"/>
    <w:rsid w:val="00311DA6"/>
    <w:rsid w:val="00315498"/>
    <w:rsid w:val="00315BF4"/>
    <w:rsid w:val="00316C91"/>
    <w:rsid w:val="0031730E"/>
    <w:rsid w:val="003179C3"/>
    <w:rsid w:val="00320452"/>
    <w:rsid w:val="0032086E"/>
    <w:rsid w:val="00321603"/>
    <w:rsid w:val="003218F2"/>
    <w:rsid w:val="00321B65"/>
    <w:rsid w:val="00321ECB"/>
    <w:rsid w:val="00322704"/>
    <w:rsid w:val="003232D9"/>
    <w:rsid w:val="0032349A"/>
    <w:rsid w:val="00323576"/>
    <w:rsid w:val="00323892"/>
    <w:rsid w:val="00323C3B"/>
    <w:rsid w:val="00324268"/>
    <w:rsid w:val="003252D4"/>
    <w:rsid w:val="0032545E"/>
    <w:rsid w:val="00325857"/>
    <w:rsid w:val="00326195"/>
    <w:rsid w:val="00327EB4"/>
    <w:rsid w:val="00331672"/>
    <w:rsid w:val="00331F6A"/>
    <w:rsid w:val="00332108"/>
    <w:rsid w:val="0033378C"/>
    <w:rsid w:val="00333828"/>
    <w:rsid w:val="00333A18"/>
    <w:rsid w:val="00333A35"/>
    <w:rsid w:val="0033651B"/>
    <w:rsid w:val="003366C9"/>
    <w:rsid w:val="003371B0"/>
    <w:rsid w:val="00337B0D"/>
    <w:rsid w:val="00337CFD"/>
    <w:rsid w:val="00337E42"/>
    <w:rsid w:val="00340516"/>
    <w:rsid w:val="00340600"/>
    <w:rsid w:val="0034095A"/>
    <w:rsid w:val="00342255"/>
    <w:rsid w:val="00343449"/>
    <w:rsid w:val="00343B7E"/>
    <w:rsid w:val="00344214"/>
    <w:rsid w:val="00344710"/>
    <w:rsid w:val="003476D4"/>
    <w:rsid w:val="00347C5E"/>
    <w:rsid w:val="00350CE8"/>
    <w:rsid w:val="003514D9"/>
    <w:rsid w:val="00352D28"/>
    <w:rsid w:val="00353674"/>
    <w:rsid w:val="003541B3"/>
    <w:rsid w:val="00354426"/>
    <w:rsid w:val="00354799"/>
    <w:rsid w:val="00354FCB"/>
    <w:rsid w:val="00355D3C"/>
    <w:rsid w:val="0035620E"/>
    <w:rsid w:val="00356350"/>
    <w:rsid w:val="00356B2D"/>
    <w:rsid w:val="00356E75"/>
    <w:rsid w:val="00357426"/>
    <w:rsid w:val="003579E2"/>
    <w:rsid w:val="00361FF1"/>
    <w:rsid w:val="00363461"/>
    <w:rsid w:val="003639B2"/>
    <w:rsid w:val="00363D6A"/>
    <w:rsid w:val="00363FA7"/>
    <w:rsid w:val="003642B5"/>
    <w:rsid w:val="003646A8"/>
    <w:rsid w:val="00365F0B"/>
    <w:rsid w:val="003662A6"/>
    <w:rsid w:val="0036665C"/>
    <w:rsid w:val="00366F52"/>
    <w:rsid w:val="00367098"/>
    <w:rsid w:val="003709B2"/>
    <w:rsid w:val="00373B45"/>
    <w:rsid w:val="00373C0E"/>
    <w:rsid w:val="0037447C"/>
    <w:rsid w:val="00374541"/>
    <w:rsid w:val="00374B98"/>
    <w:rsid w:val="003757F2"/>
    <w:rsid w:val="003758EA"/>
    <w:rsid w:val="00375D87"/>
    <w:rsid w:val="00376765"/>
    <w:rsid w:val="003771F2"/>
    <w:rsid w:val="003778C3"/>
    <w:rsid w:val="00380110"/>
    <w:rsid w:val="00380A27"/>
    <w:rsid w:val="0038140E"/>
    <w:rsid w:val="00381A97"/>
    <w:rsid w:val="00382CBC"/>
    <w:rsid w:val="0038365C"/>
    <w:rsid w:val="003847D3"/>
    <w:rsid w:val="003851C0"/>
    <w:rsid w:val="00386509"/>
    <w:rsid w:val="00391044"/>
    <w:rsid w:val="00391166"/>
    <w:rsid w:val="0039121F"/>
    <w:rsid w:val="00391276"/>
    <w:rsid w:val="00391BF7"/>
    <w:rsid w:val="00392157"/>
    <w:rsid w:val="00392291"/>
    <w:rsid w:val="00393841"/>
    <w:rsid w:val="00393DCA"/>
    <w:rsid w:val="00393DD7"/>
    <w:rsid w:val="0039414A"/>
    <w:rsid w:val="00394681"/>
    <w:rsid w:val="00394690"/>
    <w:rsid w:val="00394A92"/>
    <w:rsid w:val="00394DF2"/>
    <w:rsid w:val="003960EA"/>
    <w:rsid w:val="00396874"/>
    <w:rsid w:val="00396FD0"/>
    <w:rsid w:val="003970C7"/>
    <w:rsid w:val="00397547"/>
    <w:rsid w:val="00397B3E"/>
    <w:rsid w:val="00397F24"/>
    <w:rsid w:val="003A1A7A"/>
    <w:rsid w:val="003A1EA8"/>
    <w:rsid w:val="003A207D"/>
    <w:rsid w:val="003A2F22"/>
    <w:rsid w:val="003A4D01"/>
    <w:rsid w:val="003A5458"/>
    <w:rsid w:val="003A660D"/>
    <w:rsid w:val="003A7CEE"/>
    <w:rsid w:val="003B03CC"/>
    <w:rsid w:val="003B0B61"/>
    <w:rsid w:val="003B15A2"/>
    <w:rsid w:val="003B2046"/>
    <w:rsid w:val="003B2365"/>
    <w:rsid w:val="003B2F9D"/>
    <w:rsid w:val="003B46EF"/>
    <w:rsid w:val="003B51BE"/>
    <w:rsid w:val="003B626C"/>
    <w:rsid w:val="003B7877"/>
    <w:rsid w:val="003C0BE1"/>
    <w:rsid w:val="003C0C5B"/>
    <w:rsid w:val="003C1496"/>
    <w:rsid w:val="003C1686"/>
    <w:rsid w:val="003C1CE2"/>
    <w:rsid w:val="003C26F5"/>
    <w:rsid w:val="003C3533"/>
    <w:rsid w:val="003C3A2A"/>
    <w:rsid w:val="003C3AA4"/>
    <w:rsid w:val="003C41C6"/>
    <w:rsid w:val="003C55C9"/>
    <w:rsid w:val="003C57B7"/>
    <w:rsid w:val="003C5C38"/>
    <w:rsid w:val="003C6591"/>
    <w:rsid w:val="003C6772"/>
    <w:rsid w:val="003C6CD0"/>
    <w:rsid w:val="003C73D8"/>
    <w:rsid w:val="003D1484"/>
    <w:rsid w:val="003D1544"/>
    <w:rsid w:val="003D1828"/>
    <w:rsid w:val="003D1CFC"/>
    <w:rsid w:val="003D20EC"/>
    <w:rsid w:val="003D2422"/>
    <w:rsid w:val="003D3645"/>
    <w:rsid w:val="003D4219"/>
    <w:rsid w:val="003D6F5C"/>
    <w:rsid w:val="003D7862"/>
    <w:rsid w:val="003E0DF1"/>
    <w:rsid w:val="003E0F72"/>
    <w:rsid w:val="003E1D54"/>
    <w:rsid w:val="003E251F"/>
    <w:rsid w:val="003E2AAB"/>
    <w:rsid w:val="003E3688"/>
    <w:rsid w:val="003E369F"/>
    <w:rsid w:val="003E3878"/>
    <w:rsid w:val="003E4419"/>
    <w:rsid w:val="003E4904"/>
    <w:rsid w:val="003E495B"/>
    <w:rsid w:val="003E5592"/>
    <w:rsid w:val="003E67DD"/>
    <w:rsid w:val="003E6A97"/>
    <w:rsid w:val="003E704C"/>
    <w:rsid w:val="003E7264"/>
    <w:rsid w:val="003E79F7"/>
    <w:rsid w:val="003F0402"/>
    <w:rsid w:val="003F0CB2"/>
    <w:rsid w:val="003F1301"/>
    <w:rsid w:val="003F1887"/>
    <w:rsid w:val="003F24E3"/>
    <w:rsid w:val="003F3136"/>
    <w:rsid w:val="003F389E"/>
    <w:rsid w:val="003F3C3A"/>
    <w:rsid w:val="003F4156"/>
    <w:rsid w:val="003F4EB3"/>
    <w:rsid w:val="003F6835"/>
    <w:rsid w:val="003F6C4E"/>
    <w:rsid w:val="003F79BA"/>
    <w:rsid w:val="0040124B"/>
    <w:rsid w:val="00402338"/>
    <w:rsid w:val="00402C16"/>
    <w:rsid w:val="00403963"/>
    <w:rsid w:val="0040490E"/>
    <w:rsid w:val="004059C6"/>
    <w:rsid w:val="0040649B"/>
    <w:rsid w:val="00410708"/>
    <w:rsid w:val="00410EC7"/>
    <w:rsid w:val="0041138C"/>
    <w:rsid w:val="00411883"/>
    <w:rsid w:val="00413916"/>
    <w:rsid w:val="00413BC1"/>
    <w:rsid w:val="00413C94"/>
    <w:rsid w:val="00414476"/>
    <w:rsid w:val="0041470D"/>
    <w:rsid w:val="00416FAF"/>
    <w:rsid w:val="00417862"/>
    <w:rsid w:val="00417A16"/>
    <w:rsid w:val="00420B9F"/>
    <w:rsid w:val="0042168F"/>
    <w:rsid w:val="00421AD5"/>
    <w:rsid w:val="00423168"/>
    <w:rsid w:val="00423A78"/>
    <w:rsid w:val="00424877"/>
    <w:rsid w:val="00424B9C"/>
    <w:rsid w:val="004264BA"/>
    <w:rsid w:val="0042697A"/>
    <w:rsid w:val="00426F8E"/>
    <w:rsid w:val="00427CF7"/>
    <w:rsid w:val="00430E50"/>
    <w:rsid w:val="00430FC0"/>
    <w:rsid w:val="004319F8"/>
    <w:rsid w:val="00431CA1"/>
    <w:rsid w:val="00432BE2"/>
    <w:rsid w:val="00433044"/>
    <w:rsid w:val="0043317D"/>
    <w:rsid w:val="00433403"/>
    <w:rsid w:val="00433CAC"/>
    <w:rsid w:val="00434DA7"/>
    <w:rsid w:val="00435250"/>
    <w:rsid w:val="00440131"/>
    <w:rsid w:val="004407FB"/>
    <w:rsid w:val="00440892"/>
    <w:rsid w:val="00440CF1"/>
    <w:rsid w:val="00440F57"/>
    <w:rsid w:val="00441EA2"/>
    <w:rsid w:val="004427D6"/>
    <w:rsid w:val="00442B33"/>
    <w:rsid w:val="00442C78"/>
    <w:rsid w:val="00442F42"/>
    <w:rsid w:val="00443911"/>
    <w:rsid w:val="004443A7"/>
    <w:rsid w:val="00445B9B"/>
    <w:rsid w:val="00445BC5"/>
    <w:rsid w:val="004464EB"/>
    <w:rsid w:val="00446BA3"/>
    <w:rsid w:val="004479C4"/>
    <w:rsid w:val="0045068F"/>
    <w:rsid w:val="00451A87"/>
    <w:rsid w:val="00452F94"/>
    <w:rsid w:val="0045369A"/>
    <w:rsid w:val="004537B8"/>
    <w:rsid w:val="004545E5"/>
    <w:rsid w:val="00454A33"/>
    <w:rsid w:val="00454BB4"/>
    <w:rsid w:val="00454DAE"/>
    <w:rsid w:val="00454DB2"/>
    <w:rsid w:val="00454E51"/>
    <w:rsid w:val="004553D0"/>
    <w:rsid w:val="00455D45"/>
    <w:rsid w:val="00456154"/>
    <w:rsid w:val="004564EC"/>
    <w:rsid w:val="004579CB"/>
    <w:rsid w:val="00457BC9"/>
    <w:rsid w:val="00460340"/>
    <w:rsid w:val="00461424"/>
    <w:rsid w:val="00461C58"/>
    <w:rsid w:val="00462125"/>
    <w:rsid w:val="00462269"/>
    <w:rsid w:val="004643DF"/>
    <w:rsid w:val="00464595"/>
    <w:rsid w:val="0046486A"/>
    <w:rsid w:val="00465A22"/>
    <w:rsid w:val="00466080"/>
    <w:rsid w:val="00466378"/>
    <w:rsid w:val="00466682"/>
    <w:rsid w:val="0047008D"/>
    <w:rsid w:val="00470436"/>
    <w:rsid w:val="00471B7A"/>
    <w:rsid w:val="00472027"/>
    <w:rsid w:val="00472334"/>
    <w:rsid w:val="0047239C"/>
    <w:rsid w:val="004725E9"/>
    <w:rsid w:val="00473414"/>
    <w:rsid w:val="00473A99"/>
    <w:rsid w:val="0047513B"/>
    <w:rsid w:val="004757EB"/>
    <w:rsid w:val="004758AE"/>
    <w:rsid w:val="004758FF"/>
    <w:rsid w:val="00475BA1"/>
    <w:rsid w:val="0047750F"/>
    <w:rsid w:val="004811FF"/>
    <w:rsid w:val="00481A33"/>
    <w:rsid w:val="00481ED8"/>
    <w:rsid w:val="004826C6"/>
    <w:rsid w:val="0048370C"/>
    <w:rsid w:val="004841E0"/>
    <w:rsid w:val="00484742"/>
    <w:rsid w:val="0048488E"/>
    <w:rsid w:val="00485353"/>
    <w:rsid w:val="004867E2"/>
    <w:rsid w:val="00486844"/>
    <w:rsid w:val="004875A2"/>
    <w:rsid w:val="00487B85"/>
    <w:rsid w:val="00490B3A"/>
    <w:rsid w:val="00490FD4"/>
    <w:rsid w:val="004917A4"/>
    <w:rsid w:val="00491B3A"/>
    <w:rsid w:val="00492683"/>
    <w:rsid w:val="00492ACC"/>
    <w:rsid w:val="00492CFD"/>
    <w:rsid w:val="00492E33"/>
    <w:rsid w:val="00493070"/>
    <w:rsid w:val="0049345E"/>
    <w:rsid w:val="00494933"/>
    <w:rsid w:val="004962D2"/>
    <w:rsid w:val="004A0DA1"/>
    <w:rsid w:val="004A1901"/>
    <w:rsid w:val="004A1956"/>
    <w:rsid w:val="004A1D4A"/>
    <w:rsid w:val="004A1DCE"/>
    <w:rsid w:val="004A2004"/>
    <w:rsid w:val="004A2815"/>
    <w:rsid w:val="004A3AA0"/>
    <w:rsid w:val="004A3C69"/>
    <w:rsid w:val="004A4268"/>
    <w:rsid w:val="004A5956"/>
    <w:rsid w:val="004A6597"/>
    <w:rsid w:val="004A6708"/>
    <w:rsid w:val="004A6CC7"/>
    <w:rsid w:val="004A6FE6"/>
    <w:rsid w:val="004A7097"/>
    <w:rsid w:val="004A76BF"/>
    <w:rsid w:val="004B0AE2"/>
    <w:rsid w:val="004B0C61"/>
    <w:rsid w:val="004B1317"/>
    <w:rsid w:val="004B1CB4"/>
    <w:rsid w:val="004B1EBC"/>
    <w:rsid w:val="004B24CC"/>
    <w:rsid w:val="004B2F18"/>
    <w:rsid w:val="004B33A4"/>
    <w:rsid w:val="004B3DDB"/>
    <w:rsid w:val="004B41A2"/>
    <w:rsid w:val="004B44FD"/>
    <w:rsid w:val="004B463D"/>
    <w:rsid w:val="004B4A75"/>
    <w:rsid w:val="004B4AC5"/>
    <w:rsid w:val="004B4FAD"/>
    <w:rsid w:val="004B56DF"/>
    <w:rsid w:val="004B5CFC"/>
    <w:rsid w:val="004B6A91"/>
    <w:rsid w:val="004B702D"/>
    <w:rsid w:val="004B744C"/>
    <w:rsid w:val="004B75CB"/>
    <w:rsid w:val="004B78A3"/>
    <w:rsid w:val="004C0225"/>
    <w:rsid w:val="004C07B0"/>
    <w:rsid w:val="004C0DA5"/>
    <w:rsid w:val="004C34EE"/>
    <w:rsid w:val="004C3686"/>
    <w:rsid w:val="004C3B7E"/>
    <w:rsid w:val="004C4AED"/>
    <w:rsid w:val="004C527F"/>
    <w:rsid w:val="004C5843"/>
    <w:rsid w:val="004C5B60"/>
    <w:rsid w:val="004C5E70"/>
    <w:rsid w:val="004C627F"/>
    <w:rsid w:val="004C6BBA"/>
    <w:rsid w:val="004C7809"/>
    <w:rsid w:val="004C7E1C"/>
    <w:rsid w:val="004D16A2"/>
    <w:rsid w:val="004D1963"/>
    <w:rsid w:val="004D1EB9"/>
    <w:rsid w:val="004D1F82"/>
    <w:rsid w:val="004D2047"/>
    <w:rsid w:val="004D22F7"/>
    <w:rsid w:val="004D33A9"/>
    <w:rsid w:val="004D33EB"/>
    <w:rsid w:val="004D596A"/>
    <w:rsid w:val="004D6584"/>
    <w:rsid w:val="004D6B2A"/>
    <w:rsid w:val="004E0EB8"/>
    <w:rsid w:val="004E2ADC"/>
    <w:rsid w:val="004E3CB1"/>
    <w:rsid w:val="004E3D75"/>
    <w:rsid w:val="004E3EB7"/>
    <w:rsid w:val="004E43B2"/>
    <w:rsid w:val="004E45E0"/>
    <w:rsid w:val="004E5ED7"/>
    <w:rsid w:val="004E64C3"/>
    <w:rsid w:val="004E657B"/>
    <w:rsid w:val="004E74B4"/>
    <w:rsid w:val="004F0E40"/>
    <w:rsid w:val="004F1070"/>
    <w:rsid w:val="004F1D02"/>
    <w:rsid w:val="004F2679"/>
    <w:rsid w:val="004F2E56"/>
    <w:rsid w:val="004F2F7B"/>
    <w:rsid w:val="004F38DB"/>
    <w:rsid w:val="004F3B0D"/>
    <w:rsid w:val="004F48F7"/>
    <w:rsid w:val="004F6619"/>
    <w:rsid w:val="004F7865"/>
    <w:rsid w:val="00500F70"/>
    <w:rsid w:val="00501B44"/>
    <w:rsid w:val="00502283"/>
    <w:rsid w:val="00502F9B"/>
    <w:rsid w:val="00503208"/>
    <w:rsid w:val="00503DD3"/>
    <w:rsid w:val="005049CD"/>
    <w:rsid w:val="00504E85"/>
    <w:rsid w:val="00505014"/>
    <w:rsid w:val="00505652"/>
    <w:rsid w:val="00505AEC"/>
    <w:rsid w:val="00505CB3"/>
    <w:rsid w:val="00505D41"/>
    <w:rsid w:val="00505F88"/>
    <w:rsid w:val="00506928"/>
    <w:rsid w:val="0051016D"/>
    <w:rsid w:val="00510A86"/>
    <w:rsid w:val="005113A0"/>
    <w:rsid w:val="00511CFC"/>
    <w:rsid w:val="00512330"/>
    <w:rsid w:val="00512897"/>
    <w:rsid w:val="00512B89"/>
    <w:rsid w:val="005130E9"/>
    <w:rsid w:val="00514692"/>
    <w:rsid w:val="00514DAD"/>
    <w:rsid w:val="005152B5"/>
    <w:rsid w:val="00515815"/>
    <w:rsid w:val="00515EB2"/>
    <w:rsid w:val="00516072"/>
    <w:rsid w:val="00516A40"/>
    <w:rsid w:val="00517F32"/>
    <w:rsid w:val="00521319"/>
    <w:rsid w:val="00522BBA"/>
    <w:rsid w:val="00523C28"/>
    <w:rsid w:val="00524034"/>
    <w:rsid w:val="0052636C"/>
    <w:rsid w:val="0052651C"/>
    <w:rsid w:val="00526BF5"/>
    <w:rsid w:val="00531B43"/>
    <w:rsid w:val="005322A3"/>
    <w:rsid w:val="0053258A"/>
    <w:rsid w:val="005328F9"/>
    <w:rsid w:val="005330C8"/>
    <w:rsid w:val="00533240"/>
    <w:rsid w:val="00533287"/>
    <w:rsid w:val="005336E9"/>
    <w:rsid w:val="00533DF6"/>
    <w:rsid w:val="005346AF"/>
    <w:rsid w:val="0053479D"/>
    <w:rsid w:val="00535D89"/>
    <w:rsid w:val="005363EF"/>
    <w:rsid w:val="00537361"/>
    <w:rsid w:val="005373B3"/>
    <w:rsid w:val="0053753C"/>
    <w:rsid w:val="00537F98"/>
    <w:rsid w:val="005400E6"/>
    <w:rsid w:val="00540546"/>
    <w:rsid w:val="00540DDD"/>
    <w:rsid w:val="0054112A"/>
    <w:rsid w:val="005414F9"/>
    <w:rsid w:val="00541B11"/>
    <w:rsid w:val="00542191"/>
    <w:rsid w:val="005443EF"/>
    <w:rsid w:val="00544717"/>
    <w:rsid w:val="005449F5"/>
    <w:rsid w:val="00545DA7"/>
    <w:rsid w:val="005463D5"/>
    <w:rsid w:val="0054656D"/>
    <w:rsid w:val="00547DC8"/>
    <w:rsid w:val="00547E6F"/>
    <w:rsid w:val="00547F7D"/>
    <w:rsid w:val="00550DC9"/>
    <w:rsid w:val="005519AB"/>
    <w:rsid w:val="00551CD3"/>
    <w:rsid w:val="00552BD3"/>
    <w:rsid w:val="00553658"/>
    <w:rsid w:val="00553AE4"/>
    <w:rsid w:val="005543C4"/>
    <w:rsid w:val="00554C8D"/>
    <w:rsid w:val="00555109"/>
    <w:rsid w:val="00555FBE"/>
    <w:rsid w:val="00557052"/>
    <w:rsid w:val="005570C9"/>
    <w:rsid w:val="00557767"/>
    <w:rsid w:val="00557C0B"/>
    <w:rsid w:val="00560591"/>
    <w:rsid w:val="0056099A"/>
    <w:rsid w:val="005613FA"/>
    <w:rsid w:val="00563631"/>
    <w:rsid w:val="00564672"/>
    <w:rsid w:val="0056503B"/>
    <w:rsid w:val="005651D5"/>
    <w:rsid w:val="005658CC"/>
    <w:rsid w:val="0056696F"/>
    <w:rsid w:val="00567DCF"/>
    <w:rsid w:val="0057089B"/>
    <w:rsid w:val="0057099A"/>
    <w:rsid w:val="0057124F"/>
    <w:rsid w:val="00571BAF"/>
    <w:rsid w:val="00572143"/>
    <w:rsid w:val="0057237B"/>
    <w:rsid w:val="00572BDB"/>
    <w:rsid w:val="00573033"/>
    <w:rsid w:val="0057358B"/>
    <w:rsid w:val="0057495F"/>
    <w:rsid w:val="00574CB0"/>
    <w:rsid w:val="00574DF0"/>
    <w:rsid w:val="00575AC9"/>
    <w:rsid w:val="00575D8D"/>
    <w:rsid w:val="00575FE4"/>
    <w:rsid w:val="0057660E"/>
    <w:rsid w:val="00576972"/>
    <w:rsid w:val="00577987"/>
    <w:rsid w:val="00580A5F"/>
    <w:rsid w:val="00580C19"/>
    <w:rsid w:val="00581AD9"/>
    <w:rsid w:val="00581FF9"/>
    <w:rsid w:val="00583441"/>
    <w:rsid w:val="00583699"/>
    <w:rsid w:val="00585CBA"/>
    <w:rsid w:val="00586CC3"/>
    <w:rsid w:val="005871CB"/>
    <w:rsid w:val="005877D0"/>
    <w:rsid w:val="005905D5"/>
    <w:rsid w:val="00590769"/>
    <w:rsid w:val="005914A6"/>
    <w:rsid w:val="00591E87"/>
    <w:rsid w:val="00592006"/>
    <w:rsid w:val="00592131"/>
    <w:rsid w:val="00592F0B"/>
    <w:rsid w:val="005941F0"/>
    <w:rsid w:val="00594725"/>
    <w:rsid w:val="00594782"/>
    <w:rsid w:val="00594B9F"/>
    <w:rsid w:val="00595648"/>
    <w:rsid w:val="00595904"/>
    <w:rsid w:val="0059592A"/>
    <w:rsid w:val="00595B57"/>
    <w:rsid w:val="00596C4A"/>
    <w:rsid w:val="005A118A"/>
    <w:rsid w:val="005A1B53"/>
    <w:rsid w:val="005A1BBB"/>
    <w:rsid w:val="005A3447"/>
    <w:rsid w:val="005A34BF"/>
    <w:rsid w:val="005A3942"/>
    <w:rsid w:val="005A5E6E"/>
    <w:rsid w:val="005A6C4F"/>
    <w:rsid w:val="005A71C3"/>
    <w:rsid w:val="005A72A6"/>
    <w:rsid w:val="005A751E"/>
    <w:rsid w:val="005A7F4A"/>
    <w:rsid w:val="005B016A"/>
    <w:rsid w:val="005B04CA"/>
    <w:rsid w:val="005B11FA"/>
    <w:rsid w:val="005B2F9E"/>
    <w:rsid w:val="005B37BC"/>
    <w:rsid w:val="005B3AA6"/>
    <w:rsid w:val="005B3AF9"/>
    <w:rsid w:val="005B3F39"/>
    <w:rsid w:val="005B4201"/>
    <w:rsid w:val="005B4523"/>
    <w:rsid w:val="005B45B7"/>
    <w:rsid w:val="005B4680"/>
    <w:rsid w:val="005B51B4"/>
    <w:rsid w:val="005B5857"/>
    <w:rsid w:val="005B6082"/>
    <w:rsid w:val="005B64F1"/>
    <w:rsid w:val="005B70BA"/>
    <w:rsid w:val="005B789B"/>
    <w:rsid w:val="005B7C0F"/>
    <w:rsid w:val="005C0243"/>
    <w:rsid w:val="005C0708"/>
    <w:rsid w:val="005C1B83"/>
    <w:rsid w:val="005C20A6"/>
    <w:rsid w:val="005C2A1A"/>
    <w:rsid w:val="005C346B"/>
    <w:rsid w:val="005C3D91"/>
    <w:rsid w:val="005C4422"/>
    <w:rsid w:val="005C5198"/>
    <w:rsid w:val="005C5FE8"/>
    <w:rsid w:val="005C74AD"/>
    <w:rsid w:val="005C758E"/>
    <w:rsid w:val="005C7590"/>
    <w:rsid w:val="005D044D"/>
    <w:rsid w:val="005D17E4"/>
    <w:rsid w:val="005D18AD"/>
    <w:rsid w:val="005D1C5E"/>
    <w:rsid w:val="005D1C6F"/>
    <w:rsid w:val="005D1F92"/>
    <w:rsid w:val="005D36F4"/>
    <w:rsid w:val="005D3E30"/>
    <w:rsid w:val="005D4D24"/>
    <w:rsid w:val="005D5678"/>
    <w:rsid w:val="005D5A46"/>
    <w:rsid w:val="005D5D89"/>
    <w:rsid w:val="005D63BA"/>
    <w:rsid w:val="005D656B"/>
    <w:rsid w:val="005D6A9C"/>
    <w:rsid w:val="005D7B89"/>
    <w:rsid w:val="005E118B"/>
    <w:rsid w:val="005E15F2"/>
    <w:rsid w:val="005E2622"/>
    <w:rsid w:val="005E3069"/>
    <w:rsid w:val="005E3148"/>
    <w:rsid w:val="005E5085"/>
    <w:rsid w:val="005E65E8"/>
    <w:rsid w:val="005E66E3"/>
    <w:rsid w:val="005E72A0"/>
    <w:rsid w:val="005E7321"/>
    <w:rsid w:val="005E73C0"/>
    <w:rsid w:val="005F0C95"/>
    <w:rsid w:val="005F1D01"/>
    <w:rsid w:val="005F250C"/>
    <w:rsid w:val="005F255D"/>
    <w:rsid w:val="005F2675"/>
    <w:rsid w:val="005F2706"/>
    <w:rsid w:val="005F3CE3"/>
    <w:rsid w:val="005F3E4B"/>
    <w:rsid w:val="005F470B"/>
    <w:rsid w:val="005F4D7A"/>
    <w:rsid w:val="005F66FB"/>
    <w:rsid w:val="005F6A8F"/>
    <w:rsid w:val="005F758B"/>
    <w:rsid w:val="005F7626"/>
    <w:rsid w:val="00600088"/>
    <w:rsid w:val="006006B6"/>
    <w:rsid w:val="006007A1"/>
    <w:rsid w:val="0060091D"/>
    <w:rsid w:val="00600DB0"/>
    <w:rsid w:val="00602156"/>
    <w:rsid w:val="00602388"/>
    <w:rsid w:val="00603233"/>
    <w:rsid w:val="006043D6"/>
    <w:rsid w:val="00604E0A"/>
    <w:rsid w:val="00605537"/>
    <w:rsid w:val="00605659"/>
    <w:rsid w:val="00606C87"/>
    <w:rsid w:val="00607669"/>
    <w:rsid w:val="00607C09"/>
    <w:rsid w:val="0061041C"/>
    <w:rsid w:val="00610995"/>
    <w:rsid w:val="00611291"/>
    <w:rsid w:val="0061136B"/>
    <w:rsid w:val="00611B82"/>
    <w:rsid w:val="0061234F"/>
    <w:rsid w:val="00612C2D"/>
    <w:rsid w:val="00612F97"/>
    <w:rsid w:val="0061389D"/>
    <w:rsid w:val="00614396"/>
    <w:rsid w:val="00614684"/>
    <w:rsid w:val="006148CD"/>
    <w:rsid w:val="00615C98"/>
    <w:rsid w:val="00615E7C"/>
    <w:rsid w:val="00616802"/>
    <w:rsid w:val="00617A7F"/>
    <w:rsid w:val="00617E12"/>
    <w:rsid w:val="00617EF7"/>
    <w:rsid w:val="0062091C"/>
    <w:rsid w:val="00621139"/>
    <w:rsid w:val="00621477"/>
    <w:rsid w:val="00621597"/>
    <w:rsid w:val="00621BB3"/>
    <w:rsid w:val="00622907"/>
    <w:rsid w:val="00623810"/>
    <w:rsid w:val="00625690"/>
    <w:rsid w:val="00625719"/>
    <w:rsid w:val="00625C7E"/>
    <w:rsid w:val="00627283"/>
    <w:rsid w:val="006278F2"/>
    <w:rsid w:val="006304EB"/>
    <w:rsid w:val="00630823"/>
    <w:rsid w:val="00630EED"/>
    <w:rsid w:val="00630F38"/>
    <w:rsid w:val="00631D6B"/>
    <w:rsid w:val="00631E68"/>
    <w:rsid w:val="00633131"/>
    <w:rsid w:val="00633158"/>
    <w:rsid w:val="006334C5"/>
    <w:rsid w:val="00633816"/>
    <w:rsid w:val="0063472F"/>
    <w:rsid w:val="0063479F"/>
    <w:rsid w:val="006350D9"/>
    <w:rsid w:val="00635423"/>
    <w:rsid w:val="00635B97"/>
    <w:rsid w:val="00635ECC"/>
    <w:rsid w:val="006364A1"/>
    <w:rsid w:val="006369DB"/>
    <w:rsid w:val="00637B7F"/>
    <w:rsid w:val="00637BFD"/>
    <w:rsid w:val="00640172"/>
    <w:rsid w:val="00640552"/>
    <w:rsid w:val="0064077C"/>
    <w:rsid w:val="00640C66"/>
    <w:rsid w:val="00641AB5"/>
    <w:rsid w:val="00641D2D"/>
    <w:rsid w:val="006431AB"/>
    <w:rsid w:val="006447BE"/>
    <w:rsid w:val="00645766"/>
    <w:rsid w:val="006464D3"/>
    <w:rsid w:val="00646720"/>
    <w:rsid w:val="006467A8"/>
    <w:rsid w:val="006469DC"/>
    <w:rsid w:val="00647064"/>
    <w:rsid w:val="006471CC"/>
    <w:rsid w:val="0064735B"/>
    <w:rsid w:val="00647469"/>
    <w:rsid w:val="00647ECB"/>
    <w:rsid w:val="006502EB"/>
    <w:rsid w:val="0065079F"/>
    <w:rsid w:val="00650933"/>
    <w:rsid w:val="00651BA4"/>
    <w:rsid w:val="00651C01"/>
    <w:rsid w:val="00651DB8"/>
    <w:rsid w:val="00652895"/>
    <w:rsid w:val="00653643"/>
    <w:rsid w:val="00654207"/>
    <w:rsid w:val="00654BDB"/>
    <w:rsid w:val="00656347"/>
    <w:rsid w:val="00656B59"/>
    <w:rsid w:val="0065754E"/>
    <w:rsid w:val="00657B7D"/>
    <w:rsid w:val="00657C3B"/>
    <w:rsid w:val="006601A4"/>
    <w:rsid w:val="00660A8D"/>
    <w:rsid w:val="006617D6"/>
    <w:rsid w:val="0066196B"/>
    <w:rsid w:val="00661EE4"/>
    <w:rsid w:val="00662AC8"/>
    <w:rsid w:val="00663FD8"/>
    <w:rsid w:val="0066486A"/>
    <w:rsid w:val="00664DF3"/>
    <w:rsid w:val="006663D2"/>
    <w:rsid w:val="0066642D"/>
    <w:rsid w:val="006703D8"/>
    <w:rsid w:val="00670B20"/>
    <w:rsid w:val="006713A9"/>
    <w:rsid w:val="006729C3"/>
    <w:rsid w:val="0067421A"/>
    <w:rsid w:val="006743BC"/>
    <w:rsid w:val="006746BF"/>
    <w:rsid w:val="00674E42"/>
    <w:rsid w:val="006772D4"/>
    <w:rsid w:val="006772F6"/>
    <w:rsid w:val="00677D7B"/>
    <w:rsid w:val="00677F30"/>
    <w:rsid w:val="00680599"/>
    <w:rsid w:val="006818CA"/>
    <w:rsid w:val="00681B53"/>
    <w:rsid w:val="00682112"/>
    <w:rsid w:val="006829EF"/>
    <w:rsid w:val="00682C14"/>
    <w:rsid w:val="00683061"/>
    <w:rsid w:val="0068473C"/>
    <w:rsid w:val="00685455"/>
    <w:rsid w:val="00686948"/>
    <w:rsid w:val="006872BA"/>
    <w:rsid w:val="006873C8"/>
    <w:rsid w:val="00690095"/>
    <w:rsid w:val="006917D7"/>
    <w:rsid w:val="006921C1"/>
    <w:rsid w:val="00692BA0"/>
    <w:rsid w:val="0069475E"/>
    <w:rsid w:val="00694F44"/>
    <w:rsid w:val="006953B8"/>
    <w:rsid w:val="00695B27"/>
    <w:rsid w:val="00697087"/>
    <w:rsid w:val="006970E4"/>
    <w:rsid w:val="006A052A"/>
    <w:rsid w:val="006A1053"/>
    <w:rsid w:val="006A1797"/>
    <w:rsid w:val="006A233E"/>
    <w:rsid w:val="006A2868"/>
    <w:rsid w:val="006A2C30"/>
    <w:rsid w:val="006A40C0"/>
    <w:rsid w:val="006A4E16"/>
    <w:rsid w:val="006A54D2"/>
    <w:rsid w:val="006A6B69"/>
    <w:rsid w:val="006A728C"/>
    <w:rsid w:val="006B1696"/>
    <w:rsid w:val="006B1E57"/>
    <w:rsid w:val="006B283D"/>
    <w:rsid w:val="006B2A41"/>
    <w:rsid w:val="006B4A20"/>
    <w:rsid w:val="006B4BA5"/>
    <w:rsid w:val="006B4CFD"/>
    <w:rsid w:val="006B50A5"/>
    <w:rsid w:val="006B51A6"/>
    <w:rsid w:val="006B5282"/>
    <w:rsid w:val="006B59F8"/>
    <w:rsid w:val="006B5C41"/>
    <w:rsid w:val="006B67A2"/>
    <w:rsid w:val="006B70F4"/>
    <w:rsid w:val="006C1090"/>
    <w:rsid w:val="006C1A21"/>
    <w:rsid w:val="006C205D"/>
    <w:rsid w:val="006C2A8E"/>
    <w:rsid w:val="006C2D19"/>
    <w:rsid w:val="006C3E3F"/>
    <w:rsid w:val="006C43DA"/>
    <w:rsid w:val="006C4F30"/>
    <w:rsid w:val="006C539B"/>
    <w:rsid w:val="006C65BD"/>
    <w:rsid w:val="006C76F1"/>
    <w:rsid w:val="006C7EEF"/>
    <w:rsid w:val="006D020D"/>
    <w:rsid w:val="006D12CD"/>
    <w:rsid w:val="006D1855"/>
    <w:rsid w:val="006D1ACC"/>
    <w:rsid w:val="006D2948"/>
    <w:rsid w:val="006D2F89"/>
    <w:rsid w:val="006D3C7D"/>
    <w:rsid w:val="006D46EF"/>
    <w:rsid w:val="006D49C1"/>
    <w:rsid w:val="006D4BAA"/>
    <w:rsid w:val="006D4ED5"/>
    <w:rsid w:val="006D4F54"/>
    <w:rsid w:val="006D5337"/>
    <w:rsid w:val="006D5D5F"/>
    <w:rsid w:val="006D5FA4"/>
    <w:rsid w:val="006D6CB1"/>
    <w:rsid w:val="006D7377"/>
    <w:rsid w:val="006E0951"/>
    <w:rsid w:val="006E0EA3"/>
    <w:rsid w:val="006E1285"/>
    <w:rsid w:val="006E132B"/>
    <w:rsid w:val="006E223D"/>
    <w:rsid w:val="006E30A6"/>
    <w:rsid w:val="006E3F67"/>
    <w:rsid w:val="006E40CD"/>
    <w:rsid w:val="006E4A23"/>
    <w:rsid w:val="006E522E"/>
    <w:rsid w:val="006E5304"/>
    <w:rsid w:val="006E5FF4"/>
    <w:rsid w:val="006E637D"/>
    <w:rsid w:val="006E65CB"/>
    <w:rsid w:val="006E6A6C"/>
    <w:rsid w:val="006E7916"/>
    <w:rsid w:val="006F02B2"/>
    <w:rsid w:val="006F1C96"/>
    <w:rsid w:val="006F242E"/>
    <w:rsid w:val="006F32A9"/>
    <w:rsid w:val="006F35EA"/>
    <w:rsid w:val="006F4076"/>
    <w:rsid w:val="006F41C0"/>
    <w:rsid w:val="006F49B9"/>
    <w:rsid w:val="006F524F"/>
    <w:rsid w:val="006F549C"/>
    <w:rsid w:val="006F5B5B"/>
    <w:rsid w:val="006F6105"/>
    <w:rsid w:val="006F63A5"/>
    <w:rsid w:val="006F6FFE"/>
    <w:rsid w:val="006F70BF"/>
    <w:rsid w:val="007008A0"/>
    <w:rsid w:val="00700D6C"/>
    <w:rsid w:val="00701C41"/>
    <w:rsid w:val="00702571"/>
    <w:rsid w:val="0070276E"/>
    <w:rsid w:val="00702F8F"/>
    <w:rsid w:val="00703502"/>
    <w:rsid w:val="00703A98"/>
    <w:rsid w:val="00703B9A"/>
    <w:rsid w:val="00703D8D"/>
    <w:rsid w:val="007042E7"/>
    <w:rsid w:val="00704A85"/>
    <w:rsid w:val="00705500"/>
    <w:rsid w:val="00705660"/>
    <w:rsid w:val="0070668B"/>
    <w:rsid w:val="00706745"/>
    <w:rsid w:val="00706939"/>
    <w:rsid w:val="00706BB3"/>
    <w:rsid w:val="00706E57"/>
    <w:rsid w:val="007072E2"/>
    <w:rsid w:val="00707EE9"/>
    <w:rsid w:val="00710907"/>
    <w:rsid w:val="0071158A"/>
    <w:rsid w:val="007118B4"/>
    <w:rsid w:val="00711A36"/>
    <w:rsid w:val="00712C99"/>
    <w:rsid w:val="00713330"/>
    <w:rsid w:val="00713344"/>
    <w:rsid w:val="007136BD"/>
    <w:rsid w:val="00714500"/>
    <w:rsid w:val="00714558"/>
    <w:rsid w:val="007159B1"/>
    <w:rsid w:val="007160E7"/>
    <w:rsid w:val="00717180"/>
    <w:rsid w:val="007172AD"/>
    <w:rsid w:val="00717DE7"/>
    <w:rsid w:val="007201CA"/>
    <w:rsid w:val="0072076B"/>
    <w:rsid w:val="00721226"/>
    <w:rsid w:val="00721384"/>
    <w:rsid w:val="007214B6"/>
    <w:rsid w:val="00723BB1"/>
    <w:rsid w:val="0072416F"/>
    <w:rsid w:val="00724D42"/>
    <w:rsid w:val="007257C6"/>
    <w:rsid w:val="007259DD"/>
    <w:rsid w:val="00725A90"/>
    <w:rsid w:val="00726189"/>
    <w:rsid w:val="007261B2"/>
    <w:rsid w:val="00726A65"/>
    <w:rsid w:val="00727AE4"/>
    <w:rsid w:val="00730A82"/>
    <w:rsid w:val="00732FDE"/>
    <w:rsid w:val="00733787"/>
    <w:rsid w:val="00735328"/>
    <w:rsid w:val="00735A82"/>
    <w:rsid w:val="00735FFF"/>
    <w:rsid w:val="007363FA"/>
    <w:rsid w:val="0073643F"/>
    <w:rsid w:val="0073685B"/>
    <w:rsid w:val="00736DAA"/>
    <w:rsid w:val="00736FBD"/>
    <w:rsid w:val="0073743C"/>
    <w:rsid w:val="0073753C"/>
    <w:rsid w:val="00741374"/>
    <w:rsid w:val="00741883"/>
    <w:rsid w:val="007418C2"/>
    <w:rsid w:val="00741BAE"/>
    <w:rsid w:val="00741FF4"/>
    <w:rsid w:val="007437DF"/>
    <w:rsid w:val="00743FD7"/>
    <w:rsid w:val="00744E92"/>
    <w:rsid w:val="0074597C"/>
    <w:rsid w:val="00746DF9"/>
    <w:rsid w:val="007473AD"/>
    <w:rsid w:val="007474F9"/>
    <w:rsid w:val="0075004D"/>
    <w:rsid w:val="00750423"/>
    <w:rsid w:val="0075056B"/>
    <w:rsid w:val="0075084C"/>
    <w:rsid w:val="00751B8D"/>
    <w:rsid w:val="00752118"/>
    <w:rsid w:val="00752175"/>
    <w:rsid w:val="00752B90"/>
    <w:rsid w:val="00752F46"/>
    <w:rsid w:val="00753078"/>
    <w:rsid w:val="007539AF"/>
    <w:rsid w:val="00753E4D"/>
    <w:rsid w:val="00754040"/>
    <w:rsid w:val="00754375"/>
    <w:rsid w:val="007545B1"/>
    <w:rsid w:val="00755790"/>
    <w:rsid w:val="007559A1"/>
    <w:rsid w:val="00756339"/>
    <w:rsid w:val="00756490"/>
    <w:rsid w:val="00756518"/>
    <w:rsid w:val="00756ADB"/>
    <w:rsid w:val="00757712"/>
    <w:rsid w:val="00757AD2"/>
    <w:rsid w:val="00757D86"/>
    <w:rsid w:val="007603C1"/>
    <w:rsid w:val="007608E7"/>
    <w:rsid w:val="0076199D"/>
    <w:rsid w:val="00761A15"/>
    <w:rsid w:val="00761AA6"/>
    <w:rsid w:val="007626D4"/>
    <w:rsid w:val="007627C0"/>
    <w:rsid w:val="00762CD1"/>
    <w:rsid w:val="00762E65"/>
    <w:rsid w:val="00763495"/>
    <w:rsid w:val="00763862"/>
    <w:rsid w:val="00763CC7"/>
    <w:rsid w:val="00764E42"/>
    <w:rsid w:val="00765EA3"/>
    <w:rsid w:val="007660B2"/>
    <w:rsid w:val="00766F17"/>
    <w:rsid w:val="0076758E"/>
    <w:rsid w:val="00770221"/>
    <w:rsid w:val="007711C8"/>
    <w:rsid w:val="007719BC"/>
    <w:rsid w:val="00773A04"/>
    <w:rsid w:val="00773C36"/>
    <w:rsid w:val="007740B0"/>
    <w:rsid w:val="007752AB"/>
    <w:rsid w:val="00775458"/>
    <w:rsid w:val="007769FA"/>
    <w:rsid w:val="007770FB"/>
    <w:rsid w:val="00781F45"/>
    <w:rsid w:val="00782758"/>
    <w:rsid w:val="00784034"/>
    <w:rsid w:val="007841FB"/>
    <w:rsid w:val="00784694"/>
    <w:rsid w:val="007847C4"/>
    <w:rsid w:val="0078538E"/>
    <w:rsid w:val="00785EA0"/>
    <w:rsid w:val="00785F2D"/>
    <w:rsid w:val="007862FC"/>
    <w:rsid w:val="00787994"/>
    <w:rsid w:val="00787CB0"/>
    <w:rsid w:val="007908A9"/>
    <w:rsid w:val="00790D59"/>
    <w:rsid w:val="00794482"/>
    <w:rsid w:val="00795AD0"/>
    <w:rsid w:val="007A0065"/>
    <w:rsid w:val="007A0A12"/>
    <w:rsid w:val="007A2205"/>
    <w:rsid w:val="007A2BAD"/>
    <w:rsid w:val="007A2E83"/>
    <w:rsid w:val="007A4A24"/>
    <w:rsid w:val="007B1356"/>
    <w:rsid w:val="007B17AC"/>
    <w:rsid w:val="007B1EB1"/>
    <w:rsid w:val="007B2096"/>
    <w:rsid w:val="007B251D"/>
    <w:rsid w:val="007B4E89"/>
    <w:rsid w:val="007B5716"/>
    <w:rsid w:val="007B646E"/>
    <w:rsid w:val="007B6FBA"/>
    <w:rsid w:val="007B7436"/>
    <w:rsid w:val="007B77D1"/>
    <w:rsid w:val="007C0C29"/>
    <w:rsid w:val="007C1BE7"/>
    <w:rsid w:val="007C2CE6"/>
    <w:rsid w:val="007C2E06"/>
    <w:rsid w:val="007C361D"/>
    <w:rsid w:val="007C3E5E"/>
    <w:rsid w:val="007C4214"/>
    <w:rsid w:val="007C4F6A"/>
    <w:rsid w:val="007C5649"/>
    <w:rsid w:val="007C5E40"/>
    <w:rsid w:val="007C65B3"/>
    <w:rsid w:val="007D0827"/>
    <w:rsid w:val="007D0B38"/>
    <w:rsid w:val="007D0E99"/>
    <w:rsid w:val="007D1D23"/>
    <w:rsid w:val="007D502F"/>
    <w:rsid w:val="007D53CC"/>
    <w:rsid w:val="007D677F"/>
    <w:rsid w:val="007D6F72"/>
    <w:rsid w:val="007D752B"/>
    <w:rsid w:val="007E0058"/>
    <w:rsid w:val="007E0317"/>
    <w:rsid w:val="007E03EA"/>
    <w:rsid w:val="007E0412"/>
    <w:rsid w:val="007E15A4"/>
    <w:rsid w:val="007E1997"/>
    <w:rsid w:val="007E1B2E"/>
    <w:rsid w:val="007E1F69"/>
    <w:rsid w:val="007E2370"/>
    <w:rsid w:val="007E238C"/>
    <w:rsid w:val="007E25A1"/>
    <w:rsid w:val="007E3062"/>
    <w:rsid w:val="007E3E20"/>
    <w:rsid w:val="007E59A0"/>
    <w:rsid w:val="007E625C"/>
    <w:rsid w:val="007E6FBB"/>
    <w:rsid w:val="007E7870"/>
    <w:rsid w:val="007F0D3A"/>
    <w:rsid w:val="007F1017"/>
    <w:rsid w:val="007F2151"/>
    <w:rsid w:val="007F24BA"/>
    <w:rsid w:val="007F3BE9"/>
    <w:rsid w:val="007F4A3F"/>
    <w:rsid w:val="007F5339"/>
    <w:rsid w:val="007F5793"/>
    <w:rsid w:val="007F5F3C"/>
    <w:rsid w:val="007F6676"/>
    <w:rsid w:val="007F72F1"/>
    <w:rsid w:val="007F73EF"/>
    <w:rsid w:val="00800732"/>
    <w:rsid w:val="00800CB0"/>
    <w:rsid w:val="008021DE"/>
    <w:rsid w:val="008031F5"/>
    <w:rsid w:val="00805142"/>
    <w:rsid w:val="0080542A"/>
    <w:rsid w:val="008056C7"/>
    <w:rsid w:val="00805983"/>
    <w:rsid w:val="00805D7C"/>
    <w:rsid w:val="00806FA0"/>
    <w:rsid w:val="00807714"/>
    <w:rsid w:val="00807A8B"/>
    <w:rsid w:val="00807BB7"/>
    <w:rsid w:val="00810318"/>
    <w:rsid w:val="00810F4A"/>
    <w:rsid w:val="008110A1"/>
    <w:rsid w:val="008117F1"/>
    <w:rsid w:val="00812149"/>
    <w:rsid w:val="00812CA5"/>
    <w:rsid w:val="00813D1F"/>
    <w:rsid w:val="00814C54"/>
    <w:rsid w:val="00814E10"/>
    <w:rsid w:val="008162C0"/>
    <w:rsid w:val="008166DD"/>
    <w:rsid w:val="008166EF"/>
    <w:rsid w:val="008168B6"/>
    <w:rsid w:val="0081691C"/>
    <w:rsid w:val="00816F95"/>
    <w:rsid w:val="008204F3"/>
    <w:rsid w:val="008207B9"/>
    <w:rsid w:val="00820C6E"/>
    <w:rsid w:val="00821D7A"/>
    <w:rsid w:val="00822713"/>
    <w:rsid w:val="00822A17"/>
    <w:rsid w:val="00823046"/>
    <w:rsid w:val="00824025"/>
    <w:rsid w:val="00826182"/>
    <w:rsid w:val="008264EB"/>
    <w:rsid w:val="00826CF5"/>
    <w:rsid w:val="008313A4"/>
    <w:rsid w:val="00833148"/>
    <w:rsid w:val="00833B05"/>
    <w:rsid w:val="008350D7"/>
    <w:rsid w:val="00840176"/>
    <w:rsid w:val="00840ADA"/>
    <w:rsid w:val="00840CA2"/>
    <w:rsid w:val="00841863"/>
    <w:rsid w:val="00842257"/>
    <w:rsid w:val="00842472"/>
    <w:rsid w:val="00842607"/>
    <w:rsid w:val="00842F41"/>
    <w:rsid w:val="00843677"/>
    <w:rsid w:val="008438BF"/>
    <w:rsid w:val="00843C1C"/>
    <w:rsid w:val="00843D23"/>
    <w:rsid w:val="00844077"/>
    <w:rsid w:val="008445EF"/>
    <w:rsid w:val="008447D6"/>
    <w:rsid w:val="00844946"/>
    <w:rsid w:val="00845E48"/>
    <w:rsid w:val="0084617F"/>
    <w:rsid w:val="00846AF4"/>
    <w:rsid w:val="00846BE7"/>
    <w:rsid w:val="008473AE"/>
    <w:rsid w:val="00847E64"/>
    <w:rsid w:val="00850840"/>
    <w:rsid w:val="0085112F"/>
    <w:rsid w:val="00851359"/>
    <w:rsid w:val="00851E21"/>
    <w:rsid w:val="00851FA0"/>
    <w:rsid w:val="0085284E"/>
    <w:rsid w:val="00854DE8"/>
    <w:rsid w:val="0085529A"/>
    <w:rsid w:val="00855859"/>
    <w:rsid w:val="00856159"/>
    <w:rsid w:val="00856960"/>
    <w:rsid w:val="00856BF8"/>
    <w:rsid w:val="00856E9A"/>
    <w:rsid w:val="0085735C"/>
    <w:rsid w:val="00857892"/>
    <w:rsid w:val="00857BB8"/>
    <w:rsid w:val="00857E76"/>
    <w:rsid w:val="0086021A"/>
    <w:rsid w:val="00861037"/>
    <w:rsid w:val="00861798"/>
    <w:rsid w:val="00861B87"/>
    <w:rsid w:val="00862502"/>
    <w:rsid w:val="00862836"/>
    <w:rsid w:val="00862958"/>
    <w:rsid w:val="00863138"/>
    <w:rsid w:val="00863BCD"/>
    <w:rsid w:val="00863C94"/>
    <w:rsid w:val="00863F0F"/>
    <w:rsid w:val="0086408D"/>
    <w:rsid w:val="008662A7"/>
    <w:rsid w:val="008665B7"/>
    <w:rsid w:val="00872AEC"/>
    <w:rsid w:val="0087355A"/>
    <w:rsid w:val="00874059"/>
    <w:rsid w:val="008741D1"/>
    <w:rsid w:val="00874DFF"/>
    <w:rsid w:val="00875CA7"/>
    <w:rsid w:val="00876EA1"/>
    <w:rsid w:val="00876F75"/>
    <w:rsid w:val="00880C81"/>
    <w:rsid w:val="008813E4"/>
    <w:rsid w:val="00882874"/>
    <w:rsid w:val="008828F6"/>
    <w:rsid w:val="00883612"/>
    <w:rsid w:val="00883787"/>
    <w:rsid w:val="00883F12"/>
    <w:rsid w:val="008845E6"/>
    <w:rsid w:val="00884665"/>
    <w:rsid w:val="008875BA"/>
    <w:rsid w:val="008878DB"/>
    <w:rsid w:val="008879F6"/>
    <w:rsid w:val="00887BDC"/>
    <w:rsid w:val="00887F8E"/>
    <w:rsid w:val="00890542"/>
    <w:rsid w:val="008908A0"/>
    <w:rsid w:val="00890938"/>
    <w:rsid w:val="00890F2A"/>
    <w:rsid w:val="0089155C"/>
    <w:rsid w:val="00892421"/>
    <w:rsid w:val="0089291A"/>
    <w:rsid w:val="00894489"/>
    <w:rsid w:val="00894553"/>
    <w:rsid w:val="00894E7F"/>
    <w:rsid w:val="008963A5"/>
    <w:rsid w:val="008964E4"/>
    <w:rsid w:val="00896E03"/>
    <w:rsid w:val="00897428"/>
    <w:rsid w:val="00897517"/>
    <w:rsid w:val="00897704"/>
    <w:rsid w:val="008A07AA"/>
    <w:rsid w:val="008A0DB4"/>
    <w:rsid w:val="008A128C"/>
    <w:rsid w:val="008A16BD"/>
    <w:rsid w:val="008A1872"/>
    <w:rsid w:val="008A1D3A"/>
    <w:rsid w:val="008A3C3E"/>
    <w:rsid w:val="008A3C41"/>
    <w:rsid w:val="008A6016"/>
    <w:rsid w:val="008A72F0"/>
    <w:rsid w:val="008A75B2"/>
    <w:rsid w:val="008A76E2"/>
    <w:rsid w:val="008A7973"/>
    <w:rsid w:val="008A79DE"/>
    <w:rsid w:val="008B053C"/>
    <w:rsid w:val="008B0A9B"/>
    <w:rsid w:val="008B0C2F"/>
    <w:rsid w:val="008B33D3"/>
    <w:rsid w:val="008B52EF"/>
    <w:rsid w:val="008B56A0"/>
    <w:rsid w:val="008B5825"/>
    <w:rsid w:val="008B5D90"/>
    <w:rsid w:val="008B5F1C"/>
    <w:rsid w:val="008B6924"/>
    <w:rsid w:val="008B6EB7"/>
    <w:rsid w:val="008B7D7E"/>
    <w:rsid w:val="008C031A"/>
    <w:rsid w:val="008C03BD"/>
    <w:rsid w:val="008C06A5"/>
    <w:rsid w:val="008C1163"/>
    <w:rsid w:val="008C2957"/>
    <w:rsid w:val="008C2F2F"/>
    <w:rsid w:val="008C4134"/>
    <w:rsid w:val="008C4EC9"/>
    <w:rsid w:val="008C5072"/>
    <w:rsid w:val="008C6850"/>
    <w:rsid w:val="008C76D8"/>
    <w:rsid w:val="008C7ECB"/>
    <w:rsid w:val="008D0DD1"/>
    <w:rsid w:val="008D0E8D"/>
    <w:rsid w:val="008D119C"/>
    <w:rsid w:val="008D11C3"/>
    <w:rsid w:val="008D2FFB"/>
    <w:rsid w:val="008D3FC8"/>
    <w:rsid w:val="008D43DC"/>
    <w:rsid w:val="008D46CE"/>
    <w:rsid w:val="008D46CF"/>
    <w:rsid w:val="008D46E2"/>
    <w:rsid w:val="008D4C02"/>
    <w:rsid w:val="008D52FE"/>
    <w:rsid w:val="008D61F9"/>
    <w:rsid w:val="008D7139"/>
    <w:rsid w:val="008D7957"/>
    <w:rsid w:val="008D7A10"/>
    <w:rsid w:val="008E005B"/>
    <w:rsid w:val="008E02A9"/>
    <w:rsid w:val="008E1B9E"/>
    <w:rsid w:val="008E1DC5"/>
    <w:rsid w:val="008E22FE"/>
    <w:rsid w:val="008E236C"/>
    <w:rsid w:val="008E2690"/>
    <w:rsid w:val="008E289E"/>
    <w:rsid w:val="008E32D0"/>
    <w:rsid w:val="008E34A9"/>
    <w:rsid w:val="008E3A0C"/>
    <w:rsid w:val="008E3AD1"/>
    <w:rsid w:val="008E4035"/>
    <w:rsid w:val="008E5201"/>
    <w:rsid w:val="008E5388"/>
    <w:rsid w:val="008E7029"/>
    <w:rsid w:val="008F120A"/>
    <w:rsid w:val="008F1A47"/>
    <w:rsid w:val="008F2CD1"/>
    <w:rsid w:val="008F329D"/>
    <w:rsid w:val="008F48EB"/>
    <w:rsid w:val="008F4DE8"/>
    <w:rsid w:val="008F4E1B"/>
    <w:rsid w:val="008F4F0B"/>
    <w:rsid w:val="008F4F32"/>
    <w:rsid w:val="008F52DE"/>
    <w:rsid w:val="008F52E0"/>
    <w:rsid w:val="008F5A0D"/>
    <w:rsid w:val="008F6543"/>
    <w:rsid w:val="00900217"/>
    <w:rsid w:val="009010AB"/>
    <w:rsid w:val="0090163F"/>
    <w:rsid w:val="00901851"/>
    <w:rsid w:val="00901CBB"/>
    <w:rsid w:val="00901D89"/>
    <w:rsid w:val="00902455"/>
    <w:rsid w:val="009029D2"/>
    <w:rsid w:val="00902DC4"/>
    <w:rsid w:val="009032DB"/>
    <w:rsid w:val="00903478"/>
    <w:rsid w:val="00903EB1"/>
    <w:rsid w:val="00903FC4"/>
    <w:rsid w:val="009062A5"/>
    <w:rsid w:val="00906B51"/>
    <w:rsid w:val="00907C4C"/>
    <w:rsid w:val="00907CD0"/>
    <w:rsid w:val="00911272"/>
    <w:rsid w:val="0091393F"/>
    <w:rsid w:val="00913C4B"/>
    <w:rsid w:val="00913E91"/>
    <w:rsid w:val="0091536C"/>
    <w:rsid w:val="00915C34"/>
    <w:rsid w:val="009163CB"/>
    <w:rsid w:val="00916DE9"/>
    <w:rsid w:val="00921465"/>
    <w:rsid w:val="00921BF9"/>
    <w:rsid w:val="00922183"/>
    <w:rsid w:val="0092300E"/>
    <w:rsid w:val="00923C99"/>
    <w:rsid w:val="00924D7A"/>
    <w:rsid w:val="009257FA"/>
    <w:rsid w:val="00925925"/>
    <w:rsid w:val="00927C78"/>
    <w:rsid w:val="009302DC"/>
    <w:rsid w:val="00931D11"/>
    <w:rsid w:val="00931D2F"/>
    <w:rsid w:val="009320C4"/>
    <w:rsid w:val="00932B1D"/>
    <w:rsid w:val="00932C1A"/>
    <w:rsid w:val="00932E1C"/>
    <w:rsid w:val="0093358B"/>
    <w:rsid w:val="00934418"/>
    <w:rsid w:val="00934E96"/>
    <w:rsid w:val="00935079"/>
    <w:rsid w:val="00935FD7"/>
    <w:rsid w:val="0093772A"/>
    <w:rsid w:val="00940183"/>
    <w:rsid w:val="00940F83"/>
    <w:rsid w:val="00941B83"/>
    <w:rsid w:val="0094230C"/>
    <w:rsid w:val="00942567"/>
    <w:rsid w:val="00942B3E"/>
    <w:rsid w:val="00944232"/>
    <w:rsid w:val="00944909"/>
    <w:rsid w:val="00944A44"/>
    <w:rsid w:val="00944BB4"/>
    <w:rsid w:val="00945247"/>
    <w:rsid w:val="009457D9"/>
    <w:rsid w:val="00945E65"/>
    <w:rsid w:val="00947D09"/>
    <w:rsid w:val="00950E99"/>
    <w:rsid w:val="0095195C"/>
    <w:rsid w:val="00951C8E"/>
    <w:rsid w:val="00952178"/>
    <w:rsid w:val="009521FF"/>
    <w:rsid w:val="0095374D"/>
    <w:rsid w:val="009549FF"/>
    <w:rsid w:val="00954A0D"/>
    <w:rsid w:val="00954A5B"/>
    <w:rsid w:val="00956221"/>
    <w:rsid w:val="00957F44"/>
    <w:rsid w:val="00960813"/>
    <w:rsid w:val="00960A1E"/>
    <w:rsid w:val="00960B8C"/>
    <w:rsid w:val="00960EB4"/>
    <w:rsid w:val="00962CB9"/>
    <w:rsid w:val="00964312"/>
    <w:rsid w:val="00964C92"/>
    <w:rsid w:val="0096699D"/>
    <w:rsid w:val="00967E65"/>
    <w:rsid w:val="00967F1B"/>
    <w:rsid w:val="0097129E"/>
    <w:rsid w:val="00971D53"/>
    <w:rsid w:val="0097257F"/>
    <w:rsid w:val="00972701"/>
    <w:rsid w:val="009741F9"/>
    <w:rsid w:val="00974407"/>
    <w:rsid w:val="00974ACC"/>
    <w:rsid w:val="00975BC3"/>
    <w:rsid w:val="0097630E"/>
    <w:rsid w:val="00976F4B"/>
    <w:rsid w:val="00977706"/>
    <w:rsid w:val="00980056"/>
    <w:rsid w:val="00980727"/>
    <w:rsid w:val="00982CAB"/>
    <w:rsid w:val="00982FDB"/>
    <w:rsid w:val="00983E57"/>
    <w:rsid w:val="0098410B"/>
    <w:rsid w:val="00986E78"/>
    <w:rsid w:val="00987665"/>
    <w:rsid w:val="00987E99"/>
    <w:rsid w:val="009900A2"/>
    <w:rsid w:val="00990D14"/>
    <w:rsid w:val="00990E02"/>
    <w:rsid w:val="00992587"/>
    <w:rsid w:val="009937FA"/>
    <w:rsid w:val="00994346"/>
    <w:rsid w:val="00995BD4"/>
    <w:rsid w:val="00996B1A"/>
    <w:rsid w:val="00996DE5"/>
    <w:rsid w:val="00996F1D"/>
    <w:rsid w:val="00996F2C"/>
    <w:rsid w:val="009973C9"/>
    <w:rsid w:val="009A009F"/>
    <w:rsid w:val="009A0A83"/>
    <w:rsid w:val="009A0BD3"/>
    <w:rsid w:val="009A1991"/>
    <w:rsid w:val="009A340C"/>
    <w:rsid w:val="009A3588"/>
    <w:rsid w:val="009A417B"/>
    <w:rsid w:val="009A53EC"/>
    <w:rsid w:val="009A6D1E"/>
    <w:rsid w:val="009A73D2"/>
    <w:rsid w:val="009B021C"/>
    <w:rsid w:val="009B0FD1"/>
    <w:rsid w:val="009B1F36"/>
    <w:rsid w:val="009B228B"/>
    <w:rsid w:val="009B2456"/>
    <w:rsid w:val="009B310F"/>
    <w:rsid w:val="009B32F9"/>
    <w:rsid w:val="009B35D2"/>
    <w:rsid w:val="009B3E26"/>
    <w:rsid w:val="009B42DA"/>
    <w:rsid w:val="009B5283"/>
    <w:rsid w:val="009B5797"/>
    <w:rsid w:val="009B75A0"/>
    <w:rsid w:val="009B7EF2"/>
    <w:rsid w:val="009C02FA"/>
    <w:rsid w:val="009C142E"/>
    <w:rsid w:val="009C30FD"/>
    <w:rsid w:val="009C3158"/>
    <w:rsid w:val="009C3203"/>
    <w:rsid w:val="009C58E7"/>
    <w:rsid w:val="009C6223"/>
    <w:rsid w:val="009C677D"/>
    <w:rsid w:val="009C7792"/>
    <w:rsid w:val="009D2088"/>
    <w:rsid w:val="009D26F2"/>
    <w:rsid w:val="009D2D16"/>
    <w:rsid w:val="009D361E"/>
    <w:rsid w:val="009D37B6"/>
    <w:rsid w:val="009D3952"/>
    <w:rsid w:val="009D396A"/>
    <w:rsid w:val="009D403D"/>
    <w:rsid w:val="009D4425"/>
    <w:rsid w:val="009D4B8A"/>
    <w:rsid w:val="009D5422"/>
    <w:rsid w:val="009D56AF"/>
    <w:rsid w:val="009D598D"/>
    <w:rsid w:val="009D5B91"/>
    <w:rsid w:val="009D5ECE"/>
    <w:rsid w:val="009E0297"/>
    <w:rsid w:val="009E05BE"/>
    <w:rsid w:val="009E098D"/>
    <w:rsid w:val="009E1141"/>
    <w:rsid w:val="009E2A3D"/>
    <w:rsid w:val="009E2D42"/>
    <w:rsid w:val="009E31AF"/>
    <w:rsid w:val="009E38DF"/>
    <w:rsid w:val="009E3A45"/>
    <w:rsid w:val="009E3ECA"/>
    <w:rsid w:val="009E4C07"/>
    <w:rsid w:val="009E4C2F"/>
    <w:rsid w:val="009E51E8"/>
    <w:rsid w:val="009E56C9"/>
    <w:rsid w:val="009E57B1"/>
    <w:rsid w:val="009E5886"/>
    <w:rsid w:val="009E5CD7"/>
    <w:rsid w:val="009E70AD"/>
    <w:rsid w:val="009E7EA5"/>
    <w:rsid w:val="009F0E25"/>
    <w:rsid w:val="009F0F1D"/>
    <w:rsid w:val="009F1567"/>
    <w:rsid w:val="009F1B7C"/>
    <w:rsid w:val="009F235B"/>
    <w:rsid w:val="009F24EC"/>
    <w:rsid w:val="009F2F60"/>
    <w:rsid w:val="009F376B"/>
    <w:rsid w:val="009F3E0B"/>
    <w:rsid w:val="009F4322"/>
    <w:rsid w:val="009F4358"/>
    <w:rsid w:val="009F458D"/>
    <w:rsid w:val="009F4723"/>
    <w:rsid w:val="009F57DE"/>
    <w:rsid w:val="009F5E6A"/>
    <w:rsid w:val="009F6D00"/>
    <w:rsid w:val="009F7B48"/>
    <w:rsid w:val="00A00966"/>
    <w:rsid w:val="00A00E1A"/>
    <w:rsid w:val="00A0247C"/>
    <w:rsid w:val="00A025E3"/>
    <w:rsid w:val="00A039B2"/>
    <w:rsid w:val="00A03D43"/>
    <w:rsid w:val="00A04380"/>
    <w:rsid w:val="00A04660"/>
    <w:rsid w:val="00A05EB3"/>
    <w:rsid w:val="00A05ED8"/>
    <w:rsid w:val="00A06ADF"/>
    <w:rsid w:val="00A06C8B"/>
    <w:rsid w:val="00A102BD"/>
    <w:rsid w:val="00A12243"/>
    <w:rsid w:val="00A12B4C"/>
    <w:rsid w:val="00A131E9"/>
    <w:rsid w:val="00A13948"/>
    <w:rsid w:val="00A14D1B"/>
    <w:rsid w:val="00A158A3"/>
    <w:rsid w:val="00A1607F"/>
    <w:rsid w:val="00A170ED"/>
    <w:rsid w:val="00A20A47"/>
    <w:rsid w:val="00A21055"/>
    <w:rsid w:val="00A2179E"/>
    <w:rsid w:val="00A21F6A"/>
    <w:rsid w:val="00A22F01"/>
    <w:rsid w:val="00A2447B"/>
    <w:rsid w:val="00A24AC1"/>
    <w:rsid w:val="00A255B9"/>
    <w:rsid w:val="00A25848"/>
    <w:rsid w:val="00A26661"/>
    <w:rsid w:val="00A272BC"/>
    <w:rsid w:val="00A2751B"/>
    <w:rsid w:val="00A27AEC"/>
    <w:rsid w:val="00A27EF3"/>
    <w:rsid w:val="00A30735"/>
    <w:rsid w:val="00A32146"/>
    <w:rsid w:val="00A32446"/>
    <w:rsid w:val="00A3251E"/>
    <w:rsid w:val="00A32C32"/>
    <w:rsid w:val="00A336FC"/>
    <w:rsid w:val="00A34FFF"/>
    <w:rsid w:val="00A356A5"/>
    <w:rsid w:val="00A35D16"/>
    <w:rsid w:val="00A36792"/>
    <w:rsid w:val="00A36DEA"/>
    <w:rsid w:val="00A3745F"/>
    <w:rsid w:val="00A3756E"/>
    <w:rsid w:val="00A40705"/>
    <w:rsid w:val="00A40B44"/>
    <w:rsid w:val="00A41B9E"/>
    <w:rsid w:val="00A41F78"/>
    <w:rsid w:val="00A42661"/>
    <w:rsid w:val="00A42793"/>
    <w:rsid w:val="00A42E8B"/>
    <w:rsid w:val="00A43C59"/>
    <w:rsid w:val="00A44A0C"/>
    <w:rsid w:val="00A45443"/>
    <w:rsid w:val="00A4613E"/>
    <w:rsid w:val="00A46524"/>
    <w:rsid w:val="00A46660"/>
    <w:rsid w:val="00A469C5"/>
    <w:rsid w:val="00A47295"/>
    <w:rsid w:val="00A4795A"/>
    <w:rsid w:val="00A47B43"/>
    <w:rsid w:val="00A47D0A"/>
    <w:rsid w:val="00A47E96"/>
    <w:rsid w:val="00A50ECD"/>
    <w:rsid w:val="00A50F38"/>
    <w:rsid w:val="00A51703"/>
    <w:rsid w:val="00A51741"/>
    <w:rsid w:val="00A52273"/>
    <w:rsid w:val="00A52729"/>
    <w:rsid w:val="00A53005"/>
    <w:rsid w:val="00A53675"/>
    <w:rsid w:val="00A542E1"/>
    <w:rsid w:val="00A54642"/>
    <w:rsid w:val="00A551BC"/>
    <w:rsid w:val="00A55A0E"/>
    <w:rsid w:val="00A562FD"/>
    <w:rsid w:val="00A56B6A"/>
    <w:rsid w:val="00A56DC3"/>
    <w:rsid w:val="00A573ED"/>
    <w:rsid w:val="00A574CF"/>
    <w:rsid w:val="00A578DC"/>
    <w:rsid w:val="00A60CAC"/>
    <w:rsid w:val="00A61A3A"/>
    <w:rsid w:val="00A631FD"/>
    <w:rsid w:val="00A63A4B"/>
    <w:rsid w:val="00A648E5"/>
    <w:rsid w:val="00A65A4A"/>
    <w:rsid w:val="00A65E6F"/>
    <w:rsid w:val="00A65F14"/>
    <w:rsid w:val="00A66155"/>
    <w:rsid w:val="00A662E4"/>
    <w:rsid w:val="00A663D2"/>
    <w:rsid w:val="00A6678E"/>
    <w:rsid w:val="00A6725B"/>
    <w:rsid w:val="00A67D1E"/>
    <w:rsid w:val="00A70841"/>
    <w:rsid w:val="00A71BFC"/>
    <w:rsid w:val="00A7255E"/>
    <w:rsid w:val="00A72F68"/>
    <w:rsid w:val="00A73511"/>
    <w:rsid w:val="00A73B5D"/>
    <w:rsid w:val="00A762EF"/>
    <w:rsid w:val="00A76CC2"/>
    <w:rsid w:val="00A77598"/>
    <w:rsid w:val="00A775FD"/>
    <w:rsid w:val="00A779AF"/>
    <w:rsid w:val="00A77A8F"/>
    <w:rsid w:val="00A80435"/>
    <w:rsid w:val="00A808BA"/>
    <w:rsid w:val="00A821CC"/>
    <w:rsid w:val="00A82CBB"/>
    <w:rsid w:val="00A8384B"/>
    <w:rsid w:val="00A83F18"/>
    <w:rsid w:val="00A84D15"/>
    <w:rsid w:val="00A86411"/>
    <w:rsid w:val="00A86E8B"/>
    <w:rsid w:val="00A87028"/>
    <w:rsid w:val="00A87066"/>
    <w:rsid w:val="00A8796F"/>
    <w:rsid w:val="00A87E4A"/>
    <w:rsid w:val="00A90030"/>
    <w:rsid w:val="00A90CA8"/>
    <w:rsid w:val="00A90F1A"/>
    <w:rsid w:val="00A917B4"/>
    <w:rsid w:val="00A93072"/>
    <w:rsid w:val="00A9323E"/>
    <w:rsid w:val="00A933EE"/>
    <w:rsid w:val="00A937FD"/>
    <w:rsid w:val="00A94618"/>
    <w:rsid w:val="00A94EA5"/>
    <w:rsid w:val="00A95999"/>
    <w:rsid w:val="00A959D8"/>
    <w:rsid w:val="00A95F9E"/>
    <w:rsid w:val="00A967F9"/>
    <w:rsid w:val="00A96FE6"/>
    <w:rsid w:val="00A97336"/>
    <w:rsid w:val="00A973EF"/>
    <w:rsid w:val="00AA1443"/>
    <w:rsid w:val="00AA2173"/>
    <w:rsid w:val="00AA25A1"/>
    <w:rsid w:val="00AA2650"/>
    <w:rsid w:val="00AA35D2"/>
    <w:rsid w:val="00AA3971"/>
    <w:rsid w:val="00AA3AF0"/>
    <w:rsid w:val="00AA3EBE"/>
    <w:rsid w:val="00AA416A"/>
    <w:rsid w:val="00AA4731"/>
    <w:rsid w:val="00AA571F"/>
    <w:rsid w:val="00AA6282"/>
    <w:rsid w:val="00AA6C2F"/>
    <w:rsid w:val="00AA7A4D"/>
    <w:rsid w:val="00AB0410"/>
    <w:rsid w:val="00AB042A"/>
    <w:rsid w:val="00AB0782"/>
    <w:rsid w:val="00AB19C4"/>
    <w:rsid w:val="00AB2395"/>
    <w:rsid w:val="00AB2D34"/>
    <w:rsid w:val="00AB2EB1"/>
    <w:rsid w:val="00AB3430"/>
    <w:rsid w:val="00AB343E"/>
    <w:rsid w:val="00AB3FB1"/>
    <w:rsid w:val="00AB4118"/>
    <w:rsid w:val="00AB47E1"/>
    <w:rsid w:val="00AB4EE9"/>
    <w:rsid w:val="00AB570E"/>
    <w:rsid w:val="00AB6138"/>
    <w:rsid w:val="00AB6B73"/>
    <w:rsid w:val="00AB7CFA"/>
    <w:rsid w:val="00AC050E"/>
    <w:rsid w:val="00AC074F"/>
    <w:rsid w:val="00AC34ED"/>
    <w:rsid w:val="00AC3DE8"/>
    <w:rsid w:val="00AC3E58"/>
    <w:rsid w:val="00AC463A"/>
    <w:rsid w:val="00AC4BDA"/>
    <w:rsid w:val="00AC5975"/>
    <w:rsid w:val="00AC6240"/>
    <w:rsid w:val="00AC6369"/>
    <w:rsid w:val="00AC6475"/>
    <w:rsid w:val="00AC7104"/>
    <w:rsid w:val="00AD019D"/>
    <w:rsid w:val="00AD0AF5"/>
    <w:rsid w:val="00AD243B"/>
    <w:rsid w:val="00AD2BD3"/>
    <w:rsid w:val="00AD3876"/>
    <w:rsid w:val="00AD4389"/>
    <w:rsid w:val="00AD690A"/>
    <w:rsid w:val="00AD7D6F"/>
    <w:rsid w:val="00AD7F42"/>
    <w:rsid w:val="00AE04AF"/>
    <w:rsid w:val="00AE21CE"/>
    <w:rsid w:val="00AE3941"/>
    <w:rsid w:val="00AE3D25"/>
    <w:rsid w:val="00AE3E47"/>
    <w:rsid w:val="00AF04F6"/>
    <w:rsid w:val="00AF0C96"/>
    <w:rsid w:val="00AF0DBA"/>
    <w:rsid w:val="00AF24DA"/>
    <w:rsid w:val="00AF3314"/>
    <w:rsid w:val="00AF3E02"/>
    <w:rsid w:val="00AF5475"/>
    <w:rsid w:val="00AF584F"/>
    <w:rsid w:val="00AF6696"/>
    <w:rsid w:val="00AF77C4"/>
    <w:rsid w:val="00B00090"/>
    <w:rsid w:val="00B01498"/>
    <w:rsid w:val="00B01DE8"/>
    <w:rsid w:val="00B02D11"/>
    <w:rsid w:val="00B03EC3"/>
    <w:rsid w:val="00B04223"/>
    <w:rsid w:val="00B046CB"/>
    <w:rsid w:val="00B04FA5"/>
    <w:rsid w:val="00B06007"/>
    <w:rsid w:val="00B06667"/>
    <w:rsid w:val="00B07AEF"/>
    <w:rsid w:val="00B1100D"/>
    <w:rsid w:val="00B1115A"/>
    <w:rsid w:val="00B114EB"/>
    <w:rsid w:val="00B11EEE"/>
    <w:rsid w:val="00B1260C"/>
    <w:rsid w:val="00B12A16"/>
    <w:rsid w:val="00B132D8"/>
    <w:rsid w:val="00B14A42"/>
    <w:rsid w:val="00B15467"/>
    <w:rsid w:val="00B1550C"/>
    <w:rsid w:val="00B15588"/>
    <w:rsid w:val="00B1637F"/>
    <w:rsid w:val="00B16B2D"/>
    <w:rsid w:val="00B16E64"/>
    <w:rsid w:val="00B17242"/>
    <w:rsid w:val="00B17C26"/>
    <w:rsid w:val="00B20537"/>
    <w:rsid w:val="00B20A17"/>
    <w:rsid w:val="00B20F12"/>
    <w:rsid w:val="00B215B5"/>
    <w:rsid w:val="00B21934"/>
    <w:rsid w:val="00B22D9A"/>
    <w:rsid w:val="00B22F40"/>
    <w:rsid w:val="00B25BA9"/>
    <w:rsid w:val="00B25E71"/>
    <w:rsid w:val="00B26C37"/>
    <w:rsid w:val="00B27800"/>
    <w:rsid w:val="00B3091C"/>
    <w:rsid w:val="00B30C12"/>
    <w:rsid w:val="00B31BC1"/>
    <w:rsid w:val="00B31DB6"/>
    <w:rsid w:val="00B3200E"/>
    <w:rsid w:val="00B322BD"/>
    <w:rsid w:val="00B32316"/>
    <w:rsid w:val="00B32EFF"/>
    <w:rsid w:val="00B32F13"/>
    <w:rsid w:val="00B32F7A"/>
    <w:rsid w:val="00B32FEA"/>
    <w:rsid w:val="00B33784"/>
    <w:rsid w:val="00B339E4"/>
    <w:rsid w:val="00B345EE"/>
    <w:rsid w:val="00B35C55"/>
    <w:rsid w:val="00B360FC"/>
    <w:rsid w:val="00B370BA"/>
    <w:rsid w:val="00B378CE"/>
    <w:rsid w:val="00B40755"/>
    <w:rsid w:val="00B42071"/>
    <w:rsid w:val="00B42851"/>
    <w:rsid w:val="00B42C9C"/>
    <w:rsid w:val="00B432C0"/>
    <w:rsid w:val="00B434C6"/>
    <w:rsid w:val="00B4372F"/>
    <w:rsid w:val="00B43AC2"/>
    <w:rsid w:val="00B465A3"/>
    <w:rsid w:val="00B478C3"/>
    <w:rsid w:val="00B47F8A"/>
    <w:rsid w:val="00B50428"/>
    <w:rsid w:val="00B50DB8"/>
    <w:rsid w:val="00B51D8C"/>
    <w:rsid w:val="00B53905"/>
    <w:rsid w:val="00B544CC"/>
    <w:rsid w:val="00B54563"/>
    <w:rsid w:val="00B54AB2"/>
    <w:rsid w:val="00B54B5B"/>
    <w:rsid w:val="00B5562E"/>
    <w:rsid w:val="00B55EC5"/>
    <w:rsid w:val="00B57000"/>
    <w:rsid w:val="00B5752C"/>
    <w:rsid w:val="00B57B95"/>
    <w:rsid w:val="00B60939"/>
    <w:rsid w:val="00B60A2A"/>
    <w:rsid w:val="00B60AFD"/>
    <w:rsid w:val="00B60C64"/>
    <w:rsid w:val="00B60C88"/>
    <w:rsid w:val="00B62715"/>
    <w:rsid w:val="00B64FBA"/>
    <w:rsid w:val="00B65D6E"/>
    <w:rsid w:val="00B66899"/>
    <w:rsid w:val="00B66BCC"/>
    <w:rsid w:val="00B66DDC"/>
    <w:rsid w:val="00B66FDF"/>
    <w:rsid w:val="00B67CA4"/>
    <w:rsid w:val="00B7113E"/>
    <w:rsid w:val="00B7131C"/>
    <w:rsid w:val="00B71899"/>
    <w:rsid w:val="00B7236F"/>
    <w:rsid w:val="00B72BCC"/>
    <w:rsid w:val="00B73437"/>
    <w:rsid w:val="00B7465F"/>
    <w:rsid w:val="00B7530C"/>
    <w:rsid w:val="00B75382"/>
    <w:rsid w:val="00B7539C"/>
    <w:rsid w:val="00B7677C"/>
    <w:rsid w:val="00B77F55"/>
    <w:rsid w:val="00B813B2"/>
    <w:rsid w:val="00B818A4"/>
    <w:rsid w:val="00B81A00"/>
    <w:rsid w:val="00B81BC0"/>
    <w:rsid w:val="00B827FC"/>
    <w:rsid w:val="00B8288E"/>
    <w:rsid w:val="00B833AE"/>
    <w:rsid w:val="00B835BE"/>
    <w:rsid w:val="00B83DF3"/>
    <w:rsid w:val="00B842E4"/>
    <w:rsid w:val="00B8460A"/>
    <w:rsid w:val="00B85C83"/>
    <w:rsid w:val="00B861AE"/>
    <w:rsid w:val="00B8649C"/>
    <w:rsid w:val="00B870AF"/>
    <w:rsid w:val="00B90132"/>
    <w:rsid w:val="00B9289A"/>
    <w:rsid w:val="00B92A42"/>
    <w:rsid w:val="00B92D0B"/>
    <w:rsid w:val="00B94945"/>
    <w:rsid w:val="00B94B1B"/>
    <w:rsid w:val="00B94B3D"/>
    <w:rsid w:val="00B95628"/>
    <w:rsid w:val="00B9727A"/>
    <w:rsid w:val="00BA1085"/>
    <w:rsid w:val="00BA14BC"/>
    <w:rsid w:val="00BA1E11"/>
    <w:rsid w:val="00BA315B"/>
    <w:rsid w:val="00BA3694"/>
    <w:rsid w:val="00BA5A78"/>
    <w:rsid w:val="00BA5AEE"/>
    <w:rsid w:val="00BA5FF3"/>
    <w:rsid w:val="00BA67EF"/>
    <w:rsid w:val="00BA6B3A"/>
    <w:rsid w:val="00BA6F86"/>
    <w:rsid w:val="00BB00C9"/>
    <w:rsid w:val="00BB24E0"/>
    <w:rsid w:val="00BB2C29"/>
    <w:rsid w:val="00BB2CD3"/>
    <w:rsid w:val="00BB2DB1"/>
    <w:rsid w:val="00BB32A7"/>
    <w:rsid w:val="00BB3A9A"/>
    <w:rsid w:val="00BB4009"/>
    <w:rsid w:val="00BB4113"/>
    <w:rsid w:val="00BB41B8"/>
    <w:rsid w:val="00BB4819"/>
    <w:rsid w:val="00BB4AAB"/>
    <w:rsid w:val="00BB4FE1"/>
    <w:rsid w:val="00BB663B"/>
    <w:rsid w:val="00BB7405"/>
    <w:rsid w:val="00BB7951"/>
    <w:rsid w:val="00BC033E"/>
    <w:rsid w:val="00BC062F"/>
    <w:rsid w:val="00BC1401"/>
    <w:rsid w:val="00BC17BA"/>
    <w:rsid w:val="00BC1F66"/>
    <w:rsid w:val="00BC299A"/>
    <w:rsid w:val="00BC303F"/>
    <w:rsid w:val="00BC3472"/>
    <w:rsid w:val="00BC34D6"/>
    <w:rsid w:val="00BC3871"/>
    <w:rsid w:val="00BC5B42"/>
    <w:rsid w:val="00BC7A70"/>
    <w:rsid w:val="00BD0119"/>
    <w:rsid w:val="00BD0381"/>
    <w:rsid w:val="00BD1134"/>
    <w:rsid w:val="00BD12DC"/>
    <w:rsid w:val="00BD35C5"/>
    <w:rsid w:val="00BD3683"/>
    <w:rsid w:val="00BD3D04"/>
    <w:rsid w:val="00BD3F1F"/>
    <w:rsid w:val="00BD54C9"/>
    <w:rsid w:val="00BD650E"/>
    <w:rsid w:val="00BD6CF3"/>
    <w:rsid w:val="00BD74B1"/>
    <w:rsid w:val="00BD77B7"/>
    <w:rsid w:val="00BE08AE"/>
    <w:rsid w:val="00BE0EE0"/>
    <w:rsid w:val="00BE1583"/>
    <w:rsid w:val="00BE2180"/>
    <w:rsid w:val="00BE25F5"/>
    <w:rsid w:val="00BE2814"/>
    <w:rsid w:val="00BE4275"/>
    <w:rsid w:val="00BE4C10"/>
    <w:rsid w:val="00BE4C1A"/>
    <w:rsid w:val="00BE5ECC"/>
    <w:rsid w:val="00BE5FC9"/>
    <w:rsid w:val="00BE6791"/>
    <w:rsid w:val="00BE7328"/>
    <w:rsid w:val="00BE7DD6"/>
    <w:rsid w:val="00BF0D8E"/>
    <w:rsid w:val="00BF10C7"/>
    <w:rsid w:val="00BF1D95"/>
    <w:rsid w:val="00BF211D"/>
    <w:rsid w:val="00BF2433"/>
    <w:rsid w:val="00BF2586"/>
    <w:rsid w:val="00BF25F9"/>
    <w:rsid w:val="00BF2DED"/>
    <w:rsid w:val="00BF32B8"/>
    <w:rsid w:val="00BF3AD6"/>
    <w:rsid w:val="00BF444F"/>
    <w:rsid w:val="00BF4949"/>
    <w:rsid w:val="00BF4C7E"/>
    <w:rsid w:val="00BF61C9"/>
    <w:rsid w:val="00BF6AC2"/>
    <w:rsid w:val="00BF6BBF"/>
    <w:rsid w:val="00BF6D0C"/>
    <w:rsid w:val="00C007B5"/>
    <w:rsid w:val="00C02696"/>
    <w:rsid w:val="00C02CE3"/>
    <w:rsid w:val="00C0314A"/>
    <w:rsid w:val="00C03615"/>
    <w:rsid w:val="00C036BF"/>
    <w:rsid w:val="00C03B68"/>
    <w:rsid w:val="00C04085"/>
    <w:rsid w:val="00C05BEF"/>
    <w:rsid w:val="00C05CAA"/>
    <w:rsid w:val="00C063F8"/>
    <w:rsid w:val="00C06E8D"/>
    <w:rsid w:val="00C07429"/>
    <w:rsid w:val="00C0797F"/>
    <w:rsid w:val="00C079D8"/>
    <w:rsid w:val="00C07E50"/>
    <w:rsid w:val="00C07F34"/>
    <w:rsid w:val="00C10770"/>
    <w:rsid w:val="00C11AAB"/>
    <w:rsid w:val="00C120F0"/>
    <w:rsid w:val="00C12E78"/>
    <w:rsid w:val="00C15591"/>
    <w:rsid w:val="00C15F06"/>
    <w:rsid w:val="00C165FC"/>
    <w:rsid w:val="00C172FF"/>
    <w:rsid w:val="00C204E8"/>
    <w:rsid w:val="00C2219B"/>
    <w:rsid w:val="00C2233A"/>
    <w:rsid w:val="00C22754"/>
    <w:rsid w:val="00C22909"/>
    <w:rsid w:val="00C22D5C"/>
    <w:rsid w:val="00C242B6"/>
    <w:rsid w:val="00C2487A"/>
    <w:rsid w:val="00C25418"/>
    <w:rsid w:val="00C25AA9"/>
    <w:rsid w:val="00C25D9C"/>
    <w:rsid w:val="00C27263"/>
    <w:rsid w:val="00C27A22"/>
    <w:rsid w:val="00C27A90"/>
    <w:rsid w:val="00C31649"/>
    <w:rsid w:val="00C323D8"/>
    <w:rsid w:val="00C32E5C"/>
    <w:rsid w:val="00C331FC"/>
    <w:rsid w:val="00C33C61"/>
    <w:rsid w:val="00C34B26"/>
    <w:rsid w:val="00C34E0C"/>
    <w:rsid w:val="00C35B2D"/>
    <w:rsid w:val="00C36047"/>
    <w:rsid w:val="00C36346"/>
    <w:rsid w:val="00C36527"/>
    <w:rsid w:val="00C37B66"/>
    <w:rsid w:val="00C37E3C"/>
    <w:rsid w:val="00C40385"/>
    <w:rsid w:val="00C408C5"/>
    <w:rsid w:val="00C41793"/>
    <w:rsid w:val="00C41909"/>
    <w:rsid w:val="00C41C8B"/>
    <w:rsid w:val="00C42076"/>
    <w:rsid w:val="00C42A36"/>
    <w:rsid w:val="00C42C3F"/>
    <w:rsid w:val="00C42CBA"/>
    <w:rsid w:val="00C4400B"/>
    <w:rsid w:val="00C442B6"/>
    <w:rsid w:val="00C45CAB"/>
    <w:rsid w:val="00C46A06"/>
    <w:rsid w:val="00C5084C"/>
    <w:rsid w:val="00C50C0D"/>
    <w:rsid w:val="00C51040"/>
    <w:rsid w:val="00C520D4"/>
    <w:rsid w:val="00C525A5"/>
    <w:rsid w:val="00C5365B"/>
    <w:rsid w:val="00C53B4C"/>
    <w:rsid w:val="00C54802"/>
    <w:rsid w:val="00C54E4C"/>
    <w:rsid w:val="00C55158"/>
    <w:rsid w:val="00C55560"/>
    <w:rsid w:val="00C56ECB"/>
    <w:rsid w:val="00C60921"/>
    <w:rsid w:val="00C60C97"/>
    <w:rsid w:val="00C611E5"/>
    <w:rsid w:val="00C61F9A"/>
    <w:rsid w:val="00C62B29"/>
    <w:rsid w:val="00C63A73"/>
    <w:rsid w:val="00C63BC9"/>
    <w:rsid w:val="00C63DF7"/>
    <w:rsid w:val="00C64775"/>
    <w:rsid w:val="00C647A3"/>
    <w:rsid w:val="00C65576"/>
    <w:rsid w:val="00C66165"/>
    <w:rsid w:val="00C66C75"/>
    <w:rsid w:val="00C66F35"/>
    <w:rsid w:val="00C6707A"/>
    <w:rsid w:val="00C67098"/>
    <w:rsid w:val="00C67372"/>
    <w:rsid w:val="00C67A6D"/>
    <w:rsid w:val="00C67E55"/>
    <w:rsid w:val="00C71437"/>
    <w:rsid w:val="00C717CF"/>
    <w:rsid w:val="00C72DF0"/>
    <w:rsid w:val="00C744E8"/>
    <w:rsid w:val="00C74A26"/>
    <w:rsid w:val="00C74AEE"/>
    <w:rsid w:val="00C750C8"/>
    <w:rsid w:val="00C75525"/>
    <w:rsid w:val="00C7720D"/>
    <w:rsid w:val="00C7749B"/>
    <w:rsid w:val="00C8044C"/>
    <w:rsid w:val="00C81DBF"/>
    <w:rsid w:val="00C8213F"/>
    <w:rsid w:val="00C833A2"/>
    <w:rsid w:val="00C833BB"/>
    <w:rsid w:val="00C83DAC"/>
    <w:rsid w:val="00C8481D"/>
    <w:rsid w:val="00C84D1B"/>
    <w:rsid w:val="00C84F97"/>
    <w:rsid w:val="00C8567A"/>
    <w:rsid w:val="00C85AC3"/>
    <w:rsid w:val="00C8797A"/>
    <w:rsid w:val="00C90421"/>
    <w:rsid w:val="00C938CF"/>
    <w:rsid w:val="00C93B15"/>
    <w:rsid w:val="00C93F9E"/>
    <w:rsid w:val="00C94A38"/>
    <w:rsid w:val="00C96B51"/>
    <w:rsid w:val="00C973B3"/>
    <w:rsid w:val="00C97514"/>
    <w:rsid w:val="00C9782A"/>
    <w:rsid w:val="00C97A82"/>
    <w:rsid w:val="00CA06B8"/>
    <w:rsid w:val="00CA10AA"/>
    <w:rsid w:val="00CA11CB"/>
    <w:rsid w:val="00CA1CC1"/>
    <w:rsid w:val="00CA1E6C"/>
    <w:rsid w:val="00CA2908"/>
    <w:rsid w:val="00CA2950"/>
    <w:rsid w:val="00CA3758"/>
    <w:rsid w:val="00CA46D4"/>
    <w:rsid w:val="00CA5245"/>
    <w:rsid w:val="00CA57FC"/>
    <w:rsid w:val="00CA5E53"/>
    <w:rsid w:val="00CA5EE9"/>
    <w:rsid w:val="00CA5FF7"/>
    <w:rsid w:val="00CA663F"/>
    <w:rsid w:val="00CA6BE5"/>
    <w:rsid w:val="00CA6BF6"/>
    <w:rsid w:val="00CA7B09"/>
    <w:rsid w:val="00CA7EBF"/>
    <w:rsid w:val="00CB0628"/>
    <w:rsid w:val="00CB0B2D"/>
    <w:rsid w:val="00CB17F8"/>
    <w:rsid w:val="00CB2553"/>
    <w:rsid w:val="00CB2D33"/>
    <w:rsid w:val="00CB3324"/>
    <w:rsid w:val="00CB3469"/>
    <w:rsid w:val="00CB3860"/>
    <w:rsid w:val="00CB3D3A"/>
    <w:rsid w:val="00CB46CE"/>
    <w:rsid w:val="00CB4D8F"/>
    <w:rsid w:val="00CB5462"/>
    <w:rsid w:val="00CB5B1A"/>
    <w:rsid w:val="00CB5E57"/>
    <w:rsid w:val="00CB7B3F"/>
    <w:rsid w:val="00CC0CD8"/>
    <w:rsid w:val="00CC1B6C"/>
    <w:rsid w:val="00CC2D79"/>
    <w:rsid w:val="00CC3382"/>
    <w:rsid w:val="00CC3E96"/>
    <w:rsid w:val="00CC4846"/>
    <w:rsid w:val="00CC4958"/>
    <w:rsid w:val="00CC4A10"/>
    <w:rsid w:val="00CC4DB9"/>
    <w:rsid w:val="00CC5BD2"/>
    <w:rsid w:val="00CC77F7"/>
    <w:rsid w:val="00CC7F50"/>
    <w:rsid w:val="00CD0025"/>
    <w:rsid w:val="00CD02A4"/>
    <w:rsid w:val="00CD0982"/>
    <w:rsid w:val="00CD0E70"/>
    <w:rsid w:val="00CD1428"/>
    <w:rsid w:val="00CD149A"/>
    <w:rsid w:val="00CD1D35"/>
    <w:rsid w:val="00CD213E"/>
    <w:rsid w:val="00CD25D3"/>
    <w:rsid w:val="00CD31E7"/>
    <w:rsid w:val="00CD3BC3"/>
    <w:rsid w:val="00CD5AA8"/>
    <w:rsid w:val="00CD60F2"/>
    <w:rsid w:val="00CD6837"/>
    <w:rsid w:val="00CD6ADC"/>
    <w:rsid w:val="00CD74EB"/>
    <w:rsid w:val="00CD7ADC"/>
    <w:rsid w:val="00CD7C90"/>
    <w:rsid w:val="00CE09CE"/>
    <w:rsid w:val="00CE1694"/>
    <w:rsid w:val="00CE1A5A"/>
    <w:rsid w:val="00CE1B6D"/>
    <w:rsid w:val="00CE1CC5"/>
    <w:rsid w:val="00CE2118"/>
    <w:rsid w:val="00CE2E10"/>
    <w:rsid w:val="00CE352C"/>
    <w:rsid w:val="00CE43E5"/>
    <w:rsid w:val="00CE4F38"/>
    <w:rsid w:val="00CE54CB"/>
    <w:rsid w:val="00CE6041"/>
    <w:rsid w:val="00CE6274"/>
    <w:rsid w:val="00CE6500"/>
    <w:rsid w:val="00CE743F"/>
    <w:rsid w:val="00CE7A34"/>
    <w:rsid w:val="00CF0118"/>
    <w:rsid w:val="00CF0E76"/>
    <w:rsid w:val="00CF16F5"/>
    <w:rsid w:val="00CF1D95"/>
    <w:rsid w:val="00CF2D64"/>
    <w:rsid w:val="00CF304E"/>
    <w:rsid w:val="00CF3109"/>
    <w:rsid w:val="00CF3644"/>
    <w:rsid w:val="00CF3C86"/>
    <w:rsid w:val="00CF4288"/>
    <w:rsid w:val="00CF456B"/>
    <w:rsid w:val="00CF4B33"/>
    <w:rsid w:val="00CF501A"/>
    <w:rsid w:val="00CF50C7"/>
    <w:rsid w:val="00CF5A22"/>
    <w:rsid w:val="00CF5A7D"/>
    <w:rsid w:val="00CF5E4F"/>
    <w:rsid w:val="00CF652C"/>
    <w:rsid w:val="00CF6E37"/>
    <w:rsid w:val="00CF6E4D"/>
    <w:rsid w:val="00CF737C"/>
    <w:rsid w:val="00CF74B6"/>
    <w:rsid w:val="00CF76C0"/>
    <w:rsid w:val="00CF76F8"/>
    <w:rsid w:val="00CF7723"/>
    <w:rsid w:val="00CF7E42"/>
    <w:rsid w:val="00D00539"/>
    <w:rsid w:val="00D01081"/>
    <w:rsid w:val="00D01202"/>
    <w:rsid w:val="00D01CF8"/>
    <w:rsid w:val="00D020EA"/>
    <w:rsid w:val="00D0262E"/>
    <w:rsid w:val="00D034CA"/>
    <w:rsid w:val="00D04740"/>
    <w:rsid w:val="00D047A7"/>
    <w:rsid w:val="00D047F0"/>
    <w:rsid w:val="00D04A70"/>
    <w:rsid w:val="00D0555C"/>
    <w:rsid w:val="00D05A8F"/>
    <w:rsid w:val="00D05C88"/>
    <w:rsid w:val="00D06034"/>
    <w:rsid w:val="00D104C0"/>
    <w:rsid w:val="00D110BD"/>
    <w:rsid w:val="00D13CB2"/>
    <w:rsid w:val="00D140CC"/>
    <w:rsid w:val="00D14709"/>
    <w:rsid w:val="00D15050"/>
    <w:rsid w:val="00D1551D"/>
    <w:rsid w:val="00D1651E"/>
    <w:rsid w:val="00D16C73"/>
    <w:rsid w:val="00D174C7"/>
    <w:rsid w:val="00D17544"/>
    <w:rsid w:val="00D1784C"/>
    <w:rsid w:val="00D1799C"/>
    <w:rsid w:val="00D17D6C"/>
    <w:rsid w:val="00D17E6B"/>
    <w:rsid w:val="00D206CB"/>
    <w:rsid w:val="00D21323"/>
    <w:rsid w:val="00D216A5"/>
    <w:rsid w:val="00D21C70"/>
    <w:rsid w:val="00D2272A"/>
    <w:rsid w:val="00D23090"/>
    <w:rsid w:val="00D23537"/>
    <w:rsid w:val="00D23CDA"/>
    <w:rsid w:val="00D253BC"/>
    <w:rsid w:val="00D2546C"/>
    <w:rsid w:val="00D2648E"/>
    <w:rsid w:val="00D26D39"/>
    <w:rsid w:val="00D30FA7"/>
    <w:rsid w:val="00D31EE2"/>
    <w:rsid w:val="00D337D3"/>
    <w:rsid w:val="00D339C7"/>
    <w:rsid w:val="00D33E64"/>
    <w:rsid w:val="00D34B2A"/>
    <w:rsid w:val="00D34B5B"/>
    <w:rsid w:val="00D34C6E"/>
    <w:rsid w:val="00D357FF"/>
    <w:rsid w:val="00D377E6"/>
    <w:rsid w:val="00D37864"/>
    <w:rsid w:val="00D4007B"/>
    <w:rsid w:val="00D400E7"/>
    <w:rsid w:val="00D404A8"/>
    <w:rsid w:val="00D4111E"/>
    <w:rsid w:val="00D418B2"/>
    <w:rsid w:val="00D420F5"/>
    <w:rsid w:val="00D42232"/>
    <w:rsid w:val="00D432C2"/>
    <w:rsid w:val="00D43499"/>
    <w:rsid w:val="00D43557"/>
    <w:rsid w:val="00D43B69"/>
    <w:rsid w:val="00D45636"/>
    <w:rsid w:val="00D45677"/>
    <w:rsid w:val="00D459B2"/>
    <w:rsid w:val="00D45EC1"/>
    <w:rsid w:val="00D5039F"/>
    <w:rsid w:val="00D50669"/>
    <w:rsid w:val="00D50CC9"/>
    <w:rsid w:val="00D518BE"/>
    <w:rsid w:val="00D51A36"/>
    <w:rsid w:val="00D51B4E"/>
    <w:rsid w:val="00D52165"/>
    <w:rsid w:val="00D52338"/>
    <w:rsid w:val="00D52A7F"/>
    <w:rsid w:val="00D534FC"/>
    <w:rsid w:val="00D53F5C"/>
    <w:rsid w:val="00D552BE"/>
    <w:rsid w:val="00D57B38"/>
    <w:rsid w:val="00D57F72"/>
    <w:rsid w:val="00D60F46"/>
    <w:rsid w:val="00D61AA9"/>
    <w:rsid w:val="00D624CC"/>
    <w:rsid w:val="00D63480"/>
    <w:rsid w:val="00D64061"/>
    <w:rsid w:val="00D650BA"/>
    <w:rsid w:val="00D6604C"/>
    <w:rsid w:val="00D7067D"/>
    <w:rsid w:val="00D71C8F"/>
    <w:rsid w:val="00D72588"/>
    <w:rsid w:val="00D72696"/>
    <w:rsid w:val="00D72706"/>
    <w:rsid w:val="00D73AB7"/>
    <w:rsid w:val="00D73F1D"/>
    <w:rsid w:val="00D7421B"/>
    <w:rsid w:val="00D74F53"/>
    <w:rsid w:val="00D75EB0"/>
    <w:rsid w:val="00D75EDB"/>
    <w:rsid w:val="00D766A2"/>
    <w:rsid w:val="00D767CB"/>
    <w:rsid w:val="00D76A44"/>
    <w:rsid w:val="00D77C2E"/>
    <w:rsid w:val="00D77DD6"/>
    <w:rsid w:val="00D8043A"/>
    <w:rsid w:val="00D8084F"/>
    <w:rsid w:val="00D809D2"/>
    <w:rsid w:val="00D80A80"/>
    <w:rsid w:val="00D815B5"/>
    <w:rsid w:val="00D848E5"/>
    <w:rsid w:val="00D85681"/>
    <w:rsid w:val="00D85D42"/>
    <w:rsid w:val="00D8678A"/>
    <w:rsid w:val="00D87751"/>
    <w:rsid w:val="00D9084B"/>
    <w:rsid w:val="00D919CF"/>
    <w:rsid w:val="00D921B6"/>
    <w:rsid w:val="00D92A0A"/>
    <w:rsid w:val="00D92B57"/>
    <w:rsid w:val="00D93753"/>
    <w:rsid w:val="00D94596"/>
    <w:rsid w:val="00D94726"/>
    <w:rsid w:val="00D94E8C"/>
    <w:rsid w:val="00D9523E"/>
    <w:rsid w:val="00D95384"/>
    <w:rsid w:val="00D96684"/>
    <w:rsid w:val="00D96EBE"/>
    <w:rsid w:val="00D971BC"/>
    <w:rsid w:val="00D97F45"/>
    <w:rsid w:val="00DA007E"/>
    <w:rsid w:val="00DA01FE"/>
    <w:rsid w:val="00DA0ACC"/>
    <w:rsid w:val="00DA1B2E"/>
    <w:rsid w:val="00DA1B51"/>
    <w:rsid w:val="00DA1E6C"/>
    <w:rsid w:val="00DA2E66"/>
    <w:rsid w:val="00DA33EE"/>
    <w:rsid w:val="00DA3958"/>
    <w:rsid w:val="00DA4394"/>
    <w:rsid w:val="00DA559B"/>
    <w:rsid w:val="00DA5D94"/>
    <w:rsid w:val="00DA6863"/>
    <w:rsid w:val="00DA7779"/>
    <w:rsid w:val="00DA77A5"/>
    <w:rsid w:val="00DA7A80"/>
    <w:rsid w:val="00DB0E44"/>
    <w:rsid w:val="00DB11AF"/>
    <w:rsid w:val="00DB1E00"/>
    <w:rsid w:val="00DB3EF0"/>
    <w:rsid w:val="00DB4A3E"/>
    <w:rsid w:val="00DB4F0E"/>
    <w:rsid w:val="00DB5334"/>
    <w:rsid w:val="00DB5FA6"/>
    <w:rsid w:val="00DB71F9"/>
    <w:rsid w:val="00DC04E7"/>
    <w:rsid w:val="00DC0EBB"/>
    <w:rsid w:val="00DC1A2E"/>
    <w:rsid w:val="00DC1B2F"/>
    <w:rsid w:val="00DC1F98"/>
    <w:rsid w:val="00DC4547"/>
    <w:rsid w:val="00DC5501"/>
    <w:rsid w:val="00DC5624"/>
    <w:rsid w:val="00DC63C0"/>
    <w:rsid w:val="00DC71A6"/>
    <w:rsid w:val="00DC73E0"/>
    <w:rsid w:val="00DC76C1"/>
    <w:rsid w:val="00DD1955"/>
    <w:rsid w:val="00DD1D38"/>
    <w:rsid w:val="00DD1D95"/>
    <w:rsid w:val="00DD2458"/>
    <w:rsid w:val="00DD24DD"/>
    <w:rsid w:val="00DD2D63"/>
    <w:rsid w:val="00DD3545"/>
    <w:rsid w:val="00DD3E38"/>
    <w:rsid w:val="00DD3F28"/>
    <w:rsid w:val="00DD4340"/>
    <w:rsid w:val="00DD4537"/>
    <w:rsid w:val="00DD4A1D"/>
    <w:rsid w:val="00DD4E15"/>
    <w:rsid w:val="00DD5172"/>
    <w:rsid w:val="00DD5B7C"/>
    <w:rsid w:val="00DD5E6E"/>
    <w:rsid w:val="00DD6AE6"/>
    <w:rsid w:val="00DE03A6"/>
    <w:rsid w:val="00DE078C"/>
    <w:rsid w:val="00DE173F"/>
    <w:rsid w:val="00DE1D86"/>
    <w:rsid w:val="00DE2272"/>
    <w:rsid w:val="00DE28E2"/>
    <w:rsid w:val="00DE2B29"/>
    <w:rsid w:val="00DE32FF"/>
    <w:rsid w:val="00DE3C63"/>
    <w:rsid w:val="00DE4B5E"/>
    <w:rsid w:val="00DE4FCB"/>
    <w:rsid w:val="00DE5C0F"/>
    <w:rsid w:val="00DE7871"/>
    <w:rsid w:val="00DE7DB2"/>
    <w:rsid w:val="00DE7EA3"/>
    <w:rsid w:val="00DF01B4"/>
    <w:rsid w:val="00DF16DE"/>
    <w:rsid w:val="00DF1769"/>
    <w:rsid w:val="00DF1EE4"/>
    <w:rsid w:val="00DF28E0"/>
    <w:rsid w:val="00DF2908"/>
    <w:rsid w:val="00DF4AB6"/>
    <w:rsid w:val="00DF4FB0"/>
    <w:rsid w:val="00DF5104"/>
    <w:rsid w:val="00DF5156"/>
    <w:rsid w:val="00DF53B1"/>
    <w:rsid w:val="00DF588E"/>
    <w:rsid w:val="00DF5B99"/>
    <w:rsid w:val="00DF5D2B"/>
    <w:rsid w:val="00DF5FE5"/>
    <w:rsid w:val="00DF6E32"/>
    <w:rsid w:val="00DF77B8"/>
    <w:rsid w:val="00DF7F6D"/>
    <w:rsid w:val="00E0164F"/>
    <w:rsid w:val="00E01E46"/>
    <w:rsid w:val="00E0226E"/>
    <w:rsid w:val="00E03B24"/>
    <w:rsid w:val="00E04551"/>
    <w:rsid w:val="00E05060"/>
    <w:rsid w:val="00E05189"/>
    <w:rsid w:val="00E056C5"/>
    <w:rsid w:val="00E05F59"/>
    <w:rsid w:val="00E065DF"/>
    <w:rsid w:val="00E0721B"/>
    <w:rsid w:val="00E07917"/>
    <w:rsid w:val="00E10149"/>
    <w:rsid w:val="00E10C14"/>
    <w:rsid w:val="00E11039"/>
    <w:rsid w:val="00E1131A"/>
    <w:rsid w:val="00E118E7"/>
    <w:rsid w:val="00E11BF3"/>
    <w:rsid w:val="00E11EAB"/>
    <w:rsid w:val="00E126C5"/>
    <w:rsid w:val="00E12F1D"/>
    <w:rsid w:val="00E144D1"/>
    <w:rsid w:val="00E14867"/>
    <w:rsid w:val="00E16372"/>
    <w:rsid w:val="00E17E1A"/>
    <w:rsid w:val="00E17F4C"/>
    <w:rsid w:val="00E20ED6"/>
    <w:rsid w:val="00E21358"/>
    <w:rsid w:val="00E21658"/>
    <w:rsid w:val="00E2249B"/>
    <w:rsid w:val="00E2261B"/>
    <w:rsid w:val="00E22A0D"/>
    <w:rsid w:val="00E2303F"/>
    <w:rsid w:val="00E23E6D"/>
    <w:rsid w:val="00E25487"/>
    <w:rsid w:val="00E25CDB"/>
    <w:rsid w:val="00E275D2"/>
    <w:rsid w:val="00E2771E"/>
    <w:rsid w:val="00E27A20"/>
    <w:rsid w:val="00E27D7C"/>
    <w:rsid w:val="00E30C27"/>
    <w:rsid w:val="00E30F91"/>
    <w:rsid w:val="00E311EF"/>
    <w:rsid w:val="00E31C6B"/>
    <w:rsid w:val="00E33312"/>
    <w:rsid w:val="00E33730"/>
    <w:rsid w:val="00E338D9"/>
    <w:rsid w:val="00E33A61"/>
    <w:rsid w:val="00E33CE9"/>
    <w:rsid w:val="00E36EB4"/>
    <w:rsid w:val="00E37569"/>
    <w:rsid w:val="00E378AD"/>
    <w:rsid w:val="00E4021D"/>
    <w:rsid w:val="00E40768"/>
    <w:rsid w:val="00E40CCE"/>
    <w:rsid w:val="00E41385"/>
    <w:rsid w:val="00E417B4"/>
    <w:rsid w:val="00E41B87"/>
    <w:rsid w:val="00E41E30"/>
    <w:rsid w:val="00E41FEB"/>
    <w:rsid w:val="00E42F9B"/>
    <w:rsid w:val="00E43A4C"/>
    <w:rsid w:val="00E43D70"/>
    <w:rsid w:val="00E4492B"/>
    <w:rsid w:val="00E474A5"/>
    <w:rsid w:val="00E4753B"/>
    <w:rsid w:val="00E47B2C"/>
    <w:rsid w:val="00E502D6"/>
    <w:rsid w:val="00E51057"/>
    <w:rsid w:val="00E5116F"/>
    <w:rsid w:val="00E51265"/>
    <w:rsid w:val="00E51560"/>
    <w:rsid w:val="00E5190F"/>
    <w:rsid w:val="00E536E0"/>
    <w:rsid w:val="00E53AF2"/>
    <w:rsid w:val="00E548D9"/>
    <w:rsid w:val="00E54CCA"/>
    <w:rsid w:val="00E552CD"/>
    <w:rsid w:val="00E55424"/>
    <w:rsid w:val="00E55BB5"/>
    <w:rsid w:val="00E561A5"/>
    <w:rsid w:val="00E57589"/>
    <w:rsid w:val="00E61B3A"/>
    <w:rsid w:val="00E626D8"/>
    <w:rsid w:val="00E62883"/>
    <w:rsid w:val="00E63A26"/>
    <w:rsid w:val="00E64611"/>
    <w:rsid w:val="00E647EE"/>
    <w:rsid w:val="00E65E79"/>
    <w:rsid w:val="00E6603B"/>
    <w:rsid w:val="00E6681A"/>
    <w:rsid w:val="00E66E4B"/>
    <w:rsid w:val="00E67416"/>
    <w:rsid w:val="00E71778"/>
    <w:rsid w:val="00E718B6"/>
    <w:rsid w:val="00E71B6D"/>
    <w:rsid w:val="00E72E62"/>
    <w:rsid w:val="00E73581"/>
    <w:rsid w:val="00E73E9D"/>
    <w:rsid w:val="00E743EC"/>
    <w:rsid w:val="00E75E48"/>
    <w:rsid w:val="00E76057"/>
    <w:rsid w:val="00E76907"/>
    <w:rsid w:val="00E77949"/>
    <w:rsid w:val="00E80380"/>
    <w:rsid w:val="00E8218E"/>
    <w:rsid w:val="00E82519"/>
    <w:rsid w:val="00E8291E"/>
    <w:rsid w:val="00E82A94"/>
    <w:rsid w:val="00E831B0"/>
    <w:rsid w:val="00E8365C"/>
    <w:rsid w:val="00E83BDF"/>
    <w:rsid w:val="00E84669"/>
    <w:rsid w:val="00E8611E"/>
    <w:rsid w:val="00E86938"/>
    <w:rsid w:val="00E86D40"/>
    <w:rsid w:val="00E875D3"/>
    <w:rsid w:val="00E877A9"/>
    <w:rsid w:val="00E879FF"/>
    <w:rsid w:val="00E87FA0"/>
    <w:rsid w:val="00E90534"/>
    <w:rsid w:val="00E90672"/>
    <w:rsid w:val="00E90689"/>
    <w:rsid w:val="00E90C5F"/>
    <w:rsid w:val="00E913C3"/>
    <w:rsid w:val="00E91D65"/>
    <w:rsid w:val="00E922B2"/>
    <w:rsid w:val="00E93379"/>
    <w:rsid w:val="00E933B1"/>
    <w:rsid w:val="00E942DC"/>
    <w:rsid w:val="00E95720"/>
    <w:rsid w:val="00E965FA"/>
    <w:rsid w:val="00E96B8C"/>
    <w:rsid w:val="00E97B5D"/>
    <w:rsid w:val="00EA0210"/>
    <w:rsid w:val="00EA14F1"/>
    <w:rsid w:val="00EA2307"/>
    <w:rsid w:val="00EA296D"/>
    <w:rsid w:val="00EA2A41"/>
    <w:rsid w:val="00EA3864"/>
    <w:rsid w:val="00EA4BBA"/>
    <w:rsid w:val="00EA5C48"/>
    <w:rsid w:val="00EA5F4B"/>
    <w:rsid w:val="00EA6293"/>
    <w:rsid w:val="00EA653B"/>
    <w:rsid w:val="00EA6747"/>
    <w:rsid w:val="00EA738C"/>
    <w:rsid w:val="00EB0DF0"/>
    <w:rsid w:val="00EB0FDB"/>
    <w:rsid w:val="00EB15B6"/>
    <w:rsid w:val="00EB1D5E"/>
    <w:rsid w:val="00EB2A91"/>
    <w:rsid w:val="00EB4273"/>
    <w:rsid w:val="00EB4916"/>
    <w:rsid w:val="00EB4D99"/>
    <w:rsid w:val="00EB5C8B"/>
    <w:rsid w:val="00EB6A3A"/>
    <w:rsid w:val="00EB6B28"/>
    <w:rsid w:val="00EB70AF"/>
    <w:rsid w:val="00EB7123"/>
    <w:rsid w:val="00EB78E0"/>
    <w:rsid w:val="00EB7DD0"/>
    <w:rsid w:val="00EC00C9"/>
    <w:rsid w:val="00EC0874"/>
    <w:rsid w:val="00EC0A25"/>
    <w:rsid w:val="00EC15B5"/>
    <w:rsid w:val="00EC3774"/>
    <w:rsid w:val="00EC5691"/>
    <w:rsid w:val="00EC6261"/>
    <w:rsid w:val="00EC757B"/>
    <w:rsid w:val="00EC7894"/>
    <w:rsid w:val="00EC7AAA"/>
    <w:rsid w:val="00ED0DFC"/>
    <w:rsid w:val="00ED1493"/>
    <w:rsid w:val="00ED2046"/>
    <w:rsid w:val="00ED24DD"/>
    <w:rsid w:val="00ED320B"/>
    <w:rsid w:val="00ED34A7"/>
    <w:rsid w:val="00ED3BC2"/>
    <w:rsid w:val="00ED43BE"/>
    <w:rsid w:val="00ED4F10"/>
    <w:rsid w:val="00ED57AC"/>
    <w:rsid w:val="00ED5CC4"/>
    <w:rsid w:val="00ED5EC9"/>
    <w:rsid w:val="00ED60A3"/>
    <w:rsid w:val="00ED7129"/>
    <w:rsid w:val="00ED7F3F"/>
    <w:rsid w:val="00EE008F"/>
    <w:rsid w:val="00EE052A"/>
    <w:rsid w:val="00EE0679"/>
    <w:rsid w:val="00EE07D3"/>
    <w:rsid w:val="00EE1073"/>
    <w:rsid w:val="00EE1622"/>
    <w:rsid w:val="00EE1763"/>
    <w:rsid w:val="00EE3465"/>
    <w:rsid w:val="00EE489E"/>
    <w:rsid w:val="00EE699E"/>
    <w:rsid w:val="00EF0407"/>
    <w:rsid w:val="00EF0623"/>
    <w:rsid w:val="00EF06E6"/>
    <w:rsid w:val="00EF10FD"/>
    <w:rsid w:val="00EF134E"/>
    <w:rsid w:val="00EF1D17"/>
    <w:rsid w:val="00EF1DD2"/>
    <w:rsid w:val="00EF2B7D"/>
    <w:rsid w:val="00EF2F79"/>
    <w:rsid w:val="00EF5377"/>
    <w:rsid w:val="00EF56FD"/>
    <w:rsid w:val="00EF5FE0"/>
    <w:rsid w:val="00EF6172"/>
    <w:rsid w:val="00EF6950"/>
    <w:rsid w:val="00EF6C92"/>
    <w:rsid w:val="00EF6EF9"/>
    <w:rsid w:val="00EF709A"/>
    <w:rsid w:val="00F016A8"/>
    <w:rsid w:val="00F01A68"/>
    <w:rsid w:val="00F01B9F"/>
    <w:rsid w:val="00F02DC7"/>
    <w:rsid w:val="00F03A97"/>
    <w:rsid w:val="00F05E5C"/>
    <w:rsid w:val="00F06352"/>
    <w:rsid w:val="00F067A2"/>
    <w:rsid w:val="00F06AB9"/>
    <w:rsid w:val="00F06E77"/>
    <w:rsid w:val="00F07224"/>
    <w:rsid w:val="00F0785F"/>
    <w:rsid w:val="00F079BB"/>
    <w:rsid w:val="00F07A59"/>
    <w:rsid w:val="00F07BBC"/>
    <w:rsid w:val="00F103DB"/>
    <w:rsid w:val="00F1166F"/>
    <w:rsid w:val="00F124D2"/>
    <w:rsid w:val="00F124D6"/>
    <w:rsid w:val="00F1277C"/>
    <w:rsid w:val="00F14164"/>
    <w:rsid w:val="00F1438C"/>
    <w:rsid w:val="00F1567B"/>
    <w:rsid w:val="00F204A1"/>
    <w:rsid w:val="00F20890"/>
    <w:rsid w:val="00F20B6D"/>
    <w:rsid w:val="00F20E45"/>
    <w:rsid w:val="00F21245"/>
    <w:rsid w:val="00F2172A"/>
    <w:rsid w:val="00F219DF"/>
    <w:rsid w:val="00F21B76"/>
    <w:rsid w:val="00F21D00"/>
    <w:rsid w:val="00F21F5F"/>
    <w:rsid w:val="00F22AF0"/>
    <w:rsid w:val="00F231A8"/>
    <w:rsid w:val="00F232FF"/>
    <w:rsid w:val="00F243C3"/>
    <w:rsid w:val="00F2476D"/>
    <w:rsid w:val="00F24837"/>
    <w:rsid w:val="00F24F28"/>
    <w:rsid w:val="00F2575F"/>
    <w:rsid w:val="00F25980"/>
    <w:rsid w:val="00F25BEF"/>
    <w:rsid w:val="00F25CE7"/>
    <w:rsid w:val="00F2707E"/>
    <w:rsid w:val="00F3067D"/>
    <w:rsid w:val="00F3070F"/>
    <w:rsid w:val="00F30E15"/>
    <w:rsid w:val="00F321A5"/>
    <w:rsid w:val="00F32DD4"/>
    <w:rsid w:val="00F33DA2"/>
    <w:rsid w:val="00F33DE9"/>
    <w:rsid w:val="00F33EC0"/>
    <w:rsid w:val="00F3405F"/>
    <w:rsid w:val="00F3484B"/>
    <w:rsid w:val="00F34E9E"/>
    <w:rsid w:val="00F35904"/>
    <w:rsid w:val="00F3619A"/>
    <w:rsid w:val="00F36AB9"/>
    <w:rsid w:val="00F411AB"/>
    <w:rsid w:val="00F42333"/>
    <w:rsid w:val="00F425C4"/>
    <w:rsid w:val="00F42D3B"/>
    <w:rsid w:val="00F442D9"/>
    <w:rsid w:val="00F446D5"/>
    <w:rsid w:val="00F44BD7"/>
    <w:rsid w:val="00F45706"/>
    <w:rsid w:val="00F45B8F"/>
    <w:rsid w:val="00F46037"/>
    <w:rsid w:val="00F46083"/>
    <w:rsid w:val="00F46833"/>
    <w:rsid w:val="00F46CB6"/>
    <w:rsid w:val="00F474A4"/>
    <w:rsid w:val="00F47542"/>
    <w:rsid w:val="00F47B07"/>
    <w:rsid w:val="00F504C3"/>
    <w:rsid w:val="00F5150A"/>
    <w:rsid w:val="00F51AC1"/>
    <w:rsid w:val="00F51FF1"/>
    <w:rsid w:val="00F524DC"/>
    <w:rsid w:val="00F52CBD"/>
    <w:rsid w:val="00F52D7D"/>
    <w:rsid w:val="00F5351E"/>
    <w:rsid w:val="00F53BE7"/>
    <w:rsid w:val="00F55E73"/>
    <w:rsid w:val="00F565E7"/>
    <w:rsid w:val="00F570D2"/>
    <w:rsid w:val="00F60092"/>
    <w:rsid w:val="00F601F6"/>
    <w:rsid w:val="00F62605"/>
    <w:rsid w:val="00F62BD3"/>
    <w:rsid w:val="00F62CAA"/>
    <w:rsid w:val="00F63A38"/>
    <w:rsid w:val="00F6415D"/>
    <w:rsid w:val="00F64649"/>
    <w:rsid w:val="00F64796"/>
    <w:rsid w:val="00F64F97"/>
    <w:rsid w:val="00F658D1"/>
    <w:rsid w:val="00F65997"/>
    <w:rsid w:val="00F66033"/>
    <w:rsid w:val="00F671B9"/>
    <w:rsid w:val="00F67C7C"/>
    <w:rsid w:val="00F705B7"/>
    <w:rsid w:val="00F70B8D"/>
    <w:rsid w:val="00F70FC3"/>
    <w:rsid w:val="00F71A01"/>
    <w:rsid w:val="00F72333"/>
    <w:rsid w:val="00F7235B"/>
    <w:rsid w:val="00F7240E"/>
    <w:rsid w:val="00F73632"/>
    <w:rsid w:val="00F73A2C"/>
    <w:rsid w:val="00F73D45"/>
    <w:rsid w:val="00F74A9F"/>
    <w:rsid w:val="00F74D6B"/>
    <w:rsid w:val="00F77FCC"/>
    <w:rsid w:val="00F808EA"/>
    <w:rsid w:val="00F80E5D"/>
    <w:rsid w:val="00F8237C"/>
    <w:rsid w:val="00F82DE3"/>
    <w:rsid w:val="00F830AD"/>
    <w:rsid w:val="00F83452"/>
    <w:rsid w:val="00F83BE7"/>
    <w:rsid w:val="00F84425"/>
    <w:rsid w:val="00F851CE"/>
    <w:rsid w:val="00F85F60"/>
    <w:rsid w:val="00F86120"/>
    <w:rsid w:val="00F86D9D"/>
    <w:rsid w:val="00F86E40"/>
    <w:rsid w:val="00F903ED"/>
    <w:rsid w:val="00F90694"/>
    <w:rsid w:val="00F910A6"/>
    <w:rsid w:val="00F91755"/>
    <w:rsid w:val="00F9267C"/>
    <w:rsid w:val="00F93282"/>
    <w:rsid w:val="00F93320"/>
    <w:rsid w:val="00F944C8"/>
    <w:rsid w:val="00F94E5F"/>
    <w:rsid w:val="00F9545E"/>
    <w:rsid w:val="00F96021"/>
    <w:rsid w:val="00F96036"/>
    <w:rsid w:val="00F97A78"/>
    <w:rsid w:val="00FA0354"/>
    <w:rsid w:val="00FA0D6D"/>
    <w:rsid w:val="00FA242D"/>
    <w:rsid w:val="00FA24E7"/>
    <w:rsid w:val="00FA2D48"/>
    <w:rsid w:val="00FA3261"/>
    <w:rsid w:val="00FA458D"/>
    <w:rsid w:val="00FA492F"/>
    <w:rsid w:val="00FA4C98"/>
    <w:rsid w:val="00FA5B2A"/>
    <w:rsid w:val="00FA5C1D"/>
    <w:rsid w:val="00FA5D86"/>
    <w:rsid w:val="00FA674F"/>
    <w:rsid w:val="00FA6A87"/>
    <w:rsid w:val="00FA6FE0"/>
    <w:rsid w:val="00FB02B4"/>
    <w:rsid w:val="00FB051B"/>
    <w:rsid w:val="00FB0D9A"/>
    <w:rsid w:val="00FB1D56"/>
    <w:rsid w:val="00FB1FD9"/>
    <w:rsid w:val="00FB2FCB"/>
    <w:rsid w:val="00FB315C"/>
    <w:rsid w:val="00FB3F89"/>
    <w:rsid w:val="00FB41A6"/>
    <w:rsid w:val="00FB427C"/>
    <w:rsid w:val="00FB4811"/>
    <w:rsid w:val="00FB4E0A"/>
    <w:rsid w:val="00FB67F1"/>
    <w:rsid w:val="00FB6DD9"/>
    <w:rsid w:val="00FB7B0B"/>
    <w:rsid w:val="00FC0A44"/>
    <w:rsid w:val="00FC0DF8"/>
    <w:rsid w:val="00FC0EE8"/>
    <w:rsid w:val="00FC1074"/>
    <w:rsid w:val="00FC1651"/>
    <w:rsid w:val="00FC1884"/>
    <w:rsid w:val="00FC1F9F"/>
    <w:rsid w:val="00FC20CA"/>
    <w:rsid w:val="00FC21E0"/>
    <w:rsid w:val="00FC2624"/>
    <w:rsid w:val="00FC2A4F"/>
    <w:rsid w:val="00FC3223"/>
    <w:rsid w:val="00FC34B4"/>
    <w:rsid w:val="00FC40B5"/>
    <w:rsid w:val="00FC4399"/>
    <w:rsid w:val="00FC517D"/>
    <w:rsid w:val="00FC7783"/>
    <w:rsid w:val="00FC77AC"/>
    <w:rsid w:val="00FD10AB"/>
    <w:rsid w:val="00FD2100"/>
    <w:rsid w:val="00FD2F95"/>
    <w:rsid w:val="00FD3215"/>
    <w:rsid w:val="00FD393D"/>
    <w:rsid w:val="00FD446D"/>
    <w:rsid w:val="00FD46AA"/>
    <w:rsid w:val="00FD618A"/>
    <w:rsid w:val="00FD66BE"/>
    <w:rsid w:val="00FD73FE"/>
    <w:rsid w:val="00FD7C0C"/>
    <w:rsid w:val="00FE08A1"/>
    <w:rsid w:val="00FE08D7"/>
    <w:rsid w:val="00FE13C8"/>
    <w:rsid w:val="00FE1AD3"/>
    <w:rsid w:val="00FE2E17"/>
    <w:rsid w:val="00FE2F31"/>
    <w:rsid w:val="00FE3B1F"/>
    <w:rsid w:val="00FE525F"/>
    <w:rsid w:val="00FE5B3C"/>
    <w:rsid w:val="00FE7B54"/>
    <w:rsid w:val="00FE7F13"/>
    <w:rsid w:val="00FF2270"/>
    <w:rsid w:val="00FF22E8"/>
    <w:rsid w:val="00FF23BE"/>
    <w:rsid w:val="00FF3124"/>
    <w:rsid w:val="00FF3DCF"/>
    <w:rsid w:val="00FF3E14"/>
    <w:rsid w:val="00FF50AF"/>
    <w:rsid w:val="00FF5AA3"/>
    <w:rsid w:val="00FF62B1"/>
    <w:rsid w:val="00FF6C2A"/>
    <w:rsid w:val="00FF6CF3"/>
    <w:rsid w:val="00FF72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D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598D"/>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Centre">
    <w:name w:val="Table Centre"/>
    <w:basedOn w:val="Normal"/>
    <w:uiPriority w:val="99"/>
    <w:qFormat/>
    <w:rsid w:val="00D420F5"/>
    <w:pPr>
      <w:widowControl/>
      <w:jc w:val="cente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B31BC1"/>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B31BC1"/>
    <w:rPr>
      <w:rFonts w:ascii="Candara" w:eastAsiaTheme="majorEastAsia" w:hAnsi="Candara" w:cstheme="majorBidi"/>
      <w:szCs w:val="22"/>
      <w:lang w:eastAsia="en-US" w:bidi="en-US"/>
    </w:rPr>
  </w:style>
  <w:style w:type="character" w:customStyle="1" w:styleId="TableTextChar0">
    <w:name w:val="TableText Char"/>
    <w:basedOn w:val="DefaultParagraphFont"/>
    <w:link w:val="TableText0"/>
    <w:locked/>
    <w:rsid w:val="00F671B9"/>
    <w:rPr>
      <w:rFonts w:ascii="Arial Narrow" w:hAnsi="Arial Narrow" w:cs="Arial Narrow"/>
      <w:lang w:eastAsia="en-US"/>
    </w:rPr>
  </w:style>
  <w:style w:type="character" w:customStyle="1" w:styleId="Small">
    <w:name w:val="Small"/>
    <w:basedOn w:val="DefaultParagraphFont"/>
    <w:uiPriority w:val="4"/>
    <w:qFormat/>
    <w:rsid w:val="007603C1"/>
    <w:rPr>
      <w:rFonts w:ascii="Candara" w:hAnsi="Candara"/>
      <w:sz w:val="20"/>
    </w:rPr>
  </w:style>
  <w:style w:type="character" w:customStyle="1" w:styleId="ListParagraphChar">
    <w:name w:val="List Paragraph Char"/>
    <w:basedOn w:val="DefaultParagraphFont"/>
    <w:link w:val="ListParagraph"/>
    <w:uiPriority w:val="34"/>
    <w:rsid w:val="00B94B3D"/>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C062F"/>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D598D"/>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Centre">
    <w:name w:val="Table Centre"/>
    <w:basedOn w:val="Normal"/>
    <w:uiPriority w:val="99"/>
    <w:qFormat/>
    <w:rsid w:val="00D420F5"/>
    <w:pPr>
      <w:widowControl/>
      <w:jc w:val="cente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B31BC1"/>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B31BC1"/>
    <w:rPr>
      <w:rFonts w:ascii="Candara" w:eastAsiaTheme="majorEastAsia" w:hAnsi="Candara" w:cstheme="majorBidi"/>
      <w:szCs w:val="22"/>
      <w:lang w:eastAsia="en-US" w:bidi="en-US"/>
    </w:rPr>
  </w:style>
  <w:style w:type="character" w:customStyle="1" w:styleId="TableTextChar0">
    <w:name w:val="TableText Char"/>
    <w:basedOn w:val="DefaultParagraphFont"/>
    <w:link w:val="TableText0"/>
    <w:locked/>
    <w:rsid w:val="00F671B9"/>
    <w:rPr>
      <w:rFonts w:ascii="Arial Narrow" w:hAnsi="Arial Narrow" w:cs="Arial Narrow"/>
      <w:lang w:eastAsia="en-US"/>
    </w:rPr>
  </w:style>
  <w:style w:type="character" w:customStyle="1" w:styleId="Small">
    <w:name w:val="Small"/>
    <w:basedOn w:val="DefaultParagraphFont"/>
    <w:uiPriority w:val="4"/>
    <w:qFormat/>
    <w:rsid w:val="007603C1"/>
    <w:rPr>
      <w:rFonts w:ascii="Candara" w:hAnsi="Candara"/>
      <w:sz w:val="20"/>
    </w:rPr>
  </w:style>
  <w:style w:type="character" w:customStyle="1" w:styleId="ListParagraphChar">
    <w:name w:val="List Paragraph Char"/>
    <w:basedOn w:val="DefaultParagraphFont"/>
    <w:link w:val="ListParagraph"/>
    <w:uiPriority w:val="34"/>
    <w:rsid w:val="00B94B3D"/>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C062F"/>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163">
      <w:bodyDiv w:val="1"/>
      <w:marLeft w:val="0"/>
      <w:marRight w:val="0"/>
      <w:marTop w:val="0"/>
      <w:marBottom w:val="0"/>
      <w:divBdr>
        <w:top w:val="none" w:sz="0" w:space="0" w:color="auto"/>
        <w:left w:val="none" w:sz="0" w:space="0" w:color="auto"/>
        <w:bottom w:val="none" w:sz="0" w:space="0" w:color="auto"/>
        <w:right w:val="none" w:sz="0" w:space="0" w:color="auto"/>
      </w:divBdr>
    </w:div>
    <w:div w:id="1258519641">
      <w:bodyDiv w:val="1"/>
      <w:marLeft w:val="0"/>
      <w:marRight w:val="0"/>
      <w:marTop w:val="0"/>
      <w:marBottom w:val="0"/>
      <w:divBdr>
        <w:top w:val="none" w:sz="0" w:space="0" w:color="auto"/>
        <w:left w:val="none" w:sz="0" w:space="0" w:color="auto"/>
        <w:bottom w:val="none" w:sz="0" w:space="0" w:color="auto"/>
        <w:right w:val="none" w:sz="0" w:space="0" w:color="auto"/>
      </w:divBdr>
    </w:div>
    <w:div w:id="21005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3ABE-7429-480E-87FB-E1CB6A1D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3904</Words>
  <Characters>24129</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2015-10-22T22:24:00Z</dcterms:created>
  <dcterms:modified xsi:type="dcterms:W3CDTF">2015-10-22T22:27:00Z</dcterms:modified>
</cp:coreProperties>
</file>