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63" w:rsidRDefault="00762A11" w:rsidP="00AA3563">
      <w:pPr>
        <w:pStyle w:val="Title"/>
      </w:pPr>
      <w:bookmarkStart w:id="0" w:name="_Toc409509980"/>
      <w:bookmarkStart w:id="1" w:name="_Toc341702043"/>
      <w:bookmarkStart w:id="2" w:name="_Toc380742621"/>
      <w:bookmarkStart w:id="3" w:name="_Toc380746188"/>
      <w:bookmarkStart w:id="4" w:name="_Toc380746314"/>
      <w:bookmarkStart w:id="5" w:name="_Toc380746595"/>
      <w:bookmarkStart w:id="6" w:name="_Toc392857622"/>
      <w:r w:rsidRPr="00AA3563">
        <w:t>7.</w:t>
      </w:r>
      <w:r w:rsidR="00597905" w:rsidRPr="00AA3563">
        <w:t>0</w:t>
      </w:r>
      <w:r w:rsidRPr="00AA3563">
        <w:t>6</w:t>
      </w:r>
      <w:r w:rsidR="0074061D" w:rsidRPr="00AA3563">
        <w:tab/>
      </w:r>
      <w:r w:rsidR="00C735B0">
        <w:tab/>
      </w:r>
      <w:r w:rsidR="0074061D" w:rsidRPr="00AA3563">
        <w:t xml:space="preserve">VEDOLIZUMAB </w:t>
      </w:r>
    </w:p>
    <w:p w:rsidR="00AA3563" w:rsidRPr="00AA3563" w:rsidRDefault="0074061D" w:rsidP="00C735B0">
      <w:pPr>
        <w:ind w:left="720" w:firstLine="720"/>
        <w:rPr>
          <w:b/>
          <w:sz w:val="28"/>
          <w:szCs w:val="28"/>
        </w:rPr>
      </w:pPr>
      <w:r w:rsidRPr="00AA3563">
        <w:rPr>
          <w:b/>
          <w:sz w:val="28"/>
          <w:szCs w:val="28"/>
        </w:rPr>
        <w:t>300mg vial</w:t>
      </w:r>
      <w:r w:rsidR="00AA3563" w:rsidRPr="00AA3563">
        <w:rPr>
          <w:b/>
          <w:sz w:val="28"/>
          <w:szCs w:val="28"/>
        </w:rPr>
        <w:t>;</w:t>
      </w:r>
      <w:r w:rsidRPr="00AA3563">
        <w:rPr>
          <w:b/>
          <w:sz w:val="28"/>
          <w:szCs w:val="28"/>
        </w:rPr>
        <w:t xml:space="preserve"> </w:t>
      </w:r>
    </w:p>
    <w:p w:rsidR="0074061D" w:rsidRPr="00AA3563" w:rsidRDefault="0074061D" w:rsidP="00C735B0">
      <w:pPr>
        <w:ind w:left="720" w:firstLine="720"/>
        <w:rPr>
          <w:b/>
          <w:sz w:val="28"/>
          <w:szCs w:val="28"/>
        </w:rPr>
      </w:pPr>
      <w:proofErr w:type="spellStart"/>
      <w:proofErr w:type="gramStart"/>
      <w:r w:rsidRPr="00AA3563">
        <w:rPr>
          <w:b/>
          <w:sz w:val="28"/>
          <w:szCs w:val="28"/>
        </w:rPr>
        <w:t>Entyvio</w:t>
      </w:r>
      <w:proofErr w:type="spellEnd"/>
      <w:r w:rsidRPr="00AA3563">
        <w:rPr>
          <w:b/>
          <w:sz w:val="28"/>
          <w:szCs w:val="28"/>
        </w:rPr>
        <w:t>®, Takeda Pharmaceutical Australia.</w:t>
      </w:r>
      <w:bookmarkEnd w:id="0"/>
      <w:proofErr w:type="gramEnd"/>
    </w:p>
    <w:p w:rsidR="00D11160" w:rsidRDefault="00D11160" w:rsidP="0074061D"/>
    <w:p w:rsidR="00D11160" w:rsidRDefault="00D11160" w:rsidP="0074061D">
      <w:pPr>
        <w:pStyle w:val="PBACheading1"/>
        <w:numPr>
          <w:ilvl w:val="0"/>
          <w:numId w:val="0"/>
        </w:numPr>
        <w:rPr>
          <w:b/>
        </w:rPr>
      </w:pPr>
    </w:p>
    <w:p w:rsidR="0074061D" w:rsidRDefault="0074061D" w:rsidP="0074061D">
      <w:pPr>
        <w:pStyle w:val="PBACheading1"/>
        <w:rPr>
          <w:b/>
        </w:rPr>
      </w:pPr>
      <w:bookmarkStart w:id="7" w:name="_Toc409509982"/>
      <w:r w:rsidRPr="00407F2D">
        <w:rPr>
          <w:b/>
        </w:rPr>
        <w:t>Purpose of Application</w:t>
      </w:r>
      <w:bookmarkEnd w:id="7"/>
    </w:p>
    <w:p w:rsidR="00D11160" w:rsidRPr="00BD7D36" w:rsidRDefault="00D11160" w:rsidP="00D11160">
      <w:pPr>
        <w:pStyle w:val="PBACheading1"/>
        <w:numPr>
          <w:ilvl w:val="0"/>
          <w:numId w:val="0"/>
        </w:numPr>
        <w:ind w:left="720"/>
        <w:rPr>
          <w:b/>
        </w:rPr>
      </w:pPr>
    </w:p>
    <w:p w:rsidR="0074061D" w:rsidRPr="00063F4F" w:rsidRDefault="00544340" w:rsidP="00560BD0">
      <w:pPr>
        <w:pStyle w:val="ListParagraph"/>
        <w:widowControl/>
        <w:numPr>
          <w:ilvl w:val="1"/>
          <w:numId w:val="5"/>
        </w:numPr>
      </w:pPr>
      <w:r>
        <w:t xml:space="preserve">The re-submission requested a </w:t>
      </w:r>
      <w:r w:rsidR="0074061D" w:rsidRPr="00063F4F">
        <w:t xml:space="preserve">Section 100, Authority </w:t>
      </w:r>
      <w:proofErr w:type="gramStart"/>
      <w:r w:rsidR="0074061D" w:rsidRPr="00063F4F">
        <w:t>Required</w:t>
      </w:r>
      <w:proofErr w:type="gramEnd"/>
      <w:r w:rsidR="0074061D" w:rsidRPr="00063F4F">
        <w:t xml:space="preserve">, listing for </w:t>
      </w:r>
      <w:proofErr w:type="spellStart"/>
      <w:r w:rsidR="0074061D" w:rsidRPr="00063F4F">
        <w:t>vedolizumab</w:t>
      </w:r>
      <w:proofErr w:type="spellEnd"/>
      <w:r w:rsidR="0074061D" w:rsidRPr="00063F4F">
        <w:t xml:space="preserve"> for</w:t>
      </w:r>
      <w:r>
        <w:t xml:space="preserve"> the</w:t>
      </w:r>
      <w:r w:rsidR="0074061D" w:rsidRPr="00063F4F">
        <w:t xml:space="preserve"> treatment of moderate to severe ulcerative colitis. The first submission was March 2014.</w:t>
      </w:r>
    </w:p>
    <w:p w:rsidR="00D11160" w:rsidRPr="00063F4F" w:rsidRDefault="00D11160" w:rsidP="00D11160">
      <w:pPr>
        <w:widowControl/>
        <w:jc w:val="left"/>
        <w:rPr>
          <w:b/>
        </w:rPr>
      </w:pPr>
      <w:bookmarkStart w:id="8" w:name="_Toc409509983"/>
    </w:p>
    <w:p w:rsidR="0074061D" w:rsidRPr="00063F4F" w:rsidRDefault="0074061D" w:rsidP="00D11160">
      <w:pPr>
        <w:pStyle w:val="PBACheading1"/>
        <w:rPr>
          <w:b/>
        </w:rPr>
      </w:pPr>
      <w:r w:rsidRPr="00063F4F">
        <w:rPr>
          <w:b/>
        </w:rPr>
        <w:t>Requested listing</w:t>
      </w:r>
      <w:bookmarkEnd w:id="8"/>
    </w:p>
    <w:p w:rsidR="00D11160" w:rsidRPr="00063F4F" w:rsidRDefault="00D11160" w:rsidP="00D11160">
      <w:pPr>
        <w:pStyle w:val="PBACheading1"/>
        <w:numPr>
          <w:ilvl w:val="0"/>
          <w:numId w:val="0"/>
        </w:numPr>
        <w:ind w:left="720"/>
        <w:rPr>
          <w:b/>
        </w:rPr>
      </w:pPr>
    </w:p>
    <w:p w:rsidR="0074061D" w:rsidRPr="00063F4F" w:rsidRDefault="00351C48" w:rsidP="00560BD0">
      <w:pPr>
        <w:pStyle w:val="ListParagraph"/>
        <w:widowControl/>
        <w:numPr>
          <w:ilvl w:val="1"/>
          <w:numId w:val="5"/>
        </w:numPr>
        <w:rPr>
          <w:szCs w:val="22"/>
        </w:rPr>
      </w:pPr>
      <w:r w:rsidRPr="00063F4F">
        <w:rPr>
          <w:szCs w:val="22"/>
        </w:rPr>
        <w:t xml:space="preserve">Presented below is the proposed restriction. </w:t>
      </w:r>
    </w:p>
    <w:p w:rsidR="00351C48" w:rsidRPr="00063F4F" w:rsidRDefault="00351C48" w:rsidP="00351C48">
      <w:pPr>
        <w:pStyle w:val="ListParagraph"/>
        <w:widowControl/>
        <w:rPr>
          <w:szCs w:val="22"/>
        </w:rPr>
      </w:pPr>
    </w:p>
    <w:tbl>
      <w:tblPr>
        <w:tblW w:w="4605" w:type="pct"/>
        <w:tblInd w:w="73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9"/>
        <w:gridCol w:w="482"/>
        <w:gridCol w:w="63"/>
        <w:gridCol w:w="598"/>
        <w:gridCol w:w="218"/>
        <w:gridCol w:w="588"/>
        <w:gridCol w:w="1213"/>
        <w:gridCol w:w="270"/>
        <w:gridCol w:w="809"/>
        <w:gridCol w:w="1515"/>
        <w:gridCol w:w="20"/>
      </w:tblGrid>
      <w:tr w:rsidR="0074061D" w:rsidRPr="00063F4F">
        <w:trPr>
          <w:gridAfter w:val="1"/>
          <w:wAfter w:w="11" w:type="pct"/>
          <w:cantSplit/>
          <w:trHeight w:val="471"/>
        </w:trPr>
        <w:tc>
          <w:tcPr>
            <w:tcW w:w="1562" w:type="pct"/>
            <w:tcBorders>
              <w:bottom w:val="single" w:sz="4" w:space="0" w:color="auto"/>
            </w:tcBorders>
            <w:vAlign w:val="center"/>
          </w:tcPr>
          <w:p w:rsidR="0074061D" w:rsidRPr="00063F4F" w:rsidRDefault="0074061D" w:rsidP="00B95E09">
            <w:pPr>
              <w:keepNext/>
              <w:jc w:val="left"/>
              <w:rPr>
                <w:sz w:val="20"/>
              </w:rPr>
            </w:pPr>
            <w:r w:rsidRPr="00063F4F">
              <w:rPr>
                <w:sz w:val="20"/>
              </w:rPr>
              <w:t>Name, Restriction,</w:t>
            </w:r>
          </w:p>
          <w:p w:rsidR="0074061D" w:rsidRPr="00063F4F" w:rsidRDefault="0074061D" w:rsidP="00B95E09">
            <w:pPr>
              <w:keepNext/>
              <w:jc w:val="left"/>
              <w:rPr>
                <w:sz w:val="20"/>
              </w:rPr>
            </w:pPr>
            <w:r w:rsidRPr="00063F4F">
              <w:rPr>
                <w:sz w:val="20"/>
              </w:rPr>
              <w:t>Manner of administration and form</w:t>
            </w:r>
          </w:p>
        </w:tc>
        <w:tc>
          <w:tcPr>
            <w:tcW w:w="347" w:type="pct"/>
            <w:gridSpan w:val="2"/>
            <w:tcBorders>
              <w:bottom w:val="single" w:sz="4" w:space="0" w:color="auto"/>
            </w:tcBorders>
            <w:vAlign w:val="center"/>
          </w:tcPr>
          <w:p w:rsidR="0074061D" w:rsidRPr="00063F4F" w:rsidRDefault="0074061D" w:rsidP="00B95E09">
            <w:pPr>
              <w:keepNext/>
              <w:jc w:val="center"/>
              <w:rPr>
                <w:sz w:val="20"/>
              </w:rPr>
            </w:pPr>
            <w:r w:rsidRPr="00063F4F">
              <w:rPr>
                <w:sz w:val="20"/>
              </w:rPr>
              <w:t>Max.</w:t>
            </w:r>
          </w:p>
          <w:p w:rsidR="0074061D" w:rsidRPr="00063F4F" w:rsidRDefault="0074061D" w:rsidP="00B95E09">
            <w:pPr>
              <w:keepNext/>
              <w:jc w:val="center"/>
              <w:rPr>
                <w:sz w:val="20"/>
              </w:rPr>
            </w:pPr>
            <w:proofErr w:type="spellStart"/>
            <w:r w:rsidRPr="00063F4F">
              <w:rPr>
                <w:sz w:val="20"/>
              </w:rPr>
              <w:t>Qty</w:t>
            </w:r>
            <w:proofErr w:type="spellEnd"/>
          </w:p>
        </w:tc>
        <w:tc>
          <w:tcPr>
            <w:tcW w:w="522" w:type="pct"/>
            <w:gridSpan w:val="2"/>
            <w:tcBorders>
              <w:bottom w:val="single" w:sz="4" w:space="0" w:color="auto"/>
            </w:tcBorders>
            <w:vAlign w:val="center"/>
          </w:tcPr>
          <w:p w:rsidR="0074061D" w:rsidRPr="00063F4F" w:rsidRDefault="0074061D" w:rsidP="00B95E09">
            <w:pPr>
              <w:keepNext/>
              <w:jc w:val="center"/>
              <w:rPr>
                <w:sz w:val="20"/>
              </w:rPr>
            </w:pPr>
            <w:r w:rsidRPr="00063F4F">
              <w:rPr>
                <w:sz w:val="20"/>
              </w:rPr>
              <w:t>№.of</w:t>
            </w:r>
          </w:p>
          <w:p w:rsidR="0074061D" w:rsidRPr="00063F4F" w:rsidRDefault="0074061D" w:rsidP="00B95E09">
            <w:pPr>
              <w:keepNext/>
              <w:jc w:val="center"/>
              <w:rPr>
                <w:sz w:val="20"/>
              </w:rPr>
            </w:pPr>
            <w:proofErr w:type="spellStart"/>
            <w:r w:rsidRPr="00063F4F">
              <w:rPr>
                <w:sz w:val="20"/>
              </w:rPr>
              <w:t>Rpts</w:t>
            </w:r>
            <w:proofErr w:type="spellEnd"/>
          </w:p>
        </w:tc>
        <w:tc>
          <w:tcPr>
            <w:tcW w:w="1104" w:type="pct"/>
            <w:gridSpan w:val="2"/>
            <w:tcBorders>
              <w:bottom w:val="single" w:sz="4" w:space="0" w:color="auto"/>
            </w:tcBorders>
            <w:vAlign w:val="center"/>
          </w:tcPr>
          <w:p w:rsidR="0074061D" w:rsidRPr="00063F4F" w:rsidRDefault="0074061D" w:rsidP="00B95E09">
            <w:pPr>
              <w:keepNext/>
              <w:jc w:val="center"/>
              <w:rPr>
                <w:sz w:val="20"/>
              </w:rPr>
            </w:pPr>
            <w:r w:rsidRPr="00063F4F">
              <w:rPr>
                <w:sz w:val="20"/>
              </w:rPr>
              <w:t xml:space="preserve">Dispensed Price for Max. </w:t>
            </w:r>
            <w:proofErr w:type="spellStart"/>
            <w:r w:rsidRPr="00063F4F">
              <w:rPr>
                <w:sz w:val="20"/>
              </w:rPr>
              <w:t>Qty</w:t>
            </w:r>
            <w:proofErr w:type="spellEnd"/>
          </w:p>
        </w:tc>
        <w:tc>
          <w:tcPr>
            <w:tcW w:w="1453" w:type="pct"/>
            <w:gridSpan w:val="3"/>
            <w:tcBorders>
              <w:bottom w:val="single" w:sz="4" w:space="0" w:color="auto"/>
            </w:tcBorders>
            <w:vAlign w:val="center"/>
          </w:tcPr>
          <w:p w:rsidR="0074061D" w:rsidRPr="00063F4F" w:rsidRDefault="0074061D" w:rsidP="00B95E09">
            <w:pPr>
              <w:keepNext/>
              <w:jc w:val="center"/>
              <w:rPr>
                <w:sz w:val="20"/>
              </w:rPr>
            </w:pPr>
            <w:r w:rsidRPr="00063F4F">
              <w:rPr>
                <w:sz w:val="20"/>
              </w:rPr>
              <w:t>Proprietary Name and Manufacturer</w:t>
            </w:r>
          </w:p>
        </w:tc>
      </w:tr>
      <w:tr w:rsidR="0074061D" w:rsidRPr="00063F4F">
        <w:trPr>
          <w:cantSplit/>
          <w:trHeight w:val="567"/>
        </w:trPr>
        <w:tc>
          <w:tcPr>
            <w:tcW w:w="1864" w:type="pct"/>
            <w:gridSpan w:val="2"/>
            <w:vAlign w:val="center"/>
          </w:tcPr>
          <w:p w:rsidR="0074061D" w:rsidRPr="00063F4F" w:rsidRDefault="0074061D" w:rsidP="00B95E09">
            <w:pPr>
              <w:keepNext/>
              <w:jc w:val="left"/>
              <w:rPr>
                <w:sz w:val="20"/>
              </w:rPr>
            </w:pPr>
            <w:proofErr w:type="spellStart"/>
            <w:r w:rsidRPr="00063F4F">
              <w:rPr>
                <w:smallCaps/>
                <w:sz w:val="20"/>
              </w:rPr>
              <w:t>Vedolizumab</w:t>
            </w:r>
            <w:proofErr w:type="spellEnd"/>
          </w:p>
          <w:p w:rsidR="0074061D" w:rsidRPr="00063F4F" w:rsidRDefault="0074061D" w:rsidP="00B95E09">
            <w:pPr>
              <w:keepNext/>
              <w:jc w:val="left"/>
              <w:rPr>
                <w:sz w:val="20"/>
              </w:rPr>
            </w:pPr>
            <w:r w:rsidRPr="00063F4F">
              <w:rPr>
                <w:sz w:val="20"/>
              </w:rPr>
              <w:t>300mg injection, 1 X 300mg vial</w:t>
            </w:r>
          </w:p>
        </w:tc>
        <w:tc>
          <w:tcPr>
            <w:tcW w:w="423" w:type="pct"/>
            <w:gridSpan w:val="2"/>
            <w:vAlign w:val="center"/>
          </w:tcPr>
          <w:p w:rsidR="0074061D" w:rsidRPr="00063F4F" w:rsidRDefault="0074061D" w:rsidP="00B95E09">
            <w:pPr>
              <w:keepNext/>
              <w:jc w:val="center"/>
              <w:rPr>
                <w:sz w:val="20"/>
              </w:rPr>
            </w:pPr>
          </w:p>
          <w:p w:rsidR="0074061D" w:rsidRPr="00063F4F" w:rsidRDefault="0074061D" w:rsidP="00B95E09">
            <w:pPr>
              <w:keepNext/>
              <w:jc w:val="center"/>
              <w:rPr>
                <w:sz w:val="20"/>
              </w:rPr>
            </w:pPr>
            <w:r w:rsidRPr="00063F4F">
              <w:rPr>
                <w:sz w:val="20"/>
              </w:rPr>
              <w:t>1</w:t>
            </w:r>
          </w:p>
        </w:tc>
        <w:tc>
          <w:tcPr>
            <w:tcW w:w="509" w:type="pct"/>
            <w:gridSpan w:val="2"/>
            <w:vAlign w:val="center"/>
          </w:tcPr>
          <w:p w:rsidR="0074061D" w:rsidRPr="00554C1E" w:rsidRDefault="0074061D" w:rsidP="00B95E09">
            <w:pPr>
              <w:keepNext/>
              <w:jc w:val="center"/>
              <w:rPr>
                <w:sz w:val="20"/>
              </w:rPr>
            </w:pPr>
          </w:p>
          <w:p w:rsidR="0074061D" w:rsidRPr="00554C1E" w:rsidRDefault="0074061D" w:rsidP="00B95E09">
            <w:pPr>
              <w:keepNext/>
              <w:jc w:val="center"/>
              <w:rPr>
                <w:sz w:val="20"/>
              </w:rPr>
            </w:pPr>
            <w:r w:rsidRPr="00554C1E">
              <w:rPr>
                <w:sz w:val="20"/>
              </w:rPr>
              <w:t>0</w:t>
            </w:r>
          </w:p>
        </w:tc>
        <w:tc>
          <w:tcPr>
            <w:tcW w:w="914" w:type="pct"/>
            <w:gridSpan w:val="2"/>
            <w:vAlign w:val="center"/>
          </w:tcPr>
          <w:p w:rsidR="0074061D" w:rsidRPr="00554C1E" w:rsidRDefault="0074061D" w:rsidP="00B95E09">
            <w:pPr>
              <w:keepNext/>
              <w:jc w:val="center"/>
              <w:rPr>
                <w:sz w:val="20"/>
              </w:rPr>
            </w:pPr>
          </w:p>
          <w:p w:rsidR="0074061D" w:rsidRPr="00554C1E" w:rsidRDefault="0074061D" w:rsidP="00B95E09">
            <w:pPr>
              <w:keepNext/>
              <w:jc w:val="center"/>
              <w:rPr>
                <w:sz w:val="20"/>
              </w:rPr>
            </w:pPr>
            <w:r w:rsidRPr="00554C1E">
              <w:rPr>
                <w:sz w:val="20"/>
              </w:rPr>
              <w:t>$</w:t>
            </w:r>
            <w:r w:rsidR="007C6ACB">
              <w:rPr>
                <w:noProof/>
                <w:color w:val="000000"/>
                <w:sz w:val="20"/>
                <w:highlight w:val="black"/>
              </w:rPr>
              <w:t>'''''''''''''''''''''</w:t>
            </w:r>
          </w:p>
        </w:tc>
        <w:tc>
          <w:tcPr>
            <w:tcW w:w="394" w:type="pct"/>
            <w:vAlign w:val="center"/>
          </w:tcPr>
          <w:p w:rsidR="0074061D" w:rsidRPr="00063F4F" w:rsidRDefault="0074061D" w:rsidP="00B95E09">
            <w:pPr>
              <w:keepNext/>
              <w:jc w:val="center"/>
              <w:rPr>
                <w:sz w:val="20"/>
              </w:rPr>
            </w:pPr>
            <w:proofErr w:type="spellStart"/>
            <w:r w:rsidRPr="00063F4F">
              <w:rPr>
                <w:sz w:val="20"/>
              </w:rPr>
              <w:t>Entyvio</w:t>
            </w:r>
            <w:proofErr w:type="spellEnd"/>
            <w:r w:rsidRPr="00063F4F">
              <w:rPr>
                <w:sz w:val="20"/>
                <w:vertAlign w:val="superscript"/>
              </w:rPr>
              <w:t>®</w:t>
            </w:r>
          </w:p>
        </w:tc>
        <w:tc>
          <w:tcPr>
            <w:tcW w:w="896" w:type="pct"/>
            <w:gridSpan w:val="2"/>
            <w:vAlign w:val="center"/>
          </w:tcPr>
          <w:p w:rsidR="0074061D" w:rsidRPr="00063F4F" w:rsidRDefault="0074061D" w:rsidP="00B95E09">
            <w:pPr>
              <w:keepNext/>
              <w:jc w:val="center"/>
              <w:rPr>
                <w:sz w:val="20"/>
              </w:rPr>
            </w:pPr>
            <w:r w:rsidRPr="00063F4F">
              <w:rPr>
                <w:sz w:val="20"/>
              </w:rPr>
              <w:t>Takeda Pharmaceuticals Australia</w:t>
            </w:r>
          </w:p>
        </w:tc>
      </w:tr>
      <w:tr w:rsidR="0074061D" w:rsidRPr="00063F4F">
        <w:trPr>
          <w:cantSplit/>
          <w:trHeight w:val="354"/>
        </w:trPr>
        <w:tc>
          <w:tcPr>
            <w:tcW w:w="5000" w:type="pct"/>
            <w:gridSpan w:val="11"/>
            <w:vAlign w:val="center"/>
          </w:tcPr>
          <w:p w:rsidR="0074061D" w:rsidRPr="00554C1E" w:rsidRDefault="0074061D" w:rsidP="00B95E09">
            <w:pPr>
              <w:jc w:val="left"/>
              <w:rPr>
                <w:sz w:val="20"/>
              </w:rPr>
            </w:pPr>
            <w:r w:rsidRPr="00554C1E">
              <w:rPr>
                <w:b/>
                <w:sz w:val="20"/>
                <w:u w:val="single"/>
              </w:rPr>
              <w:t>Section 100 Highly Specialised Drug, public hospital Authority required</w:t>
            </w:r>
          </w:p>
        </w:tc>
      </w:tr>
      <w:tr w:rsidR="0074061D" w:rsidRPr="00063F4F">
        <w:trPr>
          <w:gridAfter w:val="1"/>
          <w:wAfter w:w="11" w:type="pct"/>
          <w:cantSplit/>
          <w:trHeight w:val="471"/>
        </w:trPr>
        <w:tc>
          <w:tcPr>
            <w:tcW w:w="1562" w:type="pct"/>
            <w:tcBorders>
              <w:bottom w:val="single" w:sz="4" w:space="0" w:color="auto"/>
            </w:tcBorders>
            <w:vAlign w:val="center"/>
          </w:tcPr>
          <w:p w:rsidR="0074061D" w:rsidRPr="00063F4F" w:rsidRDefault="0074061D" w:rsidP="00B95E09">
            <w:pPr>
              <w:keepNext/>
              <w:jc w:val="left"/>
              <w:rPr>
                <w:sz w:val="20"/>
              </w:rPr>
            </w:pPr>
          </w:p>
          <w:p w:rsidR="0074061D" w:rsidRPr="00063F4F" w:rsidRDefault="0074061D" w:rsidP="00B95E09">
            <w:pPr>
              <w:keepNext/>
              <w:jc w:val="left"/>
              <w:rPr>
                <w:sz w:val="20"/>
              </w:rPr>
            </w:pPr>
            <w:r w:rsidRPr="00063F4F">
              <w:rPr>
                <w:sz w:val="20"/>
              </w:rPr>
              <w:t>Name, Restriction,</w:t>
            </w:r>
          </w:p>
          <w:p w:rsidR="0074061D" w:rsidRPr="00063F4F" w:rsidRDefault="0074061D" w:rsidP="00B95E09">
            <w:pPr>
              <w:keepNext/>
              <w:jc w:val="left"/>
              <w:rPr>
                <w:sz w:val="20"/>
              </w:rPr>
            </w:pPr>
            <w:r w:rsidRPr="00063F4F">
              <w:rPr>
                <w:sz w:val="20"/>
              </w:rPr>
              <w:t>Manner of administration and form</w:t>
            </w:r>
          </w:p>
        </w:tc>
        <w:tc>
          <w:tcPr>
            <w:tcW w:w="347" w:type="pct"/>
            <w:gridSpan w:val="2"/>
            <w:tcBorders>
              <w:bottom w:val="single" w:sz="4" w:space="0" w:color="auto"/>
            </w:tcBorders>
            <w:vAlign w:val="center"/>
          </w:tcPr>
          <w:p w:rsidR="0074061D" w:rsidRPr="00063F4F" w:rsidRDefault="0074061D" w:rsidP="00B95E09">
            <w:pPr>
              <w:keepNext/>
              <w:jc w:val="center"/>
              <w:rPr>
                <w:sz w:val="20"/>
              </w:rPr>
            </w:pPr>
            <w:r w:rsidRPr="00063F4F">
              <w:rPr>
                <w:sz w:val="20"/>
              </w:rPr>
              <w:t>Max.</w:t>
            </w:r>
          </w:p>
          <w:p w:rsidR="0074061D" w:rsidRPr="00063F4F" w:rsidRDefault="0074061D" w:rsidP="00B95E09">
            <w:pPr>
              <w:keepNext/>
              <w:jc w:val="center"/>
              <w:rPr>
                <w:sz w:val="20"/>
              </w:rPr>
            </w:pPr>
            <w:proofErr w:type="spellStart"/>
            <w:r w:rsidRPr="00063F4F">
              <w:rPr>
                <w:sz w:val="20"/>
              </w:rPr>
              <w:t>Qty</w:t>
            </w:r>
            <w:proofErr w:type="spellEnd"/>
          </w:p>
        </w:tc>
        <w:tc>
          <w:tcPr>
            <w:tcW w:w="522" w:type="pct"/>
            <w:gridSpan w:val="2"/>
            <w:tcBorders>
              <w:bottom w:val="single" w:sz="4" w:space="0" w:color="auto"/>
            </w:tcBorders>
            <w:vAlign w:val="center"/>
          </w:tcPr>
          <w:p w:rsidR="0074061D" w:rsidRPr="00063F4F" w:rsidRDefault="0074061D" w:rsidP="00B95E09">
            <w:pPr>
              <w:keepNext/>
              <w:jc w:val="center"/>
              <w:rPr>
                <w:sz w:val="20"/>
              </w:rPr>
            </w:pPr>
            <w:r w:rsidRPr="00063F4F">
              <w:rPr>
                <w:sz w:val="20"/>
              </w:rPr>
              <w:t>№.of</w:t>
            </w:r>
          </w:p>
          <w:p w:rsidR="0074061D" w:rsidRPr="00063F4F" w:rsidRDefault="0074061D" w:rsidP="00B95E09">
            <w:pPr>
              <w:keepNext/>
              <w:jc w:val="center"/>
              <w:rPr>
                <w:sz w:val="20"/>
              </w:rPr>
            </w:pPr>
            <w:proofErr w:type="spellStart"/>
            <w:r w:rsidRPr="00063F4F">
              <w:rPr>
                <w:sz w:val="20"/>
              </w:rPr>
              <w:t>Rpts</w:t>
            </w:r>
            <w:proofErr w:type="spellEnd"/>
          </w:p>
        </w:tc>
        <w:tc>
          <w:tcPr>
            <w:tcW w:w="1104" w:type="pct"/>
            <w:gridSpan w:val="2"/>
            <w:tcBorders>
              <w:bottom w:val="single" w:sz="4" w:space="0" w:color="auto"/>
            </w:tcBorders>
            <w:vAlign w:val="center"/>
          </w:tcPr>
          <w:p w:rsidR="0074061D" w:rsidRPr="00554C1E" w:rsidRDefault="0074061D" w:rsidP="00B95E09">
            <w:pPr>
              <w:keepNext/>
              <w:jc w:val="center"/>
              <w:rPr>
                <w:sz w:val="20"/>
              </w:rPr>
            </w:pPr>
            <w:r w:rsidRPr="00554C1E">
              <w:rPr>
                <w:sz w:val="20"/>
              </w:rPr>
              <w:t xml:space="preserve">Dispensed Price for Max. </w:t>
            </w:r>
            <w:proofErr w:type="spellStart"/>
            <w:r w:rsidRPr="00554C1E">
              <w:rPr>
                <w:sz w:val="20"/>
              </w:rPr>
              <w:t>Qty</w:t>
            </w:r>
            <w:proofErr w:type="spellEnd"/>
          </w:p>
        </w:tc>
        <w:tc>
          <w:tcPr>
            <w:tcW w:w="1453" w:type="pct"/>
            <w:gridSpan w:val="3"/>
            <w:tcBorders>
              <w:bottom w:val="single" w:sz="4" w:space="0" w:color="auto"/>
            </w:tcBorders>
            <w:vAlign w:val="center"/>
          </w:tcPr>
          <w:p w:rsidR="0074061D" w:rsidRPr="00554C1E" w:rsidRDefault="0074061D" w:rsidP="00B95E09">
            <w:pPr>
              <w:keepNext/>
              <w:jc w:val="center"/>
              <w:rPr>
                <w:sz w:val="20"/>
              </w:rPr>
            </w:pPr>
            <w:r w:rsidRPr="00554C1E">
              <w:rPr>
                <w:sz w:val="20"/>
              </w:rPr>
              <w:t>Proprietary Name and Manufacturer</w:t>
            </w:r>
          </w:p>
        </w:tc>
      </w:tr>
      <w:tr w:rsidR="0074061D" w:rsidRPr="00063F4F">
        <w:trPr>
          <w:cantSplit/>
          <w:trHeight w:val="567"/>
        </w:trPr>
        <w:tc>
          <w:tcPr>
            <w:tcW w:w="1864" w:type="pct"/>
            <w:gridSpan w:val="2"/>
            <w:vAlign w:val="center"/>
          </w:tcPr>
          <w:p w:rsidR="0074061D" w:rsidRPr="00063F4F" w:rsidRDefault="0074061D" w:rsidP="00B95E09">
            <w:pPr>
              <w:keepNext/>
              <w:jc w:val="left"/>
              <w:rPr>
                <w:sz w:val="20"/>
              </w:rPr>
            </w:pPr>
            <w:proofErr w:type="spellStart"/>
            <w:r w:rsidRPr="00063F4F">
              <w:rPr>
                <w:smallCaps/>
                <w:sz w:val="20"/>
              </w:rPr>
              <w:t>Vedolizumab</w:t>
            </w:r>
            <w:proofErr w:type="spellEnd"/>
          </w:p>
          <w:p w:rsidR="0074061D" w:rsidRPr="00063F4F" w:rsidRDefault="0074061D" w:rsidP="00B95E09">
            <w:pPr>
              <w:keepNext/>
              <w:jc w:val="left"/>
              <w:rPr>
                <w:sz w:val="20"/>
              </w:rPr>
            </w:pPr>
            <w:r w:rsidRPr="00063F4F">
              <w:rPr>
                <w:sz w:val="20"/>
              </w:rPr>
              <w:t>300mg injection, 1 X 300mg vial</w:t>
            </w:r>
          </w:p>
        </w:tc>
        <w:tc>
          <w:tcPr>
            <w:tcW w:w="423" w:type="pct"/>
            <w:gridSpan w:val="2"/>
            <w:vAlign w:val="center"/>
          </w:tcPr>
          <w:p w:rsidR="0074061D" w:rsidRPr="00063F4F" w:rsidRDefault="0074061D" w:rsidP="00B95E09">
            <w:pPr>
              <w:keepNext/>
              <w:jc w:val="center"/>
              <w:rPr>
                <w:sz w:val="20"/>
              </w:rPr>
            </w:pPr>
          </w:p>
          <w:p w:rsidR="0074061D" w:rsidRPr="00063F4F" w:rsidRDefault="0074061D" w:rsidP="00B95E09">
            <w:pPr>
              <w:keepNext/>
              <w:jc w:val="center"/>
              <w:rPr>
                <w:sz w:val="20"/>
              </w:rPr>
            </w:pPr>
            <w:r w:rsidRPr="00063F4F">
              <w:rPr>
                <w:sz w:val="20"/>
              </w:rPr>
              <w:t>1</w:t>
            </w:r>
          </w:p>
        </w:tc>
        <w:tc>
          <w:tcPr>
            <w:tcW w:w="509" w:type="pct"/>
            <w:gridSpan w:val="2"/>
            <w:vAlign w:val="center"/>
          </w:tcPr>
          <w:p w:rsidR="0074061D" w:rsidRPr="00554C1E" w:rsidRDefault="0074061D" w:rsidP="00B95E09">
            <w:pPr>
              <w:keepNext/>
              <w:jc w:val="center"/>
              <w:rPr>
                <w:sz w:val="20"/>
              </w:rPr>
            </w:pPr>
          </w:p>
          <w:p w:rsidR="0074061D" w:rsidRPr="00554C1E" w:rsidRDefault="0074061D" w:rsidP="00B95E09">
            <w:pPr>
              <w:keepNext/>
              <w:jc w:val="center"/>
              <w:rPr>
                <w:sz w:val="20"/>
              </w:rPr>
            </w:pPr>
            <w:r w:rsidRPr="00554C1E">
              <w:rPr>
                <w:sz w:val="20"/>
              </w:rPr>
              <w:t>0</w:t>
            </w:r>
          </w:p>
        </w:tc>
        <w:tc>
          <w:tcPr>
            <w:tcW w:w="914" w:type="pct"/>
            <w:gridSpan w:val="2"/>
            <w:vAlign w:val="center"/>
          </w:tcPr>
          <w:p w:rsidR="0074061D" w:rsidRPr="00554C1E" w:rsidRDefault="0074061D" w:rsidP="00B95E09">
            <w:pPr>
              <w:keepNext/>
              <w:jc w:val="center"/>
              <w:rPr>
                <w:sz w:val="20"/>
              </w:rPr>
            </w:pPr>
          </w:p>
          <w:p w:rsidR="0074061D" w:rsidRPr="00554C1E" w:rsidRDefault="0074061D" w:rsidP="00B95E09">
            <w:pPr>
              <w:keepNext/>
              <w:jc w:val="center"/>
              <w:rPr>
                <w:sz w:val="20"/>
              </w:rPr>
            </w:pPr>
            <w:r w:rsidRPr="00554C1E">
              <w:rPr>
                <w:sz w:val="20"/>
              </w:rPr>
              <w:t>$</w:t>
            </w:r>
            <w:r w:rsidR="007C6ACB">
              <w:rPr>
                <w:noProof/>
                <w:color w:val="000000"/>
                <w:sz w:val="20"/>
                <w:highlight w:val="black"/>
              </w:rPr>
              <w:t>'''''''''''''''''''</w:t>
            </w:r>
          </w:p>
        </w:tc>
        <w:tc>
          <w:tcPr>
            <w:tcW w:w="394" w:type="pct"/>
            <w:vAlign w:val="center"/>
          </w:tcPr>
          <w:p w:rsidR="0074061D" w:rsidRPr="00063F4F" w:rsidRDefault="0074061D" w:rsidP="00B95E09">
            <w:pPr>
              <w:keepNext/>
              <w:jc w:val="center"/>
              <w:rPr>
                <w:sz w:val="20"/>
              </w:rPr>
            </w:pPr>
            <w:proofErr w:type="spellStart"/>
            <w:r w:rsidRPr="00063F4F">
              <w:rPr>
                <w:sz w:val="20"/>
              </w:rPr>
              <w:t>Entyvio</w:t>
            </w:r>
            <w:proofErr w:type="spellEnd"/>
            <w:r w:rsidRPr="00063F4F">
              <w:rPr>
                <w:sz w:val="20"/>
                <w:vertAlign w:val="superscript"/>
              </w:rPr>
              <w:t>®</w:t>
            </w:r>
          </w:p>
        </w:tc>
        <w:tc>
          <w:tcPr>
            <w:tcW w:w="896" w:type="pct"/>
            <w:gridSpan w:val="2"/>
            <w:vAlign w:val="center"/>
          </w:tcPr>
          <w:p w:rsidR="0074061D" w:rsidRPr="00063F4F" w:rsidRDefault="0074061D" w:rsidP="00B95E09">
            <w:pPr>
              <w:keepNext/>
              <w:jc w:val="center"/>
              <w:rPr>
                <w:sz w:val="20"/>
              </w:rPr>
            </w:pPr>
            <w:r w:rsidRPr="00063F4F">
              <w:rPr>
                <w:sz w:val="20"/>
              </w:rPr>
              <w:t>Takeda Pharmaceuticals Australia</w:t>
            </w:r>
          </w:p>
        </w:tc>
      </w:tr>
      <w:tr w:rsidR="0074061D" w:rsidRPr="00063F4F">
        <w:trPr>
          <w:cantSplit/>
          <w:trHeight w:val="354"/>
        </w:trPr>
        <w:tc>
          <w:tcPr>
            <w:tcW w:w="5000" w:type="pct"/>
            <w:gridSpan w:val="11"/>
            <w:vAlign w:val="center"/>
          </w:tcPr>
          <w:p w:rsidR="0074061D" w:rsidRPr="00063F4F" w:rsidRDefault="0074061D" w:rsidP="00B95E09">
            <w:pPr>
              <w:jc w:val="left"/>
              <w:rPr>
                <w:sz w:val="20"/>
              </w:rPr>
            </w:pPr>
            <w:r w:rsidRPr="00063F4F">
              <w:rPr>
                <w:b/>
                <w:sz w:val="20"/>
                <w:u w:val="single"/>
              </w:rPr>
              <w:t>Section 100 Highly Specialised Drug, private hospitals</w:t>
            </w:r>
            <w:r w:rsidRPr="00063F4F">
              <w:rPr>
                <w:sz w:val="20"/>
              </w:rPr>
              <w:t xml:space="preserve"> </w:t>
            </w:r>
            <w:r w:rsidRPr="00063F4F">
              <w:rPr>
                <w:b/>
                <w:sz w:val="20"/>
                <w:u w:val="single"/>
              </w:rPr>
              <w:t>Authority required</w:t>
            </w:r>
          </w:p>
        </w:tc>
      </w:tr>
    </w:tbl>
    <w:p w:rsidR="00351C48" w:rsidRPr="00063F4F" w:rsidRDefault="00351C48" w:rsidP="00351C48">
      <w:pPr>
        <w:rPr>
          <w:rFonts w:ascii="Arial Narrow" w:hAnsi="Arial Narrow"/>
          <w:sz w:val="20"/>
          <w:u w:val="single"/>
        </w:rPr>
      </w:pPr>
    </w:p>
    <w:p w:rsidR="00351C48" w:rsidRPr="00063F4F" w:rsidRDefault="00351C48" w:rsidP="00351C48">
      <w:pPr>
        <w:ind w:firstLine="720"/>
        <w:rPr>
          <w:rFonts w:ascii="Arial Narrow" w:hAnsi="Arial Narrow"/>
          <w:b/>
          <w:sz w:val="20"/>
        </w:rPr>
      </w:pPr>
      <w:r w:rsidRPr="00063F4F">
        <w:rPr>
          <w:rFonts w:ascii="Arial Narrow" w:hAnsi="Arial Narrow"/>
          <w:b/>
          <w:sz w:val="20"/>
        </w:rPr>
        <w:t xml:space="preserve">Authority </w:t>
      </w:r>
      <w:proofErr w:type="gramStart"/>
      <w:r w:rsidRPr="00063F4F">
        <w:rPr>
          <w:rFonts w:ascii="Arial Narrow" w:hAnsi="Arial Narrow"/>
          <w:b/>
          <w:sz w:val="20"/>
        </w:rPr>
        <w:t>Required</w:t>
      </w:r>
      <w:proofErr w:type="gramEnd"/>
      <w:r w:rsidRPr="00063F4F">
        <w:rPr>
          <w:rFonts w:ascii="Arial Narrow" w:hAnsi="Arial Narrow"/>
          <w:b/>
          <w:sz w:val="20"/>
        </w:rPr>
        <w:t xml:space="preserve"> (written approval)</w:t>
      </w:r>
    </w:p>
    <w:p w:rsidR="00351C48" w:rsidRPr="00063F4F" w:rsidRDefault="00351C48" w:rsidP="00351C48">
      <w:pPr>
        <w:ind w:firstLine="720"/>
        <w:rPr>
          <w:rFonts w:ascii="Arial Narrow" w:hAnsi="Arial Narrow"/>
          <w:sz w:val="20"/>
        </w:rPr>
      </w:pPr>
      <w:proofErr w:type="gramStart"/>
      <w:r w:rsidRPr="00063F4F">
        <w:rPr>
          <w:rFonts w:ascii="Arial Narrow" w:hAnsi="Arial Narrow"/>
          <w:sz w:val="20"/>
        </w:rPr>
        <w:t>Initial treatment of moderate to severe ulcerative colitis in a patient assessed by Mayo score.</w:t>
      </w:r>
      <w:proofErr w:type="gramEnd"/>
      <w:r w:rsidRPr="00063F4F">
        <w:rPr>
          <w:rFonts w:ascii="Arial Narrow" w:hAnsi="Arial Narrow"/>
          <w:sz w:val="20"/>
        </w:rPr>
        <w:t xml:space="preserve">  </w:t>
      </w:r>
    </w:p>
    <w:p w:rsidR="00351C48" w:rsidRPr="00063F4F" w:rsidRDefault="00351C48" w:rsidP="00351C48">
      <w:pPr>
        <w:ind w:left="720"/>
        <w:rPr>
          <w:rFonts w:ascii="Arial Narrow" w:hAnsi="Arial Narrow"/>
          <w:sz w:val="20"/>
        </w:rPr>
      </w:pPr>
      <w:r w:rsidRPr="00063F4F">
        <w:rPr>
          <w:rFonts w:ascii="Arial Narrow" w:hAnsi="Arial Narrow"/>
          <w:sz w:val="20"/>
        </w:rPr>
        <w:t>Patient must have confirmed ulcerative colitis, defined by standard clinical, endoscopic and/or imaging features, including histological evidence, and being treated by a gastroenterologist or a consultant physician.</w:t>
      </w:r>
    </w:p>
    <w:p w:rsidR="00351C48" w:rsidRPr="00063F4F" w:rsidRDefault="00351C48" w:rsidP="00351C48">
      <w:pPr>
        <w:ind w:left="720"/>
        <w:rPr>
          <w:rFonts w:ascii="Arial Narrow" w:hAnsi="Arial Narrow"/>
          <w:sz w:val="20"/>
        </w:rPr>
      </w:pPr>
      <w:r w:rsidRPr="00063F4F">
        <w:rPr>
          <w:rFonts w:ascii="Arial Narrow" w:hAnsi="Arial Narrow"/>
          <w:sz w:val="20"/>
        </w:rPr>
        <w:t xml:space="preserve">Patient must have failed to achieve an adequate response or have intolerance necessitating permanent treatment withdrawal to prior systemic therapy including: </w:t>
      </w:r>
    </w:p>
    <w:p w:rsidR="00351C48" w:rsidRPr="00063F4F" w:rsidRDefault="00351C48" w:rsidP="00351C48">
      <w:pPr>
        <w:ind w:firstLine="720"/>
        <w:rPr>
          <w:rFonts w:ascii="Arial Narrow" w:hAnsi="Arial Narrow"/>
          <w:sz w:val="20"/>
        </w:rPr>
      </w:pPr>
      <w:proofErr w:type="spellStart"/>
      <w:proofErr w:type="gramStart"/>
      <w:r w:rsidRPr="00063F4F">
        <w:rPr>
          <w:rFonts w:ascii="Arial Narrow" w:hAnsi="Arial Narrow"/>
          <w:sz w:val="20"/>
        </w:rPr>
        <w:t>i</w:t>
      </w:r>
      <w:proofErr w:type="spellEnd"/>
      <w:proofErr w:type="gramEnd"/>
      <w:r w:rsidRPr="00063F4F">
        <w:rPr>
          <w:rFonts w:ascii="Arial Narrow" w:hAnsi="Arial Narrow"/>
          <w:sz w:val="20"/>
        </w:rPr>
        <w:t>. a 5-aminosalicylate oral preparation in standard dose for induction of remission for 3 or more months; AND</w:t>
      </w:r>
    </w:p>
    <w:p w:rsidR="00351C48" w:rsidRPr="00063F4F" w:rsidRDefault="00351C48" w:rsidP="00351C48">
      <w:pPr>
        <w:ind w:firstLine="720"/>
        <w:rPr>
          <w:rFonts w:ascii="Arial Narrow" w:hAnsi="Arial Narrow"/>
          <w:sz w:val="20"/>
        </w:rPr>
      </w:pPr>
      <w:r w:rsidRPr="00063F4F">
        <w:rPr>
          <w:rFonts w:ascii="Arial Narrow" w:hAnsi="Arial Narrow"/>
          <w:sz w:val="20"/>
        </w:rPr>
        <w:t xml:space="preserve">ii. </w:t>
      </w:r>
      <w:proofErr w:type="gramStart"/>
      <w:r w:rsidRPr="00063F4F">
        <w:rPr>
          <w:rFonts w:ascii="Arial Narrow" w:hAnsi="Arial Narrow"/>
          <w:sz w:val="20"/>
        </w:rPr>
        <w:t>azathioprine</w:t>
      </w:r>
      <w:proofErr w:type="gramEnd"/>
      <w:r w:rsidRPr="00063F4F">
        <w:rPr>
          <w:rFonts w:ascii="Arial Narrow" w:hAnsi="Arial Narrow"/>
          <w:sz w:val="20"/>
        </w:rPr>
        <w:t xml:space="preserve"> at a dose of at least 2 mg/kg daily for 3 or more months, </w:t>
      </w:r>
    </w:p>
    <w:p w:rsidR="00351C48" w:rsidRPr="00063F4F" w:rsidRDefault="00351C48" w:rsidP="00351C48">
      <w:pPr>
        <w:ind w:firstLine="720"/>
        <w:rPr>
          <w:rFonts w:ascii="Arial Narrow" w:hAnsi="Arial Narrow"/>
          <w:sz w:val="20"/>
        </w:rPr>
      </w:pPr>
      <w:r w:rsidRPr="00063F4F">
        <w:rPr>
          <w:rFonts w:ascii="Arial Narrow" w:hAnsi="Arial Narrow"/>
          <w:sz w:val="20"/>
        </w:rPr>
        <w:t>OR</w:t>
      </w:r>
    </w:p>
    <w:p w:rsidR="00351C48" w:rsidRPr="00063F4F" w:rsidRDefault="00351C48" w:rsidP="00351C48">
      <w:pPr>
        <w:ind w:firstLine="720"/>
        <w:rPr>
          <w:rFonts w:ascii="Arial Narrow" w:hAnsi="Arial Narrow"/>
          <w:sz w:val="20"/>
        </w:rPr>
      </w:pPr>
      <w:r w:rsidRPr="00063F4F">
        <w:rPr>
          <w:rFonts w:ascii="Arial Narrow" w:hAnsi="Arial Narrow"/>
          <w:sz w:val="20"/>
        </w:rPr>
        <w:t xml:space="preserve">iii. 6-mercaptopurine at a dose of at least 1 mg/kg daily for 3 or more </w:t>
      </w:r>
      <w:r w:rsidR="00AA2AFC" w:rsidRPr="00063F4F">
        <w:rPr>
          <w:rFonts w:ascii="Arial Narrow" w:hAnsi="Arial Narrow"/>
          <w:sz w:val="20"/>
        </w:rPr>
        <w:t>months,</w:t>
      </w:r>
      <w:r w:rsidRPr="00063F4F">
        <w:rPr>
          <w:rFonts w:ascii="Arial Narrow" w:hAnsi="Arial Narrow"/>
          <w:sz w:val="20"/>
        </w:rPr>
        <w:t xml:space="preserve"> </w:t>
      </w:r>
    </w:p>
    <w:p w:rsidR="00351C48" w:rsidRPr="00063F4F" w:rsidRDefault="00351C48" w:rsidP="00351C48">
      <w:pPr>
        <w:ind w:firstLine="720"/>
        <w:rPr>
          <w:rFonts w:ascii="Arial Narrow" w:hAnsi="Arial Narrow"/>
          <w:sz w:val="20"/>
        </w:rPr>
      </w:pPr>
      <w:r w:rsidRPr="00063F4F">
        <w:rPr>
          <w:rFonts w:ascii="Arial Narrow" w:hAnsi="Arial Narrow"/>
          <w:sz w:val="20"/>
        </w:rPr>
        <w:t>OR</w:t>
      </w:r>
    </w:p>
    <w:p w:rsidR="00351C48" w:rsidRPr="00063F4F" w:rsidRDefault="00351C48" w:rsidP="00351C48">
      <w:pPr>
        <w:ind w:left="720"/>
        <w:rPr>
          <w:rFonts w:ascii="Arial Narrow" w:hAnsi="Arial Narrow"/>
          <w:sz w:val="20"/>
        </w:rPr>
      </w:pPr>
      <w:r w:rsidRPr="00063F4F">
        <w:rPr>
          <w:rFonts w:ascii="Arial Narrow" w:hAnsi="Arial Narrow"/>
          <w:sz w:val="20"/>
        </w:rPr>
        <w:t xml:space="preserve">iv. </w:t>
      </w:r>
      <w:proofErr w:type="gramStart"/>
      <w:r w:rsidRPr="00063F4F">
        <w:rPr>
          <w:rFonts w:ascii="Arial Narrow" w:hAnsi="Arial Narrow"/>
          <w:sz w:val="20"/>
        </w:rPr>
        <w:t>a</w:t>
      </w:r>
      <w:proofErr w:type="gramEnd"/>
      <w:r w:rsidRPr="00063F4F">
        <w:rPr>
          <w:rFonts w:ascii="Arial Narrow" w:hAnsi="Arial Narrow"/>
          <w:sz w:val="20"/>
        </w:rPr>
        <w:t xml:space="preserve"> tapered course of oral steroids, starting at a dose of at least 40 mg prednisolone (or equivalent), over a 6 week period.</w:t>
      </w:r>
    </w:p>
    <w:p w:rsidR="00351C48" w:rsidRPr="00063F4F" w:rsidRDefault="00351C48" w:rsidP="00351C48">
      <w:pPr>
        <w:rPr>
          <w:rFonts w:ascii="Arial Narrow" w:hAnsi="Arial Narrow"/>
          <w:sz w:val="20"/>
        </w:rPr>
      </w:pPr>
    </w:p>
    <w:p w:rsidR="00351C48" w:rsidRPr="00063F4F" w:rsidRDefault="00351C48" w:rsidP="00351C48">
      <w:pPr>
        <w:ind w:left="720"/>
        <w:rPr>
          <w:rFonts w:ascii="Arial Narrow" w:hAnsi="Arial Narrow"/>
          <w:sz w:val="20"/>
        </w:rPr>
      </w:pPr>
      <w:r w:rsidRPr="00063F4F">
        <w:rPr>
          <w:rFonts w:ascii="Arial Narrow" w:hAnsi="Arial Narrow"/>
          <w:sz w:val="20"/>
        </w:rPr>
        <w:t xml:space="preserve">Adult patient must have a Mayo score greater than or equal to 6. (Endoscopy </w:t>
      </w:r>
      <w:proofErr w:type="spellStart"/>
      <w:r w:rsidRPr="00063F4F">
        <w:rPr>
          <w:rFonts w:ascii="Arial Narrow" w:hAnsi="Arial Narrow"/>
          <w:sz w:val="20"/>
        </w:rPr>
        <w:t>subscore</w:t>
      </w:r>
      <w:proofErr w:type="spellEnd"/>
      <w:r w:rsidRPr="00063F4F">
        <w:rPr>
          <w:rFonts w:ascii="Arial Narrow" w:hAnsi="Arial Narrow"/>
          <w:sz w:val="20"/>
        </w:rPr>
        <w:t xml:space="preserve"> is not required if the rectal bleeding and stool frequency </w:t>
      </w:r>
      <w:proofErr w:type="spellStart"/>
      <w:r w:rsidRPr="00063F4F">
        <w:rPr>
          <w:rFonts w:ascii="Arial Narrow" w:hAnsi="Arial Narrow"/>
          <w:sz w:val="20"/>
        </w:rPr>
        <w:t>subscores</w:t>
      </w:r>
      <w:proofErr w:type="spellEnd"/>
      <w:r w:rsidRPr="00063F4F">
        <w:rPr>
          <w:rFonts w:ascii="Arial Narrow" w:hAnsi="Arial Narrow"/>
          <w:sz w:val="20"/>
        </w:rPr>
        <w:t xml:space="preserve"> are both ≥ 2 and the partial Mayo score is ≥ 6), OR </w:t>
      </w:r>
    </w:p>
    <w:p w:rsidR="00351C48" w:rsidRPr="00063F4F" w:rsidRDefault="00351C48" w:rsidP="00351C48">
      <w:pPr>
        <w:ind w:left="720"/>
        <w:rPr>
          <w:rFonts w:ascii="Arial Narrow" w:hAnsi="Arial Narrow"/>
          <w:sz w:val="20"/>
        </w:rPr>
      </w:pPr>
      <w:r w:rsidRPr="00063F4F">
        <w:rPr>
          <w:rFonts w:ascii="Arial Narrow" w:hAnsi="Arial Narrow"/>
          <w:sz w:val="20"/>
        </w:rPr>
        <w:t xml:space="preserve">Patients who fail to achieve a partial Mayo score ≤ 2, with no </w:t>
      </w:r>
      <w:proofErr w:type="spellStart"/>
      <w:r w:rsidRPr="00063F4F">
        <w:rPr>
          <w:rFonts w:ascii="Arial Narrow" w:hAnsi="Arial Narrow"/>
          <w:sz w:val="20"/>
        </w:rPr>
        <w:t>subscore</w:t>
      </w:r>
      <w:proofErr w:type="spellEnd"/>
      <w:r w:rsidRPr="00063F4F">
        <w:rPr>
          <w:rFonts w:ascii="Arial Narrow" w:hAnsi="Arial Narrow"/>
          <w:sz w:val="20"/>
        </w:rPr>
        <w:t xml:space="preserve"> &gt; 1, within the first 12 weeks of receiving </w:t>
      </w:r>
      <w:proofErr w:type="spellStart"/>
      <w:r w:rsidRPr="00063F4F">
        <w:rPr>
          <w:rFonts w:ascii="Arial Narrow" w:hAnsi="Arial Narrow"/>
          <w:sz w:val="20"/>
        </w:rPr>
        <w:t>vedolizumab</w:t>
      </w:r>
      <w:proofErr w:type="spellEnd"/>
      <w:r w:rsidRPr="00063F4F">
        <w:rPr>
          <w:rFonts w:ascii="Arial Narrow" w:hAnsi="Arial Narrow"/>
          <w:sz w:val="20"/>
        </w:rPr>
        <w:t xml:space="preserve"> for ulcerative colitis, or have failed to maintain a partial Mayo score ≤ 2, with no </w:t>
      </w:r>
      <w:proofErr w:type="spellStart"/>
      <w:r w:rsidRPr="00063F4F">
        <w:rPr>
          <w:rFonts w:ascii="Arial Narrow" w:hAnsi="Arial Narrow"/>
          <w:sz w:val="20"/>
        </w:rPr>
        <w:t>subscore</w:t>
      </w:r>
      <w:proofErr w:type="spellEnd"/>
      <w:r w:rsidRPr="00063F4F">
        <w:rPr>
          <w:rFonts w:ascii="Arial Narrow" w:hAnsi="Arial Narrow"/>
          <w:sz w:val="20"/>
        </w:rPr>
        <w:t xml:space="preserve"> &gt;1, with continuing </w:t>
      </w:r>
      <w:proofErr w:type="spellStart"/>
      <w:r w:rsidRPr="00063F4F">
        <w:rPr>
          <w:rFonts w:ascii="Arial Narrow" w:hAnsi="Arial Narrow"/>
          <w:sz w:val="20"/>
        </w:rPr>
        <w:t>vedolizumab</w:t>
      </w:r>
      <w:proofErr w:type="spellEnd"/>
      <w:r w:rsidRPr="00063F4F">
        <w:rPr>
          <w:rFonts w:ascii="Arial Narrow" w:hAnsi="Arial Narrow"/>
          <w:sz w:val="20"/>
        </w:rPr>
        <w:t xml:space="preserve"> treatment will not be eligible to receive PBS-subsidised treatment with this drug within 12 </w:t>
      </w:r>
      <w:r w:rsidRPr="00063F4F">
        <w:rPr>
          <w:rFonts w:ascii="Arial Narrow" w:hAnsi="Arial Narrow"/>
          <w:sz w:val="20"/>
        </w:rPr>
        <w:lastRenderedPageBreak/>
        <w:t xml:space="preserve">months of the date on which treatment was ceased. </w:t>
      </w:r>
    </w:p>
    <w:p w:rsidR="00351C48" w:rsidRPr="00063F4F" w:rsidRDefault="00351C48" w:rsidP="00351C48">
      <w:pPr>
        <w:rPr>
          <w:rFonts w:ascii="Arial Narrow" w:hAnsi="Arial Narrow"/>
          <w:sz w:val="20"/>
        </w:rPr>
      </w:pPr>
    </w:p>
    <w:p w:rsidR="00351C48" w:rsidRPr="00063F4F" w:rsidRDefault="00351C48" w:rsidP="00351C48">
      <w:pPr>
        <w:ind w:left="720"/>
        <w:rPr>
          <w:rFonts w:ascii="Arial Narrow" w:hAnsi="Arial Narrow"/>
          <w:sz w:val="20"/>
        </w:rPr>
      </w:pPr>
      <w:r w:rsidRPr="00063F4F">
        <w:rPr>
          <w:rFonts w:ascii="Arial Narrow" w:hAnsi="Arial Narrow"/>
          <w:sz w:val="20"/>
        </w:rPr>
        <w:t xml:space="preserve">The patient must sign a patient acknowledgement indicating they understand and acknowledge that PBS-subsidised treatment will cease if they do not meet the predetermined response criterion for ongoing PBS-subsidised treatment, as outlined in the restriction for continuing treatment. </w:t>
      </w:r>
    </w:p>
    <w:p w:rsidR="00351C48" w:rsidRPr="00063F4F" w:rsidRDefault="00351C48" w:rsidP="00351C48">
      <w:pPr>
        <w:rPr>
          <w:rFonts w:ascii="Arial Narrow" w:hAnsi="Arial Narrow"/>
          <w:sz w:val="20"/>
          <w:u w:val="single"/>
        </w:rPr>
      </w:pPr>
    </w:p>
    <w:p w:rsidR="00351C48" w:rsidRPr="00063F4F" w:rsidRDefault="00351C48" w:rsidP="00351C48">
      <w:pPr>
        <w:ind w:firstLine="720"/>
        <w:rPr>
          <w:rFonts w:ascii="Arial Narrow" w:hAnsi="Arial Narrow"/>
          <w:b/>
          <w:sz w:val="20"/>
        </w:rPr>
      </w:pPr>
      <w:r w:rsidRPr="00063F4F">
        <w:rPr>
          <w:rFonts w:ascii="Arial Narrow" w:hAnsi="Arial Narrow"/>
          <w:b/>
          <w:sz w:val="20"/>
        </w:rPr>
        <w:t xml:space="preserve">Authority </w:t>
      </w:r>
      <w:proofErr w:type="gramStart"/>
      <w:r w:rsidRPr="00063F4F">
        <w:rPr>
          <w:rFonts w:ascii="Arial Narrow" w:hAnsi="Arial Narrow"/>
          <w:b/>
          <w:sz w:val="20"/>
        </w:rPr>
        <w:t>Required</w:t>
      </w:r>
      <w:proofErr w:type="gramEnd"/>
      <w:r w:rsidRPr="00063F4F">
        <w:rPr>
          <w:rFonts w:ascii="Arial Narrow" w:hAnsi="Arial Narrow"/>
          <w:b/>
          <w:sz w:val="20"/>
        </w:rPr>
        <w:t xml:space="preserve"> (telephone approval)</w:t>
      </w:r>
    </w:p>
    <w:p w:rsidR="00351C48" w:rsidRPr="00063F4F" w:rsidRDefault="00351C48" w:rsidP="00351C48">
      <w:pPr>
        <w:ind w:firstLine="720"/>
        <w:rPr>
          <w:rFonts w:ascii="Arial Narrow" w:hAnsi="Arial Narrow"/>
          <w:sz w:val="20"/>
        </w:rPr>
      </w:pPr>
      <w:r w:rsidRPr="00063F4F">
        <w:rPr>
          <w:rFonts w:ascii="Arial Narrow" w:hAnsi="Arial Narrow"/>
          <w:sz w:val="20"/>
        </w:rPr>
        <w:t>Continuing treatment of ulcerative colitis in patients assessed by Mayo score.</w:t>
      </w:r>
    </w:p>
    <w:p w:rsidR="00351C48" w:rsidRPr="00063F4F" w:rsidRDefault="00351C48" w:rsidP="00351C48">
      <w:pPr>
        <w:ind w:firstLine="720"/>
        <w:rPr>
          <w:rFonts w:ascii="Arial Narrow" w:hAnsi="Arial Narrow"/>
          <w:sz w:val="20"/>
        </w:rPr>
      </w:pPr>
      <w:r w:rsidRPr="00063F4F">
        <w:rPr>
          <w:rFonts w:ascii="Arial Narrow" w:hAnsi="Arial Narrow"/>
          <w:sz w:val="20"/>
        </w:rPr>
        <w:t xml:space="preserve">The adult patient must have partial Mayo score ≤ 2, with no </w:t>
      </w:r>
      <w:proofErr w:type="spellStart"/>
      <w:r w:rsidRPr="00063F4F">
        <w:rPr>
          <w:rFonts w:ascii="Arial Narrow" w:hAnsi="Arial Narrow"/>
          <w:sz w:val="20"/>
        </w:rPr>
        <w:t>subscore</w:t>
      </w:r>
      <w:proofErr w:type="spellEnd"/>
      <w:r w:rsidRPr="00063F4F">
        <w:rPr>
          <w:rFonts w:ascii="Arial Narrow" w:hAnsi="Arial Narrow"/>
          <w:sz w:val="20"/>
        </w:rPr>
        <w:t xml:space="preserve"> &gt; 1 while receiving </w:t>
      </w:r>
      <w:proofErr w:type="spellStart"/>
      <w:r w:rsidRPr="00063F4F">
        <w:rPr>
          <w:rFonts w:ascii="Arial Narrow" w:hAnsi="Arial Narrow"/>
          <w:sz w:val="20"/>
        </w:rPr>
        <w:t>vedolizumab</w:t>
      </w:r>
      <w:proofErr w:type="spellEnd"/>
      <w:r w:rsidRPr="00063F4F">
        <w:rPr>
          <w:rFonts w:ascii="Arial Narrow" w:hAnsi="Arial Narrow"/>
          <w:sz w:val="20"/>
        </w:rPr>
        <w:t>.</w:t>
      </w:r>
    </w:p>
    <w:p w:rsidR="00351C48" w:rsidRPr="00063F4F" w:rsidRDefault="00351C48" w:rsidP="00351C48">
      <w:pPr>
        <w:ind w:left="720"/>
        <w:rPr>
          <w:rFonts w:ascii="Arial Narrow" w:hAnsi="Arial Narrow"/>
          <w:sz w:val="20"/>
        </w:rPr>
      </w:pPr>
      <w:r w:rsidRPr="00063F4F">
        <w:rPr>
          <w:rFonts w:ascii="Arial Narrow" w:hAnsi="Arial Narrow"/>
          <w:sz w:val="20"/>
        </w:rPr>
        <w:t xml:space="preserve">A Mayo assessment of the patient's response must be made up to 12 weeks after the first dose so that there is adequate time for a response to be demonstrated. </w:t>
      </w:r>
    </w:p>
    <w:p w:rsidR="00351C48" w:rsidRPr="00063F4F" w:rsidRDefault="00351C48" w:rsidP="00351C48">
      <w:pPr>
        <w:ind w:firstLine="720"/>
        <w:rPr>
          <w:rFonts w:ascii="Arial Narrow" w:hAnsi="Arial Narrow"/>
          <w:sz w:val="20"/>
        </w:rPr>
      </w:pPr>
      <w:r w:rsidRPr="00063F4F">
        <w:rPr>
          <w:rFonts w:ascii="Arial Narrow" w:hAnsi="Arial Narrow"/>
          <w:sz w:val="20"/>
        </w:rPr>
        <w:t>Maximum Quantity: 1 vial (all restrictions)</w:t>
      </w:r>
    </w:p>
    <w:p w:rsidR="00351C48" w:rsidRPr="00063F4F" w:rsidRDefault="00351C48" w:rsidP="00351C48">
      <w:pPr>
        <w:ind w:firstLine="720"/>
        <w:rPr>
          <w:rFonts w:ascii="Arial Narrow" w:hAnsi="Arial Narrow"/>
          <w:sz w:val="20"/>
        </w:rPr>
      </w:pPr>
      <w:r w:rsidRPr="00063F4F">
        <w:rPr>
          <w:rFonts w:ascii="Arial Narrow" w:hAnsi="Arial Narrow"/>
          <w:sz w:val="20"/>
        </w:rPr>
        <w:t>Number of Repeats: 0 (all restrictions</w:t>
      </w:r>
      <w:r w:rsidR="00AA2AFC" w:rsidRPr="00063F4F">
        <w:rPr>
          <w:rFonts w:ascii="Arial Narrow" w:hAnsi="Arial Narrow"/>
          <w:sz w:val="20"/>
        </w:rPr>
        <w:t>) (</w:t>
      </w:r>
      <w:r w:rsidRPr="00063F4F">
        <w:rPr>
          <w:rFonts w:ascii="Arial Narrow" w:hAnsi="Arial Narrow"/>
          <w:sz w:val="20"/>
        </w:rPr>
        <w:t>p.18 of the re</w:t>
      </w:r>
      <w:r w:rsidRPr="00063F4F">
        <w:rPr>
          <w:rFonts w:ascii="Arial Narrow" w:hAnsi="Arial Narrow"/>
          <w:sz w:val="20"/>
        </w:rPr>
        <w:noBreakHyphen/>
        <w:t>submission)</w:t>
      </w:r>
    </w:p>
    <w:p w:rsidR="00351C48" w:rsidRPr="00063F4F" w:rsidRDefault="00351C48" w:rsidP="0074061D"/>
    <w:p w:rsidR="00C845EE" w:rsidRPr="00063F4F" w:rsidRDefault="001310AE" w:rsidP="00560BD0">
      <w:pPr>
        <w:pStyle w:val="ListParagraph"/>
        <w:widowControl/>
        <w:numPr>
          <w:ilvl w:val="1"/>
          <w:numId w:val="6"/>
        </w:numPr>
      </w:pPr>
      <w:r w:rsidRPr="00063F4F">
        <w:t>The p</w:t>
      </w:r>
      <w:r w:rsidR="0074061D" w:rsidRPr="00063F4F">
        <w:t>revious requested restriction included two options of assessment of initiation and continuation – Option 1 assessed by complete Mayo score and Option 2 assessed by partial Mayo score.</w:t>
      </w:r>
      <w:r w:rsidR="00C845EE" w:rsidRPr="00063F4F">
        <w:t xml:space="preserve">  The requested PBS restriction in the re-submission is similar to that for infliximab for moderate to severe ulcerative colitis.  The following sentences </w:t>
      </w:r>
      <w:r w:rsidRPr="00063F4F">
        <w:t xml:space="preserve">from the infliximab restriction </w:t>
      </w:r>
      <w:r w:rsidR="00C845EE" w:rsidRPr="00063F4F">
        <w:t xml:space="preserve">are missing from the </w:t>
      </w:r>
      <w:r w:rsidRPr="00063F4F">
        <w:t>proposed</w:t>
      </w:r>
      <w:r w:rsidR="00F733E9" w:rsidRPr="00063F4F">
        <w:t xml:space="preserve"> </w:t>
      </w:r>
      <w:proofErr w:type="spellStart"/>
      <w:r w:rsidR="00F733E9" w:rsidRPr="00063F4F">
        <w:t>vedolizumab</w:t>
      </w:r>
      <w:proofErr w:type="spellEnd"/>
      <w:r w:rsidRPr="00063F4F">
        <w:t xml:space="preserve"> </w:t>
      </w:r>
      <w:r w:rsidR="00C845EE" w:rsidRPr="00063F4F">
        <w:t xml:space="preserve">restriction </w:t>
      </w:r>
      <w:r w:rsidRPr="00063F4F">
        <w:t xml:space="preserve">and </w:t>
      </w:r>
      <w:r w:rsidR="00C845EE" w:rsidRPr="00063F4F">
        <w:t>may be of relevance.</w:t>
      </w:r>
    </w:p>
    <w:p w:rsidR="00C845EE" w:rsidRPr="00063F4F" w:rsidRDefault="00C845EE" w:rsidP="00C845EE">
      <w:pPr>
        <w:pStyle w:val="ListParagraph"/>
        <w:numPr>
          <w:ilvl w:val="0"/>
          <w:numId w:val="11"/>
        </w:numPr>
        <w:ind w:left="851" w:hanging="142"/>
      </w:pPr>
      <w:r w:rsidRPr="00063F4F">
        <w:t xml:space="preserve"> Must be treated by a gastroenterologist (code 87) or a consultant physician [internal medicine specialising in gastroenterology (code 81)] or a consultant physician [general medicine specialising in gastroenterology (code 82)]</w:t>
      </w:r>
    </w:p>
    <w:p w:rsidR="00C845EE" w:rsidRPr="00063F4F" w:rsidRDefault="00C845EE" w:rsidP="00C845EE">
      <w:pPr>
        <w:pStyle w:val="ListParagraph"/>
        <w:numPr>
          <w:ilvl w:val="0"/>
          <w:numId w:val="11"/>
        </w:numPr>
        <w:ind w:left="851" w:hanging="142"/>
      </w:pPr>
      <w:r w:rsidRPr="00063F4F">
        <w:t>All tests and assessments should be performed preferably whilst still on treatment, but no longer than 1 month following cessation of the most recent prior treatment. The most recent Mayo clinic, partial Mayo clinic or PUCAI score must be no more than 1 month old at the time of application.</w:t>
      </w:r>
    </w:p>
    <w:p w:rsidR="00C845EE" w:rsidRPr="0065357C" w:rsidRDefault="00C845EE" w:rsidP="00C845EE">
      <w:pPr>
        <w:pStyle w:val="ListParagraph"/>
        <w:numPr>
          <w:ilvl w:val="0"/>
          <w:numId w:val="11"/>
        </w:numPr>
        <w:ind w:left="851" w:hanging="142"/>
      </w:pPr>
      <w:r w:rsidRPr="0065357C">
        <w:t>Patients may qualify for PBS-subsidised treatment under this restriction once only.</w:t>
      </w:r>
    </w:p>
    <w:p w:rsidR="00C845EE" w:rsidRPr="0065357C" w:rsidRDefault="00C845EE" w:rsidP="00C845EE">
      <w:pPr>
        <w:pStyle w:val="ListParagraph"/>
        <w:numPr>
          <w:ilvl w:val="0"/>
          <w:numId w:val="11"/>
        </w:numPr>
        <w:ind w:left="851" w:hanging="142"/>
      </w:pPr>
      <w:r w:rsidRPr="0065357C">
        <w:t>Patients are eligible to receive continuing treatment with this drug in courses of up to 24 weeks providing they continue to sustain the response.</w:t>
      </w:r>
    </w:p>
    <w:p w:rsidR="00E84C56" w:rsidRPr="0065357C" w:rsidRDefault="00E84C56" w:rsidP="00E84C56"/>
    <w:p w:rsidR="00731BCF" w:rsidRPr="006A7332" w:rsidRDefault="00731BCF" w:rsidP="00731BCF">
      <w:pPr>
        <w:pStyle w:val="ListParagraph"/>
        <w:widowControl/>
        <w:numPr>
          <w:ilvl w:val="1"/>
          <w:numId w:val="6"/>
        </w:numPr>
      </w:pPr>
      <w:r w:rsidRPr="006A7332">
        <w:t xml:space="preserve">The requested PBS restriction is </w:t>
      </w:r>
      <w:r w:rsidRPr="006A7332">
        <w:rPr>
          <w:u w:val="single"/>
        </w:rPr>
        <w:t>not</w:t>
      </w:r>
      <w:r w:rsidRPr="006A7332">
        <w:t xml:space="preserve"> in line with the TGA indication: the PBS restriction also allows for the treatment of children. The re-submission requested the same restriction as infliximab ‘i.e. as an alternative biological agent after conventional therapies have failed or when the patient is intolerant to treatment with the TNF</w:t>
      </w:r>
      <w:r w:rsidR="00114067" w:rsidRPr="006A7332">
        <w:t>-</w:t>
      </w:r>
      <w:r w:rsidRPr="006A7332">
        <w:t>α antagonists’.</w:t>
      </w:r>
      <w:r w:rsidR="00BB4F02" w:rsidRPr="006A7332">
        <w:t xml:space="preserve">  The ESC noted the TGA indication seemed to suggest</w:t>
      </w:r>
      <w:r w:rsidR="00C86607" w:rsidRPr="006A7332">
        <w:t xml:space="preserve"> </w:t>
      </w:r>
      <w:proofErr w:type="spellStart"/>
      <w:r w:rsidR="00C86607" w:rsidRPr="006A7332">
        <w:t>vedolizumab</w:t>
      </w:r>
      <w:proofErr w:type="spellEnd"/>
      <w:r w:rsidR="00C86607" w:rsidRPr="006A7332">
        <w:t xml:space="preserve"> could be used as</w:t>
      </w:r>
      <w:r w:rsidR="00BB4F02" w:rsidRPr="006A7332">
        <w:t xml:space="preserve"> second lin</w:t>
      </w:r>
      <w:r w:rsidR="00C86607" w:rsidRPr="006A7332">
        <w:t>e</w:t>
      </w:r>
      <w:r w:rsidR="00CD18C1">
        <w:t xml:space="preserve"> therapy</w:t>
      </w:r>
      <w:r w:rsidR="00BB4F02" w:rsidRPr="006A7332">
        <w:t>.</w:t>
      </w:r>
      <w:r w:rsidR="00C86607" w:rsidRPr="006A7332">
        <w:t xml:space="preserve">  The ESC considered that the clinical place of </w:t>
      </w:r>
      <w:proofErr w:type="spellStart"/>
      <w:r w:rsidR="00C86607" w:rsidRPr="006A7332">
        <w:t>vedolizumab</w:t>
      </w:r>
      <w:proofErr w:type="spellEnd"/>
      <w:r w:rsidR="00C86607" w:rsidRPr="006A7332">
        <w:t xml:space="preserve"> needs to be defined and whether ‘adults’ and ‘failure of a TNF- α antagonist’ </w:t>
      </w:r>
      <w:r w:rsidR="00CD18C1">
        <w:t>should</w:t>
      </w:r>
      <w:r w:rsidR="0071591D" w:rsidRPr="006A7332">
        <w:t xml:space="preserve"> be </w:t>
      </w:r>
      <w:r w:rsidR="00C86607" w:rsidRPr="006A7332">
        <w:t>add</w:t>
      </w:r>
      <w:r w:rsidR="000953DC" w:rsidRPr="006A7332">
        <w:t xml:space="preserve">ed to the proposed PBS restriction.  </w:t>
      </w:r>
      <w:r w:rsidR="00BB4F02" w:rsidRPr="006A7332">
        <w:t xml:space="preserve">     </w:t>
      </w:r>
      <w:r w:rsidR="00FE23D5" w:rsidRPr="006A7332">
        <w:t xml:space="preserve">     </w:t>
      </w:r>
    </w:p>
    <w:p w:rsidR="00D11160" w:rsidRPr="00063F4F" w:rsidRDefault="00D11160" w:rsidP="004F4694">
      <w:pPr>
        <w:widowControl/>
      </w:pPr>
    </w:p>
    <w:p w:rsidR="0074061D" w:rsidRPr="00063F4F" w:rsidRDefault="0074061D" w:rsidP="00560BD0">
      <w:pPr>
        <w:pStyle w:val="ListParagraph"/>
        <w:widowControl/>
        <w:numPr>
          <w:ilvl w:val="1"/>
          <w:numId w:val="6"/>
        </w:numPr>
      </w:pPr>
      <w:r w:rsidRPr="00063F4F">
        <w:t>The basis for listing is cost-minimisation against infliximab.</w:t>
      </w:r>
    </w:p>
    <w:p w:rsidR="0074061D" w:rsidRDefault="0074061D" w:rsidP="0074061D"/>
    <w:p w:rsidR="00907698" w:rsidRPr="00907698" w:rsidRDefault="00907698" w:rsidP="00907698">
      <w:pPr>
        <w:ind w:left="720"/>
        <w:rPr>
          <w:i/>
        </w:rPr>
      </w:pPr>
      <w:r w:rsidRPr="00CF2D57">
        <w:rPr>
          <w:i/>
        </w:rPr>
        <w:t>For more detail on PBAC’s view, see section 7 “PBAC outcome”</w:t>
      </w:r>
    </w:p>
    <w:p w:rsidR="00D11160" w:rsidRDefault="00D11160" w:rsidP="00907698">
      <w:pPr>
        <w:ind w:left="720"/>
      </w:pPr>
    </w:p>
    <w:p w:rsidR="00907698" w:rsidRPr="00882085" w:rsidRDefault="00907698" w:rsidP="0074061D"/>
    <w:p w:rsidR="0074061D" w:rsidRPr="00D11160" w:rsidRDefault="0074061D" w:rsidP="0074061D">
      <w:pPr>
        <w:pStyle w:val="PBACheading1"/>
      </w:pPr>
      <w:bookmarkStart w:id="9" w:name="_Toc409509984"/>
      <w:r w:rsidRPr="00407F2D">
        <w:rPr>
          <w:b/>
        </w:rPr>
        <w:t>Background</w:t>
      </w:r>
      <w:bookmarkEnd w:id="9"/>
    </w:p>
    <w:p w:rsidR="00D11160" w:rsidRPr="004350C9" w:rsidRDefault="00D11160" w:rsidP="00D11160">
      <w:pPr>
        <w:pStyle w:val="PBACheading1"/>
        <w:numPr>
          <w:ilvl w:val="0"/>
          <w:numId w:val="0"/>
        </w:numPr>
        <w:ind w:left="720"/>
      </w:pPr>
    </w:p>
    <w:p w:rsidR="0074061D" w:rsidRDefault="00536916" w:rsidP="00560BD0">
      <w:pPr>
        <w:pStyle w:val="ListParagraph"/>
        <w:widowControl/>
        <w:numPr>
          <w:ilvl w:val="1"/>
          <w:numId w:val="5"/>
        </w:numPr>
        <w:rPr>
          <w:szCs w:val="22"/>
        </w:rPr>
      </w:pPr>
      <w:proofErr w:type="spellStart"/>
      <w:r>
        <w:rPr>
          <w:szCs w:val="22"/>
        </w:rPr>
        <w:t>V</w:t>
      </w:r>
      <w:r w:rsidR="0074061D" w:rsidRPr="00AA1FC4">
        <w:rPr>
          <w:szCs w:val="22"/>
        </w:rPr>
        <w:t>edolizumab</w:t>
      </w:r>
      <w:proofErr w:type="spellEnd"/>
      <w:r w:rsidR="0074061D" w:rsidRPr="00AA1FC4">
        <w:rPr>
          <w:szCs w:val="22"/>
        </w:rPr>
        <w:t xml:space="preserve"> </w:t>
      </w:r>
      <w:r w:rsidR="00E727A3">
        <w:rPr>
          <w:szCs w:val="22"/>
        </w:rPr>
        <w:t xml:space="preserve">is </w:t>
      </w:r>
      <w:r w:rsidR="0074061D" w:rsidRPr="00AA1FC4">
        <w:rPr>
          <w:szCs w:val="22"/>
        </w:rPr>
        <w:t xml:space="preserve">TGA registered for the treatment of adult patients with moderate to severe ulcerative colitis who have had an inadequate response </w:t>
      </w:r>
      <w:r w:rsidR="00B95E09">
        <w:rPr>
          <w:szCs w:val="22"/>
        </w:rPr>
        <w:t>to</w:t>
      </w:r>
      <w:r w:rsidR="0074061D" w:rsidRPr="00AA1FC4">
        <w:rPr>
          <w:szCs w:val="22"/>
        </w:rPr>
        <w:t xml:space="preserve">, lost response to, </w:t>
      </w:r>
      <w:r w:rsidR="0074061D" w:rsidRPr="00AA1FC4">
        <w:rPr>
          <w:szCs w:val="22"/>
        </w:rPr>
        <w:lastRenderedPageBreak/>
        <w:t>or are intolerant to either conventional therapy or a tumour necrosis factor-alpha (TNF</w:t>
      </w:r>
      <w:r w:rsidR="009B41B5">
        <w:rPr>
          <w:szCs w:val="22"/>
        </w:rPr>
        <w:t>-</w:t>
      </w:r>
      <w:r w:rsidR="0074061D" w:rsidRPr="00AA1FC4">
        <w:rPr>
          <w:szCs w:val="22"/>
        </w:rPr>
        <w:t>α) antagonist</w:t>
      </w:r>
      <w:r w:rsidR="0074061D">
        <w:rPr>
          <w:szCs w:val="22"/>
        </w:rPr>
        <w:t>.</w:t>
      </w:r>
    </w:p>
    <w:p w:rsidR="00D11160" w:rsidRPr="004350C9" w:rsidRDefault="00D11160" w:rsidP="00D11160">
      <w:pPr>
        <w:pStyle w:val="ListParagraph"/>
        <w:widowControl/>
        <w:rPr>
          <w:szCs w:val="22"/>
        </w:rPr>
      </w:pPr>
    </w:p>
    <w:p w:rsidR="0074061D" w:rsidRPr="00E727A3" w:rsidRDefault="00E727A3" w:rsidP="00560BD0">
      <w:pPr>
        <w:pStyle w:val="ListParagraph"/>
        <w:widowControl/>
        <w:numPr>
          <w:ilvl w:val="1"/>
          <w:numId w:val="5"/>
        </w:numPr>
        <w:rPr>
          <w:szCs w:val="22"/>
        </w:rPr>
      </w:pPr>
      <w:r>
        <w:rPr>
          <w:szCs w:val="22"/>
        </w:rPr>
        <w:t xml:space="preserve">A summary of the previous submission and current re-submission is presented below. </w:t>
      </w:r>
    </w:p>
    <w:p w:rsidR="0074061D" w:rsidRPr="001D112E" w:rsidRDefault="0074061D" w:rsidP="00D11160">
      <w:pPr>
        <w:pStyle w:val="ListParagraph"/>
        <w:widowControl/>
      </w:pPr>
    </w:p>
    <w:p w:rsidR="0074061D" w:rsidRPr="00ED0F04" w:rsidRDefault="0074061D" w:rsidP="0074061D">
      <w:pPr>
        <w:ind w:firstLine="720"/>
        <w:rPr>
          <w:rStyle w:val="CommentReference"/>
        </w:rPr>
      </w:pPr>
      <w:r w:rsidRPr="00ED0F04">
        <w:rPr>
          <w:rStyle w:val="CommentReference"/>
        </w:rPr>
        <w:t>Summary of the previous submission and current re-submission</w:t>
      </w:r>
    </w:p>
    <w:tbl>
      <w:tblPr>
        <w:tblW w:w="8443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  <w:tblCaption w:val="Comparison between previous submission and current submission"/>
      </w:tblPr>
      <w:tblGrid>
        <w:gridCol w:w="851"/>
        <w:gridCol w:w="5244"/>
        <w:gridCol w:w="2348"/>
      </w:tblGrid>
      <w:tr w:rsidR="0074061D" w:rsidRPr="00ED0F04">
        <w:trPr>
          <w:trHeight w:val="220"/>
          <w:tblHeader/>
        </w:trPr>
        <w:tc>
          <w:tcPr>
            <w:tcW w:w="851" w:type="dxa"/>
          </w:tcPr>
          <w:p w:rsidR="0074061D" w:rsidRPr="00ED0F04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244" w:type="dxa"/>
            <w:vAlign w:val="center"/>
          </w:tcPr>
          <w:p w:rsidR="0074061D" w:rsidRPr="00ED0F04" w:rsidRDefault="0074061D" w:rsidP="00B95E09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proofErr w:type="spellStart"/>
            <w:r>
              <w:rPr>
                <w:rFonts w:ascii="Arial Narrow" w:hAnsi="Arial Narrow"/>
                <w:b/>
                <w:sz w:val="19"/>
                <w:szCs w:val="19"/>
              </w:rPr>
              <w:t>Vedolizumab</w:t>
            </w:r>
            <w:proofErr w:type="spellEnd"/>
            <w:r>
              <w:rPr>
                <w:rFonts w:ascii="Arial Narrow" w:hAnsi="Arial Narrow"/>
                <w:b/>
                <w:sz w:val="19"/>
                <w:szCs w:val="19"/>
              </w:rPr>
              <w:t xml:space="preserve"> March 2014 submission</w:t>
            </w:r>
          </w:p>
        </w:tc>
        <w:tc>
          <w:tcPr>
            <w:tcW w:w="2348" w:type="dxa"/>
            <w:vAlign w:val="center"/>
          </w:tcPr>
          <w:p w:rsidR="0074061D" w:rsidRPr="00ED0F04" w:rsidRDefault="0074061D" w:rsidP="00B95E09">
            <w:pPr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>Current re</w:t>
            </w:r>
            <w:r>
              <w:rPr>
                <w:rFonts w:ascii="Arial Narrow" w:hAnsi="Arial Narrow"/>
                <w:b/>
                <w:sz w:val="19"/>
                <w:szCs w:val="19"/>
              </w:rPr>
              <w:noBreakHyphen/>
            </w:r>
            <w:r w:rsidRPr="00ED0F04">
              <w:rPr>
                <w:rFonts w:ascii="Arial Narrow" w:hAnsi="Arial Narrow"/>
                <w:b/>
                <w:sz w:val="19"/>
                <w:szCs w:val="19"/>
              </w:rPr>
              <w:t>submission</w:t>
            </w:r>
          </w:p>
        </w:tc>
      </w:tr>
      <w:tr w:rsidR="0074061D" w:rsidRPr="00ED0F04">
        <w:trPr>
          <w:trHeight w:val="794"/>
        </w:trPr>
        <w:tc>
          <w:tcPr>
            <w:tcW w:w="851" w:type="dxa"/>
          </w:tcPr>
          <w:p w:rsidR="0074061D" w:rsidRPr="00ED0F04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ED0F04">
              <w:rPr>
                <w:rFonts w:ascii="Arial Narrow" w:hAnsi="Arial Narrow"/>
                <w:sz w:val="19"/>
                <w:szCs w:val="19"/>
              </w:rPr>
              <w:t>Requested PBS listing</w:t>
            </w:r>
          </w:p>
        </w:tc>
        <w:tc>
          <w:tcPr>
            <w:tcW w:w="5244" w:type="dxa"/>
          </w:tcPr>
          <w:p w:rsidR="0074061D" w:rsidRPr="00555FA5" w:rsidRDefault="0074061D" w:rsidP="00B95E09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Two o</w:t>
            </w:r>
            <w:r w:rsidRPr="00A7523B">
              <w:rPr>
                <w:rFonts w:ascii="Arial Narrow" w:hAnsi="Arial Narrow"/>
                <w:sz w:val="19"/>
                <w:szCs w:val="19"/>
              </w:rPr>
              <w:t>ptions for assessment of initiation and continuation based on complete Mayo score (Option 1) and partial Mayo score (Option 2</w:t>
            </w:r>
            <w:r>
              <w:rPr>
                <w:rFonts w:ascii="Arial Narrow" w:hAnsi="Arial Narrow"/>
                <w:sz w:val="19"/>
                <w:szCs w:val="19"/>
              </w:rPr>
              <w:t>)</w:t>
            </w:r>
          </w:p>
          <w:p w:rsidR="0074061D" w:rsidRPr="00ED0F04" w:rsidRDefault="0074061D" w:rsidP="00B95E09">
            <w:pPr>
              <w:rPr>
                <w:rFonts w:ascii="Arial Narrow" w:hAnsi="Arial Narrow"/>
                <w:sz w:val="19"/>
                <w:szCs w:val="19"/>
              </w:rPr>
            </w:pPr>
            <w:r w:rsidRPr="00ED0F04">
              <w:rPr>
                <w:rFonts w:ascii="Arial Narrow" w:hAnsi="Arial Narrow"/>
                <w:b/>
                <w:sz w:val="19"/>
                <w:szCs w:val="19"/>
              </w:rPr>
              <w:t xml:space="preserve">PBAC Comment: </w:t>
            </w:r>
            <w:r w:rsidRPr="00555FA5">
              <w:rPr>
                <w:rFonts w:ascii="Arial Narrow" w:hAnsi="Arial Narrow"/>
                <w:sz w:val="19"/>
                <w:szCs w:val="19"/>
              </w:rPr>
              <w:t xml:space="preserve">‘…expect that the restriction for </w:t>
            </w:r>
            <w:proofErr w:type="spellStart"/>
            <w:r w:rsidRPr="00555FA5">
              <w:rPr>
                <w:rFonts w:ascii="Arial Narrow" w:hAnsi="Arial Narrow"/>
                <w:sz w:val="19"/>
                <w:szCs w:val="19"/>
              </w:rPr>
              <w:t>vedolizumab</w:t>
            </w:r>
            <w:proofErr w:type="spellEnd"/>
            <w:r w:rsidRPr="00555FA5">
              <w:rPr>
                <w:rFonts w:ascii="Arial Narrow" w:hAnsi="Arial Narrow"/>
                <w:sz w:val="19"/>
                <w:szCs w:val="19"/>
              </w:rPr>
              <w:t xml:space="preserve"> be aligne</w:t>
            </w:r>
            <w:r>
              <w:rPr>
                <w:rFonts w:ascii="Arial Narrow" w:hAnsi="Arial Narrow"/>
                <w:sz w:val="19"/>
                <w:szCs w:val="19"/>
              </w:rPr>
              <w:t>d with infliximab’s restriction…in</w:t>
            </w:r>
            <w:r w:rsidRPr="00555FA5">
              <w:rPr>
                <w:rFonts w:ascii="Arial Narrow" w:hAnsi="Arial Narrow"/>
                <w:sz w:val="19"/>
                <w:szCs w:val="19"/>
              </w:rPr>
              <w:t xml:space="preserve"> terms of defining ‘moderate to severe’ disease, the use of Mayo and partial Mayo clinic scoring, and, defining an adequate response for continuing treatment.’</w:t>
            </w:r>
            <w:r>
              <w:rPr>
                <w:rFonts w:ascii="Arial Narrow" w:hAnsi="Arial Narrow"/>
                <w:sz w:val="19"/>
                <w:szCs w:val="19"/>
              </w:rPr>
              <w:t>[</w:t>
            </w:r>
            <w:r w:rsidRPr="00555FA5">
              <w:rPr>
                <w:rFonts w:ascii="Arial Narrow" w:hAnsi="Arial Narrow"/>
                <w:sz w:val="19"/>
                <w:szCs w:val="19"/>
              </w:rPr>
              <w:t xml:space="preserve">7.2, </w:t>
            </w:r>
            <w:r>
              <w:rPr>
                <w:rFonts w:ascii="Arial Narrow" w:hAnsi="Arial Narrow"/>
                <w:sz w:val="19"/>
                <w:szCs w:val="19"/>
              </w:rPr>
              <w:t>July</w:t>
            </w:r>
            <w:r w:rsidRPr="00555FA5">
              <w:rPr>
                <w:rFonts w:ascii="Arial Narrow" w:hAnsi="Arial Narrow"/>
                <w:sz w:val="19"/>
                <w:szCs w:val="19"/>
              </w:rPr>
              <w:t xml:space="preserve"> 2014 PBAC Minutes</w:t>
            </w:r>
            <w:r>
              <w:rPr>
                <w:rFonts w:ascii="Arial Narrow" w:hAnsi="Arial Narrow"/>
                <w:sz w:val="19"/>
                <w:szCs w:val="19"/>
              </w:rPr>
              <w:t>[</w:t>
            </w:r>
          </w:p>
        </w:tc>
        <w:tc>
          <w:tcPr>
            <w:tcW w:w="2348" w:type="dxa"/>
          </w:tcPr>
          <w:p w:rsidR="0074061D" w:rsidRPr="00A7523B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A7523B">
              <w:rPr>
                <w:rFonts w:ascii="Arial Narrow" w:hAnsi="Arial Narrow"/>
                <w:sz w:val="19"/>
                <w:szCs w:val="19"/>
              </w:rPr>
              <w:t xml:space="preserve">Same as infliximab </w:t>
            </w:r>
          </w:p>
          <w:p w:rsidR="0074061D" w:rsidRPr="00ED0F04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74061D" w:rsidRPr="00ED0F04">
        <w:trPr>
          <w:trHeight w:val="422"/>
        </w:trPr>
        <w:tc>
          <w:tcPr>
            <w:tcW w:w="851" w:type="dxa"/>
          </w:tcPr>
          <w:p w:rsidR="0074061D" w:rsidRPr="00ED0F04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ED0F04">
              <w:rPr>
                <w:rFonts w:ascii="Arial Narrow" w:hAnsi="Arial Narrow"/>
                <w:sz w:val="19"/>
                <w:szCs w:val="19"/>
              </w:rPr>
              <w:t>Requested price</w:t>
            </w:r>
          </w:p>
        </w:tc>
        <w:tc>
          <w:tcPr>
            <w:tcW w:w="5244" w:type="dxa"/>
          </w:tcPr>
          <w:p w:rsidR="0074061D" w:rsidRPr="00C142AC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C142AC">
              <w:rPr>
                <w:rFonts w:ascii="Arial Narrow" w:hAnsi="Arial Narrow"/>
                <w:sz w:val="19"/>
                <w:szCs w:val="19"/>
              </w:rPr>
              <w:t>DPMQ $</w:t>
            </w:r>
            <w:r w:rsidR="007C6ACB">
              <w:rPr>
                <w:rFonts w:ascii="Arial Narrow" w:hAnsi="Arial Narrow"/>
                <w:noProof/>
                <w:color w:val="000000"/>
                <w:sz w:val="19"/>
                <w:szCs w:val="19"/>
                <w:highlight w:val="black"/>
              </w:rPr>
              <w:t>''''''''''''''''''''''</w:t>
            </w:r>
            <w:r w:rsidRPr="00C142AC">
              <w:rPr>
                <w:rFonts w:ascii="Arial Narrow" w:hAnsi="Arial Narrow"/>
                <w:sz w:val="19"/>
                <w:szCs w:val="19"/>
              </w:rPr>
              <w:t xml:space="preserve"> (Public) effective price</w:t>
            </w:r>
          </w:p>
          <w:p w:rsidR="0074061D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C142AC">
              <w:rPr>
                <w:rFonts w:ascii="Arial Narrow" w:hAnsi="Arial Narrow"/>
                <w:sz w:val="19"/>
                <w:szCs w:val="19"/>
              </w:rPr>
              <w:t>DPMQ $</w:t>
            </w:r>
            <w:r w:rsidR="007C6ACB">
              <w:rPr>
                <w:rFonts w:ascii="Arial Narrow" w:hAnsi="Arial Narrow"/>
                <w:noProof/>
                <w:color w:val="000000"/>
                <w:sz w:val="19"/>
                <w:szCs w:val="19"/>
                <w:highlight w:val="black"/>
              </w:rPr>
              <w:t>''''''''''''''''''''''</w:t>
            </w:r>
            <w:r w:rsidRPr="00C142AC">
              <w:rPr>
                <w:rFonts w:ascii="Arial Narrow" w:hAnsi="Arial Narrow"/>
                <w:sz w:val="19"/>
                <w:szCs w:val="19"/>
              </w:rPr>
              <w:t xml:space="preserve"> (Private) effective price</w:t>
            </w:r>
          </w:p>
          <w:p w:rsidR="0074061D" w:rsidRPr="00D93CD4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348" w:type="dxa"/>
          </w:tcPr>
          <w:p w:rsidR="0074061D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C142AC">
              <w:rPr>
                <w:rFonts w:ascii="Arial Narrow" w:hAnsi="Arial Narrow"/>
                <w:sz w:val="19"/>
                <w:szCs w:val="19"/>
              </w:rPr>
              <w:t>Effective price</w:t>
            </w:r>
          </w:p>
          <w:p w:rsidR="0074061D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DPMQ $</w:t>
            </w:r>
            <w:r w:rsidR="007C6ACB">
              <w:rPr>
                <w:rFonts w:ascii="Arial Narrow" w:hAnsi="Arial Narrow"/>
                <w:noProof/>
                <w:color w:val="000000"/>
                <w:sz w:val="19"/>
                <w:szCs w:val="19"/>
                <w:highlight w:val="black"/>
              </w:rPr>
              <w:t>'''''''''''''''''''</w:t>
            </w:r>
            <w:r>
              <w:rPr>
                <w:rFonts w:ascii="Arial Narrow" w:hAnsi="Arial Narrow"/>
                <w:sz w:val="19"/>
                <w:szCs w:val="19"/>
              </w:rPr>
              <w:t xml:space="preserve"> (Public)</w:t>
            </w:r>
          </w:p>
          <w:p w:rsidR="0074061D" w:rsidRPr="00C142AC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DPMQ $</w:t>
            </w:r>
            <w:r w:rsidR="007C6ACB">
              <w:rPr>
                <w:rFonts w:ascii="Arial Narrow" w:hAnsi="Arial Narrow"/>
                <w:noProof/>
                <w:color w:val="000000"/>
                <w:sz w:val="19"/>
                <w:szCs w:val="19"/>
                <w:highlight w:val="black"/>
              </w:rPr>
              <w:t>'''''''''''''''''''''''</w:t>
            </w:r>
            <w:r>
              <w:rPr>
                <w:rFonts w:ascii="Arial Narrow" w:hAnsi="Arial Narrow"/>
                <w:sz w:val="19"/>
                <w:szCs w:val="19"/>
              </w:rPr>
              <w:t xml:space="preserve"> (Private)</w:t>
            </w:r>
          </w:p>
          <w:p w:rsidR="0074061D" w:rsidRPr="00C142AC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C142AC">
              <w:rPr>
                <w:rFonts w:ascii="Arial Narrow" w:hAnsi="Arial Narrow"/>
                <w:sz w:val="19"/>
                <w:szCs w:val="19"/>
              </w:rPr>
              <w:t xml:space="preserve">Published price </w:t>
            </w:r>
          </w:p>
          <w:p w:rsidR="0074061D" w:rsidRPr="00C142AC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C142AC">
              <w:rPr>
                <w:rFonts w:ascii="Arial Narrow" w:hAnsi="Arial Narrow"/>
                <w:sz w:val="19"/>
                <w:szCs w:val="19"/>
              </w:rPr>
              <w:t>DPMQ $</w:t>
            </w:r>
            <w:r w:rsidR="007C6ACB">
              <w:rPr>
                <w:rFonts w:ascii="Arial Narrow" w:hAnsi="Arial Narrow"/>
                <w:noProof/>
                <w:color w:val="000000"/>
                <w:sz w:val="19"/>
                <w:szCs w:val="19"/>
                <w:highlight w:val="black"/>
              </w:rPr>
              <w:t>''''''''''''''''''''''</w:t>
            </w:r>
            <w:r w:rsidRPr="00C142AC">
              <w:rPr>
                <w:rFonts w:ascii="Arial Narrow" w:hAnsi="Arial Narrow"/>
                <w:sz w:val="19"/>
                <w:szCs w:val="19"/>
              </w:rPr>
              <w:t xml:space="preserve"> (Public)</w:t>
            </w:r>
          </w:p>
          <w:p w:rsidR="0074061D" w:rsidRPr="00D93CD4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C142AC">
              <w:rPr>
                <w:rFonts w:ascii="Arial Narrow" w:hAnsi="Arial Narrow"/>
                <w:sz w:val="19"/>
                <w:szCs w:val="19"/>
              </w:rPr>
              <w:t>DPMQ $</w:t>
            </w:r>
            <w:r w:rsidR="007C6ACB">
              <w:rPr>
                <w:rFonts w:ascii="Arial Narrow" w:hAnsi="Arial Narrow"/>
                <w:noProof/>
                <w:color w:val="000000"/>
                <w:sz w:val="19"/>
                <w:szCs w:val="19"/>
                <w:highlight w:val="black"/>
              </w:rPr>
              <w:t>'''''''''''''''''''</w:t>
            </w:r>
            <w:r w:rsidRPr="00C142AC">
              <w:rPr>
                <w:rFonts w:ascii="Arial Narrow" w:hAnsi="Arial Narrow"/>
                <w:sz w:val="19"/>
                <w:szCs w:val="19"/>
              </w:rPr>
              <w:t xml:space="preserve"> (Private)</w:t>
            </w:r>
          </w:p>
        </w:tc>
      </w:tr>
      <w:tr w:rsidR="0074061D" w:rsidRPr="00ED0F04">
        <w:trPr>
          <w:trHeight w:val="642"/>
        </w:trPr>
        <w:tc>
          <w:tcPr>
            <w:tcW w:w="851" w:type="dxa"/>
          </w:tcPr>
          <w:p w:rsidR="0074061D" w:rsidRPr="00ED0F04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ED0F04">
              <w:rPr>
                <w:rFonts w:ascii="Arial Narrow" w:hAnsi="Arial Narrow"/>
                <w:sz w:val="19"/>
                <w:szCs w:val="19"/>
              </w:rPr>
              <w:t>Main comparator</w:t>
            </w:r>
          </w:p>
        </w:tc>
        <w:tc>
          <w:tcPr>
            <w:tcW w:w="5244" w:type="dxa"/>
          </w:tcPr>
          <w:p w:rsidR="0074061D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S</w:t>
            </w:r>
            <w:r w:rsidRPr="00D93CD4">
              <w:rPr>
                <w:rFonts w:ascii="Arial Narrow" w:hAnsi="Arial Narrow"/>
                <w:sz w:val="19"/>
                <w:szCs w:val="19"/>
              </w:rPr>
              <w:t xml:space="preserve">tandard of care, comprising 5-aminosalicylates, corticosteroids and </w:t>
            </w:r>
            <w:proofErr w:type="spellStart"/>
            <w:r w:rsidRPr="00D93CD4">
              <w:rPr>
                <w:rFonts w:ascii="Arial Narrow" w:hAnsi="Arial Narrow"/>
                <w:sz w:val="19"/>
                <w:szCs w:val="19"/>
              </w:rPr>
              <w:t>immunomodulators</w:t>
            </w:r>
            <w:proofErr w:type="spellEnd"/>
            <w:r w:rsidRPr="00D93CD4"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  <w:p w:rsidR="0074061D" w:rsidRPr="00ED0F04" w:rsidRDefault="0074061D" w:rsidP="00D41354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D93CD4">
              <w:rPr>
                <w:rFonts w:ascii="Arial Narrow" w:hAnsi="Arial Narrow"/>
                <w:b/>
                <w:sz w:val="19"/>
                <w:szCs w:val="19"/>
              </w:rPr>
              <w:t>PBAC Comment:</w:t>
            </w:r>
            <w:r>
              <w:rPr>
                <w:rFonts w:ascii="Arial Narrow" w:hAnsi="Arial Narrow"/>
                <w:sz w:val="19"/>
                <w:szCs w:val="19"/>
              </w:rPr>
              <w:t xml:space="preserve"> ‘.</w:t>
            </w:r>
            <w:r w:rsidRPr="00D93CD4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gramStart"/>
            <w:r w:rsidRPr="00D93CD4">
              <w:rPr>
                <w:rFonts w:ascii="Arial Narrow" w:hAnsi="Arial Narrow"/>
                <w:sz w:val="19"/>
                <w:szCs w:val="19"/>
              </w:rPr>
              <w:t>the</w:t>
            </w:r>
            <w:proofErr w:type="gramEnd"/>
            <w:r w:rsidRPr="00D93CD4">
              <w:rPr>
                <w:rFonts w:ascii="Arial Narrow" w:hAnsi="Arial Narrow"/>
                <w:sz w:val="19"/>
                <w:szCs w:val="19"/>
              </w:rPr>
              <w:t xml:space="preserve"> ESC advised that this was the appropriate comparator on the assumption that adalimumab and infliximab are not PBS listed for ulcerative colitis.</w:t>
            </w:r>
            <w:r>
              <w:rPr>
                <w:rFonts w:ascii="Arial Narrow" w:hAnsi="Arial Narrow"/>
                <w:sz w:val="19"/>
                <w:szCs w:val="19"/>
              </w:rPr>
              <w:t>’ 5.3</w:t>
            </w:r>
            <w:r w:rsidRPr="00D93CD4">
              <w:rPr>
                <w:rFonts w:ascii="Arial Narrow" w:hAnsi="Arial Narrow"/>
                <w:sz w:val="19"/>
                <w:szCs w:val="19"/>
              </w:rPr>
              <w:t xml:space="preserve">, </w:t>
            </w:r>
            <w:r>
              <w:rPr>
                <w:rFonts w:ascii="Arial Narrow" w:hAnsi="Arial Narrow"/>
                <w:sz w:val="19"/>
                <w:szCs w:val="19"/>
              </w:rPr>
              <w:t>July</w:t>
            </w:r>
            <w:r w:rsidRPr="00D93CD4">
              <w:rPr>
                <w:rFonts w:ascii="Arial Narrow" w:hAnsi="Arial Narrow"/>
                <w:sz w:val="19"/>
                <w:szCs w:val="19"/>
              </w:rPr>
              <w:t xml:space="preserve"> 2014 PBAC Minutes</w:t>
            </w:r>
          </w:p>
        </w:tc>
        <w:tc>
          <w:tcPr>
            <w:tcW w:w="2348" w:type="dxa"/>
          </w:tcPr>
          <w:p w:rsidR="0074061D" w:rsidRPr="003F3F32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D93CD4">
              <w:rPr>
                <w:rFonts w:ascii="Arial Narrow" w:hAnsi="Arial Narrow"/>
                <w:sz w:val="19"/>
                <w:szCs w:val="19"/>
              </w:rPr>
              <w:t>Infliximab</w:t>
            </w:r>
            <w:r w:rsidR="005533FE">
              <w:rPr>
                <w:rFonts w:ascii="Arial Narrow" w:hAnsi="Arial Narrow"/>
                <w:sz w:val="19"/>
                <w:szCs w:val="19"/>
              </w:rPr>
              <w:t xml:space="preserve"> as it was listed on the PBS on 1 December 2014</w:t>
            </w:r>
          </w:p>
        </w:tc>
      </w:tr>
      <w:tr w:rsidR="0074061D" w:rsidRPr="00ED0F04">
        <w:trPr>
          <w:trHeight w:val="256"/>
        </w:trPr>
        <w:tc>
          <w:tcPr>
            <w:tcW w:w="851" w:type="dxa"/>
          </w:tcPr>
          <w:p w:rsidR="0074061D" w:rsidRPr="00ED0F04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ED0F04">
              <w:rPr>
                <w:rFonts w:ascii="Arial Narrow" w:hAnsi="Arial Narrow"/>
                <w:sz w:val="19"/>
                <w:szCs w:val="19"/>
              </w:rPr>
              <w:t>Clinical evidence</w:t>
            </w:r>
          </w:p>
        </w:tc>
        <w:tc>
          <w:tcPr>
            <w:tcW w:w="5244" w:type="dxa"/>
          </w:tcPr>
          <w:p w:rsidR="0074061D" w:rsidRPr="00ED0F04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One </w:t>
            </w:r>
            <w:proofErr w:type="spellStart"/>
            <w:r>
              <w:rPr>
                <w:rFonts w:ascii="Arial Narrow" w:hAnsi="Arial Narrow"/>
                <w:sz w:val="19"/>
                <w:szCs w:val="19"/>
              </w:rPr>
              <w:t>vedolizumab</w:t>
            </w:r>
            <w:proofErr w:type="spellEnd"/>
            <w:r>
              <w:rPr>
                <w:rFonts w:ascii="Arial Narrow" w:hAnsi="Arial Narrow"/>
                <w:sz w:val="19"/>
                <w:szCs w:val="19"/>
              </w:rPr>
              <w:t xml:space="preserve"> trial n=747 (374 induction and 373 maintenance)</w:t>
            </w:r>
          </w:p>
          <w:p w:rsidR="0074061D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Adalimumab – three trials, n=940 (260+494+186)</w:t>
            </w:r>
          </w:p>
          <w:p w:rsidR="0074061D" w:rsidRPr="00B6115A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3F3F32">
              <w:rPr>
                <w:rFonts w:ascii="Arial Narrow" w:hAnsi="Arial Narrow"/>
                <w:sz w:val="19"/>
                <w:szCs w:val="19"/>
              </w:rPr>
              <w:t>Infliximab – three trials, n=</w:t>
            </w:r>
            <w:r>
              <w:rPr>
                <w:rFonts w:ascii="Arial Narrow" w:hAnsi="Arial Narrow"/>
                <w:sz w:val="19"/>
                <w:szCs w:val="19"/>
              </w:rPr>
              <w:t>529</w:t>
            </w:r>
            <w:r w:rsidRPr="003F3F32"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sz w:val="19"/>
                <w:szCs w:val="19"/>
              </w:rPr>
              <w:t>(242</w:t>
            </w:r>
            <w:r w:rsidRPr="003F3F32">
              <w:rPr>
                <w:rFonts w:ascii="Arial Narrow" w:hAnsi="Arial Narrow"/>
                <w:sz w:val="19"/>
                <w:szCs w:val="19"/>
              </w:rPr>
              <w:t>+</w:t>
            </w:r>
            <w:r>
              <w:rPr>
                <w:rFonts w:ascii="Arial Narrow" w:hAnsi="Arial Narrow"/>
                <w:sz w:val="19"/>
                <w:szCs w:val="19"/>
              </w:rPr>
              <w:t>244+</w:t>
            </w:r>
            <w:r w:rsidRPr="003F3F32">
              <w:rPr>
                <w:rFonts w:ascii="Arial Narrow" w:hAnsi="Arial Narrow"/>
                <w:sz w:val="19"/>
                <w:szCs w:val="19"/>
              </w:rPr>
              <w:t>43)</w:t>
            </w:r>
          </w:p>
        </w:tc>
        <w:tc>
          <w:tcPr>
            <w:tcW w:w="2348" w:type="dxa"/>
          </w:tcPr>
          <w:p w:rsidR="0074061D" w:rsidRPr="003F3F32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Same trials (adalimumab in Appendix)</w:t>
            </w:r>
          </w:p>
        </w:tc>
      </w:tr>
      <w:tr w:rsidR="0074061D" w:rsidRPr="00ED0F04">
        <w:trPr>
          <w:trHeight w:val="681"/>
        </w:trPr>
        <w:tc>
          <w:tcPr>
            <w:tcW w:w="851" w:type="dxa"/>
          </w:tcPr>
          <w:p w:rsidR="0074061D" w:rsidRPr="00ED0F04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ED0F04">
              <w:rPr>
                <w:rFonts w:ascii="Arial Narrow" w:hAnsi="Arial Narrow"/>
                <w:sz w:val="19"/>
                <w:szCs w:val="19"/>
              </w:rPr>
              <w:t>Key effectiveness data</w:t>
            </w:r>
          </w:p>
        </w:tc>
        <w:tc>
          <w:tcPr>
            <w:tcW w:w="5244" w:type="dxa"/>
          </w:tcPr>
          <w:p w:rsidR="0074061D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601A8D">
              <w:rPr>
                <w:rFonts w:ascii="Arial Narrow" w:hAnsi="Arial Narrow"/>
                <w:sz w:val="19"/>
                <w:szCs w:val="19"/>
              </w:rPr>
              <w:t>•</w:t>
            </w:r>
            <w:r>
              <w:rPr>
                <w:rFonts w:ascii="Arial Narrow" w:hAnsi="Arial Narrow"/>
                <w:sz w:val="19"/>
                <w:szCs w:val="19"/>
              </w:rPr>
              <w:t>Clinical response at week 6 RD 21.7 (11.6, 31.7) compared to placebo</w:t>
            </w:r>
          </w:p>
          <w:p w:rsidR="0074061D" w:rsidRPr="00ED0F04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601A8D">
              <w:rPr>
                <w:rFonts w:ascii="Arial Narrow" w:hAnsi="Arial Narrow"/>
                <w:sz w:val="19"/>
                <w:szCs w:val="19"/>
              </w:rPr>
              <w:t>•</w:t>
            </w:r>
            <w:r>
              <w:rPr>
                <w:rFonts w:ascii="Arial Narrow" w:hAnsi="Arial Narrow"/>
                <w:sz w:val="19"/>
                <w:szCs w:val="19"/>
              </w:rPr>
              <w:t>Clinical remission at week 52 RD 26.1 (14.9, 37.2) compared to placebo</w:t>
            </w:r>
          </w:p>
          <w:p w:rsidR="0074061D" w:rsidRPr="00ED0F04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ED0F04">
              <w:rPr>
                <w:rFonts w:ascii="Arial Narrow" w:hAnsi="Arial Narrow"/>
                <w:b/>
                <w:sz w:val="19"/>
                <w:szCs w:val="19"/>
              </w:rPr>
              <w:t>PBAC Comment:</w:t>
            </w:r>
            <w:r w:rsidRPr="00ED0F04"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sz w:val="19"/>
                <w:szCs w:val="19"/>
              </w:rPr>
              <w:t>‘</w:t>
            </w:r>
            <w:r w:rsidRPr="00601A8D">
              <w:rPr>
                <w:rFonts w:ascii="Arial Narrow" w:hAnsi="Arial Narrow"/>
                <w:sz w:val="19"/>
                <w:szCs w:val="19"/>
              </w:rPr>
              <w:t xml:space="preserve">Overall, the PBAC accepted that </w:t>
            </w:r>
            <w:proofErr w:type="spellStart"/>
            <w:r w:rsidRPr="00601A8D">
              <w:rPr>
                <w:rFonts w:ascii="Arial Narrow" w:hAnsi="Arial Narrow"/>
                <w:sz w:val="19"/>
                <w:szCs w:val="19"/>
              </w:rPr>
              <w:t>vedolizumab</w:t>
            </w:r>
            <w:proofErr w:type="spellEnd"/>
            <w:r w:rsidRPr="00601A8D">
              <w:rPr>
                <w:rFonts w:ascii="Arial Narrow" w:hAnsi="Arial Narrow"/>
                <w:sz w:val="19"/>
                <w:szCs w:val="19"/>
              </w:rPr>
              <w:t xml:space="preserve"> provides a greater response than placebo</w:t>
            </w:r>
            <w:r>
              <w:rPr>
                <w:rFonts w:ascii="Arial Narrow" w:hAnsi="Arial Narrow"/>
                <w:sz w:val="19"/>
                <w:szCs w:val="19"/>
              </w:rPr>
              <w:t>’ 7.6</w:t>
            </w:r>
            <w:r w:rsidRPr="00601A8D">
              <w:rPr>
                <w:rFonts w:ascii="Arial Narrow" w:hAnsi="Arial Narrow"/>
                <w:sz w:val="19"/>
                <w:szCs w:val="19"/>
              </w:rPr>
              <w:t xml:space="preserve">, </w:t>
            </w:r>
            <w:r>
              <w:rPr>
                <w:rFonts w:ascii="Arial Narrow" w:hAnsi="Arial Narrow"/>
                <w:sz w:val="19"/>
                <w:szCs w:val="19"/>
              </w:rPr>
              <w:t>July</w:t>
            </w:r>
            <w:r w:rsidRPr="00601A8D">
              <w:rPr>
                <w:rFonts w:ascii="Arial Narrow" w:hAnsi="Arial Narrow"/>
                <w:sz w:val="19"/>
                <w:szCs w:val="19"/>
              </w:rPr>
              <w:t xml:space="preserve"> 2014 PBAC Minutes</w:t>
            </w:r>
          </w:p>
        </w:tc>
        <w:tc>
          <w:tcPr>
            <w:tcW w:w="2348" w:type="dxa"/>
          </w:tcPr>
          <w:p w:rsidR="0074061D" w:rsidRPr="0058383F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58383F">
              <w:rPr>
                <w:rFonts w:ascii="Arial Narrow" w:hAnsi="Arial Narrow"/>
                <w:sz w:val="19"/>
                <w:szCs w:val="19"/>
              </w:rPr>
              <w:t>Indirect comparison - IFX</w:t>
            </w:r>
          </w:p>
          <w:p w:rsidR="0074061D" w:rsidRPr="0058383F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58383F">
              <w:rPr>
                <w:rFonts w:ascii="Arial Narrow" w:hAnsi="Arial Narrow"/>
                <w:sz w:val="19"/>
                <w:szCs w:val="19"/>
              </w:rPr>
              <w:t xml:space="preserve">•Clinical response, induction RR </w:t>
            </w:r>
            <w:r w:rsidR="007C6ACB">
              <w:rPr>
                <w:rFonts w:ascii="Arial Narrow" w:hAnsi="Arial Narrow"/>
                <w:noProof/>
                <w:color w:val="000000"/>
                <w:sz w:val="19"/>
                <w:szCs w:val="19"/>
                <w:highlight w:val="black"/>
              </w:rPr>
              <w:t>'''''''''' ''''''''''''' '''''''''''''</w:t>
            </w:r>
          </w:p>
          <w:p w:rsidR="0074061D" w:rsidRPr="0058383F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58383F">
              <w:rPr>
                <w:rFonts w:ascii="Arial Narrow" w:hAnsi="Arial Narrow"/>
                <w:sz w:val="19"/>
                <w:szCs w:val="19"/>
              </w:rPr>
              <w:t xml:space="preserve">•Clinical response, induction RR </w:t>
            </w:r>
            <w:r w:rsidR="007C6ACB">
              <w:rPr>
                <w:rFonts w:ascii="Arial Narrow" w:hAnsi="Arial Narrow"/>
                <w:noProof/>
                <w:color w:val="000000"/>
                <w:sz w:val="19"/>
                <w:szCs w:val="19"/>
                <w:highlight w:val="black"/>
              </w:rPr>
              <w:t>''''''''''' ''''''''''''' '''''''''''''</w:t>
            </w:r>
          </w:p>
          <w:p w:rsidR="0074061D" w:rsidRPr="0058383F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58383F">
              <w:rPr>
                <w:rFonts w:ascii="Arial Narrow" w:hAnsi="Arial Narrow"/>
                <w:sz w:val="19"/>
                <w:szCs w:val="19"/>
              </w:rPr>
              <w:t xml:space="preserve">•Clinical remission, maintenance </w:t>
            </w:r>
            <w:r w:rsidR="007C6ACB">
              <w:rPr>
                <w:rFonts w:ascii="Arial Narrow" w:hAnsi="Arial Narrow"/>
                <w:noProof/>
                <w:color w:val="000000"/>
                <w:sz w:val="19"/>
                <w:szCs w:val="19"/>
                <w:highlight w:val="black"/>
              </w:rPr>
              <w:t>''''''' '''''''''' ''''''''''''' '''''''''''''</w:t>
            </w:r>
          </w:p>
        </w:tc>
      </w:tr>
      <w:tr w:rsidR="0074061D" w:rsidRPr="00ED0F04">
        <w:trPr>
          <w:trHeight w:val="860"/>
        </w:trPr>
        <w:tc>
          <w:tcPr>
            <w:tcW w:w="851" w:type="dxa"/>
          </w:tcPr>
          <w:p w:rsidR="0074061D" w:rsidRPr="00ED0F04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ED0F04">
              <w:rPr>
                <w:rFonts w:ascii="Arial Narrow" w:hAnsi="Arial Narrow"/>
                <w:sz w:val="19"/>
                <w:szCs w:val="19"/>
              </w:rPr>
              <w:t>Key safety data</w:t>
            </w:r>
          </w:p>
        </w:tc>
        <w:tc>
          <w:tcPr>
            <w:tcW w:w="5244" w:type="dxa"/>
          </w:tcPr>
          <w:p w:rsidR="0074061D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601A8D">
              <w:rPr>
                <w:rFonts w:ascii="Arial Narrow" w:hAnsi="Arial Narrow"/>
                <w:sz w:val="19"/>
                <w:szCs w:val="19"/>
              </w:rPr>
              <w:t>•</w:t>
            </w:r>
            <w:r>
              <w:rPr>
                <w:rFonts w:ascii="Arial Narrow" w:hAnsi="Arial Narrow"/>
                <w:sz w:val="19"/>
                <w:szCs w:val="19"/>
              </w:rPr>
              <w:t>Lack of randomised trial data due to trial design</w:t>
            </w:r>
          </w:p>
          <w:p w:rsidR="0074061D" w:rsidRPr="00601A8D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601A8D">
              <w:rPr>
                <w:rFonts w:ascii="Arial Narrow" w:hAnsi="Arial Narrow"/>
                <w:sz w:val="19"/>
                <w:szCs w:val="19"/>
              </w:rPr>
              <w:t xml:space="preserve">•Due to the pharmacological class, </w:t>
            </w:r>
            <w:proofErr w:type="spellStart"/>
            <w:r w:rsidRPr="00601A8D">
              <w:rPr>
                <w:rFonts w:ascii="Arial Narrow" w:hAnsi="Arial Narrow"/>
                <w:sz w:val="19"/>
                <w:szCs w:val="19"/>
              </w:rPr>
              <w:t>vedolizumab</w:t>
            </w:r>
            <w:proofErr w:type="spellEnd"/>
            <w:r w:rsidRPr="00601A8D">
              <w:rPr>
                <w:rFonts w:ascii="Arial Narrow" w:hAnsi="Arial Narrow"/>
                <w:sz w:val="19"/>
                <w:szCs w:val="19"/>
              </w:rPr>
              <w:t xml:space="preserve"> may be associated with an increased risk of PML </w:t>
            </w:r>
          </w:p>
          <w:p w:rsidR="0074061D" w:rsidRPr="00ED0F04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ED0F04">
              <w:rPr>
                <w:rFonts w:ascii="Arial Narrow" w:hAnsi="Arial Narrow"/>
                <w:b/>
                <w:sz w:val="19"/>
                <w:szCs w:val="19"/>
              </w:rPr>
              <w:t>PBAC Comment:</w:t>
            </w:r>
            <w:r w:rsidRPr="00ED0F04"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sz w:val="19"/>
                <w:szCs w:val="19"/>
              </w:rPr>
              <w:t>‘…</w:t>
            </w:r>
            <w:r w:rsidRPr="00601A8D">
              <w:rPr>
                <w:rFonts w:ascii="Arial Narrow" w:hAnsi="Arial Narrow"/>
                <w:sz w:val="19"/>
                <w:szCs w:val="19"/>
              </w:rPr>
              <w:t xml:space="preserve">although the submission claimed that there were no differences for the most common adverse events between the placebo and </w:t>
            </w:r>
            <w:proofErr w:type="spellStart"/>
            <w:r w:rsidRPr="00601A8D">
              <w:rPr>
                <w:rFonts w:ascii="Arial Narrow" w:hAnsi="Arial Narrow"/>
                <w:sz w:val="19"/>
                <w:szCs w:val="19"/>
              </w:rPr>
              <w:t>vedolizumab</w:t>
            </w:r>
            <w:proofErr w:type="spellEnd"/>
            <w:r w:rsidRPr="00601A8D">
              <w:rPr>
                <w:rFonts w:ascii="Arial Narrow" w:hAnsi="Arial Narrow"/>
                <w:sz w:val="19"/>
                <w:szCs w:val="19"/>
              </w:rPr>
              <w:t xml:space="preserve"> groups, the PBAC noted that the results were not derived from randomised treatment of 52 weeks of placebo or </w:t>
            </w:r>
            <w:proofErr w:type="spellStart"/>
            <w:r w:rsidRPr="00601A8D">
              <w:rPr>
                <w:rFonts w:ascii="Arial Narrow" w:hAnsi="Arial Narrow"/>
                <w:sz w:val="19"/>
                <w:szCs w:val="19"/>
              </w:rPr>
              <w:t>vedolizumab</w:t>
            </w:r>
            <w:proofErr w:type="spellEnd"/>
            <w:r w:rsidRPr="00601A8D">
              <w:rPr>
                <w:rFonts w:ascii="Arial Narrow" w:hAnsi="Arial Narrow"/>
                <w:sz w:val="19"/>
                <w:szCs w:val="19"/>
              </w:rPr>
              <w:t>. The PBAC therefore agreed that it was unclear what the impact of the lack of randomised trial data had on the overall claim for safety.</w:t>
            </w:r>
            <w:r>
              <w:rPr>
                <w:rFonts w:ascii="Arial Narrow" w:hAnsi="Arial Narrow"/>
                <w:sz w:val="19"/>
                <w:szCs w:val="19"/>
              </w:rPr>
              <w:t>’7.9</w:t>
            </w:r>
            <w:r w:rsidRPr="008F3A49">
              <w:rPr>
                <w:rFonts w:ascii="Arial Narrow" w:hAnsi="Arial Narrow"/>
                <w:sz w:val="19"/>
                <w:szCs w:val="19"/>
              </w:rPr>
              <w:t>, March 2014 PBAC Minutes</w:t>
            </w:r>
          </w:p>
        </w:tc>
        <w:tc>
          <w:tcPr>
            <w:tcW w:w="2348" w:type="dxa"/>
          </w:tcPr>
          <w:p w:rsidR="0074061D" w:rsidRPr="0058383F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58383F">
              <w:rPr>
                <w:rFonts w:ascii="Arial Narrow" w:hAnsi="Arial Narrow"/>
                <w:sz w:val="19"/>
                <w:szCs w:val="19"/>
              </w:rPr>
              <w:t>•Same</w:t>
            </w:r>
          </w:p>
        </w:tc>
      </w:tr>
      <w:tr w:rsidR="0074061D" w:rsidRPr="00ED0F04">
        <w:trPr>
          <w:trHeight w:val="860"/>
        </w:trPr>
        <w:tc>
          <w:tcPr>
            <w:tcW w:w="851" w:type="dxa"/>
          </w:tcPr>
          <w:p w:rsidR="0074061D" w:rsidRPr="00ED0F04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ED0F04">
              <w:rPr>
                <w:rFonts w:ascii="Arial Narrow" w:hAnsi="Arial Narrow"/>
                <w:sz w:val="19"/>
                <w:szCs w:val="19"/>
              </w:rPr>
              <w:t>Clinical claim</w:t>
            </w:r>
          </w:p>
        </w:tc>
        <w:tc>
          <w:tcPr>
            <w:tcW w:w="5244" w:type="dxa"/>
          </w:tcPr>
          <w:p w:rsidR="0074061D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D06652">
              <w:rPr>
                <w:rFonts w:ascii="Arial Narrow" w:hAnsi="Arial Narrow"/>
                <w:sz w:val="19"/>
                <w:szCs w:val="19"/>
              </w:rPr>
              <w:t xml:space="preserve">•The submission describes </w:t>
            </w:r>
            <w:proofErr w:type="spellStart"/>
            <w:r w:rsidRPr="00D06652">
              <w:rPr>
                <w:rFonts w:ascii="Arial Narrow" w:hAnsi="Arial Narrow"/>
                <w:sz w:val="19"/>
                <w:szCs w:val="19"/>
              </w:rPr>
              <w:t>vedolizumab</w:t>
            </w:r>
            <w:proofErr w:type="spellEnd"/>
            <w:r w:rsidRPr="00D06652">
              <w:rPr>
                <w:rFonts w:ascii="Arial Narrow" w:hAnsi="Arial Narrow"/>
                <w:sz w:val="19"/>
                <w:szCs w:val="19"/>
              </w:rPr>
              <w:t xml:space="preserve"> as superior in terms of comparative effectiveness and non-inferior in terms of comparative safety over placebo.</w:t>
            </w:r>
          </w:p>
          <w:p w:rsidR="0074061D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D06652">
              <w:rPr>
                <w:rFonts w:ascii="Arial Narrow" w:hAnsi="Arial Narrow"/>
                <w:sz w:val="19"/>
                <w:szCs w:val="19"/>
              </w:rPr>
              <w:t xml:space="preserve">•The submission describes </w:t>
            </w:r>
            <w:proofErr w:type="spellStart"/>
            <w:r w:rsidRPr="00D06652">
              <w:rPr>
                <w:rFonts w:ascii="Arial Narrow" w:hAnsi="Arial Narrow"/>
                <w:sz w:val="19"/>
                <w:szCs w:val="19"/>
              </w:rPr>
              <w:t>vedolizumab</w:t>
            </w:r>
            <w:proofErr w:type="spellEnd"/>
            <w:r w:rsidRPr="00D06652">
              <w:rPr>
                <w:rFonts w:ascii="Arial Narrow" w:hAnsi="Arial Narrow"/>
                <w:sz w:val="19"/>
                <w:szCs w:val="19"/>
              </w:rPr>
              <w:t xml:space="preserve"> as non-inferior in terms of comparative effectiveness and non-inferior in terms of comparative safety over adalimumab.</w:t>
            </w:r>
          </w:p>
          <w:p w:rsidR="0074061D" w:rsidRPr="00D06652" w:rsidRDefault="0074061D" w:rsidP="00B95E09">
            <w:pPr>
              <w:jc w:val="left"/>
              <w:rPr>
                <w:rFonts w:ascii="Arial Narrow" w:hAnsi="Arial Narrow"/>
                <w:b/>
                <w:sz w:val="19"/>
                <w:szCs w:val="19"/>
              </w:rPr>
            </w:pPr>
            <w:r w:rsidRPr="00D06652">
              <w:rPr>
                <w:rFonts w:ascii="Arial Narrow" w:hAnsi="Arial Narrow"/>
                <w:sz w:val="19"/>
                <w:szCs w:val="19"/>
              </w:rPr>
              <w:t xml:space="preserve">•The submission describes </w:t>
            </w:r>
            <w:proofErr w:type="spellStart"/>
            <w:r w:rsidRPr="00D06652">
              <w:rPr>
                <w:rFonts w:ascii="Arial Narrow" w:hAnsi="Arial Narrow"/>
                <w:sz w:val="19"/>
                <w:szCs w:val="19"/>
              </w:rPr>
              <w:t>vedolizumab</w:t>
            </w:r>
            <w:proofErr w:type="spellEnd"/>
            <w:r w:rsidRPr="00D06652">
              <w:rPr>
                <w:rFonts w:ascii="Arial Narrow" w:hAnsi="Arial Narrow"/>
                <w:sz w:val="19"/>
                <w:szCs w:val="19"/>
              </w:rPr>
              <w:t xml:space="preserve"> as non-inferior in terms of comparative effectiveness and non-inferior in terms of comparative safety over infliximab.</w:t>
            </w:r>
          </w:p>
          <w:p w:rsidR="0074061D" w:rsidRPr="00ED0F04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ED0F04">
              <w:rPr>
                <w:rFonts w:ascii="Arial Narrow" w:hAnsi="Arial Narrow"/>
                <w:b/>
                <w:sz w:val="19"/>
                <w:szCs w:val="19"/>
              </w:rPr>
              <w:lastRenderedPageBreak/>
              <w:t>PBAC Comment:</w:t>
            </w:r>
            <w:r w:rsidRPr="00ED0F04"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sz w:val="19"/>
                <w:szCs w:val="19"/>
              </w:rPr>
              <w:t>‘…</w:t>
            </w:r>
            <w:r w:rsidRPr="005464EA">
              <w:rPr>
                <w:rFonts w:ascii="Arial Narrow" w:hAnsi="Arial Narrow"/>
                <w:sz w:val="19"/>
                <w:szCs w:val="19"/>
              </w:rPr>
              <w:t xml:space="preserve">PBAC observed that both </w:t>
            </w:r>
            <w:proofErr w:type="spellStart"/>
            <w:r w:rsidRPr="005464EA">
              <w:rPr>
                <w:rFonts w:ascii="Arial Narrow" w:hAnsi="Arial Narrow"/>
                <w:sz w:val="19"/>
                <w:szCs w:val="19"/>
              </w:rPr>
              <w:t>vedolizumab</w:t>
            </w:r>
            <w:proofErr w:type="spellEnd"/>
            <w:r w:rsidRPr="005464EA">
              <w:rPr>
                <w:rFonts w:ascii="Arial Narrow" w:hAnsi="Arial Narrow"/>
                <w:sz w:val="19"/>
                <w:szCs w:val="19"/>
              </w:rPr>
              <w:t xml:space="preserve"> and infliximab showed statistically significant better response rates and remission rates at week 6-8 and 52 compared to placebo. The indirect comparison of infliximab and </w:t>
            </w:r>
            <w:proofErr w:type="spellStart"/>
            <w:r w:rsidRPr="005464EA">
              <w:rPr>
                <w:rFonts w:ascii="Arial Narrow" w:hAnsi="Arial Narrow"/>
                <w:sz w:val="19"/>
                <w:szCs w:val="19"/>
              </w:rPr>
              <w:t>vedolizumab</w:t>
            </w:r>
            <w:proofErr w:type="spellEnd"/>
            <w:r w:rsidRPr="005464EA">
              <w:rPr>
                <w:rFonts w:ascii="Arial Narrow" w:hAnsi="Arial Narrow"/>
                <w:sz w:val="19"/>
                <w:szCs w:val="19"/>
              </w:rPr>
              <w:t xml:space="preserve"> demonstrated a similar response rate for the two drugs. Noting the ESC’s caution on the interpretation of the results, the PBAC considered the results to show that </w:t>
            </w:r>
            <w:proofErr w:type="spellStart"/>
            <w:r w:rsidRPr="005464EA">
              <w:rPr>
                <w:rFonts w:ascii="Arial Narrow" w:hAnsi="Arial Narrow"/>
                <w:sz w:val="19"/>
                <w:szCs w:val="19"/>
              </w:rPr>
              <w:t>vedolizumab</w:t>
            </w:r>
            <w:proofErr w:type="spellEnd"/>
            <w:r w:rsidRPr="005464EA">
              <w:rPr>
                <w:rFonts w:ascii="Arial Narrow" w:hAnsi="Arial Narrow"/>
                <w:sz w:val="19"/>
                <w:szCs w:val="19"/>
              </w:rPr>
              <w:t xml:space="preserve"> has comparable efficacy to that of infliximab</w:t>
            </w:r>
            <w:r>
              <w:rPr>
                <w:rFonts w:ascii="Arial Narrow" w:hAnsi="Arial Narrow"/>
                <w:sz w:val="19"/>
                <w:szCs w:val="19"/>
              </w:rPr>
              <w:t>’</w:t>
            </w:r>
            <w:r w:rsidRPr="005464EA">
              <w:rPr>
                <w:rFonts w:ascii="Arial Narrow" w:hAnsi="Arial Narrow"/>
                <w:sz w:val="19"/>
                <w:szCs w:val="19"/>
              </w:rPr>
              <w:t>.[Item 7.7, March 2014 PBAC Minutes]</w:t>
            </w:r>
          </w:p>
        </w:tc>
        <w:tc>
          <w:tcPr>
            <w:tcW w:w="2348" w:type="dxa"/>
          </w:tcPr>
          <w:p w:rsidR="0074061D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4C478C">
              <w:rPr>
                <w:rFonts w:ascii="Arial Narrow" w:hAnsi="Arial Narrow"/>
                <w:sz w:val="19"/>
                <w:szCs w:val="19"/>
              </w:rPr>
              <w:lastRenderedPageBreak/>
              <w:t>•</w:t>
            </w:r>
            <w:proofErr w:type="spellStart"/>
            <w:r>
              <w:rPr>
                <w:rFonts w:ascii="Arial Narrow" w:hAnsi="Arial Narrow"/>
                <w:sz w:val="19"/>
                <w:szCs w:val="19"/>
              </w:rPr>
              <w:t>V</w:t>
            </w:r>
            <w:r w:rsidRPr="00F46937">
              <w:rPr>
                <w:rFonts w:ascii="Arial Narrow" w:hAnsi="Arial Narrow"/>
                <w:sz w:val="19"/>
                <w:szCs w:val="19"/>
              </w:rPr>
              <w:t>edolizumab</w:t>
            </w:r>
            <w:proofErr w:type="spellEnd"/>
            <w:r w:rsidRPr="00F46937">
              <w:rPr>
                <w:rFonts w:ascii="Arial Narrow" w:hAnsi="Arial Narrow"/>
                <w:sz w:val="19"/>
                <w:szCs w:val="19"/>
              </w:rPr>
              <w:t xml:space="preserve"> is non-inferior to infliximab both in terms of efficacy and safety</w:t>
            </w:r>
          </w:p>
          <w:p w:rsidR="0074061D" w:rsidRPr="00D06652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4C478C">
              <w:rPr>
                <w:rFonts w:ascii="Arial Narrow" w:hAnsi="Arial Narrow"/>
                <w:sz w:val="19"/>
                <w:szCs w:val="19"/>
              </w:rPr>
              <w:t>•</w:t>
            </w:r>
            <w:r>
              <w:rPr>
                <w:rFonts w:ascii="Arial Narrow" w:hAnsi="Arial Narrow"/>
                <w:sz w:val="19"/>
                <w:szCs w:val="19"/>
              </w:rPr>
              <w:t xml:space="preserve">Adalimumab indirect comparison in Appendix </w:t>
            </w:r>
          </w:p>
        </w:tc>
      </w:tr>
      <w:tr w:rsidR="0074061D" w:rsidRPr="00ED0F04">
        <w:trPr>
          <w:trHeight w:val="896"/>
        </w:trPr>
        <w:tc>
          <w:tcPr>
            <w:tcW w:w="851" w:type="dxa"/>
          </w:tcPr>
          <w:p w:rsidR="0074061D" w:rsidRPr="00ED0F04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ED0F04">
              <w:rPr>
                <w:rFonts w:ascii="Arial Narrow" w:hAnsi="Arial Narrow"/>
                <w:sz w:val="19"/>
                <w:szCs w:val="19"/>
              </w:rPr>
              <w:lastRenderedPageBreak/>
              <w:t>Economic evaluation</w:t>
            </w:r>
          </w:p>
        </w:tc>
        <w:tc>
          <w:tcPr>
            <w:tcW w:w="5244" w:type="dxa"/>
          </w:tcPr>
          <w:p w:rsidR="0074061D" w:rsidRPr="00ED0F04" w:rsidRDefault="0074061D" w:rsidP="00B95E09">
            <w:pPr>
              <w:jc w:val="left"/>
              <w:rPr>
                <w:rFonts w:ascii="Arial Narrow" w:hAnsi="Arial Narrow"/>
                <w:b/>
                <w:sz w:val="19"/>
                <w:szCs w:val="19"/>
              </w:rPr>
            </w:pPr>
            <w:r w:rsidRPr="00ED0F04">
              <w:rPr>
                <w:rFonts w:ascii="Arial Narrow" w:hAnsi="Arial Narrow"/>
                <w:sz w:val="19"/>
                <w:szCs w:val="19"/>
              </w:rPr>
              <w:t>•Cost-ut</w:t>
            </w:r>
            <w:r>
              <w:rPr>
                <w:rFonts w:ascii="Arial Narrow" w:hAnsi="Arial Narrow"/>
                <w:sz w:val="19"/>
                <w:szCs w:val="19"/>
              </w:rPr>
              <w:t>ility model: $</w:t>
            </w:r>
            <w:r w:rsidR="007C6ACB">
              <w:rPr>
                <w:rFonts w:ascii="Arial Narrow" w:hAnsi="Arial Narrow"/>
                <w:noProof/>
                <w:color w:val="000000"/>
                <w:sz w:val="19"/>
                <w:szCs w:val="19"/>
                <w:highlight w:val="black"/>
              </w:rPr>
              <w:t>'''''''''''''''''</w:t>
            </w:r>
            <w:r>
              <w:rPr>
                <w:rFonts w:ascii="Arial Narrow" w:hAnsi="Arial Narrow"/>
                <w:sz w:val="19"/>
                <w:szCs w:val="19"/>
              </w:rPr>
              <w:t>/QALY against standard of care.</w:t>
            </w:r>
          </w:p>
          <w:p w:rsidR="0074061D" w:rsidRPr="005E29A0" w:rsidRDefault="0074061D" w:rsidP="00B95E09">
            <w:pPr>
              <w:jc w:val="left"/>
              <w:rPr>
                <w:rFonts w:ascii="Arial Narrow" w:hAnsi="Arial Narrow"/>
                <w:b/>
                <w:sz w:val="19"/>
                <w:szCs w:val="19"/>
              </w:rPr>
            </w:pPr>
            <w:r w:rsidRPr="00ED0F04">
              <w:rPr>
                <w:rFonts w:ascii="Arial Narrow" w:hAnsi="Arial Narrow"/>
                <w:b/>
                <w:sz w:val="19"/>
                <w:szCs w:val="19"/>
              </w:rPr>
              <w:t>PBAC Comment:</w:t>
            </w:r>
            <w:r w:rsidRPr="00ED0F04"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sz w:val="19"/>
                <w:szCs w:val="19"/>
              </w:rPr>
              <w:t>re</w:t>
            </w:r>
            <w:r>
              <w:rPr>
                <w:rFonts w:ascii="Arial Narrow" w:hAnsi="Arial Narrow"/>
                <w:sz w:val="19"/>
                <w:szCs w:val="19"/>
              </w:rPr>
              <w:noBreakHyphen/>
              <w:t>specified base case $</w:t>
            </w:r>
            <w:r w:rsidR="007C6ACB">
              <w:rPr>
                <w:rFonts w:ascii="Arial Narrow" w:hAnsi="Arial Narrow"/>
                <w:noProof/>
                <w:color w:val="000000"/>
                <w:sz w:val="19"/>
                <w:szCs w:val="19"/>
                <w:highlight w:val="black"/>
              </w:rPr>
              <w:t>'''''''''''''''</w:t>
            </w:r>
            <w:r>
              <w:rPr>
                <w:rFonts w:ascii="Arial Narrow" w:hAnsi="Arial Narrow"/>
                <w:sz w:val="19"/>
                <w:szCs w:val="19"/>
              </w:rPr>
              <w:t>/</w:t>
            </w:r>
            <w:r w:rsidRPr="00DE0E0E">
              <w:rPr>
                <w:rFonts w:ascii="Arial Narrow" w:hAnsi="Arial Narrow"/>
                <w:sz w:val="19"/>
                <w:szCs w:val="19"/>
              </w:rPr>
              <w:t>QALY, [7</w:t>
            </w:r>
            <w:r>
              <w:rPr>
                <w:rFonts w:ascii="Arial Narrow" w:hAnsi="Arial Narrow"/>
                <w:sz w:val="19"/>
                <w:szCs w:val="19"/>
              </w:rPr>
              <w:t>.11</w:t>
            </w:r>
            <w:r w:rsidRPr="008F3A49">
              <w:rPr>
                <w:rFonts w:ascii="Arial Narrow" w:hAnsi="Arial Narrow"/>
                <w:sz w:val="19"/>
                <w:szCs w:val="19"/>
              </w:rPr>
              <w:t xml:space="preserve">, </w:t>
            </w:r>
            <w:r>
              <w:rPr>
                <w:rFonts w:ascii="Arial Narrow" w:hAnsi="Arial Narrow"/>
                <w:sz w:val="19"/>
                <w:szCs w:val="19"/>
              </w:rPr>
              <w:t>July</w:t>
            </w:r>
            <w:r w:rsidRPr="008F3A49">
              <w:rPr>
                <w:rFonts w:ascii="Arial Narrow" w:hAnsi="Arial Narrow"/>
                <w:sz w:val="19"/>
                <w:szCs w:val="19"/>
              </w:rPr>
              <w:t xml:space="preserve"> 2014 PBAC Minutes</w:t>
            </w:r>
            <w:r>
              <w:rPr>
                <w:rFonts w:ascii="Arial Narrow" w:hAnsi="Arial Narrow"/>
                <w:sz w:val="19"/>
                <w:szCs w:val="19"/>
              </w:rPr>
              <w:t>]</w:t>
            </w:r>
            <w:r>
              <w:t xml:space="preserve"> </w:t>
            </w:r>
            <w:r w:rsidRPr="009E706F">
              <w:rPr>
                <w:rFonts w:ascii="Arial Narrow" w:hAnsi="Arial Narrow"/>
                <w:sz w:val="19"/>
                <w:szCs w:val="19"/>
              </w:rPr>
              <w:t xml:space="preserve">‘It was noted that the submission’s proposed annual drug treatment costs per patient for </w:t>
            </w:r>
            <w:proofErr w:type="spellStart"/>
            <w:r w:rsidRPr="009E706F">
              <w:rPr>
                <w:rFonts w:ascii="Arial Narrow" w:hAnsi="Arial Narrow"/>
                <w:sz w:val="19"/>
                <w:szCs w:val="19"/>
              </w:rPr>
              <w:t>vedolizumab</w:t>
            </w:r>
            <w:proofErr w:type="spellEnd"/>
            <w:r w:rsidRPr="009E706F">
              <w:rPr>
                <w:rFonts w:ascii="Arial Narrow" w:hAnsi="Arial Narrow"/>
                <w:sz w:val="19"/>
                <w:szCs w:val="19"/>
              </w:rPr>
              <w:t xml:space="preserve"> was higher than that proposed for infliximab and adalimumab.[Item 7.12, July 2014 PBAC Minutes</w:t>
            </w:r>
            <w:r>
              <w:rPr>
                <w:rFonts w:ascii="Arial Narrow" w:hAnsi="Arial Narrow"/>
                <w:sz w:val="19"/>
                <w:szCs w:val="19"/>
              </w:rPr>
              <w:t>]</w:t>
            </w:r>
          </w:p>
        </w:tc>
        <w:tc>
          <w:tcPr>
            <w:tcW w:w="2348" w:type="dxa"/>
          </w:tcPr>
          <w:p w:rsidR="0074061D" w:rsidRPr="0044397E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ED0F04">
              <w:rPr>
                <w:rFonts w:ascii="Arial Narrow" w:hAnsi="Arial Narrow"/>
                <w:sz w:val="19"/>
                <w:szCs w:val="19"/>
              </w:rPr>
              <w:t>•Cost-minim</w:t>
            </w:r>
            <w:r>
              <w:rPr>
                <w:rFonts w:ascii="Arial Narrow" w:hAnsi="Arial Narrow"/>
                <w:sz w:val="19"/>
                <w:szCs w:val="19"/>
              </w:rPr>
              <w:t xml:space="preserve">isation with </w:t>
            </w:r>
            <w:proofErr w:type="spellStart"/>
            <w:r>
              <w:rPr>
                <w:rFonts w:ascii="Arial Narrow" w:hAnsi="Arial Narrow"/>
                <w:sz w:val="19"/>
                <w:szCs w:val="19"/>
              </w:rPr>
              <w:t>equi</w:t>
            </w:r>
            <w:proofErr w:type="spellEnd"/>
            <w:r>
              <w:rPr>
                <w:rFonts w:ascii="Arial Narrow" w:hAnsi="Arial Narrow"/>
                <w:sz w:val="19"/>
                <w:szCs w:val="19"/>
              </w:rPr>
              <w:noBreakHyphen/>
              <w:t>effective dose</w:t>
            </w:r>
            <w:r w:rsidRPr="00ED0F04"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sz w:val="19"/>
                <w:szCs w:val="19"/>
              </w:rPr>
              <w:t>$</w:t>
            </w:r>
            <w:r w:rsidR="007C6ACB">
              <w:rPr>
                <w:rFonts w:ascii="Arial Narrow" w:hAnsi="Arial Narrow"/>
                <w:noProof/>
                <w:color w:val="000000"/>
                <w:sz w:val="19"/>
                <w:szCs w:val="19"/>
                <w:highlight w:val="black"/>
              </w:rPr>
              <w:t>''''''''''''''''''''''''''</w:t>
            </w:r>
            <w:r>
              <w:rPr>
                <w:rFonts w:ascii="Arial Narrow" w:hAnsi="Arial Narrow"/>
                <w:sz w:val="19"/>
                <w:szCs w:val="19"/>
              </w:rPr>
              <w:t xml:space="preserve"> annual cost per maintenance year (</w:t>
            </w:r>
            <w:r w:rsidR="007C6ACB">
              <w:rPr>
                <w:rFonts w:ascii="Arial Narrow" w:hAnsi="Arial Narrow"/>
                <w:noProof/>
                <w:color w:val="000000"/>
                <w:sz w:val="19"/>
                <w:szCs w:val="19"/>
                <w:highlight w:val="black"/>
              </w:rPr>
              <w:t>''''''''</w:t>
            </w:r>
            <w:r>
              <w:rPr>
                <w:rFonts w:ascii="Arial Narrow" w:hAnsi="Arial Narrow"/>
                <w:sz w:val="19"/>
                <w:szCs w:val="19"/>
              </w:rPr>
              <w:t xml:space="preserve"> doses)</w:t>
            </w:r>
          </w:p>
        </w:tc>
      </w:tr>
      <w:tr w:rsidR="0074061D" w:rsidRPr="00ED0F04">
        <w:trPr>
          <w:trHeight w:val="845"/>
        </w:trPr>
        <w:tc>
          <w:tcPr>
            <w:tcW w:w="851" w:type="dxa"/>
          </w:tcPr>
          <w:p w:rsidR="0074061D" w:rsidRPr="00ED0F04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ED0F04">
              <w:rPr>
                <w:rFonts w:ascii="Arial Narrow" w:hAnsi="Arial Narrow"/>
                <w:sz w:val="19"/>
                <w:szCs w:val="19"/>
              </w:rPr>
              <w:t>Number of patients</w:t>
            </w:r>
          </w:p>
        </w:tc>
        <w:tc>
          <w:tcPr>
            <w:tcW w:w="5244" w:type="dxa"/>
          </w:tcPr>
          <w:p w:rsidR="0074061D" w:rsidRPr="009E706F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•</w:t>
            </w:r>
            <w:r w:rsidR="007C6ACB">
              <w:rPr>
                <w:rFonts w:ascii="Arial Narrow" w:hAnsi="Arial Narrow"/>
                <w:noProof/>
                <w:color w:val="000000"/>
                <w:sz w:val="19"/>
                <w:szCs w:val="19"/>
                <w:highlight w:val="black"/>
              </w:rPr>
              <w:t>'''''''''</w:t>
            </w:r>
            <w:r w:rsidRPr="00ED0F04"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sz w:val="19"/>
                <w:szCs w:val="19"/>
              </w:rPr>
              <w:t xml:space="preserve">in Year 1 increasing to </w:t>
            </w:r>
            <w:r w:rsidR="007C6ACB">
              <w:rPr>
                <w:rFonts w:ascii="Arial Narrow" w:hAnsi="Arial Narrow"/>
                <w:noProof/>
                <w:color w:val="000000"/>
                <w:sz w:val="19"/>
                <w:szCs w:val="19"/>
                <w:highlight w:val="black"/>
              </w:rPr>
              <w:t>'''''''''''''</w:t>
            </w:r>
            <w:r w:rsidRPr="00ED0F04">
              <w:rPr>
                <w:rFonts w:ascii="Arial Narrow" w:hAnsi="Arial Narrow"/>
                <w:sz w:val="19"/>
                <w:szCs w:val="19"/>
              </w:rPr>
              <w:t xml:space="preserve"> in Year 5.</w:t>
            </w:r>
          </w:p>
          <w:p w:rsidR="0074061D" w:rsidRPr="00ED0F04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9E706F">
              <w:rPr>
                <w:rFonts w:ascii="Arial Narrow" w:hAnsi="Arial Narrow"/>
                <w:b/>
                <w:sz w:val="19"/>
                <w:szCs w:val="19"/>
              </w:rPr>
              <w:t>PBAC Comment</w:t>
            </w:r>
            <w:r w:rsidRPr="009E706F">
              <w:rPr>
                <w:rFonts w:ascii="Arial Narrow" w:hAnsi="Arial Narrow"/>
                <w:sz w:val="19"/>
                <w:szCs w:val="19"/>
              </w:rPr>
              <w:t xml:space="preserve">: ‘…the PBAC considered estimates of the uptake rate of </w:t>
            </w:r>
            <w:proofErr w:type="spellStart"/>
            <w:r w:rsidRPr="009E706F">
              <w:rPr>
                <w:rFonts w:ascii="Arial Narrow" w:hAnsi="Arial Narrow"/>
                <w:sz w:val="19"/>
                <w:szCs w:val="19"/>
              </w:rPr>
              <w:t>vedolizumab</w:t>
            </w:r>
            <w:proofErr w:type="spellEnd"/>
            <w:r w:rsidRPr="009E706F">
              <w:rPr>
                <w:rFonts w:ascii="Arial Narrow" w:hAnsi="Arial Narrow"/>
                <w:sz w:val="19"/>
                <w:szCs w:val="19"/>
              </w:rPr>
              <w:t xml:space="preserve"> and the resulting financial implications to be unreliable.’</w:t>
            </w:r>
            <w:r>
              <w:rPr>
                <w:rFonts w:ascii="Arial Narrow" w:hAnsi="Arial Narrow"/>
                <w:sz w:val="19"/>
                <w:szCs w:val="19"/>
              </w:rPr>
              <w:t xml:space="preserve"> [</w:t>
            </w:r>
            <w:r w:rsidRPr="009E706F">
              <w:rPr>
                <w:rFonts w:ascii="Arial Narrow" w:hAnsi="Arial Narrow"/>
                <w:sz w:val="19"/>
                <w:szCs w:val="19"/>
              </w:rPr>
              <w:t>7.14, July 2014 PBAC Minutes</w:t>
            </w:r>
            <w:r>
              <w:rPr>
                <w:rFonts w:ascii="Arial Narrow" w:hAnsi="Arial Narrow"/>
                <w:sz w:val="19"/>
                <w:szCs w:val="19"/>
              </w:rPr>
              <w:t>]</w:t>
            </w:r>
          </w:p>
        </w:tc>
        <w:tc>
          <w:tcPr>
            <w:tcW w:w="2348" w:type="dxa"/>
          </w:tcPr>
          <w:p w:rsidR="0074061D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•Scenario 1: </w:t>
            </w:r>
            <w:r w:rsidR="007C6ACB">
              <w:rPr>
                <w:rFonts w:ascii="Arial Narrow" w:hAnsi="Arial Narrow"/>
                <w:noProof/>
                <w:color w:val="000000"/>
                <w:sz w:val="19"/>
                <w:szCs w:val="19"/>
                <w:highlight w:val="black"/>
              </w:rPr>
              <w:t>''''''''''''''</w:t>
            </w:r>
            <w:r w:rsidRPr="00ED0F04"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sz w:val="19"/>
                <w:szCs w:val="19"/>
              </w:rPr>
              <w:t xml:space="preserve">in Year decreasing to </w:t>
            </w:r>
            <w:r w:rsidR="007C6ACB">
              <w:rPr>
                <w:rFonts w:ascii="Arial Narrow" w:hAnsi="Arial Narrow"/>
                <w:noProof/>
                <w:color w:val="000000"/>
                <w:sz w:val="19"/>
                <w:szCs w:val="19"/>
                <w:highlight w:val="black"/>
              </w:rPr>
              <w:t>'''''''''</w:t>
            </w:r>
            <w:r w:rsidRPr="00ED0F04">
              <w:rPr>
                <w:rFonts w:ascii="Arial Narrow" w:hAnsi="Arial Narrow"/>
                <w:sz w:val="19"/>
                <w:szCs w:val="19"/>
              </w:rPr>
              <w:t xml:space="preserve"> in Year 5.</w:t>
            </w:r>
          </w:p>
          <w:p w:rsidR="0074061D" w:rsidRPr="001F200D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•Scenario 2: </w:t>
            </w:r>
            <w:r w:rsidR="007C6ACB">
              <w:rPr>
                <w:rFonts w:ascii="Arial Narrow" w:hAnsi="Arial Narrow"/>
                <w:noProof/>
                <w:color w:val="000000"/>
                <w:sz w:val="19"/>
                <w:szCs w:val="19"/>
                <w:highlight w:val="black"/>
              </w:rPr>
              <w:t>''''''''''''''</w:t>
            </w:r>
            <w:r w:rsidRPr="00ED0F04"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sz w:val="19"/>
                <w:szCs w:val="19"/>
              </w:rPr>
              <w:t xml:space="preserve">in Year 1 decreasing to </w:t>
            </w:r>
            <w:r w:rsidR="007C6ACB">
              <w:rPr>
                <w:rFonts w:ascii="Arial Narrow" w:hAnsi="Arial Narrow"/>
                <w:noProof/>
                <w:color w:val="000000"/>
                <w:sz w:val="19"/>
                <w:szCs w:val="19"/>
                <w:highlight w:val="black"/>
              </w:rPr>
              <w:t>'''''''''''''</w:t>
            </w:r>
            <w:r w:rsidRPr="00ED0F04">
              <w:rPr>
                <w:rFonts w:ascii="Arial Narrow" w:hAnsi="Arial Narrow"/>
                <w:sz w:val="19"/>
                <w:szCs w:val="19"/>
              </w:rPr>
              <w:t xml:space="preserve"> in Year 5.</w:t>
            </w:r>
          </w:p>
        </w:tc>
      </w:tr>
      <w:tr w:rsidR="0074061D" w:rsidRPr="00ED0F04">
        <w:trPr>
          <w:trHeight w:val="888"/>
        </w:trPr>
        <w:tc>
          <w:tcPr>
            <w:tcW w:w="851" w:type="dxa"/>
          </w:tcPr>
          <w:p w:rsidR="0074061D" w:rsidRPr="00ED0F04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ED0F04">
              <w:rPr>
                <w:rFonts w:ascii="Arial Narrow" w:hAnsi="Arial Narrow"/>
                <w:sz w:val="19"/>
                <w:szCs w:val="19"/>
              </w:rPr>
              <w:t>Estimated cost to PBS</w:t>
            </w:r>
          </w:p>
        </w:tc>
        <w:tc>
          <w:tcPr>
            <w:tcW w:w="5244" w:type="dxa"/>
          </w:tcPr>
          <w:p w:rsidR="0074061D" w:rsidRPr="00ED0F04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$</w:t>
            </w:r>
            <w:r w:rsidR="007C6ACB">
              <w:rPr>
                <w:rFonts w:ascii="Arial Narrow" w:hAnsi="Arial Narrow"/>
                <w:noProof/>
                <w:color w:val="000000"/>
                <w:sz w:val="19"/>
                <w:szCs w:val="19"/>
                <w:highlight w:val="black"/>
              </w:rPr>
              <w:t>'''''''''''''''''''''''''</w:t>
            </w:r>
            <w:r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ED0F04">
              <w:rPr>
                <w:rFonts w:ascii="Arial Narrow" w:hAnsi="Arial Narrow"/>
                <w:sz w:val="19"/>
                <w:szCs w:val="19"/>
              </w:rPr>
              <w:t xml:space="preserve">in Year 1 increasing </w:t>
            </w:r>
            <w:r>
              <w:rPr>
                <w:rFonts w:ascii="Arial Narrow" w:hAnsi="Arial Narrow"/>
                <w:sz w:val="19"/>
                <w:szCs w:val="19"/>
              </w:rPr>
              <w:t>to $</w:t>
            </w:r>
            <w:r w:rsidR="007C6ACB">
              <w:rPr>
                <w:rFonts w:ascii="Arial Narrow" w:hAnsi="Arial Narrow"/>
                <w:noProof/>
                <w:color w:val="000000"/>
                <w:sz w:val="19"/>
                <w:szCs w:val="19"/>
                <w:highlight w:val="black"/>
              </w:rPr>
              <w:t>''''''''''''''''''''''''''</w:t>
            </w:r>
            <w:r w:rsidRPr="00ED0F04">
              <w:rPr>
                <w:rFonts w:ascii="Arial Narrow" w:hAnsi="Arial Narrow"/>
                <w:sz w:val="19"/>
                <w:szCs w:val="19"/>
              </w:rPr>
              <w:t xml:space="preserve"> i</w:t>
            </w:r>
            <w:r>
              <w:rPr>
                <w:rFonts w:ascii="Arial Narrow" w:hAnsi="Arial Narrow"/>
                <w:sz w:val="19"/>
                <w:szCs w:val="19"/>
              </w:rPr>
              <w:t>n Year 5 for a total of $</w:t>
            </w:r>
            <w:r w:rsidR="007C6ACB">
              <w:rPr>
                <w:rFonts w:ascii="Arial Narrow" w:hAnsi="Arial Narrow"/>
                <w:noProof/>
                <w:color w:val="000000"/>
                <w:sz w:val="19"/>
                <w:szCs w:val="19"/>
                <w:highlight w:val="black"/>
              </w:rPr>
              <w:t>''''''''''''''''''''''''''''</w:t>
            </w:r>
            <w:r w:rsidRPr="00ED0F04">
              <w:rPr>
                <w:rFonts w:ascii="Arial Narrow" w:hAnsi="Arial Narrow"/>
                <w:sz w:val="19"/>
                <w:szCs w:val="19"/>
              </w:rPr>
              <w:t xml:space="preserve"> over the first 5 years of listing.</w:t>
            </w:r>
          </w:p>
          <w:p w:rsidR="0074061D" w:rsidRPr="00ED0F04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348" w:type="dxa"/>
          </w:tcPr>
          <w:p w:rsidR="0074061D" w:rsidRPr="003B09F2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•$</w:t>
            </w:r>
            <w:r w:rsidR="007C6ACB">
              <w:rPr>
                <w:rFonts w:ascii="Arial Narrow" w:hAnsi="Arial Narrow"/>
                <w:noProof/>
                <w:color w:val="000000"/>
                <w:sz w:val="19"/>
                <w:szCs w:val="19"/>
                <w:highlight w:val="black"/>
              </w:rPr>
              <w:t>'''''''''''''''''''''''''</w:t>
            </w:r>
            <w:r>
              <w:rPr>
                <w:rFonts w:ascii="Arial Narrow" w:hAnsi="Arial Narrow"/>
                <w:sz w:val="19"/>
                <w:szCs w:val="19"/>
              </w:rPr>
              <w:t xml:space="preserve"> in Year 1 increasing to $</w:t>
            </w:r>
            <w:r w:rsidR="007C6ACB">
              <w:rPr>
                <w:rFonts w:ascii="Arial Narrow" w:hAnsi="Arial Narrow"/>
                <w:noProof/>
                <w:color w:val="000000"/>
                <w:sz w:val="19"/>
                <w:szCs w:val="19"/>
                <w:highlight w:val="black"/>
              </w:rPr>
              <w:t>''''''''''''''''''''''</w:t>
            </w:r>
            <w:r w:rsidRPr="00ED0F04">
              <w:rPr>
                <w:rFonts w:ascii="Arial Narrow" w:hAnsi="Arial Narrow"/>
                <w:sz w:val="19"/>
                <w:szCs w:val="19"/>
              </w:rPr>
              <w:t xml:space="preserve"> in Year 5 for a tot</w:t>
            </w:r>
            <w:r>
              <w:rPr>
                <w:rFonts w:ascii="Arial Narrow" w:hAnsi="Arial Narrow"/>
                <w:sz w:val="19"/>
                <w:szCs w:val="19"/>
              </w:rPr>
              <w:t>al of $</w:t>
            </w:r>
            <w:r w:rsidR="007C6ACB">
              <w:rPr>
                <w:rFonts w:ascii="Arial Narrow" w:hAnsi="Arial Narrow"/>
                <w:noProof/>
                <w:color w:val="000000"/>
                <w:sz w:val="19"/>
                <w:szCs w:val="19"/>
                <w:highlight w:val="black"/>
              </w:rPr>
              <w:t>'''''''''''''''''''''''''''</w:t>
            </w:r>
            <w:r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ED0F04">
              <w:rPr>
                <w:rFonts w:ascii="Arial Narrow" w:hAnsi="Arial Narrow"/>
                <w:sz w:val="19"/>
                <w:szCs w:val="19"/>
              </w:rPr>
              <w:t>over the first 5 years of listing.</w:t>
            </w:r>
            <w:r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</w:tc>
      </w:tr>
      <w:tr w:rsidR="0074061D" w:rsidRPr="00ED0F04">
        <w:trPr>
          <w:trHeight w:val="438"/>
        </w:trPr>
        <w:tc>
          <w:tcPr>
            <w:tcW w:w="851" w:type="dxa"/>
          </w:tcPr>
          <w:p w:rsidR="0074061D" w:rsidRPr="00ED0F04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ED0F04">
              <w:rPr>
                <w:rFonts w:ascii="Arial Narrow" w:hAnsi="Arial Narrow"/>
              </w:rPr>
              <w:br w:type="page"/>
            </w:r>
            <w:r w:rsidRPr="00ED0F04">
              <w:rPr>
                <w:rFonts w:ascii="Arial Narrow" w:hAnsi="Arial Narrow"/>
                <w:sz w:val="19"/>
                <w:szCs w:val="19"/>
              </w:rPr>
              <w:t>PBAC decision</w:t>
            </w:r>
          </w:p>
        </w:tc>
        <w:tc>
          <w:tcPr>
            <w:tcW w:w="5244" w:type="dxa"/>
          </w:tcPr>
          <w:p w:rsidR="0074061D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Reject.</w:t>
            </w:r>
          </w:p>
          <w:p w:rsidR="0074061D" w:rsidRPr="00ED0F04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‘..</w:t>
            </w:r>
            <w:r w:rsidRPr="007411CC">
              <w:rPr>
                <w:rFonts w:ascii="Arial Narrow" w:hAnsi="Arial Narrow"/>
                <w:sz w:val="19"/>
                <w:szCs w:val="19"/>
              </w:rPr>
              <w:t xml:space="preserve"> </w:t>
            </w:r>
            <w:proofErr w:type="gramStart"/>
            <w:r w:rsidRPr="007411CC">
              <w:rPr>
                <w:rFonts w:ascii="Arial Narrow" w:hAnsi="Arial Narrow"/>
                <w:sz w:val="19"/>
                <w:szCs w:val="19"/>
              </w:rPr>
              <w:t>on</w:t>
            </w:r>
            <w:proofErr w:type="gramEnd"/>
            <w:r w:rsidRPr="007411CC">
              <w:rPr>
                <w:rFonts w:ascii="Arial Narrow" w:hAnsi="Arial Narrow"/>
                <w:sz w:val="19"/>
                <w:szCs w:val="19"/>
              </w:rPr>
              <w:t xml:space="preserve"> the basis that the evidence presented did not conclusively establish non-inferiority of </w:t>
            </w:r>
            <w:proofErr w:type="spellStart"/>
            <w:r w:rsidRPr="007411CC">
              <w:rPr>
                <w:rFonts w:ascii="Arial Narrow" w:hAnsi="Arial Narrow"/>
                <w:sz w:val="19"/>
                <w:szCs w:val="19"/>
              </w:rPr>
              <w:t>vedolizumab</w:t>
            </w:r>
            <w:proofErr w:type="spellEnd"/>
            <w:r w:rsidRPr="007411CC">
              <w:rPr>
                <w:rFonts w:ascii="Arial Narrow" w:hAnsi="Arial Narrow"/>
                <w:sz w:val="19"/>
                <w:szCs w:val="19"/>
              </w:rPr>
              <w:t xml:space="preserve"> to infliximab in terms of comparative safety and effectiveness. Therefore a cost-minimisation listing was not able to be supported. The cost-effectiveness of listing </w:t>
            </w:r>
            <w:proofErr w:type="spellStart"/>
            <w:r w:rsidRPr="007411CC">
              <w:rPr>
                <w:rFonts w:ascii="Arial Narrow" w:hAnsi="Arial Narrow"/>
                <w:sz w:val="19"/>
                <w:szCs w:val="19"/>
              </w:rPr>
              <w:t>vedolizumab</w:t>
            </w:r>
            <w:proofErr w:type="spellEnd"/>
            <w:r w:rsidRPr="007411CC">
              <w:rPr>
                <w:rFonts w:ascii="Arial Narrow" w:hAnsi="Arial Narrow"/>
                <w:sz w:val="19"/>
                <w:szCs w:val="19"/>
              </w:rPr>
              <w:t xml:space="preserve"> compared to placebo was unacceptably high.</w:t>
            </w:r>
            <w:r>
              <w:rPr>
                <w:rFonts w:ascii="Arial Narrow" w:hAnsi="Arial Narrow"/>
                <w:sz w:val="19"/>
                <w:szCs w:val="19"/>
              </w:rPr>
              <w:t>..’ [7.1, July 2014 PBAC Minutes[</w:t>
            </w:r>
          </w:p>
        </w:tc>
        <w:tc>
          <w:tcPr>
            <w:tcW w:w="2348" w:type="dxa"/>
          </w:tcPr>
          <w:p w:rsidR="0074061D" w:rsidRPr="007411CC" w:rsidRDefault="0074061D" w:rsidP="00B95E09">
            <w:pPr>
              <w:jc w:val="left"/>
              <w:rPr>
                <w:rFonts w:ascii="Arial Narrow" w:hAnsi="Arial Narrow"/>
                <w:sz w:val="19"/>
                <w:szCs w:val="19"/>
              </w:rPr>
            </w:pPr>
            <w:r w:rsidRPr="00ED0F04">
              <w:rPr>
                <w:rFonts w:ascii="Arial Narrow" w:hAnsi="Arial Narrow"/>
                <w:sz w:val="19"/>
                <w:szCs w:val="19"/>
              </w:rPr>
              <w:t>-</w:t>
            </w:r>
          </w:p>
        </w:tc>
      </w:tr>
    </w:tbl>
    <w:p w:rsidR="0074061D" w:rsidRDefault="0074061D" w:rsidP="0074061D">
      <w:pPr>
        <w:pStyle w:val="TableFooter"/>
        <w:ind w:firstLine="720"/>
      </w:pPr>
      <w:r>
        <w:t>IFX = infliximab</w:t>
      </w:r>
    </w:p>
    <w:p w:rsidR="002F2180" w:rsidRDefault="0074061D" w:rsidP="00C2317B">
      <w:pPr>
        <w:pStyle w:val="TableFooter"/>
        <w:ind w:firstLine="720"/>
      </w:pPr>
      <w:r w:rsidRPr="001D112E">
        <w:t xml:space="preserve">Source: </w:t>
      </w:r>
      <w:r>
        <w:t xml:space="preserve">5.19, July 2014, PBAC Minutes. </w:t>
      </w:r>
      <w:proofErr w:type="gramStart"/>
      <w:r w:rsidRPr="001D112E">
        <w:t>Compiled during the evaluation</w:t>
      </w:r>
      <w:r>
        <w:t>.</w:t>
      </w:r>
      <w:proofErr w:type="gramEnd"/>
    </w:p>
    <w:p w:rsidR="00601043" w:rsidRPr="000942A4" w:rsidRDefault="00601043" w:rsidP="00C2317B">
      <w:pPr>
        <w:pStyle w:val="TableFooter"/>
        <w:ind w:firstLine="720"/>
        <w:rPr>
          <w:rFonts w:ascii="Arial" w:hAnsi="Arial"/>
          <w:sz w:val="22"/>
          <w:szCs w:val="22"/>
        </w:rPr>
      </w:pPr>
    </w:p>
    <w:p w:rsidR="00907698" w:rsidRPr="000942A4" w:rsidRDefault="00322628" w:rsidP="00322628">
      <w:pPr>
        <w:widowControl/>
        <w:jc w:val="left"/>
        <w:rPr>
          <w:szCs w:val="22"/>
        </w:rPr>
      </w:pPr>
      <w:r>
        <w:rPr>
          <w:szCs w:val="22"/>
        </w:rPr>
        <w:br w:type="page"/>
      </w:r>
    </w:p>
    <w:p w:rsidR="0074061D" w:rsidRDefault="0074061D" w:rsidP="0074061D">
      <w:pPr>
        <w:pStyle w:val="PBACheading1"/>
        <w:rPr>
          <w:b/>
        </w:rPr>
      </w:pPr>
      <w:bookmarkStart w:id="10" w:name="_Toc409509985"/>
      <w:r w:rsidRPr="00407F2D">
        <w:rPr>
          <w:b/>
        </w:rPr>
        <w:lastRenderedPageBreak/>
        <w:t>Clinical place for the proposed therapy</w:t>
      </w:r>
      <w:bookmarkEnd w:id="10"/>
    </w:p>
    <w:p w:rsidR="00D11160" w:rsidRPr="004350C9" w:rsidRDefault="00D11160" w:rsidP="00D11160">
      <w:pPr>
        <w:pStyle w:val="PBACheading1"/>
        <w:numPr>
          <w:ilvl w:val="0"/>
          <w:numId w:val="0"/>
        </w:numPr>
        <w:ind w:left="720"/>
        <w:rPr>
          <w:b/>
        </w:rPr>
      </w:pPr>
    </w:p>
    <w:p w:rsidR="00390F8A" w:rsidRPr="00063F4F" w:rsidRDefault="0074061D" w:rsidP="00390F8A">
      <w:pPr>
        <w:pStyle w:val="ListParagraph"/>
        <w:widowControl/>
        <w:numPr>
          <w:ilvl w:val="1"/>
          <w:numId w:val="5"/>
        </w:numPr>
        <w:rPr>
          <w:szCs w:val="22"/>
        </w:rPr>
      </w:pPr>
      <w:r w:rsidRPr="00063F4F">
        <w:t xml:space="preserve">Treatment of moderate to severe ulcerative colitis after failure of conventional agents (5-ASAs, corticosteroids, and </w:t>
      </w:r>
      <w:proofErr w:type="spellStart"/>
      <w:r w:rsidRPr="00063F4F">
        <w:t>immunomodulators</w:t>
      </w:r>
      <w:proofErr w:type="spellEnd"/>
      <w:r w:rsidRPr="00063F4F">
        <w:t xml:space="preserve">), </w:t>
      </w:r>
      <w:r w:rsidR="001310AE" w:rsidRPr="00063F4F">
        <w:t xml:space="preserve">as </w:t>
      </w:r>
      <w:r w:rsidRPr="00063F4F">
        <w:t>per that for infliximab (i.e. first-line biologic therapy).</w:t>
      </w:r>
      <w:r w:rsidR="002043E1" w:rsidRPr="00063F4F">
        <w:t xml:space="preserve">  </w:t>
      </w:r>
    </w:p>
    <w:p w:rsidR="00390F8A" w:rsidRPr="00063F4F" w:rsidRDefault="00390F8A" w:rsidP="00390F8A">
      <w:pPr>
        <w:pStyle w:val="ListParagraph"/>
        <w:widowControl/>
        <w:rPr>
          <w:szCs w:val="22"/>
        </w:rPr>
      </w:pPr>
    </w:p>
    <w:p w:rsidR="00390F8A" w:rsidRPr="00063F4F" w:rsidRDefault="00390F8A" w:rsidP="00390F8A">
      <w:pPr>
        <w:pStyle w:val="ListParagraph"/>
        <w:widowControl/>
        <w:numPr>
          <w:ilvl w:val="1"/>
          <w:numId w:val="5"/>
        </w:numPr>
        <w:rPr>
          <w:szCs w:val="22"/>
        </w:rPr>
      </w:pPr>
      <w:r w:rsidRPr="00063F4F">
        <w:t xml:space="preserve">The clinical management algorithm for the intended use of </w:t>
      </w:r>
      <w:proofErr w:type="spellStart"/>
      <w:r w:rsidRPr="00063F4F">
        <w:t>vedolizumab</w:t>
      </w:r>
      <w:proofErr w:type="spellEnd"/>
      <w:r w:rsidRPr="00063F4F">
        <w:t xml:space="preserve"> was based on:</w:t>
      </w:r>
    </w:p>
    <w:p w:rsidR="00390F8A" w:rsidRPr="00063F4F" w:rsidRDefault="00390F8A" w:rsidP="00390F8A">
      <w:pPr>
        <w:pStyle w:val="ListParagraph"/>
        <w:numPr>
          <w:ilvl w:val="0"/>
          <w:numId w:val="3"/>
        </w:numPr>
        <w:ind w:left="993" w:hanging="284"/>
      </w:pPr>
      <w:r w:rsidRPr="00063F4F">
        <w:t xml:space="preserve">the Australian Guidelines developed by the Gastroenterological Society of Australia (GESA) </w:t>
      </w:r>
    </w:p>
    <w:p w:rsidR="00390F8A" w:rsidRPr="00063F4F" w:rsidRDefault="00390F8A" w:rsidP="00390F8A">
      <w:pPr>
        <w:pStyle w:val="ListParagraph"/>
        <w:numPr>
          <w:ilvl w:val="0"/>
          <w:numId w:val="3"/>
        </w:numPr>
        <w:ind w:left="993" w:hanging="284"/>
      </w:pPr>
      <w:r w:rsidRPr="00063F4F">
        <w:t xml:space="preserve">expert advice from the Sponsor’s Advisory Board and, </w:t>
      </w:r>
    </w:p>
    <w:p w:rsidR="00390F8A" w:rsidRPr="00063F4F" w:rsidRDefault="00390F8A" w:rsidP="00390F8A">
      <w:pPr>
        <w:pStyle w:val="ListParagraph"/>
        <w:numPr>
          <w:ilvl w:val="0"/>
          <w:numId w:val="3"/>
        </w:numPr>
        <w:ind w:left="993" w:hanging="284"/>
      </w:pPr>
      <w:proofErr w:type="gramStart"/>
      <w:r w:rsidRPr="00063F4F">
        <w:t>the</w:t>
      </w:r>
      <w:proofErr w:type="gramEnd"/>
      <w:r w:rsidRPr="00063F4F">
        <w:t xml:space="preserve"> survey of members of the Australian Inflammatory Bowel Disease Association (AIBDA, n=12 specialist gastroenterologists). All 12 respondents were Code 87 prescribers and represent &gt;97% of the current specialists authorised to prescribe the TNFα antagonists for </w:t>
      </w:r>
      <w:r w:rsidR="006D5664">
        <w:t>Crohn</w:t>
      </w:r>
      <w:r w:rsidRPr="00063F4F">
        <w:t xml:space="preserve"> disease on the PBS). </w:t>
      </w:r>
    </w:p>
    <w:p w:rsidR="00814863" w:rsidRPr="00063F4F" w:rsidRDefault="00814863" w:rsidP="00814863"/>
    <w:p w:rsidR="00814863" w:rsidRPr="00063F4F" w:rsidRDefault="00814863" w:rsidP="00814863">
      <w:pPr>
        <w:pStyle w:val="ListParagraph"/>
        <w:widowControl/>
        <w:numPr>
          <w:ilvl w:val="1"/>
          <w:numId w:val="5"/>
        </w:numPr>
      </w:pPr>
      <w:r w:rsidRPr="00063F4F">
        <w:t xml:space="preserve">The ESC considered that the clinical place of </w:t>
      </w:r>
      <w:proofErr w:type="spellStart"/>
      <w:r w:rsidRPr="00063F4F">
        <w:t>vedolizumab</w:t>
      </w:r>
      <w:proofErr w:type="spellEnd"/>
      <w:r w:rsidRPr="00063F4F">
        <w:t xml:space="preserve"> remains to be resolved. The ESC noted the submission argued that, based on the opinion of 12 gastroenterologists, </w:t>
      </w:r>
      <w:proofErr w:type="spellStart"/>
      <w:r w:rsidRPr="00063F4F">
        <w:t>vedolizumab</w:t>
      </w:r>
      <w:proofErr w:type="spellEnd"/>
      <w:r w:rsidRPr="00063F4F">
        <w:t xml:space="preserve"> should be an alternative first line biologic rather than restricted to use in patients who have failed infliximab. However, as the TGA indication </w:t>
      </w:r>
      <w:r w:rsidR="008402A8" w:rsidRPr="00063F4F">
        <w:t>suggests</w:t>
      </w:r>
      <w:r w:rsidRPr="00063F4F">
        <w:t xml:space="preserve"> </w:t>
      </w:r>
      <w:proofErr w:type="spellStart"/>
      <w:r w:rsidRPr="00063F4F">
        <w:t>vedolizumab</w:t>
      </w:r>
      <w:proofErr w:type="spellEnd"/>
      <w:r w:rsidRPr="00063F4F">
        <w:t xml:space="preserve"> </w:t>
      </w:r>
      <w:r w:rsidR="008402A8" w:rsidRPr="00063F4F">
        <w:t xml:space="preserve">could be used as </w:t>
      </w:r>
      <w:r w:rsidRPr="00063F4F">
        <w:t>second l</w:t>
      </w:r>
      <w:r w:rsidR="008402A8" w:rsidRPr="00063F4F">
        <w:t>ine</w:t>
      </w:r>
      <w:r w:rsidRPr="00063F4F">
        <w:t xml:space="preserve">, </w:t>
      </w:r>
      <w:r w:rsidR="007D0DED">
        <w:t xml:space="preserve">a decision </w:t>
      </w:r>
      <w:r w:rsidRPr="00063F4F">
        <w:t>need</w:t>
      </w:r>
      <w:r w:rsidR="007D0DED">
        <w:t>s</w:t>
      </w:r>
      <w:r w:rsidRPr="00063F4F">
        <w:t xml:space="preserve"> to </w:t>
      </w:r>
      <w:proofErr w:type="gramStart"/>
      <w:r w:rsidR="007D0DED">
        <w:t>made</w:t>
      </w:r>
      <w:proofErr w:type="gramEnd"/>
      <w:r w:rsidR="007D0DED">
        <w:t xml:space="preserve"> </w:t>
      </w:r>
      <w:r w:rsidR="00FE46DB">
        <w:t>about</w:t>
      </w:r>
      <w:r w:rsidR="007D0DED">
        <w:t xml:space="preserve"> </w:t>
      </w:r>
      <w:r w:rsidRPr="00063F4F">
        <w:t xml:space="preserve">the appropriate clinical place for </w:t>
      </w:r>
      <w:proofErr w:type="spellStart"/>
      <w:r w:rsidRPr="00063F4F">
        <w:t>vedolizumab</w:t>
      </w:r>
      <w:proofErr w:type="spellEnd"/>
      <w:r w:rsidRPr="00063F4F">
        <w:t>. The trials included patients with TNF-α failure and the PBAC previously considered that a second line listing may be more appropriate.</w:t>
      </w:r>
    </w:p>
    <w:p w:rsidR="00814863" w:rsidRDefault="00814863" w:rsidP="00390F8A">
      <w:pPr>
        <w:rPr>
          <w:i/>
        </w:rPr>
      </w:pPr>
    </w:p>
    <w:p w:rsidR="00907698" w:rsidRPr="00907698" w:rsidRDefault="00907698" w:rsidP="00907698">
      <w:pPr>
        <w:ind w:left="720"/>
        <w:rPr>
          <w:i/>
        </w:rPr>
      </w:pPr>
      <w:r w:rsidRPr="00A9032C">
        <w:rPr>
          <w:i/>
        </w:rPr>
        <w:t>For more detail on PBAC’s view, see section 7 “PBAC outcome”</w:t>
      </w:r>
    </w:p>
    <w:p w:rsidR="004705C1" w:rsidRDefault="004705C1" w:rsidP="00907698">
      <w:pPr>
        <w:widowControl/>
        <w:ind w:left="720"/>
        <w:jc w:val="left"/>
        <w:rPr>
          <w:i/>
        </w:rPr>
      </w:pPr>
    </w:p>
    <w:p w:rsidR="00907698" w:rsidRPr="004705C1" w:rsidRDefault="00907698" w:rsidP="004705C1">
      <w:pPr>
        <w:widowControl/>
        <w:jc w:val="left"/>
        <w:rPr>
          <w:i/>
        </w:rPr>
      </w:pPr>
    </w:p>
    <w:p w:rsidR="0074061D" w:rsidRDefault="0074061D" w:rsidP="0074061D">
      <w:pPr>
        <w:pStyle w:val="PBACheading1"/>
        <w:rPr>
          <w:b/>
        </w:rPr>
      </w:pPr>
      <w:bookmarkStart w:id="11" w:name="_Toc409509986"/>
      <w:r w:rsidRPr="00407F2D">
        <w:rPr>
          <w:b/>
        </w:rPr>
        <w:t>Comparator</w:t>
      </w:r>
      <w:bookmarkEnd w:id="11"/>
    </w:p>
    <w:p w:rsidR="00D11160" w:rsidRPr="004350C9" w:rsidRDefault="00D11160" w:rsidP="00D11160">
      <w:pPr>
        <w:pStyle w:val="PBACheading1"/>
        <w:numPr>
          <w:ilvl w:val="0"/>
          <w:numId w:val="0"/>
        </w:numPr>
        <w:ind w:left="720"/>
        <w:rPr>
          <w:b/>
        </w:rPr>
      </w:pPr>
    </w:p>
    <w:p w:rsidR="00FC4C15" w:rsidRPr="00063F4F" w:rsidRDefault="004705C1" w:rsidP="00782EE5">
      <w:pPr>
        <w:pStyle w:val="ListParagraph"/>
        <w:widowControl/>
        <w:numPr>
          <w:ilvl w:val="1"/>
          <w:numId w:val="5"/>
        </w:numPr>
      </w:pPr>
      <w:r w:rsidRPr="00063F4F">
        <w:t>The re-submission nominated i</w:t>
      </w:r>
      <w:r w:rsidR="0074061D" w:rsidRPr="00063F4F">
        <w:t>nfliximab</w:t>
      </w:r>
      <w:r w:rsidRPr="00063F4F">
        <w:t xml:space="preserve"> as the main comparator</w:t>
      </w:r>
      <w:r w:rsidR="0074061D" w:rsidRPr="00063F4F">
        <w:t xml:space="preserve">. </w:t>
      </w:r>
      <w:r w:rsidR="00814863" w:rsidRPr="00063F4F">
        <w:t xml:space="preserve"> </w:t>
      </w:r>
      <w:r w:rsidR="00782EE5" w:rsidRPr="00063F4F">
        <w:t>This was different from the previous submission’s main comparator which was placebo or standard of care. The re</w:t>
      </w:r>
      <w:r w:rsidR="00782EE5" w:rsidRPr="00063F4F">
        <w:noBreakHyphen/>
        <w:t xml:space="preserve">submission also presented a supplementary indirect comparison with adalimumab. </w:t>
      </w:r>
    </w:p>
    <w:p w:rsidR="00FC4C15" w:rsidRPr="00063F4F" w:rsidRDefault="00FC4C15" w:rsidP="00FC4C15">
      <w:pPr>
        <w:pStyle w:val="ListParagraph"/>
        <w:widowControl/>
      </w:pPr>
    </w:p>
    <w:p w:rsidR="00782EE5" w:rsidRPr="00063F4F" w:rsidRDefault="00782EE5" w:rsidP="00814863">
      <w:pPr>
        <w:pStyle w:val="ListParagraph"/>
        <w:widowControl/>
        <w:numPr>
          <w:ilvl w:val="1"/>
          <w:numId w:val="5"/>
        </w:numPr>
      </w:pPr>
      <w:r w:rsidRPr="00063F4F">
        <w:t>The ESC considered that the comparator was appropriate.  However, t</w:t>
      </w:r>
      <w:r w:rsidR="00FC4C15" w:rsidRPr="00063F4F">
        <w:t>he</w:t>
      </w:r>
      <w:r w:rsidR="00AD454C" w:rsidRPr="00063F4F">
        <w:t xml:space="preserve"> </w:t>
      </w:r>
      <w:r w:rsidR="00FC4C15" w:rsidRPr="00063F4F">
        <w:t>ESC</w:t>
      </w:r>
      <w:r w:rsidR="00AD454C" w:rsidRPr="00063F4F">
        <w:t xml:space="preserve"> also </w:t>
      </w:r>
      <w:r w:rsidRPr="00063F4F">
        <w:t>considered</w:t>
      </w:r>
      <w:r w:rsidR="00AD454C" w:rsidRPr="00063F4F">
        <w:t xml:space="preserve"> that related to</w:t>
      </w:r>
      <w:r w:rsidR="004206A8" w:rsidRPr="00063F4F">
        <w:t xml:space="preserve"> the</w:t>
      </w:r>
      <w:r w:rsidR="00AD454C" w:rsidRPr="00063F4F">
        <w:t xml:space="preserve"> clinical place</w:t>
      </w:r>
      <w:r w:rsidR="004206A8" w:rsidRPr="00063F4F">
        <w:t>,</w:t>
      </w:r>
      <w:r w:rsidR="00FC4C15" w:rsidRPr="00063F4F">
        <w:t xml:space="preserve"> </w:t>
      </w:r>
      <w:proofErr w:type="spellStart"/>
      <w:r w:rsidR="00FC4C15" w:rsidRPr="00063F4F">
        <w:t>v</w:t>
      </w:r>
      <w:r w:rsidR="0074061D" w:rsidRPr="00063F4F">
        <w:t>edolizumab</w:t>
      </w:r>
      <w:proofErr w:type="spellEnd"/>
      <w:r w:rsidR="0074061D" w:rsidRPr="00063F4F">
        <w:t xml:space="preserve"> may also be administered after treatment failure with infliximab (i.e. second line biologic therapy), rather than replace the use of infliximab. </w:t>
      </w:r>
      <w:r w:rsidR="005533FE" w:rsidRPr="00063F4F">
        <w:t>Infliximab was listed for moderate to severe ulcerative colitis on 1 December 2014</w:t>
      </w:r>
      <w:r w:rsidR="00FE46DB">
        <w:t>.</w:t>
      </w:r>
      <w:r w:rsidR="005533FE" w:rsidRPr="00063F4F">
        <w:t xml:space="preserve"> </w:t>
      </w:r>
      <w:r w:rsidRPr="00063F4F">
        <w:t>The ESC</w:t>
      </w:r>
      <w:r w:rsidR="00814863" w:rsidRPr="00063F4F">
        <w:t xml:space="preserve"> advised that the</w:t>
      </w:r>
      <w:r w:rsidR="00FC4C15" w:rsidRPr="00063F4F">
        <w:t xml:space="preserve"> PBAC</w:t>
      </w:r>
      <w:r w:rsidR="00814863" w:rsidRPr="00063F4F">
        <w:t xml:space="preserve"> </w:t>
      </w:r>
      <w:r w:rsidR="00FE46DB" w:rsidRPr="00063F4F">
        <w:t>would</w:t>
      </w:r>
      <w:r w:rsidR="00814863" w:rsidRPr="00063F4F">
        <w:t xml:space="preserve"> need </w:t>
      </w:r>
      <w:r w:rsidR="00AD454C" w:rsidRPr="00063F4F">
        <w:t>to consider</w:t>
      </w:r>
      <w:r w:rsidR="00FC4C15" w:rsidRPr="00063F4F">
        <w:t xml:space="preserve"> whether an appropriate comparator is best</w:t>
      </w:r>
      <w:r w:rsidR="00FE46DB">
        <w:t xml:space="preserve"> </w:t>
      </w:r>
      <w:r w:rsidR="00FC4C15" w:rsidRPr="00063F4F">
        <w:t>supportive care in patients who had failed TNF-α antagonist.</w:t>
      </w:r>
      <w:r w:rsidRPr="00063F4F">
        <w:t xml:space="preserve">  </w:t>
      </w:r>
    </w:p>
    <w:p w:rsidR="00814863" w:rsidRPr="00063F4F" w:rsidRDefault="00814863" w:rsidP="0074061D"/>
    <w:p w:rsidR="00907698" w:rsidRPr="00907698" w:rsidRDefault="00907698" w:rsidP="00907698">
      <w:pPr>
        <w:ind w:left="720"/>
        <w:rPr>
          <w:i/>
        </w:rPr>
      </w:pPr>
      <w:r w:rsidRPr="003E7989">
        <w:rPr>
          <w:i/>
        </w:rPr>
        <w:t>For more detail on PBAC’s view, see section 7 “PBAC outcome”</w:t>
      </w:r>
    </w:p>
    <w:p w:rsidR="00907698" w:rsidRDefault="00907698" w:rsidP="00907698">
      <w:pPr>
        <w:ind w:left="720"/>
      </w:pPr>
    </w:p>
    <w:p w:rsidR="00907698" w:rsidRDefault="00907698" w:rsidP="0074061D"/>
    <w:p w:rsidR="0074061D" w:rsidRPr="00907698" w:rsidRDefault="0074061D" w:rsidP="00907698">
      <w:pPr>
        <w:pStyle w:val="PBACheading1"/>
        <w:rPr>
          <w:b/>
        </w:rPr>
      </w:pPr>
      <w:bookmarkStart w:id="12" w:name="_Toc409509987"/>
      <w:r w:rsidRPr="00907698">
        <w:rPr>
          <w:b/>
        </w:rPr>
        <w:t>Consideration of the evidence</w:t>
      </w:r>
      <w:bookmarkEnd w:id="12"/>
    </w:p>
    <w:p w:rsidR="00D11160" w:rsidRDefault="00D11160" w:rsidP="00907698">
      <w:pPr>
        <w:pStyle w:val="PBACheading1"/>
        <w:numPr>
          <w:ilvl w:val="0"/>
          <w:numId w:val="0"/>
        </w:numPr>
        <w:rPr>
          <w:b/>
        </w:rPr>
      </w:pPr>
    </w:p>
    <w:p w:rsidR="000E65DA" w:rsidRPr="00C735B0" w:rsidRDefault="000E65DA" w:rsidP="00C735B0">
      <w:pPr>
        <w:pStyle w:val="Heading2"/>
      </w:pPr>
      <w:r w:rsidRPr="00C735B0">
        <w:t>Sponsor hearing</w:t>
      </w:r>
    </w:p>
    <w:p w:rsidR="00591A39" w:rsidRDefault="00591A39" w:rsidP="00591A39">
      <w:pPr>
        <w:pStyle w:val="PBACheading1"/>
        <w:numPr>
          <w:ilvl w:val="0"/>
          <w:numId w:val="0"/>
        </w:numPr>
        <w:ind w:left="720" w:hanging="720"/>
        <w:jc w:val="both"/>
        <w:rPr>
          <w:b/>
          <w:bCs/>
          <w:highlight w:val="yellow"/>
        </w:rPr>
      </w:pPr>
    </w:p>
    <w:p w:rsidR="00591A39" w:rsidRPr="00591A39" w:rsidRDefault="00591A39" w:rsidP="00591A39">
      <w:pPr>
        <w:numPr>
          <w:ilvl w:val="1"/>
          <w:numId w:val="5"/>
        </w:numPr>
        <w:snapToGrid w:val="0"/>
        <w:rPr>
          <w:bCs/>
          <w:snapToGrid/>
        </w:rPr>
      </w:pPr>
      <w:r w:rsidRPr="00591A39">
        <w:rPr>
          <w:bCs/>
          <w:snapToGrid/>
        </w:rPr>
        <w:t xml:space="preserve">The sponsor requested a hearing for this item.  The clinician addressed the main issues raised by </w:t>
      </w:r>
      <w:r w:rsidR="00CD18C1">
        <w:rPr>
          <w:bCs/>
          <w:snapToGrid/>
        </w:rPr>
        <w:t xml:space="preserve">the </w:t>
      </w:r>
      <w:r w:rsidRPr="00591A39">
        <w:rPr>
          <w:bCs/>
          <w:snapToGrid/>
        </w:rPr>
        <w:t xml:space="preserve">ESC regarding the clinical place of </w:t>
      </w:r>
      <w:proofErr w:type="spellStart"/>
      <w:r w:rsidRPr="00591A39">
        <w:rPr>
          <w:bCs/>
          <w:snapToGrid/>
        </w:rPr>
        <w:t>vedolizumab</w:t>
      </w:r>
      <w:proofErr w:type="spellEnd"/>
      <w:r w:rsidRPr="00591A39">
        <w:rPr>
          <w:bCs/>
          <w:snapToGrid/>
        </w:rPr>
        <w:t xml:space="preserve"> in the treatment of </w:t>
      </w:r>
      <w:r w:rsidR="006D5664">
        <w:rPr>
          <w:bCs/>
          <w:snapToGrid/>
        </w:rPr>
        <w:t>ulcerative colitis</w:t>
      </w:r>
      <w:r w:rsidRPr="00591A39">
        <w:rPr>
          <w:bCs/>
          <w:snapToGrid/>
        </w:rPr>
        <w:t xml:space="preserve">, relevance of clinical response versus clinical remission, concerns around the non-inferiority claim and theoretical risk for PML. The clinician advised that clinical remission is a more relevant outcome than clinical response as the continuation rules for treatment will depend more on remission in clinical practice.    </w:t>
      </w:r>
    </w:p>
    <w:p w:rsidR="00591A39" w:rsidRPr="00591A39" w:rsidRDefault="00591A39" w:rsidP="00591A39">
      <w:pPr>
        <w:snapToGrid w:val="0"/>
        <w:ind w:left="720"/>
        <w:rPr>
          <w:bCs/>
          <w:snapToGrid/>
        </w:rPr>
      </w:pPr>
    </w:p>
    <w:p w:rsidR="00591A39" w:rsidRPr="00A9032C" w:rsidRDefault="00591A39" w:rsidP="00591A39">
      <w:pPr>
        <w:numPr>
          <w:ilvl w:val="1"/>
          <w:numId w:val="5"/>
        </w:numPr>
        <w:snapToGrid w:val="0"/>
        <w:rPr>
          <w:b/>
          <w:bCs/>
        </w:rPr>
      </w:pPr>
      <w:r w:rsidRPr="00A9032C">
        <w:rPr>
          <w:bCs/>
          <w:snapToGrid/>
        </w:rPr>
        <w:t xml:space="preserve">The PBAC considered that the hearing was informative as it provided </w:t>
      </w:r>
      <w:r w:rsidR="00FE46DB">
        <w:rPr>
          <w:bCs/>
          <w:snapToGrid/>
        </w:rPr>
        <w:t xml:space="preserve">a </w:t>
      </w:r>
      <w:r w:rsidRPr="00A9032C">
        <w:rPr>
          <w:bCs/>
          <w:snapToGrid/>
        </w:rPr>
        <w:t>clinical perspective on treating this condition.</w:t>
      </w:r>
    </w:p>
    <w:p w:rsidR="000E65DA" w:rsidRPr="00063F4F" w:rsidRDefault="000E65DA" w:rsidP="00B84827">
      <w:pPr>
        <w:pStyle w:val="PBACheading1"/>
        <w:numPr>
          <w:ilvl w:val="0"/>
          <w:numId w:val="0"/>
        </w:numPr>
        <w:jc w:val="both"/>
        <w:rPr>
          <w:bCs/>
          <w:highlight w:val="yellow"/>
        </w:rPr>
      </w:pPr>
    </w:p>
    <w:p w:rsidR="000E65DA" w:rsidRPr="00A9032C" w:rsidRDefault="000E65DA" w:rsidP="00591A39">
      <w:pPr>
        <w:pStyle w:val="PBACheading1"/>
        <w:numPr>
          <w:ilvl w:val="0"/>
          <w:numId w:val="0"/>
        </w:numPr>
        <w:ind w:left="720" w:hanging="720"/>
        <w:jc w:val="both"/>
        <w:rPr>
          <w:b/>
          <w:bCs/>
        </w:rPr>
      </w:pPr>
      <w:r w:rsidRPr="00A9032C">
        <w:rPr>
          <w:b/>
          <w:bCs/>
        </w:rPr>
        <w:t>Consumer comments</w:t>
      </w:r>
    </w:p>
    <w:p w:rsidR="00591A39" w:rsidRPr="00063F4F" w:rsidRDefault="00591A39" w:rsidP="00591A39">
      <w:pPr>
        <w:pStyle w:val="PBACheading1"/>
        <w:numPr>
          <w:ilvl w:val="0"/>
          <w:numId w:val="0"/>
        </w:numPr>
        <w:ind w:left="720" w:hanging="720"/>
        <w:jc w:val="both"/>
        <w:rPr>
          <w:b/>
          <w:bCs/>
          <w:highlight w:val="yellow"/>
        </w:rPr>
      </w:pPr>
    </w:p>
    <w:p w:rsidR="00591A39" w:rsidRPr="00F615D2" w:rsidRDefault="00591A39" w:rsidP="00591A39">
      <w:pPr>
        <w:numPr>
          <w:ilvl w:val="1"/>
          <w:numId w:val="5"/>
        </w:numPr>
        <w:snapToGrid w:val="0"/>
        <w:rPr>
          <w:bCs/>
        </w:rPr>
      </w:pPr>
      <w:r w:rsidRPr="00F615D2">
        <w:rPr>
          <w:bCs/>
        </w:rPr>
        <w:t xml:space="preserve">The PBAC noted and welcomed the input from individuals (98), health care professionals (11) and organisations (2) via the Consumer Comments facility on the PBS website. The comments described a range of benefits of treatment with </w:t>
      </w:r>
      <w:proofErr w:type="spellStart"/>
      <w:r w:rsidRPr="00F615D2">
        <w:rPr>
          <w:bCs/>
        </w:rPr>
        <w:t>vedolizumab</w:t>
      </w:r>
      <w:proofErr w:type="spellEnd"/>
      <w:r w:rsidRPr="00F615D2">
        <w:rPr>
          <w:bCs/>
        </w:rPr>
        <w:t xml:space="preserve"> for ulcerative colitis</w:t>
      </w:r>
      <w:r w:rsidR="006D5664">
        <w:rPr>
          <w:bCs/>
        </w:rPr>
        <w:t xml:space="preserve"> and</w:t>
      </w:r>
      <w:r w:rsidRPr="00F615D2">
        <w:rPr>
          <w:bCs/>
        </w:rPr>
        <w:t xml:space="preserve"> </w:t>
      </w:r>
      <w:r w:rsidR="006D5664" w:rsidRPr="00F615D2">
        <w:rPr>
          <w:bCs/>
        </w:rPr>
        <w:t xml:space="preserve">Crohn </w:t>
      </w:r>
      <w:r w:rsidR="006D5664">
        <w:rPr>
          <w:bCs/>
        </w:rPr>
        <w:t>disease indication (item 5</w:t>
      </w:r>
      <w:r w:rsidRPr="00F615D2">
        <w:rPr>
          <w:bCs/>
        </w:rPr>
        <w:t>.</w:t>
      </w:r>
      <w:r w:rsidR="006D5664">
        <w:rPr>
          <w:bCs/>
        </w:rPr>
        <w:t>25</w:t>
      </w:r>
      <w:r w:rsidRPr="00F615D2">
        <w:rPr>
          <w:bCs/>
        </w:rPr>
        <w:t xml:space="preserve"> refers) including the following:</w:t>
      </w:r>
    </w:p>
    <w:p w:rsidR="00591A39" w:rsidRPr="00F615D2" w:rsidRDefault="00591A39" w:rsidP="00591A39">
      <w:pPr>
        <w:pStyle w:val="ListParagraph"/>
        <w:numPr>
          <w:ilvl w:val="0"/>
          <w:numId w:val="28"/>
        </w:numPr>
        <w:snapToGrid w:val="0"/>
        <w:ind w:left="993" w:hanging="284"/>
        <w:rPr>
          <w:bCs/>
        </w:rPr>
      </w:pPr>
      <w:r w:rsidRPr="00F615D2">
        <w:rPr>
          <w:bCs/>
        </w:rPr>
        <w:t>potential alternative if infliximab becomes ineffective;</w:t>
      </w:r>
    </w:p>
    <w:p w:rsidR="00591A39" w:rsidRPr="00F615D2" w:rsidRDefault="00591A39" w:rsidP="00591A39">
      <w:pPr>
        <w:pStyle w:val="ListParagraph"/>
        <w:numPr>
          <w:ilvl w:val="0"/>
          <w:numId w:val="28"/>
        </w:numPr>
        <w:snapToGrid w:val="0"/>
        <w:ind w:left="993" w:hanging="284"/>
        <w:rPr>
          <w:bCs/>
        </w:rPr>
      </w:pPr>
      <w:r w:rsidRPr="00F615D2">
        <w:rPr>
          <w:bCs/>
        </w:rPr>
        <w:t>preferable alternative treatment than surgery i.e. side effects of this drug is more preferable than surgery;</w:t>
      </w:r>
    </w:p>
    <w:p w:rsidR="00591A39" w:rsidRPr="00F615D2" w:rsidRDefault="00591A39" w:rsidP="00591A39">
      <w:pPr>
        <w:pStyle w:val="ListParagraph"/>
        <w:numPr>
          <w:ilvl w:val="0"/>
          <w:numId w:val="28"/>
        </w:numPr>
        <w:snapToGrid w:val="0"/>
        <w:ind w:left="993" w:hanging="284"/>
        <w:rPr>
          <w:bCs/>
        </w:rPr>
      </w:pPr>
      <w:r w:rsidRPr="00F615D2">
        <w:rPr>
          <w:bCs/>
        </w:rPr>
        <w:t>reduced hospital costs;</w:t>
      </w:r>
    </w:p>
    <w:p w:rsidR="00591A39" w:rsidRPr="00F615D2" w:rsidRDefault="00591A39" w:rsidP="00591A39">
      <w:pPr>
        <w:pStyle w:val="ListParagraph"/>
        <w:numPr>
          <w:ilvl w:val="0"/>
          <w:numId w:val="28"/>
        </w:numPr>
        <w:snapToGrid w:val="0"/>
        <w:ind w:left="993" w:hanging="284"/>
        <w:rPr>
          <w:bCs/>
        </w:rPr>
      </w:pPr>
      <w:r w:rsidRPr="00F615D2">
        <w:rPr>
          <w:bCs/>
        </w:rPr>
        <w:t>shorter time of administration compared with infliximab; and</w:t>
      </w:r>
    </w:p>
    <w:p w:rsidR="00591A39" w:rsidRPr="00F615D2" w:rsidRDefault="00591A39" w:rsidP="00591A39">
      <w:pPr>
        <w:pStyle w:val="ListParagraph"/>
        <w:numPr>
          <w:ilvl w:val="0"/>
          <w:numId w:val="28"/>
        </w:numPr>
        <w:snapToGrid w:val="0"/>
        <w:ind w:left="993" w:hanging="284"/>
        <w:rPr>
          <w:bCs/>
        </w:rPr>
      </w:pPr>
      <w:proofErr w:type="gramStart"/>
      <w:r w:rsidRPr="00F615D2">
        <w:rPr>
          <w:bCs/>
        </w:rPr>
        <w:t>equity</w:t>
      </w:r>
      <w:proofErr w:type="gramEnd"/>
      <w:r w:rsidRPr="00F615D2">
        <w:rPr>
          <w:bCs/>
        </w:rPr>
        <w:t xml:space="preserve"> of access and affordability.</w:t>
      </w:r>
    </w:p>
    <w:p w:rsidR="00907698" w:rsidRDefault="00907698" w:rsidP="00907698">
      <w:pPr>
        <w:pStyle w:val="PBACheading1"/>
        <w:numPr>
          <w:ilvl w:val="0"/>
          <w:numId w:val="0"/>
        </w:numPr>
        <w:rPr>
          <w:b/>
        </w:rPr>
      </w:pPr>
    </w:p>
    <w:p w:rsidR="004B43C3" w:rsidRPr="00DF1CF4" w:rsidRDefault="000C19F3" w:rsidP="004B43C3">
      <w:pPr>
        <w:numPr>
          <w:ilvl w:val="1"/>
          <w:numId w:val="5"/>
        </w:numPr>
        <w:snapToGrid w:val="0"/>
        <w:rPr>
          <w:bCs/>
          <w:szCs w:val="22"/>
          <w:lang w:val="en-GB"/>
        </w:rPr>
      </w:pPr>
      <w:r>
        <w:rPr>
          <w:bCs/>
          <w:szCs w:val="22"/>
          <w:lang w:val="en-GB"/>
        </w:rPr>
        <w:t>Representatives of the PBAC met with</w:t>
      </w:r>
      <w:r w:rsidR="0089377B">
        <w:rPr>
          <w:bCs/>
          <w:szCs w:val="22"/>
          <w:lang w:val="en-GB"/>
        </w:rPr>
        <w:t xml:space="preserve"> Crohn’s and Colitis Australia</w:t>
      </w:r>
      <w:r>
        <w:rPr>
          <w:bCs/>
          <w:szCs w:val="22"/>
          <w:lang w:val="en-GB"/>
        </w:rPr>
        <w:t xml:space="preserve"> prior to the PBAC meeting, and reported the following key points to the PBAC in relation to the agenda items for Crohn’s disease and ulcerative colitis</w:t>
      </w:r>
      <w:r w:rsidR="0089377B">
        <w:rPr>
          <w:bCs/>
          <w:szCs w:val="22"/>
          <w:lang w:val="en-GB"/>
        </w:rPr>
        <w:t xml:space="preserve"> </w:t>
      </w:r>
      <w:r w:rsidR="004B43C3" w:rsidRPr="00DF1CF4">
        <w:rPr>
          <w:bCs/>
          <w:szCs w:val="22"/>
          <w:lang w:val="en-GB"/>
        </w:rPr>
        <w:t xml:space="preserve">: </w:t>
      </w:r>
    </w:p>
    <w:p w:rsidR="000031B2" w:rsidRDefault="000031B2" w:rsidP="000031B2">
      <w:pPr>
        <w:numPr>
          <w:ilvl w:val="0"/>
          <w:numId w:val="29"/>
        </w:numPr>
        <w:snapToGrid w:val="0"/>
        <w:ind w:left="993" w:hanging="284"/>
        <w:contextualSpacing/>
      </w:pPr>
      <w:r>
        <w:t>Patients place a high value on maximising possible treatment alternatives, as this provides a sense of empowerment and possibility in managing their disease.</w:t>
      </w:r>
    </w:p>
    <w:p w:rsidR="000031B2" w:rsidRDefault="000031B2" w:rsidP="000031B2">
      <w:pPr>
        <w:pStyle w:val="ListParagraph"/>
        <w:widowControl/>
        <w:numPr>
          <w:ilvl w:val="0"/>
          <w:numId w:val="29"/>
        </w:numPr>
        <w:spacing w:line="276" w:lineRule="auto"/>
        <w:ind w:left="993" w:hanging="284"/>
      </w:pPr>
      <w:r>
        <w:t xml:space="preserve">When weighing the treatment alternatives, the patient perception may not necessarily be that the risks and benefits of </w:t>
      </w:r>
      <w:proofErr w:type="spellStart"/>
      <w:r>
        <w:t>vedolizumab</w:t>
      </w:r>
      <w:proofErr w:type="spellEnd"/>
      <w:r>
        <w:t xml:space="preserve"> </w:t>
      </w:r>
      <w:r w:rsidR="006F43FC">
        <w:t>are</w:t>
      </w:r>
      <w:r>
        <w:t xml:space="preserve"> compared with the risks and benefits of another drug.  Rather, patients may be comparing the risks and benefits of </w:t>
      </w:r>
      <w:proofErr w:type="spellStart"/>
      <w:r>
        <w:t>vedolizumab</w:t>
      </w:r>
      <w:proofErr w:type="spellEnd"/>
      <w:r>
        <w:t xml:space="preserve"> against the risks and benefits of surgery.</w:t>
      </w:r>
    </w:p>
    <w:p w:rsidR="000031B2" w:rsidRPr="000031B2" w:rsidRDefault="000C19F3" w:rsidP="000031B2">
      <w:pPr>
        <w:numPr>
          <w:ilvl w:val="0"/>
          <w:numId w:val="29"/>
        </w:numPr>
        <w:snapToGrid w:val="0"/>
        <w:ind w:left="993" w:hanging="284"/>
        <w:contextualSpacing/>
      </w:pPr>
      <w:proofErr w:type="spellStart"/>
      <w:r>
        <w:t>V</w:t>
      </w:r>
      <w:r w:rsidR="000031B2">
        <w:t>edolizumab</w:t>
      </w:r>
      <w:proofErr w:type="spellEnd"/>
      <w:r w:rsidR="000031B2">
        <w:t xml:space="preserve"> is perceived as an additional option that will allow patients to postpone the need for surgery, and to potentially resume a normal life.  Without PBS subsidy access, the cost of </w:t>
      </w:r>
      <w:proofErr w:type="spellStart"/>
      <w:r w:rsidR="000031B2">
        <w:t>vedolizumab</w:t>
      </w:r>
      <w:proofErr w:type="spellEnd"/>
      <w:r w:rsidR="000031B2">
        <w:t xml:space="preserve"> would prohibit most patients from accessing the drug.</w:t>
      </w:r>
    </w:p>
    <w:p w:rsidR="00B84827" w:rsidRPr="002827BE" w:rsidRDefault="002827BE" w:rsidP="002827BE">
      <w:pPr>
        <w:pStyle w:val="PBACheading1"/>
        <w:numPr>
          <w:ilvl w:val="0"/>
          <w:numId w:val="0"/>
        </w:numPr>
        <w:ind w:left="709"/>
      </w:pPr>
      <w:r w:rsidRPr="002827BE">
        <w:t>The P</w:t>
      </w:r>
      <w:r>
        <w:t>BAC noted and welcomed this input.</w:t>
      </w:r>
    </w:p>
    <w:p w:rsidR="00993AC7" w:rsidRDefault="00993AC7" w:rsidP="001F1F7E">
      <w:pPr>
        <w:widowControl/>
        <w:jc w:val="left"/>
        <w:rPr>
          <w:b/>
          <w:i/>
        </w:rPr>
      </w:pPr>
      <w:bookmarkStart w:id="13" w:name="_Toc409509988"/>
    </w:p>
    <w:p w:rsidR="00993AC7" w:rsidRDefault="00993AC7">
      <w:pPr>
        <w:widowControl/>
        <w:jc w:val="left"/>
        <w:rPr>
          <w:b/>
          <w:i/>
        </w:rPr>
      </w:pPr>
      <w:r>
        <w:rPr>
          <w:b/>
          <w:i/>
        </w:rPr>
        <w:br w:type="page"/>
      </w:r>
    </w:p>
    <w:p w:rsidR="0074061D" w:rsidRPr="001F1F7E" w:rsidRDefault="0074061D" w:rsidP="00C735B0">
      <w:pPr>
        <w:pStyle w:val="Heading2"/>
      </w:pPr>
      <w:r w:rsidRPr="001F1F7E">
        <w:lastRenderedPageBreak/>
        <w:t>Clinical trials</w:t>
      </w:r>
      <w:bookmarkEnd w:id="13"/>
    </w:p>
    <w:p w:rsidR="00D11160" w:rsidRPr="00D11160" w:rsidRDefault="00D11160" w:rsidP="00D11160"/>
    <w:p w:rsidR="0074061D" w:rsidRPr="00D11160" w:rsidRDefault="0074061D" w:rsidP="00560BD0">
      <w:pPr>
        <w:pStyle w:val="ListParagraph"/>
        <w:widowControl/>
        <w:numPr>
          <w:ilvl w:val="1"/>
          <w:numId w:val="5"/>
        </w:numPr>
        <w:rPr>
          <w:szCs w:val="22"/>
        </w:rPr>
      </w:pPr>
      <w:r w:rsidRPr="00862502">
        <w:t xml:space="preserve">The </w:t>
      </w:r>
      <w:r>
        <w:t>re-</w:t>
      </w:r>
      <w:r w:rsidRPr="00862502">
        <w:t xml:space="preserve">submission </w:t>
      </w:r>
      <w:r>
        <w:t>was</w:t>
      </w:r>
      <w:r w:rsidRPr="00862502">
        <w:t xml:space="preserve"> based on one head-to-head trial comparing </w:t>
      </w:r>
      <w:proofErr w:type="spellStart"/>
      <w:r>
        <w:t>vedolizumab</w:t>
      </w:r>
      <w:proofErr w:type="spellEnd"/>
      <w:r w:rsidRPr="00862502">
        <w:t xml:space="preserve"> to </w:t>
      </w:r>
      <w:r>
        <w:t>placebo (n=895) and three head</w:t>
      </w:r>
      <w:r>
        <w:noBreakHyphen/>
        <w:t>to</w:t>
      </w:r>
      <w:r>
        <w:noBreakHyphen/>
        <w:t xml:space="preserve">head trials comparing infliximab to placebo (n=771). The trials presented were the same as </w:t>
      </w:r>
      <w:r w:rsidR="00B95E09">
        <w:t xml:space="preserve">in </w:t>
      </w:r>
      <w:r>
        <w:t>the previous submission.</w:t>
      </w:r>
    </w:p>
    <w:p w:rsidR="00D11160" w:rsidRPr="004350C9" w:rsidRDefault="00D11160" w:rsidP="00D11160">
      <w:pPr>
        <w:pStyle w:val="ListParagraph"/>
        <w:widowControl/>
        <w:rPr>
          <w:szCs w:val="22"/>
        </w:rPr>
      </w:pPr>
    </w:p>
    <w:p w:rsidR="0074061D" w:rsidRDefault="0074061D" w:rsidP="00560BD0">
      <w:pPr>
        <w:pStyle w:val="ListParagraph"/>
        <w:widowControl/>
        <w:numPr>
          <w:ilvl w:val="1"/>
          <w:numId w:val="5"/>
        </w:numPr>
        <w:rPr>
          <w:szCs w:val="22"/>
        </w:rPr>
      </w:pPr>
      <w:r w:rsidRPr="00E83B5B">
        <w:rPr>
          <w:szCs w:val="22"/>
        </w:rPr>
        <w:t xml:space="preserve">Details of the trials presented in the re-submission are provided in the table below. </w:t>
      </w:r>
    </w:p>
    <w:p w:rsidR="00D11160" w:rsidRPr="00D11160" w:rsidRDefault="00D11160" w:rsidP="00D11160">
      <w:pPr>
        <w:widowControl/>
        <w:rPr>
          <w:szCs w:val="22"/>
        </w:rPr>
      </w:pPr>
    </w:p>
    <w:p w:rsidR="0074061D" w:rsidRDefault="0074061D" w:rsidP="0074061D">
      <w:pPr>
        <w:keepNext/>
        <w:ind w:firstLine="720"/>
        <w:rPr>
          <w:rStyle w:val="CommentReference"/>
        </w:rPr>
      </w:pPr>
      <w:r w:rsidRPr="000812CA">
        <w:rPr>
          <w:rStyle w:val="CommentReference"/>
        </w:rPr>
        <w:t xml:space="preserve">Trials and associated reports presented in the </w:t>
      </w:r>
      <w:r>
        <w:rPr>
          <w:rStyle w:val="CommentReference"/>
        </w:rPr>
        <w:t>re-</w:t>
      </w:r>
      <w:r w:rsidRPr="000812CA">
        <w:rPr>
          <w:rStyle w:val="CommentReference"/>
        </w:rPr>
        <w:t>submission</w:t>
      </w:r>
    </w:p>
    <w:tbl>
      <w:tblPr>
        <w:tblW w:w="4594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  <w:tblCaption w:val="Clinical trials and associated reports"/>
      </w:tblPr>
      <w:tblGrid>
        <w:gridCol w:w="709"/>
        <w:gridCol w:w="5244"/>
        <w:gridCol w:w="2392"/>
      </w:tblGrid>
      <w:tr w:rsidR="0074061D" w:rsidRPr="004E2ADC">
        <w:trPr>
          <w:cantSplit/>
          <w:tblHeader/>
        </w:trPr>
        <w:tc>
          <w:tcPr>
            <w:tcW w:w="425" w:type="pct"/>
          </w:tcPr>
          <w:p w:rsidR="0074061D" w:rsidRPr="004E2ADC" w:rsidRDefault="0074061D" w:rsidP="00B95E09">
            <w:pPr>
              <w:keepNext/>
              <w:jc w:val="left"/>
              <w:rPr>
                <w:rFonts w:ascii="Arial Narrow" w:hAnsi="Arial Narrow"/>
                <w:b/>
                <w:sz w:val="20"/>
              </w:rPr>
            </w:pPr>
            <w:r w:rsidRPr="004E2ADC">
              <w:rPr>
                <w:rFonts w:ascii="Arial Narrow" w:hAnsi="Arial Narrow"/>
                <w:b/>
                <w:sz w:val="20"/>
              </w:rPr>
              <w:t>Trial ID</w:t>
            </w:r>
          </w:p>
        </w:tc>
        <w:tc>
          <w:tcPr>
            <w:tcW w:w="3142" w:type="pct"/>
          </w:tcPr>
          <w:p w:rsidR="0074061D" w:rsidRPr="004E2ADC" w:rsidRDefault="0074061D" w:rsidP="00B95E09">
            <w:pPr>
              <w:keepNext/>
              <w:jc w:val="center"/>
              <w:rPr>
                <w:rFonts w:ascii="Arial Narrow" w:hAnsi="Arial Narrow"/>
                <w:b/>
                <w:sz w:val="20"/>
              </w:rPr>
            </w:pPr>
            <w:r w:rsidRPr="004E2ADC">
              <w:rPr>
                <w:rFonts w:ascii="Arial Narrow" w:hAnsi="Arial Narrow"/>
                <w:b/>
                <w:sz w:val="20"/>
              </w:rPr>
              <w:t>Protocol title/ Publication title</w:t>
            </w:r>
          </w:p>
        </w:tc>
        <w:tc>
          <w:tcPr>
            <w:tcW w:w="1433" w:type="pct"/>
          </w:tcPr>
          <w:p w:rsidR="0074061D" w:rsidRPr="004E2ADC" w:rsidRDefault="0074061D" w:rsidP="00B95E09">
            <w:pPr>
              <w:keepNext/>
              <w:jc w:val="center"/>
              <w:rPr>
                <w:rFonts w:ascii="Arial Narrow" w:hAnsi="Arial Narrow"/>
                <w:b/>
                <w:sz w:val="20"/>
              </w:rPr>
            </w:pPr>
            <w:r w:rsidRPr="004E2ADC">
              <w:rPr>
                <w:rFonts w:ascii="Arial Narrow" w:hAnsi="Arial Narrow"/>
                <w:b/>
                <w:sz w:val="20"/>
              </w:rPr>
              <w:t>Publication citation</w:t>
            </w:r>
          </w:p>
        </w:tc>
      </w:tr>
      <w:tr w:rsidR="0074061D" w:rsidRPr="004E2ADC">
        <w:trPr>
          <w:cantSplit/>
        </w:trPr>
        <w:tc>
          <w:tcPr>
            <w:tcW w:w="5000" w:type="pct"/>
            <w:gridSpan w:val="3"/>
          </w:tcPr>
          <w:p w:rsidR="0074061D" w:rsidRPr="004E2ADC" w:rsidRDefault="0074061D" w:rsidP="00B95E09">
            <w:pPr>
              <w:keepNext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Direct randomised trial </w:t>
            </w:r>
          </w:p>
        </w:tc>
      </w:tr>
      <w:tr w:rsidR="0074061D" w:rsidRPr="004E2ADC">
        <w:trPr>
          <w:cantSplit/>
        </w:trPr>
        <w:tc>
          <w:tcPr>
            <w:tcW w:w="425" w:type="pct"/>
          </w:tcPr>
          <w:p w:rsidR="0074061D" w:rsidRPr="004E2ADC" w:rsidRDefault="0074061D" w:rsidP="00B95E09">
            <w:pPr>
              <w:keepNext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GEMINI I</w:t>
            </w:r>
          </w:p>
        </w:tc>
        <w:tc>
          <w:tcPr>
            <w:tcW w:w="3142" w:type="pct"/>
          </w:tcPr>
          <w:p w:rsidR="0074061D" w:rsidRPr="0076113B" w:rsidRDefault="0074061D" w:rsidP="00B95E09">
            <w:pPr>
              <w:pStyle w:val="TableFooter"/>
              <w:keepNext/>
              <w:rPr>
                <w:sz w:val="20"/>
              </w:rPr>
            </w:pPr>
            <w:r w:rsidRPr="0076113B">
              <w:rPr>
                <w:sz w:val="20"/>
              </w:rPr>
              <w:t xml:space="preserve">A Phase 3, Randomized, Placebo-Controlled, Blinded, </w:t>
            </w:r>
            <w:proofErr w:type="spellStart"/>
            <w:r w:rsidRPr="0076113B">
              <w:rPr>
                <w:sz w:val="20"/>
              </w:rPr>
              <w:t>Multicenter</w:t>
            </w:r>
            <w:proofErr w:type="spellEnd"/>
            <w:r w:rsidRPr="0076113B">
              <w:rPr>
                <w:sz w:val="20"/>
              </w:rPr>
              <w:t xml:space="preserve"> Study of the Induction and Maintenance of Clinical Response and Remission by </w:t>
            </w:r>
            <w:proofErr w:type="spellStart"/>
            <w:r w:rsidRPr="0076113B">
              <w:rPr>
                <w:sz w:val="20"/>
              </w:rPr>
              <w:t>Vedolizumab</w:t>
            </w:r>
            <w:proofErr w:type="spellEnd"/>
            <w:r w:rsidRPr="0076113B">
              <w:rPr>
                <w:sz w:val="20"/>
              </w:rPr>
              <w:t xml:space="preserve"> (MLN0002) in Patients with Moderate to Severe Ulcerative Colitis</w:t>
            </w:r>
          </w:p>
          <w:p w:rsidR="0074061D" w:rsidRPr="0076113B" w:rsidRDefault="0074061D" w:rsidP="00B95E09">
            <w:pPr>
              <w:pStyle w:val="TableFooter"/>
              <w:keepNext/>
              <w:rPr>
                <w:sz w:val="20"/>
              </w:rPr>
            </w:pPr>
          </w:p>
          <w:p w:rsidR="0074061D" w:rsidRPr="0076113B" w:rsidRDefault="0074061D" w:rsidP="00B95E09">
            <w:pPr>
              <w:pStyle w:val="TableFooter"/>
              <w:keepNext/>
              <w:rPr>
                <w:b/>
                <w:sz w:val="20"/>
              </w:rPr>
            </w:pPr>
            <w:proofErr w:type="spellStart"/>
            <w:r w:rsidRPr="0076113B">
              <w:rPr>
                <w:sz w:val="20"/>
              </w:rPr>
              <w:t>Feagan</w:t>
            </w:r>
            <w:proofErr w:type="spellEnd"/>
            <w:r w:rsidRPr="0076113B">
              <w:rPr>
                <w:sz w:val="20"/>
              </w:rPr>
              <w:t xml:space="preserve">, B. G., </w:t>
            </w:r>
            <w:proofErr w:type="spellStart"/>
            <w:r w:rsidRPr="0076113B">
              <w:rPr>
                <w:sz w:val="20"/>
              </w:rPr>
              <w:t>Rutgeerts</w:t>
            </w:r>
            <w:proofErr w:type="spellEnd"/>
            <w:r w:rsidRPr="0076113B">
              <w:rPr>
                <w:sz w:val="20"/>
              </w:rPr>
              <w:t xml:space="preserve">, P., Sands, B. E., </w:t>
            </w:r>
            <w:r w:rsidRPr="00252071">
              <w:rPr>
                <w:i/>
                <w:sz w:val="20"/>
              </w:rPr>
              <w:t>et al</w:t>
            </w:r>
            <w:r w:rsidRPr="0076113B">
              <w:rPr>
                <w:sz w:val="20"/>
              </w:rPr>
              <w:t>.</w:t>
            </w:r>
            <w:r w:rsidRPr="0076113B">
              <w:rPr>
                <w:sz w:val="20"/>
              </w:rPr>
              <w:tab/>
            </w:r>
            <w:proofErr w:type="spellStart"/>
            <w:r w:rsidRPr="0076113B">
              <w:rPr>
                <w:sz w:val="20"/>
              </w:rPr>
              <w:t>Vedolizumab</w:t>
            </w:r>
            <w:proofErr w:type="spellEnd"/>
            <w:r w:rsidRPr="0076113B">
              <w:rPr>
                <w:sz w:val="20"/>
              </w:rPr>
              <w:t xml:space="preserve"> as induction and maintenance therapy for ulcerative colitis. .</w:t>
            </w:r>
          </w:p>
        </w:tc>
        <w:tc>
          <w:tcPr>
            <w:tcW w:w="1433" w:type="pct"/>
          </w:tcPr>
          <w:p w:rsidR="0074061D" w:rsidRPr="0076113B" w:rsidRDefault="0074061D" w:rsidP="00B95E09">
            <w:pPr>
              <w:pStyle w:val="TableFooter"/>
              <w:keepNext/>
              <w:rPr>
                <w:sz w:val="20"/>
              </w:rPr>
            </w:pPr>
            <w:r w:rsidRPr="0076113B">
              <w:rPr>
                <w:sz w:val="20"/>
              </w:rPr>
              <w:t>2012</w:t>
            </w:r>
          </w:p>
          <w:p w:rsidR="0074061D" w:rsidRPr="0076113B" w:rsidRDefault="0074061D" w:rsidP="00B95E09">
            <w:pPr>
              <w:pStyle w:val="TableFooter"/>
              <w:keepNext/>
              <w:rPr>
                <w:sz w:val="20"/>
              </w:rPr>
            </w:pPr>
          </w:p>
          <w:p w:rsidR="0074061D" w:rsidRPr="0076113B" w:rsidRDefault="0074061D" w:rsidP="00B95E09">
            <w:pPr>
              <w:pStyle w:val="TableFooter"/>
              <w:keepNext/>
              <w:rPr>
                <w:sz w:val="20"/>
              </w:rPr>
            </w:pPr>
          </w:p>
          <w:p w:rsidR="0074061D" w:rsidRPr="0076113B" w:rsidRDefault="0074061D" w:rsidP="00B95E09">
            <w:pPr>
              <w:pStyle w:val="TableFooter"/>
              <w:keepNext/>
              <w:rPr>
                <w:sz w:val="20"/>
              </w:rPr>
            </w:pPr>
          </w:p>
          <w:p w:rsidR="0074061D" w:rsidRPr="00784235" w:rsidRDefault="0074061D" w:rsidP="00B95E09">
            <w:pPr>
              <w:pStyle w:val="TableFooter"/>
              <w:keepNext/>
              <w:rPr>
                <w:i/>
                <w:sz w:val="20"/>
              </w:rPr>
            </w:pPr>
            <w:r w:rsidRPr="00D24C72">
              <w:rPr>
                <w:i/>
                <w:sz w:val="20"/>
              </w:rPr>
              <w:t>New England Journal of Medicine</w:t>
            </w:r>
            <w:r w:rsidRPr="0076113B" w:rsidDel="00E03A3B">
              <w:rPr>
                <w:sz w:val="20"/>
              </w:rPr>
              <w:t xml:space="preserve"> </w:t>
            </w:r>
            <w:r w:rsidRPr="0076113B">
              <w:rPr>
                <w:sz w:val="20"/>
              </w:rPr>
              <w:t>2013; 369 (8): 699-710</w:t>
            </w:r>
          </w:p>
        </w:tc>
      </w:tr>
      <w:tr w:rsidR="0074061D" w:rsidRPr="004E2ADC">
        <w:trPr>
          <w:cantSplit/>
        </w:trPr>
        <w:tc>
          <w:tcPr>
            <w:tcW w:w="425" w:type="pct"/>
          </w:tcPr>
          <w:p w:rsidR="0074061D" w:rsidRPr="00252071" w:rsidRDefault="0074061D" w:rsidP="00B95E09">
            <w:pPr>
              <w:jc w:val="left"/>
              <w:rPr>
                <w:rFonts w:ascii="Arial Narrow" w:hAnsi="Arial Narrow"/>
                <w:sz w:val="20"/>
              </w:rPr>
            </w:pPr>
            <w:r w:rsidRPr="00252071">
              <w:rPr>
                <w:rFonts w:ascii="Arial Narrow" w:hAnsi="Arial Narrow"/>
                <w:sz w:val="20"/>
              </w:rPr>
              <w:t xml:space="preserve">Probert </w:t>
            </w:r>
          </w:p>
        </w:tc>
        <w:tc>
          <w:tcPr>
            <w:tcW w:w="3142" w:type="pct"/>
          </w:tcPr>
          <w:p w:rsidR="0074061D" w:rsidRPr="00252071" w:rsidRDefault="0074061D" w:rsidP="00B95E09">
            <w:pPr>
              <w:jc w:val="left"/>
              <w:rPr>
                <w:rFonts w:ascii="Arial Narrow" w:hAnsi="Arial Narrow"/>
                <w:b/>
                <w:sz w:val="20"/>
              </w:rPr>
            </w:pPr>
            <w:r w:rsidRPr="00252071">
              <w:rPr>
                <w:rFonts w:ascii="Arial Narrow" w:hAnsi="Arial Narrow"/>
                <w:sz w:val="20"/>
              </w:rPr>
              <w:t xml:space="preserve">Probert, C. S. J., Hearing, S. D., Schreiber, S., </w:t>
            </w:r>
            <w:r w:rsidRPr="00252071">
              <w:rPr>
                <w:rFonts w:ascii="Arial Narrow" w:hAnsi="Arial Narrow"/>
                <w:i/>
                <w:sz w:val="20"/>
              </w:rPr>
              <w:t>et al</w:t>
            </w:r>
            <w:r w:rsidRPr="00252071">
              <w:rPr>
                <w:rFonts w:ascii="Arial Narrow" w:hAnsi="Arial Narrow"/>
                <w:sz w:val="20"/>
              </w:rPr>
              <w:t xml:space="preserve">. Infliximab in moderately severe glucocorticoid resistant ulcerative colitis: A randomised controlled trial. </w:t>
            </w:r>
          </w:p>
        </w:tc>
        <w:tc>
          <w:tcPr>
            <w:tcW w:w="1433" w:type="pct"/>
          </w:tcPr>
          <w:p w:rsidR="0074061D" w:rsidRPr="00252071" w:rsidRDefault="0074061D" w:rsidP="00B95E09">
            <w:pPr>
              <w:jc w:val="left"/>
              <w:rPr>
                <w:rFonts w:ascii="Arial Narrow" w:hAnsi="Arial Narrow"/>
                <w:b/>
                <w:sz w:val="20"/>
              </w:rPr>
            </w:pPr>
            <w:r w:rsidRPr="00E03A3B">
              <w:rPr>
                <w:rFonts w:ascii="Arial Narrow" w:hAnsi="Arial Narrow"/>
                <w:i/>
                <w:sz w:val="20"/>
              </w:rPr>
              <w:t>Gut</w:t>
            </w:r>
            <w:r w:rsidRPr="00252071">
              <w:rPr>
                <w:rFonts w:ascii="Arial Narrow" w:hAnsi="Arial Narrow"/>
                <w:sz w:val="20"/>
              </w:rPr>
              <w:t xml:space="preserve"> 2003; 52 (7): 998-1002</w:t>
            </w:r>
          </w:p>
        </w:tc>
      </w:tr>
      <w:tr w:rsidR="0074061D" w:rsidRPr="004E2ADC">
        <w:trPr>
          <w:cantSplit/>
        </w:trPr>
        <w:tc>
          <w:tcPr>
            <w:tcW w:w="425" w:type="pct"/>
          </w:tcPr>
          <w:p w:rsidR="0074061D" w:rsidRDefault="0074061D" w:rsidP="00B95E09">
            <w:pPr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ACT</w:t>
            </w:r>
            <w:r w:rsidRPr="00252071">
              <w:rPr>
                <w:rFonts w:ascii="Arial Narrow" w:hAnsi="Arial Narrow"/>
                <w:sz w:val="20"/>
              </w:rPr>
              <w:t>1/</w:t>
            </w:r>
          </w:p>
          <w:p w:rsidR="0074061D" w:rsidRPr="00252071" w:rsidRDefault="0074061D" w:rsidP="00B95E09">
            <w:pPr>
              <w:jc w:val="left"/>
              <w:rPr>
                <w:rFonts w:ascii="Arial Narrow" w:hAnsi="Arial Narrow"/>
                <w:sz w:val="20"/>
              </w:rPr>
            </w:pPr>
            <w:r w:rsidRPr="00252071">
              <w:rPr>
                <w:rFonts w:ascii="Arial Narrow" w:hAnsi="Arial Narrow"/>
                <w:sz w:val="20"/>
              </w:rPr>
              <w:t>ACT 2</w:t>
            </w:r>
          </w:p>
        </w:tc>
        <w:tc>
          <w:tcPr>
            <w:tcW w:w="3142" w:type="pct"/>
          </w:tcPr>
          <w:p w:rsidR="0074061D" w:rsidRPr="00252071" w:rsidRDefault="0074061D" w:rsidP="00B95E09">
            <w:pPr>
              <w:widowControl/>
              <w:contextualSpacing/>
              <w:jc w:val="left"/>
              <w:rPr>
                <w:rFonts w:ascii="Arial Narrow" w:hAnsi="Arial Narrow"/>
                <w:b/>
                <w:sz w:val="20"/>
              </w:rPr>
            </w:pPr>
            <w:proofErr w:type="spellStart"/>
            <w:r w:rsidRPr="00252071">
              <w:rPr>
                <w:rFonts w:ascii="Arial Narrow" w:hAnsi="Arial Narrow"/>
                <w:sz w:val="20"/>
              </w:rPr>
              <w:t>Rutgeerts</w:t>
            </w:r>
            <w:proofErr w:type="spellEnd"/>
            <w:r w:rsidRPr="00252071">
              <w:rPr>
                <w:rFonts w:ascii="Arial Narrow" w:hAnsi="Arial Narrow"/>
                <w:sz w:val="20"/>
              </w:rPr>
              <w:t xml:space="preserve">, P., </w:t>
            </w:r>
            <w:proofErr w:type="spellStart"/>
            <w:r w:rsidRPr="00252071">
              <w:rPr>
                <w:rFonts w:ascii="Arial Narrow" w:hAnsi="Arial Narrow"/>
                <w:sz w:val="20"/>
              </w:rPr>
              <w:t>Sandborn</w:t>
            </w:r>
            <w:proofErr w:type="spellEnd"/>
            <w:r w:rsidRPr="00252071">
              <w:rPr>
                <w:rFonts w:ascii="Arial Narrow" w:hAnsi="Arial Narrow"/>
                <w:sz w:val="20"/>
              </w:rPr>
              <w:t xml:space="preserve">, W. J., </w:t>
            </w:r>
            <w:proofErr w:type="spellStart"/>
            <w:r w:rsidRPr="00252071">
              <w:rPr>
                <w:rFonts w:ascii="Arial Narrow" w:hAnsi="Arial Narrow"/>
                <w:sz w:val="20"/>
              </w:rPr>
              <w:t>Feagan</w:t>
            </w:r>
            <w:proofErr w:type="spellEnd"/>
            <w:r w:rsidRPr="00252071">
              <w:rPr>
                <w:rFonts w:ascii="Arial Narrow" w:hAnsi="Arial Narrow"/>
                <w:sz w:val="20"/>
              </w:rPr>
              <w:t xml:space="preserve">, B. G., </w:t>
            </w:r>
            <w:r w:rsidRPr="00252071">
              <w:rPr>
                <w:rFonts w:ascii="Arial Narrow" w:hAnsi="Arial Narrow"/>
                <w:i/>
                <w:sz w:val="20"/>
              </w:rPr>
              <w:t>et al</w:t>
            </w:r>
            <w:r w:rsidRPr="00252071">
              <w:rPr>
                <w:rFonts w:ascii="Arial Narrow" w:hAnsi="Arial Narrow"/>
                <w:sz w:val="20"/>
              </w:rPr>
              <w:t xml:space="preserve">. Infliximab for induction and maintenance therapy for ulcerative colitis </w:t>
            </w:r>
          </w:p>
        </w:tc>
        <w:tc>
          <w:tcPr>
            <w:tcW w:w="1433" w:type="pct"/>
          </w:tcPr>
          <w:p w:rsidR="0074061D" w:rsidRPr="00252071" w:rsidRDefault="0074061D" w:rsidP="00B95E09">
            <w:pPr>
              <w:jc w:val="left"/>
              <w:rPr>
                <w:rFonts w:ascii="Arial Narrow" w:hAnsi="Arial Narrow"/>
                <w:b/>
                <w:sz w:val="20"/>
              </w:rPr>
            </w:pPr>
            <w:r w:rsidRPr="00D24C72">
              <w:rPr>
                <w:rFonts w:ascii="Arial Narrow" w:hAnsi="Arial Narrow"/>
                <w:i/>
                <w:sz w:val="20"/>
              </w:rPr>
              <w:t>New England Journal of Medicine</w:t>
            </w:r>
            <w:r w:rsidRPr="00252071" w:rsidDel="00E03A3B">
              <w:rPr>
                <w:rFonts w:ascii="Arial Narrow" w:hAnsi="Arial Narrow"/>
                <w:sz w:val="20"/>
              </w:rPr>
              <w:t xml:space="preserve"> </w:t>
            </w:r>
            <w:r w:rsidRPr="00252071">
              <w:rPr>
                <w:rFonts w:ascii="Arial Narrow" w:hAnsi="Arial Narrow"/>
                <w:sz w:val="20"/>
              </w:rPr>
              <w:t>2005; 353 (23): 2462-2476</w:t>
            </w:r>
          </w:p>
        </w:tc>
      </w:tr>
    </w:tbl>
    <w:p w:rsidR="0074061D" w:rsidRDefault="0074061D" w:rsidP="008F024A">
      <w:pPr>
        <w:ind w:firstLine="720"/>
        <w:rPr>
          <w:rStyle w:val="CommentReference"/>
        </w:rPr>
      </w:pPr>
      <w:r>
        <w:rPr>
          <w:rStyle w:val="CommentReference"/>
          <w:b w:val="0"/>
          <w:sz w:val="18"/>
        </w:rPr>
        <w:t xml:space="preserve">Source: Table B.2-7, </w:t>
      </w:r>
      <w:r w:rsidRPr="007D0B38">
        <w:rPr>
          <w:rStyle w:val="CommentReference"/>
          <w:b w:val="0"/>
          <w:sz w:val="18"/>
        </w:rPr>
        <w:t>p</w:t>
      </w:r>
      <w:r>
        <w:rPr>
          <w:rStyle w:val="CommentReference"/>
          <w:b w:val="0"/>
          <w:sz w:val="18"/>
        </w:rPr>
        <w:t xml:space="preserve">40-42 </w:t>
      </w:r>
      <w:r w:rsidRPr="007D0B38">
        <w:rPr>
          <w:rStyle w:val="CommentReference"/>
          <w:b w:val="0"/>
          <w:sz w:val="18"/>
        </w:rPr>
        <w:t xml:space="preserve">of the </w:t>
      </w:r>
      <w:r>
        <w:rPr>
          <w:rStyle w:val="CommentReference"/>
          <w:b w:val="0"/>
          <w:sz w:val="18"/>
        </w:rPr>
        <w:t>re-</w:t>
      </w:r>
      <w:r w:rsidRPr="007D0B38">
        <w:rPr>
          <w:rStyle w:val="CommentReference"/>
          <w:b w:val="0"/>
          <w:sz w:val="18"/>
        </w:rPr>
        <w:t>submission</w:t>
      </w:r>
    </w:p>
    <w:p w:rsidR="00D11160" w:rsidRPr="00D11160" w:rsidRDefault="00D11160" w:rsidP="008F024A">
      <w:pPr>
        <w:ind w:firstLine="720"/>
        <w:rPr>
          <w:rFonts w:ascii="Arial Narrow" w:hAnsi="Arial Narrow"/>
          <w:szCs w:val="22"/>
        </w:rPr>
      </w:pPr>
    </w:p>
    <w:p w:rsidR="00D11160" w:rsidRPr="00D11160" w:rsidRDefault="0074061D" w:rsidP="00D11160">
      <w:pPr>
        <w:pStyle w:val="ListParagraph"/>
        <w:widowControl/>
        <w:numPr>
          <w:ilvl w:val="1"/>
          <w:numId w:val="5"/>
        </w:numPr>
        <w:rPr>
          <w:szCs w:val="22"/>
        </w:rPr>
      </w:pPr>
      <w:r w:rsidRPr="00E83B5B">
        <w:rPr>
          <w:szCs w:val="22"/>
        </w:rPr>
        <w:t>The key features of the direct randomised trials are summarised in the table below.</w:t>
      </w:r>
    </w:p>
    <w:p w:rsidR="0074061D" w:rsidRDefault="0074061D" w:rsidP="00322628">
      <w:pPr>
        <w:keepNext/>
        <w:keepLines/>
        <w:widowControl/>
        <w:ind w:firstLine="720"/>
        <w:rPr>
          <w:rStyle w:val="CommentReference"/>
        </w:rPr>
      </w:pPr>
      <w:r w:rsidRPr="00E83B5B">
        <w:rPr>
          <w:rStyle w:val="CommentReference"/>
        </w:rPr>
        <w:t>Key</w:t>
      </w:r>
      <w:r w:rsidRPr="00A13948">
        <w:rPr>
          <w:rStyle w:val="CommentReference"/>
        </w:rPr>
        <w:t xml:space="preserve"> features of the included evidence – indirect comparison</w:t>
      </w:r>
    </w:p>
    <w:tbl>
      <w:tblPr>
        <w:tblW w:w="4594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1"/>
        <w:gridCol w:w="570"/>
        <w:gridCol w:w="1132"/>
        <w:gridCol w:w="708"/>
        <w:gridCol w:w="2412"/>
        <w:gridCol w:w="1524"/>
        <w:gridCol w:w="868"/>
      </w:tblGrid>
      <w:tr w:rsidR="0074061D" w:rsidRPr="000B3D87">
        <w:trPr>
          <w:tblHeader/>
        </w:trPr>
        <w:tc>
          <w:tcPr>
            <w:tcW w:w="678" w:type="pct"/>
            <w:shd w:val="clear" w:color="auto" w:fill="auto"/>
            <w:vAlign w:val="center"/>
          </w:tcPr>
          <w:p w:rsidR="0074061D" w:rsidRPr="000B3D87" w:rsidRDefault="0074061D" w:rsidP="008F024A">
            <w:pPr>
              <w:keepNext/>
              <w:keepLines/>
              <w:jc w:val="left"/>
              <w:rPr>
                <w:rFonts w:ascii="Arial Narrow" w:hAnsi="Arial Narrow"/>
                <w:b/>
                <w:sz w:val="20"/>
                <w:lang w:val="en-US"/>
              </w:rPr>
            </w:pPr>
            <w:r w:rsidRPr="000B3D87">
              <w:rPr>
                <w:rFonts w:ascii="Arial Narrow" w:hAnsi="Arial Narrow"/>
                <w:b/>
                <w:sz w:val="20"/>
                <w:lang w:val="en-US"/>
              </w:rPr>
              <w:t>Trial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74061D" w:rsidRPr="000B3D87" w:rsidRDefault="0074061D" w:rsidP="008F024A">
            <w:pPr>
              <w:keepNext/>
              <w:keepLines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0B3D87">
              <w:rPr>
                <w:rFonts w:ascii="Arial Narrow" w:hAnsi="Arial Narrow"/>
                <w:b/>
                <w:sz w:val="20"/>
                <w:lang w:val="en-US"/>
              </w:rPr>
              <w:t>N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74061D" w:rsidRPr="000B3D87" w:rsidRDefault="0074061D" w:rsidP="008F024A">
            <w:pPr>
              <w:keepNext/>
              <w:keepLines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0B3D87">
              <w:rPr>
                <w:rFonts w:ascii="Arial Narrow" w:hAnsi="Arial Narrow"/>
                <w:b/>
                <w:sz w:val="20"/>
                <w:lang w:val="en-US"/>
              </w:rPr>
              <w:t>Design/ duration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74061D" w:rsidRPr="000B3D87" w:rsidRDefault="0074061D" w:rsidP="008F024A">
            <w:pPr>
              <w:keepNext/>
              <w:keepLines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0B3D87">
              <w:rPr>
                <w:rFonts w:ascii="Arial Narrow" w:hAnsi="Arial Narrow"/>
                <w:b/>
                <w:sz w:val="20"/>
                <w:lang w:val="en-US"/>
              </w:rPr>
              <w:t>Risk of bias</w:t>
            </w:r>
          </w:p>
        </w:tc>
        <w:tc>
          <w:tcPr>
            <w:tcW w:w="1445" w:type="pct"/>
            <w:shd w:val="clear" w:color="auto" w:fill="auto"/>
            <w:vAlign w:val="center"/>
          </w:tcPr>
          <w:p w:rsidR="0074061D" w:rsidRPr="000B3D87" w:rsidRDefault="0074061D" w:rsidP="008F024A">
            <w:pPr>
              <w:keepNext/>
              <w:keepLines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0B3D87">
              <w:rPr>
                <w:rFonts w:ascii="Arial Narrow" w:hAnsi="Arial Narrow"/>
                <w:b/>
                <w:sz w:val="20"/>
                <w:lang w:val="en-US"/>
              </w:rPr>
              <w:t>Patient population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74061D" w:rsidRPr="000B3D87" w:rsidRDefault="0074061D" w:rsidP="008F024A">
            <w:pPr>
              <w:keepNext/>
              <w:keepLines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Outcomes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74061D" w:rsidRPr="000B3D87" w:rsidRDefault="0074061D" w:rsidP="008F024A">
            <w:pPr>
              <w:keepNext/>
              <w:keepLines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0B3D87">
              <w:rPr>
                <w:rFonts w:ascii="Arial Narrow" w:hAnsi="Arial Narrow"/>
                <w:b/>
                <w:sz w:val="20"/>
                <w:lang w:val="en-US"/>
              </w:rPr>
              <w:t>Use in modelled evaluation</w:t>
            </w:r>
          </w:p>
        </w:tc>
      </w:tr>
      <w:tr w:rsidR="0074061D" w:rsidRPr="000B3D87">
        <w:tc>
          <w:tcPr>
            <w:tcW w:w="5000" w:type="pct"/>
            <w:gridSpan w:val="7"/>
            <w:shd w:val="clear" w:color="auto" w:fill="auto"/>
            <w:vAlign w:val="center"/>
          </w:tcPr>
          <w:p w:rsidR="0074061D" w:rsidRPr="000B3D87" w:rsidRDefault="0074061D" w:rsidP="008F024A">
            <w:pPr>
              <w:keepNext/>
              <w:keepLines/>
              <w:jc w:val="left"/>
              <w:rPr>
                <w:rFonts w:ascii="Arial Narrow" w:hAnsi="Arial Narrow"/>
                <w:b/>
                <w:sz w:val="20"/>
                <w:lang w:val="en-US"/>
              </w:rPr>
            </w:pPr>
            <w:proofErr w:type="spellStart"/>
            <w:r w:rsidRPr="000B3D87">
              <w:rPr>
                <w:rFonts w:ascii="Arial Narrow" w:hAnsi="Arial Narrow"/>
                <w:b/>
                <w:sz w:val="20"/>
                <w:lang w:val="en-US"/>
              </w:rPr>
              <w:t>vedolizumab</w:t>
            </w:r>
            <w:proofErr w:type="spellEnd"/>
            <w:r w:rsidRPr="000B3D87">
              <w:rPr>
                <w:rFonts w:ascii="Arial Narrow" w:hAnsi="Arial Narrow"/>
                <w:b/>
                <w:sz w:val="20"/>
                <w:lang w:val="en-US"/>
              </w:rPr>
              <w:t xml:space="preserve"> vs. placebo</w:t>
            </w:r>
          </w:p>
        </w:tc>
      </w:tr>
      <w:tr w:rsidR="0074061D" w:rsidRPr="000B3D87">
        <w:tc>
          <w:tcPr>
            <w:tcW w:w="678" w:type="pct"/>
            <w:shd w:val="clear" w:color="auto" w:fill="auto"/>
            <w:vAlign w:val="center"/>
          </w:tcPr>
          <w:p w:rsidR="0074061D" w:rsidRPr="000B3D87" w:rsidRDefault="0074061D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0B3D87">
              <w:rPr>
                <w:rFonts w:ascii="Arial Narrow" w:hAnsi="Arial Narrow"/>
                <w:sz w:val="20"/>
                <w:lang w:val="en-US"/>
              </w:rPr>
              <w:t>GEMINI I</w:t>
            </w:r>
          </w:p>
          <w:p w:rsidR="0074061D" w:rsidRPr="000B3D87" w:rsidRDefault="0074061D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0B3D87">
              <w:rPr>
                <w:rFonts w:ascii="Arial Narrow" w:hAnsi="Arial Narrow"/>
                <w:sz w:val="20"/>
                <w:lang w:val="en-US"/>
              </w:rPr>
              <w:t>Induction ITT</w:t>
            </w:r>
          </w:p>
          <w:p w:rsidR="0074061D" w:rsidRPr="000B3D87" w:rsidRDefault="0074061D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0B3D87">
              <w:rPr>
                <w:rFonts w:ascii="Arial Narrow" w:hAnsi="Arial Narrow"/>
                <w:sz w:val="20"/>
                <w:lang w:val="en-US"/>
              </w:rPr>
              <w:t>(Cohort 1)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74061D" w:rsidRPr="000B3D87" w:rsidRDefault="0074061D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0B3D87">
              <w:rPr>
                <w:rFonts w:ascii="Arial Narrow" w:hAnsi="Arial Narrow"/>
                <w:sz w:val="20"/>
                <w:lang w:val="en-US"/>
              </w:rPr>
              <w:t>374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74061D" w:rsidRPr="000B3D87" w:rsidRDefault="0074061D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0B3D87">
              <w:rPr>
                <w:rFonts w:ascii="Arial Narrow" w:hAnsi="Arial Narrow"/>
                <w:sz w:val="20"/>
                <w:lang w:val="en-US"/>
              </w:rPr>
              <w:t xml:space="preserve">R, DB, 6 </w:t>
            </w:r>
            <w:proofErr w:type="spellStart"/>
            <w:r w:rsidRPr="000B3D87">
              <w:rPr>
                <w:rFonts w:ascii="Arial Narrow" w:hAnsi="Arial Narrow"/>
                <w:sz w:val="20"/>
                <w:lang w:val="en-US"/>
              </w:rPr>
              <w:t>wks</w:t>
            </w:r>
            <w:proofErr w:type="spellEnd"/>
          </w:p>
        </w:tc>
        <w:tc>
          <w:tcPr>
            <w:tcW w:w="424" w:type="pct"/>
            <w:shd w:val="clear" w:color="auto" w:fill="auto"/>
            <w:vAlign w:val="center"/>
          </w:tcPr>
          <w:p w:rsidR="0074061D" w:rsidRPr="000B3D87" w:rsidRDefault="0074061D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Low</w:t>
            </w:r>
          </w:p>
        </w:tc>
        <w:tc>
          <w:tcPr>
            <w:tcW w:w="1445" w:type="pct"/>
            <w:shd w:val="clear" w:color="auto" w:fill="auto"/>
            <w:vAlign w:val="center"/>
          </w:tcPr>
          <w:p w:rsidR="0074061D" w:rsidRPr="000B3D87" w:rsidRDefault="0074061D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0B3D87">
              <w:rPr>
                <w:rFonts w:ascii="Arial Narrow" w:hAnsi="Arial Narrow"/>
                <w:sz w:val="20"/>
                <w:lang w:val="en-US"/>
              </w:rPr>
              <w:t>Moderate to severe UC</w:t>
            </w:r>
          </w:p>
          <w:p w:rsidR="0074061D" w:rsidRPr="000B3D87" w:rsidRDefault="0074061D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0B3D87">
              <w:rPr>
                <w:rFonts w:ascii="Arial Narrow" w:hAnsi="Arial Narrow"/>
                <w:sz w:val="20"/>
                <w:lang w:val="en-US"/>
              </w:rPr>
              <w:t>Failed ≥1 of TNF</w:t>
            </w:r>
            <w:r w:rsidR="009B41B5">
              <w:rPr>
                <w:rFonts w:ascii="Arial Narrow" w:hAnsi="Arial Narrow"/>
                <w:sz w:val="20"/>
                <w:lang w:val="en-US"/>
              </w:rPr>
              <w:t>-</w:t>
            </w:r>
            <w:r w:rsidRPr="000B3D87">
              <w:rPr>
                <w:rFonts w:ascii="Times New Roman" w:hAnsi="Times New Roman" w:cs="Times New Roman"/>
                <w:sz w:val="20"/>
                <w:lang w:val="en-US"/>
              </w:rPr>
              <w:t>α</w:t>
            </w:r>
            <w:r w:rsidRPr="000B3D87">
              <w:rPr>
                <w:rFonts w:ascii="Arial Narrow" w:hAnsi="Arial Narrow"/>
                <w:sz w:val="20"/>
                <w:lang w:val="en-US"/>
              </w:rPr>
              <w:t xml:space="preserve"> antagonist, </w:t>
            </w:r>
            <w:proofErr w:type="spellStart"/>
            <w:r w:rsidRPr="000B3D87">
              <w:rPr>
                <w:rFonts w:ascii="Arial Narrow" w:hAnsi="Arial Narrow"/>
                <w:sz w:val="20"/>
                <w:lang w:val="en-US"/>
              </w:rPr>
              <w:t>immunomodulator</w:t>
            </w:r>
            <w:proofErr w:type="spellEnd"/>
            <w:r w:rsidRPr="000B3D87">
              <w:rPr>
                <w:rFonts w:ascii="Arial Narrow" w:hAnsi="Arial Narrow"/>
                <w:sz w:val="20"/>
                <w:lang w:val="en-US"/>
              </w:rPr>
              <w:t xml:space="preserve"> or corticosteroids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74061D" w:rsidRPr="000B3D87" w:rsidRDefault="0074061D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F</w:t>
            </w:r>
            <w:r w:rsidRPr="000B3D87">
              <w:rPr>
                <w:rFonts w:ascii="Arial Narrow" w:hAnsi="Arial Narrow"/>
                <w:sz w:val="20"/>
                <w:lang w:val="en-US"/>
              </w:rPr>
              <w:t xml:space="preserve">ull Mayo response, remission </w:t>
            </w:r>
            <w:proofErr w:type="spellStart"/>
            <w:r w:rsidRPr="000B3D87">
              <w:rPr>
                <w:rFonts w:ascii="Arial Narrow" w:hAnsi="Arial Narrow"/>
                <w:sz w:val="20"/>
                <w:lang w:val="en-US"/>
              </w:rPr>
              <w:t>wk</w:t>
            </w:r>
            <w:proofErr w:type="spellEnd"/>
            <w:r w:rsidRPr="000B3D87">
              <w:rPr>
                <w:rFonts w:ascii="Arial Narrow" w:hAnsi="Arial Narrow"/>
                <w:sz w:val="20"/>
                <w:lang w:val="en-US"/>
              </w:rPr>
              <w:t xml:space="preserve"> 6 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74061D" w:rsidRPr="000B3D87" w:rsidRDefault="0074061D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0B3D87">
              <w:rPr>
                <w:rFonts w:ascii="Arial Narrow" w:hAnsi="Arial Narrow"/>
                <w:sz w:val="20"/>
                <w:lang w:val="en-US"/>
              </w:rPr>
              <w:t>Not used</w:t>
            </w:r>
          </w:p>
        </w:tc>
      </w:tr>
      <w:tr w:rsidR="0074061D" w:rsidRPr="000B3D87">
        <w:tc>
          <w:tcPr>
            <w:tcW w:w="678" w:type="pct"/>
            <w:shd w:val="clear" w:color="auto" w:fill="auto"/>
            <w:vAlign w:val="center"/>
          </w:tcPr>
          <w:p w:rsidR="0074061D" w:rsidRPr="000B3D87" w:rsidRDefault="0074061D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0B3D87">
              <w:rPr>
                <w:rFonts w:ascii="Arial Narrow" w:hAnsi="Arial Narrow"/>
                <w:sz w:val="20"/>
                <w:lang w:val="en-US"/>
              </w:rPr>
              <w:t>GEMINI I</w:t>
            </w:r>
          </w:p>
          <w:p w:rsidR="0074061D" w:rsidRPr="000B3D87" w:rsidRDefault="0074061D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0B3D87">
              <w:rPr>
                <w:rFonts w:ascii="Arial Narrow" w:hAnsi="Arial Narrow"/>
                <w:sz w:val="20"/>
                <w:lang w:val="en-US"/>
              </w:rPr>
              <w:t>Maintenance ITT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74061D" w:rsidRPr="000B3D87" w:rsidRDefault="0074061D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0B3D87">
              <w:rPr>
                <w:rFonts w:ascii="Arial Narrow" w:hAnsi="Arial Narrow"/>
                <w:sz w:val="20"/>
                <w:lang w:val="en-US"/>
              </w:rPr>
              <w:t>373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74061D" w:rsidRPr="000B3D87" w:rsidRDefault="0074061D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0B3D87">
              <w:rPr>
                <w:rFonts w:ascii="Arial Narrow" w:hAnsi="Arial Narrow"/>
                <w:sz w:val="20"/>
                <w:lang w:val="en-US"/>
              </w:rPr>
              <w:t xml:space="preserve">R, DB, 52 </w:t>
            </w:r>
            <w:proofErr w:type="spellStart"/>
            <w:r w:rsidRPr="000B3D87">
              <w:rPr>
                <w:rFonts w:ascii="Arial Narrow" w:hAnsi="Arial Narrow"/>
                <w:sz w:val="20"/>
                <w:lang w:val="en-US"/>
              </w:rPr>
              <w:t>wks</w:t>
            </w:r>
            <w:proofErr w:type="spellEnd"/>
          </w:p>
        </w:tc>
        <w:tc>
          <w:tcPr>
            <w:tcW w:w="424" w:type="pct"/>
            <w:shd w:val="clear" w:color="auto" w:fill="auto"/>
            <w:vAlign w:val="center"/>
          </w:tcPr>
          <w:p w:rsidR="0074061D" w:rsidRPr="00784235" w:rsidRDefault="0074061D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proofErr w:type="spellStart"/>
            <w:r w:rsidRPr="00784235">
              <w:rPr>
                <w:rFonts w:ascii="Arial Narrow" w:hAnsi="Arial Narrow"/>
                <w:sz w:val="20"/>
                <w:lang w:val="en-US"/>
              </w:rPr>
              <w:t>Unclear</w:t>
            </w:r>
            <w:r w:rsidRPr="00784235">
              <w:rPr>
                <w:rFonts w:ascii="Arial Narrow" w:hAnsi="Arial Narrow"/>
                <w:sz w:val="20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445" w:type="pct"/>
            <w:shd w:val="clear" w:color="auto" w:fill="auto"/>
            <w:vAlign w:val="center"/>
          </w:tcPr>
          <w:p w:rsidR="0074061D" w:rsidRPr="00784235" w:rsidRDefault="0074061D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784235">
              <w:rPr>
                <w:rFonts w:ascii="Arial Narrow" w:hAnsi="Arial Narrow"/>
                <w:sz w:val="20"/>
                <w:lang w:val="en-US"/>
              </w:rPr>
              <w:t xml:space="preserve">Response to VED at </w:t>
            </w:r>
            <w:proofErr w:type="spellStart"/>
            <w:r w:rsidRPr="00784235">
              <w:rPr>
                <w:rFonts w:ascii="Arial Narrow" w:hAnsi="Arial Narrow"/>
                <w:sz w:val="20"/>
                <w:lang w:val="en-US"/>
              </w:rPr>
              <w:t>wk</w:t>
            </w:r>
            <w:proofErr w:type="spellEnd"/>
            <w:r w:rsidRPr="00784235">
              <w:rPr>
                <w:rFonts w:ascii="Arial Narrow" w:hAnsi="Arial Narrow"/>
                <w:sz w:val="20"/>
                <w:lang w:val="en-US"/>
              </w:rPr>
              <w:t xml:space="preserve"> 6 from GEMINI I (OL or DB)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74061D" w:rsidRPr="000B3D87" w:rsidRDefault="0074061D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F</w:t>
            </w:r>
            <w:r w:rsidRPr="000B3D87">
              <w:rPr>
                <w:rFonts w:ascii="Arial Narrow" w:hAnsi="Arial Narrow"/>
                <w:sz w:val="20"/>
                <w:lang w:val="en-US"/>
              </w:rPr>
              <w:t>ull Mayo response,</w:t>
            </w:r>
          </w:p>
          <w:p w:rsidR="0074061D" w:rsidRPr="000B3D87" w:rsidRDefault="0074061D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0B3D87">
              <w:rPr>
                <w:rFonts w:ascii="Arial Narrow" w:hAnsi="Arial Narrow"/>
                <w:sz w:val="20"/>
                <w:lang w:val="en-US"/>
              </w:rPr>
              <w:t xml:space="preserve">remission </w:t>
            </w:r>
            <w:proofErr w:type="spellStart"/>
            <w:r w:rsidRPr="000B3D87">
              <w:rPr>
                <w:rFonts w:ascii="Arial Narrow" w:hAnsi="Arial Narrow"/>
                <w:sz w:val="20"/>
                <w:lang w:val="en-US"/>
              </w:rPr>
              <w:t>wk</w:t>
            </w:r>
            <w:proofErr w:type="spellEnd"/>
            <w:r w:rsidRPr="000B3D87">
              <w:rPr>
                <w:rFonts w:ascii="Arial Narrow" w:hAnsi="Arial Narrow"/>
                <w:sz w:val="20"/>
                <w:lang w:val="en-US"/>
              </w:rPr>
              <w:t xml:space="preserve"> 52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74061D" w:rsidRPr="000B3D87" w:rsidRDefault="0074061D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0B3D87">
              <w:rPr>
                <w:rFonts w:ascii="Arial Narrow" w:hAnsi="Arial Narrow"/>
                <w:sz w:val="20"/>
                <w:lang w:val="en-US"/>
              </w:rPr>
              <w:t>Not used</w:t>
            </w:r>
          </w:p>
        </w:tc>
      </w:tr>
      <w:tr w:rsidR="0074061D" w:rsidRPr="000B3D87">
        <w:tc>
          <w:tcPr>
            <w:tcW w:w="5000" w:type="pct"/>
            <w:gridSpan w:val="7"/>
            <w:shd w:val="clear" w:color="auto" w:fill="auto"/>
            <w:vAlign w:val="center"/>
          </w:tcPr>
          <w:p w:rsidR="0074061D" w:rsidRPr="000B3D87" w:rsidRDefault="0074061D" w:rsidP="008F024A">
            <w:pPr>
              <w:keepNext/>
              <w:keepLines/>
              <w:rPr>
                <w:rFonts w:ascii="Arial Narrow" w:hAnsi="Arial Narrow"/>
                <w:b/>
                <w:sz w:val="20"/>
                <w:lang w:val="en-US"/>
              </w:rPr>
            </w:pPr>
            <w:r w:rsidRPr="000B3D87">
              <w:rPr>
                <w:rFonts w:ascii="Arial Narrow" w:hAnsi="Arial Narrow"/>
                <w:b/>
                <w:sz w:val="20"/>
                <w:lang w:val="en-US"/>
              </w:rPr>
              <w:t>infliximab vs. placebo</w:t>
            </w:r>
          </w:p>
        </w:tc>
      </w:tr>
      <w:tr w:rsidR="006C2512" w:rsidRPr="000B3D87">
        <w:tc>
          <w:tcPr>
            <w:tcW w:w="678" w:type="pct"/>
            <w:shd w:val="clear" w:color="auto" w:fill="auto"/>
            <w:vAlign w:val="center"/>
          </w:tcPr>
          <w:p w:rsidR="006C2512" w:rsidRPr="000B3D87" w:rsidRDefault="006C2512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0B3D87">
              <w:rPr>
                <w:rFonts w:ascii="Arial Narrow" w:hAnsi="Arial Narrow"/>
                <w:sz w:val="20"/>
                <w:lang w:val="en-US"/>
              </w:rPr>
              <w:t>ACT 1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C2512" w:rsidRPr="000B3D87" w:rsidRDefault="006C2512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0B3D87">
              <w:rPr>
                <w:rFonts w:ascii="Arial Narrow" w:hAnsi="Arial Narrow"/>
                <w:sz w:val="20"/>
              </w:rPr>
              <w:t>242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6C2512" w:rsidRPr="000B3D87" w:rsidRDefault="006C2512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0B3D87">
              <w:rPr>
                <w:rFonts w:ascii="Arial Narrow" w:hAnsi="Arial Narrow"/>
                <w:sz w:val="20"/>
              </w:rPr>
              <w:t xml:space="preserve">R, DB 54 </w:t>
            </w:r>
            <w:proofErr w:type="spellStart"/>
            <w:r w:rsidRPr="000B3D87">
              <w:rPr>
                <w:rFonts w:ascii="Arial Narrow" w:hAnsi="Arial Narrow"/>
                <w:sz w:val="20"/>
              </w:rPr>
              <w:t>wks</w:t>
            </w:r>
            <w:proofErr w:type="spellEnd"/>
          </w:p>
        </w:tc>
        <w:tc>
          <w:tcPr>
            <w:tcW w:w="424" w:type="pct"/>
            <w:shd w:val="clear" w:color="auto" w:fill="auto"/>
            <w:vAlign w:val="center"/>
          </w:tcPr>
          <w:p w:rsidR="006C2512" w:rsidRPr="000B3D87" w:rsidRDefault="006C2512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proofErr w:type="spellStart"/>
            <w:r w:rsidRPr="000B3D87">
              <w:rPr>
                <w:rFonts w:ascii="Arial Narrow" w:hAnsi="Arial Narrow"/>
                <w:sz w:val="20"/>
                <w:lang w:val="en-US"/>
              </w:rPr>
              <w:t>Unclear</w:t>
            </w:r>
            <w:r w:rsidRPr="00784235">
              <w:rPr>
                <w:rFonts w:ascii="Arial Narrow" w:hAnsi="Arial Narrow"/>
                <w:sz w:val="20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445" w:type="pct"/>
            <w:vMerge w:val="restart"/>
            <w:shd w:val="clear" w:color="auto" w:fill="auto"/>
            <w:vAlign w:val="center"/>
          </w:tcPr>
          <w:p w:rsidR="006C2512" w:rsidRPr="000B3D87" w:rsidRDefault="006C2512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0B3D87">
              <w:rPr>
                <w:rFonts w:ascii="Arial Narrow" w:hAnsi="Arial Narrow"/>
                <w:sz w:val="20"/>
                <w:lang w:val="en-US"/>
              </w:rPr>
              <w:t>Moderate to severe UC</w:t>
            </w:r>
            <w:r>
              <w:rPr>
                <w:rFonts w:ascii="Arial Narrow" w:hAnsi="Arial Narrow"/>
                <w:sz w:val="20"/>
                <w:lang w:val="en-US"/>
              </w:rPr>
              <w:t>. Prior treatment with a TNF</w:t>
            </w:r>
            <w:r w:rsidR="009B41B5">
              <w:rPr>
                <w:rFonts w:ascii="Arial Narrow" w:hAnsi="Arial Narrow"/>
                <w:sz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α</w:t>
            </w:r>
            <w:r>
              <w:rPr>
                <w:rFonts w:ascii="Arial Narrow" w:hAnsi="Arial Narrow"/>
                <w:sz w:val="20"/>
                <w:lang w:val="en-US"/>
              </w:rPr>
              <w:t xml:space="preserve"> antagonist not allowed.</w:t>
            </w:r>
          </w:p>
          <w:p w:rsidR="006C2512" w:rsidRPr="000B3D87" w:rsidRDefault="006C2512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:rsidR="006C2512" w:rsidRPr="000B3D87" w:rsidRDefault="006C2512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Fu</w:t>
            </w:r>
            <w:r w:rsidRPr="000B3D87">
              <w:rPr>
                <w:rFonts w:ascii="Arial Narrow" w:hAnsi="Arial Narrow"/>
                <w:sz w:val="20"/>
                <w:lang w:val="en-US"/>
              </w:rPr>
              <w:t xml:space="preserve">ll Mayo response remission, </w:t>
            </w:r>
            <w:proofErr w:type="spellStart"/>
            <w:r w:rsidRPr="000B3D87">
              <w:rPr>
                <w:rFonts w:ascii="Arial Narrow" w:hAnsi="Arial Narrow"/>
                <w:sz w:val="20"/>
                <w:lang w:val="en-US"/>
              </w:rPr>
              <w:t>wk</w:t>
            </w:r>
            <w:proofErr w:type="spellEnd"/>
            <w:r w:rsidRPr="000B3D87">
              <w:rPr>
                <w:rFonts w:ascii="Arial Narrow" w:hAnsi="Arial Narrow"/>
                <w:sz w:val="20"/>
                <w:lang w:val="en-US"/>
              </w:rPr>
              <w:t xml:space="preserve"> 8, 54 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6C2512" w:rsidRPr="000B3D87" w:rsidRDefault="006C2512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0B3D87">
              <w:rPr>
                <w:rFonts w:ascii="Arial Narrow" w:hAnsi="Arial Narrow"/>
                <w:sz w:val="20"/>
              </w:rPr>
              <w:t>Not used</w:t>
            </w:r>
          </w:p>
        </w:tc>
      </w:tr>
      <w:tr w:rsidR="006C2512" w:rsidRPr="000B3D87">
        <w:tc>
          <w:tcPr>
            <w:tcW w:w="678" w:type="pct"/>
            <w:shd w:val="clear" w:color="auto" w:fill="auto"/>
            <w:vAlign w:val="center"/>
          </w:tcPr>
          <w:p w:rsidR="006C2512" w:rsidRPr="000B3D87" w:rsidRDefault="006C2512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0B3D87">
              <w:rPr>
                <w:rFonts w:ascii="Arial Narrow" w:hAnsi="Arial Narrow"/>
                <w:sz w:val="20"/>
                <w:lang w:val="en-US"/>
              </w:rPr>
              <w:t>ACT 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C2512" w:rsidRPr="000B3D87" w:rsidRDefault="006C2512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0B3D87">
              <w:rPr>
                <w:rFonts w:ascii="Arial Narrow" w:hAnsi="Arial Narrow"/>
                <w:sz w:val="20"/>
              </w:rPr>
              <w:t>244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6C2512" w:rsidRPr="000B3D87" w:rsidRDefault="006C2512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0B3D87">
              <w:rPr>
                <w:rFonts w:ascii="Arial Narrow" w:hAnsi="Arial Narrow"/>
                <w:sz w:val="20"/>
              </w:rPr>
              <w:t xml:space="preserve">R, DB 30 </w:t>
            </w:r>
            <w:proofErr w:type="spellStart"/>
            <w:r w:rsidRPr="000B3D87">
              <w:rPr>
                <w:rFonts w:ascii="Arial Narrow" w:hAnsi="Arial Narrow"/>
                <w:sz w:val="20"/>
              </w:rPr>
              <w:t>wks</w:t>
            </w:r>
            <w:proofErr w:type="spellEnd"/>
          </w:p>
        </w:tc>
        <w:tc>
          <w:tcPr>
            <w:tcW w:w="424" w:type="pct"/>
            <w:shd w:val="clear" w:color="auto" w:fill="auto"/>
            <w:vAlign w:val="center"/>
          </w:tcPr>
          <w:p w:rsidR="006C2512" w:rsidRPr="000B3D87" w:rsidRDefault="006C2512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proofErr w:type="spellStart"/>
            <w:r w:rsidRPr="000B3D87">
              <w:rPr>
                <w:rFonts w:ascii="Arial Narrow" w:hAnsi="Arial Narrow"/>
                <w:sz w:val="20"/>
                <w:lang w:val="en-US"/>
              </w:rPr>
              <w:t>Unclear</w:t>
            </w:r>
            <w:r w:rsidRPr="00784235">
              <w:rPr>
                <w:rFonts w:ascii="Arial Narrow" w:hAnsi="Arial Narrow"/>
                <w:sz w:val="20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445" w:type="pct"/>
            <w:vMerge/>
            <w:shd w:val="clear" w:color="auto" w:fill="auto"/>
            <w:vAlign w:val="center"/>
          </w:tcPr>
          <w:p w:rsidR="006C2512" w:rsidRPr="000B3D87" w:rsidRDefault="006C2512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:rsidR="006C2512" w:rsidRPr="000B3D87" w:rsidRDefault="006C2512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F</w:t>
            </w:r>
            <w:r w:rsidRPr="000B3D87">
              <w:rPr>
                <w:rFonts w:ascii="Arial Narrow" w:hAnsi="Arial Narrow"/>
                <w:sz w:val="20"/>
                <w:lang w:val="en-US"/>
              </w:rPr>
              <w:t xml:space="preserve">ull Mayo response remission, </w:t>
            </w:r>
            <w:proofErr w:type="spellStart"/>
            <w:r w:rsidRPr="000B3D87">
              <w:rPr>
                <w:rFonts w:ascii="Arial Narrow" w:hAnsi="Arial Narrow"/>
                <w:sz w:val="20"/>
                <w:lang w:val="en-US"/>
              </w:rPr>
              <w:t>wk</w:t>
            </w:r>
            <w:proofErr w:type="spellEnd"/>
            <w:r w:rsidRPr="000B3D87">
              <w:rPr>
                <w:rFonts w:ascii="Arial Narrow" w:hAnsi="Arial Narrow"/>
                <w:sz w:val="20"/>
                <w:lang w:val="en-US"/>
              </w:rPr>
              <w:t xml:space="preserve"> 8, 30 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6C2512" w:rsidRPr="000B3D87" w:rsidRDefault="006C2512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0B3D87">
              <w:rPr>
                <w:rFonts w:ascii="Arial Narrow" w:hAnsi="Arial Narrow"/>
                <w:sz w:val="20"/>
              </w:rPr>
              <w:t>Not used</w:t>
            </w:r>
          </w:p>
        </w:tc>
      </w:tr>
      <w:tr w:rsidR="006C2512" w:rsidRPr="000B3D87">
        <w:tc>
          <w:tcPr>
            <w:tcW w:w="678" w:type="pct"/>
            <w:shd w:val="clear" w:color="auto" w:fill="auto"/>
            <w:vAlign w:val="center"/>
          </w:tcPr>
          <w:p w:rsidR="006C2512" w:rsidRPr="000B3D87" w:rsidRDefault="006C2512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0B3D87">
              <w:rPr>
                <w:rFonts w:ascii="Arial Narrow" w:hAnsi="Arial Narrow"/>
                <w:sz w:val="20"/>
                <w:lang w:val="en-US"/>
              </w:rPr>
              <w:t>Probert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C2512" w:rsidRPr="000B3D87" w:rsidRDefault="006C2512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0B3D87">
              <w:rPr>
                <w:rFonts w:ascii="Arial Narrow" w:hAnsi="Arial Narrow"/>
                <w:sz w:val="20"/>
                <w:lang w:val="en-US"/>
              </w:rPr>
              <w:t>53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6C2512" w:rsidRPr="000B3D87" w:rsidRDefault="006C2512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0B3D87">
              <w:rPr>
                <w:rFonts w:ascii="Arial Narrow" w:hAnsi="Arial Narrow"/>
                <w:sz w:val="20"/>
                <w:lang w:val="en-US"/>
              </w:rPr>
              <w:t xml:space="preserve">R, DB 6 </w:t>
            </w:r>
            <w:proofErr w:type="spellStart"/>
            <w:r w:rsidRPr="000B3D87">
              <w:rPr>
                <w:rFonts w:ascii="Arial Narrow" w:hAnsi="Arial Narrow"/>
                <w:sz w:val="20"/>
                <w:lang w:val="en-US"/>
              </w:rPr>
              <w:t>wks</w:t>
            </w:r>
            <w:proofErr w:type="spellEnd"/>
          </w:p>
        </w:tc>
        <w:tc>
          <w:tcPr>
            <w:tcW w:w="424" w:type="pct"/>
            <w:shd w:val="clear" w:color="auto" w:fill="auto"/>
            <w:vAlign w:val="center"/>
          </w:tcPr>
          <w:p w:rsidR="006C2512" w:rsidRPr="000B3D87" w:rsidRDefault="006C2512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proofErr w:type="spellStart"/>
            <w:r w:rsidRPr="000B3D87">
              <w:rPr>
                <w:rFonts w:ascii="Arial Narrow" w:hAnsi="Arial Narrow"/>
                <w:sz w:val="20"/>
                <w:lang w:val="en-US"/>
              </w:rPr>
              <w:t>Unclear</w:t>
            </w:r>
            <w:r w:rsidRPr="00784235">
              <w:rPr>
                <w:rFonts w:ascii="Arial Narrow" w:hAnsi="Arial Narrow"/>
                <w:sz w:val="20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445" w:type="pct"/>
            <w:vMerge/>
            <w:shd w:val="clear" w:color="auto" w:fill="auto"/>
            <w:vAlign w:val="center"/>
          </w:tcPr>
          <w:p w:rsidR="006C2512" w:rsidRPr="000B3D87" w:rsidRDefault="006C2512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:rsidR="006C2512" w:rsidRPr="000B3D87" w:rsidRDefault="006C2512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0B3D87">
              <w:rPr>
                <w:rFonts w:ascii="Arial Narrow" w:hAnsi="Arial Narrow"/>
                <w:sz w:val="20"/>
                <w:lang w:val="en-US"/>
              </w:rPr>
              <w:t xml:space="preserve">Remission, </w:t>
            </w:r>
            <w:proofErr w:type="spellStart"/>
            <w:r w:rsidRPr="000B3D87">
              <w:rPr>
                <w:rFonts w:ascii="Arial Narrow" w:hAnsi="Arial Narrow"/>
                <w:sz w:val="20"/>
                <w:lang w:val="en-US"/>
              </w:rPr>
              <w:t>wk</w:t>
            </w:r>
            <w:proofErr w:type="spellEnd"/>
            <w:r w:rsidRPr="000B3D87">
              <w:rPr>
                <w:rFonts w:ascii="Arial Narrow" w:hAnsi="Arial Narrow"/>
                <w:sz w:val="20"/>
                <w:lang w:val="en-US"/>
              </w:rPr>
              <w:t xml:space="preserve"> 6 (ulcerative colitis symptom score)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6C2512" w:rsidRPr="000B3D87" w:rsidRDefault="006C2512" w:rsidP="008F024A">
            <w:pPr>
              <w:keepNext/>
              <w:keepLines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0B3D87">
              <w:rPr>
                <w:rFonts w:ascii="Arial Narrow" w:hAnsi="Arial Narrow"/>
                <w:sz w:val="20"/>
                <w:lang w:val="en-US"/>
              </w:rPr>
              <w:t>Not used</w:t>
            </w:r>
          </w:p>
        </w:tc>
      </w:tr>
    </w:tbl>
    <w:p w:rsidR="0074061D" w:rsidRPr="00784235" w:rsidRDefault="0074061D" w:rsidP="008F024A">
      <w:pPr>
        <w:pStyle w:val="TableFooter"/>
        <w:keepNext/>
        <w:keepLines/>
        <w:ind w:left="720"/>
      </w:pPr>
      <w:proofErr w:type="spellStart"/>
      <w:proofErr w:type="gramStart"/>
      <w:r w:rsidRPr="00784235">
        <w:rPr>
          <w:vertAlign w:val="superscript"/>
        </w:rPr>
        <w:t>a</w:t>
      </w:r>
      <w:r>
        <w:t>GEMINI</w:t>
      </w:r>
      <w:proofErr w:type="spellEnd"/>
      <w:proofErr w:type="gramEnd"/>
      <w:r>
        <w:t xml:space="preserve"> I: </w:t>
      </w:r>
      <w:r w:rsidRPr="00784235">
        <w:t xml:space="preserve">In the maintenance phase, there </w:t>
      </w:r>
      <w:r>
        <w:t>were</w:t>
      </w:r>
      <w:r w:rsidRPr="00784235">
        <w:t xml:space="preserve"> fewer patients </w:t>
      </w:r>
      <w:r>
        <w:t xml:space="preserve">discontinuing </w:t>
      </w:r>
      <w:proofErr w:type="spellStart"/>
      <w:r>
        <w:t>vedolizumab</w:t>
      </w:r>
      <w:proofErr w:type="spellEnd"/>
      <w:r>
        <w:t xml:space="preserve"> </w:t>
      </w:r>
      <w:r w:rsidRPr="00784235">
        <w:t>than placebo</w:t>
      </w:r>
      <w:r>
        <w:t>.</w:t>
      </w:r>
      <w:r w:rsidRPr="00784235">
        <w:t xml:space="preserve"> </w:t>
      </w:r>
      <w:r>
        <w:t>ACT 1 and ACT 2: high loss-to-follow up and higher discontinuation rate in the placebo arms compared to the infliximab arms. Probert:  included no details regarding discontinuation rates</w:t>
      </w:r>
    </w:p>
    <w:p w:rsidR="0074061D" w:rsidRPr="00D13A3E" w:rsidRDefault="0074061D" w:rsidP="008F024A">
      <w:pPr>
        <w:pStyle w:val="TableFooter"/>
        <w:keepNext/>
        <w:keepLines/>
        <w:ind w:firstLine="720"/>
      </w:pPr>
      <w:r w:rsidRPr="009A6831">
        <w:t xml:space="preserve">DB=double blind; MC=multi-centre; OL=open label; </w:t>
      </w:r>
      <w:r w:rsidRPr="00D13A3E">
        <w:t>R=randomised</w:t>
      </w:r>
    </w:p>
    <w:p w:rsidR="0074061D" w:rsidRPr="007F1017" w:rsidRDefault="0074061D" w:rsidP="008F024A">
      <w:pPr>
        <w:pStyle w:val="TableFooter"/>
        <w:keepNext/>
        <w:keepLines/>
        <w:ind w:firstLine="720"/>
        <w:rPr>
          <w:szCs w:val="18"/>
        </w:rPr>
      </w:pPr>
      <w:r w:rsidRPr="007F1017">
        <w:rPr>
          <w:szCs w:val="18"/>
        </w:rPr>
        <w:t>Source: compiled during the evaluation</w:t>
      </w:r>
    </w:p>
    <w:p w:rsidR="00AD4653" w:rsidRPr="00882085" w:rsidRDefault="00AD4653" w:rsidP="0074061D">
      <w:pPr>
        <w:rPr>
          <w:szCs w:val="22"/>
        </w:rPr>
      </w:pPr>
    </w:p>
    <w:p w:rsidR="0074061D" w:rsidRDefault="0074061D" w:rsidP="00C735B0">
      <w:pPr>
        <w:pStyle w:val="Heading2"/>
      </w:pPr>
      <w:bookmarkStart w:id="14" w:name="_Toc409509989"/>
      <w:r w:rsidRPr="00497F10">
        <w:lastRenderedPageBreak/>
        <w:t>Comparative effectiveness</w:t>
      </w:r>
      <w:bookmarkEnd w:id="14"/>
    </w:p>
    <w:p w:rsidR="00D11160" w:rsidRPr="00D11160" w:rsidRDefault="00D11160" w:rsidP="00D11160"/>
    <w:p w:rsidR="0074061D" w:rsidRPr="00D11160" w:rsidRDefault="0074061D" w:rsidP="00560BD0">
      <w:pPr>
        <w:pStyle w:val="ListParagraph"/>
        <w:widowControl/>
        <w:numPr>
          <w:ilvl w:val="1"/>
          <w:numId w:val="5"/>
        </w:numPr>
        <w:rPr>
          <w:szCs w:val="22"/>
        </w:rPr>
      </w:pPr>
      <w:r w:rsidRPr="007951FD">
        <w:t>The previous submission only presented the results of the TNF</w:t>
      </w:r>
      <w:r w:rsidR="009B41B5">
        <w:t>-</w:t>
      </w:r>
      <w:r w:rsidRPr="007951FD">
        <w:t>α antagonist naïve subgroups</w:t>
      </w:r>
      <w:r>
        <w:t>.</w:t>
      </w:r>
      <w:r w:rsidRPr="007951FD">
        <w:t xml:space="preserve"> </w:t>
      </w:r>
      <w:r>
        <w:t>T</w:t>
      </w:r>
      <w:r w:rsidRPr="007951FD">
        <w:t>h</w:t>
      </w:r>
      <w:r w:rsidR="00173B97">
        <w:t>e</w:t>
      </w:r>
      <w:r w:rsidRPr="007951FD">
        <w:t xml:space="preserve"> re</w:t>
      </w:r>
      <w:r w:rsidRPr="007951FD">
        <w:noBreakHyphen/>
        <w:t>submission present</w:t>
      </w:r>
      <w:r w:rsidR="00173B97">
        <w:t>ed</w:t>
      </w:r>
      <w:r w:rsidRPr="007951FD">
        <w:t xml:space="preserve"> the ITT population results.</w:t>
      </w:r>
    </w:p>
    <w:p w:rsidR="00D11160" w:rsidRPr="0006324A" w:rsidRDefault="00D11160" w:rsidP="00A674F6">
      <w:pPr>
        <w:pStyle w:val="ListParagraph"/>
        <w:widowControl/>
        <w:rPr>
          <w:szCs w:val="22"/>
        </w:rPr>
      </w:pPr>
    </w:p>
    <w:p w:rsidR="0074061D" w:rsidRDefault="0074061D" w:rsidP="0074061D">
      <w:pPr>
        <w:keepNext/>
        <w:ind w:firstLine="720"/>
        <w:rPr>
          <w:rStyle w:val="CommentReference"/>
        </w:rPr>
      </w:pPr>
      <w:r w:rsidRPr="00E83B5B">
        <w:rPr>
          <w:rStyle w:val="CommentReference"/>
        </w:rPr>
        <w:t>Results</w:t>
      </w:r>
      <w:r w:rsidRPr="001F7361">
        <w:rPr>
          <w:rStyle w:val="CommentReference"/>
        </w:rPr>
        <w:t xml:space="preserve"> of </w:t>
      </w:r>
      <w:r>
        <w:rPr>
          <w:rStyle w:val="CommentReference"/>
        </w:rPr>
        <w:t>clinical response and clinical remission</w:t>
      </w:r>
      <w:r w:rsidRPr="001F7361">
        <w:rPr>
          <w:rStyle w:val="CommentReference"/>
        </w:rPr>
        <w:t xml:space="preserve"> across the </w:t>
      </w:r>
      <w:r>
        <w:rPr>
          <w:rStyle w:val="CommentReference"/>
        </w:rPr>
        <w:t>GEMINI I trial, ITT</w:t>
      </w:r>
    </w:p>
    <w:tbl>
      <w:tblPr>
        <w:tblW w:w="4594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Comparative effectiveness"/>
        <w:tblDescription w:val="Results from GEMENI I trial"/>
      </w:tblPr>
      <w:tblGrid>
        <w:gridCol w:w="1138"/>
        <w:gridCol w:w="1557"/>
        <w:gridCol w:w="1561"/>
        <w:gridCol w:w="1839"/>
        <w:gridCol w:w="1561"/>
        <w:gridCol w:w="689"/>
      </w:tblGrid>
      <w:tr w:rsidR="0074061D" w:rsidRPr="00E2771E">
        <w:tc>
          <w:tcPr>
            <w:tcW w:w="682" w:type="pct"/>
            <w:shd w:val="clear" w:color="auto" w:fill="auto"/>
            <w:vAlign w:val="center"/>
          </w:tcPr>
          <w:p w:rsidR="0074061D" w:rsidRPr="00E2771E" w:rsidRDefault="0074061D" w:rsidP="00B95E09">
            <w:pPr>
              <w:keepNext/>
              <w:jc w:val="left"/>
              <w:rPr>
                <w:rFonts w:ascii="Arial Narrow" w:hAnsi="Arial Narrow"/>
                <w:b/>
                <w:sz w:val="20"/>
                <w:lang w:val="en-US"/>
              </w:rPr>
            </w:pPr>
            <w:r w:rsidRPr="00E2771E">
              <w:rPr>
                <w:rFonts w:ascii="Arial Narrow" w:hAnsi="Arial Narrow"/>
                <w:b/>
                <w:sz w:val="20"/>
                <w:lang w:val="en-US"/>
              </w:rPr>
              <w:t>Trial ID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74061D" w:rsidRPr="00E2771E" w:rsidRDefault="0074061D" w:rsidP="00B95E09">
            <w:pPr>
              <w:keepNext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lang w:val="en-US"/>
              </w:rPr>
              <w:t>Vedolizumab</w:t>
            </w:r>
            <w:proofErr w:type="spellEnd"/>
          </w:p>
          <w:p w:rsidR="0074061D" w:rsidRPr="00E2771E" w:rsidRDefault="0074061D" w:rsidP="00B95E09">
            <w:pPr>
              <w:keepNext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proofErr w:type="gramStart"/>
            <w:r w:rsidRPr="00E2771E">
              <w:rPr>
                <w:rFonts w:ascii="Arial Narrow" w:hAnsi="Arial Narrow"/>
                <w:b/>
                <w:sz w:val="20"/>
                <w:lang w:val="en-US"/>
              </w:rPr>
              <w:t>n</w:t>
            </w:r>
            <w:proofErr w:type="gramEnd"/>
            <w:r w:rsidRPr="00E2771E">
              <w:rPr>
                <w:rFonts w:ascii="Arial Narrow" w:hAnsi="Arial Narrow"/>
                <w:b/>
                <w:sz w:val="20"/>
                <w:lang w:val="en-US"/>
              </w:rPr>
              <w:t xml:space="preserve"> with event/N (%) 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74061D" w:rsidRPr="00E2771E" w:rsidRDefault="0074061D" w:rsidP="00B95E09">
            <w:pPr>
              <w:keepNext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Placebo</w:t>
            </w:r>
          </w:p>
          <w:p w:rsidR="0074061D" w:rsidRPr="00E2771E" w:rsidRDefault="0074061D" w:rsidP="00B95E09">
            <w:pPr>
              <w:keepNext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proofErr w:type="gramStart"/>
            <w:r w:rsidRPr="00E2771E">
              <w:rPr>
                <w:rFonts w:ascii="Arial Narrow" w:hAnsi="Arial Narrow"/>
                <w:b/>
                <w:sz w:val="20"/>
                <w:lang w:val="en-US"/>
              </w:rPr>
              <w:t>n</w:t>
            </w:r>
            <w:proofErr w:type="gramEnd"/>
            <w:r w:rsidRPr="00E2771E">
              <w:rPr>
                <w:rFonts w:ascii="Arial Narrow" w:hAnsi="Arial Narrow"/>
                <w:b/>
                <w:sz w:val="20"/>
                <w:lang w:val="en-US"/>
              </w:rPr>
              <w:t xml:space="preserve"> with event/N (%) 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74061D" w:rsidRPr="00E2771E" w:rsidRDefault="0074061D" w:rsidP="00B95E09">
            <w:pPr>
              <w:keepNext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Absolute difference RD (95% CI)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74061D" w:rsidRPr="00E2771E" w:rsidRDefault="0074061D" w:rsidP="00B95E09">
            <w:pPr>
              <w:keepNext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RR</w:t>
            </w:r>
            <w:r w:rsidRPr="00E2771E">
              <w:rPr>
                <w:rFonts w:ascii="Arial Narrow" w:hAnsi="Arial Narrow"/>
                <w:b/>
                <w:sz w:val="20"/>
                <w:lang w:val="en-US"/>
              </w:rPr>
              <w:t xml:space="preserve"> </w:t>
            </w:r>
          </w:p>
          <w:p w:rsidR="0074061D" w:rsidRPr="00E2771E" w:rsidRDefault="0074061D" w:rsidP="00B95E09">
            <w:pPr>
              <w:keepNext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E2771E">
              <w:rPr>
                <w:rFonts w:ascii="Arial Narrow" w:hAnsi="Arial Narrow"/>
                <w:b/>
                <w:sz w:val="20"/>
                <w:lang w:val="en-US"/>
              </w:rPr>
              <w:t>(95% CI)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4061D" w:rsidRPr="00E2771E" w:rsidRDefault="0074061D" w:rsidP="00B95E09">
            <w:pPr>
              <w:keepNext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E2771E">
              <w:rPr>
                <w:rFonts w:ascii="Arial Narrow" w:hAnsi="Arial Narrow"/>
                <w:b/>
                <w:sz w:val="20"/>
                <w:lang w:val="en-US"/>
              </w:rPr>
              <w:t>NNT</w:t>
            </w:r>
          </w:p>
        </w:tc>
      </w:tr>
      <w:tr w:rsidR="0074061D" w:rsidRPr="00E2771E">
        <w:tc>
          <w:tcPr>
            <w:tcW w:w="5000" w:type="pct"/>
            <w:gridSpan w:val="6"/>
            <w:shd w:val="clear" w:color="auto" w:fill="auto"/>
            <w:vAlign w:val="center"/>
          </w:tcPr>
          <w:p w:rsidR="0074061D" w:rsidRPr="00770339" w:rsidRDefault="0074061D" w:rsidP="00B95E09">
            <w:pPr>
              <w:keepNext/>
              <w:rPr>
                <w:rFonts w:ascii="Arial Narrow" w:hAnsi="Arial Narrow"/>
                <w:b/>
                <w:sz w:val="20"/>
                <w:lang w:val="en-US"/>
              </w:rPr>
            </w:pPr>
            <w:r w:rsidRPr="00770339">
              <w:rPr>
                <w:rFonts w:ascii="Arial Narrow" w:hAnsi="Arial Narrow"/>
                <w:b/>
                <w:sz w:val="20"/>
                <w:lang w:val="en-US"/>
              </w:rPr>
              <w:t>Induction phase</w:t>
            </w:r>
          </w:p>
        </w:tc>
      </w:tr>
      <w:tr w:rsidR="0074061D" w:rsidRPr="00E2771E">
        <w:tc>
          <w:tcPr>
            <w:tcW w:w="5000" w:type="pct"/>
            <w:gridSpan w:val="6"/>
            <w:shd w:val="clear" w:color="auto" w:fill="auto"/>
            <w:vAlign w:val="center"/>
          </w:tcPr>
          <w:p w:rsidR="0074061D" w:rsidRPr="00E2771E" w:rsidRDefault="0074061D" w:rsidP="00B95E09">
            <w:pPr>
              <w:keepNext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Clinical response, Induction phase, ITT</w:t>
            </w:r>
          </w:p>
        </w:tc>
      </w:tr>
      <w:tr w:rsidR="0074061D" w:rsidRPr="00E2771E">
        <w:tc>
          <w:tcPr>
            <w:tcW w:w="682" w:type="pct"/>
            <w:shd w:val="clear" w:color="auto" w:fill="auto"/>
            <w:vAlign w:val="center"/>
          </w:tcPr>
          <w:p w:rsidR="0074061D" w:rsidRPr="00E2771E" w:rsidRDefault="0074061D" w:rsidP="00B95E09">
            <w:pPr>
              <w:keepNext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GEMINI I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74061D" w:rsidRPr="00E2771E" w:rsidRDefault="0074061D" w:rsidP="00B95E09">
            <w:pPr>
              <w:keepNext/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460AA9">
              <w:rPr>
                <w:rFonts w:ascii="Arial Narrow" w:hAnsi="Arial Narrow"/>
                <w:sz w:val="20"/>
                <w:lang w:val="en-US"/>
              </w:rPr>
              <w:t>106/225 (47.1)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74061D" w:rsidRPr="00E2771E" w:rsidRDefault="0074061D" w:rsidP="00B95E09">
            <w:pPr>
              <w:keepNext/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64745C">
              <w:rPr>
                <w:rFonts w:ascii="Arial Narrow" w:hAnsi="Arial Narrow"/>
                <w:sz w:val="20"/>
                <w:lang w:val="en-US"/>
              </w:rPr>
              <w:t>38/149 (25.5)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74061D" w:rsidRPr="00E2771E" w:rsidRDefault="0074061D" w:rsidP="00B95E09">
            <w:pPr>
              <w:keepNext/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8679D5">
              <w:rPr>
                <w:rFonts w:ascii="Arial Narrow" w:hAnsi="Arial Narrow"/>
                <w:i/>
                <w:sz w:val="20"/>
                <w:lang w:val="en-US"/>
              </w:rPr>
              <w:t xml:space="preserve">21.61 </w:t>
            </w:r>
            <w:r w:rsidR="007C6ACB">
              <w:rPr>
                <w:rFonts w:ascii="Arial Narrow" w:hAnsi="Arial Narrow"/>
                <w:i/>
                <w:noProof/>
                <w:color w:val="000000"/>
                <w:sz w:val="20"/>
                <w:highlight w:val="black"/>
                <w:lang w:val="en-US"/>
              </w:rPr>
              <w:t>''''''''''''''''''''''''''''</w:t>
            </w:r>
            <w:r w:rsidR="007C6ACB">
              <w:rPr>
                <w:rFonts w:ascii="Arial Narrow" w:hAnsi="Arial Narrow"/>
                <w:noProof/>
                <w:color w:val="000000"/>
                <w:sz w:val="20"/>
                <w:highlight w:val="black"/>
                <w:lang w:val="en-US"/>
              </w:rPr>
              <w:t>'''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74061D" w:rsidRPr="007C6ACB" w:rsidRDefault="007C6ACB" w:rsidP="00B95E09">
            <w:pPr>
              <w:keepNext/>
              <w:jc w:val="center"/>
              <w:rPr>
                <w:rFonts w:ascii="Arial Narrow" w:hAnsi="Arial Narrow"/>
                <w:sz w:val="20"/>
                <w:highlight w:val="black"/>
                <w:lang w:val="en-US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  <w:lang w:val="en-US"/>
              </w:rPr>
              <w:t>''''''''''' ''''''''''''' ''''''''''''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4061D" w:rsidRPr="008679D5" w:rsidRDefault="000C0230" w:rsidP="00B95E09">
            <w:pPr>
              <w:keepNext/>
              <w:jc w:val="center"/>
              <w:rPr>
                <w:rFonts w:ascii="Arial Narrow" w:hAnsi="Arial Narrow"/>
                <w:i/>
                <w:sz w:val="20"/>
                <w:lang w:val="en-US"/>
              </w:rPr>
            </w:pPr>
            <w:r>
              <w:rPr>
                <w:rFonts w:ascii="Arial Narrow" w:hAnsi="Arial Narrow"/>
                <w:i/>
                <w:sz w:val="20"/>
                <w:lang w:val="en-US"/>
              </w:rPr>
              <w:t>5</w:t>
            </w:r>
          </w:p>
        </w:tc>
      </w:tr>
      <w:tr w:rsidR="0074061D" w:rsidRPr="00E2771E">
        <w:tc>
          <w:tcPr>
            <w:tcW w:w="5000" w:type="pct"/>
            <w:gridSpan w:val="6"/>
            <w:shd w:val="clear" w:color="auto" w:fill="auto"/>
            <w:vAlign w:val="center"/>
          </w:tcPr>
          <w:p w:rsidR="0074061D" w:rsidRPr="00E2771E" w:rsidRDefault="0074061D" w:rsidP="00B95E09">
            <w:pPr>
              <w:keepNext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Clinical remission, Induction phase, ITT</w:t>
            </w:r>
          </w:p>
        </w:tc>
      </w:tr>
      <w:tr w:rsidR="0074061D" w:rsidRPr="00E2771E">
        <w:tc>
          <w:tcPr>
            <w:tcW w:w="682" w:type="pct"/>
            <w:shd w:val="clear" w:color="auto" w:fill="auto"/>
            <w:vAlign w:val="center"/>
          </w:tcPr>
          <w:p w:rsidR="0074061D" w:rsidRPr="00E2771E" w:rsidRDefault="0074061D" w:rsidP="00B95E09">
            <w:pPr>
              <w:keepNext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GEMINI I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74061D" w:rsidRPr="00E2771E" w:rsidRDefault="0074061D" w:rsidP="00B95E09">
            <w:pPr>
              <w:keepNext/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460AA9">
              <w:rPr>
                <w:rFonts w:ascii="Arial Narrow" w:hAnsi="Arial Narrow"/>
                <w:sz w:val="20"/>
                <w:lang w:val="en-US"/>
              </w:rPr>
              <w:t>38/225 (16.9</w:t>
            </w:r>
            <w:r>
              <w:rPr>
                <w:rFonts w:ascii="Arial Narrow" w:hAnsi="Arial Narrow"/>
                <w:sz w:val="20"/>
                <w:lang w:val="en-US"/>
              </w:rPr>
              <w:t>)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74061D" w:rsidRPr="00E2771E" w:rsidRDefault="0074061D" w:rsidP="00B95E09">
            <w:pPr>
              <w:keepNext/>
              <w:jc w:val="center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 xml:space="preserve">8/149 </w:t>
            </w:r>
            <w:r w:rsidRPr="0066008B">
              <w:rPr>
                <w:rFonts w:ascii="Arial Narrow" w:hAnsi="Arial Narrow"/>
                <w:sz w:val="20"/>
                <w:lang w:val="en-US"/>
              </w:rPr>
              <w:t>(5.4)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74061D" w:rsidRPr="008679D5" w:rsidRDefault="0074061D" w:rsidP="00B95E09">
            <w:pPr>
              <w:keepNext/>
              <w:jc w:val="center"/>
              <w:rPr>
                <w:rFonts w:ascii="Arial Narrow" w:hAnsi="Arial Narrow"/>
                <w:i/>
                <w:sz w:val="20"/>
                <w:lang w:val="en-US"/>
              </w:rPr>
            </w:pPr>
            <w:r w:rsidRPr="008679D5">
              <w:rPr>
                <w:rFonts w:ascii="Arial Narrow" w:hAnsi="Arial Narrow"/>
                <w:i/>
                <w:sz w:val="20"/>
                <w:lang w:val="en-US"/>
              </w:rPr>
              <w:t xml:space="preserve">11.52 </w:t>
            </w:r>
            <w:r w:rsidR="007C6ACB">
              <w:rPr>
                <w:rFonts w:ascii="Arial Narrow" w:hAnsi="Arial Narrow"/>
                <w:i/>
                <w:noProof/>
                <w:color w:val="000000"/>
                <w:sz w:val="20"/>
                <w:highlight w:val="black"/>
                <w:lang w:val="en-US"/>
              </w:rPr>
              <w:t>'''''''''''''' ''''''''''''''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74061D" w:rsidRPr="007C6ACB" w:rsidRDefault="007C6ACB" w:rsidP="00B95E09">
            <w:pPr>
              <w:keepNext/>
              <w:jc w:val="center"/>
              <w:rPr>
                <w:rFonts w:ascii="Arial Narrow" w:hAnsi="Arial Narrow"/>
                <w:sz w:val="20"/>
                <w:highlight w:val="black"/>
                <w:lang w:val="en-US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  <w:lang w:val="en-US"/>
              </w:rPr>
              <w:t>'''''''''''' ''''''''''''' '''''''''''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4061D" w:rsidRPr="008679D5" w:rsidRDefault="000C0230" w:rsidP="00B95E09">
            <w:pPr>
              <w:keepNext/>
              <w:jc w:val="center"/>
              <w:rPr>
                <w:rFonts w:ascii="Arial Narrow" w:hAnsi="Arial Narrow"/>
                <w:i/>
                <w:sz w:val="20"/>
                <w:lang w:val="en-US"/>
              </w:rPr>
            </w:pPr>
            <w:r>
              <w:rPr>
                <w:rFonts w:ascii="Arial Narrow" w:hAnsi="Arial Narrow"/>
                <w:i/>
                <w:sz w:val="20"/>
                <w:lang w:val="en-US"/>
              </w:rPr>
              <w:t>9</w:t>
            </w:r>
          </w:p>
        </w:tc>
      </w:tr>
      <w:tr w:rsidR="0074061D" w:rsidRPr="00E2771E">
        <w:tc>
          <w:tcPr>
            <w:tcW w:w="5000" w:type="pct"/>
            <w:gridSpan w:val="6"/>
            <w:shd w:val="clear" w:color="auto" w:fill="auto"/>
            <w:vAlign w:val="center"/>
          </w:tcPr>
          <w:p w:rsidR="0074061D" w:rsidRPr="00770339" w:rsidRDefault="0074061D" w:rsidP="00B95E09">
            <w:pPr>
              <w:keepNext/>
              <w:jc w:val="left"/>
              <w:rPr>
                <w:rFonts w:ascii="Arial Narrow" w:hAnsi="Arial Narrow"/>
                <w:b/>
                <w:sz w:val="20"/>
                <w:lang w:val="en-US"/>
              </w:rPr>
            </w:pPr>
            <w:r w:rsidRPr="00770339">
              <w:rPr>
                <w:rFonts w:ascii="Arial Narrow" w:hAnsi="Arial Narrow"/>
                <w:b/>
                <w:sz w:val="20"/>
                <w:lang w:val="en-US"/>
              </w:rPr>
              <w:t>Maintenance phase</w:t>
            </w:r>
          </w:p>
        </w:tc>
      </w:tr>
      <w:tr w:rsidR="0074061D" w:rsidRPr="00E2771E">
        <w:tc>
          <w:tcPr>
            <w:tcW w:w="5000" w:type="pct"/>
            <w:gridSpan w:val="6"/>
            <w:shd w:val="clear" w:color="auto" w:fill="auto"/>
            <w:vAlign w:val="center"/>
          </w:tcPr>
          <w:p w:rsidR="0074061D" w:rsidRPr="00E2771E" w:rsidRDefault="0074061D" w:rsidP="00B95E09">
            <w:pPr>
              <w:keepNext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Clinical remission, Maintenance phase, ITT</w:t>
            </w:r>
          </w:p>
        </w:tc>
      </w:tr>
      <w:tr w:rsidR="0074061D" w:rsidRPr="00E2771E">
        <w:tc>
          <w:tcPr>
            <w:tcW w:w="682" w:type="pct"/>
            <w:shd w:val="clear" w:color="auto" w:fill="auto"/>
            <w:vAlign w:val="center"/>
          </w:tcPr>
          <w:p w:rsidR="0074061D" w:rsidRDefault="0074061D" w:rsidP="00B95E09">
            <w:pPr>
              <w:keepNext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GEMINI I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74061D" w:rsidRPr="00E2771E" w:rsidRDefault="0074061D" w:rsidP="00B95E09">
            <w:pPr>
              <w:keepNext/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66008B">
              <w:rPr>
                <w:rFonts w:ascii="Arial Narrow" w:hAnsi="Arial Narrow"/>
                <w:sz w:val="20"/>
                <w:lang w:val="en-US"/>
              </w:rPr>
              <w:t>51/122 (41.8)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74061D" w:rsidRDefault="0074061D" w:rsidP="00B95E09">
            <w:pPr>
              <w:keepNext/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66008B">
              <w:rPr>
                <w:rFonts w:ascii="Arial Narrow" w:hAnsi="Arial Narrow"/>
                <w:sz w:val="20"/>
                <w:lang w:val="en-US"/>
              </w:rPr>
              <w:t>20/126 (15.9)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74061D" w:rsidRPr="008679D5" w:rsidRDefault="0074061D" w:rsidP="00B95E09">
            <w:pPr>
              <w:keepNext/>
              <w:jc w:val="center"/>
              <w:rPr>
                <w:rFonts w:ascii="Arial Narrow" w:hAnsi="Arial Narrow"/>
                <w:i/>
                <w:sz w:val="20"/>
                <w:lang w:val="en-US"/>
              </w:rPr>
            </w:pPr>
            <w:r w:rsidRPr="008679D5">
              <w:rPr>
                <w:rFonts w:ascii="Arial Narrow" w:hAnsi="Arial Narrow"/>
                <w:i/>
                <w:sz w:val="20"/>
                <w:lang w:val="en-US"/>
              </w:rPr>
              <w:t xml:space="preserve">25.93 </w:t>
            </w:r>
            <w:r w:rsidR="007C6ACB">
              <w:rPr>
                <w:rFonts w:ascii="Arial Narrow" w:hAnsi="Arial Narrow"/>
                <w:i/>
                <w:noProof/>
                <w:color w:val="000000"/>
                <w:sz w:val="20"/>
                <w:highlight w:val="black"/>
                <w:lang w:val="en-US"/>
              </w:rPr>
              <w:t>''''''''''''''''' ''''''''''''''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74061D" w:rsidRPr="007C6ACB" w:rsidRDefault="007C6ACB" w:rsidP="00B95E09">
            <w:pPr>
              <w:keepNext/>
              <w:jc w:val="center"/>
              <w:rPr>
                <w:rFonts w:ascii="Arial Narrow" w:hAnsi="Arial Narrow"/>
                <w:sz w:val="20"/>
                <w:highlight w:val="black"/>
                <w:lang w:val="en-US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  <w:lang w:val="en-US"/>
              </w:rPr>
              <w:t>'''''''''' ''''''''''''' ''''''''''''''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74061D" w:rsidRPr="008679D5" w:rsidRDefault="000C0230" w:rsidP="00B95E09">
            <w:pPr>
              <w:keepNext/>
              <w:jc w:val="center"/>
              <w:rPr>
                <w:rFonts w:ascii="Arial Narrow" w:hAnsi="Arial Narrow"/>
                <w:i/>
                <w:sz w:val="20"/>
                <w:lang w:val="en-US"/>
              </w:rPr>
            </w:pPr>
            <w:r>
              <w:rPr>
                <w:rFonts w:ascii="Arial Narrow" w:hAnsi="Arial Narrow"/>
                <w:i/>
                <w:sz w:val="20"/>
                <w:lang w:val="en-US"/>
              </w:rPr>
              <w:t>4</w:t>
            </w:r>
          </w:p>
        </w:tc>
      </w:tr>
    </w:tbl>
    <w:p w:rsidR="0074061D" w:rsidRPr="00882085" w:rsidRDefault="0074061D" w:rsidP="0074061D">
      <w:pPr>
        <w:pStyle w:val="TableFooter"/>
        <w:ind w:firstLine="720"/>
        <w:rPr>
          <w:szCs w:val="22"/>
        </w:rPr>
      </w:pPr>
      <w:r w:rsidRPr="007F1017">
        <w:t xml:space="preserve">Source: </w:t>
      </w:r>
      <w:r>
        <w:t xml:space="preserve">Table B.6.2, p.9, </w:t>
      </w:r>
      <w:r w:rsidRPr="00460AA9">
        <w:t>Table B.6.3, p.98</w:t>
      </w:r>
      <w:r>
        <w:t xml:space="preserve"> and </w:t>
      </w:r>
      <w:r w:rsidRPr="00460AA9">
        <w:t>Table B.6.5, p.99 in re-submission</w:t>
      </w:r>
      <w:r>
        <w:t xml:space="preserve"> and </w:t>
      </w:r>
      <w:r w:rsidRPr="008679D5">
        <w:rPr>
          <w:i/>
        </w:rPr>
        <w:t>calculated during the evaluation</w:t>
      </w:r>
    </w:p>
    <w:p w:rsidR="0074061D" w:rsidRDefault="0074061D" w:rsidP="00C735B0">
      <w:pPr>
        <w:pStyle w:val="Heading2"/>
      </w:pPr>
    </w:p>
    <w:p w:rsidR="00C341FB" w:rsidRPr="00063F4F" w:rsidRDefault="002B05BB" w:rsidP="002B05BB">
      <w:pPr>
        <w:pStyle w:val="ListParagraph"/>
        <w:widowControl/>
        <w:numPr>
          <w:ilvl w:val="1"/>
          <w:numId w:val="5"/>
        </w:numPr>
      </w:pPr>
      <w:r w:rsidRPr="00063F4F">
        <w:t>The key outcomes of</w:t>
      </w:r>
      <w:r w:rsidR="0045503D" w:rsidRPr="00063F4F">
        <w:t xml:space="preserve"> the indirect comparison with infliximab </w:t>
      </w:r>
      <w:r w:rsidRPr="00063F4F">
        <w:t>in the induction phase are presented in the tables below.  These results were presented as supplementary comparison in the previous submission.</w:t>
      </w:r>
    </w:p>
    <w:p w:rsidR="002B05BB" w:rsidRDefault="002B05BB" w:rsidP="00C2317B">
      <w:pPr>
        <w:keepNext/>
        <w:rPr>
          <w:rStyle w:val="CommentReference"/>
        </w:rPr>
      </w:pPr>
    </w:p>
    <w:p w:rsidR="00A00353" w:rsidRPr="005B60F0" w:rsidRDefault="00A00353" w:rsidP="00173B97">
      <w:pPr>
        <w:keepNext/>
        <w:ind w:left="720"/>
        <w:rPr>
          <w:rStyle w:val="CommentReference"/>
        </w:rPr>
      </w:pPr>
      <w:r w:rsidRPr="005B60F0">
        <w:rPr>
          <w:rStyle w:val="CommentReference"/>
        </w:rPr>
        <w:t>Summary of results of the indirect comparison – Clinical response, ITT population, Induction Phase</w:t>
      </w:r>
    </w:p>
    <w:tbl>
      <w:tblPr>
        <w:tblW w:w="4594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  <w:tblCaption w:val="Comparative effectiveness"/>
        <w:tblDescription w:val="indirect comparison"/>
      </w:tblPr>
      <w:tblGrid>
        <w:gridCol w:w="851"/>
        <w:gridCol w:w="995"/>
        <w:gridCol w:w="991"/>
        <w:gridCol w:w="996"/>
        <w:gridCol w:w="1065"/>
        <w:gridCol w:w="1197"/>
        <w:gridCol w:w="1168"/>
        <w:gridCol w:w="1082"/>
      </w:tblGrid>
      <w:tr w:rsidR="00173B97" w:rsidRPr="005B60F0"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:rsidR="00A00353" w:rsidRPr="005B60F0" w:rsidRDefault="00A00353" w:rsidP="00F509BE">
            <w:pPr>
              <w:pStyle w:val="TableHeading"/>
              <w:spacing w:before="0" w:after="0"/>
              <w:rPr>
                <w:rFonts w:cs="Arial"/>
              </w:rPr>
            </w:pPr>
            <w:r w:rsidRPr="005B60F0">
              <w:rPr>
                <w:rFonts w:cs="Arial"/>
              </w:rPr>
              <w:t>Trial ID</w:t>
            </w:r>
          </w:p>
        </w:tc>
        <w:tc>
          <w:tcPr>
            <w:tcW w:w="17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00353" w:rsidRPr="005B60F0" w:rsidRDefault="00A00353" w:rsidP="00F509BE">
            <w:pPr>
              <w:pStyle w:val="TableHeading"/>
              <w:spacing w:before="0" w:after="0"/>
              <w:jc w:val="center"/>
              <w:rPr>
                <w:rFonts w:cs="Arial"/>
              </w:rPr>
            </w:pPr>
            <w:proofErr w:type="spellStart"/>
            <w:r w:rsidRPr="005B60F0">
              <w:rPr>
                <w:rFonts w:cs="Arial"/>
              </w:rPr>
              <w:t>Vedolizumab</w:t>
            </w:r>
            <w:proofErr w:type="spellEnd"/>
          </w:p>
        </w:tc>
        <w:tc>
          <w:tcPr>
            <w:tcW w:w="20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353" w:rsidRPr="005B60F0" w:rsidRDefault="00A00353" w:rsidP="00F509BE">
            <w:pPr>
              <w:pStyle w:val="TableHeading"/>
              <w:spacing w:before="0" w:after="0"/>
              <w:jc w:val="center"/>
              <w:rPr>
                <w:rFonts w:cs="Arial"/>
              </w:rPr>
            </w:pPr>
            <w:r w:rsidRPr="005B60F0">
              <w:rPr>
                <w:rFonts w:cs="Arial"/>
              </w:rPr>
              <w:t>Infliximab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53" w:rsidRPr="005B60F0" w:rsidRDefault="00A00353" w:rsidP="00F509BE">
            <w:pPr>
              <w:pStyle w:val="TableHeading"/>
              <w:spacing w:before="0" w:after="0"/>
              <w:jc w:val="center"/>
              <w:rPr>
                <w:rFonts w:cs="Arial"/>
              </w:rPr>
            </w:pPr>
            <w:r w:rsidRPr="005B60F0">
              <w:rPr>
                <w:rFonts w:cs="Arial"/>
                <w:b w:val="0"/>
                <w:bCs w:val="0"/>
              </w:rPr>
              <w:br/>
            </w:r>
            <w:r w:rsidRPr="005B60F0">
              <w:rPr>
                <w:rFonts w:cs="Arial"/>
              </w:rPr>
              <w:t>Indirect RR</w:t>
            </w:r>
            <w:r w:rsidRPr="005B60F0">
              <w:rPr>
                <w:rFonts w:cs="Arial"/>
              </w:rPr>
              <w:br/>
              <w:t>(95% CI)</w:t>
            </w:r>
          </w:p>
        </w:tc>
      </w:tr>
      <w:tr w:rsidR="00173B97" w:rsidRPr="005B60F0"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:rsidR="00A00353" w:rsidRPr="005B60F0" w:rsidRDefault="00A00353" w:rsidP="00F509BE">
            <w:pPr>
              <w:pStyle w:val="TableText0"/>
              <w:spacing w:before="0" w:after="0"/>
              <w:rPr>
                <w:rFonts w:cs="Arial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53" w:rsidRPr="005B60F0" w:rsidRDefault="00A00353" w:rsidP="00F509BE">
            <w:pPr>
              <w:pStyle w:val="TableHeading"/>
              <w:spacing w:before="0" w:after="0"/>
              <w:jc w:val="center"/>
              <w:rPr>
                <w:rFonts w:cs="Arial"/>
              </w:rPr>
            </w:pPr>
            <w:r w:rsidRPr="005B60F0">
              <w:rPr>
                <w:rFonts w:cs="Arial"/>
                <w:vertAlign w:val="superscript"/>
              </w:rPr>
              <w:br/>
            </w:r>
            <w:r w:rsidRPr="005B60F0">
              <w:rPr>
                <w:rFonts w:cs="Arial"/>
              </w:rPr>
              <w:t>RR</w:t>
            </w:r>
            <w:r w:rsidRPr="005B60F0">
              <w:rPr>
                <w:rFonts w:cs="Arial"/>
              </w:rPr>
              <w:br/>
              <w:t>(95% CI)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53" w:rsidRPr="005B60F0" w:rsidRDefault="00A00353" w:rsidP="00F509BE">
            <w:pPr>
              <w:pStyle w:val="TableHeading"/>
              <w:spacing w:before="0" w:after="0"/>
              <w:jc w:val="center"/>
              <w:rPr>
                <w:rFonts w:cs="Arial"/>
              </w:rPr>
            </w:pPr>
            <w:r w:rsidRPr="005B60F0">
              <w:rPr>
                <w:rFonts w:cs="Arial"/>
              </w:rPr>
              <w:t>VDZ</w:t>
            </w:r>
            <w:r w:rsidRPr="005B60F0">
              <w:rPr>
                <w:rFonts w:cs="Arial"/>
              </w:rPr>
              <w:br/>
            </w:r>
            <w:r w:rsidRPr="005B60F0">
              <w:rPr>
                <w:rFonts w:cs="Arial"/>
                <w:i/>
                <w:iCs/>
              </w:rPr>
              <w:t>n</w:t>
            </w:r>
            <w:r w:rsidRPr="005B60F0">
              <w:rPr>
                <w:rFonts w:cs="Arial"/>
              </w:rPr>
              <w:t xml:space="preserve"> with event/</w:t>
            </w:r>
            <w:r w:rsidRPr="005B60F0">
              <w:rPr>
                <w:rFonts w:cs="Arial"/>
                <w:i/>
                <w:iCs/>
              </w:rPr>
              <w:t>N</w:t>
            </w:r>
            <w:r w:rsidRPr="005B60F0">
              <w:rPr>
                <w:rFonts w:cs="Arial"/>
              </w:rPr>
              <w:t xml:space="preserve"> (%)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0353" w:rsidRPr="005B60F0" w:rsidRDefault="00A00353" w:rsidP="00F509BE">
            <w:pPr>
              <w:pStyle w:val="TableHeading"/>
              <w:spacing w:before="0" w:after="0"/>
              <w:jc w:val="center"/>
              <w:rPr>
                <w:rFonts w:cs="Arial"/>
              </w:rPr>
            </w:pPr>
            <w:r w:rsidRPr="005B60F0">
              <w:rPr>
                <w:rFonts w:cs="Arial"/>
              </w:rPr>
              <w:t>PBO</w:t>
            </w:r>
            <w:r w:rsidRPr="005B60F0">
              <w:rPr>
                <w:rFonts w:cs="Arial"/>
              </w:rPr>
              <w:br/>
            </w:r>
            <w:r w:rsidRPr="005B60F0">
              <w:rPr>
                <w:rFonts w:cs="Arial"/>
                <w:i/>
                <w:iCs/>
              </w:rPr>
              <w:t>n</w:t>
            </w:r>
            <w:r w:rsidRPr="005B60F0">
              <w:rPr>
                <w:rFonts w:cs="Arial"/>
              </w:rPr>
              <w:t xml:space="preserve"> with event/</w:t>
            </w:r>
            <w:r w:rsidRPr="005B60F0">
              <w:rPr>
                <w:rFonts w:cs="Arial"/>
                <w:i/>
                <w:iCs/>
              </w:rPr>
              <w:t>N</w:t>
            </w:r>
            <w:r w:rsidRPr="005B60F0">
              <w:rPr>
                <w:rFonts w:cs="Arial"/>
              </w:rPr>
              <w:t xml:space="preserve"> (%)</w:t>
            </w:r>
          </w:p>
        </w:tc>
        <w:tc>
          <w:tcPr>
            <w:tcW w:w="6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53" w:rsidRPr="005B60F0" w:rsidRDefault="00A00353" w:rsidP="00F509BE">
            <w:pPr>
              <w:pStyle w:val="TableHeading"/>
              <w:spacing w:before="0" w:after="0"/>
              <w:jc w:val="center"/>
              <w:rPr>
                <w:rFonts w:cs="Arial"/>
              </w:rPr>
            </w:pPr>
            <w:r w:rsidRPr="005B60F0">
              <w:rPr>
                <w:rFonts w:cs="Arial"/>
              </w:rPr>
              <w:t>PBO</w:t>
            </w:r>
            <w:r w:rsidRPr="005B60F0">
              <w:rPr>
                <w:rFonts w:cs="Arial"/>
              </w:rPr>
              <w:br/>
            </w:r>
            <w:r w:rsidRPr="005B60F0">
              <w:rPr>
                <w:rFonts w:cs="Arial"/>
                <w:i/>
                <w:iCs/>
              </w:rPr>
              <w:t>n</w:t>
            </w:r>
            <w:r w:rsidRPr="005B60F0">
              <w:rPr>
                <w:rFonts w:cs="Arial"/>
              </w:rPr>
              <w:t xml:space="preserve"> with event/</w:t>
            </w:r>
            <w:r w:rsidRPr="005B60F0">
              <w:rPr>
                <w:rFonts w:cs="Arial"/>
                <w:i/>
                <w:iCs/>
              </w:rPr>
              <w:t>N</w:t>
            </w:r>
            <w:r w:rsidRPr="005B60F0">
              <w:rPr>
                <w:rFonts w:cs="Arial"/>
              </w:rPr>
              <w:t xml:space="preserve"> (%)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53" w:rsidRPr="005B60F0" w:rsidRDefault="00A00353" w:rsidP="00F509BE">
            <w:pPr>
              <w:pStyle w:val="TableHeading"/>
              <w:spacing w:before="0" w:after="0"/>
              <w:jc w:val="center"/>
              <w:rPr>
                <w:rFonts w:cs="Arial"/>
              </w:rPr>
            </w:pPr>
            <w:r w:rsidRPr="005B60F0">
              <w:rPr>
                <w:rFonts w:cs="Arial"/>
              </w:rPr>
              <w:t>IFN</w:t>
            </w:r>
            <w:r w:rsidRPr="005B60F0">
              <w:rPr>
                <w:rFonts w:cs="Arial"/>
              </w:rPr>
              <w:br/>
            </w:r>
            <w:r w:rsidRPr="005B60F0">
              <w:rPr>
                <w:rFonts w:cs="Arial"/>
                <w:i/>
                <w:iCs/>
              </w:rPr>
              <w:t>n</w:t>
            </w:r>
            <w:r w:rsidRPr="005B60F0">
              <w:rPr>
                <w:rFonts w:cs="Arial"/>
              </w:rPr>
              <w:t xml:space="preserve"> with event/</w:t>
            </w:r>
            <w:r w:rsidRPr="005B60F0">
              <w:rPr>
                <w:rFonts w:cs="Arial"/>
                <w:i/>
                <w:iCs/>
              </w:rPr>
              <w:t>N</w:t>
            </w:r>
            <w:r w:rsidRPr="005B60F0">
              <w:rPr>
                <w:rFonts w:cs="Arial"/>
              </w:rPr>
              <w:t xml:space="preserve"> (%)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53" w:rsidRPr="005B60F0" w:rsidRDefault="00A00353" w:rsidP="00F509BE">
            <w:pPr>
              <w:pStyle w:val="TableHeading"/>
              <w:spacing w:before="0" w:after="0"/>
              <w:jc w:val="center"/>
              <w:rPr>
                <w:rFonts w:cs="Arial"/>
              </w:rPr>
            </w:pPr>
            <w:r w:rsidRPr="005B60F0">
              <w:rPr>
                <w:rFonts w:cs="Arial"/>
                <w:vertAlign w:val="superscript"/>
              </w:rPr>
              <w:br/>
            </w:r>
            <w:r w:rsidRPr="005B60F0">
              <w:rPr>
                <w:rFonts w:cs="Arial"/>
              </w:rPr>
              <w:t>RR</w:t>
            </w:r>
            <w:r w:rsidRPr="005B60F0">
              <w:rPr>
                <w:rFonts w:cs="Arial"/>
              </w:rPr>
              <w:br/>
              <w:t>(95% CI)</w:t>
            </w: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53" w:rsidRPr="005B60F0" w:rsidRDefault="00A00353" w:rsidP="00F509BE">
            <w:pPr>
              <w:pStyle w:val="TableHeading"/>
              <w:spacing w:before="0" w:after="0"/>
              <w:jc w:val="center"/>
              <w:rPr>
                <w:rFonts w:cs="Arial"/>
              </w:rPr>
            </w:pPr>
          </w:p>
        </w:tc>
      </w:tr>
      <w:tr w:rsidR="00A00353" w:rsidRPr="005B60F0" w:rsidTr="0058383F">
        <w:trPr>
          <w:trHeight w:val="9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:rsidR="00A00353" w:rsidRPr="005B60F0" w:rsidRDefault="00A00353" w:rsidP="00F509BE">
            <w:pPr>
              <w:pStyle w:val="TableText0"/>
              <w:spacing w:before="0" w:after="0"/>
              <w:rPr>
                <w:rFonts w:cs="Arial"/>
              </w:rPr>
            </w:pPr>
            <w:r w:rsidRPr="005B60F0">
              <w:rPr>
                <w:rFonts w:cs="Arial"/>
              </w:rPr>
              <w:t>Clinical response</w:t>
            </w:r>
          </w:p>
        </w:tc>
      </w:tr>
      <w:tr w:rsidR="00173B97" w:rsidRPr="005B60F0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:rsidR="00A00353" w:rsidRPr="005B60F0" w:rsidRDefault="00A00353" w:rsidP="00F509BE">
            <w:pPr>
              <w:pStyle w:val="TableText0"/>
              <w:spacing w:before="0" w:after="0"/>
              <w:rPr>
                <w:rFonts w:cs="Arial"/>
              </w:rPr>
            </w:pPr>
            <w:r w:rsidRPr="005B60F0">
              <w:rPr>
                <w:rFonts w:cs="Arial"/>
              </w:rPr>
              <w:t>GEMINI 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7C6ACB" w:rsidRDefault="007C6ACB" w:rsidP="00F509BE">
            <w:pPr>
              <w:keepNext/>
              <w:jc w:val="center"/>
              <w:rPr>
                <w:rFonts w:ascii="Arial Narrow" w:eastAsia="TimesNewRoman" w:hAnsi="Arial Narrow"/>
                <w:sz w:val="20"/>
                <w:highlight w:val="black"/>
              </w:rPr>
            </w:pPr>
            <w:r>
              <w:rPr>
                <w:rFonts w:ascii="Arial Narrow" w:eastAsia="TimesNewRoman" w:hAnsi="Arial Narrow"/>
                <w:noProof/>
                <w:color w:val="000000"/>
                <w:sz w:val="20"/>
                <w:highlight w:val="black"/>
              </w:rPr>
              <w:t>''''''''''</w:t>
            </w:r>
          </w:p>
          <w:p w:rsidR="00A00353" w:rsidRPr="007C6ACB" w:rsidRDefault="007C6ACB" w:rsidP="00F509BE">
            <w:pPr>
              <w:pStyle w:val="TableText0"/>
              <w:spacing w:before="0" w:after="0"/>
              <w:jc w:val="center"/>
              <w:rPr>
                <w:rFonts w:cs="Arial"/>
                <w:highlight w:val="black"/>
              </w:rPr>
            </w:pPr>
            <w:r>
              <w:rPr>
                <w:rFonts w:eastAsia="TimesNewRoman"/>
                <w:noProof/>
                <w:color w:val="000000"/>
                <w:highlight w:val="black"/>
              </w:rPr>
              <w:t>'''''''''''''' '''''''''''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  <w:r w:rsidRPr="0058383F">
              <w:rPr>
                <w:rFonts w:eastAsia="TimesNewRoman"/>
              </w:rPr>
              <w:t>106/225 (47.1)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  <w:r w:rsidRPr="0058383F">
              <w:rPr>
                <w:rFonts w:eastAsia="TimesNewRoman"/>
              </w:rPr>
              <w:t>38/149 (25.5)</w:t>
            </w:r>
          </w:p>
        </w:tc>
        <w:tc>
          <w:tcPr>
            <w:tcW w:w="6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  <w:r w:rsidRPr="0058383F">
              <w:rPr>
                <w:rFonts w:eastAsia="TimesNewRoman"/>
              </w:rPr>
              <w:t>–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</w:p>
        </w:tc>
      </w:tr>
      <w:tr w:rsidR="00173B97" w:rsidRPr="005B60F0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:rsidR="00A00353" w:rsidRPr="005B60F0" w:rsidRDefault="00A00353" w:rsidP="00F509BE">
            <w:pPr>
              <w:pStyle w:val="TableText0"/>
              <w:spacing w:before="0" w:after="0"/>
              <w:rPr>
                <w:rFonts w:cs="Arial"/>
              </w:rPr>
            </w:pPr>
            <w:r w:rsidRPr="005B60F0">
              <w:rPr>
                <w:rFonts w:cs="Arial"/>
              </w:rPr>
              <w:t>ACT 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keepNext/>
              <w:jc w:val="center"/>
              <w:rPr>
                <w:rFonts w:ascii="Arial Narrow" w:eastAsia="TimesNewRoman" w:hAnsi="Arial Narrow"/>
                <w:sz w:val="20"/>
              </w:rPr>
            </w:pPr>
            <w:r w:rsidRPr="0058383F">
              <w:rPr>
                <w:rFonts w:ascii="Arial Narrow" w:eastAsia="TimesNewRoman" w:hAnsi="Arial Narrow"/>
                <w:sz w:val="20"/>
              </w:rPr>
              <w:t xml:space="preserve">45/121 </w:t>
            </w:r>
          </w:p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  <w:r w:rsidRPr="0058383F">
              <w:rPr>
                <w:rFonts w:eastAsia="TimesNewRoman"/>
              </w:rPr>
              <w:t>(37.2)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  <w:r w:rsidRPr="0058383F">
              <w:rPr>
                <w:rFonts w:eastAsia="TimesNewRoman"/>
              </w:rPr>
              <w:t>84/121 (69.4)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7C6ACB" w:rsidRDefault="007C6ACB" w:rsidP="00F509BE">
            <w:pPr>
              <w:keepNext/>
              <w:jc w:val="center"/>
              <w:rPr>
                <w:rFonts w:ascii="Arial Narrow" w:eastAsia="TimesNewRoman" w:hAnsi="Arial Narrow"/>
                <w:sz w:val="20"/>
                <w:highlight w:val="black"/>
              </w:rPr>
            </w:pPr>
            <w:r>
              <w:rPr>
                <w:rFonts w:ascii="Arial Narrow" w:eastAsia="TimesNewRoman" w:hAnsi="Arial Narrow"/>
                <w:noProof/>
                <w:color w:val="000000"/>
                <w:sz w:val="20"/>
                <w:highlight w:val="black"/>
              </w:rPr>
              <w:t>''''''''''</w:t>
            </w:r>
          </w:p>
          <w:p w:rsidR="00A00353" w:rsidRPr="007C6ACB" w:rsidRDefault="007C6ACB" w:rsidP="00F509BE">
            <w:pPr>
              <w:pStyle w:val="TableText0"/>
              <w:spacing w:before="0" w:after="0"/>
              <w:jc w:val="center"/>
              <w:rPr>
                <w:rFonts w:cs="Arial"/>
                <w:highlight w:val="black"/>
              </w:rPr>
            </w:pPr>
            <w:r>
              <w:rPr>
                <w:rFonts w:eastAsia="TimesNewRoman"/>
                <w:noProof/>
                <w:color w:val="000000"/>
                <w:highlight w:val="black"/>
              </w:rPr>
              <w:t>'''''''''''''''' '''''''''''''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</w:p>
        </w:tc>
      </w:tr>
      <w:tr w:rsidR="00173B97" w:rsidRPr="005B60F0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:rsidR="00A00353" w:rsidRPr="005B60F0" w:rsidRDefault="00A00353" w:rsidP="00F509BE">
            <w:pPr>
              <w:pStyle w:val="TableText0"/>
              <w:spacing w:before="0" w:after="0"/>
              <w:rPr>
                <w:rFonts w:cs="Arial"/>
              </w:rPr>
            </w:pPr>
            <w:r w:rsidRPr="005B60F0">
              <w:rPr>
                <w:rFonts w:cs="Arial"/>
              </w:rPr>
              <w:t>ACT 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keepNext/>
              <w:jc w:val="center"/>
              <w:rPr>
                <w:rFonts w:ascii="Arial Narrow" w:eastAsia="TimesNewRoman" w:hAnsi="Arial Narrow"/>
                <w:sz w:val="20"/>
              </w:rPr>
            </w:pPr>
            <w:r w:rsidRPr="0058383F">
              <w:rPr>
                <w:rFonts w:ascii="Arial Narrow" w:eastAsia="TimesNewRoman" w:hAnsi="Arial Narrow"/>
                <w:sz w:val="20"/>
              </w:rPr>
              <w:t xml:space="preserve">36/123 </w:t>
            </w:r>
          </w:p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  <w:r w:rsidRPr="0058383F">
              <w:rPr>
                <w:rFonts w:eastAsia="TimesNewRoman"/>
              </w:rPr>
              <w:t>(29.3)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  <w:r w:rsidRPr="0058383F">
              <w:rPr>
                <w:rFonts w:eastAsia="TimesNewRoman"/>
              </w:rPr>
              <w:t>78/121 (64.5)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7C6ACB" w:rsidRDefault="007C6ACB" w:rsidP="00F509BE">
            <w:pPr>
              <w:keepNext/>
              <w:jc w:val="center"/>
              <w:rPr>
                <w:rFonts w:ascii="Arial Narrow" w:eastAsia="TimesNewRoman" w:hAnsi="Arial Narrow"/>
                <w:sz w:val="20"/>
                <w:highlight w:val="black"/>
              </w:rPr>
            </w:pPr>
            <w:r>
              <w:rPr>
                <w:rFonts w:ascii="Arial Narrow" w:eastAsia="TimesNewRoman" w:hAnsi="Arial Narrow"/>
                <w:noProof/>
                <w:color w:val="000000"/>
                <w:sz w:val="20"/>
                <w:highlight w:val="black"/>
              </w:rPr>
              <w:t>'''''''''''</w:t>
            </w:r>
          </w:p>
          <w:p w:rsidR="00A00353" w:rsidRPr="007C6ACB" w:rsidRDefault="007C6ACB" w:rsidP="00F509BE">
            <w:pPr>
              <w:pStyle w:val="TableText0"/>
              <w:spacing w:before="0" w:after="0"/>
              <w:jc w:val="center"/>
              <w:rPr>
                <w:rFonts w:cs="Arial"/>
                <w:highlight w:val="black"/>
              </w:rPr>
            </w:pPr>
            <w:r>
              <w:rPr>
                <w:rFonts w:eastAsia="TimesNewRoman"/>
                <w:noProof/>
                <w:color w:val="000000"/>
                <w:highlight w:val="black"/>
              </w:rPr>
              <w:t>'''''''''''''' ''''''''''''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</w:p>
        </w:tc>
      </w:tr>
      <w:tr w:rsidR="00173B97" w:rsidRPr="005B60F0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:rsidR="00A00353" w:rsidRPr="005B60F0" w:rsidRDefault="00A00353" w:rsidP="00F509BE">
            <w:pPr>
              <w:pStyle w:val="TableText0"/>
              <w:spacing w:before="0" w:after="0"/>
              <w:rPr>
                <w:rFonts w:cs="Arial"/>
              </w:rPr>
            </w:pPr>
            <w:r w:rsidRPr="005B60F0">
              <w:rPr>
                <w:rFonts w:cs="Arial"/>
              </w:rPr>
              <w:t>Pooled</w:t>
            </w:r>
            <w:r w:rsidRPr="005B60F0">
              <w:rPr>
                <w:rFonts w:cs="Arial"/>
                <w:vertAlign w:val="superscript"/>
              </w:rPr>
              <w:t>ª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7C6ACB" w:rsidRDefault="00A00353" w:rsidP="00F509BE">
            <w:pPr>
              <w:keepNext/>
              <w:rPr>
                <w:rFonts w:ascii="Arial Narrow" w:eastAsia="TimesNewRoman" w:hAnsi="Arial Narrow"/>
                <w:sz w:val="20"/>
              </w:rPr>
            </w:pPr>
            <w:r w:rsidRPr="0058383F">
              <w:rPr>
                <w:rFonts w:ascii="Arial Narrow" w:eastAsia="TimesNewRoman" w:hAnsi="Arial Narrow"/>
                <w:sz w:val="20"/>
              </w:rPr>
              <w:t>I</w:t>
            </w:r>
            <w:r w:rsidRPr="0058383F">
              <w:rPr>
                <w:rFonts w:ascii="Arial Narrow" w:eastAsia="TimesNewRoman" w:hAnsi="Arial Narrow"/>
                <w:sz w:val="20"/>
                <w:vertAlign w:val="superscript"/>
              </w:rPr>
              <w:t>2</w:t>
            </w:r>
            <w:r w:rsidRPr="0058383F">
              <w:rPr>
                <w:rFonts w:ascii="Arial Narrow" w:eastAsia="TimesNewRoman" w:hAnsi="Arial Narrow"/>
                <w:sz w:val="20"/>
              </w:rPr>
              <w:t>=</w:t>
            </w:r>
            <w:r w:rsidR="007C6ACB">
              <w:rPr>
                <w:rFonts w:ascii="Arial Narrow" w:eastAsia="TimesNewRoman" w:hAnsi="Arial Narrow"/>
                <w:noProof/>
                <w:color w:val="000000"/>
                <w:sz w:val="20"/>
                <w:highlight w:val="black"/>
              </w:rPr>
              <w:t xml:space="preserve">'''''''''' </w:t>
            </w:r>
            <w:r w:rsidRPr="0058383F">
              <w:rPr>
                <w:rFonts w:ascii="Arial Narrow" w:eastAsia="TimesNewRoman" w:hAnsi="Arial Narrow"/>
                <w:sz w:val="20"/>
              </w:rPr>
              <w:t xml:space="preserve">chi-square </w:t>
            </w:r>
          </w:p>
          <w:p w:rsidR="00A00353" w:rsidRPr="0058383F" w:rsidRDefault="00A00353" w:rsidP="00F509BE">
            <w:pPr>
              <w:pStyle w:val="TableText0"/>
              <w:spacing w:before="0" w:after="0"/>
              <w:rPr>
                <w:rFonts w:cs="Arial"/>
              </w:rPr>
            </w:pPr>
            <w:r w:rsidRPr="0058383F">
              <w:rPr>
                <w:rFonts w:eastAsia="TimesNewRoman"/>
              </w:rPr>
              <w:t>p-value=</w:t>
            </w:r>
            <w:r w:rsidR="007C6ACB">
              <w:rPr>
                <w:rFonts w:eastAsia="TimesNewRoman"/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7C6ACB" w:rsidRDefault="007C6ACB" w:rsidP="00F509BE">
            <w:pPr>
              <w:keepNext/>
              <w:jc w:val="center"/>
              <w:rPr>
                <w:rFonts w:ascii="Arial Narrow" w:eastAsia="TimesNewRoman" w:hAnsi="Arial Narrow"/>
                <w:sz w:val="20"/>
                <w:highlight w:val="black"/>
              </w:rPr>
            </w:pPr>
            <w:r>
              <w:rPr>
                <w:rFonts w:ascii="Arial Narrow" w:eastAsia="TimesNewRoman" w:hAnsi="Arial Narrow"/>
                <w:noProof/>
                <w:color w:val="000000"/>
                <w:sz w:val="20"/>
                <w:highlight w:val="black"/>
              </w:rPr>
              <w:t>'''''''''''</w:t>
            </w:r>
          </w:p>
          <w:p w:rsidR="00A00353" w:rsidRPr="007C6ACB" w:rsidRDefault="007C6ACB" w:rsidP="00F509BE">
            <w:pPr>
              <w:pStyle w:val="TableText0"/>
              <w:spacing w:before="0" w:after="0"/>
              <w:jc w:val="center"/>
              <w:rPr>
                <w:rFonts w:cs="Arial"/>
                <w:highlight w:val="black"/>
              </w:rPr>
            </w:pPr>
            <w:r>
              <w:rPr>
                <w:rFonts w:eastAsia="TimesNewRoman"/>
                <w:noProof/>
                <w:color w:val="000000"/>
                <w:highlight w:val="black"/>
              </w:rPr>
              <w:t>''''''''''''''' '''''''''''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7C6ACB" w:rsidRDefault="007C6ACB" w:rsidP="00F509BE">
            <w:pPr>
              <w:keepNext/>
              <w:jc w:val="center"/>
              <w:rPr>
                <w:rFonts w:ascii="Arial Narrow" w:eastAsia="TimesNewRoman" w:hAnsi="Arial Narrow"/>
                <w:sz w:val="20"/>
                <w:highlight w:val="black"/>
              </w:rPr>
            </w:pPr>
            <w:r>
              <w:rPr>
                <w:rFonts w:ascii="Arial Narrow" w:eastAsia="TimesNewRoman" w:hAnsi="Arial Narrow"/>
                <w:noProof/>
                <w:color w:val="000000"/>
                <w:sz w:val="20"/>
                <w:highlight w:val="black"/>
              </w:rPr>
              <w:t>''''''''''</w:t>
            </w:r>
          </w:p>
          <w:p w:rsidR="00A00353" w:rsidRPr="007C6ACB" w:rsidRDefault="007C6ACB" w:rsidP="00F509BE">
            <w:pPr>
              <w:pStyle w:val="TableText0"/>
              <w:spacing w:before="0" w:after="0"/>
              <w:jc w:val="center"/>
              <w:rPr>
                <w:rFonts w:cs="Arial"/>
                <w:highlight w:val="black"/>
              </w:rPr>
            </w:pPr>
            <w:r>
              <w:rPr>
                <w:rFonts w:eastAsia="TimesNewRoman"/>
                <w:noProof/>
                <w:color w:val="000000"/>
                <w:highlight w:val="black"/>
              </w:rPr>
              <w:t>'''''''''''''' ''''''''''''</w:t>
            </w:r>
          </w:p>
        </w:tc>
      </w:tr>
    </w:tbl>
    <w:p w:rsidR="00A00353" w:rsidRPr="005B60F0" w:rsidRDefault="00A00353" w:rsidP="00173B97">
      <w:pPr>
        <w:pStyle w:val="TableFooter"/>
        <w:ind w:firstLine="720"/>
      </w:pPr>
      <w:r w:rsidRPr="005B60F0">
        <w:t>CI = confidence interval;</w:t>
      </w:r>
      <w:r w:rsidRPr="005B60F0">
        <w:rPr>
          <w:i/>
          <w:iCs/>
        </w:rPr>
        <w:t xml:space="preserve"> n </w:t>
      </w:r>
      <w:r w:rsidRPr="005B60F0">
        <w:t>= number with event;</w:t>
      </w:r>
      <w:r w:rsidRPr="005B60F0">
        <w:rPr>
          <w:i/>
          <w:iCs/>
        </w:rPr>
        <w:t xml:space="preserve"> N </w:t>
      </w:r>
      <w:r w:rsidRPr="005B60F0">
        <w:t xml:space="preserve">= number in group; RR = relative risk </w:t>
      </w:r>
    </w:p>
    <w:p w:rsidR="00A00353" w:rsidRPr="005B60F0" w:rsidRDefault="00A00353" w:rsidP="00173B97">
      <w:pPr>
        <w:pStyle w:val="TableFooter"/>
        <w:ind w:firstLine="720"/>
      </w:pPr>
      <w:proofErr w:type="gramStart"/>
      <w:r w:rsidRPr="00173B97">
        <w:rPr>
          <w:b/>
          <w:bCs/>
          <w:vertAlign w:val="superscript"/>
        </w:rPr>
        <w:t>a</w:t>
      </w:r>
      <w:proofErr w:type="gramEnd"/>
      <w:r w:rsidRPr="005B60F0">
        <w:t xml:space="preserve"> pooled using the random effects model</w:t>
      </w:r>
    </w:p>
    <w:p w:rsidR="00A00353" w:rsidRPr="005B60F0" w:rsidRDefault="00A00353" w:rsidP="00173B97">
      <w:pPr>
        <w:pStyle w:val="TableFooter"/>
        <w:ind w:firstLine="720"/>
      </w:pPr>
      <w:r w:rsidRPr="005B60F0">
        <w:t>Source: Table B.6.2, p.97 in re-submission</w:t>
      </w:r>
    </w:p>
    <w:p w:rsidR="00A00353" w:rsidRDefault="00A00353" w:rsidP="00A00353"/>
    <w:p w:rsidR="00A00353" w:rsidRPr="005B60F0" w:rsidRDefault="00A00353" w:rsidP="00C341FB">
      <w:pPr>
        <w:keepNext/>
        <w:ind w:left="720"/>
        <w:rPr>
          <w:rStyle w:val="CommentReference"/>
        </w:rPr>
      </w:pPr>
      <w:r w:rsidRPr="005B60F0">
        <w:rPr>
          <w:rStyle w:val="CommentReference"/>
        </w:rPr>
        <w:lastRenderedPageBreak/>
        <w:t>Summary of results of the indirect comparison – Clinical remission, ITT population, Induction Phase</w:t>
      </w:r>
    </w:p>
    <w:tbl>
      <w:tblPr>
        <w:tblW w:w="4594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991"/>
        <w:gridCol w:w="995"/>
        <w:gridCol w:w="995"/>
        <w:gridCol w:w="995"/>
        <w:gridCol w:w="1275"/>
        <w:gridCol w:w="1162"/>
        <w:gridCol w:w="1082"/>
      </w:tblGrid>
      <w:tr w:rsidR="00C341FB" w:rsidRPr="005B60F0"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:rsidR="00A00353" w:rsidRPr="005B60F0" w:rsidRDefault="00A00353" w:rsidP="00F509BE">
            <w:pPr>
              <w:pStyle w:val="TableHeading"/>
              <w:spacing w:before="0" w:after="0"/>
              <w:rPr>
                <w:rFonts w:cs="Arial"/>
              </w:rPr>
            </w:pPr>
            <w:r w:rsidRPr="005B60F0">
              <w:rPr>
                <w:rFonts w:cs="Arial"/>
              </w:rPr>
              <w:t>Trial ID</w:t>
            </w:r>
          </w:p>
        </w:tc>
        <w:tc>
          <w:tcPr>
            <w:tcW w:w="17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00353" w:rsidRPr="005B60F0" w:rsidRDefault="00A00353" w:rsidP="00F509BE">
            <w:pPr>
              <w:pStyle w:val="TableHeading"/>
              <w:spacing w:before="0" w:after="0"/>
              <w:jc w:val="center"/>
              <w:rPr>
                <w:rFonts w:cs="Arial"/>
              </w:rPr>
            </w:pPr>
            <w:proofErr w:type="spellStart"/>
            <w:r w:rsidRPr="005B60F0">
              <w:rPr>
                <w:rFonts w:cs="Arial"/>
              </w:rPr>
              <w:t>Vedolizumab</w:t>
            </w:r>
            <w:proofErr w:type="spellEnd"/>
          </w:p>
        </w:tc>
        <w:tc>
          <w:tcPr>
            <w:tcW w:w="20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353" w:rsidRPr="005B60F0" w:rsidRDefault="00A00353" w:rsidP="00F509BE">
            <w:pPr>
              <w:pStyle w:val="TableHeading"/>
              <w:spacing w:before="0" w:after="0"/>
              <w:jc w:val="center"/>
              <w:rPr>
                <w:rFonts w:cs="Arial"/>
              </w:rPr>
            </w:pPr>
            <w:r w:rsidRPr="005B60F0">
              <w:rPr>
                <w:rFonts w:cs="Arial"/>
              </w:rPr>
              <w:t>Infliximab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53" w:rsidRPr="005B60F0" w:rsidRDefault="00A00353" w:rsidP="00F509BE">
            <w:pPr>
              <w:pStyle w:val="TableHeading"/>
              <w:spacing w:before="0" w:after="0"/>
              <w:jc w:val="center"/>
              <w:rPr>
                <w:rFonts w:cs="Arial"/>
              </w:rPr>
            </w:pPr>
            <w:r w:rsidRPr="005B60F0">
              <w:rPr>
                <w:rFonts w:cs="Arial"/>
                <w:b w:val="0"/>
                <w:bCs w:val="0"/>
              </w:rPr>
              <w:br/>
            </w:r>
            <w:r w:rsidRPr="005B60F0">
              <w:rPr>
                <w:rFonts w:cs="Arial"/>
              </w:rPr>
              <w:t>Indirect RR</w:t>
            </w:r>
            <w:r w:rsidRPr="005B60F0">
              <w:rPr>
                <w:rFonts w:cs="Arial"/>
              </w:rPr>
              <w:br/>
              <w:t>(95% CI)</w:t>
            </w:r>
          </w:p>
        </w:tc>
      </w:tr>
      <w:tr w:rsidR="00C341FB" w:rsidRPr="005B60F0"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:rsidR="00A00353" w:rsidRPr="005B60F0" w:rsidRDefault="00A00353" w:rsidP="00F509BE">
            <w:pPr>
              <w:pStyle w:val="TableText0"/>
              <w:spacing w:before="0" w:after="0"/>
              <w:rPr>
                <w:rFonts w:cs="Aria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53" w:rsidRPr="005B60F0" w:rsidRDefault="00A00353" w:rsidP="00F509BE">
            <w:pPr>
              <w:pStyle w:val="TableHeading"/>
              <w:spacing w:before="0" w:after="0"/>
              <w:jc w:val="center"/>
              <w:rPr>
                <w:rFonts w:cs="Arial"/>
              </w:rPr>
            </w:pPr>
            <w:r w:rsidRPr="005B60F0">
              <w:rPr>
                <w:rFonts w:cs="Arial"/>
                <w:vertAlign w:val="superscript"/>
              </w:rPr>
              <w:br/>
            </w:r>
            <w:r w:rsidRPr="005B60F0">
              <w:rPr>
                <w:rFonts w:cs="Arial"/>
              </w:rPr>
              <w:t>RR</w:t>
            </w:r>
            <w:r w:rsidRPr="005B60F0">
              <w:rPr>
                <w:rFonts w:cs="Arial"/>
              </w:rPr>
              <w:br/>
              <w:t>(95% CI)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53" w:rsidRPr="005B60F0" w:rsidRDefault="00A00353" w:rsidP="00F509BE">
            <w:pPr>
              <w:pStyle w:val="TableHeading"/>
              <w:spacing w:before="0" w:after="0"/>
              <w:jc w:val="center"/>
              <w:rPr>
                <w:rFonts w:cs="Arial"/>
              </w:rPr>
            </w:pPr>
            <w:r w:rsidRPr="005B60F0">
              <w:rPr>
                <w:rFonts w:cs="Arial"/>
              </w:rPr>
              <w:t>VDZ</w:t>
            </w:r>
            <w:r w:rsidRPr="005B60F0">
              <w:rPr>
                <w:rFonts w:cs="Arial"/>
              </w:rPr>
              <w:br/>
            </w:r>
            <w:r w:rsidRPr="005B60F0">
              <w:rPr>
                <w:rFonts w:cs="Arial"/>
                <w:i/>
                <w:iCs/>
              </w:rPr>
              <w:t>n</w:t>
            </w:r>
            <w:r w:rsidRPr="005B60F0">
              <w:rPr>
                <w:rFonts w:cs="Arial"/>
              </w:rPr>
              <w:t xml:space="preserve"> with event/</w:t>
            </w:r>
            <w:r w:rsidRPr="005B60F0">
              <w:rPr>
                <w:rFonts w:cs="Arial"/>
                <w:i/>
                <w:iCs/>
              </w:rPr>
              <w:t>N</w:t>
            </w:r>
            <w:r w:rsidRPr="005B60F0">
              <w:rPr>
                <w:rFonts w:cs="Arial"/>
              </w:rPr>
              <w:t xml:space="preserve"> (%)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0353" w:rsidRPr="005B60F0" w:rsidRDefault="00A00353" w:rsidP="00F509BE">
            <w:pPr>
              <w:pStyle w:val="TableHeading"/>
              <w:spacing w:before="0" w:after="0"/>
              <w:jc w:val="center"/>
              <w:rPr>
                <w:rFonts w:cs="Arial"/>
              </w:rPr>
            </w:pPr>
            <w:r w:rsidRPr="005B60F0">
              <w:rPr>
                <w:rFonts w:cs="Arial"/>
              </w:rPr>
              <w:t>PBO</w:t>
            </w:r>
            <w:r w:rsidRPr="005B60F0">
              <w:rPr>
                <w:rFonts w:cs="Arial"/>
              </w:rPr>
              <w:br/>
            </w:r>
            <w:r w:rsidRPr="005B60F0">
              <w:rPr>
                <w:rFonts w:cs="Arial"/>
                <w:i/>
                <w:iCs/>
              </w:rPr>
              <w:t>n</w:t>
            </w:r>
            <w:r w:rsidRPr="005B60F0">
              <w:rPr>
                <w:rFonts w:cs="Arial"/>
              </w:rPr>
              <w:t xml:space="preserve"> with event/</w:t>
            </w:r>
            <w:r w:rsidRPr="005B60F0">
              <w:rPr>
                <w:rFonts w:cs="Arial"/>
                <w:i/>
                <w:iCs/>
              </w:rPr>
              <w:t>N</w:t>
            </w:r>
            <w:r w:rsidRPr="005B60F0">
              <w:rPr>
                <w:rFonts w:cs="Arial"/>
              </w:rPr>
              <w:t xml:space="preserve"> (%)</w:t>
            </w:r>
          </w:p>
        </w:tc>
        <w:tc>
          <w:tcPr>
            <w:tcW w:w="59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53" w:rsidRPr="005B60F0" w:rsidRDefault="00A00353" w:rsidP="00F509BE">
            <w:pPr>
              <w:pStyle w:val="TableHeading"/>
              <w:spacing w:before="0" w:after="0"/>
              <w:jc w:val="center"/>
              <w:rPr>
                <w:rFonts w:cs="Arial"/>
              </w:rPr>
            </w:pPr>
            <w:r w:rsidRPr="005B60F0">
              <w:rPr>
                <w:rFonts w:cs="Arial"/>
              </w:rPr>
              <w:t>PBO</w:t>
            </w:r>
            <w:r w:rsidRPr="005B60F0">
              <w:rPr>
                <w:rFonts w:cs="Arial"/>
              </w:rPr>
              <w:br/>
            </w:r>
            <w:r w:rsidRPr="005B60F0">
              <w:rPr>
                <w:rFonts w:cs="Arial"/>
                <w:i/>
                <w:iCs/>
              </w:rPr>
              <w:t>n</w:t>
            </w:r>
            <w:r w:rsidRPr="005B60F0">
              <w:rPr>
                <w:rFonts w:cs="Arial"/>
              </w:rPr>
              <w:t xml:space="preserve"> with event/</w:t>
            </w:r>
            <w:r w:rsidRPr="005B60F0">
              <w:rPr>
                <w:rFonts w:cs="Arial"/>
                <w:i/>
                <w:iCs/>
              </w:rPr>
              <w:t>N</w:t>
            </w:r>
            <w:r w:rsidRPr="005B60F0">
              <w:rPr>
                <w:rFonts w:cs="Arial"/>
              </w:rPr>
              <w:t xml:space="preserve"> (%)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53" w:rsidRPr="005B60F0" w:rsidRDefault="00A00353" w:rsidP="00F509BE">
            <w:pPr>
              <w:pStyle w:val="TableHeading"/>
              <w:spacing w:before="0" w:after="0"/>
              <w:jc w:val="center"/>
              <w:rPr>
                <w:rFonts w:cs="Arial"/>
              </w:rPr>
            </w:pPr>
            <w:r w:rsidRPr="005B60F0">
              <w:rPr>
                <w:rFonts w:cs="Arial"/>
              </w:rPr>
              <w:t>IFN</w:t>
            </w:r>
            <w:r w:rsidRPr="005B60F0">
              <w:rPr>
                <w:rFonts w:cs="Arial"/>
              </w:rPr>
              <w:br/>
            </w:r>
            <w:r w:rsidRPr="005B60F0">
              <w:rPr>
                <w:rFonts w:cs="Arial"/>
                <w:i/>
                <w:iCs/>
              </w:rPr>
              <w:t>n</w:t>
            </w:r>
            <w:r w:rsidRPr="005B60F0">
              <w:rPr>
                <w:rFonts w:cs="Arial"/>
              </w:rPr>
              <w:t xml:space="preserve"> with event/</w:t>
            </w:r>
            <w:r w:rsidRPr="005B60F0">
              <w:rPr>
                <w:rFonts w:cs="Arial"/>
                <w:i/>
                <w:iCs/>
              </w:rPr>
              <w:t>N</w:t>
            </w:r>
            <w:r w:rsidRPr="005B60F0">
              <w:rPr>
                <w:rFonts w:cs="Arial"/>
              </w:rPr>
              <w:t xml:space="preserve"> (%)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53" w:rsidRPr="005B60F0" w:rsidRDefault="00A00353" w:rsidP="00F509BE">
            <w:pPr>
              <w:pStyle w:val="TableHeading"/>
              <w:spacing w:before="0" w:after="0"/>
              <w:jc w:val="center"/>
              <w:rPr>
                <w:rFonts w:cs="Arial"/>
              </w:rPr>
            </w:pPr>
            <w:r w:rsidRPr="005B60F0">
              <w:rPr>
                <w:rFonts w:cs="Arial"/>
                <w:vertAlign w:val="superscript"/>
              </w:rPr>
              <w:br/>
            </w:r>
            <w:r w:rsidRPr="005B60F0">
              <w:rPr>
                <w:rFonts w:cs="Arial"/>
              </w:rPr>
              <w:t>RR</w:t>
            </w:r>
            <w:r w:rsidRPr="005B60F0">
              <w:rPr>
                <w:rFonts w:cs="Arial"/>
              </w:rPr>
              <w:br/>
              <w:t>(95% CI)</w:t>
            </w: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53" w:rsidRPr="005B60F0" w:rsidRDefault="00A00353" w:rsidP="00F509BE">
            <w:pPr>
              <w:pStyle w:val="TableHeading"/>
              <w:spacing w:before="0" w:after="0"/>
              <w:jc w:val="center"/>
              <w:rPr>
                <w:rFonts w:cs="Arial"/>
              </w:rPr>
            </w:pPr>
          </w:p>
        </w:tc>
      </w:tr>
      <w:tr w:rsidR="00A00353" w:rsidRPr="005B60F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:rsidR="00A00353" w:rsidRPr="005B60F0" w:rsidRDefault="00A00353" w:rsidP="00F509BE">
            <w:pPr>
              <w:pStyle w:val="TableText0"/>
              <w:spacing w:before="0" w:after="0"/>
              <w:rPr>
                <w:rFonts w:cs="Arial"/>
              </w:rPr>
            </w:pPr>
            <w:r w:rsidRPr="005B60F0">
              <w:rPr>
                <w:rFonts w:cs="Arial"/>
              </w:rPr>
              <w:t>Clinical remission</w:t>
            </w:r>
          </w:p>
        </w:tc>
      </w:tr>
      <w:tr w:rsidR="00C341FB" w:rsidRPr="005B60F0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:rsidR="00A00353" w:rsidRPr="005B60F0" w:rsidRDefault="00A00353" w:rsidP="00F509BE">
            <w:pPr>
              <w:pStyle w:val="TableText0"/>
              <w:spacing w:before="0" w:after="0"/>
              <w:rPr>
                <w:rFonts w:cs="Arial"/>
              </w:rPr>
            </w:pPr>
            <w:r w:rsidRPr="005B60F0">
              <w:rPr>
                <w:rFonts w:cs="Arial"/>
              </w:rPr>
              <w:t>GEMINI I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7C6ACB" w:rsidRDefault="007C6ACB" w:rsidP="00F509BE">
            <w:pPr>
              <w:keepNext/>
              <w:jc w:val="center"/>
              <w:rPr>
                <w:rFonts w:ascii="Arial Narrow" w:eastAsia="TimesNewRoman" w:hAnsi="Arial Narrow"/>
                <w:sz w:val="20"/>
                <w:highlight w:val="black"/>
              </w:rPr>
            </w:pPr>
            <w:r>
              <w:rPr>
                <w:rFonts w:ascii="Arial Narrow" w:eastAsia="TimesNewRoman" w:hAnsi="Arial Narrow"/>
                <w:noProof/>
                <w:color w:val="000000"/>
                <w:sz w:val="20"/>
                <w:highlight w:val="black"/>
              </w:rPr>
              <w:t>''''''''''</w:t>
            </w:r>
          </w:p>
          <w:p w:rsidR="00A00353" w:rsidRPr="007C6ACB" w:rsidRDefault="007C6ACB" w:rsidP="00F509BE">
            <w:pPr>
              <w:pStyle w:val="TableText0"/>
              <w:spacing w:before="0" w:after="0"/>
              <w:jc w:val="center"/>
              <w:rPr>
                <w:rFonts w:cs="Arial"/>
                <w:highlight w:val="black"/>
              </w:rPr>
            </w:pPr>
            <w:r>
              <w:rPr>
                <w:rFonts w:eastAsia="TimesNewRoman"/>
                <w:noProof/>
                <w:color w:val="000000"/>
                <w:highlight w:val="black"/>
              </w:rPr>
              <w:t>'''''''''''''' ''''''''''''''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  <w:r w:rsidRPr="0058383F">
              <w:rPr>
                <w:rFonts w:eastAsia="TimesNewRoman"/>
              </w:rPr>
              <w:t>38/225 (16.9)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00353" w:rsidRPr="0058383F" w:rsidRDefault="00A00353" w:rsidP="00F509BE">
            <w:pPr>
              <w:keepNext/>
              <w:jc w:val="center"/>
              <w:rPr>
                <w:rFonts w:ascii="Arial Narrow" w:eastAsia="TimesNewRoman" w:hAnsi="Arial Narrow"/>
                <w:sz w:val="20"/>
              </w:rPr>
            </w:pPr>
            <w:r w:rsidRPr="0058383F">
              <w:rPr>
                <w:rFonts w:ascii="Arial Narrow" w:eastAsia="TimesNewRoman" w:hAnsi="Arial Narrow"/>
                <w:sz w:val="20"/>
              </w:rPr>
              <w:t>8/149</w:t>
            </w:r>
          </w:p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  <w:r w:rsidRPr="0058383F">
              <w:rPr>
                <w:rFonts w:eastAsia="TimesNewRoman"/>
              </w:rPr>
              <w:t>(5.4)</w:t>
            </w:r>
          </w:p>
        </w:tc>
        <w:tc>
          <w:tcPr>
            <w:tcW w:w="59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</w:p>
        </w:tc>
      </w:tr>
      <w:tr w:rsidR="00C341FB" w:rsidRPr="005B60F0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:rsidR="00A00353" w:rsidRPr="005B60F0" w:rsidRDefault="00A00353" w:rsidP="00F509BE">
            <w:pPr>
              <w:pStyle w:val="TableText0"/>
              <w:spacing w:before="0" w:after="0"/>
              <w:rPr>
                <w:rFonts w:cs="Arial"/>
              </w:rPr>
            </w:pPr>
            <w:r w:rsidRPr="005B60F0">
              <w:rPr>
                <w:rFonts w:cs="Arial"/>
              </w:rPr>
              <w:t>ACT 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  <w:r w:rsidRPr="0058383F">
              <w:rPr>
                <w:rFonts w:eastAsia="TimesNewRoman"/>
              </w:rPr>
              <w:t>18/121 (14.9)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keepNext/>
              <w:jc w:val="center"/>
              <w:rPr>
                <w:rFonts w:ascii="Arial Narrow" w:eastAsia="TimesNewRoman" w:hAnsi="Arial Narrow"/>
                <w:sz w:val="20"/>
              </w:rPr>
            </w:pPr>
            <w:r w:rsidRPr="0058383F">
              <w:rPr>
                <w:rFonts w:ascii="Arial Narrow" w:eastAsia="TimesNewRoman" w:hAnsi="Arial Narrow"/>
                <w:sz w:val="20"/>
              </w:rPr>
              <w:t>47/121</w:t>
            </w:r>
          </w:p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  <w:r w:rsidRPr="0058383F">
              <w:rPr>
                <w:rFonts w:eastAsia="TimesNewRoman"/>
              </w:rPr>
              <w:t>(38.8)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7C6ACB" w:rsidRDefault="007C6ACB" w:rsidP="00F509BE">
            <w:pPr>
              <w:keepNext/>
              <w:jc w:val="center"/>
              <w:rPr>
                <w:rFonts w:ascii="Arial Narrow" w:eastAsia="TimesNewRoman" w:hAnsi="Arial Narrow"/>
                <w:sz w:val="20"/>
                <w:highlight w:val="black"/>
              </w:rPr>
            </w:pPr>
            <w:r>
              <w:rPr>
                <w:rFonts w:ascii="Arial Narrow" w:eastAsia="TimesNewRoman" w:hAnsi="Arial Narrow"/>
                <w:noProof/>
                <w:color w:val="000000"/>
                <w:sz w:val="20"/>
                <w:highlight w:val="black"/>
              </w:rPr>
              <w:t>''''''''''</w:t>
            </w:r>
          </w:p>
          <w:p w:rsidR="00A00353" w:rsidRPr="007C6ACB" w:rsidRDefault="007C6ACB" w:rsidP="00F509BE">
            <w:pPr>
              <w:pStyle w:val="TableText0"/>
              <w:spacing w:before="0" w:after="0"/>
              <w:jc w:val="center"/>
              <w:rPr>
                <w:rFonts w:cs="Arial"/>
                <w:highlight w:val="black"/>
              </w:rPr>
            </w:pPr>
            <w:r>
              <w:rPr>
                <w:rFonts w:eastAsia="TimesNewRoman"/>
                <w:noProof/>
                <w:color w:val="000000"/>
                <w:highlight w:val="black"/>
              </w:rPr>
              <w:t>'''''''''''''' ''''''''''''''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</w:p>
        </w:tc>
      </w:tr>
      <w:tr w:rsidR="00C341FB" w:rsidRPr="005B60F0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:rsidR="00A00353" w:rsidRPr="005B60F0" w:rsidRDefault="00A00353" w:rsidP="00F509BE">
            <w:pPr>
              <w:pStyle w:val="TableText0"/>
              <w:spacing w:before="0" w:after="0"/>
              <w:rPr>
                <w:rFonts w:cs="Arial"/>
              </w:rPr>
            </w:pPr>
            <w:r w:rsidRPr="005B60F0">
              <w:rPr>
                <w:rFonts w:cs="Arial"/>
              </w:rPr>
              <w:t>ACT 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  <w:r w:rsidRPr="0058383F">
              <w:rPr>
                <w:rFonts w:eastAsia="TimesNewRoman"/>
              </w:rPr>
              <w:t>7/123 (5.7)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keepNext/>
              <w:jc w:val="center"/>
              <w:rPr>
                <w:rFonts w:ascii="Arial Narrow" w:eastAsia="TimesNewRoman" w:hAnsi="Arial Narrow"/>
                <w:sz w:val="20"/>
              </w:rPr>
            </w:pPr>
            <w:r w:rsidRPr="0058383F">
              <w:rPr>
                <w:rFonts w:ascii="Arial Narrow" w:eastAsia="TimesNewRoman" w:hAnsi="Arial Narrow"/>
                <w:sz w:val="20"/>
              </w:rPr>
              <w:t>41/121</w:t>
            </w:r>
          </w:p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  <w:r w:rsidRPr="0058383F">
              <w:rPr>
                <w:rFonts w:eastAsia="TimesNewRoman"/>
              </w:rPr>
              <w:t>(33.9)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7C6ACB" w:rsidRDefault="007C6ACB" w:rsidP="00F509BE">
            <w:pPr>
              <w:keepNext/>
              <w:jc w:val="center"/>
              <w:rPr>
                <w:rFonts w:ascii="Arial Narrow" w:eastAsia="TimesNewRoman" w:hAnsi="Arial Narrow"/>
                <w:sz w:val="20"/>
                <w:highlight w:val="black"/>
              </w:rPr>
            </w:pPr>
            <w:r>
              <w:rPr>
                <w:rFonts w:ascii="Arial Narrow" w:eastAsia="TimesNewRoman" w:hAnsi="Arial Narrow"/>
                <w:noProof/>
                <w:color w:val="000000"/>
                <w:sz w:val="20"/>
                <w:highlight w:val="black"/>
              </w:rPr>
              <w:t>'''''''''''</w:t>
            </w:r>
          </w:p>
          <w:p w:rsidR="00A00353" w:rsidRPr="007C6ACB" w:rsidRDefault="007C6ACB" w:rsidP="00F509BE">
            <w:pPr>
              <w:pStyle w:val="TableText0"/>
              <w:spacing w:before="0" w:after="0"/>
              <w:jc w:val="center"/>
              <w:rPr>
                <w:rFonts w:cs="Arial"/>
                <w:highlight w:val="black"/>
              </w:rPr>
            </w:pPr>
            <w:r>
              <w:rPr>
                <w:rFonts w:eastAsia="TimesNewRoman"/>
                <w:noProof/>
                <w:color w:val="000000"/>
                <w:highlight w:val="black"/>
              </w:rPr>
              <w:t>''''''''''''' ''''''''''''''''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</w:p>
        </w:tc>
      </w:tr>
      <w:tr w:rsidR="00C341FB" w:rsidRPr="005B60F0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:rsidR="00A00353" w:rsidRPr="005B60F0" w:rsidRDefault="00A00353" w:rsidP="00F509BE">
            <w:pPr>
              <w:pStyle w:val="TableText0"/>
              <w:spacing w:before="0" w:after="0"/>
              <w:rPr>
                <w:rFonts w:cs="Arial"/>
              </w:rPr>
            </w:pPr>
            <w:r w:rsidRPr="005B60F0">
              <w:rPr>
                <w:rFonts w:cs="Arial"/>
              </w:rPr>
              <w:t>Probert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  <w:r w:rsidRPr="0058383F">
              <w:rPr>
                <w:rFonts w:eastAsia="TimesNewRoman"/>
              </w:rPr>
              <w:t>6/20 (30.0)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keepNext/>
              <w:jc w:val="center"/>
              <w:rPr>
                <w:rFonts w:ascii="Arial Narrow" w:eastAsia="TimesNewRoman" w:hAnsi="Arial Narrow"/>
                <w:sz w:val="20"/>
              </w:rPr>
            </w:pPr>
            <w:r w:rsidRPr="0058383F">
              <w:rPr>
                <w:rFonts w:ascii="Arial Narrow" w:eastAsia="TimesNewRoman" w:hAnsi="Arial Narrow"/>
                <w:sz w:val="20"/>
              </w:rPr>
              <w:t>9/23</w:t>
            </w:r>
          </w:p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  <w:r w:rsidRPr="0058383F">
              <w:rPr>
                <w:rFonts w:eastAsia="TimesNewRoman"/>
              </w:rPr>
              <w:t>(39.1)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7C6ACB" w:rsidRDefault="007C6ACB" w:rsidP="00F509BE">
            <w:pPr>
              <w:keepNext/>
              <w:jc w:val="center"/>
              <w:rPr>
                <w:rFonts w:ascii="Arial Narrow" w:eastAsia="TimesNewRoman" w:hAnsi="Arial Narrow"/>
                <w:sz w:val="20"/>
                <w:highlight w:val="black"/>
              </w:rPr>
            </w:pPr>
            <w:r>
              <w:rPr>
                <w:rFonts w:ascii="Arial Narrow" w:eastAsia="TimesNewRoman" w:hAnsi="Arial Narrow"/>
                <w:noProof/>
                <w:color w:val="000000"/>
                <w:sz w:val="20"/>
                <w:highlight w:val="black"/>
              </w:rPr>
              <w:t>'''''''''''</w:t>
            </w:r>
          </w:p>
          <w:p w:rsidR="00A00353" w:rsidRPr="007C6ACB" w:rsidRDefault="007C6ACB" w:rsidP="00F509BE">
            <w:pPr>
              <w:pStyle w:val="TableText0"/>
              <w:spacing w:before="0" w:after="0"/>
              <w:jc w:val="center"/>
              <w:rPr>
                <w:rFonts w:cs="Arial"/>
                <w:highlight w:val="black"/>
              </w:rPr>
            </w:pPr>
            <w:r>
              <w:rPr>
                <w:rFonts w:eastAsia="TimesNewRoman"/>
                <w:noProof/>
                <w:color w:val="000000"/>
                <w:highlight w:val="black"/>
              </w:rPr>
              <w:t>''''''''''''' '''''''''''''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</w:p>
        </w:tc>
      </w:tr>
      <w:tr w:rsidR="00A00353" w:rsidRPr="005B60F0">
        <w:tc>
          <w:tcPr>
            <w:tcW w:w="2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right w:w="28" w:type="dxa"/>
            </w:tcMar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  <w:r w:rsidRPr="0058383F">
              <w:rPr>
                <w:rFonts w:eastAsia="TimesNewRoman"/>
              </w:rPr>
              <w:t xml:space="preserve">Meta-analysis including Probert </w:t>
            </w:r>
          </w:p>
        </w:tc>
        <w:tc>
          <w:tcPr>
            <w:tcW w:w="136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keepNext/>
              <w:rPr>
                <w:rFonts w:ascii="Arial Narrow" w:eastAsia="TimesNewRoman" w:hAnsi="Arial Narrow"/>
                <w:sz w:val="20"/>
              </w:rPr>
            </w:pPr>
            <w:r w:rsidRPr="0058383F">
              <w:rPr>
                <w:rFonts w:ascii="Arial Narrow" w:eastAsia="TimesNewRoman" w:hAnsi="Arial Narrow"/>
                <w:sz w:val="20"/>
              </w:rPr>
              <w:t xml:space="preserve">I² = </w:t>
            </w:r>
            <w:r w:rsidR="007C6ACB">
              <w:rPr>
                <w:rFonts w:ascii="Arial Narrow" w:eastAsia="TimesNewRoman" w:hAnsi="Arial Narrow"/>
                <w:noProof/>
                <w:color w:val="000000"/>
                <w:sz w:val="20"/>
                <w:highlight w:val="black"/>
              </w:rPr>
              <w:t>''''''</w:t>
            </w:r>
            <w:r w:rsidRPr="0058383F">
              <w:rPr>
                <w:rFonts w:ascii="Arial Narrow" w:eastAsia="TimesNewRoman" w:hAnsi="Arial Narrow"/>
                <w:sz w:val="20"/>
              </w:rPr>
              <w:t xml:space="preserve">%, </w:t>
            </w:r>
          </w:p>
          <w:p w:rsidR="00A00353" w:rsidRPr="0058383F" w:rsidRDefault="00A00353" w:rsidP="00F509BE">
            <w:pPr>
              <w:keepNext/>
              <w:rPr>
                <w:rFonts w:ascii="Arial Narrow" w:eastAsia="TimesNewRoman" w:hAnsi="Arial Narrow"/>
                <w:sz w:val="20"/>
              </w:rPr>
            </w:pPr>
            <w:r w:rsidRPr="0058383F">
              <w:rPr>
                <w:rFonts w:ascii="Arial Narrow" w:eastAsia="TimesNewRoman" w:hAnsi="Arial Narrow"/>
                <w:sz w:val="20"/>
              </w:rPr>
              <w:t xml:space="preserve">chi-squared p-value = </w:t>
            </w:r>
            <w:r w:rsidR="007C6ACB">
              <w:rPr>
                <w:rFonts w:ascii="Arial Narrow" w:eastAsia="TimesNewRoman" w:hAnsi="Arial Narrow"/>
                <w:noProof/>
                <w:color w:val="000000"/>
                <w:sz w:val="20"/>
                <w:highlight w:val="black"/>
              </w:rPr>
              <w:t>''''''''''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7C6ACB" w:rsidRDefault="007C6ACB" w:rsidP="00F509BE">
            <w:pPr>
              <w:keepNext/>
              <w:jc w:val="center"/>
              <w:rPr>
                <w:rFonts w:ascii="Arial Narrow" w:eastAsia="TimesNewRoman" w:hAnsi="Arial Narrow"/>
                <w:sz w:val="20"/>
                <w:highlight w:val="black"/>
              </w:rPr>
            </w:pPr>
            <w:r>
              <w:rPr>
                <w:rFonts w:ascii="Arial Narrow" w:eastAsia="TimesNewRoman" w:hAnsi="Arial Narrow"/>
                <w:noProof/>
                <w:color w:val="000000"/>
                <w:sz w:val="20"/>
                <w:highlight w:val="black"/>
              </w:rPr>
              <w:t>''''''''''</w:t>
            </w:r>
          </w:p>
          <w:p w:rsidR="00A00353" w:rsidRPr="007C6ACB" w:rsidRDefault="007C6ACB" w:rsidP="00F509BE">
            <w:pPr>
              <w:keepNext/>
              <w:jc w:val="center"/>
              <w:rPr>
                <w:rFonts w:ascii="Arial Narrow" w:eastAsia="TimesNewRoman" w:hAnsi="Arial Narrow"/>
                <w:sz w:val="20"/>
                <w:highlight w:val="black"/>
              </w:rPr>
            </w:pPr>
            <w:r>
              <w:rPr>
                <w:rFonts w:ascii="Arial Narrow" w:eastAsia="TimesNewRoman" w:hAnsi="Arial Narrow"/>
                <w:noProof/>
                <w:color w:val="000000"/>
                <w:sz w:val="20"/>
                <w:highlight w:val="black"/>
              </w:rPr>
              <w:t>''''''''''''' '''''''''''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7C6ACB" w:rsidRDefault="007C6ACB" w:rsidP="00F509BE">
            <w:pPr>
              <w:keepNext/>
              <w:jc w:val="center"/>
              <w:rPr>
                <w:rFonts w:ascii="Arial Narrow" w:eastAsia="TimesNewRoman" w:hAnsi="Arial Narrow"/>
                <w:sz w:val="20"/>
                <w:highlight w:val="black"/>
              </w:rPr>
            </w:pPr>
            <w:r>
              <w:rPr>
                <w:rFonts w:ascii="Arial Narrow" w:eastAsia="TimesNewRoman" w:hAnsi="Arial Narrow"/>
                <w:noProof/>
                <w:color w:val="000000"/>
                <w:sz w:val="20"/>
                <w:highlight w:val="black"/>
              </w:rPr>
              <w:t>'''''''''''</w:t>
            </w:r>
          </w:p>
          <w:p w:rsidR="00A00353" w:rsidRPr="007C6ACB" w:rsidRDefault="007C6ACB" w:rsidP="00F509BE">
            <w:pPr>
              <w:keepNext/>
              <w:jc w:val="center"/>
              <w:rPr>
                <w:rFonts w:ascii="Arial Narrow" w:eastAsia="TimesNewRoman" w:hAnsi="Arial Narrow"/>
                <w:sz w:val="20"/>
                <w:highlight w:val="black"/>
              </w:rPr>
            </w:pPr>
            <w:r>
              <w:rPr>
                <w:rFonts w:ascii="Arial Narrow" w:eastAsia="TimesNewRoman" w:hAnsi="Arial Narrow"/>
                <w:noProof/>
                <w:color w:val="000000"/>
                <w:sz w:val="20"/>
                <w:highlight w:val="black"/>
              </w:rPr>
              <w:t>'''''''''''''' ''''''''''''</w:t>
            </w:r>
          </w:p>
        </w:tc>
      </w:tr>
      <w:tr w:rsidR="00A00353" w:rsidRPr="005B60F0">
        <w:tc>
          <w:tcPr>
            <w:tcW w:w="2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right w:w="28" w:type="dxa"/>
            </w:tcMar>
          </w:tcPr>
          <w:p w:rsidR="00A00353" w:rsidRPr="0058383F" w:rsidRDefault="00A00353" w:rsidP="00F509BE">
            <w:pPr>
              <w:pStyle w:val="TableText0"/>
              <w:spacing w:before="0" w:after="0"/>
              <w:jc w:val="center"/>
              <w:rPr>
                <w:rFonts w:cs="Arial"/>
              </w:rPr>
            </w:pPr>
            <w:r w:rsidRPr="0058383F">
              <w:rPr>
                <w:rFonts w:eastAsia="TimesNewRoman"/>
              </w:rPr>
              <w:t xml:space="preserve">Meta-analysis excluding Probert </w:t>
            </w:r>
          </w:p>
        </w:tc>
        <w:tc>
          <w:tcPr>
            <w:tcW w:w="136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58383F" w:rsidRDefault="00A00353" w:rsidP="00F509BE">
            <w:pPr>
              <w:keepNext/>
              <w:rPr>
                <w:rFonts w:ascii="Arial Narrow" w:eastAsia="TimesNewRoman" w:hAnsi="Arial Narrow"/>
                <w:sz w:val="20"/>
              </w:rPr>
            </w:pPr>
            <w:r w:rsidRPr="0058383F">
              <w:rPr>
                <w:rFonts w:ascii="Arial Narrow" w:eastAsia="TimesNewRoman" w:hAnsi="Arial Narrow"/>
                <w:sz w:val="20"/>
              </w:rPr>
              <w:t xml:space="preserve">I² = </w:t>
            </w:r>
            <w:r w:rsidR="007C6ACB">
              <w:rPr>
                <w:rFonts w:ascii="Arial Narrow" w:eastAsia="TimesNewRoman" w:hAnsi="Arial Narrow"/>
                <w:noProof/>
                <w:color w:val="000000"/>
                <w:sz w:val="20"/>
                <w:highlight w:val="black"/>
              </w:rPr>
              <w:t>'''''''</w:t>
            </w:r>
            <w:r w:rsidRPr="0058383F">
              <w:rPr>
                <w:rFonts w:ascii="Arial Narrow" w:eastAsia="TimesNewRoman" w:hAnsi="Arial Narrow"/>
                <w:sz w:val="20"/>
              </w:rPr>
              <w:t xml:space="preserve">%, </w:t>
            </w:r>
          </w:p>
          <w:p w:rsidR="00A00353" w:rsidRPr="0058383F" w:rsidRDefault="00A00353" w:rsidP="00F509BE">
            <w:pPr>
              <w:keepNext/>
              <w:rPr>
                <w:rFonts w:ascii="Arial Narrow" w:eastAsia="TimesNewRoman" w:hAnsi="Arial Narrow"/>
                <w:sz w:val="20"/>
              </w:rPr>
            </w:pPr>
            <w:r w:rsidRPr="0058383F">
              <w:rPr>
                <w:rFonts w:ascii="Arial Narrow" w:eastAsia="TimesNewRoman" w:hAnsi="Arial Narrow"/>
                <w:sz w:val="20"/>
              </w:rPr>
              <w:t xml:space="preserve">chi-square p-value = </w:t>
            </w:r>
            <w:r w:rsidR="007C6ACB">
              <w:rPr>
                <w:rFonts w:ascii="Arial Narrow" w:eastAsia="TimesNewRoman" w:hAnsi="Arial Narrow"/>
                <w:noProof/>
                <w:color w:val="000000"/>
                <w:sz w:val="20"/>
                <w:highlight w:val="black"/>
              </w:rPr>
              <w:t>'''''''''''</w:t>
            </w:r>
            <w:r w:rsidRPr="0058383F">
              <w:rPr>
                <w:rFonts w:ascii="Arial Narrow" w:eastAsia="TimesNewRoman" w:hAnsi="Arial Narrow"/>
                <w:sz w:val="20"/>
              </w:rPr>
              <w:t xml:space="preserve"> 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7C6ACB" w:rsidRDefault="007C6ACB" w:rsidP="00F509BE">
            <w:pPr>
              <w:keepNext/>
              <w:jc w:val="center"/>
              <w:rPr>
                <w:rFonts w:ascii="Arial Narrow" w:eastAsia="TimesNewRoman" w:hAnsi="Arial Narrow"/>
                <w:sz w:val="20"/>
                <w:highlight w:val="black"/>
              </w:rPr>
            </w:pPr>
            <w:r>
              <w:rPr>
                <w:rFonts w:ascii="Arial Narrow" w:eastAsia="TimesNewRoman" w:hAnsi="Arial Narrow"/>
                <w:noProof/>
                <w:color w:val="000000"/>
                <w:sz w:val="20"/>
                <w:highlight w:val="black"/>
              </w:rPr>
              <w:t>''''''''''''</w:t>
            </w:r>
          </w:p>
          <w:p w:rsidR="00A00353" w:rsidRPr="007C6ACB" w:rsidRDefault="007C6ACB" w:rsidP="00F509BE">
            <w:pPr>
              <w:keepNext/>
              <w:jc w:val="center"/>
              <w:rPr>
                <w:rFonts w:ascii="Arial Narrow" w:eastAsia="TimesNewRoman" w:hAnsi="Arial Narrow"/>
                <w:sz w:val="20"/>
                <w:highlight w:val="black"/>
              </w:rPr>
            </w:pPr>
            <w:r>
              <w:rPr>
                <w:rFonts w:ascii="Arial Narrow" w:eastAsia="TimesNewRoman" w:hAnsi="Arial Narrow"/>
                <w:noProof/>
                <w:color w:val="000000"/>
                <w:sz w:val="20"/>
                <w:highlight w:val="black"/>
              </w:rPr>
              <w:t>''''''''''''' '''''''''''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53" w:rsidRPr="007C6ACB" w:rsidRDefault="007C6ACB" w:rsidP="00F509BE">
            <w:pPr>
              <w:keepNext/>
              <w:jc w:val="center"/>
              <w:rPr>
                <w:rFonts w:ascii="Arial Narrow" w:eastAsia="TimesNewRoman" w:hAnsi="Arial Narrow"/>
                <w:sz w:val="20"/>
                <w:highlight w:val="black"/>
              </w:rPr>
            </w:pPr>
            <w:r>
              <w:rPr>
                <w:rFonts w:ascii="Arial Narrow" w:eastAsia="TimesNewRoman" w:hAnsi="Arial Narrow"/>
                <w:noProof/>
                <w:color w:val="000000"/>
                <w:sz w:val="20"/>
                <w:highlight w:val="black"/>
              </w:rPr>
              <w:t>''''''''''</w:t>
            </w:r>
          </w:p>
          <w:p w:rsidR="00A00353" w:rsidRPr="007C6ACB" w:rsidRDefault="007C6ACB" w:rsidP="00F509BE">
            <w:pPr>
              <w:keepNext/>
              <w:jc w:val="center"/>
              <w:rPr>
                <w:rFonts w:ascii="Arial Narrow" w:eastAsia="TimesNewRoman" w:hAnsi="Arial Narrow"/>
                <w:sz w:val="20"/>
                <w:highlight w:val="black"/>
              </w:rPr>
            </w:pPr>
            <w:r>
              <w:rPr>
                <w:rFonts w:ascii="Arial Narrow" w:eastAsia="TimesNewRoman" w:hAnsi="Arial Narrow"/>
                <w:noProof/>
                <w:color w:val="000000"/>
                <w:sz w:val="20"/>
                <w:highlight w:val="black"/>
              </w:rPr>
              <w:t>''''''''''''''' '''''''''''''</w:t>
            </w:r>
          </w:p>
        </w:tc>
      </w:tr>
    </w:tbl>
    <w:p w:rsidR="007578FB" w:rsidRDefault="00A00353" w:rsidP="007578FB">
      <w:pPr>
        <w:pStyle w:val="TableFooter"/>
        <w:keepNext/>
        <w:ind w:left="720"/>
      </w:pPr>
      <w:r w:rsidRPr="005B60F0">
        <w:t>CI = confidence interval;</w:t>
      </w:r>
      <w:r w:rsidRPr="005B60F0">
        <w:rPr>
          <w:i/>
          <w:iCs/>
        </w:rPr>
        <w:t xml:space="preserve"> n </w:t>
      </w:r>
      <w:r w:rsidRPr="005B60F0">
        <w:t>= number with event;</w:t>
      </w:r>
      <w:r w:rsidRPr="005B60F0">
        <w:rPr>
          <w:i/>
          <w:iCs/>
        </w:rPr>
        <w:t xml:space="preserve"> N </w:t>
      </w:r>
      <w:r w:rsidRPr="005B60F0">
        <w:t xml:space="preserve">= number in group; RR = relative </w:t>
      </w:r>
      <w:r w:rsidR="00AA2AFC" w:rsidRPr="005B60F0">
        <w:t xml:space="preserve">risk. </w:t>
      </w:r>
      <w:proofErr w:type="gramStart"/>
      <w:r w:rsidRPr="005B60F0">
        <w:rPr>
          <w:b/>
          <w:bCs/>
        </w:rPr>
        <w:t>a</w:t>
      </w:r>
      <w:proofErr w:type="gramEnd"/>
      <w:r w:rsidRPr="005B60F0">
        <w:t xml:space="preserve"> pooled using the random effects model</w:t>
      </w:r>
      <w:r w:rsidR="007578FB">
        <w:t xml:space="preserve"> </w:t>
      </w:r>
    </w:p>
    <w:p w:rsidR="00A00353" w:rsidRPr="005B60F0" w:rsidRDefault="00A00353" w:rsidP="007578FB">
      <w:pPr>
        <w:pStyle w:val="TableFooter"/>
        <w:keepNext/>
        <w:ind w:left="720"/>
      </w:pPr>
      <w:r w:rsidRPr="005B60F0">
        <w:t>Source: Table B.6.3, p.98 in re-submission</w:t>
      </w:r>
    </w:p>
    <w:p w:rsidR="00A00353" w:rsidRPr="005B60F0" w:rsidRDefault="00A00353" w:rsidP="00A00353">
      <w:pPr>
        <w:pStyle w:val="TableFooter"/>
      </w:pPr>
    </w:p>
    <w:p w:rsidR="00C341FB" w:rsidRPr="00063F4F" w:rsidRDefault="002B05BB" w:rsidP="002B05BB">
      <w:pPr>
        <w:pStyle w:val="ListParagraph"/>
        <w:widowControl/>
        <w:numPr>
          <w:ilvl w:val="1"/>
          <w:numId w:val="5"/>
        </w:numPr>
      </w:pPr>
      <w:r w:rsidRPr="00063F4F">
        <w:t xml:space="preserve">The resubmission claims that overall, </w:t>
      </w:r>
      <w:proofErr w:type="spellStart"/>
      <w:r w:rsidRPr="00063F4F">
        <w:t>vedolizumab</w:t>
      </w:r>
      <w:proofErr w:type="spellEnd"/>
      <w:r w:rsidRPr="00063F4F">
        <w:t xml:space="preserve"> was non-inferior compared to infliximab in terms of clinical remission and clinical response in the induction and maintenance phases.  The evaluation considered this claim is generally supported, however, not</w:t>
      </w:r>
      <w:r w:rsidR="00FE46DB">
        <w:t>ing</w:t>
      </w:r>
      <w:r w:rsidRPr="00063F4F">
        <w:t xml:space="preserve"> that for ‘clinical remission’ and ‘clinical response’ in the induction phase there was a non-significant trend towards </w:t>
      </w:r>
      <w:proofErr w:type="spellStart"/>
      <w:r w:rsidRPr="00063F4F">
        <w:t>vedolizumab</w:t>
      </w:r>
      <w:proofErr w:type="spellEnd"/>
      <w:r w:rsidRPr="00063F4F">
        <w:t xml:space="preserve"> being inferior.  The PSCR disagreed and maintained that the indirect comparisons demonstrate that </w:t>
      </w:r>
      <w:proofErr w:type="spellStart"/>
      <w:r w:rsidRPr="00063F4F">
        <w:t>vedolizumab</w:t>
      </w:r>
      <w:proofErr w:type="spellEnd"/>
      <w:r w:rsidRPr="00063F4F">
        <w:t xml:space="preserve"> is statistically non-inferior to infliximab for all patient relevant outcomes, including clinical remission and clinical response for both ind</w:t>
      </w:r>
      <w:r w:rsidR="0080700D" w:rsidRPr="00063F4F">
        <w:t xml:space="preserve">uction and maintenance phases. </w:t>
      </w:r>
      <w:r w:rsidRPr="00063F4F">
        <w:t>The ESC</w:t>
      </w:r>
      <w:r w:rsidR="0080700D" w:rsidRPr="00063F4F">
        <w:t xml:space="preserve"> agreed with the evaluation and considered that the</w:t>
      </w:r>
      <w:r w:rsidRPr="00063F4F">
        <w:t xml:space="preserve"> point estimate</w:t>
      </w:r>
      <w:r w:rsidR="0080700D" w:rsidRPr="00063F4F">
        <w:t>s</w:t>
      </w:r>
      <w:r w:rsidRPr="00063F4F">
        <w:t xml:space="preserve"> </w:t>
      </w:r>
      <w:r w:rsidR="0080700D" w:rsidRPr="00063F4F">
        <w:t>consistently</w:t>
      </w:r>
      <w:r w:rsidR="0038550E" w:rsidRPr="00063F4F">
        <w:t xml:space="preserve"> favour </w:t>
      </w:r>
      <w:r w:rsidR="0080700D" w:rsidRPr="00063F4F">
        <w:t>the comparator</w:t>
      </w:r>
      <w:r w:rsidR="00235F41" w:rsidRPr="00063F4F">
        <w:t>, but</w:t>
      </w:r>
      <w:r w:rsidR="000B6A35" w:rsidRPr="00063F4F">
        <w:t xml:space="preserve"> with wide</w:t>
      </w:r>
      <w:r w:rsidRPr="00063F4F">
        <w:t xml:space="preserve"> confidence intervals</w:t>
      </w:r>
      <w:r w:rsidR="000B6A35" w:rsidRPr="00063F4F">
        <w:t>.</w:t>
      </w:r>
      <w:r w:rsidRPr="00063F4F">
        <w:t xml:space="preserve">  The ESC </w:t>
      </w:r>
      <w:r w:rsidR="00FF0018" w:rsidRPr="00063F4F">
        <w:t>advised that the</w:t>
      </w:r>
      <w:r w:rsidRPr="00063F4F">
        <w:t xml:space="preserve"> PBAC </w:t>
      </w:r>
      <w:r w:rsidR="00FF0018" w:rsidRPr="00063F4F">
        <w:t xml:space="preserve">will need </w:t>
      </w:r>
      <w:r w:rsidRPr="00063F4F">
        <w:t>to decide whether it is concern</w:t>
      </w:r>
      <w:r w:rsidR="001310AE" w:rsidRPr="00063F4F">
        <w:t>ed</w:t>
      </w:r>
      <w:r w:rsidRPr="00063F4F">
        <w:t xml:space="preserve"> about the direction of the point estimate</w:t>
      </w:r>
      <w:r w:rsidR="00FF0018" w:rsidRPr="00063F4F">
        <w:t>s</w:t>
      </w:r>
      <w:r w:rsidRPr="00063F4F">
        <w:t xml:space="preserve"> and not just the </w:t>
      </w:r>
      <w:r w:rsidR="00FF0018" w:rsidRPr="00063F4F">
        <w:t xml:space="preserve">wide </w:t>
      </w:r>
      <w:r w:rsidRPr="00063F4F">
        <w:t xml:space="preserve">confidence intervals. </w:t>
      </w:r>
    </w:p>
    <w:p w:rsidR="00E530E5" w:rsidRPr="00A00353" w:rsidRDefault="00E530E5" w:rsidP="00A00353"/>
    <w:p w:rsidR="0074061D" w:rsidRDefault="0074061D" w:rsidP="00C735B0">
      <w:pPr>
        <w:pStyle w:val="Heading2"/>
      </w:pPr>
      <w:bookmarkStart w:id="15" w:name="_Toc409509990"/>
      <w:r w:rsidRPr="00497F10">
        <w:t>Comparative harms</w:t>
      </w:r>
      <w:bookmarkEnd w:id="15"/>
    </w:p>
    <w:p w:rsidR="00D11160" w:rsidRPr="00D11160" w:rsidRDefault="00D11160" w:rsidP="00D11160"/>
    <w:p w:rsidR="00DD44F9" w:rsidRPr="00063F4F" w:rsidRDefault="0074061D" w:rsidP="00560BD0">
      <w:pPr>
        <w:pStyle w:val="ListParagraph"/>
        <w:widowControl/>
        <w:numPr>
          <w:ilvl w:val="1"/>
          <w:numId w:val="5"/>
        </w:numPr>
        <w:rPr>
          <w:szCs w:val="22"/>
        </w:rPr>
      </w:pPr>
      <w:r w:rsidRPr="00063F4F">
        <w:t xml:space="preserve">There were no significant differences in the relative risks of adverse events, serious adverse events, discontinuations due to adverse events, infectious adverse events and serious adverse events between the </w:t>
      </w:r>
      <w:proofErr w:type="spellStart"/>
      <w:r w:rsidRPr="00063F4F">
        <w:t>vedolizumab</w:t>
      </w:r>
      <w:proofErr w:type="spellEnd"/>
      <w:r w:rsidRPr="00063F4F">
        <w:t xml:space="preserve"> and infliximab trials. </w:t>
      </w:r>
    </w:p>
    <w:p w:rsidR="00DD44F9" w:rsidRPr="00063F4F" w:rsidRDefault="00DD44F9" w:rsidP="00DD44F9">
      <w:pPr>
        <w:pStyle w:val="ListParagraph"/>
        <w:widowControl/>
        <w:rPr>
          <w:szCs w:val="22"/>
        </w:rPr>
      </w:pPr>
    </w:p>
    <w:p w:rsidR="0074061D" w:rsidRPr="00063F4F" w:rsidRDefault="00DD44F9" w:rsidP="00560BD0">
      <w:pPr>
        <w:pStyle w:val="ListParagraph"/>
        <w:widowControl/>
        <w:numPr>
          <w:ilvl w:val="1"/>
          <w:numId w:val="5"/>
        </w:numPr>
        <w:rPr>
          <w:szCs w:val="22"/>
        </w:rPr>
      </w:pPr>
      <w:proofErr w:type="spellStart"/>
      <w:r w:rsidRPr="00063F4F">
        <w:t>Vedolizumab</w:t>
      </w:r>
      <w:proofErr w:type="spellEnd"/>
      <w:r w:rsidRPr="00063F4F">
        <w:t xml:space="preserve"> is first in class drug for this indication.  </w:t>
      </w:r>
      <w:r w:rsidR="0074061D" w:rsidRPr="00063F4F">
        <w:t>The re</w:t>
      </w:r>
      <w:r w:rsidR="0074061D" w:rsidRPr="00063F4F">
        <w:noBreakHyphen/>
        <w:t xml:space="preserve">submission identified the theoretical risk of PML as </w:t>
      </w:r>
      <w:proofErr w:type="spellStart"/>
      <w:r w:rsidR="0074061D" w:rsidRPr="00063F4F">
        <w:t>vedolizumab</w:t>
      </w:r>
      <w:proofErr w:type="spellEnd"/>
      <w:r w:rsidR="0074061D" w:rsidRPr="00063F4F">
        <w:t xml:space="preserve"> is in the same class as </w:t>
      </w:r>
      <w:proofErr w:type="spellStart"/>
      <w:r w:rsidR="0074061D" w:rsidRPr="00063F4F">
        <w:t>natalizumab</w:t>
      </w:r>
      <w:proofErr w:type="spellEnd"/>
      <w:r w:rsidR="0074061D" w:rsidRPr="00063F4F">
        <w:t xml:space="preserve"> - this risk was also identified in the previous submission.</w:t>
      </w:r>
      <w:r w:rsidR="007F1DA7" w:rsidRPr="00063F4F">
        <w:t xml:space="preserve"> </w:t>
      </w:r>
      <w:r w:rsidR="0074061D" w:rsidRPr="00063F4F">
        <w:t xml:space="preserve"> </w:t>
      </w:r>
    </w:p>
    <w:p w:rsidR="00AD4653" w:rsidRPr="00882085" w:rsidRDefault="00AD4653" w:rsidP="0074061D"/>
    <w:p w:rsidR="00D11160" w:rsidRDefault="0074061D" w:rsidP="00C735B0">
      <w:pPr>
        <w:pStyle w:val="Heading2"/>
      </w:pPr>
      <w:bookmarkStart w:id="16" w:name="_Toc409509992"/>
      <w:r w:rsidRPr="00497F10">
        <w:t>Clinical clai</w:t>
      </w:r>
      <w:bookmarkEnd w:id="16"/>
      <w:r w:rsidR="00D11160">
        <w:t>m</w:t>
      </w:r>
    </w:p>
    <w:p w:rsidR="00D11160" w:rsidRPr="00D11160" w:rsidRDefault="00D11160" w:rsidP="00D11160"/>
    <w:p w:rsidR="0074061D" w:rsidRPr="00063F4F" w:rsidRDefault="0074061D" w:rsidP="00560BD0">
      <w:pPr>
        <w:pStyle w:val="ListParagraph"/>
        <w:widowControl/>
        <w:numPr>
          <w:ilvl w:val="1"/>
          <w:numId w:val="5"/>
        </w:numPr>
        <w:rPr>
          <w:szCs w:val="22"/>
        </w:rPr>
      </w:pPr>
      <w:r w:rsidRPr="00063F4F">
        <w:rPr>
          <w:szCs w:val="22"/>
        </w:rPr>
        <w:t xml:space="preserve">The re-submission </w:t>
      </w:r>
      <w:r w:rsidR="006C2512" w:rsidRPr="00063F4F">
        <w:rPr>
          <w:szCs w:val="22"/>
        </w:rPr>
        <w:t>described</w:t>
      </w:r>
      <w:r w:rsidRPr="00063F4F">
        <w:rPr>
          <w:szCs w:val="22"/>
        </w:rPr>
        <w:t xml:space="preserve"> that </w:t>
      </w:r>
      <w:proofErr w:type="spellStart"/>
      <w:r w:rsidRPr="00063F4F">
        <w:t>vedolizumab</w:t>
      </w:r>
      <w:proofErr w:type="spellEnd"/>
      <w:r w:rsidRPr="00063F4F">
        <w:t xml:space="preserve"> </w:t>
      </w:r>
      <w:r w:rsidR="006C2512" w:rsidRPr="00063F4F">
        <w:t>as</w:t>
      </w:r>
      <w:r w:rsidRPr="00063F4F">
        <w:t xml:space="preserve"> non-inferior to infliximab both in terms of efficacy and safety. The</w:t>
      </w:r>
      <w:r w:rsidR="002351A6">
        <w:t xml:space="preserve"> evaluation considered the</w:t>
      </w:r>
      <w:r w:rsidRPr="00063F4F">
        <w:t xml:space="preserve">re are some issues with exchangeability between the </w:t>
      </w:r>
      <w:proofErr w:type="spellStart"/>
      <w:r w:rsidRPr="00063F4F">
        <w:t>vedolizumab</w:t>
      </w:r>
      <w:proofErr w:type="spellEnd"/>
      <w:r w:rsidRPr="00063F4F">
        <w:t xml:space="preserve"> (GEMINI I trial) and infliximab trials (ACT 1, ACT 2 and Probert):</w:t>
      </w:r>
    </w:p>
    <w:p w:rsidR="0074061D" w:rsidRPr="00063F4F" w:rsidRDefault="0074061D" w:rsidP="00560BD0">
      <w:pPr>
        <w:pStyle w:val="ListParagraph"/>
        <w:widowControl/>
        <w:numPr>
          <w:ilvl w:val="0"/>
          <w:numId w:val="7"/>
        </w:numPr>
        <w:ind w:left="1134"/>
        <w:rPr>
          <w:szCs w:val="22"/>
        </w:rPr>
      </w:pPr>
      <w:r w:rsidRPr="00063F4F">
        <w:rPr>
          <w:szCs w:val="22"/>
        </w:rPr>
        <w:lastRenderedPageBreak/>
        <w:t>Some patients in the GEMINI I trial received prior treatment with TNF</w:t>
      </w:r>
      <w:r w:rsidR="009B41B5" w:rsidRPr="00063F4F">
        <w:rPr>
          <w:szCs w:val="22"/>
        </w:rPr>
        <w:t>-</w:t>
      </w:r>
      <w:r w:rsidRPr="00063F4F">
        <w:rPr>
          <w:szCs w:val="22"/>
        </w:rPr>
        <w:t>α antagonists, but this was not allowed in the ACT 1, ACT 2 and Probert trial.</w:t>
      </w:r>
      <w:r w:rsidR="00171548" w:rsidRPr="00063F4F">
        <w:rPr>
          <w:szCs w:val="22"/>
        </w:rPr>
        <w:t xml:space="preserve"> </w:t>
      </w:r>
    </w:p>
    <w:p w:rsidR="0074061D" w:rsidRPr="00063F4F" w:rsidRDefault="0074061D" w:rsidP="00560BD0">
      <w:pPr>
        <w:pStyle w:val="ListParagraph"/>
        <w:widowControl/>
        <w:numPr>
          <w:ilvl w:val="0"/>
          <w:numId w:val="7"/>
        </w:numPr>
        <w:ind w:left="1134"/>
        <w:rPr>
          <w:szCs w:val="22"/>
        </w:rPr>
      </w:pPr>
      <w:r w:rsidRPr="00063F4F">
        <w:rPr>
          <w:szCs w:val="22"/>
        </w:rPr>
        <w:t>The loss to follow up was substantially higher in the ACT 1 and ACT 2 trials compared to GEMINI I.</w:t>
      </w:r>
    </w:p>
    <w:p w:rsidR="0074061D" w:rsidRPr="00063F4F" w:rsidRDefault="0074061D" w:rsidP="00560BD0">
      <w:pPr>
        <w:pStyle w:val="ListParagraph"/>
        <w:widowControl/>
        <w:numPr>
          <w:ilvl w:val="0"/>
          <w:numId w:val="7"/>
        </w:numPr>
        <w:ind w:left="1134"/>
        <w:rPr>
          <w:szCs w:val="22"/>
        </w:rPr>
      </w:pPr>
      <w:r w:rsidRPr="00063F4F">
        <w:rPr>
          <w:szCs w:val="22"/>
        </w:rPr>
        <w:t>The Probert trial used a different definition of clinical remission and had a substantially higher clinical remission event rate for the placebo.</w:t>
      </w:r>
    </w:p>
    <w:p w:rsidR="00D11160" w:rsidRPr="00063F4F" w:rsidRDefault="00171548" w:rsidP="00171548">
      <w:pPr>
        <w:widowControl/>
        <w:ind w:left="774"/>
        <w:rPr>
          <w:szCs w:val="22"/>
        </w:rPr>
      </w:pPr>
      <w:r w:rsidRPr="00063F4F">
        <w:rPr>
          <w:szCs w:val="22"/>
        </w:rPr>
        <w:t xml:space="preserve">The ESC noted that the PSCR </w:t>
      </w:r>
      <w:r w:rsidR="001310AE" w:rsidRPr="00063F4F">
        <w:rPr>
          <w:szCs w:val="22"/>
        </w:rPr>
        <w:t>responded</w:t>
      </w:r>
      <w:r w:rsidRPr="00063F4F">
        <w:rPr>
          <w:szCs w:val="22"/>
        </w:rPr>
        <w:t xml:space="preserve"> </w:t>
      </w:r>
      <w:r w:rsidR="001310AE" w:rsidRPr="00063F4F">
        <w:rPr>
          <w:szCs w:val="22"/>
        </w:rPr>
        <w:t xml:space="preserve">to </w:t>
      </w:r>
      <w:r w:rsidRPr="00063F4F">
        <w:rPr>
          <w:szCs w:val="22"/>
        </w:rPr>
        <w:t>the issue</w:t>
      </w:r>
      <w:r w:rsidR="001310AE" w:rsidRPr="00063F4F">
        <w:rPr>
          <w:szCs w:val="22"/>
        </w:rPr>
        <w:t xml:space="preserve">s raised in the evaluation about </w:t>
      </w:r>
      <w:r w:rsidRPr="00063F4F">
        <w:rPr>
          <w:szCs w:val="22"/>
        </w:rPr>
        <w:t>exchangeability</w:t>
      </w:r>
      <w:r w:rsidR="001310AE" w:rsidRPr="00063F4F">
        <w:rPr>
          <w:szCs w:val="22"/>
        </w:rPr>
        <w:t>,</w:t>
      </w:r>
      <w:r w:rsidRPr="00063F4F">
        <w:rPr>
          <w:szCs w:val="22"/>
        </w:rPr>
        <w:t xml:space="preserve"> but considered that the issues still remain</w:t>
      </w:r>
      <w:r w:rsidR="001310AE" w:rsidRPr="00063F4F">
        <w:rPr>
          <w:szCs w:val="22"/>
        </w:rPr>
        <w:t xml:space="preserve"> unresolved</w:t>
      </w:r>
      <w:r w:rsidRPr="00063F4F">
        <w:rPr>
          <w:szCs w:val="22"/>
        </w:rPr>
        <w:t>.</w:t>
      </w:r>
    </w:p>
    <w:p w:rsidR="00171548" w:rsidRPr="00063F4F" w:rsidRDefault="00171548" w:rsidP="00171548">
      <w:pPr>
        <w:widowControl/>
        <w:rPr>
          <w:szCs w:val="22"/>
        </w:rPr>
      </w:pPr>
    </w:p>
    <w:p w:rsidR="005517A0" w:rsidRDefault="0074061D" w:rsidP="005517A0">
      <w:pPr>
        <w:pStyle w:val="ListParagraph"/>
        <w:widowControl/>
        <w:numPr>
          <w:ilvl w:val="1"/>
          <w:numId w:val="5"/>
        </w:numPr>
      </w:pPr>
      <w:r w:rsidRPr="00063F4F">
        <w:rPr>
          <w:szCs w:val="22"/>
        </w:rPr>
        <w:t xml:space="preserve">Due to the pharmacological class, </w:t>
      </w:r>
      <w:proofErr w:type="spellStart"/>
      <w:r w:rsidRPr="00063F4F">
        <w:rPr>
          <w:szCs w:val="22"/>
        </w:rPr>
        <w:t>vedolizumab</w:t>
      </w:r>
      <w:proofErr w:type="spellEnd"/>
      <w:r w:rsidRPr="00063F4F">
        <w:rPr>
          <w:szCs w:val="22"/>
        </w:rPr>
        <w:t xml:space="preserve"> may be associated with an increased risk of PML. </w:t>
      </w:r>
      <w:r w:rsidR="005154B3">
        <w:rPr>
          <w:szCs w:val="22"/>
        </w:rPr>
        <w:t>P</w:t>
      </w:r>
      <w:r w:rsidRPr="00063F4F">
        <w:rPr>
          <w:szCs w:val="22"/>
        </w:rPr>
        <w:t xml:space="preserve">atients in the key trial (GEMINI I) and the extension study (C13008) were excluded if they were potentially at risk of PML. </w:t>
      </w:r>
      <w:r w:rsidR="009466DB" w:rsidRPr="00063F4F">
        <w:t xml:space="preserve">The PSCR advised that a risk management plan is already in place for addressing/managing the theoretical risk for PML, as part of the TGA’s requirements for registering </w:t>
      </w:r>
      <w:proofErr w:type="spellStart"/>
      <w:r w:rsidR="009466DB" w:rsidRPr="00063F4F">
        <w:t>vedolizumab</w:t>
      </w:r>
      <w:proofErr w:type="spellEnd"/>
      <w:r w:rsidR="009466DB" w:rsidRPr="00063F4F">
        <w:t>.</w:t>
      </w:r>
    </w:p>
    <w:p w:rsidR="005517A0" w:rsidRDefault="005517A0" w:rsidP="005517A0">
      <w:pPr>
        <w:pStyle w:val="ListParagraph"/>
        <w:widowControl/>
      </w:pPr>
    </w:p>
    <w:p w:rsidR="005517A0" w:rsidRDefault="005517A0" w:rsidP="005517A0">
      <w:pPr>
        <w:pStyle w:val="ListParagraph"/>
        <w:widowControl/>
        <w:numPr>
          <w:ilvl w:val="1"/>
          <w:numId w:val="5"/>
        </w:numPr>
      </w:pPr>
      <w:r>
        <w:t xml:space="preserve">The PBAC considered that the claim of non-inferior comparative effectiveness was </w:t>
      </w:r>
      <w:r w:rsidR="00CD18C1">
        <w:t xml:space="preserve">probably </w:t>
      </w:r>
      <w:r>
        <w:t>reasonable.</w:t>
      </w:r>
      <w:r w:rsidR="00CD18C1">
        <w:t xml:space="preserve"> Notwithstanding its preference for direct evidence, the PBAC remained concerned that the submission presented a claim of non-inferiority, in the absence of a pre-specified margin for non-inferiority.</w:t>
      </w:r>
    </w:p>
    <w:p w:rsidR="005517A0" w:rsidRDefault="005517A0" w:rsidP="005517A0">
      <w:pPr>
        <w:widowControl/>
      </w:pPr>
    </w:p>
    <w:p w:rsidR="005517A0" w:rsidRDefault="005517A0" w:rsidP="005517A0">
      <w:pPr>
        <w:pStyle w:val="ListParagraph"/>
        <w:widowControl/>
        <w:numPr>
          <w:ilvl w:val="1"/>
          <w:numId w:val="5"/>
        </w:numPr>
      </w:pPr>
      <w:r>
        <w:t>The PBAC considered that the claim of non-inferior comparative safety was reasonable.</w:t>
      </w:r>
    </w:p>
    <w:p w:rsidR="00907698" w:rsidRPr="00882085" w:rsidRDefault="00907698" w:rsidP="009466DB">
      <w:pPr>
        <w:rPr>
          <w:szCs w:val="22"/>
        </w:rPr>
      </w:pPr>
    </w:p>
    <w:p w:rsidR="0074061D" w:rsidRPr="00C735B0" w:rsidRDefault="0074061D" w:rsidP="00C735B0">
      <w:pPr>
        <w:pStyle w:val="Heading3"/>
      </w:pPr>
      <w:bookmarkStart w:id="17" w:name="_Toc409509993"/>
      <w:r w:rsidRPr="00C735B0">
        <w:t>Economic analysis</w:t>
      </w:r>
      <w:bookmarkEnd w:id="17"/>
      <w:r w:rsidRPr="00C735B0">
        <w:t xml:space="preserve"> </w:t>
      </w:r>
    </w:p>
    <w:p w:rsidR="00D11160" w:rsidRPr="00D11160" w:rsidRDefault="00D11160" w:rsidP="00D11160"/>
    <w:p w:rsidR="0074061D" w:rsidRPr="00F221DC" w:rsidRDefault="0074061D" w:rsidP="00560BD0">
      <w:pPr>
        <w:pStyle w:val="ListParagraph"/>
        <w:widowControl/>
        <w:numPr>
          <w:ilvl w:val="1"/>
          <w:numId w:val="5"/>
        </w:numPr>
        <w:rPr>
          <w:szCs w:val="22"/>
        </w:rPr>
      </w:pPr>
      <w:r w:rsidRPr="00DB0FB4">
        <w:t>The re</w:t>
      </w:r>
      <w:r w:rsidRPr="00DB0FB4">
        <w:noBreakHyphen/>
        <w:t>submission present</w:t>
      </w:r>
      <w:r w:rsidR="003E7989">
        <w:t>ed</w:t>
      </w:r>
      <w:r w:rsidRPr="00DB0FB4">
        <w:t xml:space="preserve"> a cost</w:t>
      </w:r>
      <w:r w:rsidRPr="00DB0FB4">
        <w:noBreakHyphen/>
        <w:t>minimisation analysis to infliximab. The previous submission presented a cost</w:t>
      </w:r>
      <w:r w:rsidRPr="00DB0FB4">
        <w:noBreakHyphen/>
        <w:t xml:space="preserve">effectiveness analysis to standard of care (conventional therapies). </w:t>
      </w:r>
    </w:p>
    <w:p w:rsidR="00F221DC" w:rsidRPr="0006324A" w:rsidRDefault="00F221DC" w:rsidP="00FC2423">
      <w:pPr>
        <w:pStyle w:val="ListParagraph"/>
        <w:widowControl/>
        <w:rPr>
          <w:szCs w:val="22"/>
        </w:rPr>
      </w:pPr>
    </w:p>
    <w:p w:rsidR="0074061D" w:rsidRPr="00D11160" w:rsidRDefault="0074061D" w:rsidP="00560BD0">
      <w:pPr>
        <w:pStyle w:val="ListParagraph"/>
        <w:widowControl/>
        <w:numPr>
          <w:ilvl w:val="1"/>
          <w:numId w:val="5"/>
        </w:numPr>
        <w:rPr>
          <w:szCs w:val="22"/>
        </w:rPr>
      </w:pPr>
      <w:r w:rsidRPr="00F407DA">
        <w:t xml:space="preserve">The </w:t>
      </w:r>
      <w:proofErr w:type="spellStart"/>
      <w:r w:rsidRPr="00F407DA">
        <w:t>equi</w:t>
      </w:r>
      <w:proofErr w:type="spellEnd"/>
      <w:r w:rsidRPr="00F407DA">
        <w:t xml:space="preserve">-effective doses </w:t>
      </w:r>
      <w:r>
        <w:t>were</w:t>
      </w:r>
      <w:r w:rsidRPr="00F407DA">
        <w:t xml:space="preserve"> estimated as</w:t>
      </w:r>
      <w:r>
        <w:t xml:space="preserve">: </w:t>
      </w:r>
      <w:proofErr w:type="spellStart"/>
      <w:r>
        <w:t>vedolizumab</w:t>
      </w:r>
      <w:proofErr w:type="spellEnd"/>
      <w:r>
        <w:t xml:space="preserve"> 300</w:t>
      </w:r>
      <w:r w:rsidRPr="001222FC">
        <w:t xml:space="preserve">mg and </w:t>
      </w:r>
      <w:r>
        <w:t>infliximab 5</w:t>
      </w:r>
      <w:r w:rsidRPr="001222FC">
        <w:t>mg</w:t>
      </w:r>
      <w:r>
        <w:t>/kg</w:t>
      </w:r>
      <w:r w:rsidR="00D93C62">
        <w:t xml:space="preserve">, based on the </w:t>
      </w:r>
      <w:r>
        <w:t>trials</w:t>
      </w:r>
      <w:r w:rsidR="00D93C62">
        <w:t>.</w:t>
      </w:r>
    </w:p>
    <w:p w:rsidR="00D11160" w:rsidRPr="0006324A" w:rsidRDefault="00D11160" w:rsidP="00D11160">
      <w:pPr>
        <w:pStyle w:val="ListParagraph"/>
        <w:widowControl/>
        <w:rPr>
          <w:szCs w:val="22"/>
        </w:rPr>
      </w:pPr>
    </w:p>
    <w:p w:rsidR="0074061D" w:rsidRPr="00554C1E" w:rsidRDefault="0074061D" w:rsidP="00A42D83">
      <w:pPr>
        <w:pStyle w:val="ListParagraph"/>
        <w:widowControl/>
        <w:numPr>
          <w:ilvl w:val="1"/>
          <w:numId w:val="5"/>
        </w:numPr>
      </w:pPr>
      <w:r w:rsidRPr="00554C1E">
        <w:t>At a DPMQ of $</w:t>
      </w:r>
      <w:r w:rsidR="007C6ACB">
        <w:rPr>
          <w:noProof/>
          <w:color w:val="000000"/>
          <w:highlight w:val="black"/>
        </w:rPr>
        <w:t>''''''''''''''''''''''</w:t>
      </w:r>
      <w:r w:rsidRPr="00554C1E">
        <w:t xml:space="preserve"> for public hospital patients and $</w:t>
      </w:r>
      <w:r w:rsidR="007C6ACB">
        <w:rPr>
          <w:noProof/>
          <w:color w:val="000000"/>
          <w:highlight w:val="black"/>
        </w:rPr>
        <w:t>'''''''''''''''''''''</w:t>
      </w:r>
      <w:r w:rsidRPr="00554C1E">
        <w:t xml:space="preserve"> for private hospital patients the net cost impact </w:t>
      </w:r>
      <w:r w:rsidR="00FA4B61" w:rsidRPr="00554C1E">
        <w:t xml:space="preserve">of treating a patient with either infliximab or </w:t>
      </w:r>
      <w:proofErr w:type="spellStart"/>
      <w:r w:rsidR="00FA4B61" w:rsidRPr="00554C1E">
        <w:t>vedolizumab</w:t>
      </w:r>
      <w:proofErr w:type="spellEnd"/>
      <w:r w:rsidR="00FA4B61" w:rsidRPr="00554C1E">
        <w:t xml:space="preserve"> </w:t>
      </w:r>
      <w:r w:rsidRPr="00554C1E">
        <w:t>is nil. This includes additional offsets for administration costs. The re-submission also conducted sensitivity analysis of the inclusion of costs of PML screening (estimated to be $</w:t>
      </w:r>
      <w:r w:rsidR="007C6ACB">
        <w:rPr>
          <w:noProof/>
          <w:color w:val="000000"/>
          <w:highlight w:val="black"/>
        </w:rPr>
        <w:t>'''''''''''''</w:t>
      </w:r>
      <w:r w:rsidRPr="00554C1E">
        <w:t xml:space="preserve"> in addition to including the same MBS item for drug administration as infliximab). </w:t>
      </w:r>
    </w:p>
    <w:p w:rsidR="0074061D" w:rsidRPr="00554C1E" w:rsidRDefault="0074061D" w:rsidP="0074061D">
      <w:pPr>
        <w:pStyle w:val="ListParagraph"/>
        <w:widowControl/>
        <w:rPr>
          <w:szCs w:val="22"/>
        </w:rPr>
      </w:pPr>
    </w:p>
    <w:p w:rsidR="00A42D83" w:rsidRPr="00554C1E" w:rsidRDefault="0074061D" w:rsidP="00C735B0">
      <w:pPr>
        <w:pStyle w:val="Heading2"/>
      </w:pPr>
      <w:bookmarkStart w:id="18" w:name="_Toc409509994"/>
      <w:r w:rsidRPr="00554C1E">
        <w:t>Drug cost/patient/course</w:t>
      </w:r>
      <w:r w:rsidR="00A42D83" w:rsidRPr="00554C1E">
        <w:t>:</w:t>
      </w:r>
      <w:r w:rsidRPr="00554C1E">
        <w:t xml:space="preserve"> </w:t>
      </w:r>
    </w:p>
    <w:p w:rsidR="00A42D83" w:rsidRPr="00554C1E" w:rsidRDefault="00A42D83" w:rsidP="00C735B0">
      <w:pPr>
        <w:pStyle w:val="Heading2"/>
      </w:pPr>
    </w:p>
    <w:p w:rsidR="00AF7473" w:rsidRPr="00063F4F" w:rsidRDefault="00A42D83" w:rsidP="0038550E">
      <w:pPr>
        <w:pStyle w:val="ListParagraph"/>
        <w:widowControl/>
        <w:numPr>
          <w:ilvl w:val="1"/>
          <w:numId w:val="5"/>
        </w:numPr>
      </w:pPr>
      <w:r w:rsidRPr="00554C1E">
        <w:t xml:space="preserve">The drug cost/patient/course was estimated to be </w:t>
      </w:r>
      <w:r w:rsidR="0074061D" w:rsidRPr="00554C1E">
        <w:t>$</w:t>
      </w:r>
      <w:bookmarkEnd w:id="18"/>
      <w:r w:rsidR="007C6ACB">
        <w:rPr>
          <w:noProof/>
          <w:color w:val="000000"/>
          <w:highlight w:val="black"/>
        </w:rPr>
        <w:t>'''''''''''''''''''''''</w:t>
      </w:r>
      <w:r w:rsidR="0038550E" w:rsidRPr="00554C1E">
        <w:t>.</w:t>
      </w:r>
      <w:r w:rsidR="0038550E" w:rsidRPr="00063F4F">
        <w:t xml:space="preserve"> </w:t>
      </w:r>
      <w:r w:rsidR="0074061D" w:rsidRPr="00063F4F">
        <w:rPr>
          <w:szCs w:val="22"/>
        </w:rPr>
        <w:t xml:space="preserve">This is the weighted average DPMQ </w:t>
      </w:r>
      <w:r w:rsidR="0074061D" w:rsidRPr="00063F4F">
        <w:t>between public and private hospital administration</w:t>
      </w:r>
      <w:r w:rsidR="0074061D" w:rsidRPr="00063F4F">
        <w:rPr>
          <w:szCs w:val="22"/>
        </w:rPr>
        <w:t>. Each vial provides treatment for 8 weeks in the maintenance phase.</w:t>
      </w:r>
      <w:r w:rsidR="0074061D" w:rsidRPr="00063F4F">
        <w:t xml:space="preserve"> The treatment is ongoing. </w:t>
      </w:r>
    </w:p>
    <w:p w:rsidR="00FD4FD4" w:rsidRPr="00AF7473" w:rsidRDefault="00FD4FD4" w:rsidP="00A42D83">
      <w:pPr>
        <w:pStyle w:val="ListParagraph"/>
        <w:widowControl/>
        <w:rPr>
          <w:szCs w:val="22"/>
        </w:rPr>
      </w:pPr>
    </w:p>
    <w:p w:rsidR="0074061D" w:rsidRPr="009174D6" w:rsidRDefault="0074061D" w:rsidP="00C735B0">
      <w:pPr>
        <w:pStyle w:val="Heading2"/>
      </w:pPr>
      <w:bookmarkStart w:id="19" w:name="_Toc409509995"/>
      <w:r w:rsidRPr="009174D6">
        <w:t>Estimated PBS usage &amp; financial implications</w:t>
      </w:r>
      <w:bookmarkEnd w:id="19"/>
    </w:p>
    <w:p w:rsidR="00D11160" w:rsidRPr="00D11160" w:rsidRDefault="00D11160" w:rsidP="00D11160"/>
    <w:p w:rsidR="0074061D" w:rsidRPr="00D83CDA" w:rsidRDefault="0074061D" w:rsidP="00560BD0">
      <w:pPr>
        <w:pStyle w:val="ListParagraph"/>
        <w:widowControl/>
        <w:numPr>
          <w:ilvl w:val="1"/>
          <w:numId w:val="5"/>
        </w:numPr>
        <w:rPr>
          <w:szCs w:val="22"/>
        </w:rPr>
      </w:pPr>
      <w:r>
        <w:t xml:space="preserve">This re-submission </w:t>
      </w:r>
      <w:r w:rsidR="00A674F6">
        <w:t xml:space="preserve">was not </w:t>
      </w:r>
      <w:r>
        <w:t>considered</w:t>
      </w:r>
      <w:r w:rsidRPr="00AF7473">
        <w:rPr>
          <w:szCs w:val="22"/>
        </w:rPr>
        <w:t xml:space="preserve"> by DUSC. The re-submission used an epidemiolog</w:t>
      </w:r>
      <w:r w:rsidR="00B95E09" w:rsidRPr="00AF7473">
        <w:rPr>
          <w:szCs w:val="22"/>
        </w:rPr>
        <w:t>ical</w:t>
      </w:r>
      <w:r w:rsidRPr="00AF7473">
        <w:rPr>
          <w:szCs w:val="22"/>
        </w:rPr>
        <w:t xml:space="preserve"> approach to esti</w:t>
      </w:r>
      <w:r>
        <w:t xml:space="preserve">mate the use of </w:t>
      </w:r>
      <w:proofErr w:type="spellStart"/>
      <w:r>
        <w:t>vedolizumab</w:t>
      </w:r>
      <w:proofErr w:type="spellEnd"/>
      <w:r w:rsidRPr="00AF7473">
        <w:rPr>
          <w:szCs w:val="22"/>
        </w:rPr>
        <w:t>.</w:t>
      </w:r>
      <w:r>
        <w:t xml:space="preserve"> Two scenarios were </w:t>
      </w:r>
      <w:r>
        <w:lastRenderedPageBreak/>
        <w:t xml:space="preserve">modelled: Scenario 1 (infliximab listed) and Scenario 2 (both infliximab and </w:t>
      </w:r>
      <w:proofErr w:type="spellStart"/>
      <w:r>
        <w:t>vedolizumab</w:t>
      </w:r>
      <w:proofErr w:type="spellEnd"/>
      <w:r>
        <w:t xml:space="preserve"> listed). The estimated net cost was based on the difference between Scenario 1 and Scenario 2.</w:t>
      </w:r>
    </w:p>
    <w:p w:rsidR="003E7989" w:rsidRDefault="003E7989" w:rsidP="003E7989">
      <w:pPr>
        <w:widowControl/>
        <w:ind w:left="720"/>
        <w:jc w:val="left"/>
        <w:rPr>
          <w:rStyle w:val="CommentReference"/>
        </w:rPr>
      </w:pPr>
    </w:p>
    <w:p w:rsidR="001E0B21" w:rsidRPr="005B60F0" w:rsidRDefault="001E0B21" w:rsidP="001E0B21">
      <w:pPr>
        <w:keepNext/>
        <w:ind w:left="720"/>
        <w:rPr>
          <w:rStyle w:val="CommentReference"/>
        </w:rPr>
      </w:pPr>
      <w:r w:rsidRPr="005B60F0">
        <w:rPr>
          <w:rStyle w:val="CommentReference"/>
        </w:rPr>
        <w:t xml:space="preserve">Estimated number of prescriptions and authorisations processed by DHS due to the listing of </w:t>
      </w:r>
      <w:proofErr w:type="spellStart"/>
      <w:r w:rsidRPr="005B60F0">
        <w:rPr>
          <w:rStyle w:val="CommentReference"/>
        </w:rPr>
        <w:t>vedolizumab</w:t>
      </w:r>
      <w:proofErr w:type="spellEnd"/>
      <w:r w:rsidRPr="005B60F0">
        <w:rPr>
          <w:rStyle w:val="CommentReference"/>
        </w:rPr>
        <w:t xml:space="preserve"> on the PBS.</w:t>
      </w:r>
    </w:p>
    <w:tbl>
      <w:tblPr>
        <w:tblW w:w="4594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Estimated PBS usage &amp; financial implications"/>
        <w:tblDescription w:val="Year 1 to 5"/>
      </w:tblPr>
      <w:tblGrid>
        <w:gridCol w:w="3545"/>
        <w:gridCol w:w="1133"/>
        <w:gridCol w:w="709"/>
        <w:gridCol w:w="709"/>
        <w:gridCol w:w="708"/>
        <w:gridCol w:w="708"/>
        <w:gridCol w:w="833"/>
      </w:tblGrid>
      <w:tr w:rsidR="001E0B21" w:rsidRPr="005B60F0" w:rsidTr="001E0B21">
        <w:trPr>
          <w:trHeight w:val="255"/>
        </w:trPr>
        <w:tc>
          <w:tcPr>
            <w:tcW w:w="2124" w:type="pct"/>
          </w:tcPr>
          <w:p w:rsidR="001E0B21" w:rsidRPr="005B60F0" w:rsidRDefault="001E0B21" w:rsidP="001E0B21">
            <w:pPr>
              <w:keepNext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679" w:type="pct"/>
          </w:tcPr>
          <w:p w:rsidR="001E0B21" w:rsidRPr="005B60F0" w:rsidRDefault="001E0B21" w:rsidP="001E0B21">
            <w:pPr>
              <w:keepNext/>
              <w:rPr>
                <w:rFonts w:ascii="Arial Narrow" w:hAnsi="Arial Narrow"/>
                <w:b/>
                <w:sz w:val="20"/>
              </w:rPr>
            </w:pPr>
            <w:r w:rsidRPr="005B60F0">
              <w:rPr>
                <w:rFonts w:ascii="Arial Narrow" w:hAnsi="Arial Narrow"/>
                <w:b/>
                <w:sz w:val="20"/>
              </w:rPr>
              <w:t>Current year</w:t>
            </w:r>
          </w:p>
        </w:tc>
        <w:tc>
          <w:tcPr>
            <w:tcW w:w="425" w:type="pct"/>
            <w:noWrap/>
            <w:vAlign w:val="center"/>
          </w:tcPr>
          <w:p w:rsidR="001E0B21" w:rsidRPr="005B60F0" w:rsidRDefault="001E0B21" w:rsidP="001E0B21">
            <w:pPr>
              <w:keepNext/>
              <w:rPr>
                <w:rFonts w:ascii="Arial Narrow" w:hAnsi="Arial Narrow"/>
                <w:b/>
                <w:sz w:val="20"/>
              </w:rPr>
            </w:pPr>
            <w:r w:rsidRPr="005B60F0">
              <w:rPr>
                <w:rFonts w:ascii="Arial Narrow" w:hAnsi="Arial Narrow"/>
                <w:b/>
                <w:sz w:val="20"/>
              </w:rPr>
              <w:t>Year 1</w:t>
            </w:r>
          </w:p>
        </w:tc>
        <w:tc>
          <w:tcPr>
            <w:tcW w:w="425" w:type="pct"/>
            <w:noWrap/>
            <w:vAlign w:val="center"/>
          </w:tcPr>
          <w:p w:rsidR="001E0B21" w:rsidRPr="005B60F0" w:rsidRDefault="001E0B21" w:rsidP="001E0B21">
            <w:pPr>
              <w:keepNext/>
              <w:rPr>
                <w:rFonts w:ascii="Arial Narrow" w:hAnsi="Arial Narrow"/>
                <w:b/>
                <w:sz w:val="20"/>
              </w:rPr>
            </w:pPr>
            <w:r w:rsidRPr="005B60F0">
              <w:rPr>
                <w:rFonts w:ascii="Arial Narrow" w:hAnsi="Arial Narrow"/>
                <w:b/>
                <w:sz w:val="20"/>
              </w:rPr>
              <w:t>Year 2</w:t>
            </w:r>
          </w:p>
        </w:tc>
        <w:tc>
          <w:tcPr>
            <w:tcW w:w="424" w:type="pct"/>
            <w:noWrap/>
            <w:vAlign w:val="center"/>
          </w:tcPr>
          <w:p w:rsidR="001E0B21" w:rsidRPr="005B60F0" w:rsidRDefault="001E0B21" w:rsidP="001E0B21">
            <w:pPr>
              <w:keepNext/>
              <w:rPr>
                <w:rFonts w:ascii="Arial Narrow" w:hAnsi="Arial Narrow"/>
                <w:b/>
                <w:sz w:val="20"/>
              </w:rPr>
            </w:pPr>
            <w:r w:rsidRPr="005B60F0">
              <w:rPr>
                <w:rFonts w:ascii="Arial Narrow" w:hAnsi="Arial Narrow"/>
                <w:b/>
                <w:sz w:val="20"/>
              </w:rPr>
              <w:t>Year 3</w:t>
            </w:r>
          </w:p>
        </w:tc>
        <w:tc>
          <w:tcPr>
            <w:tcW w:w="424" w:type="pct"/>
            <w:noWrap/>
            <w:vAlign w:val="center"/>
          </w:tcPr>
          <w:p w:rsidR="001E0B21" w:rsidRPr="005B60F0" w:rsidRDefault="001E0B21" w:rsidP="001E0B21">
            <w:pPr>
              <w:keepNext/>
              <w:rPr>
                <w:rFonts w:ascii="Arial Narrow" w:hAnsi="Arial Narrow"/>
                <w:b/>
                <w:sz w:val="20"/>
              </w:rPr>
            </w:pPr>
            <w:r w:rsidRPr="005B60F0">
              <w:rPr>
                <w:rFonts w:ascii="Arial Narrow" w:hAnsi="Arial Narrow"/>
                <w:b/>
                <w:sz w:val="20"/>
              </w:rPr>
              <w:t>Year 4</w:t>
            </w:r>
          </w:p>
        </w:tc>
        <w:tc>
          <w:tcPr>
            <w:tcW w:w="499" w:type="pct"/>
            <w:noWrap/>
            <w:vAlign w:val="center"/>
          </w:tcPr>
          <w:p w:rsidR="001E0B21" w:rsidRPr="005B60F0" w:rsidRDefault="001E0B21" w:rsidP="001E0B21">
            <w:pPr>
              <w:keepNext/>
              <w:rPr>
                <w:rFonts w:ascii="Arial Narrow" w:hAnsi="Arial Narrow"/>
                <w:b/>
                <w:sz w:val="20"/>
              </w:rPr>
            </w:pPr>
            <w:r w:rsidRPr="005B60F0">
              <w:rPr>
                <w:rFonts w:ascii="Arial Narrow" w:hAnsi="Arial Narrow"/>
                <w:b/>
                <w:sz w:val="20"/>
              </w:rPr>
              <w:t>Year 5</w:t>
            </w:r>
          </w:p>
        </w:tc>
      </w:tr>
      <w:tr w:rsidR="001E0B21" w:rsidRPr="005B60F0" w:rsidTr="001E0B21">
        <w:trPr>
          <w:trHeight w:val="70"/>
        </w:trPr>
        <w:tc>
          <w:tcPr>
            <w:tcW w:w="5000" w:type="pct"/>
            <w:gridSpan w:val="7"/>
          </w:tcPr>
          <w:p w:rsidR="001E0B21" w:rsidRPr="005B60F0" w:rsidRDefault="001E0B21" w:rsidP="001E0B21">
            <w:pPr>
              <w:rPr>
                <w:rFonts w:ascii="Arial Narrow" w:hAnsi="Arial Narrow"/>
                <w:sz w:val="20"/>
              </w:rPr>
            </w:pPr>
            <w:r w:rsidRPr="005B60F0">
              <w:rPr>
                <w:rFonts w:ascii="Arial Narrow" w:hAnsi="Arial Narrow"/>
                <w:sz w:val="20"/>
              </w:rPr>
              <w:t>Scenario 1: infliximab only</w:t>
            </w:r>
          </w:p>
        </w:tc>
      </w:tr>
      <w:tr w:rsidR="001E0B21" w:rsidRPr="0068433E" w:rsidTr="001E0B21">
        <w:trPr>
          <w:trHeight w:val="70"/>
        </w:trPr>
        <w:tc>
          <w:tcPr>
            <w:tcW w:w="2124" w:type="pct"/>
            <w:hideMark/>
          </w:tcPr>
          <w:p w:rsidR="001E0B21" w:rsidRPr="005B60F0" w:rsidRDefault="001E0B21" w:rsidP="001E0B21">
            <w:pPr>
              <w:rPr>
                <w:rFonts w:ascii="Arial Narrow" w:hAnsi="Arial Narrow"/>
                <w:sz w:val="20"/>
              </w:rPr>
            </w:pPr>
            <w:r w:rsidRPr="005B60F0">
              <w:rPr>
                <w:rFonts w:ascii="Arial Narrow" w:hAnsi="Arial Narrow"/>
                <w:sz w:val="20"/>
              </w:rPr>
              <w:t>Prescriptions processed</w:t>
            </w:r>
          </w:p>
        </w:tc>
        <w:tc>
          <w:tcPr>
            <w:tcW w:w="679" w:type="pct"/>
            <w:vAlign w:val="bottom"/>
          </w:tcPr>
          <w:p w:rsidR="001E0B21" w:rsidRPr="00EE45AE" w:rsidRDefault="001E0B21" w:rsidP="001E0B21">
            <w:pPr>
              <w:rPr>
                <w:rFonts w:ascii="Arial Narrow" w:hAnsi="Arial Narrow"/>
                <w:sz w:val="20"/>
              </w:rPr>
            </w:pPr>
            <w:r w:rsidRPr="00EE45AE">
              <w:rPr>
                <w:rFonts w:ascii="Arial Narrow" w:hAnsi="Arial Narrow"/>
                <w:sz w:val="20"/>
              </w:rPr>
              <w:t>3,194</w:t>
            </w:r>
          </w:p>
        </w:tc>
        <w:tc>
          <w:tcPr>
            <w:tcW w:w="425" w:type="pct"/>
            <w:noWrap/>
            <w:vAlign w:val="bottom"/>
          </w:tcPr>
          <w:p w:rsidR="001E0B21" w:rsidRPr="00EE45AE" w:rsidRDefault="001E0B21" w:rsidP="001E0B21">
            <w:pPr>
              <w:rPr>
                <w:rFonts w:ascii="Arial Narrow" w:hAnsi="Arial Narrow"/>
                <w:sz w:val="20"/>
              </w:rPr>
            </w:pPr>
            <w:r w:rsidRPr="00EE45AE">
              <w:rPr>
                <w:rFonts w:ascii="Arial Narrow" w:hAnsi="Arial Narrow"/>
                <w:sz w:val="20"/>
              </w:rPr>
              <w:t>4,974</w:t>
            </w:r>
          </w:p>
        </w:tc>
        <w:tc>
          <w:tcPr>
            <w:tcW w:w="425" w:type="pct"/>
            <w:noWrap/>
            <w:vAlign w:val="bottom"/>
          </w:tcPr>
          <w:p w:rsidR="001E0B21" w:rsidRPr="00EE45AE" w:rsidRDefault="001E0B21" w:rsidP="001E0B21">
            <w:pPr>
              <w:rPr>
                <w:rFonts w:ascii="Arial Narrow" w:hAnsi="Arial Narrow"/>
                <w:sz w:val="20"/>
              </w:rPr>
            </w:pPr>
            <w:r w:rsidRPr="00EE45AE">
              <w:rPr>
                <w:rFonts w:ascii="Arial Narrow" w:hAnsi="Arial Narrow"/>
                <w:sz w:val="20"/>
              </w:rPr>
              <w:t>5,555</w:t>
            </w:r>
          </w:p>
        </w:tc>
        <w:tc>
          <w:tcPr>
            <w:tcW w:w="424" w:type="pct"/>
            <w:noWrap/>
            <w:vAlign w:val="bottom"/>
          </w:tcPr>
          <w:p w:rsidR="001E0B21" w:rsidRPr="00EE45AE" w:rsidRDefault="001E0B21" w:rsidP="001E0B21">
            <w:pPr>
              <w:rPr>
                <w:rFonts w:ascii="Arial Narrow" w:hAnsi="Arial Narrow"/>
                <w:sz w:val="20"/>
              </w:rPr>
            </w:pPr>
            <w:r w:rsidRPr="00EE45AE">
              <w:rPr>
                <w:rFonts w:ascii="Arial Narrow" w:hAnsi="Arial Narrow"/>
                <w:sz w:val="20"/>
              </w:rPr>
              <w:t>5,691</w:t>
            </w:r>
          </w:p>
        </w:tc>
        <w:tc>
          <w:tcPr>
            <w:tcW w:w="424" w:type="pct"/>
            <w:noWrap/>
            <w:vAlign w:val="bottom"/>
          </w:tcPr>
          <w:p w:rsidR="001E0B21" w:rsidRPr="00EE45AE" w:rsidRDefault="001E0B21" w:rsidP="001E0B21">
            <w:pPr>
              <w:rPr>
                <w:rFonts w:ascii="Arial Narrow" w:hAnsi="Arial Narrow"/>
                <w:sz w:val="20"/>
              </w:rPr>
            </w:pPr>
            <w:r w:rsidRPr="00EE45AE">
              <w:rPr>
                <w:rFonts w:ascii="Arial Narrow" w:hAnsi="Arial Narrow"/>
                <w:sz w:val="20"/>
              </w:rPr>
              <w:t>5,768</w:t>
            </w:r>
          </w:p>
        </w:tc>
        <w:tc>
          <w:tcPr>
            <w:tcW w:w="499" w:type="pct"/>
            <w:noWrap/>
            <w:vAlign w:val="bottom"/>
          </w:tcPr>
          <w:p w:rsidR="001E0B21" w:rsidRPr="00EE45AE" w:rsidRDefault="001E0B21" w:rsidP="001E0B21">
            <w:pPr>
              <w:rPr>
                <w:rFonts w:ascii="Arial Narrow" w:hAnsi="Arial Narrow"/>
                <w:sz w:val="20"/>
              </w:rPr>
            </w:pPr>
            <w:r w:rsidRPr="00EE45AE">
              <w:rPr>
                <w:rFonts w:ascii="Arial Narrow" w:hAnsi="Arial Narrow"/>
                <w:sz w:val="20"/>
              </w:rPr>
              <w:t>5,412</w:t>
            </w:r>
          </w:p>
        </w:tc>
      </w:tr>
      <w:tr w:rsidR="001E0B21" w:rsidRPr="0068433E" w:rsidTr="001E0B21">
        <w:trPr>
          <w:trHeight w:val="70"/>
        </w:trPr>
        <w:tc>
          <w:tcPr>
            <w:tcW w:w="5000" w:type="pct"/>
            <w:gridSpan w:val="7"/>
          </w:tcPr>
          <w:p w:rsidR="001E0B21" w:rsidRPr="0068433E" w:rsidRDefault="001E0B21" w:rsidP="001E0B21">
            <w:pPr>
              <w:rPr>
                <w:rFonts w:ascii="Arial Narrow" w:hAnsi="Arial Narrow"/>
                <w:sz w:val="20"/>
              </w:rPr>
            </w:pPr>
            <w:r w:rsidRPr="0068433E">
              <w:rPr>
                <w:rFonts w:ascii="Arial Narrow" w:hAnsi="Arial Narrow"/>
                <w:sz w:val="20"/>
              </w:rPr>
              <w:t xml:space="preserve">Scenario 2: infliximab and </w:t>
            </w:r>
            <w:proofErr w:type="spellStart"/>
            <w:r w:rsidRPr="0068433E">
              <w:rPr>
                <w:rFonts w:ascii="Arial Narrow" w:hAnsi="Arial Narrow"/>
                <w:sz w:val="20"/>
              </w:rPr>
              <w:t>vedolizumab</w:t>
            </w:r>
            <w:proofErr w:type="spellEnd"/>
          </w:p>
        </w:tc>
      </w:tr>
      <w:tr w:rsidR="001E0B21" w:rsidRPr="0068433E" w:rsidTr="001E0B21">
        <w:trPr>
          <w:trHeight w:val="70"/>
        </w:trPr>
        <w:tc>
          <w:tcPr>
            <w:tcW w:w="2124" w:type="pct"/>
            <w:noWrap/>
          </w:tcPr>
          <w:p w:rsidR="001E0B21" w:rsidRPr="0058383F" w:rsidRDefault="001E0B21" w:rsidP="001E0B21">
            <w:pPr>
              <w:rPr>
                <w:rFonts w:ascii="Arial Narrow" w:hAnsi="Arial Narrow"/>
                <w:sz w:val="20"/>
              </w:rPr>
            </w:pPr>
            <w:r w:rsidRPr="0058383F">
              <w:rPr>
                <w:rFonts w:ascii="Arial Narrow" w:hAnsi="Arial Narrow"/>
                <w:sz w:val="20"/>
              </w:rPr>
              <w:t>Infliximab prescriptions processed</w:t>
            </w:r>
          </w:p>
        </w:tc>
        <w:tc>
          <w:tcPr>
            <w:tcW w:w="679" w:type="pct"/>
            <w:vAlign w:val="bottom"/>
          </w:tcPr>
          <w:p w:rsidR="001E0B21" w:rsidRPr="007C6ACB" w:rsidRDefault="007C6ACB" w:rsidP="001E0B21">
            <w:pPr>
              <w:rPr>
                <w:rFonts w:ascii="Arial Narrow" w:hAnsi="Arial Narrow"/>
                <w:sz w:val="20"/>
                <w:highlight w:val="black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</w:t>
            </w:r>
          </w:p>
        </w:tc>
        <w:tc>
          <w:tcPr>
            <w:tcW w:w="425" w:type="pct"/>
            <w:noWrap/>
            <w:vAlign w:val="bottom"/>
          </w:tcPr>
          <w:p w:rsidR="001E0B21" w:rsidRPr="007C6ACB" w:rsidRDefault="007C6ACB" w:rsidP="001E0B21">
            <w:pPr>
              <w:rPr>
                <w:rFonts w:ascii="Arial Narrow" w:hAnsi="Arial Narrow"/>
                <w:sz w:val="20"/>
                <w:highlight w:val="black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'''''''''''''''</w:t>
            </w:r>
          </w:p>
        </w:tc>
        <w:tc>
          <w:tcPr>
            <w:tcW w:w="425" w:type="pct"/>
            <w:noWrap/>
            <w:vAlign w:val="bottom"/>
          </w:tcPr>
          <w:p w:rsidR="001E0B21" w:rsidRPr="007C6ACB" w:rsidRDefault="007C6ACB" w:rsidP="001E0B21">
            <w:pPr>
              <w:rPr>
                <w:rFonts w:ascii="Arial Narrow" w:hAnsi="Arial Narrow"/>
                <w:sz w:val="20"/>
                <w:highlight w:val="black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</w:t>
            </w:r>
          </w:p>
        </w:tc>
        <w:tc>
          <w:tcPr>
            <w:tcW w:w="424" w:type="pct"/>
            <w:noWrap/>
            <w:vAlign w:val="bottom"/>
          </w:tcPr>
          <w:p w:rsidR="001E0B21" w:rsidRPr="007C6ACB" w:rsidRDefault="007C6ACB" w:rsidP="001E0B21">
            <w:pPr>
              <w:rPr>
                <w:rFonts w:ascii="Arial Narrow" w:hAnsi="Arial Narrow"/>
                <w:sz w:val="20"/>
                <w:highlight w:val="black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</w:t>
            </w:r>
          </w:p>
        </w:tc>
        <w:tc>
          <w:tcPr>
            <w:tcW w:w="424" w:type="pct"/>
            <w:noWrap/>
            <w:vAlign w:val="bottom"/>
          </w:tcPr>
          <w:p w:rsidR="001E0B21" w:rsidRPr="007C6ACB" w:rsidRDefault="007C6ACB" w:rsidP="001E0B21">
            <w:pPr>
              <w:rPr>
                <w:rFonts w:ascii="Arial Narrow" w:hAnsi="Arial Narrow"/>
                <w:sz w:val="20"/>
                <w:highlight w:val="black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</w:t>
            </w:r>
          </w:p>
        </w:tc>
        <w:tc>
          <w:tcPr>
            <w:tcW w:w="499" w:type="pct"/>
            <w:noWrap/>
            <w:vAlign w:val="bottom"/>
          </w:tcPr>
          <w:p w:rsidR="001E0B21" w:rsidRPr="007C6ACB" w:rsidRDefault="007C6ACB" w:rsidP="001E0B21">
            <w:pPr>
              <w:rPr>
                <w:rFonts w:ascii="Arial Narrow" w:hAnsi="Arial Narrow"/>
                <w:sz w:val="20"/>
                <w:highlight w:val="black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</w:t>
            </w:r>
          </w:p>
        </w:tc>
      </w:tr>
      <w:tr w:rsidR="001E0B21" w:rsidRPr="0068433E" w:rsidTr="001E0B21">
        <w:trPr>
          <w:trHeight w:val="70"/>
        </w:trPr>
        <w:tc>
          <w:tcPr>
            <w:tcW w:w="2124" w:type="pct"/>
            <w:noWrap/>
          </w:tcPr>
          <w:p w:rsidR="001E0B21" w:rsidRPr="0068433E" w:rsidRDefault="001E0B21" w:rsidP="001E0B21">
            <w:pPr>
              <w:rPr>
                <w:rFonts w:ascii="Arial Narrow" w:hAnsi="Arial Narrow"/>
                <w:sz w:val="20"/>
              </w:rPr>
            </w:pPr>
            <w:proofErr w:type="spellStart"/>
            <w:r w:rsidRPr="0068433E">
              <w:rPr>
                <w:rFonts w:ascii="Arial Narrow" w:hAnsi="Arial Narrow"/>
                <w:sz w:val="20"/>
              </w:rPr>
              <w:t>Vedolizumab</w:t>
            </w:r>
            <w:proofErr w:type="spellEnd"/>
            <w:r w:rsidRPr="0068433E">
              <w:rPr>
                <w:rFonts w:ascii="Arial Narrow" w:hAnsi="Arial Narrow"/>
                <w:sz w:val="20"/>
              </w:rPr>
              <w:t xml:space="preserve"> prescriptions processed</w:t>
            </w:r>
          </w:p>
        </w:tc>
        <w:tc>
          <w:tcPr>
            <w:tcW w:w="679" w:type="pct"/>
            <w:vAlign w:val="bottom"/>
          </w:tcPr>
          <w:p w:rsidR="001E0B21" w:rsidRPr="007C6ACB" w:rsidRDefault="007C6ACB" w:rsidP="001E0B21">
            <w:pPr>
              <w:rPr>
                <w:rFonts w:ascii="Arial Narrow" w:hAnsi="Arial Narrow"/>
                <w:sz w:val="20"/>
                <w:highlight w:val="black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</w:t>
            </w:r>
          </w:p>
        </w:tc>
        <w:tc>
          <w:tcPr>
            <w:tcW w:w="425" w:type="pct"/>
            <w:noWrap/>
            <w:vAlign w:val="bottom"/>
          </w:tcPr>
          <w:p w:rsidR="001E0B21" w:rsidRPr="007C6ACB" w:rsidRDefault="007C6ACB" w:rsidP="001E0B21">
            <w:pPr>
              <w:rPr>
                <w:rFonts w:ascii="Arial Narrow" w:hAnsi="Arial Narrow"/>
                <w:sz w:val="20"/>
                <w:highlight w:val="black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</w:t>
            </w:r>
          </w:p>
        </w:tc>
        <w:tc>
          <w:tcPr>
            <w:tcW w:w="425" w:type="pct"/>
            <w:noWrap/>
            <w:vAlign w:val="bottom"/>
          </w:tcPr>
          <w:p w:rsidR="001E0B21" w:rsidRPr="007C6ACB" w:rsidRDefault="007C6ACB" w:rsidP="001E0B21">
            <w:pPr>
              <w:rPr>
                <w:rFonts w:ascii="Arial Narrow" w:hAnsi="Arial Narrow"/>
                <w:sz w:val="20"/>
                <w:highlight w:val="black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</w:t>
            </w:r>
          </w:p>
        </w:tc>
        <w:tc>
          <w:tcPr>
            <w:tcW w:w="424" w:type="pct"/>
            <w:noWrap/>
            <w:vAlign w:val="bottom"/>
          </w:tcPr>
          <w:p w:rsidR="001E0B21" w:rsidRPr="007C6ACB" w:rsidRDefault="007C6ACB" w:rsidP="001E0B21">
            <w:pPr>
              <w:rPr>
                <w:rFonts w:ascii="Arial Narrow" w:hAnsi="Arial Narrow"/>
                <w:sz w:val="20"/>
                <w:highlight w:val="black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</w:t>
            </w:r>
          </w:p>
        </w:tc>
        <w:tc>
          <w:tcPr>
            <w:tcW w:w="424" w:type="pct"/>
            <w:noWrap/>
            <w:vAlign w:val="bottom"/>
          </w:tcPr>
          <w:p w:rsidR="001E0B21" w:rsidRPr="007C6ACB" w:rsidRDefault="007C6ACB" w:rsidP="001E0B21">
            <w:pPr>
              <w:rPr>
                <w:rFonts w:ascii="Arial Narrow" w:hAnsi="Arial Narrow"/>
                <w:sz w:val="20"/>
                <w:highlight w:val="black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</w:t>
            </w:r>
          </w:p>
        </w:tc>
        <w:tc>
          <w:tcPr>
            <w:tcW w:w="499" w:type="pct"/>
            <w:noWrap/>
            <w:vAlign w:val="bottom"/>
          </w:tcPr>
          <w:p w:rsidR="001E0B21" w:rsidRPr="007C6ACB" w:rsidRDefault="007C6ACB" w:rsidP="001E0B21">
            <w:pPr>
              <w:rPr>
                <w:rFonts w:ascii="Arial Narrow" w:hAnsi="Arial Narrow"/>
                <w:sz w:val="20"/>
                <w:highlight w:val="black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</w:t>
            </w:r>
          </w:p>
        </w:tc>
      </w:tr>
      <w:tr w:rsidR="001E0B21" w:rsidRPr="0068433E" w:rsidTr="001E0B21">
        <w:trPr>
          <w:trHeight w:val="70"/>
        </w:trPr>
        <w:tc>
          <w:tcPr>
            <w:tcW w:w="2124" w:type="pct"/>
            <w:noWrap/>
          </w:tcPr>
          <w:p w:rsidR="001E0B21" w:rsidRPr="0068433E" w:rsidRDefault="001E0B21" w:rsidP="001E0B21">
            <w:pPr>
              <w:rPr>
                <w:rFonts w:ascii="Arial Narrow" w:hAnsi="Arial Narrow"/>
                <w:sz w:val="20"/>
              </w:rPr>
            </w:pPr>
            <w:r w:rsidRPr="0068433E">
              <w:rPr>
                <w:rFonts w:ascii="Arial Narrow" w:hAnsi="Arial Narrow"/>
                <w:sz w:val="20"/>
              </w:rPr>
              <w:t>Total</w:t>
            </w:r>
          </w:p>
        </w:tc>
        <w:tc>
          <w:tcPr>
            <w:tcW w:w="679" w:type="pct"/>
            <w:vAlign w:val="bottom"/>
          </w:tcPr>
          <w:p w:rsidR="001E0B21" w:rsidRPr="007C6ACB" w:rsidRDefault="007C6ACB" w:rsidP="001E0B21">
            <w:pPr>
              <w:rPr>
                <w:rFonts w:ascii="Arial Narrow" w:hAnsi="Arial Narrow"/>
                <w:sz w:val="20"/>
                <w:highlight w:val="black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</w:t>
            </w:r>
          </w:p>
        </w:tc>
        <w:tc>
          <w:tcPr>
            <w:tcW w:w="425" w:type="pct"/>
            <w:noWrap/>
            <w:vAlign w:val="bottom"/>
          </w:tcPr>
          <w:p w:rsidR="001E0B21" w:rsidRPr="007C6ACB" w:rsidRDefault="007C6ACB" w:rsidP="001E0B21">
            <w:pPr>
              <w:rPr>
                <w:rFonts w:ascii="Arial Narrow" w:hAnsi="Arial Narrow"/>
                <w:sz w:val="20"/>
                <w:highlight w:val="black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</w:t>
            </w:r>
          </w:p>
        </w:tc>
        <w:tc>
          <w:tcPr>
            <w:tcW w:w="425" w:type="pct"/>
            <w:noWrap/>
            <w:vAlign w:val="bottom"/>
          </w:tcPr>
          <w:p w:rsidR="001E0B21" w:rsidRPr="007C6ACB" w:rsidRDefault="007C6ACB" w:rsidP="001E0B21">
            <w:pPr>
              <w:rPr>
                <w:rFonts w:ascii="Arial Narrow" w:hAnsi="Arial Narrow"/>
                <w:sz w:val="20"/>
                <w:highlight w:val="black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</w:t>
            </w:r>
          </w:p>
        </w:tc>
        <w:tc>
          <w:tcPr>
            <w:tcW w:w="424" w:type="pct"/>
            <w:noWrap/>
            <w:vAlign w:val="bottom"/>
          </w:tcPr>
          <w:p w:rsidR="001E0B21" w:rsidRPr="007C6ACB" w:rsidRDefault="007C6ACB" w:rsidP="001E0B21">
            <w:pPr>
              <w:rPr>
                <w:rFonts w:ascii="Arial Narrow" w:hAnsi="Arial Narrow"/>
                <w:sz w:val="20"/>
                <w:highlight w:val="black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'''''''''''''''</w:t>
            </w:r>
          </w:p>
        </w:tc>
        <w:tc>
          <w:tcPr>
            <w:tcW w:w="424" w:type="pct"/>
            <w:noWrap/>
            <w:vAlign w:val="bottom"/>
          </w:tcPr>
          <w:p w:rsidR="001E0B21" w:rsidRPr="007C6ACB" w:rsidRDefault="007C6ACB" w:rsidP="001E0B21">
            <w:pPr>
              <w:rPr>
                <w:rFonts w:ascii="Arial Narrow" w:hAnsi="Arial Narrow"/>
                <w:sz w:val="20"/>
                <w:highlight w:val="black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</w:t>
            </w:r>
          </w:p>
        </w:tc>
        <w:tc>
          <w:tcPr>
            <w:tcW w:w="499" w:type="pct"/>
            <w:noWrap/>
            <w:vAlign w:val="bottom"/>
          </w:tcPr>
          <w:p w:rsidR="001E0B21" w:rsidRPr="007C6ACB" w:rsidRDefault="007C6ACB" w:rsidP="001E0B21">
            <w:pPr>
              <w:rPr>
                <w:rFonts w:ascii="Arial Narrow" w:hAnsi="Arial Narrow"/>
                <w:sz w:val="20"/>
                <w:highlight w:val="black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</w:t>
            </w:r>
          </w:p>
        </w:tc>
      </w:tr>
      <w:tr w:rsidR="001E0B21" w:rsidRPr="0068433E" w:rsidTr="001E0B21">
        <w:trPr>
          <w:trHeight w:val="70"/>
        </w:trPr>
        <w:tc>
          <w:tcPr>
            <w:tcW w:w="2124" w:type="pct"/>
            <w:noWrap/>
          </w:tcPr>
          <w:p w:rsidR="001E0B21" w:rsidRPr="0068433E" w:rsidRDefault="001E0B21" w:rsidP="001E0B21">
            <w:pPr>
              <w:rPr>
                <w:rFonts w:ascii="Arial Narrow" w:hAnsi="Arial Narrow"/>
                <w:sz w:val="20"/>
              </w:rPr>
            </w:pPr>
            <w:r w:rsidRPr="0068433E">
              <w:rPr>
                <w:rFonts w:ascii="Arial Narrow" w:hAnsi="Arial Narrow"/>
                <w:sz w:val="20"/>
              </w:rPr>
              <w:t>Change in number of authorisations</w:t>
            </w:r>
          </w:p>
        </w:tc>
        <w:tc>
          <w:tcPr>
            <w:tcW w:w="679" w:type="pct"/>
            <w:vAlign w:val="bottom"/>
          </w:tcPr>
          <w:p w:rsidR="001E0B21" w:rsidRPr="007C6ACB" w:rsidRDefault="007C6ACB" w:rsidP="001E0B21">
            <w:pPr>
              <w:rPr>
                <w:rFonts w:ascii="Arial Narrow" w:hAnsi="Arial Narrow"/>
                <w:sz w:val="20"/>
                <w:highlight w:val="black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</w:t>
            </w:r>
          </w:p>
        </w:tc>
        <w:tc>
          <w:tcPr>
            <w:tcW w:w="425" w:type="pct"/>
            <w:noWrap/>
            <w:vAlign w:val="bottom"/>
          </w:tcPr>
          <w:p w:rsidR="001E0B21" w:rsidRPr="007C6ACB" w:rsidRDefault="007C6ACB" w:rsidP="001E0B21">
            <w:pPr>
              <w:rPr>
                <w:rFonts w:ascii="Arial Narrow" w:hAnsi="Arial Narrow"/>
                <w:sz w:val="20"/>
                <w:highlight w:val="black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</w:t>
            </w:r>
          </w:p>
        </w:tc>
        <w:tc>
          <w:tcPr>
            <w:tcW w:w="425" w:type="pct"/>
            <w:noWrap/>
            <w:vAlign w:val="bottom"/>
          </w:tcPr>
          <w:p w:rsidR="001E0B21" w:rsidRPr="007C6ACB" w:rsidRDefault="007C6ACB" w:rsidP="001E0B21">
            <w:pPr>
              <w:rPr>
                <w:rFonts w:ascii="Arial Narrow" w:hAnsi="Arial Narrow"/>
                <w:sz w:val="20"/>
                <w:highlight w:val="black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</w:t>
            </w:r>
          </w:p>
        </w:tc>
        <w:tc>
          <w:tcPr>
            <w:tcW w:w="424" w:type="pct"/>
            <w:noWrap/>
            <w:vAlign w:val="bottom"/>
          </w:tcPr>
          <w:p w:rsidR="001E0B21" w:rsidRPr="007C6ACB" w:rsidRDefault="007C6ACB" w:rsidP="001E0B21">
            <w:pPr>
              <w:rPr>
                <w:rFonts w:ascii="Arial Narrow" w:hAnsi="Arial Narrow"/>
                <w:sz w:val="20"/>
                <w:highlight w:val="black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</w:t>
            </w:r>
          </w:p>
        </w:tc>
        <w:tc>
          <w:tcPr>
            <w:tcW w:w="424" w:type="pct"/>
            <w:noWrap/>
            <w:vAlign w:val="bottom"/>
          </w:tcPr>
          <w:p w:rsidR="001E0B21" w:rsidRPr="007C6ACB" w:rsidRDefault="007C6ACB" w:rsidP="001E0B21">
            <w:pPr>
              <w:rPr>
                <w:rFonts w:ascii="Arial Narrow" w:hAnsi="Arial Narrow"/>
                <w:sz w:val="20"/>
                <w:highlight w:val="black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</w:t>
            </w:r>
          </w:p>
        </w:tc>
        <w:tc>
          <w:tcPr>
            <w:tcW w:w="499" w:type="pct"/>
            <w:noWrap/>
            <w:vAlign w:val="bottom"/>
          </w:tcPr>
          <w:p w:rsidR="001E0B21" w:rsidRPr="007C6ACB" w:rsidRDefault="007C6ACB" w:rsidP="001E0B21">
            <w:pPr>
              <w:rPr>
                <w:rFonts w:ascii="Arial Narrow" w:hAnsi="Arial Narrow"/>
                <w:sz w:val="20"/>
                <w:highlight w:val="black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</w:t>
            </w:r>
          </w:p>
        </w:tc>
      </w:tr>
    </w:tbl>
    <w:p w:rsidR="001E0B21" w:rsidRDefault="001E0B21" w:rsidP="001E0B21">
      <w:pPr>
        <w:pStyle w:val="TableFooter"/>
        <w:ind w:firstLine="720"/>
      </w:pPr>
      <w:r>
        <w:t>Source: Table E.5.1, p.</w:t>
      </w:r>
      <w:r w:rsidR="000F70A9">
        <w:t>45</w:t>
      </w:r>
      <w:r>
        <w:t xml:space="preserve"> of the </w:t>
      </w:r>
      <w:r w:rsidR="000F70A9">
        <w:t>commentary</w:t>
      </w:r>
      <w:r>
        <w:t xml:space="preserve"> </w:t>
      </w:r>
    </w:p>
    <w:p w:rsidR="001E0B21" w:rsidRDefault="001E0B21" w:rsidP="00D933FA">
      <w:pPr>
        <w:widowControl/>
        <w:jc w:val="left"/>
        <w:rPr>
          <w:rStyle w:val="CommentReference"/>
        </w:rPr>
      </w:pPr>
    </w:p>
    <w:p w:rsidR="00F938D8" w:rsidRPr="00F938D8" w:rsidRDefault="00F938D8" w:rsidP="00F938D8">
      <w:pPr>
        <w:pStyle w:val="ListParagraph"/>
        <w:widowControl/>
        <w:numPr>
          <w:ilvl w:val="1"/>
          <w:numId w:val="5"/>
        </w:numPr>
        <w:rPr>
          <w:rStyle w:val="CommentReference"/>
          <w:rFonts w:ascii="Arial" w:hAnsi="Arial"/>
          <w:b w:val="0"/>
          <w:sz w:val="22"/>
        </w:rPr>
      </w:pPr>
      <w:r w:rsidRPr="00F938D8">
        <w:rPr>
          <w:rStyle w:val="CommentReference"/>
          <w:rFonts w:ascii="Arial" w:hAnsi="Arial"/>
          <w:b w:val="0"/>
          <w:sz w:val="22"/>
        </w:rPr>
        <w:t xml:space="preserve">The redacted table above shows the estimated total net patient numbers are less than 10,000 over the first five years of listing. </w:t>
      </w:r>
    </w:p>
    <w:p w:rsidR="00F938D8" w:rsidRDefault="00F938D8" w:rsidP="00D933FA">
      <w:pPr>
        <w:widowControl/>
        <w:jc w:val="left"/>
        <w:rPr>
          <w:rStyle w:val="CommentReference"/>
        </w:rPr>
      </w:pPr>
    </w:p>
    <w:p w:rsidR="001E0B21" w:rsidRPr="005B60F0" w:rsidRDefault="001E0B21" w:rsidP="001E0B21">
      <w:pPr>
        <w:keepNext/>
        <w:ind w:firstLine="720"/>
        <w:rPr>
          <w:rStyle w:val="CommentReference"/>
        </w:rPr>
      </w:pPr>
      <w:r w:rsidRPr="005B60F0">
        <w:rPr>
          <w:rStyle w:val="CommentReference"/>
        </w:rPr>
        <w:t xml:space="preserve">Net financial implications of </w:t>
      </w:r>
      <w:proofErr w:type="spellStart"/>
      <w:r w:rsidRPr="005B60F0">
        <w:rPr>
          <w:rStyle w:val="CommentReference"/>
        </w:rPr>
        <w:t>vedolizumab</w:t>
      </w:r>
      <w:proofErr w:type="spellEnd"/>
      <w:r w:rsidRPr="005B60F0">
        <w:rPr>
          <w:rStyle w:val="CommentReference"/>
        </w:rPr>
        <w:t xml:space="preserve"> of Government health budgets</w:t>
      </w:r>
    </w:p>
    <w:tbl>
      <w:tblPr>
        <w:tblW w:w="4594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Net financial implications of vedolizumab of Government health budgets"/>
        <w:tblDescription w:val="Year 1 to 5"/>
      </w:tblPr>
      <w:tblGrid>
        <w:gridCol w:w="3402"/>
        <w:gridCol w:w="991"/>
        <w:gridCol w:w="995"/>
        <w:gridCol w:w="991"/>
        <w:gridCol w:w="991"/>
        <w:gridCol w:w="975"/>
      </w:tblGrid>
      <w:tr w:rsidR="001E0B21" w:rsidRPr="005B60F0" w:rsidTr="001E0B21">
        <w:trPr>
          <w:trHeight w:val="255"/>
        </w:trPr>
        <w:tc>
          <w:tcPr>
            <w:tcW w:w="2038" w:type="pct"/>
            <w:noWrap/>
            <w:hideMark/>
          </w:tcPr>
          <w:p w:rsidR="001E0B21" w:rsidRPr="005B60F0" w:rsidRDefault="001E0B21" w:rsidP="001E0B21">
            <w:pPr>
              <w:keepNext/>
              <w:rPr>
                <w:rFonts w:ascii="Arial Narrow" w:hAnsi="Arial Narrow"/>
                <w:b/>
                <w:sz w:val="20"/>
              </w:rPr>
            </w:pPr>
            <w:r w:rsidRPr="005B60F0">
              <w:rPr>
                <w:rFonts w:ascii="Arial Narrow" w:hAnsi="Arial Narrow"/>
                <w:b/>
                <w:sz w:val="20"/>
              </w:rPr>
              <w:t> </w:t>
            </w:r>
          </w:p>
        </w:tc>
        <w:tc>
          <w:tcPr>
            <w:tcW w:w="594" w:type="pct"/>
            <w:noWrap/>
            <w:vAlign w:val="center"/>
            <w:hideMark/>
          </w:tcPr>
          <w:p w:rsidR="001E0B21" w:rsidRPr="005B60F0" w:rsidRDefault="001E0B21" w:rsidP="001E0B21">
            <w:pPr>
              <w:keepNext/>
              <w:rPr>
                <w:rFonts w:ascii="Arial Narrow" w:hAnsi="Arial Narrow"/>
                <w:b/>
                <w:sz w:val="20"/>
              </w:rPr>
            </w:pPr>
            <w:r w:rsidRPr="005B60F0">
              <w:rPr>
                <w:rFonts w:ascii="Arial Narrow" w:hAnsi="Arial Narrow"/>
                <w:b/>
                <w:sz w:val="20"/>
              </w:rPr>
              <w:t>Year 1</w:t>
            </w:r>
          </w:p>
        </w:tc>
        <w:tc>
          <w:tcPr>
            <w:tcW w:w="596" w:type="pct"/>
            <w:noWrap/>
            <w:vAlign w:val="center"/>
            <w:hideMark/>
          </w:tcPr>
          <w:p w:rsidR="001E0B21" w:rsidRPr="005B60F0" w:rsidRDefault="001E0B21" w:rsidP="001E0B21">
            <w:pPr>
              <w:keepNext/>
              <w:rPr>
                <w:rFonts w:ascii="Arial Narrow" w:hAnsi="Arial Narrow"/>
                <w:b/>
                <w:sz w:val="20"/>
              </w:rPr>
            </w:pPr>
            <w:r w:rsidRPr="005B60F0">
              <w:rPr>
                <w:rFonts w:ascii="Arial Narrow" w:hAnsi="Arial Narrow"/>
                <w:b/>
                <w:sz w:val="20"/>
              </w:rPr>
              <w:t>Year 2</w:t>
            </w:r>
          </w:p>
        </w:tc>
        <w:tc>
          <w:tcPr>
            <w:tcW w:w="594" w:type="pct"/>
            <w:noWrap/>
            <w:vAlign w:val="center"/>
            <w:hideMark/>
          </w:tcPr>
          <w:p w:rsidR="001E0B21" w:rsidRPr="005B60F0" w:rsidRDefault="001E0B21" w:rsidP="001E0B21">
            <w:pPr>
              <w:keepNext/>
              <w:rPr>
                <w:rFonts w:ascii="Arial Narrow" w:hAnsi="Arial Narrow"/>
                <w:b/>
                <w:sz w:val="20"/>
              </w:rPr>
            </w:pPr>
            <w:r w:rsidRPr="005B60F0">
              <w:rPr>
                <w:rFonts w:ascii="Arial Narrow" w:hAnsi="Arial Narrow"/>
                <w:b/>
                <w:sz w:val="20"/>
              </w:rPr>
              <w:t>Year 3</w:t>
            </w:r>
          </w:p>
        </w:tc>
        <w:tc>
          <w:tcPr>
            <w:tcW w:w="594" w:type="pct"/>
            <w:noWrap/>
            <w:vAlign w:val="center"/>
            <w:hideMark/>
          </w:tcPr>
          <w:p w:rsidR="001E0B21" w:rsidRPr="005B60F0" w:rsidRDefault="001E0B21" w:rsidP="001E0B21">
            <w:pPr>
              <w:keepNext/>
              <w:rPr>
                <w:rFonts w:ascii="Arial Narrow" w:hAnsi="Arial Narrow"/>
                <w:b/>
                <w:sz w:val="20"/>
              </w:rPr>
            </w:pPr>
            <w:r w:rsidRPr="005B60F0">
              <w:rPr>
                <w:rFonts w:ascii="Arial Narrow" w:hAnsi="Arial Narrow"/>
                <w:b/>
                <w:sz w:val="20"/>
              </w:rPr>
              <w:t>Year 4</w:t>
            </w:r>
          </w:p>
        </w:tc>
        <w:tc>
          <w:tcPr>
            <w:tcW w:w="584" w:type="pct"/>
            <w:noWrap/>
            <w:vAlign w:val="center"/>
            <w:hideMark/>
          </w:tcPr>
          <w:p w:rsidR="001E0B21" w:rsidRPr="005B60F0" w:rsidRDefault="001E0B21" w:rsidP="001E0B21">
            <w:pPr>
              <w:keepNext/>
              <w:rPr>
                <w:rFonts w:ascii="Arial Narrow" w:hAnsi="Arial Narrow"/>
                <w:b/>
                <w:sz w:val="20"/>
              </w:rPr>
            </w:pPr>
            <w:r w:rsidRPr="005B60F0">
              <w:rPr>
                <w:rFonts w:ascii="Arial Narrow" w:hAnsi="Arial Narrow"/>
                <w:b/>
                <w:sz w:val="20"/>
              </w:rPr>
              <w:t>Year 5</w:t>
            </w:r>
          </w:p>
        </w:tc>
      </w:tr>
      <w:tr w:rsidR="001E0B21" w:rsidRPr="005B60F0" w:rsidTr="001E0B21">
        <w:trPr>
          <w:trHeight w:val="70"/>
        </w:trPr>
        <w:tc>
          <w:tcPr>
            <w:tcW w:w="2038" w:type="pct"/>
            <w:hideMark/>
          </w:tcPr>
          <w:p w:rsidR="001E0B21" w:rsidRPr="005B60F0" w:rsidRDefault="001E0B21" w:rsidP="001E0B21">
            <w:pPr>
              <w:jc w:val="left"/>
              <w:rPr>
                <w:rFonts w:ascii="Arial Narrow" w:hAnsi="Arial Narrow"/>
                <w:bCs/>
                <w:sz w:val="20"/>
              </w:rPr>
            </w:pPr>
            <w:r w:rsidRPr="005B60F0">
              <w:rPr>
                <w:rFonts w:ascii="Arial Narrow" w:hAnsi="Arial Narrow"/>
                <w:bCs/>
                <w:sz w:val="20"/>
              </w:rPr>
              <w:t xml:space="preserve">Overall Net Cost to </w:t>
            </w:r>
            <w:proofErr w:type="spellStart"/>
            <w:r w:rsidRPr="005B60F0">
              <w:rPr>
                <w:rFonts w:ascii="Arial Narrow" w:hAnsi="Arial Narrow"/>
                <w:bCs/>
                <w:sz w:val="20"/>
              </w:rPr>
              <w:t>PBS</w:t>
            </w:r>
            <w:r w:rsidRPr="005B60F0">
              <w:rPr>
                <w:rFonts w:ascii="Arial Narrow" w:hAnsi="Arial Narrow"/>
                <w:bCs/>
                <w:sz w:val="20"/>
                <w:vertAlign w:val="superscript"/>
              </w:rPr>
              <w:t>a</w:t>
            </w:r>
            <w:proofErr w:type="spellEnd"/>
          </w:p>
        </w:tc>
        <w:tc>
          <w:tcPr>
            <w:tcW w:w="594" w:type="pct"/>
            <w:noWrap/>
            <w:vAlign w:val="center"/>
          </w:tcPr>
          <w:p w:rsidR="001E0B21" w:rsidRPr="005B60F0" w:rsidRDefault="001E0B21" w:rsidP="001E0B21">
            <w:pPr>
              <w:rPr>
                <w:rFonts w:ascii="Arial Narrow" w:hAnsi="Arial Narrow"/>
                <w:sz w:val="20"/>
              </w:rPr>
            </w:pPr>
            <w:r w:rsidRPr="005B60F0">
              <w:rPr>
                <w:rFonts w:ascii="Arial Narrow" w:hAnsi="Arial Narrow"/>
                <w:sz w:val="20"/>
              </w:rPr>
              <w:t>$</w:t>
            </w:r>
            <w:r w:rsidR="007C6ACB"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'''''''''''''''''''''''</w:t>
            </w:r>
          </w:p>
        </w:tc>
        <w:tc>
          <w:tcPr>
            <w:tcW w:w="596" w:type="pct"/>
            <w:noWrap/>
            <w:vAlign w:val="center"/>
          </w:tcPr>
          <w:p w:rsidR="001E0B21" w:rsidRPr="005B60F0" w:rsidRDefault="001E0B21" w:rsidP="001E0B21">
            <w:pPr>
              <w:rPr>
                <w:rFonts w:ascii="Arial Narrow" w:hAnsi="Arial Narrow"/>
                <w:sz w:val="20"/>
              </w:rPr>
            </w:pPr>
            <w:r w:rsidRPr="005B60F0">
              <w:rPr>
                <w:rFonts w:ascii="Arial Narrow" w:hAnsi="Arial Narrow"/>
                <w:sz w:val="20"/>
              </w:rPr>
              <w:t>$</w:t>
            </w:r>
            <w:r w:rsidR="007C6ACB"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'''''''''''''''''''''''''</w:t>
            </w:r>
          </w:p>
        </w:tc>
        <w:tc>
          <w:tcPr>
            <w:tcW w:w="594" w:type="pct"/>
            <w:noWrap/>
            <w:vAlign w:val="center"/>
          </w:tcPr>
          <w:p w:rsidR="001E0B21" w:rsidRPr="005B60F0" w:rsidRDefault="001E0B21" w:rsidP="001E0B21">
            <w:pPr>
              <w:rPr>
                <w:rFonts w:ascii="Arial Narrow" w:hAnsi="Arial Narrow"/>
                <w:sz w:val="20"/>
              </w:rPr>
            </w:pPr>
            <w:r w:rsidRPr="005B60F0">
              <w:rPr>
                <w:rFonts w:ascii="Arial Narrow" w:hAnsi="Arial Narrow"/>
                <w:sz w:val="20"/>
              </w:rPr>
              <w:t>$</w:t>
            </w:r>
            <w:r w:rsidR="007C6ACB"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'''''''''''''''''''''''</w:t>
            </w:r>
          </w:p>
        </w:tc>
        <w:tc>
          <w:tcPr>
            <w:tcW w:w="594" w:type="pct"/>
            <w:noWrap/>
            <w:vAlign w:val="center"/>
          </w:tcPr>
          <w:p w:rsidR="001E0B21" w:rsidRPr="005B60F0" w:rsidRDefault="001E0B21" w:rsidP="001E0B21">
            <w:pPr>
              <w:rPr>
                <w:rFonts w:ascii="Arial Narrow" w:hAnsi="Arial Narrow"/>
                <w:sz w:val="20"/>
              </w:rPr>
            </w:pPr>
            <w:r w:rsidRPr="005B60F0">
              <w:rPr>
                <w:rFonts w:ascii="Arial Narrow" w:hAnsi="Arial Narrow"/>
                <w:sz w:val="20"/>
              </w:rPr>
              <w:t>$</w:t>
            </w:r>
            <w:r w:rsidR="007C6ACB"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'''''''''''''''''''''''</w:t>
            </w:r>
          </w:p>
        </w:tc>
        <w:tc>
          <w:tcPr>
            <w:tcW w:w="584" w:type="pct"/>
            <w:noWrap/>
            <w:vAlign w:val="center"/>
          </w:tcPr>
          <w:p w:rsidR="001E0B21" w:rsidRPr="005B60F0" w:rsidRDefault="001E0B21" w:rsidP="001E0B21">
            <w:pPr>
              <w:rPr>
                <w:rFonts w:ascii="Arial Narrow" w:hAnsi="Arial Narrow"/>
                <w:sz w:val="20"/>
              </w:rPr>
            </w:pPr>
            <w:r w:rsidRPr="005B60F0">
              <w:rPr>
                <w:rFonts w:ascii="Arial Narrow" w:hAnsi="Arial Narrow"/>
                <w:sz w:val="20"/>
              </w:rPr>
              <w:t>$</w:t>
            </w:r>
            <w:r w:rsidR="007C6ACB"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''''''''''''''''''''''</w:t>
            </w:r>
          </w:p>
        </w:tc>
      </w:tr>
      <w:tr w:rsidR="001E0B21" w:rsidRPr="005B60F0" w:rsidTr="001E0B21">
        <w:trPr>
          <w:trHeight w:val="70"/>
        </w:trPr>
        <w:tc>
          <w:tcPr>
            <w:tcW w:w="2038" w:type="pct"/>
            <w:noWrap/>
          </w:tcPr>
          <w:p w:rsidR="001E0B21" w:rsidRPr="005B60F0" w:rsidRDefault="001E0B21" w:rsidP="001E0B21">
            <w:pPr>
              <w:jc w:val="left"/>
              <w:rPr>
                <w:rFonts w:ascii="Arial Narrow" w:hAnsi="Arial Narrow"/>
                <w:bCs/>
                <w:i/>
                <w:sz w:val="20"/>
              </w:rPr>
            </w:pPr>
            <w:r w:rsidRPr="005B60F0">
              <w:rPr>
                <w:rFonts w:ascii="Arial Narrow" w:hAnsi="Arial Narrow"/>
                <w:bCs/>
                <w:i/>
                <w:sz w:val="20"/>
              </w:rPr>
              <w:t xml:space="preserve">Overall Net Cost to </w:t>
            </w:r>
            <w:proofErr w:type="spellStart"/>
            <w:r w:rsidRPr="005B60F0">
              <w:rPr>
                <w:rFonts w:ascii="Arial Narrow" w:hAnsi="Arial Narrow"/>
                <w:bCs/>
                <w:i/>
                <w:sz w:val="20"/>
              </w:rPr>
              <w:t>PBS</w:t>
            </w:r>
            <w:r w:rsidRPr="005B60F0">
              <w:rPr>
                <w:rFonts w:ascii="Arial Narrow" w:hAnsi="Arial Narrow"/>
                <w:bCs/>
                <w:i/>
                <w:sz w:val="20"/>
                <w:vertAlign w:val="superscript"/>
              </w:rPr>
              <w:t>ab</w:t>
            </w:r>
            <w:proofErr w:type="spellEnd"/>
          </w:p>
        </w:tc>
        <w:tc>
          <w:tcPr>
            <w:tcW w:w="594" w:type="pct"/>
            <w:noWrap/>
          </w:tcPr>
          <w:p w:rsidR="001E0B21" w:rsidRPr="005B60F0" w:rsidRDefault="001E0B21" w:rsidP="001E0B21">
            <w:pPr>
              <w:rPr>
                <w:rFonts w:ascii="Arial Narrow" w:hAnsi="Arial Narrow"/>
                <w:i/>
                <w:sz w:val="20"/>
              </w:rPr>
            </w:pPr>
            <w:r w:rsidRPr="005B60F0">
              <w:rPr>
                <w:rFonts w:ascii="Arial Narrow" w:hAnsi="Arial Narrow"/>
                <w:i/>
                <w:sz w:val="20"/>
              </w:rPr>
              <w:t>$</w:t>
            </w:r>
            <w:r w:rsidR="007C6ACB">
              <w:rPr>
                <w:rFonts w:ascii="Arial Narrow" w:hAnsi="Arial Narrow"/>
                <w:i/>
                <w:noProof/>
                <w:color w:val="000000"/>
                <w:sz w:val="20"/>
                <w:highlight w:val="black"/>
              </w:rPr>
              <w:t>'''''''''''''''''''''''</w:t>
            </w:r>
            <w:r w:rsidRPr="005B60F0">
              <w:rPr>
                <w:rFonts w:ascii="Arial Narrow" w:hAnsi="Arial Narrow"/>
                <w:i/>
                <w:sz w:val="20"/>
              </w:rPr>
              <w:t xml:space="preserve"> </w:t>
            </w:r>
          </w:p>
        </w:tc>
        <w:tc>
          <w:tcPr>
            <w:tcW w:w="596" w:type="pct"/>
            <w:noWrap/>
          </w:tcPr>
          <w:p w:rsidR="001E0B21" w:rsidRPr="005B60F0" w:rsidRDefault="001E0B21" w:rsidP="001E0B21">
            <w:pPr>
              <w:rPr>
                <w:rFonts w:ascii="Arial Narrow" w:hAnsi="Arial Narrow"/>
                <w:i/>
                <w:sz w:val="20"/>
              </w:rPr>
            </w:pPr>
            <w:r w:rsidRPr="005B60F0">
              <w:rPr>
                <w:rFonts w:ascii="Arial Narrow" w:hAnsi="Arial Narrow"/>
                <w:i/>
                <w:sz w:val="20"/>
              </w:rPr>
              <w:t>$</w:t>
            </w:r>
            <w:r w:rsidR="007C6ACB">
              <w:rPr>
                <w:rFonts w:ascii="Arial Narrow" w:hAnsi="Arial Narrow"/>
                <w:i/>
                <w:noProof/>
                <w:color w:val="000000"/>
                <w:sz w:val="20"/>
                <w:highlight w:val="black"/>
              </w:rPr>
              <w:t>''''''''''''''''''''''</w:t>
            </w:r>
            <w:r w:rsidRPr="005B60F0">
              <w:rPr>
                <w:rFonts w:ascii="Arial Narrow" w:hAnsi="Arial Narrow"/>
                <w:i/>
                <w:sz w:val="20"/>
              </w:rPr>
              <w:t xml:space="preserve"> </w:t>
            </w:r>
          </w:p>
        </w:tc>
        <w:tc>
          <w:tcPr>
            <w:tcW w:w="594" w:type="pct"/>
            <w:noWrap/>
          </w:tcPr>
          <w:p w:rsidR="001E0B21" w:rsidRPr="005B60F0" w:rsidRDefault="001E0B21" w:rsidP="001E0B21">
            <w:pPr>
              <w:rPr>
                <w:rFonts w:ascii="Arial Narrow" w:hAnsi="Arial Narrow"/>
                <w:i/>
                <w:sz w:val="20"/>
              </w:rPr>
            </w:pPr>
            <w:r w:rsidRPr="005B60F0">
              <w:rPr>
                <w:rFonts w:ascii="Arial Narrow" w:hAnsi="Arial Narrow"/>
                <w:i/>
                <w:sz w:val="20"/>
              </w:rPr>
              <w:t>$</w:t>
            </w:r>
            <w:r w:rsidR="007C6ACB">
              <w:rPr>
                <w:rFonts w:ascii="Arial Narrow" w:hAnsi="Arial Narrow"/>
                <w:i/>
                <w:noProof/>
                <w:color w:val="000000"/>
                <w:sz w:val="20"/>
                <w:highlight w:val="black"/>
              </w:rPr>
              <w:t>'''''''''''''''''''''</w:t>
            </w:r>
            <w:r w:rsidRPr="005B60F0">
              <w:rPr>
                <w:rFonts w:ascii="Arial Narrow" w:hAnsi="Arial Narrow"/>
                <w:i/>
                <w:sz w:val="20"/>
              </w:rPr>
              <w:t xml:space="preserve"> </w:t>
            </w:r>
          </w:p>
        </w:tc>
        <w:tc>
          <w:tcPr>
            <w:tcW w:w="594" w:type="pct"/>
            <w:noWrap/>
          </w:tcPr>
          <w:p w:rsidR="001E0B21" w:rsidRPr="005B60F0" w:rsidRDefault="001E0B21" w:rsidP="001E0B21">
            <w:pPr>
              <w:rPr>
                <w:rFonts w:ascii="Arial Narrow" w:hAnsi="Arial Narrow"/>
                <w:i/>
                <w:sz w:val="20"/>
              </w:rPr>
            </w:pPr>
            <w:r w:rsidRPr="005B60F0">
              <w:rPr>
                <w:rFonts w:ascii="Arial Narrow" w:hAnsi="Arial Narrow"/>
                <w:i/>
                <w:sz w:val="20"/>
              </w:rPr>
              <w:t>$</w:t>
            </w:r>
            <w:r w:rsidR="007C6ACB">
              <w:rPr>
                <w:rFonts w:ascii="Arial Narrow" w:hAnsi="Arial Narrow"/>
                <w:i/>
                <w:noProof/>
                <w:color w:val="000000"/>
                <w:sz w:val="20"/>
                <w:highlight w:val="black"/>
              </w:rPr>
              <w:t>'''''''''''''''''''''''''</w:t>
            </w:r>
            <w:r w:rsidRPr="005B60F0">
              <w:rPr>
                <w:rFonts w:ascii="Arial Narrow" w:hAnsi="Arial Narrow"/>
                <w:i/>
                <w:sz w:val="20"/>
              </w:rPr>
              <w:t xml:space="preserve"> </w:t>
            </w:r>
          </w:p>
        </w:tc>
        <w:tc>
          <w:tcPr>
            <w:tcW w:w="584" w:type="pct"/>
            <w:noWrap/>
          </w:tcPr>
          <w:p w:rsidR="001E0B21" w:rsidRPr="005B60F0" w:rsidRDefault="001E0B21" w:rsidP="001E0B21">
            <w:pPr>
              <w:rPr>
                <w:rFonts w:ascii="Arial Narrow" w:hAnsi="Arial Narrow"/>
                <w:i/>
                <w:sz w:val="20"/>
              </w:rPr>
            </w:pPr>
            <w:r w:rsidRPr="005B60F0">
              <w:rPr>
                <w:rFonts w:ascii="Arial Narrow" w:hAnsi="Arial Narrow"/>
                <w:i/>
                <w:sz w:val="20"/>
              </w:rPr>
              <w:t>$</w:t>
            </w:r>
            <w:r w:rsidR="007C6ACB">
              <w:rPr>
                <w:rFonts w:ascii="Arial Narrow" w:hAnsi="Arial Narrow"/>
                <w:i/>
                <w:noProof/>
                <w:color w:val="000000"/>
                <w:sz w:val="20"/>
                <w:highlight w:val="black"/>
              </w:rPr>
              <w:t>'''''''''''''''''''''''</w:t>
            </w:r>
            <w:r w:rsidRPr="005B60F0">
              <w:rPr>
                <w:rFonts w:ascii="Arial Narrow" w:hAnsi="Arial Narrow"/>
                <w:i/>
                <w:sz w:val="20"/>
              </w:rPr>
              <w:t xml:space="preserve"> </w:t>
            </w:r>
          </w:p>
        </w:tc>
      </w:tr>
      <w:tr w:rsidR="001E0B21" w:rsidRPr="005B60F0" w:rsidTr="001E0B21">
        <w:trPr>
          <w:trHeight w:val="70"/>
        </w:trPr>
        <w:tc>
          <w:tcPr>
            <w:tcW w:w="2038" w:type="pct"/>
            <w:noWrap/>
            <w:hideMark/>
          </w:tcPr>
          <w:p w:rsidR="001E0B21" w:rsidRPr="005B60F0" w:rsidRDefault="001E0B21" w:rsidP="001E0B21">
            <w:pPr>
              <w:jc w:val="left"/>
              <w:rPr>
                <w:rFonts w:ascii="Arial Narrow" w:hAnsi="Arial Narrow"/>
                <w:bCs/>
                <w:sz w:val="20"/>
              </w:rPr>
            </w:pPr>
            <w:r w:rsidRPr="005B60F0">
              <w:rPr>
                <w:rFonts w:ascii="Arial Narrow" w:hAnsi="Arial Narrow"/>
                <w:bCs/>
                <w:sz w:val="20"/>
              </w:rPr>
              <w:t>Cost to Government for MBS</w:t>
            </w:r>
          </w:p>
        </w:tc>
        <w:tc>
          <w:tcPr>
            <w:tcW w:w="594" w:type="pct"/>
            <w:noWrap/>
            <w:vAlign w:val="center"/>
          </w:tcPr>
          <w:p w:rsidR="001E0B21" w:rsidRPr="005B60F0" w:rsidRDefault="001E0B21" w:rsidP="001E0B21">
            <w:pPr>
              <w:rPr>
                <w:rFonts w:ascii="Arial Narrow" w:hAnsi="Arial Narrow"/>
                <w:sz w:val="20"/>
              </w:rPr>
            </w:pPr>
            <w:r w:rsidRPr="005B60F0">
              <w:rPr>
                <w:rFonts w:ascii="Arial Narrow" w:hAnsi="Arial Narrow"/>
                <w:sz w:val="20"/>
              </w:rPr>
              <w:t>$</w:t>
            </w:r>
            <w:r w:rsidR="007C6ACB"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'''''''''''''''</w:t>
            </w:r>
          </w:p>
        </w:tc>
        <w:tc>
          <w:tcPr>
            <w:tcW w:w="596" w:type="pct"/>
            <w:noWrap/>
            <w:vAlign w:val="center"/>
          </w:tcPr>
          <w:p w:rsidR="001E0B21" w:rsidRPr="005B60F0" w:rsidRDefault="001E0B21" w:rsidP="001E0B21">
            <w:pPr>
              <w:rPr>
                <w:rFonts w:ascii="Arial Narrow" w:hAnsi="Arial Narrow"/>
                <w:sz w:val="20"/>
              </w:rPr>
            </w:pPr>
            <w:r w:rsidRPr="005B60F0">
              <w:rPr>
                <w:rFonts w:ascii="Arial Narrow" w:hAnsi="Arial Narrow"/>
                <w:sz w:val="20"/>
              </w:rPr>
              <w:t>$</w:t>
            </w:r>
            <w:r w:rsidR="007C6ACB"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''''''''''''''''</w:t>
            </w:r>
          </w:p>
        </w:tc>
        <w:tc>
          <w:tcPr>
            <w:tcW w:w="594" w:type="pct"/>
            <w:noWrap/>
            <w:vAlign w:val="center"/>
          </w:tcPr>
          <w:p w:rsidR="001E0B21" w:rsidRPr="005B60F0" w:rsidRDefault="001E0B21" w:rsidP="001E0B21">
            <w:pPr>
              <w:rPr>
                <w:rFonts w:ascii="Arial Narrow" w:hAnsi="Arial Narrow"/>
                <w:sz w:val="20"/>
              </w:rPr>
            </w:pPr>
            <w:r w:rsidRPr="005B60F0">
              <w:rPr>
                <w:rFonts w:ascii="Arial Narrow" w:hAnsi="Arial Narrow"/>
                <w:sz w:val="20"/>
              </w:rPr>
              <w:t>$</w:t>
            </w:r>
            <w:r w:rsidR="007C6ACB"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'''''''''''''''</w:t>
            </w:r>
          </w:p>
        </w:tc>
        <w:tc>
          <w:tcPr>
            <w:tcW w:w="594" w:type="pct"/>
            <w:noWrap/>
            <w:vAlign w:val="center"/>
          </w:tcPr>
          <w:p w:rsidR="001E0B21" w:rsidRPr="005B60F0" w:rsidRDefault="001E0B21" w:rsidP="001E0B21">
            <w:pPr>
              <w:rPr>
                <w:rFonts w:ascii="Arial Narrow" w:hAnsi="Arial Narrow"/>
                <w:sz w:val="20"/>
              </w:rPr>
            </w:pPr>
            <w:r w:rsidRPr="005B60F0">
              <w:rPr>
                <w:rFonts w:ascii="Arial Narrow" w:hAnsi="Arial Narrow"/>
                <w:sz w:val="20"/>
              </w:rPr>
              <w:t>$</w:t>
            </w:r>
            <w:r w:rsidR="007C6ACB"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''''''''''''''''''</w:t>
            </w:r>
          </w:p>
        </w:tc>
        <w:tc>
          <w:tcPr>
            <w:tcW w:w="584" w:type="pct"/>
            <w:noWrap/>
            <w:vAlign w:val="center"/>
          </w:tcPr>
          <w:p w:rsidR="001E0B21" w:rsidRPr="005B60F0" w:rsidRDefault="001E0B21" w:rsidP="001E0B21">
            <w:pPr>
              <w:rPr>
                <w:rFonts w:ascii="Arial Narrow" w:hAnsi="Arial Narrow"/>
                <w:sz w:val="20"/>
              </w:rPr>
            </w:pPr>
            <w:r w:rsidRPr="005B60F0">
              <w:rPr>
                <w:rFonts w:ascii="Arial Narrow" w:hAnsi="Arial Narrow"/>
                <w:sz w:val="20"/>
              </w:rPr>
              <w:t>$</w:t>
            </w:r>
            <w:r w:rsidR="007C6ACB"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'''''''''''''''''</w:t>
            </w:r>
          </w:p>
        </w:tc>
      </w:tr>
      <w:tr w:rsidR="001E0B21" w:rsidRPr="0068433E" w:rsidTr="001E0B21">
        <w:trPr>
          <w:trHeight w:val="70"/>
        </w:trPr>
        <w:tc>
          <w:tcPr>
            <w:tcW w:w="2038" w:type="pct"/>
            <w:hideMark/>
          </w:tcPr>
          <w:p w:rsidR="001E0B21" w:rsidRPr="005B60F0" w:rsidRDefault="001E0B21" w:rsidP="001E0B21">
            <w:pPr>
              <w:jc w:val="left"/>
              <w:rPr>
                <w:rFonts w:ascii="Arial Narrow" w:hAnsi="Arial Narrow"/>
                <w:bCs/>
                <w:sz w:val="20"/>
              </w:rPr>
            </w:pPr>
            <w:r w:rsidRPr="005B60F0">
              <w:rPr>
                <w:rFonts w:ascii="Arial Narrow" w:hAnsi="Arial Narrow"/>
                <w:bCs/>
                <w:sz w:val="20"/>
              </w:rPr>
              <w:t>Overall Net cost to Government Health Budget</w:t>
            </w:r>
          </w:p>
        </w:tc>
        <w:tc>
          <w:tcPr>
            <w:tcW w:w="594" w:type="pct"/>
            <w:noWrap/>
            <w:vAlign w:val="center"/>
          </w:tcPr>
          <w:p w:rsidR="001E0B21" w:rsidRPr="005B60F0" w:rsidRDefault="001E0B21" w:rsidP="001E0B21">
            <w:pPr>
              <w:rPr>
                <w:rFonts w:ascii="Arial Narrow" w:hAnsi="Arial Narrow"/>
                <w:sz w:val="20"/>
              </w:rPr>
            </w:pPr>
            <w:r w:rsidRPr="005B60F0">
              <w:rPr>
                <w:rFonts w:ascii="Arial Narrow" w:hAnsi="Arial Narrow"/>
                <w:sz w:val="20"/>
              </w:rPr>
              <w:t>$</w:t>
            </w:r>
            <w:r w:rsidR="007C6ACB"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''''''''''''''''''''''</w:t>
            </w:r>
          </w:p>
        </w:tc>
        <w:tc>
          <w:tcPr>
            <w:tcW w:w="596" w:type="pct"/>
            <w:noWrap/>
            <w:vAlign w:val="center"/>
          </w:tcPr>
          <w:p w:rsidR="001E0B21" w:rsidRPr="005B60F0" w:rsidRDefault="001E0B21" w:rsidP="001E0B21">
            <w:pPr>
              <w:rPr>
                <w:rFonts w:ascii="Arial Narrow" w:hAnsi="Arial Narrow"/>
                <w:sz w:val="20"/>
              </w:rPr>
            </w:pPr>
            <w:r w:rsidRPr="005B60F0">
              <w:rPr>
                <w:rFonts w:ascii="Arial Narrow" w:hAnsi="Arial Narrow"/>
                <w:sz w:val="20"/>
              </w:rPr>
              <w:t>$</w:t>
            </w:r>
            <w:r w:rsidR="007C6ACB"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'''''''''''''''''''''''</w:t>
            </w:r>
          </w:p>
        </w:tc>
        <w:tc>
          <w:tcPr>
            <w:tcW w:w="594" w:type="pct"/>
            <w:noWrap/>
            <w:vAlign w:val="center"/>
          </w:tcPr>
          <w:p w:rsidR="001E0B21" w:rsidRPr="005B60F0" w:rsidRDefault="001E0B21" w:rsidP="001E0B21">
            <w:pPr>
              <w:rPr>
                <w:rFonts w:ascii="Arial Narrow" w:hAnsi="Arial Narrow"/>
                <w:sz w:val="20"/>
              </w:rPr>
            </w:pPr>
            <w:r w:rsidRPr="005B60F0">
              <w:rPr>
                <w:rFonts w:ascii="Arial Narrow" w:hAnsi="Arial Narrow"/>
                <w:sz w:val="20"/>
              </w:rPr>
              <w:t>$</w:t>
            </w:r>
            <w:r w:rsidR="007C6ACB"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'''''''''''''''''''''''</w:t>
            </w:r>
          </w:p>
        </w:tc>
        <w:tc>
          <w:tcPr>
            <w:tcW w:w="594" w:type="pct"/>
            <w:noWrap/>
            <w:vAlign w:val="center"/>
          </w:tcPr>
          <w:p w:rsidR="001E0B21" w:rsidRPr="005B60F0" w:rsidRDefault="001E0B21" w:rsidP="001E0B21">
            <w:pPr>
              <w:rPr>
                <w:rFonts w:ascii="Arial Narrow" w:hAnsi="Arial Narrow"/>
                <w:sz w:val="20"/>
              </w:rPr>
            </w:pPr>
            <w:r w:rsidRPr="005B60F0">
              <w:rPr>
                <w:rFonts w:ascii="Arial Narrow" w:hAnsi="Arial Narrow"/>
                <w:sz w:val="20"/>
              </w:rPr>
              <w:t>$</w:t>
            </w:r>
            <w:r w:rsidR="007C6ACB"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'''''''''''''''''''''''''</w:t>
            </w:r>
          </w:p>
        </w:tc>
        <w:tc>
          <w:tcPr>
            <w:tcW w:w="584" w:type="pct"/>
            <w:noWrap/>
            <w:vAlign w:val="center"/>
          </w:tcPr>
          <w:p w:rsidR="001E0B21" w:rsidRPr="0068433E" w:rsidRDefault="001E0B21" w:rsidP="001E0B21">
            <w:pPr>
              <w:rPr>
                <w:rFonts w:ascii="Arial Narrow" w:hAnsi="Arial Narrow"/>
                <w:sz w:val="20"/>
              </w:rPr>
            </w:pPr>
            <w:r w:rsidRPr="005B60F0">
              <w:rPr>
                <w:rFonts w:ascii="Arial Narrow" w:hAnsi="Arial Narrow"/>
                <w:sz w:val="20"/>
              </w:rPr>
              <w:t>$</w:t>
            </w:r>
            <w:r w:rsidR="007C6ACB"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''''''''''''''''''''''''</w:t>
            </w:r>
          </w:p>
        </w:tc>
      </w:tr>
      <w:tr w:rsidR="001E0B21" w:rsidRPr="0068433E" w:rsidTr="001E0B21">
        <w:trPr>
          <w:trHeight w:val="70"/>
        </w:trPr>
        <w:tc>
          <w:tcPr>
            <w:tcW w:w="2038" w:type="pct"/>
          </w:tcPr>
          <w:p w:rsidR="001E0B21" w:rsidRPr="008400F7" w:rsidRDefault="001E0B21" w:rsidP="001E0B21">
            <w:pPr>
              <w:jc w:val="left"/>
              <w:rPr>
                <w:rFonts w:ascii="Arial Narrow" w:hAnsi="Arial Narrow"/>
                <w:bCs/>
                <w:i/>
                <w:sz w:val="20"/>
              </w:rPr>
            </w:pPr>
            <w:r w:rsidRPr="008400F7">
              <w:rPr>
                <w:rFonts w:ascii="Arial Narrow" w:hAnsi="Arial Narrow"/>
                <w:bCs/>
                <w:i/>
                <w:sz w:val="20"/>
              </w:rPr>
              <w:t xml:space="preserve">Overall Net cost to Government Health </w:t>
            </w:r>
            <w:proofErr w:type="spellStart"/>
            <w:r w:rsidRPr="008400F7">
              <w:rPr>
                <w:rFonts w:ascii="Arial Narrow" w:hAnsi="Arial Narrow"/>
                <w:bCs/>
                <w:i/>
                <w:sz w:val="20"/>
              </w:rPr>
              <w:t>Budget</w:t>
            </w:r>
            <w:r w:rsidRPr="008400F7">
              <w:rPr>
                <w:rFonts w:ascii="Arial Narrow" w:hAnsi="Arial Narrow"/>
                <w:bCs/>
                <w:i/>
                <w:sz w:val="20"/>
                <w:vertAlign w:val="superscript"/>
              </w:rPr>
              <w:t>b</w:t>
            </w:r>
            <w:proofErr w:type="spellEnd"/>
          </w:p>
        </w:tc>
        <w:tc>
          <w:tcPr>
            <w:tcW w:w="594" w:type="pct"/>
            <w:noWrap/>
          </w:tcPr>
          <w:p w:rsidR="001E0B21" w:rsidRPr="008400F7" w:rsidRDefault="001E0B21" w:rsidP="001E0B21">
            <w:pPr>
              <w:rPr>
                <w:rFonts w:ascii="Arial Narrow" w:hAnsi="Arial Narrow"/>
                <w:i/>
                <w:sz w:val="20"/>
              </w:rPr>
            </w:pPr>
            <w:r w:rsidRPr="008400F7">
              <w:rPr>
                <w:rFonts w:ascii="Arial Narrow" w:hAnsi="Arial Narrow"/>
                <w:i/>
                <w:sz w:val="20"/>
              </w:rPr>
              <w:t>$</w:t>
            </w:r>
            <w:r w:rsidR="007C6ACB">
              <w:rPr>
                <w:rFonts w:ascii="Arial Narrow" w:hAnsi="Arial Narrow"/>
                <w:i/>
                <w:noProof/>
                <w:color w:val="000000"/>
                <w:sz w:val="20"/>
                <w:highlight w:val="black"/>
              </w:rPr>
              <w:t>'''''''''''''''''''''''</w:t>
            </w:r>
            <w:r w:rsidRPr="008400F7">
              <w:rPr>
                <w:rFonts w:ascii="Arial Narrow" w:hAnsi="Arial Narrow"/>
                <w:i/>
                <w:sz w:val="20"/>
              </w:rPr>
              <w:t xml:space="preserve"> </w:t>
            </w:r>
          </w:p>
        </w:tc>
        <w:tc>
          <w:tcPr>
            <w:tcW w:w="596" w:type="pct"/>
            <w:noWrap/>
          </w:tcPr>
          <w:p w:rsidR="001E0B21" w:rsidRPr="008400F7" w:rsidRDefault="001E0B21" w:rsidP="001E0B21">
            <w:pPr>
              <w:rPr>
                <w:rFonts w:ascii="Arial Narrow" w:hAnsi="Arial Narrow"/>
                <w:i/>
                <w:sz w:val="20"/>
              </w:rPr>
            </w:pPr>
            <w:r w:rsidRPr="008400F7">
              <w:rPr>
                <w:rFonts w:ascii="Arial Narrow" w:hAnsi="Arial Narrow"/>
                <w:i/>
                <w:sz w:val="20"/>
              </w:rPr>
              <w:t>$</w:t>
            </w:r>
            <w:r w:rsidR="007C6ACB">
              <w:rPr>
                <w:rFonts w:ascii="Arial Narrow" w:hAnsi="Arial Narrow"/>
                <w:i/>
                <w:noProof/>
                <w:color w:val="000000"/>
                <w:sz w:val="20"/>
                <w:highlight w:val="black"/>
              </w:rPr>
              <w:t>''''''''''''''''''''''</w:t>
            </w:r>
            <w:r w:rsidRPr="008400F7">
              <w:rPr>
                <w:rFonts w:ascii="Arial Narrow" w:hAnsi="Arial Narrow"/>
                <w:i/>
                <w:sz w:val="20"/>
              </w:rPr>
              <w:t xml:space="preserve"> </w:t>
            </w:r>
          </w:p>
        </w:tc>
        <w:tc>
          <w:tcPr>
            <w:tcW w:w="594" w:type="pct"/>
            <w:noWrap/>
          </w:tcPr>
          <w:p w:rsidR="001E0B21" w:rsidRPr="008400F7" w:rsidRDefault="001E0B21" w:rsidP="001E0B21">
            <w:pPr>
              <w:rPr>
                <w:rFonts w:ascii="Arial Narrow" w:hAnsi="Arial Narrow"/>
                <w:i/>
                <w:sz w:val="20"/>
              </w:rPr>
            </w:pPr>
            <w:r w:rsidRPr="008400F7">
              <w:rPr>
                <w:rFonts w:ascii="Arial Narrow" w:hAnsi="Arial Narrow"/>
                <w:i/>
                <w:sz w:val="20"/>
              </w:rPr>
              <w:t>$</w:t>
            </w:r>
            <w:r w:rsidR="007C6ACB">
              <w:rPr>
                <w:rFonts w:ascii="Arial Narrow" w:hAnsi="Arial Narrow"/>
                <w:i/>
                <w:noProof/>
                <w:color w:val="000000"/>
                <w:sz w:val="20"/>
                <w:highlight w:val="black"/>
              </w:rPr>
              <w:t>'''''''''''''''''''''''</w:t>
            </w:r>
            <w:r w:rsidRPr="008400F7">
              <w:rPr>
                <w:rFonts w:ascii="Arial Narrow" w:hAnsi="Arial Narrow"/>
                <w:i/>
                <w:sz w:val="20"/>
              </w:rPr>
              <w:t xml:space="preserve"> </w:t>
            </w:r>
          </w:p>
        </w:tc>
        <w:tc>
          <w:tcPr>
            <w:tcW w:w="594" w:type="pct"/>
            <w:noWrap/>
          </w:tcPr>
          <w:p w:rsidR="001E0B21" w:rsidRPr="008400F7" w:rsidRDefault="001E0B21" w:rsidP="001E0B21">
            <w:pPr>
              <w:rPr>
                <w:rFonts w:ascii="Arial Narrow" w:hAnsi="Arial Narrow"/>
                <w:i/>
                <w:sz w:val="20"/>
              </w:rPr>
            </w:pPr>
            <w:r w:rsidRPr="008400F7">
              <w:rPr>
                <w:rFonts w:ascii="Arial Narrow" w:hAnsi="Arial Narrow"/>
                <w:i/>
                <w:sz w:val="20"/>
              </w:rPr>
              <w:t>$</w:t>
            </w:r>
            <w:r w:rsidR="007C6ACB">
              <w:rPr>
                <w:rFonts w:ascii="Arial Narrow" w:hAnsi="Arial Narrow"/>
                <w:i/>
                <w:noProof/>
                <w:color w:val="000000"/>
                <w:sz w:val="20"/>
                <w:highlight w:val="black"/>
              </w:rPr>
              <w:t>'''''''''''''''''''''''</w:t>
            </w:r>
            <w:r w:rsidRPr="008400F7">
              <w:rPr>
                <w:rFonts w:ascii="Arial Narrow" w:hAnsi="Arial Narrow"/>
                <w:i/>
                <w:sz w:val="20"/>
              </w:rPr>
              <w:t xml:space="preserve"> </w:t>
            </w:r>
          </w:p>
        </w:tc>
        <w:tc>
          <w:tcPr>
            <w:tcW w:w="584" w:type="pct"/>
            <w:noWrap/>
          </w:tcPr>
          <w:p w:rsidR="001E0B21" w:rsidRPr="008400F7" w:rsidRDefault="001E0B21" w:rsidP="001E0B21">
            <w:pPr>
              <w:rPr>
                <w:rFonts w:ascii="Arial Narrow" w:hAnsi="Arial Narrow"/>
                <w:i/>
                <w:sz w:val="20"/>
              </w:rPr>
            </w:pPr>
            <w:r w:rsidRPr="008400F7">
              <w:rPr>
                <w:rFonts w:ascii="Arial Narrow" w:hAnsi="Arial Narrow"/>
                <w:i/>
                <w:sz w:val="20"/>
              </w:rPr>
              <w:t>$</w:t>
            </w:r>
            <w:r w:rsidR="007C6ACB">
              <w:rPr>
                <w:rFonts w:ascii="Arial Narrow" w:hAnsi="Arial Narrow"/>
                <w:i/>
                <w:noProof/>
                <w:color w:val="000000"/>
                <w:sz w:val="20"/>
                <w:highlight w:val="black"/>
              </w:rPr>
              <w:t>''''''''''''''''''''''</w:t>
            </w:r>
            <w:r w:rsidRPr="008400F7">
              <w:rPr>
                <w:rFonts w:ascii="Arial Narrow" w:hAnsi="Arial Narrow"/>
                <w:i/>
                <w:sz w:val="20"/>
              </w:rPr>
              <w:t xml:space="preserve"> </w:t>
            </w:r>
          </w:p>
        </w:tc>
      </w:tr>
    </w:tbl>
    <w:p w:rsidR="001E0B21" w:rsidRDefault="001E0B21" w:rsidP="001E0B21">
      <w:pPr>
        <w:pStyle w:val="TableFooter"/>
        <w:ind w:firstLine="720"/>
      </w:pPr>
      <w:proofErr w:type="spellStart"/>
      <w:proofErr w:type="gramStart"/>
      <w:r w:rsidRPr="00CF43FA">
        <w:rPr>
          <w:vertAlign w:val="superscript"/>
        </w:rPr>
        <w:t>a</w:t>
      </w:r>
      <w:r w:rsidRPr="00CF43FA">
        <w:t>DPMQ</w:t>
      </w:r>
      <w:proofErr w:type="spellEnd"/>
      <w:proofErr w:type="gramEnd"/>
      <w:r w:rsidRPr="00CF43FA">
        <w:t xml:space="preserve"> excluding patient co</w:t>
      </w:r>
      <w:r>
        <w:t>-</w:t>
      </w:r>
      <w:r w:rsidR="006F43FC" w:rsidRPr="00CF43FA">
        <w:t>payments</w:t>
      </w:r>
      <w:r w:rsidR="006F43FC">
        <w:t xml:space="preserve">. </w:t>
      </w:r>
      <w:proofErr w:type="spellStart"/>
      <w:proofErr w:type="gramStart"/>
      <w:r w:rsidR="006F43FC" w:rsidRPr="008400F7">
        <w:rPr>
          <w:vertAlign w:val="superscript"/>
        </w:rPr>
        <w:t>b</w:t>
      </w:r>
      <w:r w:rsidR="006F43FC">
        <w:t>Updated</w:t>
      </w:r>
      <w:proofErr w:type="spellEnd"/>
      <w:proofErr w:type="gramEnd"/>
      <w:r>
        <w:t xml:space="preserve"> </w:t>
      </w:r>
      <w:r w:rsidR="006F43FC">
        <w:t>co-payments</w:t>
      </w:r>
      <w:r w:rsidR="000F70A9">
        <w:t>. Source: Table E.5.2</w:t>
      </w:r>
      <w:r>
        <w:t>, p.</w:t>
      </w:r>
      <w:r w:rsidR="000F70A9">
        <w:t>45</w:t>
      </w:r>
      <w:r>
        <w:t xml:space="preserve"> of the </w:t>
      </w:r>
      <w:r w:rsidR="000F70A9">
        <w:t>commentary</w:t>
      </w:r>
    </w:p>
    <w:p w:rsidR="00CC08BD" w:rsidRDefault="00CC08BD" w:rsidP="00AE352B">
      <w:pPr>
        <w:pStyle w:val="TableFooter"/>
        <w:rPr>
          <w:szCs w:val="22"/>
        </w:rPr>
      </w:pPr>
    </w:p>
    <w:p w:rsidR="00F938D8" w:rsidRDefault="00F938D8" w:rsidP="00EE45AE">
      <w:pPr>
        <w:pStyle w:val="ListParagraph"/>
        <w:widowControl/>
        <w:numPr>
          <w:ilvl w:val="1"/>
          <w:numId w:val="5"/>
        </w:numPr>
      </w:pPr>
      <w:r>
        <w:t xml:space="preserve">The redacted table above shows the estimated total net cost to the PBS/RPBS/MBS for the listing of </w:t>
      </w:r>
      <w:proofErr w:type="spellStart"/>
      <w:r>
        <w:t>vedolizumab</w:t>
      </w:r>
      <w:proofErr w:type="spellEnd"/>
      <w:r>
        <w:t xml:space="preserve"> on the PBS is less than $10 million per year. </w:t>
      </w:r>
    </w:p>
    <w:p w:rsidR="00F938D8" w:rsidRDefault="00F938D8" w:rsidP="00F938D8">
      <w:pPr>
        <w:pStyle w:val="ListParagraph"/>
        <w:widowControl/>
      </w:pPr>
    </w:p>
    <w:p w:rsidR="009174D6" w:rsidRDefault="009174D6" w:rsidP="00EE45AE">
      <w:pPr>
        <w:pStyle w:val="ListParagraph"/>
        <w:widowControl/>
        <w:numPr>
          <w:ilvl w:val="1"/>
          <w:numId w:val="5"/>
        </w:numPr>
      </w:pPr>
      <w:r>
        <w:t>Using s</w:t>
      </w:r>
      <w:r w:rsidRPr="009174D6">
        <w:t xml:space="preserve">cenario 2, at year 1, the estimated number of </w:t>
      </w:r>
      <w:proofErr w:type="spellStart"/>
      <w:r w:rsidR="000F70A9">
        <w:t>vedolizumab</w:t>
      </w:r>
      <w:proofErr w:type="spellEnd"/>
      <w:r w:rsidR="000F70A9">
        <w:t xml:space="preserve"> scripts</w:t>
      </w:r>
      <w:r w:rsidRPr="009174D6">
        <w:t xml:space="preserve"> was </w:t>
      </w:r>
      <w:r w:rsidR="0058383F" w:rsidRPr="0058383F">
        <w:t>less than 10,000</w:t>
      </w:r>
      <w:r w:rsidRPr="009174D6">
        <w:t xml:space="preserve"> and the net cost to the PBS</w:t>
      </w:r>
      <w:r>
        <w:t xml:space="preserve"> would be</w:t>
      </w:r>
      <w:r w:rsidRPr="0058383F">
        <w:t xml:space="preserve"> </w:t>
      </w:r>
      <w:r w:rsidR="00EE45AE" w:rsidRPr="00EE45AE">
        <w:t>less than $10 million per year</w:t>
      </w:r>
      <w:r>
        <w:t xml:space="preserve">.  At year 5, the estimated number of </w:t>
      </w:r>
      <w:proofErr w:type="spellStart"/>
      <w:r w:rsidR="000F70A9">
        <w:t>vedolizumab</w:t>
      </w:r>
      <w:proofErr w:type="spellEnd"/>
      <w:r w:rsidR="000F70A9">
        <w:t xml:space="preserve"> scripts </w:t>
      </w:r>
      <w:r>
        <w:t xml:space="preserve">was </w:t>
      </w:r>
      <w:r w:rsidR="0058383F">
        <w:t>less than 10,000</w:t>
      </w:r>
      <w:r w:rsidR="000041BF">
        <w:t xml:space="preserve"> and the net cost to the PBS would be </w:t>
      </w:r>
      <w:r w:rsidR="00EE45AE" w:rsidRPr="00EE45AE">
        <w:t>less than $10 million per year</w:t>
      </w:r>
      <w:r w:rsidR="000041BF">
        <w:t>.</w:t>
      </w:r>
    </w:p>
    <w:p w:rsidR="009174D6" w:rsidRPr="009174D6" w:rsidRDefault="009174D6" w:rsidP="009174D6">
      <w:pPr>
        <w:pStyle w:val="ListParagraph"/>
        <w:widowControl/>
      </w:pPr>
    </w:p>
    <w:p w:rsidR="00A96731" w:rsidRPr="003C64E9" w:rsidRDefault="0074061D" w:rsidP="003C64E9">
      <w:pPr>
        <w:pStyle w:val="ListParagraph"/>
        <w:widowControl/>
        <w:numPr>
          <w:ilvl w:val="1"/>
          <w:numId w:val="5"/>
        </w:numPr>
        <w:rPr>
          <w:i/>
        </w:rPr>
      </w:pPr>
      <w:r w:rsidRPr="00063F4F">
        <w:t xml:space="preserve">The </w:t>
      </w:r>
      <w:r w:rsidR="0021504D">
        <w:t xml:space="preserve">evaluation noted that </w:t>
      </w:r>
      <w:r w:rsidRPr="00063F4F">
        <w:t xml:space="preserve">re-submission did not include the cost of treating the </w:t>
      </w:r>
      <w:r w:rsidR="007C6ACB">
        <w:rPr>
          <w:noProof/>
          <w:color w:val="000000"/>
          <w:highlight w:val="black"/>
        </w:rPr>
        <w:t>''''''''''</w:t>
      </w:r>
      <w:r w:rsidRPr="00063F4F">
        <w:t xml:space="preserve"> grandfathered patients.</w:t>
      </w:r>
      <w:r w:rsidR="006C2512" w:rsidRPr="00063F4F">
        <w:t xml:space="preserve"> The re</w:t>
      </w:r>
      <w:r w:rsidR="006C2512" w:rsidRPr="00063F4F">
        <w:softHyphen/>
        <w:t>submission only included the cost of screening for PML in the sensitivity analysis.</w:t>
      </w:r>
      <w:r w:rsidRPr="00063F4F">
        <w:t xml:space="preserve"> There is uncertainty over the duration of treatment and the discontinuation rate during the maintenance phase of </w:t>
      </w:r>
      <w:r w:rsidR="00D93C62" w:rsidRPr="00063F4F">
        <w:t>treatment</w:t>
      </w:r>
      <w:r w:rsidR="00D93C62">
        <w:t>, which</w:t>
      </w:r>
      <w:r w:rsidRPr="00063F4F">
        <w:t xml:space="preserve"> may be an under- or over-estimate. There is uncertainty in the uptake rates of infliximab and </w:t>
      </w:r>
      <w:proofErr w:type="spellStart"/>
      <w:r w:rsidRPr="00063F4F">
        <w:t>vedolizumab</w:t>
      </w:r>
      <w:proofErr w:type="spellEnd"/>
      <w:r w:rsidRPr="00063F4F">
        <w:t xml:space="preserve"> under each scenario and for </w:t>
      </w:r>
      <w:proofErr w:type="spellStart"/>
      <w:r w:rsidRPr="00063F4F">
        <w:t>vedolizumab</w:t>
      </w:r>
      <w:proofErr w:type="spellEnd"/>
      <w:r w:rsidRPr="00063F4F">
        <w:t xml:space="preserve"> after infliximab failure</w:t>
      </w:r>
      <w:r w:rsidRPr="003C64E9">
        <w:t>.</w:t>
      </w:r>
      <w:r w:rsidR="003C64E9" w:rsidRPr="003C64E9">
        <w:t xml:space="preserve"> It may be that the uptake rate of </w:t>
      </w:r>
      <w:proofErr w:type="spellStart"/>
      <w:r w:rsidR="003C64E9" w:rsidRPr="003C64E9">
        <w:t>vedolizumab</w:t>
      </w:r>
      <w:proofErr w:type="spellEnd"/>
      <w:r w:rsidR="003C64E9" w:rsidRPr="003C64E9">
        <w:t xml:space="preserve"> after infliximab failure (either induction or maintenance) will be higher than the estimate presented</w:t>
      </w:r>
      <w:r w:rsidR="003C64E9">
        <w:t xml:space="preserve"> in the submission</w:t>
      </w:r>
      <w:r w:rsidR="003C64E9" w:rsidRPr="003C64E9">
        <w:t xml:space="preserve"> because this is likely to represent the last medical option prior to surgery. </w:t>
      </w:r>
      <w:r w:rsidR="00A96731" w:rsidRPr="00063F4F">
        <w:t xml:space="preserve">The PSCR acknowledged that the financial estimates in the re-submission did not take into account grandfathered patients.  However, the PSCR </w:t>
      </w:r>
      <w:r w:rsidR="00203012" w:rsidRPr="00063F4F">
        <w:t>argued</w:t>
      </w:r>
      <w:r w:rsidR="00A96731" w:rsidRPr="00063F4F">
        <w:t xml:space="preserve"> that the number of grandfathered patients </w:t>
      </w:r>
      <w:r w:rsidR="00A96731" w:rsidRPr="0058383F">
        <w:t xml:space="preserve">should be </w:t>
      </w:r>
      <w:r w:rsidR="007C6ACB">
        <w:rPr>
          <w:noProof/>
          <w:color w:val="000000"/>
          <w:highlight w:val="black"/>
        </w:rPr>
        <w:t>'''''</w:t>
      </w:r>
      <w:r w:rsidR="00A96731" w:rsidRPr="0058383F">
        <w:t xml:space="preserve"> (and not </w:t>
      </w:r>
      <w:r w:rsidR="007C6ACB">
        <w:rPr>
          <w:noProof/>
          <w:color w:val="000000"/>
          <w:highlight w:val="black"/>
        </w:rPr>
        <w:t>'''''''''</w:t>
      </w:r>
      <w:r w:rsidR="00A96731" w:rsidRPr="0058383F">
        <w:t xml:space="preserve">) as the remaining </w:t>
      </w:r>
      <w:r w:rsidR="007C6ACB">
        <w:rPr>
          <w:noProof/>
          <w:color w:val="000000"/>
          <w:highlight w:val="black"/>
        </w:rPr>
        <w:t>''''''</w:t>
      </w:r>
      <w:r w:rsidR="00A96731" w:rsidRPr="0058383F">
        <w:t xml:space="preserve"> Australian</w:t>
      </w:r>
      <w:r w:rsidR="00A96731" w:rsidRPr="00063F4F">
        <w:t xml:space="preserve"> patients</w:t>
      </w:r>
      <w:r w:rsidR="007E40DF">
        <w:t xml:space="preserve"> are Crohn disease patients</w:t>
      </w:r>
      <w:r w:rsidR="00A96731" w:rsidRPr="00063F4F">
        <w:t xml:space="preserve"> from </w:t>
      </w:r>
      <w:r w:rsidR="003527B9">
        <w:t>the long-term extension study C13008</w:t>
      </w:r>
      <w:r w:rsidR="00A96731" w:rsidRPr="00063F4F">
        <w:t xml:space="preserve">. </w:t>
      </w:r>
      <w:r w:rsidR="00D933FA">
        <w:t xml:space="preserve"> </w:t>
      </w:r>
      <w:r w:rsidR="00D56045">
        <w:t xml:space="preserve">The </w:t>
      </w:r>
      <w:r w:rsidR="000726E0">
        <w:lastRenderedPageBreak/>
        <w:t>P</w:t>
      </w:r>
      <w:r w:rsidR="00D56045">
        <w:t xml:space="preserve">re-PBAC </w:t>
      </w:r>
      <w:r w:rsidR="000726E0">
        <w:t>R</w:t>
      </w:r>
      <w:r w:rsidR="00D56045">
        <w:t xml:space="preserve">esponse further clarifies that not all of these </w:t>
      </w:r>
      <w:r w:rsidR="007C6ACB">
        <w:rPr>
          <w:noProof/>
          <w:color w:val="000000"/>
          <w:highlight w:val="black"/>
        </w:rPr>
        <w:t>''''''</w:t>
      </w:r>
      <w:r w:rsidR="00D56045">
        <w:t xml:space="preserve"> patients are likely to seek grandfather access to PBS subsidy.</w:t>
      </w:r>
    </w:p>
    <w:p w:rsidR="009174D6" w:rsidRPr="0006324A" w:rsidRDefault="009174D6" w:rsidP="009174D6"/>
    <w:p w:rsidR="0074061D" w:rsidRPr="00926933" w:rsidRDefault="0074061D" w:rsidP="0074061D">
      <w:pPr>
        <w:pStyle w:val="ListParagraph"/>
        <w:widowControl/>
        <w:rPr>
          <w:szCs w:val="22"/>
        </w:rPr>
      </w:pPr>
    </w:p>
    <w:p w:rsidR="0074061D" w:rsidRPr="009174D6" w:rsidRDefault="0074061D" w:rsidP="00C735B0">
      <w:pPr>
        <w:pStyle w:val="Heading2"/>
      </w:pPr>
      <w:bookmarkStart w:id="20" w:name="_Toc409509997"/>
      <w:r w:rsidRPr="009174D6">
        <w:t>Financial Management – Risk Sharing Arrangements</w:t>
      </w:r>
      <w:bookmarkEnd w:id="20"/>
    </w:p>
    <w:p w:rsidR="00D11160" w:rsidRPr="00D11160" w:rsidRDefault="00D11160" w:rsidP="00D11160"/>
    <w:p w:rsidR="0096765C" w:rsidRDefault="0074061D" w:rsidP="0096765C">
      <w:pPr>
        <w:pStyle w:val="ListParagraph"/>
        <w:widowControl/>
        <w:numPr>
          <w:ilvl w:val="1"/>
          <w:numId w:val="5"/>
        </w:numPr>
      </w:pPr>
      <w:r w:rsidRPr="00D11160">
        <w:t xml:space="preserve">The submission proposed a Special Pricing Arrangement </w:t>
      </w:r>
      <w:r w:rsidRPr="00554C1E">
        <w:t xml:space="preserve">whereby the published price of </w:t>
      </w:r>
      <w:proofErr w:type="spellStart"/>
      <w:r w:rsidRPr="00554C1E">
        <w:t>vedolizumab</w:t>
      </w:r>
      <w:proofErr w:type="spellEnd"/>
      <w:r w:rsidRPr="00554C1E">
        <w:t xml:space="preserve"> is </w:t>
      </w:r>
      <w:r w:rsidR="007C6ACB">
        <w:rPr>
          <w:noProof/>
          <w:color w:val="000000"/>
          <w:highlight w:val="black"/>
        </w:rPr>
        <w:t>'''''''''''''''''''''''</w:t>
      </w:r>
      <w:r w:rsidRPr="00D82D6A">
        <w:t xml:space="preserve"> per vial (ex-manufacturer), which is a weighted avera</w:t>
      </w:r>
      <w:r w:rsidRPr="00D82D6A">
        <w:rPr>
          <w:szCs w:val="22"/>
        </w:rPr>
        <w:t>g</w:t>
      </w:r>
      <w:r w:rsidRPr="00D82D6A">
        <w:t xml:space="preserve">e price across </w:t>
      </w:r>
      <w:r w:rsidR="006D5664" w:rsidRPr="00D82D6A">
        <w:t>Crohn</w:t>
      </w:r>
      <w:r w:rsidRPr="00D82D6A">
        <w:t xml:space="preserve"> disease and ulcerative colitis (</w:t>
      </w:r>
      <w:r w:rsidR="00B73522" w:rsidRPr="00D82D6A">
        <w:t xml:space="preserve">based on </w:t>
      </w:r>
      <w:r w:rsidR="007C6ACB">
        <w:rPr>
          <w:noProof/>
          <w:color w:val="000000"/>
          <w:highlight w:val="black"/>
        </w:rPr>
        <w:t>'''''''</w:t>
      </w:r>
      <w:r w:rsidRPr="00D82D6A">
        <w:t xml:space="preserve">% of patients have </w:t>
      </w:r>
      <w:r w:rsidR="006D5664" w:rsidRPr="00D82D6A">
        <w:t>Crohn</w:t>
      </w:r>
      <w:r w:rsidRPr="00D82D6A">
        <w:t xml:space="preserve"> disease and </w:t>
      </w:r>
      <w:r w:rsidR="007C6ACB">
        <w:rPr>
          <w:noProof/>
          <w:color w:val="000000"/>
          <w:highlight w:val="black"/>
        </w:rPr>
        <w:t>''''''</w:t>
      </w:r>
      <w:r w:rsidRPr="00D82D6A">
        <w:t>% have ulcerative colitis) (p5 of the submission).</w:t>
      </w:r>
      <w:r w:rsidR="006C2512" w:rsidRPr="00D82D6A">
        <w:t xml:space="preserve"> The calculation of the number of patients treated does not take into account grandfathered patients. If these patients are included, the split is 69% with </w:t>
      </w:r>
      <w:r w:rsidR="006D5664" w:rsidRPr="00D82D6A">
        <w:t>Crohn</w:t>
      </w:r>
      <w:r w:rsidR="006C2512" w:rsidRPr="00D82D6A">
        <w:t xml:space="preserve"> disease and 31% with ulcerative colitis</w:t>
      </w:r>
      <w:r w:rsidR="00E83B5B" w:rsidRPr="00D82D6A">
        <w:t>, resulting in a lower price</w:t>
      </w:r>
      <w:r w:rsidR="006C2512" w:rsidRPr="00554C1E">
        <w:t>.</w:t>
      </w:r>
      <w:r w:rsidRPr="00D11160">
        <w:t xml:space="preserve"> </w:t>
      </w:r>
      <w:bookmarkEnd w:id="1"/>
      <w:bookmarkEnd w:id="2"/>
      <w:bookmarkEnd w:id="3"/>
      <w:bookmarkEnd w:id="4"/>
      <w:bookmarkEnd w:id="5"/>
      <w:bookmarkEnd w:id="6"/>
    </w:p>
    <w:p w:rsidR="0096765C" w:rsidRDefault="0096765C" w:rsidP="0096765C">
      <w:pPr>
        <w:pStyle w:val="PBACheading1"/>
        <w:numPr>
          <w:ilvl w:val="0"/>
          <w:numId w:val="0"/>
        </w:numPr>
        <w:ind w:left="720"/>
      </w:pPr>
    </w:p>
    <w:p w:rsidR="0096765C" w:rsidRPr="00322628" w:rsidRDefault="0096765C" w:rsidP="0096765C">
      <w:pPr>
        <w:pStyle w:val="ListParagraph"/>
        <w:widowControl/>
        <w:numPr>
          <w:ilvl w:val="1"/>
          <w:numId w:val="5"/>
        </w:numPr>
        <w:snapToGrid w:val="0"/>
      </w:pPr>
      <w:r w:rsidRPr="00322628">
        <w:t xml:space="preserve">The PBAC noted that the submission did not propose a risk sharing arrangement for this indication.  The PBAC noted that addition of </w:t>
      </w:r>
      <w:proofErr w:type="spellStart"/>
      <w:r w:rsidRPr="00322628">
        <w:t>vedolizumab</w:t>
      </w:r>
      <w:proofErr w:type="spellEnd"/>
      <w:r w:rsidRPr="00322628">
        <w:t xml:space="preserve"> may expand the market to a small extent.  Therefore, the PBAC </w:t>
      </w:r>
      <w:r w:rsidR="00EC059D">
        <w:t>recommended that</w:t>
      </w:r>
      <w:r w:rsidRPr="00322628">
        <w:t xml:space="preserve"> </w:t>
      </w:r>
      <w:proofErr w:type="spellStart"/>
      <w:r w:rsidRPr="00322628">
        <w:t>vedolizumab</w:t>
      </w:r>
      <w:proofErr w:type="spellEnd"/>
      <w:r w:rsidR="00EC059D">
        <w:t xml:space="preserve"> should join </w:t>
      </w:r>
      <w:r w:rsidRPr="00322628">
        <w:t>the existing risk sharing arrangements for infliximab in moderate to severe ulcerative colitis</w:t>
      </w:r>
      <w:r w:rsidR="00EC059D">
        <w:t>,</w:t>
      </w:r>
      <w:r w:rsidRPr="00322628">
        <w:t xml:space="preserve"> as both drugs have the same patient population. </w:t>
      </w:r>
    </w:p>
    <w:p w:rsidR="003E7989" w:rsidRDefault="003E7989" w:rsidP="00D609BC">
      <w:pPr>
        <w:pStyle w:val="PBACheading1"/>
        <w:numPr>
          <w:ilvl w:val="0"/>
          <w:numId w:val="0"/>
        </w:numPr>
        <w:rPr>
          <w:i/>
          <w:highlight w:val="yellow"/>
        </w:rPr>
      </w:pPr>
    </w:p>
    <w:p w:rsidR="00907698" w:rsidRPr="00907698" w:rsidRDefault="00907698" w:rsidP="00907698">
      <w:pPr>
        <w:pStyle w:val="PBACheading1"/>
        <w:numPr>
          <w:ilvl w:val="0"/>
          <w:numId w:val="0"/>
        </w:numPr>
        <w:ind w:left="720"/>
        <w:rPr>
          <w:i/>
        </w:rPr>
      </w:pPr>
      <w:r w:rsidRPr="003E7989">
        <w:rPr>
          <w:i/>
        </w:rPr>
        <w:t>For more detail on PBAC’s view, see section 7 “PBAC outcome”</w:t>
      </w:r>
    </w:p>
    <w:p w:rsidR="00797239" w:rsidRDefault="00D82D6A" w:rsidP="00797239">
      <w:pPr>
        <w:widowControl/>
        <w:rPr>
          <w:bCs/>
          <w:i/>
          <w:szCs w:val="22"/>
        </w:rPr>
      </w:pPr>
      <w:proofErr w:type="gramStart"/>
      <w:r>
        <w:rPr>
          <w:bCs/>
          <w:i/>
          <w:szCs w:val="22"/>
        </w:rPr>
        <w:t>s</w:t>
      </w:r>
      <w:proofErr w:type="gramEnd"/>
    </w:p>
    <w:p w:rsidR="003E7989" w:rsidRDefault="003E7989" w:rsidP="00797239">
      <w:pPr>
        <w:widowControl/>
        <w:rPr>
          <w:bCs/>
          <w:i/>
          <w:szCs w:val="22"/>
        </w:rPr>
      </w:pPr>
    </w:p>
    <w:p w:rsidR="0071591D" w:rsidRDefault="0071591D" w:rsidP="0071591D">
      <w:pPr>
        <w:pStyle w:val="PBACHeading10"/>
        <w:numPr>
          <w:ilvl w:val="0"/>
          <w:numId w:val="5"/>
        </w:numPr>
      </w:pPr>
      <w:r>
        <w:t>PBAC Outcome</w:t>
      </w:r>
    </w:p>
    <w:p w:rsidR="0071591D" w:rsidRDefault="0071591D" w:rsidP="0071591D">
      <w:pPr>
        <w:pStyle w:val="PBACHeading10"/>
        <w:ind w:firstLine="0"/>
      </w:pPr>
    </w:p>
    <w:p w:rsidR="0071591D" w:rsidRPr="006B1963" w:rsidRDefault="0071591D" w:rsidP="0071591D">
      <w:pPr>
        <w:numPr>
          <w:ilvl w:val="1"/>
          <w:numId w:val="5"/>
        </w:numPr>
        <w:contextualSpacing/>
        <w:rPr>
          <w:bCs/>
          <w:szCs w:val="22"/>
          <w:lang w:val="en-GB"/>
        </w:rPr>
      </w:pPr>
      <w:r w:rsidRPr="006B1963">
        <w:rPr>
          <w:bCs/>
          <w:szCs w:val="22"/>
          <w:lang w:val="en-GB"/>
        </w:rPr>
        <w:t xml:space="preserve">The PBAC recommended listing of </w:t>
      </w:r>
      <w:proofErr w:type="spellStart"/>
      <w:r w:rsidRPr="006B1963">
        <w:rPr>
          <w:bCs/>
          <w:szCs w:val="22"/>
          <w:lang w:val="en-GB"/>
        </w:rPr>
        <w:t>vedolizumab</w:t>
      </w:r>
      <w:proofErr w:type="spellEnd"/>
      <w:r w:rsidRPr="006B1963">
        <w:rPr>
          <w:bCs/>
          <w:szCs w:val="22"/>
          <w:lang w:val="en-GB"/>
        </w:rPr>
        <w:t xml:space="preserve"> for the treatment of moderate to severe </w:t>
      </w:r>
      <w:r>
        <w:rPr>
          <w:bCs/>
          <w:szCs w:val="22"/>
          <w:lang w:val="en-GB"/>
        </w:rPr>
        <w:t>ulcerative colitis in adult patients</w:t>
      </w:r>
      <w:r w:rsidRPr="006B1963">
        <w:rPr>
          <w:bCs/>
          <w:szCs w:val="22"/>
          <w:lang w:val="en-GB"/>
        </w:rPr>
        <w:t xml:space="preserve">, on the basis that it should be available only as Authority required under the Section 100 Highly Specialised Drugs Program.  </w:t>
      </w:r>
    </w:p>
    <w:p w:rsidR="0071591D" w:rsidRPr="006B1963" w:rsidRDefault="0071591D" w:rsidP="0071591D">
      <w:pPr>
        <w:ind w:left="720"/>
        <w:contextualSpacing/>
        <w:rPr>
          <w:bCs/>
          <w:szCs w:val="22"/>
          <w:lang w:val="en-GB"/>
        </w:rPr>
      </w:pPr>
    </w:p>
    <w:p w:rsidR="0071591D" w:rsidRDefault="0071591D" w:rsidP="0071591D">
      <w:pPr>
        <w:numPr>
          <w:ilvl w:val="1"/>
          <w:numId w:val="5"/>
        </w:numPr>
        <w:contextualSpacing/>
        <w:rPr>
          <w:bCs/>
          <w:szCs w:val="22"/>
          <w:lang w:val="en-GB"/>
        </w:rPr>
      </w:pPr>
      <w:r w:rsidRPr="006B1963">
        <w:rPr>
          <w:bCs/>
          <w:szCs w:val="22"/>
          <w:lang w:val="en-GB"/>
        </w:rPr>
        <w:t xml:space="preserve">The PBAC recommended the listing of </w:t>
      </w:r>
      <w:proofErr w:type="spellStart"/>
      <w:r w:rsidRPr="006B1963">
        <w:rPr>
          <w:bCs/>
          <w:szCs w:val="22"/>
          <w:lang w:val="en-GB"/>
        </w:rPr>
        <w:t>vedolizumab</w:t>
      </w:r>
      <w:proofErr w:type="spellEnd"/>
      <w:r w:rsidRPr="006B1963">
        <w:rPr>
          <w:bCs/>
          <w:szCs w:val="22"/>
          <w:lang w:val="en-GB"/>
        </w:rPr>
        <w:t xml:space="preserve"> on a cost-minimisation basis with infliximab.  The PBAC considered the </w:t>
      </w:r>
      <w:proofErr w:type="spellStart"/>
      <w:r w:rsidRPr="006B1963">
        <w:rPr>
          <w:bCs/>
          <w:szCs w:val="22"/>
          <w:lang w:val="en-GB"/>
        </w:rPr>
        <w:t>equi</w:t>
      </w:r>
      <w:proofErr w:type="spellEnd"/>
      <w:r w:rsidRPr="006B1963">
        <w:rPr>
          <w:bCs/>
          <w:szCs w:val="22"/>
          <w:lang w:val="en-GB"/>
        </w:rPr>
        <w:t xml:space="preserve">-effective doses are: </w:t>
      </w:r>
    </w:p>
    <w:p w:rsidR="0071591D" w:rsidRPr="00984C78" w:rsidRDefault="0071591D" w:rsidP="0071591D">
      <w:pPr>
        <w:pStyle w:val="ListParagraph"/>
        <w:numPr>
          <w:ilvl w:val="0"/>
          <w:numId w:val="27"/>
        </w:numPr>
        <w:snapToGrid w:val="0"/>
        <w:ind w:left="1134"/>
      </w:pPr>
      <w:proofErr w:type="spellStart"/>
      <w:r>
        <w:t>vedolizumab</w:t>
      </w:r>
      <w:proofErr w:type="spellEnd"/>
      <w:r>
        <w:t xml:space="preserve"> </w:t>
      </w:r>
      <w:r>
        <w:rPr>
          <w:bCs/>
          <w:szCs w:val="22"/>
          <w:lang w:val="en-GB"/>
        </w:rPr>
        <w:t xml:space="preserve">– </w:t>
      </w:r>
      <w:r w:rsidRPr="00984C78">
        <w:t>300mg administered at week 0, week 2</w:t>
      </w:r>
      <w:r>
        <w:t xml:space="preserve">, week 6 and then every 8 weeks thereafter; </w:t>
      </w:r>
      <w:r w:rsidR="00210B51">
        <w:t>and</w:t>
      </w:r>
    </w:p>
    <w:p w:rsidR="0071591D" w:rsidRDefault="0071591D" w:rsidP="0071591D">
      <w:pPr>
        <w:pStyle w:val="ListParagraph"/>
        <w:numPr>
          <w:ilvl w:val="0"/>
          <w:numId w:val="27"/>
        </w:numPr>
        <w:snapToGrid w:val="0"/>
        <w:ind w:left="1134"/>
      </w:pPr>
      <w:r>
        <w:t>I</w:t>
      </w:r>
      <w:r w:rsidRPr="00984C78">
        <w:t>nfliximab</w:t>
      </w:r>
      <w:r>
        <w:t xml:space="preserve"> </w:t>
      </w:r>
      <w:r>
        <w:rPr>
          <w:bCs/>
          <w:szCs w:val="22"/>
          <w:lang w:val="en-GB"/>
        </w:rPr>
        <w:t xml:space="preserve">– </w:t>
      </w:r>
      <w:r w:rsidRPr="00984C78">
        <w:t>5mg/kg administered at week 0, week 2, week 6 and then every 8 weeks</w:t>
      </w:r>
      <w:r>
        <w:t xml:space="preserve"> thereafter</w:t>
      </w:r>
      <w:r w:rsidR="00210B51">
        <w:t>.</w:t>
      </w:r>
    </w:p>
    <w:p w:rsidR="0071591D" w:rsidRDefault="0071591D" w:rsidP="00797239">
      <w:pPr>
        <w:widowControl/>
        <w:rPr>
          <w:bCs/>
          <w:i/>
          <w:szCs w:val="22"/>
        </w:rPr>
      </w:pPr>
    </w:p>
    <w:p w:rsidR="00EE1C89" w:rsidRDefault="00EE1C89" w:rsidP="00EE1C89">
      <w:pPr>
        <w:numPr>
          <w:ilvl w:val="1"/>
          <w:numId w:val="5"/>
        </w:numPr>
        <w:contextualSpacing/>
      </w:pPr>
      <w:r>
        <w:rPr>
          <w:bCs/>
          <w:szCs w:val="22"/>
        </w:rPr>
        <w:t>The PBAC</w:t>
      </w:r>
      <w:r w:rsidR="00CB1C19">
        <w:rPr>
          <w:bCs/>
          <w:szCs w:val="22"/>
        </w:rPr>
        <w:t xml:space="preserve"> noted that the requested listing for </w:t>
      </w:r>
      <w:proofErr w:type="spellStart"/>
      <w:r w:rsidR="00CB1C19">
        <w:rPr>
          <w:bCs/>
          <w:szCs w:val="22"/>
        </w:rPr>
        <w:t>vedolizumab</w:t>
      </w:r>
      <w:proofErr w:type="spellEnd"/>
      <w:r w:rsidR="00CB1C19">
        <w:rPr>
          <w:bCs/>
          <w:szCs w:val="22"/>
        </w:rPr>
        <w:t xml:space="preserve"> had been updated and is similar to that for infliximab.  The PBAC agreed </w:t>
      </w:r>
      <w:r>
        <w:rPr>
          <w:bCs/>
          <w:szCs w:val="22"/>
        </w:rPr>
        <w:t xml:space="preserve">that the listing for </w:t>
      </w:r>
      <w:proofErr w:type="spellStart"/>
      <w:r>
        <w:rPr>
          <w:bCs/>
          <w:szCs w:val="22"/>
        </w:rPr>
        <w:t>vedolizumab</w:t>
      </w:r>
      <w:proofErr w:type="spellEnd"/>
      <w:r>
        <w:rPr>
          <w:bCs/>
          <w:szCs w:val="22"/>
        </w:rPr>
        <w:t xml:space="preserve"> should be identical to the </w:t>
      </w:r>
      <w:r w:rsidR="00CB1C19">
        <w:rPr>
          <w:bCs/>
          <w:szCs w:val="22"/>
        </w:rPr>
        <w:t xml:space="preserve">moderate to severe </w:t>
      </w:r>
      <w:r>
        <w:rPr>
          <w:bCs/>
          <w:szCs w:val="22"/>
        </w:rPr>
        <w:t>ulcerative colitis</w:t>
      </w:r>
      <w:r w:rsidR="00CB1C19">
        <w:rPr>
          <w:bCs/>
          <w:szCs w:val="22"/>
        </w:rPr>
        <w:t xml:space="preserve"> (in adults)</w:t>
      </w:r>
      <w:r>
        <w:rPr>
          <w:bCs/>
          <w:szCs w:val="22"/>
        </w:rPr>
        <w:t xml:space="preserve"> restrictions for infliximab</w:t>
      </w:r>
      <w:r>
        <w:t>.</w:t>
      </w:r>
      <w:r w:rsidR="00CB1C19">
        <w:t xml:space="preserve"> </w:t>
      </w:r>
      <w:r w:rsidR="00CF2D57">
        <w:t xml:space="preserve">The PBAC also agreed that </w:t>
      </w:r>
      <w:r w:rsidR="00B32D99">
        <w:t xml:space="preserve">switching </w:t>
      </w:r>
      <w:r w:rsidR="00CF2D57">
        <w:t>rules (swapping criteria)</w:t>
      </w:r>
      <w:r w:rsidR="00574E68">
        <w:t xml:space="preserve"> within a single treatment cycle</w:t>
      </w:r>
      <w:r w:rsidR="00CF2D57">
        <w:t xml:space="preserve"> must be</w:t>
      </w:r>
      <w:r w:rsidR="00183A41">
        <w:t xml:space="preserve"> put in place for infliximab and </w:t>
      </w:r>
      <w:proofErr w:type="spellStart"/>
      <w:r w:rsidR="00183A41">
        <w:t>vedolizumab</w:t>
      </w:r>
      <w:proofErr w:type="spellEnd"/>
      <w:r w:rsidR="00183A41">
        <w:t>.</w:t>
      </w:r>
      <w:r w:rsidR="000C0230">
        <w:t xml:space="preserve">  The Committee agreed that the restriction should allow a total of 3 trials, where a patient cannot trial and fail or, cease to respond to, the same PBS-subsidised </w:t>
      </w:r>
      <w:r w:rsidR="002B00FE">
        <w:t>bDMARD</w:t>
      </w:r>
      <w:r w:rsidR="00AE352B">
        <w:t>s</w:t>
      </w:r>
      <w:r w:rsidR="002B00FE">
        <w:t xml:space="preserve"> (</w:t>
      </w:r>
      <w:r w:rsidR="000C0230">
        <w:t>TNF-</w:t>
      </w:r>
      <w:r w:rsidR="000C0230" w:rsidRPr="00322628">
        <w:t>α</w:t>
      </w:r>
      <w:r w:rsidR="002B00FE">
        <w:t xml:space="preserve"> antagonist</w:t>
      </w:r>
      <w:r w:rsidR="000C0230" w:rsidRPr="00322628">
        <w:t xml:space="preserve"> </w:t>
      </w:r>
      <w:r w:rsidR="002B00FE">
        <w:t xml:space="preserve">or </w:t>
      </w:r>
      <w:r w:rsidR="002B00FE" w:rsidRPr="00E54A0A">
        <w:t>α</w:t>
      </w:r>
      <w:r w:rsidR="002B00FE" w:rsidRPr="00E54A0A">
        <w:rPr>
          <w:bCs/>
          <w:szCs w:val="22"/>
          <w:lang w:val="en-GB"/>
        </w:rPr>
        <w:t>4-integrin</w:t>
      </w:r>
      <w:r w:rsidR="008B6FB1">
        <w:rPr>
          <w:bCs/>
          <w:szCs w:val="22"/>
          <w:lang w:val="en-GB"/>
        </w:rPr>
        <w:t xml:space="preserve"> inhibitor</w:t>
      </w:r>
      <w:r w:rsidR="002B00FE">
        <w:rPr>
          <w:bCs/>
          <w:szCs w:val="22"/>
          <w:lang w:val="en-GB"/>
        </w:rPr>
        <w:t>)</w:t>
      </w:r>
      <w:r w:rsidR="002B00FE">
        <w:t xml:space="preserve"> </w:t>
      </w:r>
      <w:r w:rsidR="000C0230" w:rsidRPr="00322628">
        <w:t>more than twice</w:t>
      </w:r>
      <w:r w:rsidR="000C0230">
        <w:rPr>
          <w:color w:val="FF0000"/>
        </w:rPr>
        <w:t>.</w:t>
      </w:r>
      <w:r w:rsidR="00CF2D57">
        <w:t xml:space="preserve">   </w:t>
      </w:r>
    </w:p>
    <w:p w:rsidR="003F08A9" w:rsidRDefault="003F08A9" w:rsidP="003F08A9">
      <w:pPr>
        <w:ind w:left="720"/>
        <w:contextualSpacing/>
      </w:pPr>
    </w:p>
    <w:p w:rsidR="003F08A9" w:rsidRDefault="003F08A9" w:rsidP="003F08A9">
      <w:pPr>
        <w:numPr>
          <w:ilvl w:val="1"/>
          <w:numId w:val="5"/>
        </w:numPr>
        <w:contextualSpacing/>
      </w:pPr>
      <w:r w:rsidRPr="003F08A9">
        <w:t xml:space="preserve">The PBAC recommended the inclusion of a </w:t>
      </w:r>
      <w:r w:rsidR="00D93C62">
        <w:t>‘</w:t>
      </w:r>
      <w:r w:rsidRPr="003F08A9">
        <w:t>grandfather</w:t>
      </w:r>
      <w:r w:rsidR="00D93C62">
        <w:t>’</w:t>
      </w:r>
      <w:r w:rsidRPr="003F08A9">
        <w:t xml:space="preserve"> restriction</w:t>
      </w:r>
      <w:r w:rsidR="00CB4B1C">
        <w:t xml:space="preserve">, consistent with the </w:t>
      </w:r>
      <w:r w:rsidR="00D93C62">
        <w:t>‘</w:t>
      </w:r>
      <w:r w:rsidR="00CB4B1C">
        <w:t>grandfather</w:t>
      </w:r>
      <w:r w:rsidR="00D93C62">
        <w:t>’</w:t>
      </w:r>
      <w:r w:rsidR="00CB4B1C">
        <w:t xml:space="preserve"> restriction for infliximab,</w:t>
      </w:r>
      <w:r w:rsidRPr="003F08A9">
        <w:t xml:space="preserve"> to enable continuing PBS-subsidised </w:t>
      </w:r>
      <w:proofErr w:type="spellStart"/>
      <w:r w:rsidRPr="003F08A9">
        <w:t>vedolizumab</w:t>
      </w:r>
      <w:proofErr w:type="spellEnd"/>
      <w:r w:rsidRPr="003F08A9">
        <w:t xml:space="preserve"> treatment in </w:t>
      </w:r>
      <w:r w:rsidR="00CB4B1C">
        <w:t xml:space="preserve">patients who have been treated with </w:t>
      </w:r>
      <w:proofErr w:type="spellStart"/>
      <w:r w:rsidR="00CB4B1C">
        <w:t>vedolizumab</w:t>
      </w:r>
      <w:proofErr w:type="spellEnd"/>
      <w:r w:rsidR="00CB4B1C">
        <w:t xml:space="preserve"> for moderate to severe ulcerative colitis through the long term extension study C13008. </w:t>
      </w:r>
      <w:r w:rsidR="00CB4B1C">
        <w:lastRenderedPageBreak/>
        <w:t xml:space="preserve">The PBAC noted the sponsor’s pre-PBAC advice that fewer than </w:t>
      </w:r>
      <w:r w:rsidR="007C6ACB">
        <w:rPr>
          <w:noProof/>
          <w:color w:val="000000"/>
          <w:highlight w:val="black"/>
        </w:rPr>
        <w:t>''''''</w:t>
      </w:r>
      <w:r w:rsidR="00CB4B1C">
        <w:t xml:space="preserve"> patients are expected to fall into this group.</w:t>
      </w:r>
    </w:p>
    <w:p w:rsidR="00EE1C89" w:rsidRDefault="00EE1C89" w:rsidP="00EE1C89">
      <w:pPr>
        <w:ind w:left="720"/>
        <w:contextualSpacing/>
      </w:pPr>
    </w:p>
    <w:p w:rsidR="0011719C" w:rsidRPr="00C760FD" w:rsidRDefault="0011719C" w:rsidP="0065357C">
      <w:pPr>
        <w:numPr>
          <w:ilvl w:val="1"/>
          <w:numId w:val="5"/>
        </w:numPr>
        <w:contextualSpacing/>
      </w:pPr>
      <w:r>
        <w:t xml:space="preserve">The PBAC noted the </w:t>
      </w:r>
      <w:r w:rsidRPr="00984C78">
        <w:t>proposed</w:t>
      </w:r>
      <w:r>
        <w:t xml:space="preserve"> clinical place for </w:t>
      </w:r>
      <w:proofErr w:type="spellStart"/>
      <w:r w:rsidRPr="00984C78">
        <w:t>vedolizumab</w:t>
      </w:r>
      <w:proofErr w:type="spellEnd"/>
      <w:r>
        <w:t xml:space="preserve"> in the </w:t>
      </w:r>
      <w:r w:rsidR="002045E6">
        <w:t>re-</w:t>
      </w:r>
      <w:r>
        <w:t>submission</w:t>
      </w:r>
      <w:r w:rsidRPr="00984C78">
        <w:t xml:space="preserve"> </w:t>
      </w:r>
      <w:r>
        <w:t xml:space="preserve">was </w:t>
      </w:r>
      <w:r w:rsidRPr="00984C78">
        <w:t xml:space="preserve">after failure of the conventional agents (5-ASAs, corticosteroids, and </w:t>
      </w:r>
      <w:proofErr w:type="spellStart"/>
      <w:r w:rsidRPr="00984C78">
        <w:t>immunomodulators</w:t>
      </w:r>
      <w:proofErr w:type="spellEnd"/>
      <w:r w:rsidRPr="00984C78">
        <w:t>), as for infliximab</w:t>
      </w:r>
      <w:r>
        <w:t>.</w:t>
      </w:r>
      <w:r w:rsidR="00415D36">
        <w:t xml:space="preserve">  </w:t>
      </w:r>
      <w:r w:rsidR="002045E6">
        <w:t>The PBAC noted the ESC</w:t>
      </w:r>
      <w:r w:rsidR="00415D36">
        <w:t>’s concern</w:t>
      </w:r>
      <w:r w:rsidR="002045E6">
        <w:t xml:space="preserve"> that the TGA indication</w:t>
      </w:r>
      <w:r w:rsidR="00415D36">
        <w:t xml:space="preserve"> suggests </w:t>
      </w:r>
      <w:proofErr w:type="spellStart"/>
      <w:r w:rsidR="00415D36">
        <w:t>vedolizumab</w:t>
      </w:r>
      <w:proofErr w:type="spellEnd"/>
      <w:r w:rsidR="00415D36">
        <w:t xml:space="preserve"> could be used as second line</w:t>
      </w:r>
      <w:r w:rsidR="00A951A9">
        <w:t xml:space="preserve"> therapy</w:t>
      </w:r>
      <w:r w:rsidR="00415D36">
        <w:t xml:space="preserve">.  </w:t>
      </w:r>
      <w:r w:rsidR="00415D36">
        <w:rPr>
          <w:szCs w:val="22"/>
        </w:rPr>
        <w:t>Noting</w:t>
      </w:r>
      <w:r w:rsidR="00415D36" w:rsidRPr="008843E2">
        <w:rPr>
          <w:szCs w:val="22"/>
        </w:rPr>
        <w:t xml:space="preserve"> the consumer comments</w:t>
      </w:r>
      <w:r w:rsidR="00415D36">
        <w:rPr>
          <w:szCs w:val="22"/>
        </w:rPr>
        <w:t xml:space="preserve"> about the application</w:t>
      </w:r>
      <w:r w:rsidR="00415D36" w:rsidRPr="008843E2">
        <w:rPr>
          <w:szCs w:val="22"/>
        </w:rPr>
        <w:t>, the PBAC considered</w:t>
      </w:r>
      <w:r w:rsidR="00415D36">
        <w:rPr>
          <w:szCs w:val="22"/>
        </w:rPr>
        <w:t xml:space="preserve"> that the clinical place for </w:t>
      </w:r>
      <w:proofErr w:type="spellStart"/>
      <w:r w:rsidR="00415D36">
        <w:rPr>
          <w:szCs w:val="22"/>
        </w:rPr>
        <w:t>vedolizumab</w:t>
      </w:r>
      <w:proofErr w:type="spellEnd"/>
      <w:r w:rsidR="00415D36">
        <w:rPr>
          <w:szCs w:val="22"/>
        </w:rPr>
        <w:t xml:space="preserve"> would be as alternative treatment to infliximab in adult patients with moderate to severe ulcerative colitis</w:t>
      </w:r>
      <w:r w:rsidR="00415D36" w:rsidRPr="008843E2">
        <w:rPr>
          <w:szCs w:val="22"/>
        </w:rPr>
        <w:t>.</w:t>
      </w:r>
    </w:p>
    <w:p w:rsidR="00C760FD" w:rsidRDefault="00C760FD" w:rsidP="00C760FD">
      <w:pPr>
        <w:pStyle w:val="ListParagraph"/>
      </w:pPr>
    </w:p>
    <w:p w:rsidR="00C760FD" w:rsidRDefault="0077239D" w:rsidP="001923CB">
      <w:pPr>
        <w:numPr>
          <w:ilvl w:val="1"/>
          <w:numId w:val="5"/>
        </w:numPr>
        <w:contextualSpacing/>
      </w:pPr>
      <w:r>
        <w:t>The</w:t>
      </w:r>
      <w:r w:rsidR="00AD1988">
        <w:t xml:space="preserve"> </w:t>
      </w:r>
      <w:r w:rsidR="00CE62F2">
        <w:t xml:space="preserve">PBAC accepted </w:t>
      </w:r>
      <w:r w:rsidR="00AD1988">
        <w:t>infliximab</w:t>
      </w:r>
      <w:r w:rsidR="00CE62F2">
        <w:t xml:space="preserve"> as appropriate comparator</w:t>
      </w:r>
      <w:r w:rsidR="00AD1988">
        <w:t>.  The PBAC</w:t>
      </w:r>
      <w:r w:rsidR="001923CB">
        <w:t xml:space="preserve"> </w:t>
      </w:r>
      <w:r w:rsidR="00CE62F2">
        <w:t>noted</w:t>
      </w:r>
      <w:r w:rsidR="001923CB">
        <w:t xml:space="preserve"> that in the previous submission standard of care</w:t>
      </w:r>
      <w:r w:rsidR="001923CB" w:rsidRPr="001923CB">
        <w:t xml:space="preserve"> comprising 5-aminosalicylates, corticosteroids and </w:t>
      </w:r>
      <w:proofErr w:type="spellStart"/>
      <w:r w:rsidR="001923CB" w:rsidRPr="001923CB">
        <w:t>immunomodulators</w:t>
      </w:r>
      <w:proofErr w:type="spellEnd"/>
      <w:r w:rsidR="001923CB">
        <w:t xml:space="preserve"> was the nominated comparator.</w:t>
      </w:r>
      <w:r w:rsidR="003E7989">
        <w:t xml:space="preserve">  </w:t>
      </w:r>
    </w:p>
    <w:p w:rsidR="0077239D" w:rsidRDefault="0077239D" w:rsidP="0077239D">
      <w:pPr>
        <w:pStyle w:val="ListParagraph"/>
      </w:pPr>
    </w:p>
    <w:p w:rsidR="004B43C3" w:rsidRPr="004B43C3" w:rsidRDefault="004B43C3" w:rsidP="004B43C3">
      <w:pPr>
        <w:pStyle w:val="ListParagraph"/>
        <w:widowControl/>
        <w:numPr>
          <w:ilvl w:val="1"/>
          <w:numId w:val="5"/>
        </w:numPr>
        <w:rPr>
          <w:szCs w:val="22"/>
        </w:rPr>
      </w:pPr>
      <w:r w:rsidRPr="004B43C3">
        <w:rPr>
          <w:bCs/>
          <w:szCs w:val="22"/>
          <w:lang w:val="en-GB"/>
        </w:rPr>
        <w:t xml:space="preserve">Based on the input from the clinician at the sponsor hearing, consumer comments from the PBS website and the consumer hearing, the PBAC recognised there is </w:t>
      </w:r>
      <w:r w:rsidR="00CD18C1">
        <w:rPr>
          <w:bCs/>
          <w:szCs w:val="22"/>
          <w:lang w:val="en-GB"/>
        </w:rPr>
        <w:t xml:space="preserve">perceived to be </w:t>
      </w:r>
      <w:r w:rsidRPr="004B43C3">
        <w:rPr>
          <w:bCs/>
          <w:szCs w:val="22"/>
          <w:lang w:val="en-GB"/>
        </w:rPr>
        <w:t xml:space="preserve">a clinical need for </w:t>
      </w:r>
      <w:proofErr w:type="spellStart"/>
      <w:r w:rsidRPr="004B43C3">
        <w:rPr>
          <w:bCs/>
          <w:szCs w:val="22"/>
          <w:lang w:val="en-GB"/>
        </w:rPr>
        <w:t>vedolizumab</w:t>
      </w:r>
      <w:proofErr w:type="spellEnd"/>
      <w:r w:rsidRPr="004B43C3">
        <w:rPr>
          <w:bCs/>
          <w:szCs w:val="22"/>
          <w:lang w:val="en-GB"/>
        </w:rPr>
        <w:t xml:space="preserve"> as alternative treatment in patients with moderate to severe ulcerative colitis following an inadequate response to standard systemic immunosuppressive therapy, given the debilitating nature of the condition</w:t>
      </w:r>
      <w:r w:rsidRPr="004B43C3">
        <w:rPr>
          <w:snapToGrid/>
        </w:rPr>
        <w:t xml:space="preserve">.    </w:t>
      </w:r>
    </w:p>
    <w:p w:rsidR="004B43C3" w:rsidRPr="00DF1CF4" w:rsidRDefault="004B43C3" w:rsidP="004B43C3">
      <w:pPr>
        <w:rPr>
          <w:bCs/>
          <w:szCs w:val="22"/>
          <w:lang w:val="en-GB"/>
        </w:rPr>
      </w:pPr>
      <w:r w:rsidRPr="00DF1CF4">
        <w:rPr>
          <w:snapToGrid/>
        </w:rPr>
        <w:t xml:space="preserve"> </w:t>
      </w:r>
    </w:p>
    <w:p w:rsidR="0077239D" w:rsidRDefault="002723D1" w:rsidP="002B48DC">
      <w:pPr>
        <w:numPr>
          <w:ilvl w:val="1"/>
          <w:numId w:val="5"/>
        </w:numPr>
        <w:contextualSpacing/>
      </w:pPr>
      <w:r>
        <w:t xml:space="preserve">The PBAC </w:t>
      </w:r>
      <w:r w:rsidR="001D5E10">
        <w:t>not</w:t>
      </w:r>
      <w:r>
        <w:t>ed the</w:t>
      </w:r>
      <w:r w:rsidR="001D5E10">
        <w:t xml:space="preserve"> re-submission’s</w:t>
      </w:r>
      <w:r>
        <w:t xml:space="preserve"> claim of non-inferiority </w:t>
      </w:r>
      <w:r w:rsidR="001D5E10">
        <w:t>in terms of comparative efficacy against infliximab</w:t>
      </w:r>
      <w:r>
        <w:t xml:space="preserve">. </w:t>
      </w:r>
      <w:r w:rsidR="00A9032C">
        <w:t>The PBAC</w:t>
      </w:r>
      <w:r w:rsidR="00034154">
        <w:t xml:space="preserve"> noted </w:t>
      </w:r>
      <w:r w:rsidR="001D5E10">
        <w:t>that the trials</w:t>
      </w:r>
      <w:r w:rsidR="007A0652">
        <w:t xml:space="preserve"> presented</w:t>
      </w:r>
      <w:r w:rsidR="001D5E10">
        <w:t xml:space="preserve"> </w:t>
      </w:r>
      <w:r w:rsidR="007A0652">
        <w:t>in the re-submission for</w:t>
      </w:r>
      <w:r w:rsidR="00034154">
        <w:t xml:space="preserve"> </w:t>
      </w:r>
      <w:proofErr w:type="spellStart"/>
      <w:r w:rsidR="00034154">
        <w:t>vedolizumab</w:t>
      </w:r>
      <w:proofErr w:type="spellEnd"/>
      <w:r>
        <w:t xml:space="preserve"> (GEMINI I)</w:t>
      </w:r>
      <w:r w:rsidR="00034154">
        <w:t xml:space="preserve"> and infliximab</w:t>
      </w:r>
      <w:r>
        <w:t xml:space="preserve"> (</w:t>
      </w:r>
      <w:r w:rsidR="007A0652">
        <w:t xml:space="preserve">Probert, </w:t>
      </w:r>
      <w:r>
        <w:t>ACT I and ACT II)</w:t>
      </w:r>
      <w:r w:rsidR="001D5E10">
        <w:t xml:space="preserve"> were</w:t>
      </w:r>
      <w:r w:rsidR="007A0652">
        <w:t xml:space="preserve"> the same trials</w:t>
      </w:r>
      <w:r w:rsidR="001D5E10">
        <w:t xml:space="preserve"> presented in the </w:t>
      </w:r>
      <w:r w:rsidR="007A0652">
        <w:t>original submission</w:t>
      </w:r>
      <w:r w:rsidR="00034154">
        <w:t>.</w:t>
      </w:r>
      <w:r w:rsidR="009E12C3">
        <w:t xml:space="preserve">  The PBAC noted the clinical issues </w:t>
      </w:r>
      <w:proofErr w:type="gramStart"/>
      <w:r w:rsidR="009E12C3">
        <w:t>raised</w:t>
      </w:r>
      <w:proofErr w:type="gramEnd"/>
      <w:r w:rsidR="009E12C3">
        <w:t xml:space="preserve"> by ESC that the non-inferiority claim was not supported and that </w:t>
      </w:r>
      <w:r w:rsidR="009E12C3" w:rsidRPr="00063F4F">
        <w:t xml:space="preserve">the point estimates consistently favour the comparator, but with wide confidence intervals.  </w:t>
      </w:r>
      <w:r w:rsidR="002B48DC">
        <w:t xml:space="preserve">The PBAC considered that the data were of poor quality and that it was difficult to obtain a meaningful interpretation of non-inferiority due to the use of the indirect comparison in the submission. The PBAC also considered that there were exchangeability issues between the </w:t>
      </w:r>
      <w:proofErr w:type="spellStart"/>
      <w:r w:rsidR="002B48DC">
        <w:t>vedolizumab</w:t>
      </w:r>
      <w:proofErr w:type="spellEnd"/>
      <w:r w:rsidR="002B48DC">
        <w:t xml:space="preserve"> and infliximab trials.  However, t</w:t>
      </w:r>
      <w:r w:rsidR="001D5E10">
        <w:t>he PBAC recalled</w:t>
      </w:r>
      <w:r w:rsidR="002B48DC">
        <w:t xml:space="preserve"> its previous consideration of </w:t>
      </w:r>
      <w:proofErr w:type="spellStart"/>
      <w:r w:rsidR="002B48DC">
        <w:t>vedolizumab</w:t>
      </w:r>
      <w:proofErr w:type="spellEnd"/>
      <w:r w:rsidR="002B48DC">
        <w:t xml:space="preserve"> at the </w:t>
      </w:r>
      <w:r w:rsidR="001D5E10">
        <w:t xml:space="preserve">July 2014 </w:t>
      </w:r>
      <w:r w:rsidR="002B48DC">
        <w:t>meeting whe</w:t>
      </w:r>
      <w:r w:rsidR="00980A11">
        <w:t>re</w:t>
      </w:r>
      <w:r w:rsidR="00CD18C1">
        <w:t xml:space="preserve">, notwithstanding </w:t>
      </w:r>
      <w:r w:rsidR="002B48DC">
        <w:t>the ESC’s caution on the interpretation of the results</w:t>
      </w:r>
      <w:r w:rsidR="00CD18C1">
        <w:t>, it</w:t>
      </w:r>
      <w:r w:rsidR="002B48DC">
        <w:t xml:space="preserve"> c</w:t>
      </w:r>
      <w:r w:rsidR="001D5E10">
        <w:t xml:space="preserve">onsidered </w:t>
      </w:r>
      <w:r w:rsidR="00CD18C1">
        <w:t xml:space="preserve">it likely </w:t>
      </w:r>
      <w:r w:rsidR="001D5E10">
        <w:t xml:space="preserve">that </w:t>
      </w:r>
      <w:proofErr w:type="spellStart"/>
      <w:r w:rsidR="001D5E10">
        <w:t>vedolizumab</w:t>
      </w:r>
      <w:proofErr w:type="spellEnd"/>
      <w:r w:rsidR="001D5E10">
        <w:t xml:space="preserve"> has comparable efficacy to that of infliximab.</w:t>
      </w:r>
      <w:r w:rsidR="002B48DC">
        <w:t xml:space="preserve">  </w:t>
      </w:r>
      <w:r w:rsidR="003E4BD1" w:rsidRPr="00322628">
        <w:t xml:space="preserve">The PBAC considered that despite the problems in the indirect comparison, the PBAC </w:t>
      </w:r>
      <w:r w:rsidR="003F08A9">
        <w:t>was</w:t>
      </w:r>
      <w:r w:rsidR="003F08A9" w:rsidRPr="00322628">
        <w:t xml:space="preserve"> </w:t>
      </w:r>
      <w:r w:rsidR="003E4BD1" w:rsidRPr="00322628">
        <w:t xml:space="preserve">satisfied that </w:t>
      </w:r>
      <w:proofErr w:type="spellStart"/>
      <w:r w:rsidR="003E4BD1" w:rsidRPr="00322628">
        <w:t>vedolizumab</w:t>
      </w:r>
      <w:proofErr w:type="spellEnd"/>
      <w:r w:rsidR="003E4BD1" w:rsidRPr="00322628">
        <w:t xml:space="preserve"> </w:t>
      </w:r>
      <w:r w:rsidR="00CD18C1">
        <w:t>may</w:t>
      </w:r>
      <w:r w:rsidR="003E4BD1" w:rsidRPr="00322628">
        <w:t xml:space="preserve"> be a reasonable alternative to infliximab.</w:t>
      </w:r>
    </w:p>
    <w:p w:rsidR="00980A11" w:rsidRDefault="00980A11" w:rsidP="00980A11">
      <w:pPr>
        <w:ind w:left="720"/>
        <w:contextualSpacing/>
      </w:pPr>
    </w:p>
    <w:p w:rsidR="004B43C3" w:rsidRPr="004B43C3" w:rsidRDefault="00980A11" w:rsidP="004B43C3">
      <w:pPr>
        <w:pStyle w:val="ListParagraph"/>
        <w:widowControl/>
        <w:numPr>
          <w:ilvl w:val="1"/>
          <w:numId w:val="5"/>
        </w:numPr>
        <w:rPr>
          <w:szCs w:val="22"/>
        </w:rPr>
      </w:pPr>
      <w:r>
        <w:t>The PBAC noted that in terms of comparative safety, t</w:t>
      </w:r>
      <w:r w:rsidRPr="00063F4F">
        <w:t xml:space="preserve">here were no significant differences between the </w:t>
      </w:r>
      <w:proofErr w:type="spellStart"/>
      <w:r w:rsidRPr="00063F4F">
        <w:t>vedolizumab</w:t>
      </w:r>
      <w:proofErr w:type="spellEnd"/>
      <w:r w:rsidRPr="00063F4F">
        <w:t xml:space="preserve"> and infliximab trials.</w:t>
      </w:r>
      <w:r w:rsidR="00C225FC">
        <w:t xml:space="preserve">  </w:t>
      </w:r>
      <w:r w:rsidR="00C225FC" w:rsidRPr="000D48A3">
        <w:rPr>
          <w:bCs/>
          <w:szCs w:val="22"/>
          <w:lang w:val="en-GB"/>
        </w:rPr>
        <w:t xml:space="preserve">The PBAC noted the theoretical risk of developing PML with </w:t>
      </w:r>
      <w:proofErr w:type="spellStart"/>
      <w:r w:rsidR="00C225FC" w:rsidRPr="000D48A3">
        <w:rPr>
          <w:bCs/>
          <w:szCs w:val="22"/>
          <w:lang w:val="en-GB"/>
        </w:rPr>
        <w:t>vedolizumab</w:t>
      </w:r>
      <w:proofErr w:type="spellEnd"/>
      <w:r w:rsidR="00C225FC" w:rsidRPr="000D48A3">
        <w:rPr>
          <w:bCs/>
          <w:szCs w:val="22"/>
          <w:lang w:val="en-GB"/>
        </w:rPr>
        <w:t xml:space="preserve"> treatment as this is in the same class as </w:t>
      </w:r>
      <w:proofErr w:type="spellStart"/>
      <w:r w:rsidR="00C225FC" w:rsidRPr="000D48A3">
        <w:rPr>
          <w:bCs/>
          <w:szCs w:val="22"/>
          <w:lang w:val="en-GB"/>
        </w:rPr>
        <w:t>natalizumab</w:t>
      </w:r>
      <w:proofErr w:type="spellEnd"/>
      <w:r w:rsidR="00C225FC" w:rsidRPr="000D48A3">
        <w:rPr>
          <w:bCs/>
          <w:szCs w:val="22"/>
          <w:lang w:val="en-GB"/>
        </w:rPr>
        <w:t>.</w:t>
      </w:r>
      <w:r w:rsidR="00101874">
        <w:rPr>
          <w:bCs/>
          <w:szCs w:val="22"/>
          <w:lang w:val="en-GB"/>
        </w:rPr>
        <w:t xml:space="preserve">  The PBAC </w:t>
      </w:r>
      <w:r w:rsidR="00C225FC">
        <w:rPr>
          <w:bCs/>
          <w:szCs w:val="22"/>
          <w:lang w:val="en-GB"/>
        </w:rPr>
        <w:t>noted that the re-submission described the Risk Management Plan used in the GEMINI I trial and</w:t>
      </w:r>
      <w:r w:rsidR="00C225FC" w:rsidRPr="000D48A3">
        <w:rPr>
          <w:bCs/>
          <w:szCs w:val="22"/>
          <w:lang w:val="en-GB"/>
        </w:rPr>
        <w:t xml:space="preserve"> </w:t>
      </w:r>
      <w:r w:rsidR="00101874">
        <w:rPr>
          <w:bCs/>
          <w:szCs w:val="22"/>
          <w:lang w:val="en-GB"/>
        </w:rPr>
        <w:t xml:space="preserve">the potential screening and monitoring plan for PML risk.  </w:t>
      </w:r>
      <w:r w:rsidR="003E4BD1" w:rsidRPr="00322628">
        <w:rPr>
          <w:bCs/>
          <w:szCs w:val="22"/>
          <w:lang w:val="en-GB"/>
        </w:rPr>
        <w:t xml:space="preserve">The PBAC considered the submission’s and sponsor hearing arguments about the risk of PML being </w:t>
      </w:r>
      <w:r w:rsidR="00CD18C1">
        <w:rPr>
          <w:bCs/>
          <w:szCs w:val="22"/>
          <w:lang w:val="en-GB"/>
        </w:rPr>
        <w:t xml:space="preserve">very low (given the gut selective mechanism), and </w:t>
      </w:r>
      <w:r w:rsidR="0092587D">
        <w:rPr>
          <w:bCs/>
          <w:szCs w:val="22"/>
          <w:lang w:val="en-GB"/>
        </w:rPr>
        <w:t xml:space="preserve">acknowledged </w:t>
      </w:r>
      <w:r w:rsidR="00CD18C1">
        <w:rPr>
          <w:bCs/>
          <w:szCs w:val="22"/>
          <w:lang w:val="en-GB"/>
        </w:rPr>
        <w:t>that</w:t>
      </w:r>
      <w:r w:rsidR="003E4BD1" w:rsidRPr="00322628">
        <w:rPr>
          <w:bCs/>
          <w:szCs w:val="22"/>
          <w:lang w:val="en-GB"/>
        </w:rPr>
        <w:t xml:space="preserve"> no cases of PML have </w:t>
      </w:r>
      <w:r w:rsidR="001D2AE0">
        <w:rPr>
          <w:bCs/>
          <w:szCs w:val="22"/>
          <w:lang w:val="en-GB"/>
        </w:rPr>
        <w:t xml:space="preserve">been reported </w:t>
      </w:r>
      <w:r w:rsidR="003E4BD1" w:rsidRPr="00322628">
        <w:rPr>
          <w:bCs/>
          <w:szCs w:val="22"/>
          <w:lang w:val="en-GB"/>
        </w:rPr>
        <w:t>so far.</w:t>
      </w:r>
      <w:r w:rsidR="003E4BD1">
        <w:rPr>
          <w:bCs/>
          <w:color w:val="FF0000"/>
          <w:szCs w:val="22"/>
          <w:lang w:val="en-GB"/>
        </w:rPr>
        <w:t xml:space="preserve"> </w:t>
      </w:r>
      <w:r w:rsidR="00101874">
        <w:rPr>
          <w:bCs/>
          <w:szCs w:val="22"/>
          <w:lang w:val="en-GB"/>
        </w:rPr>
        <w:t>T</w:t>
      </w:r>
      <w:r w:rsidR="00C225FC" w:rsidRPr="000D48A3">
        <w:rPr>
          <w:bCs/>
          <w:szCs w:val="22"/>
          <w:lang w:val="en-GB"/>
        </w:rPr>
        <w:t xml:space="preserve">he PBAC accepted the </w:t>
      </w:r>
      <w:r w:rsidR="00C225FC">
        <w:rPr>
          <w:bCs/>
          <w:szCs w:val="22"/>
          <w:lang w:val="en-GB"/>
        </w:rPr>
        <w:t>re-</w:t>
      </w:r>
      <w:r w:rsidR="00C225FC" w:rsidRPr="000D48A3">
        <w:rPr>
          <w:bCs/>
          <w:szCs w:val="22"/>
          <w:lang w:val="en-GB"/>
        </w:rPr>
        <w:t xml:space="preserve">submission’s request that the restriction includes a requirement for patients to undergo screening and ongoing monitoring for PML. </w:t>
      </w:r>
      <w:r w:rsidR="00C225FC">
        <w:rPr>
          <w:bCs/>
          <w:szCs w:val="22"/>
          <w:lang w:val="en-GB"/>
        </w:rPr>
        <w:t xml:space="preserve"> </w:t>
      </w:r>
      <w:r w:rsidRPr="00063F4F">
        <w:t xml:space="preserve"> </w:t>
      </w:r>
    </w:p>
    <w:p w:rsidR="004B43C3" w:rsidRPr="004B43C3" w:rsidRDefault="004B43C3" w:rsidP="004B43C3">
      <w:pPr>
        <w:pStyle w:val="ListParagraph"/>
        <w:rPr>
          <w:bCs/>
          <w:szCs w:val="22"/>
          <w:lang w:val="en-GB"/>
        </w:rPr>
      </w:pPr>
    </w:p>
    <w:p w:rsidR="006D5664" w:rsidRDefault="006D5664" w:rsidP="006D5664">
      <w:pPr>
        <w:numPr>
          <w:ilvl w:val="1"/>
          <w:numId w:val="5"/>
        </w:numPr>
        <w:contextualSpacing/>
        <w:rPr>
          <w:bCs/>
          <w:szCs w:val="22"/>
          <w:lang w:val="en-GB"/>
        </w:rPr>
      </w:pPr>
      <w:r w:rsidRPr="007E40DF">
        <w:rPr>
          <w:bCs/>
          <w:szCs w:val="22"/>
          <w:lang w:val="en-GB"/>
        </w:rPr>
        <w:lastRenderedPageBreak/>
        <w:t xml:space="preserve">The PBAC considered the cost-minimisation analysis of </w:t>
      </w:r>
      <w:proofErr w:type="spellStart"/>
      <w:r w:rsidRPr="007E40DF">
        <w:rPr>
          <w:bCs/>
          <w:szCs w:val="22"/>
          <w:lang w:val="en-GB"/>
        </w:rPr>
        <w:t>vedolizumab</w:t>
      </w:r>
      <w:proofErr w:type="spellEnd"/>
      <w:r w:rsidRPr="007E40DF">
        <w:rPr>
          <w:bCs/>
          <w:szCs w:val="22"/>
          <w:lang w:val="en-GB"/>
        </w:rPr>
        <w:t xml:space="preserve"> against infliximab.  The PBAC agreed with ESC that the cost of managing the theoretical risk of PML should be included in the analysis.  The PBAC </w:t>
      </w:r>
      <w:r w:rsidR="007F7427">
        <w:rPr>
          <w:bCs/>
          <w:szCs w:val="22"/>
          <w:lang w:val="en-GB"/>
        </w:rPr>
        <w:t xml:space="preserve">considered that </w:t>
      </w:r>
      <w:r w:rsidR="007E40DF" w:rsidRPr="007E40DF">
        <w:rPr>
          <w:bCs/>
          <w:szCs w:val="22"/>
          <w:lang w:val="en-GB"/>
        </w:rPr>
        <w:t xml:space="preserve">the cost of managing screening and monitoring for PML </w:t>
      </w:r>
      <w:r w:rsidR="007F7427">
        <w:t>should be included</w:t>
      </w:r>
      <w:r w:rsidR="007E40DF">
        <w:t xml:space="preserve"> </w:t>
      </w:r>
      <w:r w:rsidR="007E40DF" w:rsidRPr="007E40DF">
        <w:rPr>
          <w:bCs/>
          <w:szCs w:val="22"/>
          <w:lang w:val="en-GB"/>
        </w:rPr>
        <w:t xml:space="preserve">in calculating the price for </w:t>
      </w:r>
      <w:proofErr w:type="spellStart"/>
      <w:r w:rsidR="007E40DF" w:rsidRPr="007E40DF">
        <w:rPr>
          <w:bCs/>
          <w:szCs w:val="22"/>
          <w:lang w:val="en-GB"/>
        </w:rPr>
        <w:t>vedolizumab</w:t>
      </w:r>
      <w:proofErr w:type="spellEnd"/>
      <w:r w:rsidR="007E40DF" w:rsidRPr="007E40DF">
        <w:rPr>
          <w:bCs/>
          <w:szCs w:val="22"/>
          <w:lang w:val="en-GB"/>
        </w:rPr>
        <w:t xml:space="preserve">. </w:t>
      </w:r>
      <w:r w:rsidR="004D24B6">
        <w:rPr>
          <w:bCs/>
          <w:szCs w:val="22"/>
          <w:lang w:val="en-GB"/>
        </w:rPr>
        <w:t xml:space="preserve"> The PBAC noted the Department’s advice that infliximab has a published versus effective price for this indication.</w:t>
      </w:r>
    </w:p>
    <w:p w:rsidR="007E40DF" w:rsidRPr="007E40DF" w:rsidRDefault="007E40DF" w:rsidP="007E40DF">
      <w:pPr>
        <w:ind w:left="720"/>
        <w:contextualSpacing/>
        <w:rPr>
          <w:bCs/>
          <w:szCs w:val="22"/>
          <w:lang w:val="en-GB"/>
        </w:rPr>
      </w:pPr>
    </w:p>
    <w:p w:rsidR="006D5664" w:rsidRDefault="006D5664" w:rsidP="00A13FA8">
      <w:pPr>
        <w:numPr>
          <w:ilvl w:val="1"/>
          <w:numId w:val="5"/>
        </w:numPr>
        <w:contextualSpacing/>
        <w:rPr>
          <w:bCs/>
          <w:szCs w:val="22"/>
          <w:lang w:val="en-GB"/>
        </w:rPr>
      </w:pPr>
      <w:r w:rsidRPr="003C2CBD">
        <w:rPr>
          <w:bCs/>
          <w:szCs w:val="22"/>
          <w:lang w:val="en-GB"/>
        </w:rPr>
        <w:t>The PBAC agreed with the issues regarding the utilisation and financial estimates outlined in paragraph 6.</w:t>
      </w:r>
      <w:r w:rsidR="007E40DF" w:rsidRPr="003C2CBD">
        <w:rPr>
          <w:bCs/>
          <w:szCs w:val="22"/>
          <w:lang w:val="en-GB"/>
        </w:rPr>
        <w:t>2</w:t>
      </w:r>
      <w:r w:rsidR="00322628" w:rsidRPr="003C2CBD">
        <w:rPr>
          <w:bCs/>
          <w:szCs w:val="22"/>
          <w:lang w:val="en-GB"/>
        </w:rPr>
        <w:t>3</w:t>
      </w:r>
      <w:r w:rsidR="0063736F" w:rsidRPr="003C2CBD">
        <w:rPr>
          <w:bCs/>
          <w:szCs w:val="22"/>
          <w:lang w:val="en-GB"/>
        </w:rPr>
        <w:t xml:space="preserve"> and that the </w:t>
      </w:r>
      <w:r w:rsidR="003C2CBD">
        <w:rPr>
          <w:bCs/>
          <w:szCs w:val="22"/>
          <w:lang w:val="en-GB"/>
        </w:rPr>
        <w:t xml:space="preserve">up to </w:t>
      </w:r>
      <w:r w:rsidR="007C6ACB">
        <w:rPr>
          <w:bCs/>
          <w:noProof/>
          <w:color w:val="000000"/>
          <w:szCs w:val="22"/>
          <w:highlight w:val="black"/>
          <w:lang w:val="en-GB"/>
        </w:rPr>
        <w:t>''''''</w:t>
      </w:r>
      <w:r w:rsidR="003C2CBD">
        <w:rPr>
          <w:bCs/>
          <w:szCs w:val="22"/>
          <w:lang w:val="en-GB"/>
        </w:rPr>
        <w:t xml:space="preserve"> potential</w:t>
      </w:r>
      <w:r w:rsidR="0063736F" w:rsidRPr="003C2CBD">
        <w:rPr>
          <w:bCs/>
          <w:szCs w:val="22"/>
          <w:lang w:val="en-GB"/>
        </w:rPr>
        <w:t xml:space="preserve"> grandfather patients should be included in the financial estimates.</w:t>
      </w:r>
      <w:r w:rsidR="004D24B6">
        <w:rPr>
          <w:bCs/>
          <w:szCs w:val="22"/>
          <w:lang w:val="en-GB"/>
        </w:rPr>
        <w:t xml:space="preserve">  The PBAC noted that the financial estimates are based on the published prices of </w:t>
      </w:r>
      <w:proofErr w:type="spellStart"/>
      <w:r w:rsidR="004D24B6">
        <w:rPr>
          <w:bCs/>
          <w:szCs w:val="22"/>
          <w:lang w:val="en-GB"/>
        </w:rPr>
        <w:t>vedolizumab</w:t>
      </w:r>
      <w:proofErr w:type="spellEnd"/>
      <w:r w:rsidR="004D24B6">
        <w:rPr>
          <w:bCs/>
          <w:szCs w:val="22"/>
          <w:lang w:val="en-GB"/>
        </w:rPr>
        <w:t xml:space="preserve"> and infliximab, and that the net financial to the Commonwealth will be less than estimated by the submission.  </w:t>
      </w:r>
      <w:r w:rsidR="0063736F" w:rsidRPr="003C2CBD">
        <w:rPr>
          <w:bCs/>
          <w:szCs w:val="22"/>
          <w:lang w:val="en-GB"/>
        </w:rPr>
        <w:t xml:space="preserve"> </w:t>
      </w:r>
    </w:p>
    <w:p w:rsidR="00AE352B" w:rsidRPr="003C2CBD" w:rsidRDefault="00AE352B" w:rsidP="004D24B6">
      <w:pPr>
        <w:ind w:left="720"/>
        <w:contextualSpacing/>
        <w:rPr>
          <w:bCs/>
          <w:szCs w:val="22"/>
          <w:lang w:val="en-GB"/>
        </w:rPr>
      </w:pPr>
    </w:p>
    <w:p w:rsidR="00C53012" w:rsidRDefault="00C53012" w:rsidP="00C53012">
      <w:pPr>
        <w:numPr>
          <w:ilvl w:val="1"/>
          <w:numId w:val="5"/>
        </w:numPr>
        <w:contextualSpacing/>
        <w:rPr>
          <w:bCs/>
          <w:szCs w:val="22"/>
          <w:lang w:val="en-GB"/>
        </w:rPr>
      </w:pPr>
      <w:r>
        <w:rPr>
          <w:bCs/>
          <w:szCs w:val="22"/>
          <w:lang w:val="en-GB"/>
        </w:rPr>
        <w:t xml:space="preserve">In accordance </w:t>
      </w:r>
      <w:r>
        <w:rPr>
          <w:rFonts w:cs="Times New Roman"/>
          <w:szCs w:val="22"/>
          <w:lang w:eastAsia="en-AU"/>
        </w:rPr>
        <w:t xml:space="preserve">with subsection 101(3BA) of the Act the PBAC advised that it is of </w:t>
      </w:r>
      <w:r w:rsidR="00BA2259">
        <w:rPr>
          <w:rFonts w:cs="Times New Roman"/>
          <w:szCs w:val="22"/>
          <w:lang w:eastAsia="en-AU"/>
        </w:rPr>
        <w:t>the opinion that, on the basis o</w:t>
      </w:r>
      <w:r>
        <w:rPr>
          <w:rFonts w:cs="Times New Roman"/>
          <w:szCs w:val="22"/>
          <w:lang w:eastAsia="en-AU"/>
        </w:rPr>
        <w:t xml:space="preserve">f the material available to it at its March 2015 meeting, </w:t>
      </w:r>
      <w:proofErr w:type="spellStart"/>
      <w:r>
        <w:rPr>
          <w:rFonts w:cs="Times New Roman"/>
          <w:szCs w:val="22"/>
          <w:lang w:eastAsia="en-AU"/>
        </w:rPr>
        <w:t>vedolizumab</w:t>
      </w:r>
      <w:proofErr w:type="spellEnd"/>
      <w:r>
        <w:rPr>
          <w:rFonts w:cs="Times New Roman"/>
          <w:szCs w:val="22"/>
          <w:lang w:eastAsia="en-AU"/>
        </w:rPr>
        <w:t xml:space="preserve"> should not be treated as interchangeable on an individual patient basis with any other drugs.</w:t>
      </w:r>
      <w:r>
        <w:rPr>
          <w:bCs/>
          <w:szCs w:val="22"/>
          <w:lang w:val="en-GB"/>
        </w:rPr>
        <w:t xml:space="preserve"> </w:t>
      </w:r>
    </w:p>
    <w:p w:rsidR="00C53012" w:rsidRDefault="00C53012" w:rsidP="00C53012">
      <w:pPr>
        <w:pStyle w:val="ListParagraph"/>
        <w:rPr>
          <w:bCs/>
          <w:szCs w:val="22"/>
          <w:lang w:val="en-GB"/>
        </w:rPr>
      </w:pPr>
    </w:p>
    <w:p w:rsidR="00C53012" w:rsidRDefault="00C53012" w:rsidP="00C53012">
      <w:pPr>
        <w:numPr>
          <w:ilvl w:val="1"/>
          <w:numId w:val="5"/>
        </w:numPr>
        <w:contextualSpacing/>
        <w:rPr>
          <w:bCs/>
          <w:szCs w:val="22"/>
          <w:lang w:val="en-GB"/>
        </w:rPr>
      </w:pPr>
      <w:r>
        <w:rPr>
          <w:bCs/>
          <w:szCs w:val="22"/>
          <w:lang w:val="en-GB"/>
        </w:rPr>
        <w:t xml:space="preserve">The PBAC advised that </w:t>
      </w:r>
      <w:proofErr w:type="spellStart"/>
      <w:r>
        <w:rPr>
          <w:bCs/>
          <w:szCs w:val="22"/>
          <w:lang w:val="en-GB"/>
        </w:rPr>
        <w:t>vedolizumab</w:t>
      </w:r>
      <w:proofErr w:type="spellEnd"/>
      <w:r>
        <w:rPr>
          <w:bCs/>
          <w:szCs w:val="22"/>
          <w:lang w:val="en-GB"/>
        </w:rPr>
        <w:t xml:space="preserve"> is not suitable for prescribing by nurse practitioners.</w:t>
      </w:r>
    </w:p>
    <w:p w:rsidR="00C53012" w:rsidRDefault="00C53012" w:rsidP="00C53012">
      <w:pPr>
        <w:pStyle w:val="ListParagraph"/>
        <w:rPr>
          <w:bCs/>
          <w:szCs w:val="22"/>
          <w:lang w:val="en-GB"/>
        </w:rPr>
      </w:pPr>
    </w:p>
    <w:p w:rsidR="00C53012" w:rsidRDefault="00C53012" w:rsidP="00C53012">
      <w:pPr>
        <w:numPr>
          <w:ilvl w:val="1"/>
          <w:numId w:val="5"/>
        </w:numPr>
        <w:contextualSpacing/>
        <w:rPr>
          <w:bCs/>
          <w:szCs w:val="22"/>
          <w:lang w:val="en-GB"/>
        </w:rPr>
      </w:pPr>
      <w:r>
        <w:rPr>
          <w:bCs/>
          <w:szCs w:val="22"/>
          <w:lang w:val="en-GB"/>
        </w:rPr>
        <w:t xml:space="preserve">The PBAC recommended that the Safety Net 20 Day Rule should not apply to </w:t>
      </w:r>
      <w:proofErr w:type="spellStart"/>
      <w:r>
        <w:rPr>
          <w:bCs/>
          <w:szCs w:val="22"/>
          <w:lang w:val="en-GB"/>
        </w:rPr>
        <w:t>vedolizumab</w:t>
      </w:r>
      <w:proofErr w:type="spellEnd"/>
      <w:r>
        <w:rPr>
          <w:bCs/>
          <w:szCs w:val="22"/>
          <w:lang w:val="en-GB"/>
        </w:rPr>
        <w:t>.</w:t>
      </w:r>
    </w:p>
    <w:p w:rsidR="00C53012" w:rsidRDefault="00C53012" w:rsidP="00C53012">
      <w:pPr>
        <w:pStyle w:val="ListParagraph"/>
        <w:rPr>
          <w:bCs/>
          <w:szCs w:val="22"/>
          <w:lang w:val="en-GB"/>
        </w:rPr>
      </w:pPr>
    </w:p>
    <w:p w:rsidR="00C53012" w:rsidRDefault="00C53012" w:rsidP="00C53012">
      <w:pPr>
        <w:numPr>
          <w:ilvl w:val="1"/>
          <w:numId w:val="5"/>
        </w:numPr>
        <w:contextualSpacing/>
        <w:rPr>
          <w:bCs/>
          <w:szCs w:val="22"/>
          <w:lang w:val="en-GB"/>
        </w:rPr>
      </w:pPr>
      <w:r>
        <w:rPr>
          <w:bCs/>
          <w:szCs w:val="22"/>
          <w:lang w:val="en-GB"/>
        </w:rPr>
        <w:t>The PBAC noted the flow-on restriction changes to infliximab for the moderate to severe ulcerative colitis in adults.  The PBAC noted that this will be a complex restriction.</w:t>
      </w:r>
    </w:p>
    <w:p w:rsidR="00980A11" w:rsidRDefault="00980A11" w:rsidP="00C53012">
      <w:pPr>
        <w:ind w:left="720"/>
        <w:contextualSpacing/>
      </w:pPr>
    </w:p>
    <w:p w:rsidR="009174D6" w:rsidRDefault="009174D6" w:rsidP="00C53012">
      <w:pPr>
        <w:ind w:left="720"/>
        <w:contextualSpacing/>
      </w:pPr>
    </w:p>
    <w:p w:rsidR="009174D6" w:rsidRPr="00290F17" w:rsidRDefault="009174D6" w:rsidP="009174D6">
      <w:pPr>
        <w:pStyle w:val="PBACHeading10"/>
        <w:ind w:left="0" w:firstLine="0"/>
      </w:pPr>
      <w:r w:rsidRPr="00290F17">
        <w:t>Outcome:</w:t>
      </w:r>
    </w:p>
    <w:p w:rsidR="009E12C3" w:rsidRPr="009174D6" w:rsidRDefault="009174D6" w:rsidP="009174D6">
      <w:r w:rsidRPr="009174D6">
        <w:t>Recommended</w:t>
      </w:r>
    </w:p>
    <w:p w:rsidR="009174D6" w:rsidRPr="009174D6" w:rsidRDefault="009174D6" w:rsidP="009174D6">
      <w:pPr>
        <w:widowControl/>
        <w:rPr>
          <w:b/>
          <w:bCs/>
          <w:szCs w:val="22"/>
        </w:rPr>
      </w:pPr>
    </w:p>
    <w:p w:rsidR="009174D6" w:rsidRPr="009174D6" w:rsidRDefault="009174D6" w:rsidP="009174D6">
      <w:pPr>
        <w:widowControl/>
        <w:rPr>
          <w:b/>
          <w:bCs/>
          <w:szCs w:val="22"/>
        </w:rPr>
      </w:pPr>
    </w:p>
    <w:p w:rsidR="00D609BC" w:rsidRPr="00D609BC" w:rsidRDefault="009174D6" w:rsidP="00D609BC">
      <w:pPr>
        <w:pStyle w:val="PBACheading1"/>
        <w:rPr>
          <w:b/>
          <w:i/>
          <w:lang w:val="en-GB"/>
        </w:rPr>
      </w:pPr>
      <w:r w:rsidRPr="009174D6">
        <w:rPr>
          <w:b/>
          <w:lang w:val="en-GB"/>
        </w:rPr>
        <w:t>Recommended listing</w:t>
      </w:r>
    </w:p>
    <w:p w:rsidR="00D609BC" w:rsidRPr="00D609BC" w:rsidRDefault="00D609BC" w:rsidP="00D609BC">
      <w:pPr>
        <w:pStyle w:val="PBACheading1"/>
        <w:numPr>
          <w:ilvl w:val="0"/>
          <w:numId w:val="0"/>
        </w:numPr>
        <w:ind w:left="720"/>
        <w:rPr>
          <w:b/>
          <w:i/>
          <w:lang w:val="en-GB"/>
        </w:rPr>
      </w:pPr>
    </w:p>
    <w:p w:rsidR="009174D6" w:rsidRPr="00D609BC" w:rsidRDefault="009174D6" w:rsidP="00D609BC">
      <w:pPr>
        <w:pStyle w:val="PBACheading1"/>
        <w:numPr>
          <w:ilvl w:val="1"/>
          <w:numId w:val="5"/>
        </w:numPr>
        <w:rPr>
          <w:b/>
          <w:i/>
          <w:lang w:val="en-GB"/>
        </w:rPr>
      </w:pPr>
      <w:r w:rsidRPr="009174D6">
        <w:t>Add new item. Restriction to be finalised including flow-on changes to current infliximab restriction.</w:t>
      </w:r>
    </w:p>
    <w:p w:rsidR="009174D6" w:rsidRDefault="009174D6" w:rsidP="009174D6">
      <w:pPr>
        <w:widowControl/>
        <w:rPr>
          <w:b/>
          <w:bCs/>
          <w:szCs w:val="22"/>
        </w:rPr>
      </w:pPr>
    </w:p>
    <w:p w:rsidR="00EE45AE" w:rsidRPr="002E2C3B" w:rsidRDefault="00EE45AE" w:rsidP="00EE45AE">
      <w:pPr>
        <w:widowControl/>
        <w:jc w:val="left"/>
        <w:rPr>
          <w:rFonts w:ascii="Times New Roman" w:hAnsi="Times New Roman" w:cs="Times New Roman"/>
          <w:snapToGrid/>
          <w:sz w:val="24"/>
          <w:szCs w:val="24"/>
          <w:lang w:val="en-GB"/>
        </w:rPr>
      </w:pPr>
    </w:p>
    <w:p w:rsidR="00EE45AE" w:rsidRPr="002E2C3B" w:rsidRDefault="00EE45AE" w:rsidP="00EE45AE">
      <w:pPr>
        <w:widowControl/>
        <w:ind w:left="720" w:hanging="720"/>
        <w:jc w:val="left"/>
        <w:rPr>
          <w:rFonts w:eastAsia="SimSun"/>
          <w:b/>
          <w:snapToGrid/>
          <w:szCs w:val="22"/>
        </w:rPr>
      </w:pPr>
      <w:r>
        <w:rPr>
          <w:rFonts w:eastAsia="SimSun"/>
          <w:b/>
          <w:snapToGrid/>
          <w:szCs w:val="22"/>
        </w:rPr>
        <w:t>9</w:t>
      </w:r>
      <w:r w:rsidRPr="002E2C3B">
        <w:rPr>
          <w:rFonts w:eastAsia="SimSun"/>
          <w:b/>
          <w:snapToGrid/>
          <w:szCs w:val="22"/>
        </w:rPr>
        <w:tab/>
        <w:t>Context for Decision</w:t>
      </w:r>
    </w:p>
    <w:p w:rsidR="00EE45AE" w:rsidRPr="002E2C3B" w:rsidRDefault="00EE45AE" w:rsidP="00EE45AE">
      <w:pPr>
        <w:widowControl/>
        <w:jc w:val="left"/>
        <w:rPr>
          <w:rFonts w:ascii="Times New Roman" w:hAnsi="Times New Roman" w:cs="Times New Roman"/>
          <w:snapToGrid/>
          <w:sz w:val="24"/>
          <w:szCs w:val="24"/>
          <w:lang w:val="en-GB"/>
        </w:rPr>
      </w:pPr>
    </w:p>
    <w:p w:rsidR="00EE45AE" w:rsidRDefault="00EE45AE" w:rsidP="00EE45AE">
      <w:pPr>
        <w:widowControl/>
        <w:jc w:val="left"/>
        <w:rPr>
          <w:bCs/>
          <w:szCs w:val="22"/>
          <w:lang w:eastAsia="en-AU"/>
        </w:rPr>
      </w:pPr>
      <w:r w:rsidRPr="002E2C3B">
        <w:rPr>
          <w:bCs/>
          <w:szCs w:val="22"/>
          <w:lang w:eastAsia="en-AU"/>
        </w:rPr>
        <w:t>The PBAC helps decide whether and, if so, how medicines should be subsidised in Australia. It considers submissions in this context. A PBAC decision not to recommend listing or not to recommend changing a listing does not represent a final PBAC view about the merits of the medicine. A company can resubmit to the PBAC or seek independent review of the PBAC decision.</w:t>
      </w:r>
    </w:p>
    <w:p w:rsidR="00C735B0" w:rsidRDefault="00C735B0" w:rsidP="00EE45AE">
      <w:pPr>
        <w:widowControl/>
        <w:jc w:val="left"/>
        <w:rPr>
          <w:bCs/>
          <w:szCs w:val="22"/>
          <w:lang w:eastAsia="en-AU"/>
        </w:rPr>
      </w:pPr>
    </w:p>
    <w:p w:rsidR="00C735B0" w:rsidRPr="002E2C3B" w:rsidRDefault="00C735B0" w:rsidP="00EE45AE">
      <w:pPr>
        <w:widowControl/>
        <w:jc w:val="left"/>
        <w:rPr>
          <w:bCs/>
          <w:szCs w:val="22"/>
          <w:lang w:eastAsia="en-AU"/>
        </w:rPr>
      </w:pPr>
    </w:p>
    <w:p w:rsidR="00EE45AE" w:rsidRPr="002E2C3B" w:rsidRDefault="00EE45AE" w:rsidP="00EE45AE">
      <w:pPr>
        <w:widowControl/>
        <w:jc w:val="left"/>
        <w:rPr>
          <w:rFonts w:ascii="Times New Roman" w:hAnsi="Times New Roman" w:cs="Times New Roman"/>
          <w:snapToGrid/>
          <w:sz w:val="24"/>
          <w:szCs w:val="24"/>
          <w:lang w:val="en-GB"/>
        </w:rPr>
      </w:pPr>
    </w:p>
    <w:p w:rsidR="00EE45AE" w:rsidRPr="00F938D8" w:rsidRDefault="00EE45AE" w:rsidP="00F938D8">
      <w:pPr>
        <w:widowControl/>
        <w:ind w:left="720" w:hanging="720"/>
        <w:jc w:val="left"/>
        <w:rPr>
          <w:rFonts w:eastAsia="SimSun"/>
          <w:b/>
          <w:snapToGrid/>
        </w:rPr>
      </w:pPr>
      <w:r w:rsidRPr="00F938D8">
        <w:rPr>
          <w:rFonts w:eastAsia="SimSun"/>
          <w:b/>
          <w:snapToGrid/>
        </w:rPr>
        <w:lastRenderedPageBreak/>
        <w:t>10</w:t>
      </w:r>
      <w:r w:rsidRPr="00F938D8">
        <w:rPr>
          <w:rFonts w:eastAsia="SimSun"/>
          <w:b/>
          <w:snapToGrid/>
        </w:rPr>
        <w:tab/>
        <w:t>Sponsor’s Comment</w:t>
      </w:r>
    </w:p>
    <w:p w:rsidR="00F938D8" w:rsidRDefault="00F938D8" w:rsidP="00F938D8">
      <w:pPr>
        <w:pStyle w:val="PBACheading1"/>
        <w:numPr>
          <w:ilvl w:val="0"/>
          <w:numId w:val="0"/>
        </w:numPr>
        <w:rPr>
          <w:rFonts w:eastAsia="SimSun"/>
          <w:snapToGrid/>
        </w:rPr>
      </w:pPr>
    </w:p>
    <w:p w:rsidR="00F938D8" w:rsidRPr="00984C78" w:rsidRDefault="00F938D8" w:rsidP="00F938D8">
      <w:pPr>
        <w:widowControl/>
        <w:ind w:left="709"/>
        <w:jc w:val="left"/>
        <w:rPr>
          <w:szCs w:val="22"/>
        </w:rPr>
      </w:pPr>
      <w:r>
        <w:rPr>
          <w:szCs w:val="22"/>
        </w:rPr>
        <w:t xml:space="preserve">Takeda welcomes the PBAC’s recommendation for </w:t>
      </w:r>
      <w:proofErr w:type="spellStart"/>
      <w:r>
        <w:rPr>
          <w:szCs w:val="22"/>
        </w:rPr>
        <w:t>vedolizumab</w:t>
      </w:r>
      <w:proofErr w:type="spellEnd"/>
      <w:r>
        <w:rPr>
          <w:szCs w:val="22"/>
        </w:rPr>
        <w:t xml:space="preserve"> to be made available on the PBS for the treatment of Australian patients with </w:t>
      </w:r>
      <w:r w:rsidRPr="00984C78">
        <w:t xml:space="preserve">moderate to severe </w:t>
      </w:r>
      <w:r>
        <w:t xml:space="preserve">ulcerative colitis. The listing of </w:t>
      </w:r>
      <w:proofErr w:type="spellStart"/>
      <w:r>
        <w:t>vedolizumab</w:t>
      </w:r>
      <w:proofErr w:type="spellEnd"/>
      <w:r>
        <w:t xml:space="preserve"> on the PBS provides these patients with another possible </w:t>
      </w:r>
      <w:r>
        <w:rPr>
          <w:bCs/>
        </w:rPr>
        <w:t xml:space="preserve">treatment alternative, </w:t>
      </w:r>
      <w:r w:rsidR="0023322E">
        <w:rPr>
          <w:bCs/>
        </w:rPr>
        <w:t>something upon which p</w:t>
      </w:r>
      <w:r w:rsidR="0023322E" w:rsidRPr="0023322E">
        <w:rPr>
          <w:bCs/>
        </w:rPr>
        <w:t xml:space="preserve">atients place a high value </w:t>
      </w:r>
      <w:r>
        <w:t>(refer Sections 6.3 and 6.4).</w:t>
      </w:r>
    </w:p>
    <w:p w:rsidR="00F938D8" w:rsidRPr="002E2C3B" w:rsidRDefault="00F938D8" w:rsidP="00F938D8">
      <w:pPr>
        <w:pStyle w:val="PBACheading1"/>
        <w:numPr>
          <w:ilvl w:val="0"/>
          <w:numId w:val="0"/>
        </w:numPr>
        <w:rPr>
          <w:rFonts w:eastAsia="SimSun"/>
          <w:snapToGrid/>
        </w:rPr>
      </w:pPr>
    </w:p>
    <w:p w:rsidR="00EE45AE" w:rsidRPr="002E2C3B" w:rsidRDefault="00EE45AE" w:rsidP="00EE45AE">
      <w:pPr>
        <w:widowControl/>
        <w:jc w:val="left"/>
        <w:rPr>
          <w:rFonts w:ascii="Times New Roman" w:hAnsi="Times New Roman" w:cs="Times New Roman"/>
          <w:snapToGrid/>
          <w:sz w:val="24"/>
          <w:szCs w:val="24"/>
          <w:lang w:val="en-GB"/>
        </w:rPr>
      </w:pPr>
    </w:p>
    <w:p w:rsidR="00AE352B" w:rsidRPr="00BA6C23" w:rsidRDefault="00AE352B" w:rsidP="00AE352B">
      <w:pPr>
        <w:widowControl/>
        <w:rPr>
          <w:szCs w:val="22"/>
        </w:rPr>
      </w:pPr>
      <w:bookmarkStart w:id="21" w:name="_GoBack"/>
      <w:bookmarkEnd w:id="21"/>
    </w:p>
    <w:sectPr w:rsidR="00AE352B" w:rsidRPr="00BA6C23" w:rsidSect="00D11160">
      <w:headerReference w:type="default" r:id="rId9"/>
      <w:footerReference w:type="default" r:id="rId10"/>
      <w:pgSz w:w="11906" w:h="16838"/>
      <w:pgMar w:top="1440" w:right="1440" w:bottom="1440" w:left="1440" w:header="1440" w:footer="1440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205B8B" w15:done="0"/>
  <w15:commentEx w15:paraId="700B460F" w15:done="0"/>
  <w15:commentEx w15:paraId="7B8BA44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ACB" w:rsidRDefault="007C6ACB" w:rsidP="00124A51">
      <w:r>
        <w:separator/>
      </w:r>
    </w:p>
  </w:endnote>
  <w:endnote w:type="continuationSeparator" w:id="0">
    <w:p w:rsidR="007C6ACB" w:rsidRDefault="007C6ACB" w:rsidP="0012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83F" w:rsidRPr="005323C4" w:rsidRDefault="0058383F" w:rsidP="005323C4">
    <w:pPr>
      <w:widowControl/>
      <w:tabs>
        <w:tab w:val="center" w:pos="4153"/>
        <w:tab w:val="right" w:pos="8306"/>
      </w:tabs>
      <w:spacing w:after="120"/>
      <w:ind w:left="360"/>
      <w:jc w:val="center"/>
      <w:rPr>
        <w:snapToGrid/>
        <w:sz w:val="20"/>
      </w:rPr>
    </w:pPr>
    <w:r w:rsidRPr="005323C4">
      <w:rPr>
        <w:snapToGrid/>
        <w:sz w:val="20"/>
      </w:rPr>
      <w:fldChar w:fldCharType="begin"/>
    </w:r>
    <w:r w:rsidRPr="005323C4">
      <w:rPr>
        <w:snapToGrid/>
        <w:sz w:val="20"/>
      </w:rPr>
      <w:instrText xml:space="preserve"> PAGE   \* MERGEFORMAT </w:instrText>
    </w:r>
    <w:r w:rsidRPr="005323C4">
      <w:rPr>
        <w:snapToGrid/>
        <w:sz w:val="20"/>
      </w:rPr>
      <w:fldChar w:fldCharType="separate"/>
    </w:r>
    <w:r w:rsidR="001A76D3">
      <w:rPr>
        <w:noProof/>
        <w:snapToGrid/>
        <w:sz w:val="20"/>
      </w:rPr>
      <w:t>15</w:t>
    </w:r>
    <w:r w:rsidRPr="005323C4">
      <w:rPr>
        <w:noProof/>
        <w:snapToGrid/>
        <w:sz w:val="20"/>
      </w:rPr>
      <w:fldChar w:fldCharType="end"/>
    </w:r>
  </w:p>
  <w:p w:rsidR="0058383F" w:rsidRPr="00D11160" w:rsidRDefault="0058383F" w:rsidP="00D11160">
    <w:pPr>
      <w:pStyle w:val="Footer"/>
      <w:jc w:val="center"/>
      <w:rPr>
        <w:b/>
        <w:bCs/>
      </w:rPr>
    </w:pPr>
  </w:p>
  <w:p w:rsidR="0058383F" w:rsidRDefault="0058383F" w:rsidP="00D1116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ACB" w:rsidRDefault="007C6ACB" w:rsidP="00124A51">
      <w:r>
        <w:separator/>
      </w:r>
    </w:p>
  </w:footnote>
  <w:footnote w:type="continuationSeparator" w:id="0">
    <w:p w:rsidR="007C6ACB" w:rsidRDefault="007C6ACB" w:rsidP="00124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83F" w:rsidRPr="005323C4" w:rsidRDefault="0058383F" w:rsidP="005323C4">
    <w:pPr>
      <w:widowControl/>
      <w:tabs>
        <w:tab w:val="center" w:pos="4153"/>
        <w:tab w:val="right" w:pos="8306"/>
      </w:tabs>
      <w:spacing w:after="120"/>
      <w:ind w:left="360"/>
      <w:jc w:val="center"/>
      <w:rPr>
        <w:i/>
        <w:snapToGrid/>
        <w:color w:val="808080"/>
        <w:szCs w:val="24"/>
      </w:rPr>
    </w:pPr>
    <w:r w:rsidRPr="00E227F1">
      <w:rPr>
        <w:i/>
        <w:color w:val="808080"/>
      </w:rPr>
      <w:t>Public Summary Document</w:t>
    </w:r>
    <w:r>
      <w:rPr>
        <w:i/>
        <w:color w:val="808080"/>
      </w:rPr>
      <w:t xml:space="preserve"> </w:t>
    </w:r>
    <w:r w:rsidRPr="005323C4">
      <w:rPr>
        <w:i/>
        <w:snapToGrid/>
        <w:color w:val="808080"/>
        <w:szCs w:val="24"/>
      </w:rPr>
      <w:t>– March 2015 PBAC Meeting</w:t>
    </w:r>
  </w:p>
  <w:p w:rsidR="0058383F" w:rsidRDefault="0058383F" w:rsidP="005323C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6EC1"/>
    <w:multiLevelType w:val="hybridMultilevel"/>
    <w:tmpl w:val="EA00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01426"/>
    <w:multiLevelType w:val="hybridMultilevel"/>
    <w:tmpl w:val="753616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C611F"/>
    <w:multiLevelType w:val="hybridMultilevel"/>
    <w:tmpl w:val="52888A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6E5B60"/>
    <w:multiLevelType w:val="hybridMultilevel"/>
    <w:tmpl w:val="45A66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72535"/>
    <w:multiLevelType w:val="hybridMultilevel"/>
    <w:tmpl w:val="279CD0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A76DD"/>
    <w:multiLevelType w:val="hybridMultilevel"/>
    <w:tmpl w:val="1F0A37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020E6"/>
    <w:multiLevelType w:val="hybridMultilevel"/>
    <w:tmpl w:val="BC7A33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E0DD6"/>
    <w:multiLevelType w:val="hybridMultilevel"/>
    <w:tmpl w:val="DE5878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E0E75"/>
    <w:multiLevelType w:val="hybridMultilevel"/>
    <w:tmpl w:val="A192D2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366E98"/>
    <w:multiLevelType w:val="hybridMultilevel"/>
    <w:tmpl w:val="01B6DB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355D9"/>
    <w:multiLevelType w:val="hybridMultilevel"/>
    <w:tmpl w:val="97482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F4A5B"/>
    <w:multiLevelType w:val="multilevel"/>
    <w:tmpl w:val="3B047324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A4A63CE"/>
    <w:multiLevelType w:val="hybridMultilevel"/>
    <w:tmpl w:val="56D81C1A"/>
    <w:lvl w:ilvl="0" w:tplc="F488CFD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3B7C34E2"/>
    <w:multiLevelType w:val="hybridMultilevel"/>
    <w:tmpl w:val="F6A0F8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9031C2"/>
    <w:multiLevelType w:val="hybridMultilevel"/>
    <w:tmpl w:val="39447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FD4F70"/>
    <w:multiLevelType w:val="hybridMultilevel"/>
    <w:tmpl w:val="65B8AF1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E0E542F"/>
    <w:multiLevelType w:val="hybridMultilevel"/>
    <w:tmpl w:val="9970E17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E2556C9"/>
    <w:multiLevelType w:val="hybridMultilevel"/>
    <w:tmpl w:val="31363B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EBB5CD6"/>
    <w:multiLevelType w:val="hybridMultilevel"/>
    <w:tmpl w:val="6980E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1A6BC5"/>
    <w:multiLevelType w:val="hybridMultilevel"/>
    <w:tmpl w:val="7B8C1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B84FEE"/>
    <w:multiLevelType w:val="multilevel"/>
    <w:tmpl w:val="27E61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1">
    <w:nsid w:val="4A0437EE"/>
    <w:multiLevelType w:val="hybridMultilevel"/>
    <w:tmpl w:val="A906C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482635"/>
    <w:multiLevelType w:val="hybridMultilevel"/>
    <w:tmpl w:val="F61077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073C0F"/>
    <w:multiLevelType w:val="hybridMultilevel"/>
    <w:tmpl w:val="BDAAC0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031277"/>
    <w:multiLevelType w:val="hybridMultilevel"/>
    <w:tmpl w:val="25882B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816F78"/>
    <w:multiLevelType w:val="hybridMultilevel"/>
    <w:tmpl w:val="67BAC5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5304150"/>
    <w:multiLevelType w:val="hybridMultilevel"/>
    <w:tmpl w:val="B79438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9A2ADF"/>
    <w:multiLevelType w:val="hybridMultilevel"/>
    <w:tmpl w:val="CBF27656"/>
    <w:lvl w:ilvl="0" w:tplc="F01AD02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430333F"/>
    <w:multiLevelType w:val="hybridMultilevel"/>
    <w:tmpl w:val="86C47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4D033C"/>
    <w:multiLevelType w:val="multilevel"/>
    <w:tmpl w:val="6C0ECF82"/>
    <w:lvl w:ilvl="0">
      <w:start w:val="1"/>
      <w:numFmt w:val="decimal"/>
      <w:pStyle w:val="PBACheading1"/>
      <w:lvlText w:val="%1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20"/>
  </w:num>
  <w:num w:numId="3">
    <w:abstractNumId w:val="13"/>
  </w:num>
  <w:num w:numId="4">
    <w:abstractNumId w:val="0"/>
  </w:num>
  <w:num w:numId="5">
    <w:abstractNumId w:val="29"/>
  </w:num>
  <w:num w:numId="6">
    <w:abstractNumId w:val="11"/>
  </w:num>
  <w:num w:numId="7">
    <w:abstractNumId w:val="17"/>
  </w:num>
  <w:num w:numId="8">
    <w:abstractNumId w:val="2"/>
  </w:num>
  <w:num w:numId="9">
    <w:abstractNumId w:val="6"/>
  </w:num>
  <w:num w:numId="10">
    <w:abstractNumId w:val="27"/>
  </w:num>
  <w:num w:numId="11">
    <w:abstractNumId w:val="19"/>
  </w:num>
  <w:num w:numId="12">
    <w:abstractNumId w:val="7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8"/>
  </w:num>
  <w:num w:numId="18">
    <w:abstractNumId w:val="26"/>
  </w:num>
  <w:num w:numId="19">
    <w:abstractNumId w:val="1"/>
  </w:num>
  <w:num w:numId="20">
    <w:abstractNumId w:val="8"/>
  </w:num>
  <w:num w:numId="21">
    <w:abstractNumId w:val="25"/>
  </w:num>
  <w:num w:numId="22">
    <w:abstractNumId w:val="5"/>
  </w:num>
  <w:num w:numId="23">
    <w:abstractNumId w:val="23"/>
  </w:num>
  <w:num w:numId="24">
    <w:abstractNumId w:val="21"/>
  </w:num>
  <w:num w:numId="25">
    <w:abstractNumId w:val="29"/>
  </w:num>
  <w:num w:numId="26">
    <w:abstractNumId w:val="4"/>
  </w:num>
  <w:num w:numId="27">
    <w:abstractNumId w:val="22"/>
  </w:num>
  <w:num w:numId="28">
    <w:abstractNumId w:val="14"/>
  </w:num>
  <w:num w:numId="29">
    <w:abstractNumId w:val="15"/>
  </w:num>
  <w:num w:numId="30">
    <w:abstractNumId w:val="24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ristopher Etherton-Beer">
    <w15:presenceInfo w15:providerId="None" w15:userId="Christopher Etherton-Be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E79"/>
    <w:rsid w:val="00000790"/>
    <w:rsid w:val="0000110B"/>
    <w:rsid w:val="000031B2"/>
    <w:rsid w:val="000041BF"/>
    <w:rsid w:val="00012FC1"/>
    <w:rsid w:val="00013247"/>
    <w:rsid w:val="00015886"/>
    <w:rsid w:val="000162EF"/>
    <w:rsid w:val="0002225F"/>
    <w:rsid w:val="00023763"/>
    <w:rsid w:val="00034154"/>
    <w:rsid w:val="00040895"/>
    <w:rsid w:val="00040A52"/>
    <w:rsid w:val="0004231D"/>
    <w:rsid w:val="00043C37"/>
    <w:rsid w:val="00047894"/>
    <w:rsid w:val="000546D7"/>
    <w:rsid w:val="00060A51"/>
    <w:rsid w:val="00063F4F"/>
    <w:rsid w:val="00066B5E"/>
    <w:rsid w:val="00071248"/>
    <w:rsid w:val="00071335"/>
    <w:rsid w:val="000720B9"/>
    <w:rsid w:val="000726E0"/>
    <w:rsid w:val="000812CA"/>
    <w:rsid w:val="00081C18"/>
    <w:rsid w:val="00090C7E"/>
    <w:rsid w:val="000942A4"/>
    <w:rsid w:val="000953DC"/>
    <w:rsid w:val="000B4EDA"/>
    <w:rsid w:val="000B6A35"/>
    <w:rsid w:val="000C0230"/>
    <w:rsid w:val="000C19F3"/>
    <w:rsid w:val="000C38F2"/>
    <w:rsid w:val="000D1BFC"/>
    <w:rsid w:val="000D40B3"/>
    <w:rsid w:val="000E36C7"/>
    <w:rsid w:val="000E65DA"/>
    <w:rsid w:val="000F497F"/>
    <w:rsid w:val="000F70A9"/>
    <w:rsid w:val="00100F8A"/>
    <w:rsid w:val="00101874"/>
    <w:rsid w:val="0011032E"/>
    <w:rsid w:val="00114067"/>
    <w:rsid w:val="0011719C"/>
    <w:rsid w:val="00121799"/>
    <w:rsid w:val="001222FC"/>
    <w:rsid w:val="00124A51"/>
    <w:rsid w:val="00126621"/>
    <w:rsid w:val="001301E9"/>
    <w:rsid w:val="001310AE"/>
    <w:rsid w:val="00137645"/>
    <w:rsid w:val="0014015A"/>
    <w:rsid w:val="00140E99"/>
    <w:rsid w:val="00141616"/>
    <w:rsid w:val="001456B0"/>
    <w:rsid w:val="001463B9"/>
    <w:rsid w:val="001519CE"/>
    <w:rsid w:val="00152F61"/>
    <w:rsid w:val="00157130"/>
    <w:rsid w:val="00162913"/>
    <w:rsid w:val="00163EFF"/>
    <w:rsid w:val="001661FB"/>
    <w:rsid w:val="00167146"/>
    <w:rsid w:val="0017073F"/>
    <w:rsid w:val="00171548"/>
    <w:rsid w:val="00171A63"/>
    <w:rsid w:val="00172340"/>
    <w:rsid w:val="00173B97"/>
    <w:rsid w:val="00183A41"/>
    <w:rsid w:val="001923CB"/>
    <w:rsid w:val="00195222"/>
    <w:rsid w:val="001971A6"/>
    <w:rsid w:val="001975D8"/>
    <w:rsid w:val="001A6E83"/>
    <w:rsid w:val="001A6F70"/>
    <w:rsid w:val="001A76D3"/>
    <w:rsid w:val="001B2D68"/>
    <w:rsid w:val="001B3443"/>
    <w:rsid w:val="001B3F99"/>
    <w:rsid w:val="001B6188"/>
    <w:rsid w:val="001C1030"/>
    <w:rsid w:val="001C6E66"/>
    <w:rsid w:val="001C7FB9"/>
    <w:rsid w:val="001D112E"/>
    <w:rsid w:val="001D2AE0"/>
    <w:rsid w:val="001D4F3B"/>
    <w:rsid w:val="001D5E10"/>
    <w:rsid w:val="001E0207"/>
    <w:rsid w:val="001E0B21"/>
    <w:rsid w:val="001E238E"/>
    <w:rsid w:val="001E3475"/>
    <w:rsid w:val="001E4E1F"/>
    <w:rsid w:val="001E52EB"/>
    <w:rsid w:val="001E740C"/>
    <w:rsid w:val="001E7D85"/>
    <w:rsid w:val="001F1235"/>
    <w:rsid w:val="001F1CB3"/>
    <w:rsid w:val="001F1F7E"/>
    <w:rsid w:val="001F2E30"/>
    <w:rsid w:val="001F7361"/>
    <w:rsid w:val="002025FE"/>
    <w:rsid w:val="00203012"/>
    <w:rsid w:val="002043E1"/>
    <w:rsid w:val="002045E6"/>
    <w:rsid w:val="00206875"/>
    <w:rsid w:val="00206FE1"/>
    <w:rsid w:val="002105C1"/>
    <w:rsid w:val="00210B51"/>
    <w:rsid w:val="0021393C"/>
    <w:rsid w:val="0021423E"/>
    <w:rsid w:val="0021504D"/>
    <w:rsid w:val="00223B49"/>
    <w:rsid w:val="00224DD4"/>
    <w:rsid w:val="002309CC"/>
    <w:rsid w:val="0023322E"/>
    <w:rsid w:val="002351A6"/>
    <w:rsid w:val="00235F41"/>
    <w:rsid w:val="0024507D"/>
    <w:rsid w:val="0025534B"/>
    <w:rsid w:val="00255BB7"/>
    <w:rsid w:val="002570C5"/>
    <w:rsid w:val="00262A87"/>
    <w:rsid w:val="002723D1"/>
    <w:rsid w:val="00275C5A"/>
    <w:rsid w:val="002827BE"/>
    <w:rsid w:val="002A14AB"/>
    <w:rsid w:val="002B00FE"/>
    <w:rsid w:val="002B05BB"/>
    <w:rsid w:val="002B1C1F"/>
    <w:rsid w:val="002B25D5"/>
    <w:rsid w:val="002B3B43"/>
    <w:rsid w:val="002B42B4"/>
    <w:rsid w:val="002B432F"/>
    <w:rsid w:val="002B48DC"/>
    <w:rsid w:val="002B5E24"/>
    <w:rsid w:val="002B6CCE"/>
    <w:rsid w:val="002C1A9A"/>
    <w:rsid w:val="002C27C1"/>
    <w:rsid w:val="002C51B1"/>
    <w:rsid w:val="002C63F3"/>
    <w:rsid w:val="002C7603"/>
    <w:rsid w:val="002D2071"/>
    <w:rsid w:val="002D3A69"/>
    <w:rsid w:val="002E18C6"/>
    <w:rsid w:val="002F2180"/>
    <w:rsid w:val="002F395E"/>
    <w:rsid w:val="002F683B"/>
    <w:rsid w:val="00301017"/>
    <w:rsid w:val="00306D58"/>
    <w:rsid w:val="0030786C"/>
    <w:rsid w:val="0031031A"/>
    <w:rsid w:val="00312202"/>
    <w:rsid w:val="00315498"/>
    <w:rsid w:val="00320225"/>
    <w:rsid w:val="00320D68"/>
    <w:rsid w:val="0032182B"/>
    <w:rsid w:val="00322628"/>
    <w:rsid w:val="003247A8"/>
    <w:rsid w:val="00325C8F"/>
    <w:rsid w:val="003366C9"/>
    <w:rsid w:val="00351C48"/>
    <w:rsid w:val="00352204"/>
    <w:rsid w:val="00352393"/>
    <w:rsid w:val="003527B9"/>
    <w:rsid w:val="0035620E"/>
    <w:rsid w:val="00357B95"/>
    <w:rsid w:val="00357FCF"/>
    <w:rsid w:val="00375D55"/>
    <w:rsid w:val="00381FB1"/>
    <w:rsid w:val="003826A6"/>
    <w:rsid w:val="003832EB"/>
    <w:rsid w:val="0038365C"/>
    <w:rsid w:val="0038550E"/>
    <w:rsid w:val="00390F8A"/>
    <w:rsid w:val="00393F75"/>
    <w:rsid w:val="00395D03"/>
    <w:rsid w:val="00396FD0"/>
    <w:rsid w:val="003A1A7A"/>
    <w:rsid w:val="003A2129"/>
    <w:rsid w:val="003A2C74"/>
    <w:rsid w:val="003B758F"/>
    <w:rsid w:val="003C2BA8"/>
    <w:rsid w:val="003C2CBD"/>
    <w:rsid w:val="003C64E9"/>
    <w:rsid w:val="003D1828"/>
    <w:rsid w:val="003D2422"/>
    <w:rsid w:val="003D34D8"/>
    <w:rsid w:val="003E4BD1"/>
    <w:rsid w:val="003E5DAB"/>
    <w:rsid w:val="003E7989"/>
    <w:rsid w:val="003F08A9"/>
    <w:rsid w:val="003F4156"/>
    <w:rsid w:val="003F6965"/>
    <w:rsid w:val="004037EF"/>
    <w:rsid w:val="004102AF"/>
    <w:rsid w:val="004103C7"/>
    <w:rsid w:val="00410EC7"/>
    <w:rsid w:val="00414476"/>
    <w:rsid w:val="00415D36"/>
    <w:rsid w:val="004206A8"/>
    <w:rsid w:val="00420B9F"/>
    <w:rsid w:val="00425CB2"/>
    <w:rsid w:val="004319F8"/>
    <w:rsid w:val="00436EF4"/>
    <w:rsid w:val="004443A7"/>
    <w:rsid w:val="004464EB"/>
    <w:rsid w:val="00454996"/>
    <w:rsid w:val="0045503D"/>
    <w:rsid w:val="00455D45"/>
    <w:rsid w:val="00456EA5"/>
    <w:rsid w:val="0046340F"/>
    <w:rsid w:val="00464595"/>
    <w:rsid w:val="004705C1"/>
    <w:rsid w:val="00472359"/>
    <w:rsid w:val="0047456A"/>
    <w:rsid w:val="00482C5B"/>
    <w:rsid w:val="004867E2"/>
    <w:rsid w:val="00491B3A"/>
    <w:rsid w:val="00495166"/>
    <w:rsid w:val="00496536"/>
    <w:rsid w:val="00497F10"/>
    <w:rsid w:val="004A0DA1"/>
    <w:rsid w:val="004A6597"/>
    <w:rsid w:val="004A7338"/>
    <w:rsid w:val="004B2F18"/>
    <w:rsid w:val="004B3DDB"/>
    <w:rsid w:val="004B43C3"/>
    <w:rsid w:val="004B44FD"/>
    <w:rsid w:val="004B5CFC"/>
    <w:rsid w:val="004B6207"/>
    <w:rsid w:val="004C483B"/>
    <w:rsid w:val="004C4AED"/>
    <w:rsid w:val="004D16DC"/>
    <w:rsid w:val="004D24B6"/>
    <w:rsid w:val="004D6AC3"/>
    <w:rsid w:val="004E0EB8"/>
    <w:rsid w:val="004E2ADC"/>
    <w:rsid w:val="004E5CB4"/>
    <w:rsid w:val="004F1D02"/>
    <w:rsid w:val="004F2679"/>
    <w:rsid w:val="004F4694"/>
    <w:rsid w:val="004F47F7"/>
    <w:rsid w:val="005051F0"/>
    <w:rsid w:val="00506E16"/>
    <w:rsid w:val="00510BB4"/>
    <w:rsid w:val="005152B5"/>
    <w:rsid w:val="005154B3"/>
    <w:rsid w:val="00520B2C"/>
    <w:rsid w:val="00521319"/>
    <w:rsid w:val="00523C28"/>
    <w:rsid w:val="005323C4"/>
    <w:rsid w:val="00532F22"/>
    <w:rsid w:val="00533C89"/>
    <w:rsid w:val="00536916"/>
    <w:rsid w:val="00544340"/>
    <w:rsid w:val="005517A0"/>
    <w:rsid w:val="005533FE"/>
    <w:rsid w:val="00554C1E"/>
    <w:rsid w:val="00554E8D"/>
    <w:rsid w:val="00555109"/>
    <w:rsid w:val="00560BD0"/>
    <w:rsid w:val="0056276A"/>
    <w:rsid w:val="0056696F"/>
    <w:rsid w:val="00574E68"/>
    <w:rsid w:val="005755AD"/>
    <w:rsid w:val="00576972"/>
    <w:rsid w:val="00577717"/>
    <w:rsid w:val="005801E9"/>
    <w:rsid w:val="00583699"/>
    <w:rsid w:val="0058383F"/>
    <w:rsid w:val="00583D95"/>
    <w:rsid w:val="00587A76"/>
    <w:rsid w:val="00591A39"/>
    <w:rsid w:val="00597905"/>
    <w:rsid w:val="005A0C76"/>
    <w:rsid w:val="005A48CC"/>
    <w:rsid w:val="005B5857"/>
    <w:rsid w:val="005B60F0"/>
    <w:rsid w:val="005C1B83"/>
    <w:rsid w:val="005C346B"/>
    <w:rsid w:val="005C7934"/>
    <w:rsid w:val="005D18AD"/>
    <w:rsid w:val="005D7E3E"/>
    <w:rsid w:val="005E1B4C"/>
    <w:rsid w:val="005E6448"/>
    <w:rsid w:val="005F2706"/>
    <w:rsid w:val="005F6A8F"/>
    <w:rsid w:val="00601043"/>
    <w:rsid w:val="00603768"/>
    <w:rsid w:val="00607669"/>
    <w:rsid w:val="006116A1"/>
    <w:rsid w:val="00612F97"/>
    <w:rsid w:val="00616802"/>
    <w:rsid w:val="00617E12"/>
    <w:rsid w:val="00621477"/>
    <w:rsid w:val="0062223B"/>
    <w:rsid w:val="006246A5"/>
    <w:rsid w:val="00630491"/>
    <w:rsid w:val="00631D6B"/>
    <w:rsid w:val="0063479F"/>
    <w:rsid w:val="006364A1"/>
    <w:rsid w:val="0063736F"/>
    <w:rsid w:val="00637BFD"/>
    <w:rsid w:val="00645D7B"/>
    <w:rsid w:val="00646EBB"/>
    <w:rsid w:val="006471CC"/>
    <w:rsid w:val="0065079F"/>
    <w:rsid w:val="0065357C"/>
    <w:rsid w:val="00674E42"/>
    <w:rsid w:val="00680C23"/>
    <w:rsid w:val="00682112"/>
    <w:rsid w:val="00692A25"/>
    <w:rsid w:val="00694F44"/>
    <w:rsid w:val="006A7332"/>
    <w:rsid w:val="006B10D1"/>
    <w:rsid w:val="006B1D68"/>
    <w:rsid w:val="006B7F5C"/>
    <w:rsid w:val="006C1058"/>
    <w:rsid w:val="006C2512"/>
    <w:rsid w:val="006C2811"/>
    <w:rsid w:val="006C2A8E"/>
    <w:rsid w:val="006C2F9F"/>
    <w:rsid w:val="006D3C7D"/>
    <w:rsid w:val="006D5664"/>
    <w:rsid w:val="006D67AD"/>
    <w:rsid w:val="006E2A5A"/>
    <w:rsid w:val="006F43FC"/>
    <w:rsid w:val="006F63A5"/>
    <w:rsid w:val="00701EB4"/>
    <w:rsid w:val="0070276E"/>
    <w:rsid w:val="0071089A"/>
    <w:rsid w:val="007110C3"/>
    <w:rsid w:val="00711A36"/>
    <w:rsid w:val="007155B7"/>
    <w:rsid w:val="0071591D"/>
    <w:rsid w:val="00716627"/>
    <w:rsid w:val="00716C84"/>
    <w:rsid w:val="007172AD"/>
    <w:rsid w:val="0071748E"/>
    <w:rsid w:val="00723033"/>
    <w:rsid w:val="0072316B"/>
    <w:rsid w:val="007265FB"/>
    <w:rsid w:val="00730A03"/>
    <w:rsid w:val="00731BCF"/>
    <w:rsid w:val="00735328"/>
    <w:rsid w:val="0073619B"/>
    <w:rsid w:val="0073685B"/>
    <w:rsid w:val="0074061D"/>
    <w:rsid w:val="007474AD"/>
    <w:rsid w:val="007578FB"/>
    <w:rsid w:val="0076008B"/>
    <w:rsid w:val="0076038E"/>
    <w:rsid w:val="00761B48"/>
    <w:rsid w:val="00762A11"/>
    <w:rsid w:val="00770114"/>
    <w:rsid w:val="0077239D"/>
    <w:rsid w:val="00782EE5"/>
    <w:rsid w:val="007858FE"/>
    <w:rsid w:val="00794381"/>
    <w:rsid w:val="00797239"/>
    <w:rsid w:val="007A0652"/>
    <w:rsid w:val="007A30D5"/>
    <w:rsid w:val="007A5E6C"/>
    <w:rsid w:val="007B251D"/>
    <w:rsid w:val="007B2A8C"/>
    <w:rsid w:val="007B5832"/>
    <w:rsid w:val="007B77D1"/>
    <w:rsid w:val="007C6ACB"/>
    <w:rsid w:val="007D0B38"/>
    <w:rsid w:val="007D0DED"/>
    <w:rsid w:val="007E40DF"/>
    <w:rsid w:val="007E578B"/>
    <w:rsid w:val="007F1017"/>
    <w:rsid w:val="007F1DA7"/>
    <w:rsid w:val="007F4A3F"/>
    <w:rsid w:val="007F7427"/>
    <w:rsid w:val="00804259"/>
    <w:rsid w:val="00805142"/>
    <w:rsid w:val="00806169"/>
    <w:rsid w:val="0080700D"/>
    <w:rsid w:val="00807A8B"/>
    <w:rsid w:val="00812149"/>
    <w:rsid w:val="00814863"/>
    <w:rsid w:val="00814FFF"/>
    <w:rsid w:val="008166EF"/>
    <w:rsid w:val="008264EB"/>
    <w:rsid w:val="008369C6"/>
    <w:rsid w:val="00837BCE"/>
    <w:rsid w:val="008400F7"/>
    <w:rsid w:val="008402A8"/>
    <w:rsid w:val="00840CA2"/>
    <w:rsid w:val="00855417"/>
    <w:rsid w:val="00856E9A"/>
    <w:rsid w:val="00857492"/>
    <w:rsid w:val="008627B6"/>
    <w:rsid w:val="00865DBE"/>
    <w:rsid w:val="00873F7E"/>
    <w:rsid w:val="008802CB"/>
    <w:rsid w:val="00882874"/>
    <w:rsid w:val="00882DA3"/>
    <w:rsid w:val="00883787"/>
    <w:rsid w:val="00885DE1"/>
    <w:rsid w:val="0089377B"/>
    <w:rsid w:val="00893E2E"/>
    <w:rsid w:val="008954DB"/>
    <w:rsid w:val="008963A5"/>
    <w:rsid w:val="008A3936"/>
    <w:rsid w:val="008A3C3E"/>
    <w:rsid w:val="008A43C2"/>
    <w:rsid w:val="008A79DE"/>
    <w:rsid w:val="008A7C27"/>
    <w:rsid w:val="008B1EDB"/>
    <w:rsid w:val="008B6FB1"/>
    <w:rsid w:val="008B7D7E"/>
    <w:rsid w:val="008C7ECB"/>
    <w:rsid w:val="008D3FCB"/>
    <w:rsid w:val="008E08C2"/>
    <w:rsid w:val="008E0B2E"/>
    <w:rsid w:val="008E1B9E"/>
    <w:rsid w:val="008F024A"/>
    <w:rsid w:val="008F0A3C"/>
    <w:rsid w:val="008F48EB"/>
    <w:rsid w:val="008F4D54"/>
    <w:rsid w:val="008F4F0B"/>
    <w:rsid w:val="009062A5"/>
    <w:rsid w:val="00907698"/>
    <w:rsid w:val="00911272"/>
    <w:rsid w:val="009174D6"/>
    <w:rsid w:val="00917A7F"/>
    <w:rsid w:val="009231AB"/>
    <w:rsid w:val="0092587D"/>
    <w:rsid w:val="009342EF"/>
    <w:rsid w:val="009466DB"/>
    <w:rsid w:val="00957602"/>
    <w:rsid w:val="00961AF9"/>
    <w:rsid w:val="00962CB9"/>
    <w:rsid w:val="00964312"/>
    <w:rsid w:val="0096765C"/>
    <w:rsid w:val="00975540"/>
    <w:rsid w:val="0098002F"/>
    <w:rsid w:val="00980A11"/>
    <w:rsid w:val="00983E57"/>
    <w:rsid w:val="00993AC7"/>
    <w:rsid w:val="00995216"/>
    <w:rsid w:val="00996B1A"/>
    <w:rsid w:val="009B052A"/>
    <w:rsid w:val="009B3E26"/>
    <w:rsid w:val="009B41B5"/>
    <w:rsid w:val="009C25B6"/>
    <w:rsid w:val="009D18F2"/>
    <w:rsid w:val="009D1F26"/>
    <w:rsid w:val="009D4CF9"/>
    <w:rsid w:val="009D5B91"/>
    <w:rsid w:val="009E12C3"/>
    <w:rsid w:val="009E4C07"/>
    <w:rsid w:val="009F6FFD"/>
    <w:rsid w:val="00A00353"/>
    <w:rsid w:val="00A03D43"/>
    <w:rsid w:val="00A04380"/>
    <w:rsid w:val="00A06EF1"/>
    <w:rsid w:val="00A13948"/>
    <w:rsid w:val="00A13FA8"/>
    <w:rsid w:val="00A1601B"/>
    <w:rsid w:val="00A2186E"/>
    <w:rsid w:val="00A27AEC"/>
    <w:rsid w:val="00A32E76"/>
    <w:rsid w:val="00A35D16"/>
    <w:rsid w:val="00A42D83"/>
    <w:rsid w:val="00A43C59"/>
    <w:rsid w:val="00A47CBE"/>
    <w:rsid w:val="00A50ECD"/>
    <w:rsid w:val="00A52729"/>
    <w:rsid w:val="00A53675"/>
    <w:rsid w:val="00A56B6A"/>
    <w:rsid w:val="00A578DC"/>
    <w:rsid w:val="00A602DD"/>
    <w:rsid w:val="00A62FF4"/>
    <w:rsid w:val="00A6725B"/>
    <w:rsid w:val="00A674F6"/>
    <w:rsid w:val="00A86E8B"/>
    <w:rsid w:val="00A9032C"/>
    <w:rsid w:val="00A93072"/>
    <w:rsid w:val="00A951A9"/>
    <w:rsid w:val="00A96731"/>
    <w:rsid w:val="00AA0A07"/>
    <w:rsid w:val="00AA2AFC"/>
    <w:rsid w:val="00AA3563"/>
    <w:rsid w:val="00AB042A"/>
    <w:rsid w:val="00AB3285"/>
    <w:rsid w:val="00AB3430"/>
    <w:rsid w:val="00AB7CFA"/>
    <w:rsid w:val="00AC01E8"/>
    <w:rsid w:val="00AC305D"/>
    <w:rsid w:val="00AC49FF"/>
    <w:rsid w:val="00AD1988"/>
    <w:rsid w:val="00AD1BAD"/>
    <w:rsid w:val="00AD2B0E"/>
    <w:rsid w:val="00AD3270"/>
    <w:rsid w:val="00AD454C"/>
    <w:rsid w:val="00AD4653"/>
    <w:rsid w:val="00AE352B"/>
    <w:rsid w:val="00AF7473"/>
    <w:rsid w:val="00B21D54"/>
    <w:rsid w:val="00B32D99"/>
    <w:rsid w:val="00B42851"/>
    <w:rsid w:val="00B444EF"/>
    <w:rsid w:val="00B4737C"/>
    <w:rsid w:val="00B50153"/>
    <w:rsid w:val="00B54B5B"/>
    <w:rsid w:val="00B5562E"/>
    <w:rsid w:val="00B57000"/>
    <w:rsid w:val="00B608CF"/>
    <w:rsid w:val="00B60939"/>
    <w:rsid w:val="00B60AFD"/>
    <w:rsid w:val="00B62715"/>
    <w:rsid w:val="00B636C7"/>
    <w:rsid w:val="00B710C9"/>
    <w:rsid w:val="00B73522"/>
    <w:rsid w:val="00B77A3A"/>
    <w:rsid w:val="00B818A4"/>
    <w:rsid w:val="00B83B85"/>
    <w:rsid w:val="00B84827"/>
    <w:rsid w:val="00B8649C"/>
    <w:rsid w:val="00B92D0B"/>
    <w:rsid w:val="00B94945"/>
    <w:rsid w:val="00B95E09"/>
    <w:rsid w:val="00BA14F0"/>
    <w:rsid w:val="00BA2259"/>
    <w:rsid w:val="00BA6C23"/>
    <w:rsid w:val="00BB4F02"/>
    <w:rsid w:val="00BE2180"/>
    <w:rsid w:val="00BE4275"/>
    <w:rsid w:val="00BF23ED"/>
    <w:rsid w:val="00BF2433"/>
    <w:rsid w:val="00BF61C9"/>
    <w:rsid w:val="00BF7473"/>
    <w:rsid w:val="00BF7F10"/>
    <w:rsid w:val="00C052AE"/>
    <w:rsid w:val="00C0573F"/>
    <w:rsid w:val="00C05F68"/>
    <w:rsid w:val="00C11127"/>
    <w:rsid w:val="00C21CB4"/>
    <w:rsid w:val="00C225FC"/>
    <w:rsid w:val="00C2317B"/>
    <w:rsid w:val="00C2437D"/>
    <w:rsid w:val="00C25418"/>
    <w:rsid w:val="00C25D61"/>
    <w:rsid w:val="00C25D9C"/>
    <w:rsid w:val="00C31649"/>
    <w:rsid w:val="00C31EA9"/>
    <w:rsid w:val="00C341FB"/>
    <w:rsid w:val="00C34E34"/>
    <w:rsid w:val="00C40385"/>
    <w:rsid w:val="00C42F3D"/>
    <w:rsid w:val="00C447E7"/>
    <w:rsid w:val="00C45F68"/>
    <w:rsid w:val="00C53012"/>
    <w:rsid w:val="00C62397"/>
    <w:rsid w:val="00C65576"/>
    <w:rsid w:val="00C66165"/>
    <w:rsid w:val="00C735B0"/>
    <w:rsid w:val="00C760FD"/>
    <w:rsid w:val="00C814FE"/>
    <w:rsid w:val="00C8213F"/>
    <w:rsid w:val="00C845EE"/>
    <w:rsid w:val="00C86607"/>
    <w:rsid w:val="00C8797A"/>
    <w:rsid w:val="00C87DDB"/>
    <w:rsid w:val="00C938CF"/>
    <w:rsid w:val="00CA5245"/>
    <w:rsid w:val="00CA7B09"/>
    <w:rsid w:val="00CB1C19"/>
    <w:rsid w:val="00CB4B1C"/>
    <w:rsid w:val="00CB551F"/>
    <w:rsid w:val="00CB5B1A"/>
    <w:rsid w:val="00CB6191"/>
    <w:rsid w:val="00CC08BD"/>
    <w:rsid w:val="00CC238E"/>
    <w:rsid w:val="00CC4A31"/>
    <w:rsid w:val="00CD0C0A"/>
    <w:rsid w:val="00CD18C1"/>
    <w:rsid w:val="00CD6ADC"/>
    <w:rsid w:val="00CE0AB9"/>
    <w:rsid w:val="00CE6274"/>
    <w:rsid w:val="00CE62F2"/>
    <w:rsid w:val="00CF023D"/>
    <w:rsid w:val="00CF2D57"/>
    <w:rsid w:val="00CF456B"/>
    <w:rsid w:val="00CF5A22"/>
    <w:rsid w:val="00CF6B10"/>
    <w:rsid w:val="00D0262E"/>
    <w:rsid w:val="00D04C42"/>
    <w:rsid w:val="00D06FD4"/>
    <w:rsid w:val="00D110BD"/>
    <w:rsid w:val="00D11160"/>
    <w:rsid w:val="00D12AF5"/>
    <w:rsid w:val="00D17D6C"/>
    <w:rsid w:val="00D307B1"/>
    <w:rsid w:val="00D31B51"/>
    <w:rsid w:val="00D35382"/>
    <w:rsid w:val="00D41354"/>
    <w:rsid w:val="00D56045"/>
    <w:rsid w:val="00D609BC"/>
    <w:rsid w:val="00D647A9"/>
    <w:rsid w:val="00D76A44"/>
    <w:rsid w:val="00D82D6A"/>
    <w:rsid w:val="00D933FA"/>
    <w:rsid w:val="00D93753"/>
    <w:rsid w:val="00D93C62"/>
    <w:rsid w:val="00D97183"/>
    <w:rsid w:val="00DA6666"/>
    <w:rsid w:val="00DA6EB6"/>
    <w:rsid w:val="00DA77A5"/>
    <w:rsid w:val="00DC5501"/>
    <w:rsid w:val="00DD1CD0"/>
    <w:rsid w:val="00DD2072"/>
    <w:rsid w:val="00DD3F28"/>
    <w:rsid w:val="00DD44F9"/>
    <w:rsid w:val="00DD4537"/>
    <w:rsid w:val="00DD4E15"/>
    <w:rsid w:val="00DE1B82"/>
    <w:rsid w:val="00DE3281"/>
    <w:rsid w:val="00DE4FCB"/>
    <w:rsid w:val="00DF1CF4"/>
    <w:rsid w:val="00E03F37"/>
    <w:rsid w:val="00E10149"/>
    <w:rsid w:val="00E124CE"/>
    <w:rsid w:val="00E13687"/>
    <w:rsid w:val="00E16372"/>
    <w:rsid w:val="00E172B0"/>
    <w:rsid w:val="00E20ED6"/>
    <w:rsid w:val="00E21358"/>
    <w:rsid w:val="00E2249B"/>
    <w:rsid w:val="00E2771E"/>
    <w:rsid w:val="00E278E6"/>
    <w:rsid w:val="00E37569"/>
    <w:rsid w:val="00E41E30"/>
    <w:rsid w:val="00E469F4"/>
    <w:rsid w:val="00E47B2C"/>
    <w:rsid w:val="00E530E5"/>
    <w:rsid w:val="00E55424"/>
    <w:rsid w:val="00E65E79"/>
    <w:rsid w:val="00E66C28"/>
    <w:rsid w:val="00E67416"/>
    <w:rsid w:val="00E70A97"/>
    <w:rsid w:val="00E718B6"/>
    <w:rsid w:val="00E7265B"/>
    <w:rsid w:val="00E727A3"/>
    <w:rsid w:val="00E73581"/>
    <w:rsid w:val="00E7373C"/>
    <w:rsid w:val="00E83B5B"/>
    <w:rsid w:val="00E83BDF"/>
    <w:rsid w:val="00E84C56"/>
    <w:rsid w:val="00EA3864"/>
    <w:rsid w:val="00EC00C9"/>
    <w:rsid w:val="00EC059D"/>
    <w:rsid w:val="00EC27BA"/>
    <w:rsid w:val="00EE07D3"/>
    <w:rsid w:val="00EE1C89"/>
    <w:rsid w:val="00EE45AE"/>
    <w:rsid w:val="00F058C9"/>
    <w:rsid w:val="00F067A2"/>
    <w:rsid w:val="00F07026"/>
    <w:rsid w:val="00F14381"/>
    <w:rsid w:val="00F221DC"/>
    <w:rsid w:val="00F24837"/>
    <w:rsid w:val="00F2575F"/>
    <w:rsid w:val="00F338FF"/>
    <w:rsid w:val="00F33DE9"/>
    <w:rsid w:val="00F34119"/>
    <w:rsid w:val="00F3619A"/>
    <w:rsid w:val="00F42911"/>
    <w:rsid w:val="00F42C00"/>
    <w:rsid w:val="00F46CB6"/>
    <w:rsid w:val="00F509BE"/>
    <w:rsid w:val="00F55E73"/>
    <w:rsid w:val="00F733E9"/>
    <w:rsid w:val="00F7508F"/>
    <w:rsid w:val="00F80E5D"/>
    <w:rsid w:val="00F851CE"/>
    <w:rsid w:val="00F879EA"/>
    <w:rsid w:val="00F938D8"/>
    <w:rsid w:val="00F94420"/>
    <w:rsid w:val="00F97A78"/>
    <w:rsid w:val="00FA4B61"/>
    <w:rsid w:val="00FA5905"/>
    <w:rsid w:val="00FA7CD2"/>
    <w:rsid w:val="00FB2FCB"/>
    <w:rsid w:val="00FB3A6B"/>
    <w:rsid w:val="00FC1074"/>
    <w:rsid w:val="00FC1884"/>
    <w:rsid w:val="00FC2423"/>
    <w:rsid w:val="00FC4304"/>
    <w:rsid w:val="00FC4C15"/>
    <w:rsid w:val="00FD2100"/>
    <w:rsid w:val="00FD446D"/>
    <w:rsid w:val="00FD4FD4"/>
    <w:rsid w:val="00FE1FC8"/>
    <w:rsid w:val="00FE23D5"/>
    <w:rsid w:val="00FE438E"/>
    <w:rsid w:val="00FE46DB"/>
    <w:rsid w:val="00FE70B2"/>
    <w:rsid w:val="00FF0018"/>
    <w:rsid w:val="00FF3DCF"/>
    <w:rsid w:val="00FF5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5FE"/>
    <w:pPr>
      <w:widowControl w:val="0"/>
      <w:jc w:val="both"/>
    </w:pPr>
    <w:rPr>
      <w:rFonts w:ascii="Arial" w:hAnsi="Arial" w:cs="Arial"/>
      <w:snapToGrid w:val="0"/>
      <w:sz w:val="22"/>
      <w:lang w:eastAsia="en-US"/>
    </w:rPr>
  </w:style>
  <w:style w:type="paragraph" w:styleId="Heading1">
    <w:name w:val="heading 1"/>
    <w:basedOn w:val="Normal"/>
    <w:next w:val="Normal"/>
    <w:qFormat/>
    <w:rsid w:val="00D76A44"/>
    <w:pPr>
      <w:ind w:left="720" w:hanging="7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PBACheading1"/>
    <w:next w:val="Normal"/>
    <w:link w:val="Heading2Char"/>
    <w:qFormat/>
    <w:rsid w:val="00C735B0"/>
    <w:pPr>
      <w:numPr>
        <w:numId w:val="0"/>
      </w:numPr>
      <w:ind w:left="720" w:hanging="7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C735B0"/>
    <w:pPr>
      <w:widowControl/>
      <w:jc w:val="left"/>
      <w:outlineLvl w:val="2"/>
    </w:pPr>
    <w:rPr>
      <w:b/>
      <w:i/>
    </w:rPr>
  </w:style>
  <w:style w:type="paragraph" w:styleId="Heading4">
    <w:name w:val="heading 4"/>
    <w:basedOn w:val="Normal"/>
    <w:next w:val="Normal"/>
    <w:rsid w:val="00124A51"/>
    <w:pPr>
      <w:keepNext/>
      <w:spacing w:before="240" w:after="60"/>
      <w:outlineLvl w:val="3"/>
    </w:pPr>
    <w:rPr>
      <w:b/>
      <w:bCs/>
      <w:i/>
      <w:sz w:val="26"/>
      <w:szCs w:val="28"/>
    </w:rPr>
  </w:style>
  <w:style w:type="paragraph" w:styleId="Heading5">
    <w:name w:val="heading 5"/>
    <w:basedOn w:val="Normal"/>
    <w:next w:val="Normal"/>
    <w:rsid w:val="00124A51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rsid w:val="00124A51"/>
    <w:pPr>
      <w:spacing w:before="240" w:after="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link w:val="Heading7Char"/>
    <w:rsid w:val="00124A51"/>
    <w:pPr>
      <w:keepNext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rsid w:val="00124A51"/>
    <w:pPr>
      <w:keepNext/>
      <w:jc w:val="right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rsid w:val="00124A51"/>
    <w:pPr>
      <w:keepNext/>
      <w:jc w:val="center"/>
      <w:outlineLvl w:val="8"/>
    </w:pPr>
    <w:rPr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Footer">
    <w:name w:val="Table Footer"/>
    <w:basedOn w:val="Normal"/>
    <w:qFormat/>
    <w:rsid w:val="00E2771E"/>
    <w:rPr>
      <w:rFonts w:ascii="Arial Narrow" w:hAnsi="Arial Narrow"/>
      <w:sz w:val="18"/>
    </w:rPr>
  </w:style>
  <w:style w:type="paragraph" w:customStyle="1" w:styleId="TableHeader">
    <w:name w:val="Table Header"/>
    <w:basedOn w:val="Normal"/>
    <w:rsid w:val="000D1BFC"/>
    <w:rPr>
      <w:b/>
      <w:sz w:val="20"/>
    </w:rPr>
  </w:style>
  <w:style w:type="character" w:customStyle="1" w:styleId="Heading2Char">
    <w:name w:val="Heading 2 Char"/>
    <w:link w:val="Heading2"/>
    <w:rsid w:val="00C735B0"/>
    <w:rPr>
      <w:rFonts w:ascii="Arial" w:hAnsi="Arial" w:cs="Arial"/>
      <w:b/>
      <w:bCs/>
      <w:snapToGrid w:val="0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124A51"/>
    <w:rPr>
      <w:rFonts w:ascii="Arial" w:hAnsi="Arial"/>
      <w:b/>
      <w:snapToGrid w:val="0"/>
      <w:lang w:eastAsia="en-US"/>
    </w:rPr>
  </w:style>
  <w:style w:type="character" w:customStyle="1" w:styleId="Heading8Char">
    <w:name w:val="Heading 8 Char"/>
    <w:basedOn w:val="DefaultParagraphFont"/>
    <w:link w:val="Heading8"/>
    <w:rsid w:val="00124A51"/>
    <w:rPr>
      <w:b/>
      <w:snapToGrid w:val="0"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124A51"/>
    <w:rPr>
      <w:rFonts w:ascii="Arial" w:hAnsi="Arial"/>
      <w:b/>
      <w:snapToGrid w:val="0"/>
      <w:color w:val="000000"/>
      <w:lang w:eastAsia="en-US"/>
    </w:rPr>
  </w:style>
  <w:style w:type="paragraph" w:styleId="Caption">
    <w:name w:val="caption"/>
    <w:basedOn w:val="Normal"/>
    <w:next w:val="Normal"/>
    <w:link w:val="CaptionChar"/>
    <w:unhideWhenUsed/>
    <w:rsid w:val="00124A51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rsid w:val="00124A51"/>
    <w:rPr>
      <w:b/>
      <w:bCs/>
      <w:snapToGrid w:val="0"/>
      <w:color w:val="4F81BD" w:themeColor="accent1"/>
      <w:sz w:val="18"/>
      <w:szCs w:val="18"/>
      <w:lang w:eastAsia="en-US"/>
    </w:rPr>
  </w:style>
  <w:style w:type="paragraph" w:styleId="Title">
    <w:name w:val="Title"/>
    <w:basedOn w:val="Heading1"/>
    <w:next w:val="Normal"/>
    <w:link w:val="TitleChar"/>
    <w:rsid w:val="00AA3563"/>
    <w:rPr>
      <w:sz w:val="28"/>
    </w:rPr>
  </w:style>
  <w:style w:type="character" w:customStyle="1" w:styleId="TitleChar">
    <w:name w:val="Title Char"/>
    <w:basedOn w:val="DefaultParagraphFont"/>
    <w:link w:val="Title"/>
    <w:rsid w:val="00AA3563"/>
    <w:rPr>
      <w:rFonts w:ascii="Arial Bold" w:hAnsi="Arial Bold" w:cs="Arial"/>
      <w:b/>
      <w:caps/>
      <w:snapToGrid w:val="0"/>
      <w:sz w:val="28"/>
      <w:lang w:eastAsia="en-US"/>
    </w:rPr>
  </w:style>
  <w:style w:type="paragraph" w:styleId="BodyText">
    <w:name w:val="Body Text"/>
    <w:basedOn w:val="Normal"/>
    <w:link w:val="BodyTextChar"/>
    <w:qFormat/>
    <w:rsid w:val="004B3DDB"/>
    <w:pPr>
      <w:jc w:val="left"/>
    </w:pPr>
  </w:style>
  <w:style w:type="character" w:customStyle="1" w:styleId="BodyTextChar">
    <w:name w:val="Body Text Char"/>
    <w:basedOn w:val="DefaultParagraphFont"/>
    <w:link w:val="BodyText"/>
    <w:rsid w:val="004B3DDB"/>
    <w:rPr>
      <w:rFonts w:ascii="Arial" w:hAnsi="Arial" w:cs="Arial"/>
      <w:snapToGrid w:val="0"/>
      <w:sz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24A51"/>
    <w:pPr>
      <w:ind w:left="720"/>
      <w:contextualSpacing/>
    </w:pPr>
  </w:style>
  <w:style w:type="paragraph" w:customStyle="1" w:styleId="RegularText">
    <w:name w:val="Regular Text"/>
    <w:basedOn w:val="BodyText"/>
    <w:link w:val="RegularTextChar"/>
    <w:rsid w:val="00124A51"/>
    <w:rPr>
      <w:b/>
    </w:rPr>
  </w:style>
  <w:style w:type="paragraph" w:styleId="NoSpacing">
    <w:name w:val="No Spacing"/>
    <w:uiPriority w:val="1"/>
    <w:qFormat/>
    <w:rsid w:val="00124A51"/>
    <w:pPr>
      <w:widowControl w:val="0"/>
      <w:jc w:val="both"/>
    </w:pPr>
    <w:rPr>
      <w:rFonts w:ascii="Arial" w:hAnsi="Arial" w:cs="Arial"/>
      <w:snapToGrid w:val="0"/>
      <w:sz w:val="22"/>
      <w:lang w:eastAsia="en-US"/>
    </w:rPr>
  </w:style>
  <w:style w:type="character" w:customStyle="1" w:styleId="RegularTextChar">
    <w:name w:val="Regular Text Char"/>
    <w:basedOn w:val="BodyTextChar"/>
    <w:link w:val="RegularText"/>
    <w:rsid w:val="00124A51"/>
    <w:rPr>
      <w:rFonts w:ascii="Arial" w:hAnsi="Arial" w:cs="Arial"/>
      <w:b/>
      <w:snapToGrid w:val="0"/>
      <w:sz w:val="22"/>
      <w:lang w:eastAsia="en-US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rsid w:val="00124A51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124A51"/>
    <w:rPr>
      <w:rFonts w:ascii="Arial" w:hAnsi="Arial" w:cs="Arial"/>
      <w:snapToGrid w:val="0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124A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A51"/>
    <w:rPr>
      <w:rFonts w:ascii="Arial" w:hAnsi="Arial" w:cs="Arial"/>
      <w:snapToGrid w:val="0"/>
      <w:sz w:val="22"/>
      <w:lang w:eastAsia="en-US"/>
    </w:rPr>
  </w:style>
  <w:style w:type="table" w:styleId="TableGrid">
    <w:name w:val="Table Grid"/>
    <w:basedOn w:val="TableNormal"/>
    <w:uiPriority w:val="59"/>
    <w:rsid w:val="004B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aliases w:val="Table Title"/>
    <w:qFormat/>
    <w:rsid w:val="00E2771E"/>
    <w:rPr>
      <w:rFonts w:ascii="Arial Narrow" w:hAnsi="Arial Narrow"/>
      <w:b/>
      <w:sz w:val="20"/>
      <w:szCs w:val="16"/>
    </w:rPr>
  </w:style>
  <w:style w:type="paragraph" w:customStyle="1" w:styleId="Tabletext">
    <w:name w:val="Table text"/>
    <w:basedOn w:val="Normal"/>
    <w:link w:val="TabletextChar"/>
    <w:rsid w:val="00A56B6A"/>
    <w:pPr>
      <w:widowControl/>
      <w:spacing w:after="120"/>
      <w:jc w:val="left"/>
    </w:pPr>
    <w:rPr>
      <w:rFonts w:cs="Times New Roman"/>
      <w:snapToGrid/>
      <w:sz w:val="20"/>
    </w:rPr>
  </w:style>
  <w:style w:type="paragraph" w:customStyle="1" w:styleId="TableHeading">
    <w:name w:val="TableHeading"/>
    <w:basedOn w:val="Normal"/>
    <w:rsid w:val="00A56B6A"/>
    <w:pPr>
      <w:keepNext/>
      <w:widowControl/>
      <w:spacing w:before="40" w:after="40"/>
      <w:jc w:val="left"/>
    </w:pPr>
    <w:rPr>
      <w:rFonts w:ascii="Arial Narrow" w:hAnsi="Arial Narrow" w:cs="Arial Narrow"/>
      <w:b/>
      <w:bCs/>
      <w:snapToGrid/>
      <w:sz w:val="20"/>
    </w:rPr>
  </w:style>
  <w:style w:type="character" w:customStyle="1" w:styleId="TabletextChar">
    <w:name w:val="Table text Char"/>
    <w:link w:val="Tabletext"/>
    <w:rsid w:val="00A56B6A"/>
    <w:rPr>
      <w:rFonts w:ascii="Arial" w:hAnsi="Arial"/>
      <w:lang w:eastAsia="en-US"/>
    </w:rPr>
  </w:style>
  <w:style w:type="paragraph" w:customStyle="1" w:styleId="Corpsdetextemarge">
    <w:name w:val="Corps de texte marge"/>
    <w:basedOn w:val="BodyText"/>
    <w:uiPriority w:val="99"/>
    <w:rsid w:val="008F48EB"/>
    <w:pPr>
      <w:widowControl/>
      <w:jc w:val="both"/>
    </w:pPr>
    <w:rPr>
      <w:rFonts w:ascii="Times" w:hAnsi="Times" w:cs="Times New Roman"/>
      <w:snapToGrid/>
      <w:sz w:val="24"/>
      <w:lang w:val="en-US"/>
    </w:rPr>
  </w:style>
  <w:style w:type="paragraph" w:styleId="NormalWeb">
    <w:name w:val="Normal (Web)"/>
    <w:basedOn w:val="Normal"/>
    <w:uiPriority w:val="99"/>
    <w:rsid w:val="008F48EB"/>
    <w:pPr>
      <w:widowControl/>
      <w:spacing w:before="100" w:after="100"/>
      <w:jc w:val="left"/>
    </w:pPr>
    <w:rPr>
      <w:rFonts w:ascii="Times New Roman" w:hAnsi="Times New Roman" w:cs="Times New Roman"/>
      <w:snapToGrid/>
      <w:sz w:val="24"/>
      <w:lang w:val="en-GB"/>
    </w:rPr>
  </w:style>
  <w:style w:type="paragraph" w:styleId="TOC2">
    <w:name w:val="toc 2"/>
    <w:basedOn w:val="Normal"/>
    <w:next w:val="Normal"/>
    <w:autoRedefine/>
    <w:uiPriority w:val="39"/>
    <w:qFormat/>
    <w:rsid w:val="002025FE"/>
    <w:pPr>
      <w:tabs>
        <w:tab w:val="left" w:pos="880"/>
        <w:tab w:val="right" w:leader="dot" w:pos="9016"/>
      </w:tabs>
      <w:spacing w:before="120"/>
      <w:ind w:left="220"/>
      <w:jc w:val="left"/>
    </w:pPr>
    <w:rPr>
      <w:iCs/>
      <w:sz w:val="20"/>
    </w:rPr>
  </w:style>
  <w:style w:type="paragraph" w:styleId="TOC1">
    <w:name w:val="toc 1"/>
    <w:basedOn w:val="Normal"/>
    <w:next w:val="Normal"/>
    <w:autoRedefine/>
    <w:uiPriority w:val="39"/>
    <w:qFormat/>
    <w:rsid w:val="00D0262E"/>
    <w:pPr>
      <w:spacing w:before="240" w:after="120"/>
      <w:jc w:val="left"/>
    </w:pPr>
    <w:rPr>
      <w:bCs/>
      <w:sz w:val="20"/>
    </w:rPr>
  </w:style>
  <w:style w:type="character" w:styleId="Hyperlink">
    <w:name w:val="Hyperlink"/>
    <w:basedOn w:val="DefaultParagraphFont"/>
    <w:uiPriority w:val="99"/>
    <w:unhideWhenUsed/>
    <w:rsid w:val="00621477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CE6274"/>
    <w:pPr>
      <w:keepNext/>
      <w:keepLines/>
      <w:widowControl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snapToGrid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E6274"/>
    <w:pPr>
      <w:ind w:left="440"/>
      <w:jc w:val="left"/>
    </w:pPr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rsid w:val="00CE6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6274"/>
    <w:rPr>
      <w:rFonts w:ascii="Tahoma" w:hAnsi="Tahoma" w:cs="Tahoma"/>
      <w:snapToGrid w:val="0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CE62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E6274"/>
    <w:rPr>
      <w:rFonts w:ascii="Arial" w:hAnsi="Arial" w:cs="Arial"/>
      <w:snapToGrid w:val="0"/>
      <w:sz w:val="16"/>
      <w:szCs w:val="16"/>
      <w:lang w:eastAsia="en-US"/>
    </w:rPr>
  </w:style>
  <w:style w:type="paragraph" w:styleId="TOC4">
    <w:name w:val="toc 4"/>
    <w:basedOn w:val="Normal"/>
    <w:next w:val="Normal"/>
    <w:autoRedefine/>
    <w:uiPriority w:val="39"/>
    <w:rsid w:val="00D0262E"/>
    <w:pPr>
      <w:ind w:left="660"/>
      <w:jc w:val="left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uiPriority w:val="39"/>
    <w:rsid w:val="00D0262E"/>
    <w:pPr>
      <w:ind w:left="880"/>
      <w:jc w:val="left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uiPriority w:val="39"/>
    <w:rsid w:val="00D0262E"/>
    <w:pPr>
      <w:ind w:left="1100"/>
      <w:jc w:val="left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uiPriority w:val="39"/>
    <w:rsid w:val="00D0262E"/>
    <w:pPr>
      <w:ind w:left="1320"/>
      <w:jc w:val="left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uiPriority w:val="39"/>
    <w:rsid w:val="00D0262E"/>
    <w:pPr>
      <w:ind w:left="1540"/>
      <w:jc w:val="left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uiPriority w:val="39"/>
    <w:rsid w:val="00D0262E"/>
    <w:pPr>
      <w:ind w:left="1760"/>
      <w:jc w:val="left"/>
    </w:pPr>
    <w:rPr>
      <w:rFonts w:asciiTheme="minorHAnsi" w:hAnsiTheme="minorHAnsi"/>
      <w:sz w:val="20"/>
    </w:rPr>
  </w:style>
  <w:style w:type="paragraph" w:styleId="BodyText2">
    <w:name w:val="Body Text 2"/>
    <w:basedOn w:val="Normal"/>
    <w:link w:val="BodyText2Char"/>
    <w:rsid w:val="00D17D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17D6C"/>
    <w:rPr>
      <w:rFonts w:ascii="Arial" w:hAnsi="Arial" w:cs="Arial"/>
      <w:snapToGrid w:val="0"/>
      <w:sz w:val="22"/>
      <w:lang w:eastAsia="en-US"/>
    </w:rPr>
  </w:style>
  <w:style w:type="paragraph" w:styleId="CommentText">
    <w:name w:val="annotation text"/>
    <w:basedOn w:val="Normal"/>
    <w:link w:val="CommentTextChar"/>
    <w:rsid w:val="00FD2100"/>
    <w:rPr>
      <w:rFonts w:ascii="Times New Roman" w:hAnsi="Times New Roman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FD2100"/>
    <w:rPr>
      <w:snapToGrid w:val="0"/>
      <w:lang w:eastAsia="en-US"/>
    </w:rPr>
  </w:style>
  <w:style w:type="paragraph" w:customStyle="1" w:styleId="TableText0">
    <w:name w:val="TableText"/>
    <w:basedOn w:val="Normal"/>
    <w:rsid w:val="00CA7B09"/>
    <w:pPr>
      <w:keepNext/>
      <w:widowControl/>
      <w:spacing w:before="40" w:after="40"/>
      <w:jc w:val="left"/>
    </w:pPr>
    <w:rPr>
      <w:rFonts w:ascii="Arial Narrow" w:hAnsi="Arial Narrow" w:cs="Arial Narrow"/>
      <w:snapToGrid/>
      <w:sz w:val="20"/>
    </w:rPr>
  </w:style>
  <w:style w:type="paragraph" w:customStyle="1" w:styleId="TableName">
    <w:name w:val="TableName"/>
    <w:basedOn w:val="Normal"/>
    <w:rsid w:val="00CA7B09"/>
    <w:pPr>
      <w:keepNext/>
      <w:widowControl/>
      <w:spacing w:before="120" w:after="120"/>
      <w:ind w:left="1800" w:hanging="1080"/>
      <w:jc w:val="left"/>
    </w:pPr>
    <w:rPr>
      <w:rFonts w:ascii="Arial Narrow" w:hAnsi="Arial Narrow" w:cs="Arial Narrow"/>
      <w:b/>
      <w:bCs/>
      <w:snapToGrid/>
      <w:szCs w:val="22"/>
    </w:rPr>
  </w:style>
  <w:style w:type="paragraph" w:customStyle="1" w:styleId="TableNotes18">
    <w:name w:val="TableNotes+18"/>
    <w:basedOn w:val="TableText0"/>
    <w:rsid w:val="00CA7B09"/>
    <w:pPr>
      <w:keepNext w:val="0"/>
      <w:keepLines/>
      <w:spacing w:before="0" w:after="360"/>
      <w:ind w:left="720"/>
    </w:pPr>
    <w:rPr>
      <w:sz w:val="18"/>
      <w:szCs w:val="18"/>
    </w:rPr>
  </w:style>
  <w:style w:type="paragraph" w:customStyle="1" w:styleId="TableNotes0">
    <w:name w:val="TableNotes+0"/>
    <w:basedOn w:val="TableNotes18"/>
    <w:rsid w:val="00CA7B09"/>
    <w:pPr>
      <w:keepNext/>
      <w:spacing w:after="0"/>
    </w:pPr>
  </w:style>
  <w:style w:type="paragraph" w:styleId="CommentSubject">
    <w:name w:val="annotation subject"/>
    <w:basedOn w:val="CommentText"/>
    <w:next w:val="CommentText"/>
    <w:link w:val="CommentSubjectChar"/>
    <w:rsid w:val="004319F8"/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19F8"/>
    <w:rPr>
      <w:rFonts w:ascii="Arial" w:hAnsi="Arial" w:cs="Arial"/>
      <w:b/>
      <w:bCs/>
      <w:snapToGrid w:val="0"/>
      <w:lang w:eastAsia="en-US"/>
    </w:rPr>
  </w:style>
  <w:style w:type="paragraph" w:styleId="Revision">
    <w:name w:val="Revision"/>
    <w:hidden/>
    <w:uiPriority w:val="99"/>
    <w:semiHidden/>
    <w:rsid w:val="00043C37"/>
    <w:rPr>
      <w:rFonts w:ascii="Arial" w:hAnsi="Arial" w:cs="Arial"/>
      <w:snapToGrid w:val="0"/>
      <w:sz w:val="22"/>
      <w:lang w:eastAsia="en-US"/>
    </w:rPr>
  </w:style>
  <w:style w:type="paragraph" w:styleId="BodyTextIndent">
    <w:name w:val="Body Text Indent"/>
    <w:basedOn w:val="Normal"/>
    <w:link w:val="BodyTextIndentChar"/>
    <w:rsid w:val="00E41E3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41E30"/>
    <w:rPr>
      <w:rFonts w:ascii="Arial" w:hAnsi="Arial" w:cs="Arial"/>
      <w:snapToGrid w:val="0"/>
      <w:sz w:val="22"/>
      <w:lang w:eastAsia="en-US"/>
    </w:rPr>
  </w:style>
  <w:style w:type="paragraph" w:customStyle="1" w:styleId="Char1CharCharChar">
    <w:name w:val="Char1 Char Char Char"/>
    <w:basedOn w:val="Normal"/>
    <w:rsid w:val="00B94945"/>
    <w:pPr>
      <w:widowControl/>
      <w:spacing w:after="160" w:line="240" w:lineRule="exact"/>
      <w:jc w:val="left"/>
    </w:pPr>
    <w:rPr>
      <w:rFonts w:ascii="Verdana" w:eastAsia="MS Mincho" w:hAnsi="Verdana" w:cs="Verdana"/>
      <w:snapToGrid/>
      <w:sz w:val="20"/>
      <w:lang w:val="en-US"/>
    </w:rPr>
  </w:style>
  <w:style w:type="paragraph" w:customStyle="1" w:styleId="PBACheading1">
    <w:name w:val="PBAC heading 1"/>
    <w:qFormat/>
    <w:rsid w:val="002025FE"/>
    <w:pPr>
      <w:numPr>
        <w:numId w:val="5"/>
      </w:numPr>
    </w:pPr>
    <w:rPr>
      <w:rFonts w:ascii="Arial" w:hAnsi="Arial" w:cs="Arial"/>
      <w:snapToGrid w:val="0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7406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74061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4061D"/>
    <w:rPr>
      <w:rFonts w:ascii="Arial" w:hAnsi="Arial" w:cs="Arial"/>
      <w:snapToGrid w:val="0"/>
      <w:lang w:eastAsia="en-US"/>
    </w:rPr>
  </w:style>
  <w:style w:type="character" w:styleId="FootnoteReference">
    <w:name w:val="footnote reference"/>
    <w:basedOn w:val="DefaultParagraphFont"/>
    <w:semiHidden/>
    <w:unhideWhenUsed/>
    <w:rsid w:val="0074061D"/>
    <w:rPr>
      <w:vertAlign w:val="superscript"/>
    </w:rPr>
  </w:style>
  <w:style w:type="table" w:customStyle="1" w:styleId="TableGrid87">
    <w:name w:val="Table Grid87"/>
    <w:basedOn w:val="TableNormal"/>
    <w:next w:val="TableGrid"/>
    <w:uiPriority w:val="59"/>
    <w:rsid w:val="007406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74061D"/>
    <w:rPr>
      <w:b/>
      <w:bCs/>
      <w:smallCaps/>
      <w:spacing w:val="5"/>
    </w:rPr>
  </w:style>
  <w:style w:type="table" w:customStyle="1" w:styleId="TableGrid401">
    <w:name w:val="Table Grid401"/>
    <w:basedOn w:val="TableNormal"/>
    <w:next w:val="TableGrid"/>
    <w:uiPriority w:val="59"/>
    <w:rsid w:val="007406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74061D"/>
    <w:rPr>
      <w:rFonts w:ascii="Arial" w:hAnsi="Arial" w:cs="Arial"/>
      <w:snapToGrid w:val="0"/>
      <w:sz w:val="22"/>
      <w:lang w:eastAsia="en-US"/>
    </w:rPr>
  </w:style>
  <w:style w:type="paragraph" w:customStyle="1" w:styleId="tabletext1">
    <w:name w:val="table text"/>
    <w:basedOn w:val="Normal"/>
    <w:qFormat/>
    <w:rsid w:val="0074061D"/>
    <w:pPr>
      <w:keepNext/>
      <w:widowControl/>
      <w:jc w:val="left"/>
    </w:pPr>
    <w:rPr>
      <w:snapToGrid/>
      <w:color w:val="000000"/>
      <w:sz w:val="20"/>
      <w:lang w:eastAsia="en-AU"/>
    </w:rPr>
  </w:style>
  <w:style w:type="paragraph" w:customStyle="1" w:styleId="TableText2">
    <w:name w:val="Table Text"/>
    <w:basedOn w:val="Normal"/>
    <w:link w:val="TableTextChar0"/>
    <w:qFormat/>
    <w:rsid w:val="0074061D"/>
    <w:pPr>
      <w:widowControl/>
      <w:jc w:val="left"/>
    </w:pPr>
    <w:rPr>
      <w:rFonts w:ascii="Arial Narrow" w:hAnsi="Arial Narrow" w:cs="Times New Roman"/>
      <w:snapToGrid/>
      <w:sz w:val="20"/>
      <w:szCs w:val="22"/>
      <w:lang w:eastAsia="en-AU"/>
    </w:rPr>
  </w:style>
  <w:style w:type="character" w:customStyle="1" w:styleId="TableTextChar0">
    <w:name w:val="Table Text Char"/>
    <w:link w:val="TableText2"/>
    <w:rsid w:val="0074061D"/>
    <w:rPr>
      <w:rFonts w:ascii="Arial Narrow" w:hAnsi="Arial Narrow"/>
      <w:szCs w:val="22"/>
    </w:rPr>
  </w:style>
  <w:style w:type="paragraph" w:styleId="Subtitle">
    <w:name w:val="Subtitle"/>
    <w:basedOn w:val="Normal"/>
    <w:next w:val="Normal"/>
    <w:link w:val="SubtitleChar"/>
    <w:rsid w:val="00D971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97183"/>
    <w:rPr>
      <w:rFonts w:asciiTheme="majorHAnsi" w:eastAsiaTheme="majorEastAsia" w:hAnsiTheme="majorHAnsi" w:cstheme="majorBidi"/>
      <w:i/>
      <w:iCs/>
      <w:snapToGrid w:val="0"/>
      <w:color w:val="4F81BD" w:themeColor="accent1"/>
      <w:spacing w:val="15"/>
      <w:sz w:val="24"/>
      <w:szCs w:val="24"/>
      <w:lang w:eastAsia="en-US"/>
    </w:rPr>
  </w:style>
  <w:style w:type="paragraph" w:customStyle="1" w:styleId="PBACHeading10">
    <w:name w:val="PBAC Heading 1"/>
    <w:qFormat/>
    <w:rsid w:val="000E65DA"/>
    <w:pPr>
      <w:ind w:left="720" w:hanging="720"/>
    </w:pPr>
    <w:rPr>
      <w:rFonts w:ascii="Arial" w:hAnsi="Arial" w:cs="Arial"/>
      <w:b/>
      <w:snapToGrid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5FE"/>
    <w:pPr>
      <w:widowControl w:val="0"/>
      <w:jc w:val="both"/>
    </w:pPr>
    <w:rPr>
      <w:rFonts w:ascii="Arial" w:hAnsi="Arial" w:cs="Arial"/>
      <w:snapToGrid w:val="0"/>
      <w:sz w:val="22"/>
      <w:lang w:eastAsia="en-US"/>
    </w:rPr>
  </w:style>
  <w:style w:type="paragraph" w:styleId="Heading1">
    <w:name w:val="heading 1"/>
    <w:basedOn w:val="Normal"/>
    <w:next w:val="Normal"/>
    <w:qFormat/>
    <w:rsid w:val="00D76A44"/>
    <w:pPr>
      <w:ind w:left="720" w:hanging="7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PBACheading1"/>
    <w:next w:val="Normal"/>
    <w:link w:val="Heading2Char"/>
    <w:qFormat/>
    <w:rsid w:val="00C735B0"/>
    <w:pPr>
      <w:numPr>
        <w:numId w:val="0"/>
      </w:numPr>
      <w:ind w:left="720" w:hanging="7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C735B0"/>
    <w:pPr>
      <w:widowControl/>
      <w:jc w:val="left"/>
      <w:outlineLvl w:val="2"/>
    </w:pPr>
    <w:rPr>
      <w:b/>
      <w:i/>
    </w:rPr>
  </w:style>
  <w:style w:type="paragraph" w:styleId="Heading4">
    <w:name w:val="heading 4"/>
    <w:basedOn w:val="Normal"/>
    <w:next w:val="Normal"/>
    <w:rsid w:val="00124A51"/>
    <w:pPr>
      <w:keepNext/>
      <w:spacing w:before="240" w:after="60"/>
      <w:outlineLvl w:val="3"/>
    </w:pPr>
    <w:rPr>
      <w:b/>
      <w:bCs/>
      <w:i/>
      <w:sz w:val="26"/>
      <w:szCs w:val="28"/>
    </w:rPr>
  </w:style>
  <w:style w:type="paragraph" w:styleId="Heading5">
    <w:name w:val="heading 5"/>
    <w:basedOn w:val="Normal"/>
    <w:next w:val="Normal"/>
    <w:rsid w:val="00124A51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rsid w:val="00124A51"/>
    <w:pPr>
      <w:spacing w:before="240" w:after="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link w:val="Heading7Char"/>
    <w:rsid w:val="00124A51"/>
    <w:pPr>
      <w:keepNext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rsid w:val="00124A51"/>
    <w:pPr>
      <w:keepNext/>
      <w:jc w:val="right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rsid w:val="00124A51"/>
    <w:pPr>
      <w:keepNext/>
      <w:jc w:val="center"/>
      <w:outlineLvl w:val="8"/>
    </w:pPr>
    <w:rPr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Footer">
    <w:name w:val="Table Footer"/>
    <w:basedOn w:val="Normal"/>
    <w:qFormat/>
    <w:rsid w:val="00E2771E"/>
    <w:rPr>
      <w:rFonts w:ascii="Arial Narrow" w:hAnsi="Arial Narrow"/>
      <w:sz w:val="18"/>
    </w:rPr>
  </w:style>
  <w:style w:type="paragraph" w:customStyle="1" w:styleId="TableHeader">
    <w:name w:val="Table Header"/>
    <w:basedOn w:val="Normal"/>
    <w:rsid w:val="000D1BFC"/>
    <w:rPr>
      <w:b/>
      <w:sz w:val="20"/>
    </w:rPr>
  </w:style>
  <w:style w:type="character" w:customStyle="1" w:styleId="Heading2Char">
    <w:name w:val="Heading 2 Char"/>
    <w:link w:val="Heading2"/>
    <w:rsid w:val="00C735B0"/>
    <w:rPr>
      <w:rFonts w:ascii="Arial" w:hAnsi="Arial" w:cs="Arial"/>
      <w:b/>
      <w:bCs/>
      <w:snapToGrid w:val="0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124A51"/>
    <w:rPr>
      <w:rFonts w:ascii="Arial" w:hAnsi="Arial"/>
      <w:b/>
      <w:snapToGrid w:val="0"/>
      <w:lang w:eastAsia="en-US"/>
    </w:rPr>
  </w:style>
  <w:style w:type="character" w:customStyle="1" w:styleId="Heading8Char">
    <w:name w:val="Heading 8 Char"/>
    <w:basedOn w:val="DefaultParagraphFont"/>
    <w:link w:val="Heading8"/>
    <w:rsid w:val="00124A51"/>
    <w:rPr>
      <w:b/>
      <w:snapToGrid w:val="0"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124A51"/>
    <w:rPr>
      <w:rFonts w:ascii="Arial" w:hAnsi="Arial"/>
      <w:b/>
      <w:snapToGrid w:val="0"/>
      <w:color w:val="000000"/>
      <w:lang w:eastAsia="en-US"/>
    </w:rPr>
  </w:style>
  <w:style w:type="paragraph" w:styleId="Caption">
    <w:name w:val="caption"/>
    <w:basedOn w:val="Normal"/>
    <w:next w:val="Normal"/>
    <w:link w:val="CaptionChar"/>
    <w:unhideWhenUsed/>
    <w:rsid w:val="00124A51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rsid w:val="00124A51"/>
    <w:rPr>
      <w:b/>
      <w:bCs/>
      <w:snapToGrid w:val="0"/>
      <w:color w:val="4F81BD" w:themeColor="accent1"/>
      <w:sz w:val="18"/>
      <w:szCs w:val="18"/>
      <w:lang w:eastAsia="en-US"/>
    </w:rPr>
  </w:style>
  <w:style w:type="paragraph" w:styleId="Title">
    <w:name w:val="Title"/>
    <w:basedOn w:val="Heading1"/>
    <w:next w:val="Normal"/>
    <w:link w:val="TitleChar"/>
    <w:rsid w:val="00AA3563"/>
    <w:rPr>
      <w:sz w:val="28"/>
    </w:rPr>
  </w:style>
  <w:style w:type="character" w:customStyle="1" w:styleId="TitleChar">
    <w:name w:val="Title Char"/>
    <w:basedOn w:val="DefaultParagraphFont"/>
    <w:link w:val="Title"/>
    <w:rsid w:val="00AA3563"/>
    <w:rPr>
      <w:rFonts w:ascii="Arial Bold" w:hAnsi="Arial Bold" w:cs="Arial"/>
      <w:b/>
      <w:caps/>
      <w:snapToGrid w:val="0"/>
      <w:sz w:val="28"/>
      <w:lang w:eastAsia="en-US"/>
    </w:rPr>
  </w:style>
  <w:style w:type="paragraph" w:styleId="BodyText">
    <w:name w:val="Body Text"/>
    <w:basedOn w:val="Normal"/>
    <w:link w:val="BodyTextChar"/>
    <w:qFormat/>
    <w:rsid w:val="004B3DDB"/>
    <w:pPr>
      <w:jc w:val="left"/>
    </w:pPr>
  </w:style>
  <w:style w:type="character" w:customStyle="1" w:styleId="BodyTextChar">
    <w:name w:val="Body Text Char"/>
    <w:basedOn w:val="DefaultParagraphFont"/>
    <w:link w:val="BodyText"/>
    <w:rsid w:val="004B3DDB"/>
    <w:rPr>
      <w:rFonts w:ascii="Arial" w:hAnsi="Arial" w:cs="Arial"/>
      <w:snapToGrid w:val="0"/>
      <w:sz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24A51"/>
    <w:pPr>
      <w:ind w:left="720"/>
      <w:contextualSpacing/>
    </w:pPr>
  </w:style>
  <w:style w:type="paragraph" w:customStyle="1" w:styleId="RegularText">
    <w:name w:val="Regular Text"/>
    <w:basedOn w:val="BodyText"/>
    <w:link w:val="RegularTextChar"/>
    <w:rsid w:val="00124A51"/>
    <w:rPr>
      <w:b/>
    </w:rPr>
  </w:style>
  <w:style w:type="paragraph" w:styleId="NoSpacing">
    <w:name w:val="No Spacing"/>
    <w:uiPriority w:val="1"/>
    <w:qFormat/>
    <w:rsid w:val="00124A51"/>
    <w:pPr>
      <w:widowControl w:val="0"/>
      <w:jc w:val="both"/>
    </w:pPr>
    <w:rPr>
      <w:rFonts w:ascii="Arial" w:hAnsi="Arial" w:cs="Arial"/>
      <w:snapToGrid w:val="0"/>
      <w:sz w:val="22"/>
      <w:lang w:eastAsia="en-US"/>
    </w:rPr>
  </w:style>
  <w:style w:type="character" w:customStyle="1" w:styleId="RegularTextChar">
    <w:name w:val="Regular Text Char"/>
    <w:basedOn w:val="BodyTextChar"/>
    <w:link w:val="RegularText"/>
    <w:rsid w:val="00124A51"/>
    <w:rPr>
      <w:rFonts w:ascii="Arial" w:hAnsi="Arial" w:cs="Arial"/>
      <w:b/>
      <w:snapToGrid w:val="0"/>
      <w:sz w:val="22"/>
      <w:lang w:eastAsia="en-US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rsid w:val="00124A51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124A51"/>
    <w:rPr>
      <w:rFonts w:ascii="Arial" w:hAnsi="Arial" w:cs="Arial"/>
      <w:snapToGrid w:val="0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124A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A51"/>
    <w:rPr>
      <w:rFonts w:ascii="Arial" w:hAnsi="Arial" w:cs="Arial"/>
      <w:snapToGrid w:val="0"/>
      <w:sz w:val="22"/>
      <w:lang w:eastAsia="en-US"/>
    </w:rPr>
  </w:style>
  <w:style w:type="table" w:styleId="TableGrid">
    <w:name w:val="Table Grid"/>
    <w:basedOn w:val="TableNormal"/>
    <w:uiPriority w:val="59"/>
    <w:rsid w:val="004B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aliases w:val="Table Title"/>
    <w:qFormat/>
    <w:rsid w:val="00E2771E"/>
    <w:rPr>
      <w:rFonts w:ascii="Arial Narrow" w:hAnsi="Arial Narrow"/>
      <w:b/>
      <w:sz w:val="20"/>
      <w:szCs w:val="16"/>
    </w:rPr>
  </w:style>
  <w:style w:type="paragraph" w:customStyle="1" w:styleId="Tabletext">
    <w:name w:val="Table text"/>
    <w:basedOn w:val="Normal"/>
    <w:link w:val="TabletextChar"/>
    <w:rsid w:val="00A56B6A"/>
    <w:pPr>
      <w:widowControl/>
      <w:spacing w:after="120"/>
      <w:jc w:val="left"/>
    </w:pPr>
    <w:rPr>
      <w:rFonts w:cs="Times New Roman"/>
      <w:snapToGrid/>
      <w:sz w:val="20"/>
    </w:rPr>
  </w:style>
  <w:style w:type="paragraph" w:customStyle="1" w:styleId="TableHeading">
    <w:name w:val="TableHeading"/>
    <w:basedOn w:val="Normal"/>
    <w:rsid w:val="00A56B6A"/>
    <w:pPr>
      <w:keepNext/>
      <w:widowControl/>
      <w:spacing w:before="40" w:after="40"/>
      <w:jc w:val="left"/>
    </w:pPr>
    <w:rPr>
      <w:rFonts w:ascii="Arial Narrow" w:hAnsi="Arial Narrow" w:cs="Arial Narrow"/>
      <w:b/>
      <w:bCs/>
      <w:snapToGrid/>
      <w:sz w:val="20"/>
    </w:rPr>
  </w:style>
  <w:style w:type="character" w:customStyle="1" w:styleId="TabletextChar">
    <w:name w:val="Table text Char"/>
    <w:link w:val="Tabletext"/>
    <w:rsid w:val="00A56B6A"/>
    <w:rPr>
      <w:rFonts w:ascii="Arial" w:hAnsi="Arial"/>
      <w:lang w:eastAsia="en-US"/>
    </w:rPr>
  </w:style>
  <w:style w:type="paragraph" w:customStyle="1" w:styleId="Corpsdetextemarge">
    <w:name w:val="Corps de texte marge"/>
    <w:basedOn w:val="BodyText"/>
    <w:uiPriority w:val="99"/>
    <w:rsid w:val="008F48EB"/>
    <w:pPr>
      <w:widowControl/>
      <w:jc w:val="both"/>
    </w:pPr>
    <w:rPr>
      <w:rFonts w:ascii="Times" w:hAnsi="Times" w:cs="Times New Roman"/>
      <w:snapToGrid/>
      <w:sz w:val="24"/>
      <w:lang w:val="en-US"/>
    </w:rPr>
  </w:style>
  <w:style w:type="paragraph" w:styleId="NormalWeb">
    <w:name w:val="Normal (Web)"/>
    <w:basedOn w:val="Normal"/>
    <w:uiPriority w:val="99"/>
    <w:rsid w:val="008F48EB"/>
    <w:pPr>
      <w:widowControl/>
      <w:spacing w:before="100" w:after="100"/>
      <w:jc w:val="left"/>
    </w:pPr>
    <w:rPr>
      <w:rFonts w:ascii="Times New Roman" w:hAnsi="Times New Roman" w:cs="Times New Roman"/>
      <w:snapToGrid/>
      <w:sz w:val="24"/>
      <w:lang w:val="en-GB"/>
    </w:rPr>
  </w:style>
  <w:style w:type="paragraph" w:styleId="TOC2">
    <w:name w:val="toc 2"/>
    <w:basedOn w:val="Normal"/>
    <w:next w:val="Normal"/>
    <w:autoRedefine/>
    <w:uiPriority w:val="39"/>
    <w:qFormat/>
    <w:rsid w:val="002025FE"/>
    <w:pPr>
      <w:tabs>
        <w:tab w:val="left" w:pos="880"/>
        <w:tab w:val="right" w:leader="dot" w:pos="9016"/>
      </w:tabs>
      <w:spacing w:before="120"/>
      <w:ind w:left="220"/>
      <w:jc w:val="left"/>
    </w:pPr>
    <w:rPr>
      <w:iCs/>
      <w:sz w:val="20"/>
    </w:rPr>
  </w:style>
  <w:style w:type="paragraph" w:styleId="TOC1">
    <w:name w:val="toc 1"/>
    <w:basedOn w:val="Normal"/>
    <w:next w:val="Normal"/>
    <w:autoRedefine/>
    <w:uiPriority w:val="39"/>
    <w:qFormat/>
    <w:rsid w:val="00D0262E"/>
    <w:pPr>
      <w:spacing w:before="240" w:after="120"/>
      <w:jc w:val="left"/>
    </w:pPr>
    <w:rPr>
      <w:bCs/>
      <w:sz w:val="20"/>
    </w:rPr>
  </w:style>
  <w:style w:type="character" w:styleId="Hyperlink">
    <w:name w:val="Hyperlink"/>
    <w:basedOn w:val="DefaultParagraphFont"/>
    <w:uiPriority w:val="99"/>
    <w:unhideWhenUsed/>
    <w:rsid w:val="00621477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CE6274"/>
    <w:pPr>
      <w:keepNext/>
      <w:keepLines/>
      <w:widowControl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snapToGrid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E6274"/>
    <w:pPr>
      <w:ind w:left="440"/>
      <w:jc w:val="left"/>
    </w:pPr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rsid w:val="00CE6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6274"/>
    <w:rPr>
      <w:rFonts w:ascii="Tahoma" w:hAnsi="Tahoma" w:cs="Tahoma"/>
      <w:snapToGrid w:val="0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CE62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E6274"/>
    <w:rPr>
      <w:rFonts w:ascii="Arial" w:hAnsi="Arial" w:cs="Arial"/>
      <w:snapToGrid w:val="0"/>
      <w:sz w:val="16"/>
      <w:szCs w:val="16"/>
      <w:lang w:eastAsia="en-US"/>
    </w:rPr>
  </w:style>
  <w:style w:type="paragraph" w:styleId="TOC4">
    <w:name w:val="toc 4"/>
    <w:basedOn w:val="Normal"/>
    <w:next w:val="Normal"/>
    <w:autoRedefine/>
    <w:uiPriority w:val="39"/>
    <w:rsid w:val="00D0262E"/>
    <w:pPr>
      <w:ind w:left="660"/>
      <w:jc w:val="left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uiPriority w:val="39"/>
    <w:rsid w:val="00D0262E"/>
    <w:pPr>
      <w:ind w:left="880"/>
      <w:jc w:val="left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uiPriority w:val="39"/>
    <w:rsid w:val="00D0262E"/>
    <w:pPr>
      <w:ind w:left="1100"/>
      <w:jc w:val="left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uiPriority w:val="39"/>
    <w:rsid w:val="00D0262E"/>
    <w:pPr>
      <w:ind w:left="1320"/>
      <w:jc w:val="left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uiPriority w:val="39"/>
    <w:rsid w:val="00D0262E"/>
    <w:pPr>
      <w:ind w:left="1540"/>
      <w:jc w:val="left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uiPriority w:val="39"/>
    <w:rsid w:val="00D0262E"/>
    <w:pPr>
      <w:ind w:left="1760"/>
      <w:jc w:val="left"/>
    </w:pPr>
    <w:rPr>
      <w:rFonts w:asciiTheme="minorHAnsi" w:hAnsiTheme="minorHAnsi"/>
      <w:sz w:val="20"/>
    </w:rPr>
  </w:style>
  <w:style w:type="paragraph" w:styleId="BodyText2">
    <w:name w:val="Body Text 2"/>
    <w:basedOn w:val="Normal"/>
    <w:link w:val="BodyText2Char"/>
    <w:rsid w:val="00D17D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17D6C"/>
    <w:rPr>
      <w:rFonts w:ascii="Arial" w:hAnsi="Arial" w:cs="Arial"/>
      <w:snapToGrid w:val="0"/>
      <w:sz w:val="22"/>
      <w:lang w:eastAsia="en-US"/>
    </w:rPr>
  </w:style>
  <w:style w:type="paragraph" w:styleId="CommentText">
    <w:name w:val="annotation text"/>
    <w:basedOn w:val="Normal"/>
    <w:link w:val="CommentTextChar"/>
    <w:rsid w:val="00FD2100"/>
    <w:rPr>
      <w:rFonts w:ascii="Times New Roman" w:hAnsi="Times New Roman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FD2100"/>
    <w:rPr>
      <w:snapToGrid w:val="0"/>
      <w:lang w:eastAsia="en-US"/>
    </w:rPr>
  </w:style>
  <w:style w:type="paragraph" w:customStyle="1" w:styleId="TableText0">
    <w:name w:val="TableText"/>
    <w:basedOn w:val="Normal"/>
    <w:rsid w:val="00CA7B09"/>
    <w:pPr>
      <w:keepNext/>
      <w:widowControl/>
      <w:spacing w:before="40" w:after="40"/>
      <w:jc w:val="left"/>
    </w:pPr>
    <w:rPr>
      <w:rFonts w:ascii="Arial Narrow" w:hAnsi="Arial Narrow" w:cs="Arial Narrow"/>
      <w:snapToGrid/>
      <w:sz w:val="20"/>
    </w:rPr>
  </w:style>
  <w:style w:type="paragraph" w:customStyle="1" w:styleId="TableName">
    <w:name w:val="TableName"/>
    <w:basedOn w:val="Normal"/>
    <w:rsid w:val="00CA7B09"/>
    <w:pPr>
      <w:keepNext/>
      <w:widowControl/>
      <w:spacing w:before="120" w:after="120"/>
      <w:ind w:left="1800" w:hanging="1080"/>
      <w:jc w:val="left"/>
    </w:pPr>
    <w:rPr>
      <w:rFonts w:ascii="Arial Narrow" w:hAnsi="Arial Narrow" w:cs="Arial Narrow"/>
      <w:b/>
      <w:bCs/>
      <w:snapToGrid/>
      <w:szCs w:val="22"/>
    </w:rPr>
  </w:style>
  <w:style w:type="paragraph" w:customStyle="1" w:styleId="TableNotes18">
    <w:name w:val="TableNotes+18"/>
    <w:basedOn w:val="TableText0"/>
    <w:rsid w:val="00CA7B09"/>
    <w:pPr>
      <w:keepNext w:val="0"/>
      <w:keepLines/>
      <w:spacing w:before="0" w:after="360"/>
      <w:ind w:left="720"/>
    </w:pPr>
    <w:rPr>
      <w:sz w:val="18"/>
      <w:szCs w:val="18"/>
    </w:rPr>
  </w:style>
  <w:style w:type="paragraph" w:customStyle="1" w:styleId="TableNotes0">
    <w:name w:val="TableNotes+0"/>
    <w:basedOn w:val="TableNotes18"/>
    <w:rsid w:val="00CA7B09"/>
    <w:pPr>
      <w:keepNext/>
      <w:spacing w:after="0"/>
    </w:pPr>
  </w:style>
  <w:style w:type="paragraph" w:styleId="CommentSubject">
    <w:name w:val="annotation subject"/>
    <w:basedOn w:val="CommentText"/>
    <w:next w:val="CommentText"/>
    <w:link w:val="CommentSubjectChar"/>
    <w:rsid w:val="004319F8"/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19F8"/>
    <w:rPr>
      <w:rFonts w:ascii="Arial" w:hAnsi="Arial" w:cs="Arial"/>
      <w:b/>
      <w:bCs/>
      <w:snapToGrid w:val="0"/>
      <w:lang w:eastAsia="en-US"/>
    </w:rPr>
  </w:style>
  <w:style w:type="paragraph" w:styleId="Revision">
    <w:name w:val="Revision"/>
    <w:hidden/>
    <w:uiPriority w:val="99"/>
    <w:semiHidden/>
    <w:rsid w:val="00043C37"/>
    <w:rPr>
      <w:rFonts w:ascii="Arial" w:hAnsi="Arial" w:cs="Arial"/>
      <w:snapToGrid w:val="0"/>
      <w:sz w:val="22"/>
      <w:lang w:eastAsia="en-US"/>
    </w:rPr>
  </w:style>
  <w:style w:type="paragraph" w:styleId="BodyTextIndent">
    <w:name w:val="Body Text Indent"/>
    <w:basedOn w:val="Normal"/>
    <w:link w:val="BodyTextIndentChar"/>
    <w:rsid w:val="00E41E3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41E30"/>
    <w:rPr>
      <w:rFonts w:ascii="Arial" w:hAnsi="Arial" w:cs="Arial"/>
      <w:snapToGrid w:val="0"/>
      <w:sz w:val="22"/>
      <w:lang w:eastAsia="en-US"/>
    </w:rPr>
  </w:style>
  <w:style w:type="paragraph" w:customStyle="1" w:styleId="Char1CharCharChar">
    <w:name w:val="Char1 Char Char Char"/>
    <w:basedOn w:val="Normal"/>
    <w:rsid w:val="00B94945"/>
    <w:pPr>
      <w:widowControl/>
      <w:spacing w:after="160" w:line="240" w:lineRule="exact"/>
      <w:jc w:val="left"/>
    </w:pPr>
    <w:rPr>
      <w:rFonts w:ascii="Verdana" w:eastAsia="MS Mincho" w:hAnsi="Verdana" w:cs="Verdana"/>
      <w:snapToGrid/>
      <w:sz w:val="20"/>
      <w:lang w:val="en-US"/>
    </w:rPr>
  </w:style>
  <w:style w:type="paragraph" w:customStyle="1" w:styleId="PBACheading1">
    <w:name w:val="PBAC heading 1"/>
    <w:qFormat/>
    <w:rsid w:val="002025FE"/>
    <w:pPr>
      <w:numPr>
        <w:numId w:val="5"/>
      </w:numPr>
    </w:pPr>
    <w:rPr>
      <w:rFonts w:ascii="Arial" w:hAnsi="Arial" w:cs="Arial"/>
      <w:snapToGrid w:val="0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7406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74061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4061D"/>
    <w:rPr>
      <w:rFonts w:ascii="Arial" w:hAnsi="Arial" w:cs="Arial"/>
      <w:snapToGrid w:val="0"/>
      <w:lang w:eastAsia="en-US"/>
    </w:rPr>
  </w:style>
  <w:style w:type="character" w:styleId="FootnoteReference">
    <w:name w:val="footnote reference"/>
    <w:basedOn w:val="DefaultParagraphFont"/>
    <w:semiHidden/>
    <w:unhideWhenUsed/>
    <w:rsid w:val="0074061D"/>
    <w:rPr>
      <w:vertAlign w:val="superscript"/>
    </w:rPr>
  </w:style>
  <w:style w:type="table" w:customStyle="1" w:styleId="TableGrid87">
    <w:name w:val="Table Grid87"/>
    <w:basedOn w:val="TableNormal"/>
    <w:next w:val="TableGrid"/>
    <w:uiPriority w:val="59"/>
    <w:rsid w:val="007406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74061D"/>
    <w:rPr>
      <w:b/>
      <w:bCs/>
      <w:smallCaps/>
      <w:spacing w:val="5"/>
    </w:rPr>
  </w:style>
  <w:style w:type="table" w:customStyle="1" w:styleId="TableGrid401">
    <w:name w:val="Table Grid401"/>
    <w:basedOn w:val="TableNormal"/>
    <w:next w:val="TableGrid"/>
    <w:uiPriority w:val="59"/>
    <w:rsid w:val="007406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74061D"/>
    <w:rPr>
      <w:rFonts w:ascii="Arial" w:hAnsi="Arial" w:cs="Arial"/>
      <w:snapToGrid w:val="0"/>
      <w:sz w:val="22"/>
      <w:lang w:eastAsia="en-US"/>
    </w:rPr>
  </w:style>
  <w:style w:type="paragraph" w:customStyle="1" w:styleId="tabletext1">
    <w:name w:val="table text"/>
    <w:basedOn w:val="Normal"/>
    <w:qFormat/>
    <w:rsid w:val="0074061D"/>
    <w:pPr>
      <w:keepNext/>
      <w:widowControl/>
      <w:jc w:val="left"/>
    </w:pPr>
    <w:rPr>
      <w:snapToGrid/>
      <w:color w:val="000000"/>
      <w:sz w:val="20"/>
      <w:lang w:eastAsia="en-AU"/>
    </w:rPr>
  </w:style>
  <w:style w:type="paragraph" w:customStyle="1" w:styleId="TableText2">
    <w:name w:val="Table Text"/>
    <w:basedOn w:val="Normal"/>
    <w:link w:val="TableTextChar0"/>
    <w:qFormat/>
    <w:rsid w:val="0074061D"/>
    <w:pPr>
      <w:widowControl/>
      <w:jc w:val="left"/>
    </w:pPr>
    <w:rPr>
      <w:rFonts w:ascii="Arial Narrow" w:hAnsi="Arial Narrow" w:cs="Times New Roman"/>
      <w:snapToGrid/>
      <w:sz w:val="20"/>
      <w:szCs w:val="22"/>
      <w:lang w:eastAsia="en-AU"/>
    </w:rPr>
  </w:style>
  <w:style w:type="character" w:customStyle="1" w:styleId="TableTextChar0">
    <w:name w:val="Table Text Char"/>
    <w:link w:val="TableText2"/>
    <w:rsid w:val="0074061D"/>
    <w:rPr>
      <w:rFonts w:ascii="Arial Narrow" w:hAnsi="Arial Narrow"/>
      <w:szCs w:val="22"/>
    </w:rPr>
  </w:style>
  <w:style w:type="paragraph" w:styleId="Subtitle">
    <w:name w:val="Subtitle"/>
    <w:basedOn w:val="Normal"/>
    <w:next w:val="Normal"/>
    <w:link w:val="SubtitleChar"/>
    <w:rsid w:val="00D971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97183"/>
    <w:rPr>
      <w:rFonts w:asciiTheme="majorHAnsi" w:eastAsiaTheme="majorEastAsia" w:hAnsiTheme="majorHAnsi" w:cstheme="majorBidi"/>
      <w:i/>
      <w:iCs/>
      <w:snapToGrid w:val="0"/>
      <w:color w:val="4F81BD" w:themeColor="accent1"/>
      <w:spacing w:val="15"/>
      <w:sz w:val="24"/>
      <w:szCs w:val="24"/>
      <w:lang w:eastAsia="en-US"/>
    </w:rPr>
  </w:style>
  <w:style w:type="paragraph" w:customStyle="1" w:styleId="PBACHeading10">
    <w:name w:val="PBAC Heading 1"/>
    <w:qFormat/>
    <w:rsid w:val="000E65DA"/>
    <w:pPr>
      <w:ind w:left="720" w:hanging="720"/>
    </w:pPr>
    <w:rPr>
      <w:rFonts w:ascii="Arial" w:hAnsi="Arial" w:cs="Arial"/>
      <w:b/>
      <w:snapToGrid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60FF0-C1D5-4B93-BCDB-7AD51910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5700</Words>
  <Characters>32491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7.06 Vedolizumab</vt:lpstr>
    </vt:vector>
  </TitlesOfParts>
  <LinksUpToDate>false</LinksUpToDate>
  <CharactersWithSpaces>38115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7.06 Vedolizumab</dc:title>
  <dc:creator/>
  <cp:lastModifiedBy/>
  <cp:revision>1</cp:revision>
  <dcterms:created xsi:type="dcterms:W3CDTF">2015-06-29T04:25:00Z</dcterms:created>
  <dcterms:modified xsi:type="dcterms:W3CDTF">2015-06-29T07:08:00Z</dcterms:modified>
</cp:coreProperties>
</file>