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F6" w:rsidRPr="007849B1" w:rsidRDefault="0076253D" w:rsidP="007849B1">
      <w:pPr>
        <w:pStyle w:val="Title"/>
      </w:pPr>
      <w:bookmarkStart w:id="0" w:name="_GoBack"/>
      <w:bookmarkEnd w:id="0"/>
      <w:r w:rsidRPr="007849B1">
        <w:t>5</w:t>
      </w:r>
      <w:r w:rsidR="0004240E" w:rsidRPr="007849B1">
        <w:t>.</w:t>
      </w:r>
      <w:r w:rsidR="00CA6F9E" w:rsidRPr="007849B1">
        <w:t>37</w:t>
      </w:r>
      <w:r w:rsidR="006B46A5" w:rsidRPr="007849B1">
        <w:tab/>
      </w:r>
      <w:r w:rsidR="00273376" w:rsidRPr="007849B1">
        <w:t>TRIG</w:t>
      </w:r>
      <w:r w:rsidR="007849B1">
        <w:t>LYCERIDES MEDIUM CHAIN FORMULA</w:t>
      </w:r>
      <w:r w:rsidR="00273376" w:rsidRPr="007849B1">
        <w:t xml:space="preserve"> </w:t>
      </w:r>
    </w:p>
    <w:p w:rsidR="00170FF6" w:rsidRPr="007849B1" w:rsidRDefault="00273376" w:rsidP="007849B1">
      <w:pPr>
        <w:pStyle w:val="Title"/>
        <w:ind w:firstLine="0"/>
      </w:pPr>
      <w:r w:rsidRPr="007849B1">
        <w:t>oral liquid, 8 x 500 mL cartons</w:t>
      </w:r>
      <w:r w:rsidR="007849B1">
        <w:t>;</w:t>
      </w:r>
      <w:r w:rsidRPr="007849B1">
        <w:t xml:space="preserve"> </w:t>
      </w:r>
    </w:p>
    <w:p w:rsidR="00273376" w:rsidRPr="007849B1" w:rsidRDefault="00273376" w:rsidP="007849B1">
      <w:pPr>
        <w:pStyle w:val="Title"/>
        <w:ind w:firstLine="0"/>
      </w:pPr>
      <w:r w:rsidRPr="007849B1">
        <w:t>Nutrini Peptisorb®</w:t>
      </w:r>
      <w:r w:rsidR="001A567E" w:rsidRPr="007849B1">
        <w:t xml:space="preserve">, </w:t>
      </w:r>
      <w:r w:rsidRPr="007849B1">
        <w:t xml:space="preserve"> Nutricia Australia Pty Ltd</w:t>
      </w:r>
    </w:p>
    <w:p w:rsidR="006A1C53" w:rsidRDefault="006A1C53" w:rsidP="00A5273B">
      <w:pPr>
        <w:rPr>
          <w:rFonts w:ascii="Arial" w:hAnsi="Arial"/>
          <w:b/>
        </w:rPr>
      </w:pPr>
    </w:p>
    <w:p w:rsidR="006B46A5" w:rsidRDefault="006B46A5" w:rsidP="00A5273B">
      <w:pPr>
        <w:rPr>
          <w:rFonts w:ascii="Arial" w:hAnsi="Arial"/>
          <w:b/>
        </w:rPr>
      </w:pPr>
    </w:p>
    <w:p w:rsidR="00CE10C4" w:rsidRPr="00470BDF" w:rsidRDefault="00CE10C4" w:rsidP="00470BDF">
      <w:pPr>
        <w:pStyle w:val="PBACHeading1"/>
      </w:pPr>
      <w:r w:rsidRPr="00470BDF">
        <w:t xml:space="preserve">Purpose of </w:t>
      </w:r>
      <w:r w:rsidR="0004240E" w:rsidRPr="00470BDF">
        <w:t>Application</w:t>
      </w:r>
    </w:p>
    <w:p w:rsidR="006A12A5" w:rsidRPr="00882085" w:rsidRDefault="006A12A5" w:rsidP="00882085">
      <w:pPr>
        <w:jc w:val="both"/>
        <w:rPr>
          <w:rFonts w:ascii="Arial" w:hAnsi="Arial"/>
          <w:sz w:val="22"/>
          <w:szCs w:val="22"/>
        </w:rPr>
      </w:pPr>
    </w:p>
    <w:p w:rsidR="00F9629A" w:rsidRPr="00925CF0" w:rsidRDefault="00B5019B" w:rsidP="00F9629A">
      <w:pPr>
        <w:pStyle w:val="ListParagraph"/>
        <w:numPr>
          <w:ilvl w:val="1"/>
          <w:numId w:val="25"/>
        </w:numPr>
        <w:jc w:val="both"/>
        <w:rPr>
          <w:rFonts w:ascii="Arial" w:hAnsi="Arial"/>
          <w:b/>
          <w:sz w:val="22"/>
          <w:szCs w:val="22"/>
        </w:rPr>
      </w:pPr>
      <w:r>
        <w:rPr>
          <w:rFonts w:ascii="Arial" w:hAnsi="Arial"/>
          <w:sz w:val="22"/>
          <w:szCs w:val="22"/>
        </w:rPr>
        <w:t>The minor submission</w:t>
      </w:r>
      <w:r w:rsidR="00273376" w:rsidRPr="00273376">
        <w:rPr>
          <w:rFonts w:ascii="Arial" w:hAnsi="Arial"/>
          <w:sz w:val="22"/>
          <w:szCs w:val="22"/>
        </w:rPr>
        <w:t xml:space="preserve"> request</w:t>
      </w:r>
      <w:r w:rsidR="0041616F">
        <w:rPr>
          <w:rFonts w:ascii="Arial" w:hAnsi="Arial"/>
          <w:sz w:val="22"/>
          <w:szCs w:val="22"/>
        </w:rPr>
        <w:t>ed</w:t>
      </w:r>
      <w:r>
        <w:rPr>
          <w:rFonts w:ascii="Arial" w:hAnsi="Arial"/>
          <w:sz w:val="22"/>
          <w:szCs w:val="22"/>
        </w:rPr>
        <w:t xml:space="preserve"> a</w:t>
      </w:r>
      <w:r w:rsidR="00273376" w:rsidRPr="00273376">
        <w:rPr>
          <w:rFonts w:ascii="Arial" w:hAnsi="Arial"/>
          <w:sz w:val="22"/>
          <w:szCs w:val="22"/>
        </w:rPr>
        <w:t xml:space="preserve"> </w:t>
      </w:r>
      <w:r w:rsidR="00170FF6">
        <w:rPr>
          <w:rFonts w:ascii="Arial" w:hAnsi="Arial"/>
          <w:sz w:val="22"/>
          <w:szCs w:val="22"/>
        </w:rPr>
        <w:t>R</w:t>
      </w:r>
      <w:r w:rsidR="00273376" w:rsidRPr="00273376">
        <w:rPr>
          <w:rFonts w:ascii="Arial" w:hAnsi="Arial"/>
          <w:sz w:val="22"/>
          <w:szCs w:val="22"/>
        </w:rPr>
        <w:t xml:space="preserve">estricted benefit listing for the dietary management of conditions requiring a source of medium chain triglcyerides limited to fat malabsorption due to liver disease, short gut syndrome, cystic fibrosis, gastrointestinal disorders, radioenteritis, chemotherapy or bone marrow transplant. </w:t>
      </w:r>
    </w:p>
    <w:p w:rsidR="00EF44A0" w:rsidRDefault="00EF44A0" w:rsidP="00EF44A0">
      <w:pPr>
        <w:pStyle w:val="ListParagraph"/>
        <w:jc w:val="both"/>
        <w:rPr>
          <w:rFonts w:ascii="Arial" w:hAnsi="Arial"/>
          <w:b/>
          <w:sz w:val="22"/>
          <w:szCs w:val="22"/>
        </w:rPr>
      </w:pPr>
    </w:p>
    <w:p w:rsidR="006A1C53" w:rsidRPr="00EF44A0" w:rsidRDefault="006A1C53" w:rsidP="00CB63C3">
      <w:pPr>
        <w:pStyle w:val="ListParagraph"/>
        <w:tabs>
          <w:tab w:val="left" w:pos="3119"/>
        </w:tabs>
        <w:jc w:val="both"/>
        <w:rPr>
          <w:rFonts w:ascii="Arial" w:hAnsi="Arial"/>
          <w:b/>
          <w:sz w:val="22"/>
          <w:szCs w:val="22"/>
        </w:rPr>
      </w:pPr>
    </w:p>
    <w:p w:rsidR="00614159" w:rsidRPr="00470BDF" w:rsidRDefault="006A12A5" w:rsidP="00470BDF">
      <w:pPr>
        <w:pStyle w:val="PBACHeading1"/>
      </w:pPr>
      <w:r w:rsidRPr="00470BDF">
        <w:t>Requested listing</w:t>
      </w:r>
    </w:p>
    <w:p w:rsidR="006A12A5" w:rsidRPr="00882085" w:rsidRDefault="006A12A5" w:rsidP="00882085">
      <w:pPr>
        <w:jc w:val="both"/>
        <w:rPr>
          <w:rFonts w:ascii="Arial" w:hAnsi="Arial"/>
          <w:b/>
          <w:sz w:val="22"/>
          <w:szCs w:val="22"/>
        </w:rPr>
      </w:pPr>
    </w:p>
    <w:p w:rsidR="00826F6D" w:rsidRPr="00826F6D" w:rsidRDefault="00F12B37" w:rsidP="00F12B37">
      <w:pPr>
        <w:pStyle w:val="ListParagraph"/>
        <w:numPr>
          <w:ilvl w:val="1"/>
          <w:numId w:val="25"/>
        </w:numPr>
        <w:jc w:val="both"/>
        <w:rPr>
          <w:rFonts w:ascii="Arial" w:hAnsi="Arial"/>
          <w:sz w:val="22"/>
          <w:szCs w:val="22"/>
        </w:rPr>
      </w:pPr>
      <w:r w:rsidRPr="00F12B37">
        <w:rPr>
          <w:rFonts w:ascii="Arial" w:hAnsi="Arial"/>
          <w:sz w:val="22"/>
          <w:szCs w:val="22"/>
        </w:rPr>
        <w:t xml:space="preserve">The </w:t>
      </w:r>
      <w:r w:rsidR="008A6C72">
        <w:rPr>
          <w:rFonts w:ascii="Arial" w:hAnsi="Arial"/>
          <w:sz w:val="22"/>
          <w:szCs w:val="22"/>
        </w:rPr>
        <w:t xml:space="preserve"> submission’s </w:t>
      </w:r>
      <w:r w:rsidRPr="00F12B37">
        <w:rPr>
          <w:rFonts w:ascii="Arial" w:hAnsi="Arial"/>
          <w:sz w:val="22"/>
          <w:szCs w:val="22"/>
        </w:rPr>
        <w:t xml:space="preserve">requested listing </w:t>
      </w:r>
      <w:r w:rsidR="001A567E">
        <w:rPr>
          <w:rFonts w:ascii="Arial" w:hAnsi="Arial"/>
          <w:sz w:val="22"/>
          <w:szCs w:val="22"/>
        </w:rPr>
        <w:t xml:space="preserve">is shown </w:t>
      </w:r>
      <w:r w:rsidR="008A6C72">
        <w:rPr>
          <w:rFonts w:ascii="Arial" w:hAnsi="Arial"/>
          <w:sz w:val="22"/>
          <w:szCs w:val="22"/>
        </w:rPr>
        <w:t>below</w:t>
      </w:r>
      <w:r w:rsidR="001A567E">
        <w:rPr>
          <w:rFonts w:ascii="Arial" w:hAnsi="Arial"/>
          <w:sz w:val="22"/>
          <w:szCs w:val="22"/>
        </w:rPr>
        <w:t>:</w:t>
      </w:r>
      <w:r w:rsidRPr="00F12B37">
        <w:rPr>
          <w:rFonts w:ascii="Arial" w:hAnsi="Arial"/>
          <w:sz w:val="22"/>
          <w:szCs w:val="22"/>
        </w:rPr>
        <w:t xml:space="preserve"> </w:t>
      </w:r>
    </w:p>
    <w:p w:rsidR="00826F6D" w:rsidRDefault="00826F6D" w:rsidP="00826F6D">
      <w:pPr>
        <w:pStyle w:val="ListParagraph"/>
        <w:jc w:val="both"/>
        <w:rPr>
          <w:rFonts w:ascii="Arial" w:hAnsi="Arial"/>
          <w:b/>
          <w:color w:val="FF00FF"/>
          <w:sz w:val="22"/>
          <w:szCs w:val="22"/>
        </w:rPr>
      </w:pPr>
    </w:p>
    <w:tbl>
      <w:tblPr>
        <w:tblW w:w="8222" w:type="dxa"/>
        <w:tblInd w:w="817" w:type="dxa"/>
        <w:tblLayout w:type="fixed"/>
        <w:tblLook w:val="0000" w:firstRow="0" w:lastRow="0" w:firstColumn="0" w:lastColumn="0" w:noHBand="0" w:noVBand="0"/>
      </w:tblPr>
      <w:tblGrid>
        <w:gridCol w:w="1559"/>
        <w:gridCol w:w="1276"/>
        <w:gridCol w:w="567"/>
        <w:gridCol w:w="850"/>
        <w:gridCol w:w="1701"/>
        <w:gridCol w:w="1559"/>
        <w:gridCol w:w="710"/>
      </w:tblGrid>
      <w:tr w:rsidR="00263CB8" w:rsidRPr="00263CB8" w:rsidTr="00CB63C3">
        <w:trPr>
          <w:cantSplit/>
          <w:trHeight w:val="471"/>
        </w:trPr>
        <w:tc>
          <w:tcPr>
            <w:tcW w:w="2835" w:type="dxa"/>
            <w:gridSpan w:val="2"/>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Name, Restriction,</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Manner of administration and form</w:t>
            </w:r>
          </w:p>
        </w:tc>
        <w:tc>
          <w:tcPr>
            <w:tcW w:w="567"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Max.</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Qty</w:t>
            </w:r>
          </w:p>
        </w:tc>
        <w:tc>
          <w:tcPr>
            <w:tcW w:w="850"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№.of</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Rpts</w:t>
            </w:r>
          </w:p>
        </w:tc>
        <w:tc>
          <w:tcPr>
            <w:tcW w:w="1701" w:type="dxa"/>
            <w:tcBorders>
              <w:bottom w:val="single" w:sz="4" w:space="0" w:color="auto"/>
            </w:tcBorders>
          </w:tcPr>
          <w:p w:rsidR="00826F6D" w:rsidRPr="00263CB8" w:rsidRDefault="00826F6D" w:rsidP="00663020">
            <w:pPr>
              <w:keepNext/>
              <w:ind w:left="-108"/>
              <w:rPr>
                <w:rFonts w:ascii="Arial Narrow" w:hAnsi="Arial Narrow" w:cs="Arial"/>
                <w:sz w:val="20"/>
                <w:szCs w:val="20"/>
              </w:rPr>
            </w:pPr>
            <w:r w:rsidRPr="00263CB8">
              <w:rPr>
                <w:rFonts w:ascii="Arial Narrow" w:hAnsi="Arial Narrow" w:cs="Arial"/>
                <w:sz w:val="20"/>
                <w:szCs w:val="20"/>
              </w:rPr>
              <w:t>Dispensed Price for Max. Qty</w:t>
            </w:r>
          </w:p>
        </w:tc>
        <w:tc>
          <w:tcPr>
            <w:tcW w:w="2269" w:type="dxa"/>
            <w:gridSpan w:val="2"/>
            <w:tcBorders>
              <w:bottom w:val="single" w:sz="4" w:space="0" w:color="auto"/>
            </w:tcBorders>
          </w:tcPr>
          <w:p w:rsidR="00826F6D" w:rsidRPr="00263CB8" w:rsidRDefault="00826F6D" w:rsidP="00663020">
            <w:pPr>
              <w:keepNext/>
              <w:rPr>
                <w:rFonts w:ascii="Arial Narrow" w:hAnsi="Arial Narrow" w:cs="Arial"/>
                <w:sz w:val="20"/>
                <w:szCs w:val="20"/>
                <w:lang w:val="fr-FR"/>
              </w:rPr>
            </w:pPr>
            <w:r w:rsidRPr="00263CB8">
              <w:rPr>
                <w:rFonts w:ascii="Arial Narrow" w:hAnsi="Arial Narrow" w:cs="Arial"/>
                <w:sz w:val="20"/>
                <w:szCs w:val="20"/>
              </w:rPr>
              <w:t>Proprietary Name and Manufacturer</w:t>
            </w:r>
          </w:p>
        </w:tc>
      </w:tr>
      <w:tr w:rsidR="00263CB8" w:rsidRPr="00263CB8" w:rsidTr="00CB63C3">
        <w:trPr>
          <w:cantSplit/>
          <w:trHeight w:val="577"/>
        </w:trPr>
        <w:tc>
          <w:tcPr>
            <w:tcW w:w="2835" w:type="dxa"/>
            <w:gridSpan w:val="2"/>
          </w:tcPr>
          <w:p w:rsidR="007E5823" w:rsidRPr="00263CB8" w:rsidRDefault="00296A15" w:rsidP="00C03A8F">
            <w:pPr>
              <w:keepNext/>
              <w:ind w:left="-108"/>
              <w:jc w:val="both"/>
              <w:rPr>
                <w:rFonts w:ascii="Arial Narrow" w:hAnsi="Arial Narrow" w:cs="Arial"/>
                <w:sz w:val="20"/>
                <w:szCs w:val="20"/>
              </w:rPr>
            </w:pPr>
            <w:r>
              <w:rPr>
                <w:rFonts w:ascii="Arial Narrow" w:hAnsi="Arial Narrow" w:cs="Arial"/>
                <w:sz w:val="20"/>
                <w:szCs w:val="20"/>
              </w:rPr>
              <w:t>TRIGLYCERIDES MEDIUM CHAIN FORMULA</w:t>
            </w:r>
          </w:p>
          <w:p w:rsidR="00B513ED" w:rsidRPr="00263CB8" w:rsidRDefault="00296A15" w:rsidP="00663020">
            <w:pPr>
              <w:keepNext/>
              <w:ind w:left="-108"/>
              <w:rPr>
                <w:rFonts w:ascii="Arial Narrow" w:hAnsi="Arial Narrow" w:cs="Arial"/>
                <w:sz w:val="20"/>
                <w:szCs w:val="20"/>
              </w:rPr>
            </w:pPr>
            <w:r>
              <w:rPr>
                <w:rFonts w:ascii="Arial Narrow" w:hAnsi="Arial Narrow" w:cs="Arial"/>
                <w:sz w:val="20"/>
                <w:szCs w:val="20"/>
              </w:rPr>
              <w:t xml:space="preserve">triglycerides medium chain oral liquid, 8 x 500 mL cartons </w:t>
            </w:r>
          </w:p>
        </w:tc>
        <w:tc>
          <w:tcPr>
            <w:tcW w:w="567" w:type="dxa"/>
          </w:tcPr>
          <w:p w:rsidR="00826F6D" w:rsidRPr="00263CB8" w:rsidRDefault="00826F6D" w:rsidP="00C03A8F">
            <w:pPr>
              <w:keepNext/>
              <w:ind w:left="-108"/>
              <w:jc w:val="center"/>
              <w:rPr>
                <w:rFonts w:ascii="Arial Narrow" w:hAnsi="Arial Narrow" w:cs="Arial"/>
                <w:sz w:val="20"/>
                <w:szCs w:val="20"/>
              </w:rPr>
            </w:pPr>
          </w:p>
          <w:p w:rsidR="00170FF6" w:rsidRDefault="00170FF6" w:rsidP="00296A15">
            <w:pPr>
              <w:keepNext/>
              <w:rPr>
                <w:rFonts w:ascii="Arial Narrow" w:hAnsi="Arial Narrow" w:cs="Arial"/>
                <w:sz w:val="20"/>
                <w:szCs w:val="20"/>
              </w:rPr>
            </w:pPr>
          </w:p>
          <w:p w:rsidR="00826F6D" w:rsidRPr="00263CB8" w:rsidRDefault="00296A15" w:rsidP="00296A15">
            <w:pPr>
              <w:keepNext/>
              <w:rPr>
                <w:rFonts w:ascii="Arial Narrow" w:hAnsi="Arial Narrow" w:cs="Arial"/>
                <w:sz w:val="20"/>
                <w:szCs w:val="20"/>
              </w:rPr>
            </w:pPr>
            <w:r>
              <w:rPr>
                <w:rFonts w:ascii="Arial Narrow" w:hAnsi="Arial Narrow" w:cs="Arial"/>
                <w:sz w:val="20"/>
                <w:szCs w:val="20"/>
              </w:rPr>
              <w:t>8</w:t>
            </w:r>
          </w:p>
          <w:p w:rsidR="00B513ED" w:rsidRPr="00263CB8" w:rsidRDefault="00B513ED" w:rsidP="0073725A">
            <w:pPr>
              <w:keepNext/>
              <w:rPr>
                <w:rFonts w:ascii="Arial Narrow" w:hAnsi="Arial Narrow" w:cs="Arial"/>
                <w:sz w:val="20"/>
                <w:szCs w:val="20"/>
              </w:rPr>
            </w:pPr>
          </w:p>
        </w:tc>
        <w:tc>
          <w:tcPr>
            <w:tcW w:w="850" w:type="dxa"/>
          </w:tcPr>
          <w:p w:rsidR="00826F6D" w:rsidRPr="00263CB8" w:rsidRDefault="00826F6D" w:rsidP="00C03A8F">
            <w:pPr>
              <w:keepNext/>
              <w:ind w:left="-108"/>
              <w:jc w:val="center"/>
              <w:rPr>
                <w:rFonts w:ascii="Arial Narrow" w:hAnsi="Arial Narrow" w:cs="Arial"/>
                <w:sz w:val="20"/>
                <w:szCs w:val="20"/>
              </w:rPr>
            </w:pPr>
          </w:p>
          <w:p w:rsidR="00170FF6" w:rsidRDefault="00170FF6" w:rsidP="00296A15">
            <w:pPr>
              <w:keepNext/>
              <w:rPr>
                <w:rFonts w:ascii="Arial Narrow" w:hAnsi="Arial Narrow" w:cs="Arial"/>
                <w:sz w:val="20"/>
                <w:szCs w:val="20"/>
              </w:rPr>
            </w:pPr>
          </w:p>
          <w:p w:rsidR="00826F6D" w:rsidRPr="00263CB8" w:rsidRDefault="0076253D" w:rsidP="00296A15">
            <w:pPr>
              <w:keepNext/>
              <w:rPr>
                <w:rFonts w:ascii="Arial Narrow" w:hAnsi="Arial Narrow" w:cs="Arial"/>
                <w:sz w:val="20"/>
                <w:szCs w:val="20"/>
              </w:rPr>
            </w:pPr>
            <w:r w:rsidRPr="00263CB8">
              <w:rPr>
                <w:rFonts w:ascii="Arial Narrow" w:hAnsi="Arial Narrow" w:cs="Arial"/>
                <w:sz w:val="20"/>
                <w:szCs w:val="20"/>
              </w:rPr>
              <w:t>5</w:t>
            </w:r>
          </w:p>
          <w:p w:rsidR="00B513ED" w:rsidRPr="00263CB8" w:rsidRDefault="00B513ED" w:rsidP="0073725A">
            <w:pPr>
              <w:keepNext/>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tc>
        <w:tc>
          <w:tcPr>
            <w:tcW w:w="1701" w:type="dxa"/>
          </w:tcPr>
          <w:p w:rsidR="00826F6D" w:rsidRPr="00263CB8" w:rsidRDefault="00826F6D" w:rsidP="00C03A8F">
            <w:pPr>
              <w:keepNext/>
              <w:ind w:left="-108"/>
              <w:jc w:val="both"/>
              <w:rPr>
                <w:rFonts w:ascii="Arial Narrow" w:hAnsi="Arial Narrow" w:cs="Arial"/>
                <w:sz w:val="20"/>
                <w:szCs w:val="20"/>
              </w:rPr>
            </w:pPr>
          </w:p>
          <w:p w:rsidR="00170FF6" w:rsidRDefault="00170FF6" w:rsidP="0073725A">
            <w:pPr>
              <w:keepNext/>
              <w:jc w:val="both"/>
              <w:rPr>
                <w:rFonts w:ascii="Arial Narrow" w:hAnsi="Arial Narrow" w:cs="Arial"/>
                <w:sz w:val="20"/>
                <w:szCs w:val="20"/>
              </w:rPr>
            </w:pPr>
          </w:p>
          <w:p w:rsidR="00B513ED" w:rsidRPr="00263CB8" w:rsidRDefault="00826F6D" w:rsidP="0073725A">
            <w:pPr>
              <w:keepNext/>
              <w:jc w:val="both"/>
              <w:rPr>
                <w:rFonts w:ascii="Arial Narrow" w:hAnsi="Arial Narrow" w:cs="Arial"/>
                <w:sz w:val="20"/>
                <w:szCs w:val="20"/>
              </w:rPr>
            </w:pPr>
            <w:r w:rsidRPr="00263CB8">
              <w:rPr>
                <w:rFonts w:ascii="Arial Narrow" w:hAnsi="Arial Narrow" w:cs="Arial"/>
                <w:sz w:val="20"/>
                <w:szCs w:val="20"/>
              </w:rPr>
              <w:t>$</w:t>
            </w:r>
            <w:r w:rsidR="00C45183">
              <w:rPr>
                <w:rFonts w:ascii="Arial Narrow" w:hAnsi="Arial Narrow" w:cs="Arial"/>
                <w:noProof/>
                <w:color w:val="000000"/>
                <w:sz w:val="20"/>
                <w:szCs w:val="20"/>
                <w:highlight w:val="black"/>
              </w:rPr>
              <w:t>'''''''''''''''</w:t>
            </w:r>
          </w:p>
          <w:p w:rsidR="00A833E7" w:rsidRPr="00263CB8" w:rsidRDefault="00A833E7" w:rsidP="00A833E7">
            <w:pPr>
              <w:keepNext/>
              <w:ind w:left="-108"/>
              <w:jc w:val="both"/>
              <w:rPr>
                <w:rFonts w:ascii="Arial Narrow" w:hAnsi="Arial Narrow" w:cs="Arial"/>
                <w:i/>
                <w:sz w:val="20"/>
                <w:szCs w:val="20"/>
              </w:rPr>
            </w:pPr>
          </w:p>
        </w:tc>
        <w:tc>
          <w:tcPr>
            <w:tcW w:w="1559" w:type="dxa"/>
          </w:tcPr>
          <w:p w:rsidR="00B513ED" w:rsidRPr="00263CB8" w:rsidRDefault="00B513ED" w:rsidP="0076253D">
            <w:pPr>
              <w:keepNext/>
              <w:jc w:val="both"/>
              <w:rPr>
                <w:rFonts w:ascii="Arial Narrow" w:hAnsi="Arial Narrow" w:cs="Arial"/>
                <w:sz w:val="20"/>
                <w:szCs w:val="20"/>
              </w:rPr>
            </w:pPr>
          </w:p>
          <w:p w:rsidR="00170FF6" w:rsidRDefault="00170FF6" w:rsidP="00A833E7">
            <w:pPr>
              <w:keepNext/>
              <w:jc w:val="both"/>
              <w:rPr>
                <w:rFonts w:ascii="Arial Narrow" w:hAnsi="Arial Narrow" w:cs="Arial"/>
                <w:sz w:val="20"/>
                <w:szCs w:val="20"/>
              </w:rPr>
            </w:pPr>
          </w:p>
          <w:p w:rsidR="00B513ED" w:rsidRPr="00263CB8" w:rsidRDefault="00296A15" w:rsidP="00A833E7">
            <w:pPr>
              <w:keepNext/>
              <w:jc w:val="both"/>
              <w:rPr>
                <w:rFonts w:ascii="Arial Narrow" w:hAnsi="Arial Narrow" w:cs="Arial"/>
                <w:sz w:val="20"/>
                <w:szCs w:val="20"/>
              </w:rPr>
            </w:pPr>
            <w:r>
              <w:rPr>
                <w:rFonts w:ascii="Arial Narrow" w:hAnsi="Arial Narrow" w:cs="Arial"/>
                <w:sz w:val="20"/>
                <w:szCs w:val="20"/>
              </w:rPr>
              <w:t>Nutrini Peptisorb</w:t>
            </w:r>
          </w:p>
        </w:tc>
        <w:tc>
          <w:tcPr>
            <w:tcW w:w="710" w:type="dxa"/>
          </w:tcPr>
          <w:p w:rsidR="00826F6D" w:rsidRDefault="00A833E7" w:rsidP="003F2791">
            <w:pPr>
              <w:keepNext/>
              <w:jc w:val="both"/>
              <w:rPr>
                <w:rFonts w:ascii="Arial Narrow" w:hAnsi="Arial Narrow" w:cs="Arial"/>
                <w:sz w:val="20"/>
                <w:szCs w:val="20"/>
              </w:rPr>
            </w:pPr>
            <w:r w:rsidRPr="00263CB8">
              <w:rPr>
                <w:rFonts w:ascii="Arial Narrow" w:hAnsi="Arial Narrow" w:cs="Arial"/>
                <w:sz w:val="20"/>
                <w:szCs w:val="20"/>
              </w:rPr>
              <w:t xml:space="preserve">          </w:t>
            </w:r>
          </w:p>
          <w:p w:rsidR="00170FF6" w:rsidRDefault="00170FF6" w:rsidP="003F2791">
            <w:pPr>
              <w:keepNext/>
              <w:jc w:val="both"/>
              <w:rPr>
                <w:rFonts w:ascii="Arial Narrow" w:hAnsi="Arial Narrow" w:cs="Arial"/>
                <w:sz w:val="20"/>
                <w:szCs w:val="20"/>
              </w:rPr>
            </w:pPr>
          </w:p>
          <w:p w:rsidR="0073725A" w:rsidRPr="00263CB8" w:rsidRDefault="00C047D9" w:rsidP="003F2791">
            <w:pPr>
              <w:keepNext/>
              <w:jc w:val="both"/>
              <w:rPr>
                <w:rFonts w:ascii="Arial Narrow" w:hAnsi="Arial Narrow" w:cs="Arial"/>
                <w:sz w:val="20"/>
                <w:szCs w:val="20"/>
              </w:rPr>
            </w:pPr>
            <w:r>
              <w:rPr>
                <w:rFonts w:ascii="Arial Narrow" w:hAnsi="Arial Narrow" w:cs="Arial"/>
                <w:sz w:val="20"/>
                <w:szCs w:val="20"/>
              </w:rPr>
              <w:t>SB</w:t>
            </w:r>
          </w:p>
        </w:tc>
      </w:tr>
      <w:tr w:rsidR="00263CB8" w:rsidRPr="00263CB8" w:rsidTr="00CB63C3">
        <w:trPr>
          <w:cantSplit/>
          <w:trHeight w:val="360"/>
        </w:trPr>
        <w:tc>
          <w:tcPr>
            <w:tcW w:w="8222" w:type="dxa"/>
            <w:gridSpan w:val="7"/>
            <w:tcBorders>
              <w:bottom w:val="single" w:sz="4" w:space="0" w:color="auto"/>
            </w:tcBorders>
          </w:tcPr>
          <w:p w:rsidR="00826F6D" w:rsidRPr="00263CB8" w:rsidRDefault="00826F6D" w:rsidP="00C03A8F">
            <w:pPr>
              <w:jc w:val="both"/>
              <w:rPr>
                <w:rFonts w:ascii="Arial Narrow" w:hAnsi="Arial Narrow" w:cs="Arial"/>
                <w:sz w:val="20"/>
                <w:szCs w:val="20"/>
              </w:rPr>
            </w:pP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76253D">
            <w:pPr>
              <w:jc w:val="both"/>
              <w:rPr>
                <w:rFonts w:ascii="Arial Narrow" w:hAnsi="Arial Narrow" w:cs="Arial"/>
                <w:b/>
                <w:sz w:val="20"/>
                <w:szCs w:val="20"/>
              </w:rPr>
            </w:pPr>
            <w:r w:rsidRPr="00263CB8">
              <w:rPr>
                <w:rFonts w:ascii="Arial Narrow" w:hAnsi="Arial Narrow" w:cs="Arial"/>
                <w:b/>
                <w:sz w:val="20"/>
                <w:szCs w:val="20"/>
              </w:rPr>
              <w:t>Category / Program</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t>GENERAL – General Schedule (Code GE)</w:t>
            </w:r>
          </w:p>
          <w:p w:rsidR="00826F6D" w:rsidRPr="00263CB8" w:rsidRDefault="00826F6D" w:rsidP="00C03A8F">
            <w:pPr>
              <w:rPr>
                <w:rFonts w:ascii="Arial Narrow" w:hAnsi="Arial Narrow" w:cs="Arial"/>
                <w:sz w:val="20"/>
                <w:szCs w:val="20"/>
              </w:rPr>
            </w:pP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Prescriber type:</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1"/>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 xml:space="preserve">Dental  </w:t>
            </w:r>
            <w:r w:rsidR="0076253D" w:rsidRPr="00263CB8">
              <w:rPr>
                <w:rFonts w:ascii="Arial Narrow" w:hAnsi="Arial Narrow" w:cs="Arial"/>
                <w:sz w:val="20"/>
                <w:szCs w:val="20"/>
              </w:rPr>
              <w:fldChar w:fldCharType="begin">
                <w:ffData>
                  <w:name w:val=""/>
                  <w:enabled/>
                  <w:calcOnExit w:val="0"/>
                  <w:checkBox>
                    <w:sizeAuto/>
                    <w:default w:val="1"/>
                  </w:checkBox>
                </w:ffData>
              </w:fldChar>
            </w:r>
            <w:r w:rsidR="0076253D"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0076253D" w:rsidRPr="00263CB8">
              <w:rPr>
                <w:rFonts w:ascii="Arial Narrow" w:hAnsi="Arial Narrow" w:cs="Arial"/>
                <w:sz w:val="20"/>
                <w:szCs w:val="20"/>
              </w:rPr>
              <w:fldChar w:fldCharType="end"/>
            </w:r>
            <w:r w:rsidRPr="00263CB8">
              <w:rPr>
                <w:rFonts w:ascii="Arial Narrow" w:hAnsi="Arial Narrow" w:cs="Arial"/>
                <w:sz w:val="20"/>
                <w:szCs w:val="20"/>
              </w:rPr>
              <w:t xml:space="preserve">Medical Practitioners  </w:t>
            </w:r>
            <w:r w:rsidR="0076253D" w:rsidRPr="00263CB8">
              <w:rPr>
                <w:rFonts w:ascii="Arial Narrow" w:hAnsi="Arial Narrow" w:cs="Arial"/>
                <w:sz w:val="20"/>
                <w:szCs w:val="20"/>
              </w:rPr>
              <w:fldChar w:fldCharType="begin">
                <w:ffData>
                  <w:name w:val="Check3"/>
                  <w:enabled/>
                  <w:calcOnExit w:val="0"/>
                  <w:checkBox>
                    <w:sizeAuto/>
                    <w:default w:val="1"/>
                  </w:checkBox>
                </w:ffData>
              </w:fldChar>
            </w:r>
            <w:bookmarkStart w:id="1" w:name="Check3"/>
            <w:r w:rsidR="0076253D"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0076253D" w:rsidRPr="00263CB8">
              <w:rPr>
                <w:rFonts w:ascii="Arial Narrow" w:hAnsi="Arial Narrow" w:cs="Arial"/>
                <w:sz w:val="20"/>
                <w:szCs w:val="20"/>
              </w:rPr>
              <w:fldChar w:fldCharType="end"/>
            </w:r>
            <w:bookmarkEnd w:id="1"/>
            <w:r w:rsidRPr="00263CB8">
              <w:rPr>
                <w:rFonts w:ascii="Arial Narrow" w:hAnsi="Arial Narrow" w:cs="Arial"/>
                <w:sz w:val="20"/>
                <w:szCs w:val="20"/>
              </w:rPr>
              <w:t xml:space="preserve">Nurse practitioners  </w:t>
            </w: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Optometrists</w:t>
            </w:r>
            <w:r w:rsidR="001A567E">
              <w:rPr>
                <w:rFonts w:ascii="Arial Narrow" w:hAnsi="Arial Narrow" w:cs="Arial"/>
                <w:sz w:val="20"/>
                <w:szCs w:val="20"/>
              </w:rPr>
              <w:t xml:space="preserve"> </w:t>
            </w: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Midwives</w:t>
            </w: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Episodicity:</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076E5F"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Severity:</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076E5F"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Condition:</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EE3645" w:rsidP="00C03A8F">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PBS Indication:</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403FFF" w:rsidP="00C03A8F">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Treatment phase:</w:t>
            </w: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Restriction Level / Method:</w:t>
            </w:r>
          </w:p>
          <w:p w:rsidR="00826F6D" w:rsidRPr="00263CB8" w:rsidRDefault="00826F6D" w:rsidP="00C03A8F">
            <w:pPr>
              <w:rPr>
                <w:rFonts w:ascii="Arial Narrow" w:hAnsi="Arial Narrow" w:cs="Arial"/>
                <w:sz w:val="20"/>
                <w:szCs w:val="20"/>
              </w:rPr>
            </w:pPr>
          </w:p>
        </w:tc>
        <w:tc>
          <w:tcPr>
            <w:tcW w:w="6663"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fldChar w:fldCharType="begin">
                <w:ffData>
                  <w:name w:val="Check1"/>
                  <w:enabled/>
                  <w:calcOnExit w:val="0"/>
                  <w:checkBox>
                    <w:sizeAuto/>
                    <w:default w:val="1"/>
                  </w:checkBox>
                </w:ffData>
              </w:fldChar>
            </w:r>
            <w:bookmarkStart w:id="2" w:name="Check1"/>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bookmarkEnd w:id="2"/>
            <w:r w:rsidR="00826F6D" w:rsidRPr="00263CB8">
              <w:rPr>
                <w:rFonts w:ascii="Arial Narrow" w:hAnsi="Arial Narrow" w:cs="Arial"/>
                <w:sz w:val="20"/>
                <w:szCs w:val="20"/>
              </w:rPr>
              <w:t>Restricted benefit</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In Writing</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3"/>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Telephone</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Emergency</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Electronic</w:t>
            </w:r>
          </w:p>
          <w:p w:rsidR="00826F6D"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Streamlined</w:t>
            </w:r>
          </w:p>
          <w:p w:rsidR="008A6C72" w:rsidRPr="00263CB8" w:rsidRDefault="008A6C72" w:rsidP="00C03A8F">
            <w:pPr>
              <w:rPr>
                <w:rFonts w:ascii="Arial Narrow" w:hAnsi="Arial Narrow" w:cs="Arial"/>
                <w:sz w:val="20"/>
                <w:szCs w:val="20"/>
              </w:rPr>
            </w:pPr>
          </w:p>
        </w:tc>
      </w:tr>
      <w:tr w:rsidR="00403FFF" w:rsidRPr="00263CB8" w:rsidTr="00403FFF">
        <w:trPr>
          <w:cantSplit/>
          <w:trHeight w:val="360"/>
        </w:trPr>
        <w:tc>
          <w:tcPr>
            <w:tcW w:w="1559" w:type="dxa"/>
            <w:tcBorders>
              <w:top w:val="single" w:sz="4" w:space="0" w:color="auto"/>
              <w:left w:val="single" w:sz="4" w:space="0" w:color="auto"/>
              <w:bottom w:val="single" w:sz="4" w:space="0" w:color="auto"/>
              <w:right w:val="single" w:sz="4" w:space="0" w:color="auto"/>
            </w:tcBorders>
          </w:tcPr>
          <w:p w:rsidR="00403FFF" w:rsidRPr="00263CB8" w:rsidRDefault="00403FFF" w:rsidP="00C03A8F">
            <w:pPr>
              <w:jc w:val="both"/>
              <w:rPr>
                <w:rFonts w:ascii="Arial Narrow" w:hAnsi="Arial Narrow" w:cs="Arial"/>
                <w:b/>
                <w:sz w:val="20"/>
                <w:szCs w:val="20"/>
              </w:rPr>
            </w:pPr>
            <w:r>
              <w:rPr>
                <w:rFonts w:ascii="Arial Narrow" w:hAnsi="Arial Narrow" w:cs="Arial"/>
                <w:b/>
                <w:sz w:val="20"/>
                <w:szCs w:val="20"/>
              </w:rPr>
              <w:t>Clinical criteria:</w:t>
            </w:r>
          </w:p>
        </w:tc>
        <w:tc>
          <w:tcPr>
            <w:tcW w:w="6663" w:type="dxa"/>
            <w:gridSpan w:val="6"/>
            <w:tcBorders>
              <w:top w:val="single" w:sz="4" w:space="0" w:color="auto"/>
              <w:left w:val="single" w:sz="4" w:space="0" w:color="auto"/>
              <w:bottom w:val="single" w:sz="4" w:space="0" w:color="auto"/>
              <w:right w:val="single" w:sz="4" w:space="0" w:color="auto"/>
            </w:tcBorders>
          </w:tcPr>
          <w:p w:rsidR="00403FFF" w:rsidRPr="00403FFF" w:rsidRDefault="00403FFF" w:rsidP="00403FFF">
            <w:pPr>
              <w:rPr>
                <w:rFonts w:ascii="Arial Narrow" w:hAnsi="Arial Narrow" w:cs="Arial"/>
                <w:sz w:val="20"/>
                <w:szCs w:val="20"/>
              </w:rPr>
            </w:pPr>
            <w:r w:rsidRPr="00403FFF">
              <w:rPr>
                <w:rFonts w:ascii="Arial Narrow" w:hAnsi="Arial Narrow" w:cs="Arial"/>
                <w:sz w:val="20"/>
                <w:szCs w:val="20"/>
              </w:rPr>
              <w:t>Patient must have fat malabsorption due to liver disease; OR</w:t>
            </w:r>
          </w:p>
          <w:p w:rsidR="00403FFF" w:rsidRPr="00403FFF" w:rsidRDefault="00403FFF" w:rsidP="00403FFF">
            <w:pPr>
              <w:rPr>
                <w:rFonts w:ascii="Arial Narrow" w:hAnsi="Arial Narrow" w:cs="Arial"/>
                <w:sz w:val="20"/>
                <w:szCs w:val="20"/>
              </w:rPr>
            </w:pPr>
            <w:r w:rsidRPr="00403FFF">
              <w:rPr>
                <w:rFonts w:ascii="Arial Narrow" w:hAnsi="Arial Narrow" w:cs="Arial"/>
                <w:sz w:val="20"/>
                <w:szCs w:val="20"/>
              </w:rPr>
              <w:t>Patient must have fat malabsorption due to short gut syndrome; OR</w:t>
            </w:r>
          </w:p>
          <w:p w:rsidR="00403FFF" w:rsidRPr="00403FFF" w:rsidRDefault="00403FFF" w:rsidP="00403FFF">
            <w:pPr>
              <w:rPr>
                <w:rFonts w:ascii="Arial Narrow" w:hAnsi="Arial Narrow" w:cs="Arial"/>
                <w:sz w:val="20"/>
                <w:szCs w:val="20"/>
              </w:rPr>
            </w:pPr>
            <w:r w:rsidRPr="00403FFF">
              <w:rPr>
                <w:rFonts w:ascii="Arial Narrow" w:hAnsi="Arial Narrow" w:cs="Arial"/>
                <w:sz w:val="20"/>
                <w:szCs w:val="20"/>
              </w:rPr>
              <w:t>Patient must have fat malabsorption due to cystic fibrosis; OR</w:t>
            </w:r>
          </w:p>
          <w:p w:rsidR="008A6C72" w:rsidRDefault="00403FFF" w:rsidP="00403FFF">
            <w:pPr>
              <w:rPr>
                <w:rFonts w:ascii="Arial Narrow" w:hAnsi="Arial Narrow" w:cs="Arial"/>
                <w:sz w:val="20"/>
                <w:szCs w:val="20"/>
              </w:rPr>
            </w:pPr>
            <w:r w:rsidRPr="00403FFF">
              <w:rPr>
                <w:rFonts w:ascii="Arial Narrow" w:hAnsi="Arial Narrow" w:cs="Arial"/>
                <w:sz w:val="20"/>
                <w:szCs w:val="20"/>
              </w:rPr>
              <w:t>Patient must have fat malabsorption due to gastrointestinal disorders</w:t>
            </w:r>
            <w:r w:rsidR="008A6C72">
              <w:rPr>
                <w:rFonts w:ascii="Arial Narrow" w:hAnsi="Arial Narrow" w:cs="Arial"/>
                <w:sz w:val="20"/>
                <w:szCs w:val="20"/>
              </w:rPr>
              <w:t>; OR</w:t>
            </w:r>
          </w:p>
          <w:p w:rsidR="008A6C72" w:rsidRPr="008A6C72" w:rsidRDefault="008A6C72" w:rsidP="008A6C72">
            <w:pPr>
              <w:rPr>
                <w:rFonts w:ascii="Arial Narrow" w:hAnsi="Arial Narrow" w:cs="Arial"/>
                <w:sz w:val="20"/>
                <w:szCs w:val="20"/>
              </w:rPr>
            </w:pPr>
            <w:r w:rsidRPr="008A6C72">
              <w:rPr>
                <w:rFonts w:ascii="Arial Narrow" w:hAnsi="Arial Narrow" w:cs="Arial"/>
                <w:sz w:val="20"/>
                <w:szCs w:val="20"/>
              </w:rPr>
              <w:t>Patient must have fat malabsorption due to radioenteritis, chemotherapy treatment or</w:t>
            </w:r>
          </w:p>
          <w:p w:rsidR="00403FFF" w:rsidRPr="00263CB8" w:rsidRDefault="008A6C72" w:rsidP="00C03A8F">
            <w:pPr>
              <w:rPr>
                <w:rFonts w:ascii="Arial Narrow" w:hAnsi="Arial Narrow" w:cs="Arial"/>
                <w:sz w:val="20"/>
                <w:szCs w:val="20"/>
              </w:rPr>
            </w:pPr>
            <w:r w:rsidRPr="008A6C72">
              <w:rPr>
                <w:rFonts w:ascii="Arial Narrow" w:hAnsi="Arial Narrow" w:cs="Arial"/>
                <w:sz w:val="20"/>
                <w:szCs w:val="20"/>
              </w:rPr>
              <w:t>bone marrow transplant</w:t>
            </w:r>
          </w:p>
        </w:tc>
      </w:tr>
    </w:tbl>
    <w:p w:rsidR="00EE6E1B" w:rsidRPr="00826F6D" w:rsidRDefault="00EE6E1B" w:rsidP="00826F6D">
      <w:pPr>
        <w:pStyle w:val="ListParagraph"/>
        <w:jc w:val="both"/>
        <w:rPr>
          <w:rFonts w:ascii="Arial" w:hAnsi="Arial"/>
          <w:sz w:val="22"/>
          <w:szCs w:val="22"/>
        </w:rPr>
      </w:pPr>
    </w:p>
    <w:p w:rsidR="008A6C72" w:rsidRPr="00663020" w:rsidRDefault="008A6C72" w:rsidP="00663020">
      <w:pPr>
        <w:pStyle w:val="ListParagraph"/>
        <w:numPr>
          <w:ilvl w:val="1"/>
          <w:numId w:val="25"/>
        </w:numPr>
        <w:jc w:val="both"/>
        <w:rPr>
          <w:rFonts w:ascii="Arial" w:hAnsi="Arial"/>
          <w:sz w:val="22"/>
          <w:szCs w:val="22"/>
        </w:rPr>
      </w:pPr>
      <w:r>
        <w:rPr>
          <w:rFonts w:ascii="Arial" w:hAnsi="Arial"/>
          <w:sz w:val="22"/>
          <w:szCs w:val="22"/>
        </w:rPr>
        <w:t>The PBAC noted that the requested indications are currently listed for the existing triglycerides medium chain formula products with the brands ‘Monogen</w:t>
      </w:r>
      <w:r w:rsidRPr="00663020">
        <w:rPr>
          <w:rFonts w:ascii="Arial" w:hAnsi="Arial" w:cs="Arial"/>
          <w:sz w:val="22"/>
          <w:szCs w:val="22"/>
          <w:vertAlign w:val="superscript"/>
        </w:rPr>
        <w:t>®</w:t>
      </w:r>
      <w:r>
        <w:rPr>
          <w:rFonts w:ascii="Arial" w:hAnsi="Arial" w:cs="Arial"/>
          <w:sz w:val="22"/>
          <w:szCs w:val="22"/>
        </w:rPr>
        <w:t>’, ‘Peptamen Junior</w:t>
      </w:r>
      <w:r w:rsidRPr="00663020">
        <w:rPr>
          <w:rFonts w:ascii="Arial" w:hAnsi="Arial" w:cs="Arial"/>
          <w:sz w:val="22"/>
          <w:szCs w:val="22"/>
          <w:vertAlign w:val="superscript"/>
        </w:rPr>
        <w:t>®</w:t>
      </w:r>
      <w:r>
        <w:rPr>
          <w:rFonts w:ascii="Arial" w:hAnsi="Arial" w:cs="Arial"/>
          <w:sz w:val="22"/>
          <w:szCs w:val="22"/>
        </w:rPr>
        <w:t>’ and ‘Lipistart</w:t>
      </w:r>
      <w:r w:rsidRPr="00663020">
        <w:rPr>
          <w:rFonts w:ascii="Arial" w:hAnsi="Arial" w:cs="Arial"/>
          <w:sz w:val="22"/>
          <w:szCs w:val="22"/>
          <w:vertAlign w:val="superscript"/>
        </w:rPr>
        <w:t>®</w:t>
      </w:r>
      <w:r>
        <w:rPr>
          <w:rFonts w:ascii="Arial" w:hAnsi="Arial" w:cs="Arial"/>
          <w:sz w:val="22"/>
          <w:szCs w:val="22"/>
        </w:rPr>
        <w:t xml:space="preserve">’ with the exception of the indication of ‘fat malabsorption due to radioenteritis, chemotherapy treatment or bone marrow transplant’. </w:t>
      </w:r>
    </w:p>
    <w:p w:rsidR="008A6C72" w:rsidRDefault="008A6C72" w:rsidP="00663020">
      <w:pPr>
        <w:ind w:firstLine="720"/>
        <w:jc w:val="both"/>
        <w:rPr>
          <w:rFonts w:ascii="Arial" w:hAnsi="Arial"/>
          <w:i/>
          <w:sz w:val="22"/>
          <w:szCs w:val="22"/>
        </w:rPr>
      </w:pPr>
    </w:p>
    <w:p w:rsidR="008A6C72" w:rsidRDefault="008A6C72" w:rsidP="00663020">
      <w:pPr>
        <w:ind w:firstLine="720"/>
        <w:jc w:val="both"/>
        <w:rPr>
          <w:rFonts w:ascii="Arial" w:hAnsi="Arial"/>
          <w:i/>
          <w:sz w:val="22"/>
          <w:szCs w:val="22"/>
        </w:rPr>
      </w:pPr>
      <w:r w:rsidRPr="008A6C72">
        <w:rPr>
          <w:rFonts w:ascii="Arial" w:hAnsi="Arial"/>
          <w:i/>
          <w:sz w:val="22"/>
          <w:szCs w:val="22"/>
        </w:rPr>
        <w:t>For more detail on PBAC’s view, see section 7 “PBAC outcome”</w:t>
      </w:r>
      <w:r w:rsidR="00390FD3">
        <w:rPr>
          <w:rFonts w:ascii="Arial" w:hAnsi="Arial"/>
          <w:i/>
          <w:sz w:val="22"/>
          <w:szCs w:val="22"/>
        </w:rPr>
        <w:t>.</w:t>
      </w:r>
    </w:p>
    <w:p w:rsidR="008A6C72" w:rsidRPr="008A6C72" w:rsidRDefault="008A6C72" w:rsidP="00663020">
      <w:pPr>
        <w:ind w:firstLine="720"/>
        <w:jc w:val="both"/>
        <w:rPr>
          <w:rFonts w:ascii="Arial" w:hAnsi="Arial"/>
          <w:sz w:val="22"/>
          <w:szCs w:val="22"/>
        </w:rPr>
      </w:pPr>
    </w:p>
    <w:p w:rsidR="00BB7EC3" w:rsidRPr="00882085" w:rsidRDefault="00BB7EC3" w:rsidP="00663020">
      <w:pPr>
        <w:ind w:firstLine="720"/>
        <w:jc w:val="both"/>
        <w:rPr>
          <w:rFonts w:ascii="Arial" w:hAnsi="Arial"/>
          <w:b/>
          <w:sz w:val="22"/>
          <w:szCs w:val="22"/>
        </w:rPr>
      </w:pPr>
    </w:p>
    <w:p w:rsidR="00CE10C4" w:rsidRPr="00005C43" w:rsidRDefault="00CE10C4" w:rsidP="00470BDF">
      <w:pPr>
        <w:pStyle w:val="PBACHeading1"/>
      </w:pPr>
      <w:r w:rsidRPr="00005C43">
        <w:t>Background</w:t>
      </w:r>
    </w:p>
    <w:p w:rsidR="006B0D94" w:rsidRPr="00CE7247" w:rsidRDefault="006B0D94" w:rsidP="00CE7247">
      <w:pPr>
        <w:jc w:val="both"/>
        <w:rPr>
          <w:rFonts w:ascii="Arial" w:hAnsi="Arial"/>
          <w:sz w:val="22"/>
          <w:szCs w:val="22"/>
        </w:rPr>
      </w:pPr>
    </w:p>
    <w:p w:rsidR="00BE5168" w:rsidRPr="00032097" w:rsidRDefault="008C6840" w:rsidP="00882085">
      <w:pPr>
        <w:pStyle w:val="ListParagraph"/>
        <w:numPr>
          <w:ilvl w:val="1"/>
          <w:numId w:val="25"/>
        </w:numPr>
        <w:jc w:val="both"/>
        <w:rPr>
          <w:rFonts w:ascii="Arial" w:hAnsi="Arial"/>
          <w:sz w:val="22"/>
          <w:szCs w:val="22"/>
        </w:rPr>
      </w:pPr>
      <w:r>
        <w:rPr>
          <w:rFonts w:ascii="Arial" w:hAnsi="Arial"/>
          <w:sz w:val="22"/>
          <w:szCs w:val="22"/>
        </w:rPr>
        <w:t>Nutrini Peptisorb</w:t>
      </w:r>
      <w:r w:rsidR="00032097" w:rsidRPr="00032097">
        <w:rPr>
          <w:rFonts w:ascii="Arial" w:hAnsi="Arial"/>
          <w:sz w:val="22"/>
          <w:szCs w:val="22"/>
        </w:rPr>
        <w:t xml:space="preserve"> d</w:t>
      </w:r>
      <w:r w:rsidR="0041616F">
        <w:rPr>
          <w:rFonts w:ascii="Arial" w:hAnsi="Arial"/>
          <w:sz w:val="22"/>
          <w:szCs w:val="22"/>
        </w:rPr>
        <w:t>id</w:t>
      </w:r>
      <w:r w:rsidR="00032097" w:rsidRPr="00032097">
        <w:rPr>
          <w:rFonts w:ascii="Arial" w:hAnsi="Arial"/>
          <w:sz w:val="22"/>
          <w:szCs w:val="22"/>
        </w:rPr>
        <w:t xml:space="preserve"> not require registration with the TGA. It is classified as a “Food for Special Medical Purpose” regulated under the Australia New Zealand Food Standards Code and complies with this standard.</w:t>
      </w:r>
    </w:p>
    <w:p w:rsidR="00BE5168" w:rsidRPr="00BE5168" w:rsidRDefault="00BE5168" w:rsidP="00BE5168">
      <w:pPr>
        <w:pStyle w:val="ListParagraph"/>
        <w:jc w:val="both"/>
        <w:rPr>
          <w:rFonts w:ascii="Arial" w:hAnsi="Arial"/>
          <w:b/>
          <w:sz w:val="22"/>
          <w:szCs w:val="22"/>
        </w:rPr>
      </w:pPr>
    </w:p>
    <w:p w:rsidR="00BB7EC3" w:rsidRPr="00907175" w:rsidRDefault="008C6840" w:rsidP="00882085">
      <w:pPr>
        <w:pStyle w:val="ListParagraph"/>
        <w:numPr>
          <w:ilvl w:val="1"/>
          <w:numId w:val="25"/>
        </w:numPr>
        <w:jc w:val="both"/>
        <w:rPr>
          <w:rFonts w:ascii="Arial" w:hAnsi="Arial"/>
          <w:b/>
          <w:sz w:val="22"/>
          <w:szCs w:val="22"/>
        </w:rPr>
      </w:pPr>
      <w:r>
        <w:rPr>
          <w:rFonts w:ascii="Arial" w:hAnsi="Arial"/>
          <w:sz w:val="22"/>
          <w:szCs w:val="22"/>
        </w:rPr>
        <w:t>Nutrini Peptisorb</w:t>
      </w:r>
      <w:r w:rsidR="00907175">
        <w:rPr>
          <w:rFonts w:ascii="Arial" w:hAnsi="Arial"/>
          <w:sz w:val="22"/>
          <w:szCs w:val="22"/>
        </w:rPr>
        <w:t xml:space="preserve"> ha</w:t>
      </w:r>
      <w:r w:rsidR="0041616F">
        <w:rPr>
          <w:rFonts w:ascii="Arial" w:hAnsi="Arial"/>
          <w:sz w:val="22"/>
          <w:szCs w:val="22"/>
        </w:rPr>
        <w:t>d</w:t>
      </w:r>
      <w:r w:rsidR="00907175">
        <w:rPr>
          <w:rFonts w:ascii="Arial" w:hAnsi="Arial"/>
          <w:sz w:val="22"/>
          <w:szCs w:val="22"/>
        </w:rPr>
        <w:t xml:space="preserve"> not been considered by the PBAC previously.</w:t>
      </w:r>
    </w:p>
    <w:p w:rsidR="00BB7EC3" w:rsidRDefault="00BB7EC3" w:rsidP="00882085">
      <w:pPr>
        <w:pStyle w:val="Header"/>
        <w:tabs>
          <w:tab w:val="clear" w:pos="4153"/>
          <w:tab w:val="clear" w:pos="8306"/>
        </w:tabs>
        <w:jc w:val="both"/>
        <w:rPr>
          <w:rFonts w:ascii="Arial" w:hAnsi="Arial"/>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Default="005A3173" w:rsidP="00470BDF">
      <w:pPr>
        <w:pStyle w:val="PBACHeading1"/>
      </w:pPr>
      <w:r w:rsidRPr="00882085">
        <w:t>Comparator</w:t>
      </w:r>
    </w:p>
    <w:p w:rsidR="00BE5168" w:rsidRDefault="00BE5168" w:rsidP="00BE5168">
      <w:pPr>
        <w:pStyle w:val="Header"/>
        <w:tabs>
          <w:tab w:val="clear" w:pos="4153"/>
          <w:tab w:val="clear" w:pos="8306"/>
        </w:tabs>
        <w:ind w:left="720"/>
        <w:jc w:val="both"/>
        <w:rPr>
          <w:rFonts w:ascii="Arial" w:hAnsi="Arial"/>
          <w:b/>
          <w:sz w:val="22"/>
          <w:szCs w:val="22"/>
        </w:rPr>
      </w:pPr>
    </w:p>
    <w:p w:rsidR="00BE5168" w:rsidRPr="008C6840" w:rsidRDefault="00BE5168" w:rsidP="00BE5168">
      <w:pPr>
        <w:pStyle w:val="ListParagraph"/>
        <w:numPr>
          <w:ilvl w:val="1"/>
          <w:numId w:val="25"/>
        </w:numPr>
        <w:jc w:val="both"/>
        <w:rPr>
          <w:rFonts w:ascii="Arial" w:hAnsi="Arial"/>
          <w:b/>
          <w:sz w:val="22"/>
          <w:szCs w:val="22"/>
        </w:rPr>
      </w:pPr>
      <w:r w:rsidRPr="008C6840">
        <w:rPr>
          <w:rFonts w:ascii="Arial" w:hAnsi="Arial"/>
          <w:sz w:val="22"/>
          <w:szCs w:val="22"/>
        </w:rPr>
        <w:t>The minor submission nominate</w:t>
      </w:r>
      <w:r w:rsidR="0041616F">
        <w:rPr>
          <w:rFonts w:ascii="Arial" w:hAnsi="Arial"/>
          <w:sz w:val="22"/>
          <w:szCs w:val="22"/>
        </w:rPr>
        <w:t>d</w:t>
      </w:r>
      <w:r w:rsidRPr="008C6840">
        <w:rPr>
          <w:rFonts w:ascii="Arial" w:hAnsi="Arial"/>
          <w:sz w:val="22"/>
          <w:szCs w:val="22"/>
        </w:rPr>
        <w:t xml:space="preserve"> </w:t>
      </w:r>
      <w:r w:rsidR="008C6840" w:rsidRPr="008C6840">
        <w:rPr>
          <w:rFonts w:ascii="Arial" w:hAnsi="Arial"/>
          <w:sz w:val="22"/>
          <w:szCs w:val="22"/>
        </w:rPr>
        <w:t>Peptamen Junior</w:t>
      </w:r>
      <w:r w:rsidRPr="008C6840">
        <w:rPr>
          <w:rFonts w:ascii="Arial" w:hAnsi="Arial"/>
          <w:sz w:val="22"/>
          <w:szCs w:val="22"/>
        </w:rPr>
        <w:t xml:space="preserve"> as the main comparator</w:t>
      </w:r>
      <w:r w:rsidR="008C6840">
        <w:rPr>
          <w:rFonts w:ascii="Arial" w:hAnsi="Arial"/>
          <w:sz w:val="22"/>
          <w:szCs w:val="22"/>
        </w:rPr>
        <w:t>.</w:t>
      </w:r>
    </w:p>
    <w:p w:rsidR="008C6840" w:rsidRDefault="008C6840" w:rsidP="008C6840">
      <w:pPr>
        <w:pStyle w:val="ListParagraph"/>
        <w:jc w:val="both"/>
        <w:rPr>
          <w:rFonts w:ascii="Arial" w:hAnsi="Arial"/>
          <w:sz w:val="22"/>
          <w:szCs w:val="22"/>
        </w:rPr>
      </w:pPr>
    </w:p>
    <w:p w:rsidR="008C6840" w:rsidRPr="008C6840" w:rsidRDefault="008C6840" w:rsidP="008C6840">
      <w:pPr>
        <w:pStyle w:val="ListParagraph"/>
        <w:jc w:val="both"/>
        <w:rPr>
          <w:rFonts w:ascii="Arial" w:hAnsi="Arial"/>
          <w:b/>
          <w:sz w:val="22"/>
          <w:szCs w:val="22"/>
        </w:rPr>
      </w:pPr>
    </w:p>
    <w:p w:rsidR="00BE5168" w:rsidRPr="00005C43" w:rsidRDefault="00BE5168" w:rsidP="00470BDF">
      <w:pPr>
        <w:pStyle w:val="PBACHeading1"/>
      </w:pPr>
      <w:r w:rsidRPr="00005C43">
        <w:t>Consideration of evidence</w:t>
      </w:r>
    </w:p>
    <w:p w:rsidR="00BB7EC3" w:rsidRPr="00F9629A" w:rsidRDefault="00BB7EC3" w:rsidP="00F9629A">
      <w:pPr>
        <w:jc w:val="both"/>
        <w:rPr>
          <w:rFonts w:ascii="Arial" w:hAnsi="Arial"/>
          <w:sz w:val="22"/>
          <w:szCs w:val="22"/>
        </w:rPr>
      </w:pPr>
    </w:p>
    <w:p w:rsidR="002E2693" w:rsidRDefault="00085A77" w:rsidP="006A1C53">
      <w:pPr>
        <w:pStyle w:val="ListParagraph"/>
        <w:numPr>
          <w:ilvl w:val="1"/>
          <w:numId w:val="25"/>
        </w:numPr>
        <w:jc w:val="both"/>
        <w:rPr>
          <w:rFonts w:ascii="Arial" w:hAnsi="Arial"/>
          <w:sz w:val="22"/>
          <w:szCs w:val="22"/>
        </w:rPr>
      </w:pPr>
      <w:r>
        <w:rPr>
          <w:rFonts w:ascii="Arial" w:hAnsi="Arial"/>
          <w:sz w:val="22"/>
          <w:szCs w:val="22"/>
        </w:rPr>
        <w:t xml:space="preserve">The submission </w:t>
      </w:r>
      <w:r w:rsidR="002E2693">
        <w:rPr>
          <w:rFonts w:ascii="Arial" w:hAnsi="Arial"/>
          <w:sz w:val="22"/>
          <w:szCs w:val="22"/>
        </w:rPr>
        <w:t>present</w:t>
      </w:r>
      <w:r w:rsidR="0041616F">
        <w:rPr>
          <w:rFonts w:ascii="Arial" w:hAnsi="Arial"/>
          <w:sz w:val="22"/>
          <w:szCs w:val="22"/>
        </w:rPr>
        <w:t>ed</w:t>
      </w:r>
      <w:r w:rsidR="002E2693">
        <w:rPr>
          <w:rFonts w:ascii="Arial" w:hAnsi="Arial"/>
          <w:sz w:val="22"/>
          <w:szCs w:val="22"/>
        </w:rPr>
        <w:t xml:space="preserve"> case studies from the United Kingdom on the acceptability and tolerance of Nutrini Peptisorb.  </w:t>
      </w:r>
    </w:p>
    <w:p w:rsidR="002E2693" w:rsidRDefault="002E2693" w:rsidP="002E2693">
      <w:pPr>
        <w:pStyle w:val="ListParagraph"/>
        <w:jc w:val="both"/>
        <w:rPr>
          <w:rFonts w:ascii="Arial" w:hAnsi="Arial"/>
          <w:sz w:val="22"/>
          <w:szCs w:val="22"/>
        </w:rPr>
      </w:pPr>
    </w:p>
    <w:p w:rsidR="001347D0" w:rsidRDefault="002E2693" w:rsidP="006A1C53">
      <w:pPr>
        <w:pStyle w:val="ListParagraph"/>
        <w:numPr>
          <w:ilvl w:val="1"/>
          <w:numId w:val="25"/>
        </w:numPr>
        <w:jc w:val="both"/>
        <w:rPr>
          <w:rFonts w:ascii="Arial" w:hAnsi="Arial"/>
          <w:sz w:val="22"/>
          <w:szCs w:val="22"/>
        </w:rPr>
      </w:pPr>
      <w:r>
        <w:rPr>
          <w:rFonts w:ascii="Arial" w:hAnsi="Arial"/>
          <w:sz w:val="22"/>
          <w:szCs w:val="22"/>
        </w:rPr>
        <w:t>The submission also present</w:t>
      </w:r>
      <w:r w:rsidR="0041616F">
        <w:rPr>
          <w:rFonts w:ascii="Arial" w:hAnsi="Arial"/>
          <w:sz w:val="22"/>
          <w:szCs w:val="22"/>
        </w:rPr>
        <w:t>ed</w:t>
      </w:r>
      <w:r>
        <w:rPr>
          <w:rFonts w:ascii="Arial" w:hAnsi="Arial"/>
          <w:sz w:val="22"/>
          <w:szCs w:val="22"/>
        </w:rPr>
        <w:t xml:space="preserve"> a </w:t>
      </w:r>
      <w:r w:rsidR="001347D0">
        <w:rPr>
          <w:rFonts w:ascii="Arial" w:hAnsi="Arial"/>
          <w:sz w:val="22"/>
          <w:szCs w:val="22"/>
        </w:rPr>
        <w:t>summary of</w:t>
      </w:r>
      <w:r w:rsidR="00F14697">
        <w:rPr>
          <w:rFonts w:ascii="Arial" w:hAnsi="Arial"/>
          <w:sz w:val="22"/>
          <w:szCs w:val="22"/>
        </w:rPr>
        <w:t xml:space="preserve"> survey</w:t>
      </w:r>
      <w:r>
        <w:rPr>
          <w:rFonts w:ascii="Arial" w:hAnsi="Arial"/>
          <w:sz w:val="22"/>
          <w:szCs w:val="22"/>
        </w:rPr>
        <w:t xml:space="preserve"> results from key Australian dietitians (n=</w:t>
      </w:r>
      <w:r w:rsidR="00F14697">
        <w:rPr>
          <w:rFonts w:ascii="Arial" w:hAnsi="Arial"/>
          <w:sz w:val="22"/>
          <w:szCs w:val="22"/>
        </w:rPr>
        <w:t>5</w:t>
      </w:r>
      <w:r>
        <w:rPr>
          <w:rFonts w:ascii="Arial" w:hAnsi="Arial"/>
          <w:sz w:val="22"/>
          <w:szCs w:val="22"/>
        </w:rPr>
        <w:t xml:space="preserve">) involved in </w:t>
      </w:r>
      <w:r w:rsidR="00F14697">
        <w:rPr>
          <w:rFonts w:ascii="Arial" w:hAnsi="Arial"/>
          <w:sz w:val="22"/>
          <w:szCs w:val="22"/>
        </w:rPr>
        <w:t xml:space="preserve">the care of patients.  The survey results show the current dietary management options for this patient group in Australia and estimated number of patients who would use Nutrini Peptisorb.  </w:t>
      </w:r>
      <w:r>
        <w:rPr>
          <w:rFonts w:ascii="Arial" w:hAnsi="Arial"/>
          <w:sz w:val="22"/>
          <w:szCs w:val="22"/>
        </w:rPr>
        <w:t xml:space="preserve"> </w:t>
      </w:r>
      <w:r w:rsidR="001347D0">
        <w:rPr>
          <w:rFonts w:ascii="Arial" w:hAnsi="Arial"/>
          <w:sz w:val="22"/>
          <w:szCs w:val="22"/>
        </w:rPr>
        <w:t xml:space="preserve"> </w:t>
      </w:r>
    </w:p>
    <w:p w:rsidR="00566F74" w:rsidRDefault="00566F74" w:rsidP="002E2693">
      <w:pPr>
        <w:jc w:val="both"/>
        <w:rPr>
          <w:rFonts w:ascii="Arial" w:hAnsi="Arial"/>
          <w:b/>
          <w:i/>
          <w:sz w:val="22"/>
          <w:szCs w:val="22"/>
        </w:rPr>
      </w:pPr>
    </w:p>
    <w:p w:rsidR="005A3173" w:rsidRPr="00470BDF" w:rsidRDefault="005A3173" w:rsidP="00470BDF">
      <w:pPr>
        <w:pStyle w:val="Heading2"/>
      </w:pPr>
      <w:r w:rsidRPr="00470BDF">
        <w:t>Estimated PBS usage &amp; financial implications</w:t>
      </w:r>
    </w:p>
    <w:p w:rsidR="005A3173" w:rsidRPr="00882085" w:rsidRDefault="005A3173" w:rsidP="00882085">
      <w:pPr>
        <w:ind w:left="720" w:hanging="720"/>
        <w:jc w:val="both"/>
        <w:rPr>
          <w:rFonts w:ascii="Arial" w:hAnsi="Arial"/>
          <w:b/>
          <w:i/>
          <w:sz w:val="22"/>
          <w:szCs w:val="22"/>
        </w:rPr>
      </w:pPr>
    </w:p>
    <w:p w:rsidR="00005C43" w:rsidRDefault="00005C43" w:rsidP="00B8413B">
      <w:pPr>
        <w:pStyle w:val="ListParagraph"/>
        <w:numPr>
          <w:ilvl w:val="1"/>
          <w:numId w:val="25"/>
        </w:numPr>
        <w:jc w:val="both"/>
        <w:rPr>
          <w:rFonts w:ascii="Arial" w:hAnsi="Arial"/>
          <w:sz w:val="22"/>
          <w:szCs w:val="22"/>
        </w:rPr>
      </w:pPr>
      <w:r>
        <w:rPr>
          <w:rFonts w:ascii="Arial" w:hAnsi="Arial"/>
          <w:sz w:val="22"/>
          <w:szCs w:val="22"/>
        </w:rPr>
        <w:t xml:space="preserve">The price requested </w:t>
      </w:r>
      <w:r w:rsidR="0041616F">
        <w:rPr>
          <w:rFonts w:ascii="Arial" w:hAnsi="Arial"/>
          <w:sz w:val="22"/>
          <w:szCs w:val="22"/>
        </w:rPr>
        <w:t>wa</w:t>
      </w:r>
      <w:r>
        <w:rPr>
          <w:rFonts w:ascii="Arial" w:hAnsi="Arial"/>
          <w:sz w:val="22"/>
          <w:szCs w:val="22"/>
        </w:rPr>
        <w:t xml:space="preserve">s based on the equivalent price per gram of </w:t>
      </w:r>
      <w:r w:rsidR="00771B47">
        <w:rPr>
          <w:rFonts w:ascii="Arial" w:hAnsi="Arial"/>
          <w:sz w:val="22"/>
          <w:szCs w:val="22"/>
        </w:rPr>
        <w:t xml:space="preserve">energy </w:t>
      </w:r>
      <w:r>
        <w:rPr>
          <w:rFonts w:ascii="Arial" w:hAnsi="Arial"/>
          <w:sz w:val="22"/>
          <w:szCs w:val="22"/>
        </w:rPr>
        <w:t>equivalent as Peptamen Junior.</w:t>
      </w:r>
    </w:p>
    <w:p w:rsidR="00005C43" w:rsidRDefault="00005C43" w:rsidP="00005C43">
      <w:pPr>
        <w:pStyle w:val="ListParagraph"/>
        <w:jc w:val="both"/>
        <w:rPr>
          <w:rFonts w:ascii="Arial" w:hAnsi="Arial"/>
          <w:sz w:val="22"/>
          <w:szCs w:val="22"/>
        </w:rPr>
      </w:pPr>
      <w:r>
        <w:rPr>
          <w:rFonts w:ascii="Arial" w:hAnsi="Arial"/>
          <w:sz w:val="22"/>
          <w:szCs w:val="22"/>
        </w:rPr>
        <w:t xml:space="preserve">  </w:t>
      </w:r>
    </w:p>
    <w:p w:rsidR="00BA619E" w:rsidRDefault="00C00DA7" w:rsidP="00BA619E">
      <w:pPr>
        <w:pStyle w:val="ListParagraph"/>
        <w:numPr>
          <w:ilvl w:val="1"/>
          <w:numId w:val="25"/>
        </w:numPr>
        <w:jc w:val="both"/>
        <w:rPr>
          <w:rFonts w:ascii="Arial" w:hAnsi="Arial"/>
          <w:sz w:val="22"/>
          <w:szCs w:val="22"/>
        </w:rPr>
      </w:pPr>
      <w:r>
        <w:rPr>
          <w:rFonts w:ascii="Arial" w:hAnsi="Arial"/>
          <w:sz w:val="22"/>
          <w:szCs w:val="22"/>
        </w:rPr>
        <w:t>The minor submission estimate</w:t>
      </w:r>
      <w:r w:rsidR="0041616F">
        <w:rPr>
          <w:rFonts w:ascii="Arial" w:hAnsi="Arial"/>
          <w:sz w:val="22"/>
          <w:szCs w:val="22"/>
        </w:rPr>
        <w:t>d</w:t>
      </w:r>
      <w:r>
        <w:rPr>
          <w:rFonts w:ascii="Arial" w:hAnsi="Arial"/>
          <w:sz w:val="22"/>
          <w:szCs w:val="22"/>
        </w:rPr>
        <w:t xml:space="preserve"> there to be no fi</w:t>
      </w:r>
      <w:r w:rsidR="00F23D55">
        <w:rPr>
          <w:rFonts w:ascii="Arial" w:hAnsi="Arial"/>
          <w:sz w:val="22"/>
          <w:szCs w:val="22"/>
        </w:rPr>
        <w:t>nancial implications to the PBS</w:t>
      </w:r>
      <w:r>
        <w:rPr>
          <w:rFonts w:ascii="Arial" w:hAnsi="Arial"/>
          <w:sz w:val="22"/>
          <w:szCs w:val="22"/>
        </w:rPr>
        <w:t xml:space="preserve"> </w:t>
      </w:r>
      <w:r w:rsidR="00744E6C">
        <w:rPr>
          <w:rFonts w:ascii="Arial" w:hAnsi="Arial"/>
          <w:sz w:val="22"/>
          <w:szCs w:val="22"/>
        </w:rPr>
        <w:t xml:space="preserve">for the requested indications which are currently listed on the PBS </w:t>
      </w:r>
      <w:r>
        <w:rPr>
          <w:rFonts w:ascii="Arial" w:hAnsi="Arial"/>
          <w:sz w:val="22"/>
          <w:szCs w:val="22"/>
        </w:rPr>
        <w:t xml:space="preserve">as the submission expects </w:t>
      </w:r>
      <w:r w:rsidR="00886096">
        <w:rPr>
          <w:rFonts w:ascii="Arial" w:hAnsi="Arial"/>
          <w:sz w:val="22"/>
          <w:szCs w:val="22"/>
        </w:rPr>
        <w:t>Nutrini Peptisorb</w:t>
      </w:r>
      <w:r>
        <w:rPr>
          <w:rFonts w:ascii="Arial" w:hAnsi="Arial"/>
          <w:sz w:val="22"/>
          <w:szCs w:val="22"/>
        </w:rPr>
        <w:t xml:space="preserve"> to substitute </w:t>
      </w:r>
      <w:r w:rsidR="00744E6C">
        <w:rPr>
          <w:rFonts w:ascii="Arial" w:hAnsi="Arial"/>
          <w:sz w:val="22"/>
          <w:szCs w:val="22"/>
        </w:rPr>
        <w:t xml:space="preserve">for </w:t>
      </w:r>
      <w:r w:rsidR="00886096">
        <w:rPr>
          <w:rFonts w:ascii="Arial" w:hAnsi="Arial"/>
          <w:sz w:val="22"/>
          <w:szCs w:val="22"/>
        </w:rPr>
        <w:t xml:space="preserve">Peptamen Junior only in patients requiring alternative enteral tube feeding regimen.  </w:t>
      </w:r>
      <w:r w:rsidR="00905608">
        <w:rPr>
          <w:rFonts w:ascii="Arial" w:hAnsi="Arial"/>
          <w:sz w:val="22"/>
          <w:szCs w:val="22"/>
        </w:rPr>
        <w:t>Peptamen Junior is used either as a tube feed or taken orally</w:t>
      </w:r>
      <w:r w:rsidR="00744E6C">
        <w:rPr>
          <w:rFonts w:ascii="Arial" w:hAnsi="Arial"/>
          <w:sz w:val="22"/>
          <w:szCs w:val="22"/>
        </w:rPr>
        <w:t xml:space="preserve"> whilst Nutrini Peptisorb is suitable for tube feeding only</w:t>
      </w:r>
      <w:r w:rsidR="00905608">
        <w:rPr>
          <w:rFonts w:ascii="Arial" w:hAnsi="Arial"/>
          <w:sz w:val="22"/>
          <w:szCs w:val="22"/>
        </w:rPr>
        <w:t>.</w:t>
      </w:r>
      <w:r w:rsidR="00B8413B">
        <w:rPr>
          <w:rFonts w:ascii="Arial" w:hAnsi="Arial"/>
          <w:sz w:val="22"/>
          <w:szCs w:val="22"/>
        </w:rPr>
        <w:t xml:space="preserve">  </w:t>
      </w:r>
    </w:p>
    <w:p w:rsidR="00744E6C" w:rsidRDefault="00744E6C" w:rsidP="00663020">
      <w:pPr>
        <w:pStyle w:val="ListParagraph"/>
        <w:jc w:val="both"/>
        <w:rPr>
          <w:rFonts w:ascii="Arial" w:hAnsi="Arial"/>
          <w:sz w:val="22"/>
          <w:szCs w:val="22"/>
        </w:rPr>
      </w:pPr>
    </w:p>
    <w:p w:rsidR="00744E6C" w:rsidRDefault="00744E6C">
      <w:pPr>
        <w:pStyle w:val="ListParagraph"/>
        <w:numPr>
          <w:ilvl w:val="1"/>
          <w:numId w:val="25"/>
        </w:numPr>
        <w:jc w:val="both"/>
        <w:rPr>
          <w:rFonts w:ascii="Arial" w:hAnsi="Arial"/>
          <w:sz w:val="22"/>
          <w:szCs w:val="22"/>
        </w:rPr>
      </w:pPr>
      <w:r w:rsidRPr="00744E6C">
        <w:rPr>
          <w:rFonts w:ascii="Arial" w:hAnsi="Arial"/>
          <w:sz w:val="22"/>
          <w:szCs w:val="22"/>
        </w:rPr>
        <w:t xml:space="preserve">However, for patients with malabsorption due to cancer treatment, </w:t>
      </w:r>
      <w:r>
        <w:rPr>
          <w:rFonts w:ascii="Arial" w:hAnsi="Arial"/>
          <w:sz w:val="22"/>
          <w:szCs w:val="22"/>
        </w:rPr>
        <w:t xml:space="preserve">the submission noted that </w:t>
      </w:r>
      <w:r w:rsidRPr="00744E6C">
        <w:rPr>
          <w:rFonts w:ascii="Arial" w:hAnsi="Arial"/>
          <w:sz w:val="22"/>
          <w:szCs w:val="22"/>
        </w:rPr>
        <w:t>there will be an addition</w:t>
      </w:r>
      <w:r>
        <w:rPr>
          <w:rFonts w:ascii="Arial" w:hAnsi="Arial"/>
          <w:sz w:val="22"/>
          <w:szCs w:val="22"/>
        </w:rPr>
        <w:t xml:space="preserve"> cost to the PBS in</w:t>
      </w:r>
      <w:r w:rsidRPr="00663020">
        <w:rPr>
          <w:rFonts w:ascii="Arial" w:hAnsi="Arial"/>
          <w:sz w:val="22"/>
          <w:szCs w:val="22"/>
        </w:rPr>
        <w:t xml:space="preserve"> list</w:t>
      </w:r>
      <w:r>
        <w:rPr>
          <w:rFonts w:ascii="Arial" w:hAnsi="Arial"/>
          <w:sz w:val="22"/>
          <w:szCs w:val="22"/>
        </w:rPr>
        <w:t>ing</w:t>
      </w:r>
      <w:r w:rsidRPr="00663020">
        <w:rPr>
          <w:rFonts w:ascii="Arial" w:hAnsi="Arial"/>
          <w:sz w:val="22"/>
          <w:szCs w:val="22"/>
        </w:rPr>
        <w:t xml:space="preserve"> </w:t>
      </w:r>
      <w:r>
        <w:rPr>
          <w:rFonts w:ascii="Arial" w:hAnsi="Arial"/>
          <w:sz w:val="22"/>
          <w:szCs w:val="22"/>
        </w:rPr>
        <w:t>Nutrini Peptisorb</w:t>
      </w:r>
      <w:r w:rsidRPr="00663020">
        <w:rPr>
          <w:rFonts w:ascii="Arial" w:hAnsi="Arial"/>
          <w:sz w:val="22"/>
          <w:szCs w:val="22"/>
        </w:rPr>
        <w:t xml:space="preserve">. </w:t>
      </w:r>
      <w:r>
        <w:rPr>
          <w:rFonts w:ascii="Arial" w:hAnsi="Arial"/>
          <w:sz w:val="22"/>
          <w:szCs w:val="22"/>
        </w:rPr>
        <w:t>The submission stated that this cost would be</w:t>
      </w:r>
      <w:r w:rsidRPr="00663020">
        <w:rPr>
          <w:rFonts w:ascii="Arial" w:hAnsi="Arial"/>
          <w:sz w:val="22"/>
          <w:szCs w:val="22"/>
        </w:rPr>
        <w:t xml:space="preserve"> small as the patient numbers are</w:t>
      </w:r>
      <w:r>
        <w:rPr>
          <w:rFonts w:ascii="Arial" w:hAnsi="Arial"/>
          <w:sz w:val="22"/>
          <w:szCs w:val="22"/>
        </w:rPr>
        <w:t xml:space="preserve"> </w:t>
      </w:r>
      <w:r w:rsidRPr="00663020">
        <w:rPr>
          <w:rFonts w:ascii="Arial" w:hAnsi="Arial"/>
          <w:sz w:val="22"/>
          <w:szCs w:val="22"/>
        </w:rPr>
        <w:t>small, and the use of Nutrini</w:t>
      </w:r>
      <w:r>
        <w:rPr>
          <w:rFonts w:ascii="Arial" w:hAnsi="Arial"/>
          <w:sz w:val="22"/>
          <w:szCs w:val="22"/>
        </w:rPr>
        <w:t xml:space="preserve"> Peptisorb for these patients would be for a </w:t>
      </w:r>
      <w:r w:rsidRPr="00663020">
        <w:rPr>
          <w:rFonts w:ascii="Arial" w:hAnsi="Arial"/>
          <w:sz w:val="22"/>
          <w:szCs w:val="22"/>
        </w:rPr>
        <w:t>short time frame</w:t>
      </w:r>
      <w:r>
        <w:rPr>
          <w:rFonts w:ascii="Arial" w:hAnsi="Arial"/>
          <w:sz w:val="22"/>
          <w:szCs w:val="22"/>
        </w:rPr>
        <w:t xml:space="preserve"> (i.e. 1 to 2 months as opposed to continuous use) and for a</w:t>
      </w:r>
      <w:r w:rsidRPr="00663020">
        <w:rPr>
          <w:rFonts w:ascii="Arial" w:hAnsi="Arial"/>
          <w:sz w:val="22"/>
          <w:szCs w:val="22"/>
        </w:rPr>
        <w:t xml:space="preserve"> limited </w:t>
      </w:r>
      <w:r>
        <w:rPr>
          <w:rFonts w:ascii="Arial" w:hAnsi="Arial"/>
          <w:sz w:val="22"/>
          <w:szCs w:val="22"/>
        </w:rPr>
        <w:t>patient age range of 1 – 6 years</w:t>
      </w:r>
      <w:r w:rsidRPr="00663020">
        <w:rPr>
          <w:rFonts w:ascii="Arial" w:hAnsi="Arial"/>
          <w:sz w:val="22"/>
          <w:szCs w:val="22"/>
        </w:rPr>
        <w:t>. The</w:t>
      </w:r>
      <w:r>
        <w:rPr>
          <w:rFonts w:ascii="Arial" w:hAnsi="Arial"/>
          <w:sz w:val="22"/>
          <w:szCs w:val="22"/>
        </w:rPr>
        <w:t xml:space="preserve"> </w:t>
      </w:r>
      <w:r w:rsidR="00AD5CA1">
        <w:rPr>
          <w:rFonts w:ascii="Arial" w:hAnsi="Arial"/>
          <w:sz w:val="22"/>
          <w:szCs w:val="22"/>
        </w:rPr>
        <w:t>submission’s estimate</w:t>
      </w:r>
      <w:r w:rsidR="00F31D10">
        <w:rPr>
          <w:rFonts w:ascii="Arial" w:hAnsi="Arial"/>
          <w:sz w:val="22"/>
          <w:szCs w:val="22"/>
        </w:rPr>
        <w:t>s</w:t>
      </w:r>
      <w:r w:rsidR="00AD5CA1">
        <w:rPr>
          <w:rFonts w:ascii="Arial" w:hAnsi="Arial"/>
          <w:sz w:val="22"/>
          <w:szCs w:val="22"/>
        </w:rPr>
        <w:t xml:space="preserve"> of patient numbers and financial implications for thi</w:t>
      </w:r>
      <w:r w:rsidR="00F31D10">
        <w:rPr>
          <w:rFonts w:ascii="Arial" w:hAnsi="Arial"/>
          <w:sz w:val="22"/>
          <w:szCs w:val="22"/>
        </w:rPr>
        <w:t>s specific patient population are</w:t>
      </w:r>
      <w:r w:rsidR="00AD5CA1">
        <w:rPr>
          <w:rFonts w:ascii="Arial" w:hAnsi="Arial"/>
          <w:sz w:val="22"/>
          <w:szCs w:val="22"/>
        </w:rPr>
        <w:t xml:space="preserve"> shown below:</w:t>
      </w:r>
    </w:p>
    <w:p w:rsidR="00CE2AC4" w:rsidRDefault="00CE2AC4" w:rsidP="00663020">
      <w:pPr>
        <w:pStyle w:val="ListParagraph"/>
        <w:jc w:val="both"/>
        <w:rPr>
          <w:rFonts w:ascii="Arial" w:hAnsi="Arial"/>
          <w:sz w:val="22"/>
          <w:szCs w:val="22"/>
        </w:rPr>
      </w:pPr>
    </w:p>
    <w:p w:rsidR="00CE2AC4" w:rsidRPr="00663020" w:rsidRDefault="00CE2AC4" w:rsidP="00663020">
      <w:pPr>
        <w:pStyle w:val="ListParagraph"/>
        <w:jc w:val="both"/>
        <w:rPr>
          <w:rFonts w:ascii="Arial Narrow" w:hAnsi="Arial Narrow"/>
          <w:b/>
          <w:sz w:val="20"/>
          <w:szCs w:val="20"/>
        </w:rPr>
      </w:pPr>
      <w:r w:rsidRPr="00663020">
        <w:rPr>
          <w:rFonts w:ascii="Arial Narrow" w:hAnsi="Arial Narrow"/>
          <w:b/>
          <w:sz w:val="20"/>
          <w:szCs w:val="20"/>
        </w:rPr>
        <w:t>Estimated patient numbers</w:t>
      </w:r>
      <w:r w:rsidR="00AD5CA1">
        <w:rPr>
          <w:rFonts w:ascii="Arial Narrow" w:hAnsi="Arial Narrow"/>
          <w:b/>
          <w:sz w:val="20"/>
          <w:szCs w:val="20"/>
        </w:rPr>
        <w:t xml:space="preserve"> (all sources of malabsorption)</w:t>
      </w:r>
    </w:p>
    <w:tbl>
      <w:tblPr>
        <w:tblStyle w:val="TableGrid"/>
        <w:tblW w:w="0" w:type="auto"/>
        <w:tblInd w:w="720" w:type="dxa"/>
        <w:tblLook w:val="04A0" w:firstRow="1" w:lastRow="0" w:firstColumn="1" w:lastColumn="0" w:noHBand="0" w:noVBand="1"/>
        <w:tblCaption w:val="Estimated patient numbers (all sources of malabsorption)"/>
        <w:tblDescription w:val="Year 1 to 5"/>
      </w:tblPr>
      <w:tblGrid>
        <w:gridCol w:w="2649"/>
        <w:gridCol w:w="1174"/>
        <w:gridCol w:w="1175"/>
        <w:gridCol w:w="1174"/>
        <w:gridCol w:w="1175"/>
        <w:gridCol w:w="1175"/>
      </w:tblGrid>
      <w:tr w:rsidR="00CE2AC4" w:rsidRPr="00CE2AC4" w:rsidTr="00663020">
        <w:tc>
          <w:tcPr>
            <w:tcW w:w="2649" w:type="dxa"/>
          </w:tcPr>
          <w:p w:rsidR="00CE2AC4" w:rsidRPr="00663020" w:rsidRDefault="00CE2AC4" w:rsidP="00CE2AC4">
            <w:pPr>
              <w:pStyle w:val="ListParagraph"/>
              <w:ind w:left="0"/>
              <w:jc w:val="both"/>
              <w:rPr>
                <w:rFonts w:ascii="Arial Narrow" w:hAnsi="Arial Narrow"/>
                <w:sz w:val="20"/>
                <w:szCs w:val="20"/>
              </w:rPr>
            </w:pPr>
          </w:p>
        </w:tc>
        <w:tc>
          <w:tcPr>
            <w:tcW w:w="1174" w:type="dxa"/>
          </w:tcPr>
          <w:p w:rsidR="00CE2AC4" w:rsidRPr="00663020" w:rsidRDefault="00CE2AC4" w:rsidP="00663020">
            <w:pPr>
              <w:pStyle w:val="ListParagraph"/>
              <w:ind w:left="0"/>
              <w:jc w:val="center"/>
              <w:rPr>
                <w:rFonts w:ascii="Arial Narrow" w:hAnsi="Arial Narrow"/>
                <w:b/>
                <w:sz w:val="20"/>
                <w:szCs w:val="20"/>
              </w:rPr>
            </w:pPr>
            <w:r w:rsidRPr="00663020">
              <w:rPr>
                <w:rFonts w:ascii="Arial Narrow" w:hAnsi="Arial Narrow"/>
                <w:b/>
                <w:sz w:val="20"/>
                <w:szCs w:val="20"/>
              </w:rPr>
              <w:t>Year 1</w:t>
            </w:r>
          </w:p>
        </w:tc>
        <w:tc>
          <w:tcPr>
            <w:tcW w:w="1175" w:type="dxa"/>
          </w:tcPr>
          <w:p w:rsidR="00CE2AC4" w:rsidRPr="00663020" w:rsidRDefault="00CE2AC4" w:rsidP="00663020">
            <w:pPr>
              <w:pStyle w:val="ListParagraph"/>
              <w:ind w:left="0"/>
              <w:jc w:val="center"/>
              <w:rPr>
                <w:rFonts w:ascii="Arial Narrow" w:hAnsi="Arial Narrow"/>
                <w:b/>
                <w:sz w:val="20"/>
                <w:szCs w:val="20"/>
              </w:rPr>
            </w:pPr>
            <w:r w:rsidRPr="00663020">
              <w:rPr>
                <w:rFonts w:ascii="Arial Narrow" w:hAnsi="Arial Narrow"/>
                <w:b/>
                <w:sz w:val="20"/>
                <w:szCs w:val="20"/>
              </w:rPr>
              <w:t>Year 2</w:t>
            </w:r>
          </w:p>
        </w:tc>
        <w:tc>
          <w:tcPr>
            <w:tcW w:w="1174" w:type="dxa"/>
          </w:tcPr>
          <w:p w:rsidR="00CE2AC4" w:rsidRPr="00663020" w:rsidRDefault="00CE2AC4" w:rsidP="00663020">
            <w:pPr>
              <w:pStyle w:val="ListParagraph"/>
              <w:ind w:left="0"/>
              <w:jc w:val="center"/>
              <w:rPr>
                <w:rFonts w:ascii="Arial Narrow" w:hAnsi="Arial Narrow"/>
                <w:b/>
                <w:sz w:val="20"/>
                <w:szCs w:val="20"/>
              </w:rPr>
            </w:pPr>
            <w:r w:rsidRPr="00663020">
              <w:rPr>
                <w:rFonts w:ascii="Arial Narrow" w:hAnsi="Arial Narrow"/>
                <w:b/>
                <w:sz w:val="20"/>
                <w:szCs w:val="20"/>
              </w:rPr>
              <w:t>Year 3</w:t>
            </w:r>
          </w:p>
        </w:tc>
        <w:tc>
          <w:tcPr>
            <w:tcW w:w="1175" w:type="dxa"/>
          </w:tcPr>
          <w:p w:rsidR="00CE2AC4" w:rsidRPr="00663020" w:rsidRDefault="00CE2AC4" w:rsidP="00663020">
            <w:pPr>
              <w:pStyle w:val="ListParagraph"/>
              <w:ind w:left="0"/>
              <w:jc w:val="center"/>
              <w:rPr>
                <w:rFonts w:ascii="Arial Narrow" w:hAnsi="Arial Narrow"/>
                <w:b/>
                <w:sz w:val="20"/>
                <w:szCs w:val="20"/>
              </w:rPr>
            </w:pPr>
            <w:r w:rsidRPr="00663020">
              <w:rPr>
                <w:rFonts w:ascii="Arial Narrow" w:hAnsi="Arial Narrow"/>
                <w:b/>
                <w:sz w:val="20"/>
                <w:szCs w:val="20"/>
              </w:rPr>
              <w:t>Year 4</w:t>
            </w:r>
          </w:p>
        </w:tc>
        <w:tc>
          <w:tcPr>
            <w:tcW w:w="1175" w:type="dxa"/>
          </w:tcPr>
          <w:p w:rsidR="00CE2AC4" w:rsidRPr="00663020" w:rsidRDefault="00CE2AC4" w:rsidP="00663020">
            <w:pPr>
              <w:pStyle w:val="ListParagraph"/>
              <w:ind w:left="0"/>
              <w:jc w:val="center"/>
              <w:rPr>
                <w:rFonts w:ascii="Arial Narrow" w:hAnsi="Arial Narrow"/>
                <w:b/>
                <w:sz w:val="20"/>
                <w:szCs w:val="20"/>
              </w:rPr>
            </w:pPr>
            <w:r w:rsidRPr="00663020">
              <w:rPr>
                <w:rFonts w:ascii="Arial Narrow" w:hAnsi="Arial Narrow"/>
                <w:b/>
                <w:sz w:val="20"/>
                <w:szCs w:val="20"/>
              </w:rPr>
              <w:t>Year 5</w:t>
            </w:r>
          </w:p>
        </w:tc>
      </w:tr>
      <w:tr w:rsidR="00CE2AC4" w:rsidRPr="00CE2AC4" w:rsidTr="00663020">
        <w:tc>
          <w:tcPr>
            <w:tcW w:w="2649"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Estimated patient numbers expected to use Nutrini Peptisorb</w:t>
            </w:r>
          </w:p>
        </w:tc>
        <w:tc>
          <w:tcPr>
            <w:tcW w:w="1174" w:type="dxa"/>
          </w:tcPr>
          <w:p w:rsidR="00CE2AC4"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75" w:type="dxa"/>
          </w:tcPr>
          <w:p w:rsidR="00CE2AC4"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74" w:type="dxa"/>
          </w:tcPr>
          <w:p w:rsidR="00CE2AC4"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75" w:type="dxa"/>
          </w:tcPr>
          <w:p w:rsidR="00CE2AC4"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75" w:type="dxa"/>
          </w:tcPr>
          <w:p w:rsidR="00CE2AC4"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CE2AC4" w:rsidRDefault="00CE2AC4" w:rsidP="00663020">
      <w:pPr>
        <w:pStyle w:val="ListParagraph"/>
        <w:jc w:val="both"/>
        <w:rPr>
          <w:rFonts w:ascii="Arial Narrow" w:hAnsi="Arial Narrow"/>
          <w:sz w:val="18"/>
          <w:szCs w:val="18"/>
        </w:rPr>
      </w:pPr>
      <w:r w:rsidRPr="00663020">
        <w:rPr>
          <w:rFonts w:ascii="Arial Narrow" w:hAnsi="Arial Narrow"/>
          <w:sz w:val="18"/>
          <w:szCs w:val="18"/>
        </w:rPr>
        <w:t>Source: Submission, pg. 39, Table 14</w:t>
      </w:r>
    </w:p>
    <w:p w:rsidR="00CE2AC4" w:rsidRDefault="00CE2AC4" w:rsidP="00663020">
      <w:pPr>
        <w:pStyle w:val="ListParagraph"/>
        <w:jc w:val="both"/>
        <w:rPr>
          <w:rFonts w:ascii="Arial Narrow" w:hAnsi="Arial Narrow"/>
          <w:sz w:val="18"/>
          <w:szCs w:val="18"/>
        </w:rPr>
      </w:pPr>
    </w:p>
    <w:p w:rsidR="00470BDF" w:rsidRDefault="00470BDF" w:rsidP="00663020">
      <w:pPr>
        <w:pStyle w:val="ListParagraph"/>
        <w:jc w:val="both"/>
        <w:rPr>
          <w:rFonts w:ascii="Arial Narrow" w:hAnsi="Arial Narrow"/>
          <w:sz w:val="18"/>
          <w:szCs w:val="18"/>
        </w:rPr>
      </w:pPr>
    </w:p>
    <w:p w:rsidR="00CE2AC4" w:rsidRPr="00663020" w:rsidRDefault="00CE2AC4" w:rsidP="00663020">
      <w:pPr>
        <w:pStyle w:val="ListParagraph"/>
        <w:jc w:val="both"/>
        <w:rPr>
          <w:rFonts w:ascii="Arial Narrow" w:hAnsi="Arial Narrow"/>
          <w:b/>
          <w:sz w:val="20"/>
          <w:szCs w:val="20"/>
        </w:rPr>
      </w:pPr>
      <w:r w:rsidRPr="00663020">
        <w:rPr>
          <w:rFonts w:ascii="Arial Narrow" w:hAnsi="Arial Narrow"/>
          <w:b/>
          <w:sz w:val="20"/>
          <w:szCs w:val="20"/>
        </w:rPr>
        <w:lastRenderedPageBreak/>
        <w:t>Percentage of patients by medical condition who would be recommended Nutrini Peptisorb</w:t>
      </w:r>
    </w:p>
    <w:tbl>
      <w:tblPr>
        <w:tblStyle w:val="TableGrid"/>
        <w:tblW w:w="0" w:type="auto"/>
        <w:tblInd w:w="720" w:type="dxa"/>
        <w:tblLook w:val="04A0" w:firstRow="1" w:lastRow="0" w:firstColumn="1" w:lastColumn="0" w:noHBand="0" w:noVBand="1"/>
      </w:tblPr>
      <w:tblGrid>
        <w:gridCol w:w="3641"/>
        <w:gridCol w:w="4881"/>
      </w:tblGrid>
      <w:tr w:rsidR="00CE2AC4" w:rsidRPr="00CE2AC4" w:rsidTr="00663020">
        <w:tc>
          <w:tcPr>
            <w:tcW w:w="3641" w:type="dxa"/>
          </w:tcPr>
          <w:p w:rsidR="00CE2AC4" w:rsidRPr="00663020" w:rsidRDefault="00CE2AC4" w:rsidP="00CE2AC4">
            <w:pPr>
              <w:pStyle w:val="ListParagraph"/>
              <w:ind w:left="0"/>
              <w:jc w:val="both"/>
              <w:rPr>
                <w:rFonts w:ascii="Arial Narrow" w:hAnsi="Arial Narrow"/>
                <w:b/>
                <w:sz w:val="20"/>
                <w:szCs w:val="20"/>
              </w:rPr>
            </w:pPr>
            <w:r w:rsidRPr="00663020">
              <w:rPr>
                <w:rFonts w:ascii="Arial Narrow" w:hAnsi="Arial Narrow"/>
                <w:b/>
                <w:sz w:val="20"/>
                <w:szCs w:val="20"/>
              </w:rPr>
              <w:t>Malabsorption source:</w:t>
            </w:r>
          </w:p>
        </w:tc>
        <w:tc>
          <w:tcPr>
            <w:tcW w:w="4881" w:type="dxa"/>
          </w:tcPr>
          <w:p w:rsidR="00CE2AC4" w:rsidRPr="00663020" w:rsidRDefault="00CE2AC4" w:rsidP="00CE2AC4">
            <w:pPr>
              <w:pStyle w:val="ListParagraph"/>
              <w:ind w:left="0"/>
              <w:jc w:val="both"/>
              <w:rPr>
                <w:rFonts w:ascii="Arial Narrow" w:hAnsi="Arial Narrow"/>
                <w:b/>
                <w:sz w:val="20"/>
                <w:szCs w:val="20"/>
              </w:rPr>
            </w:pPr>
            <w:r w:rsidRPr="00663020">
              <w:rPr>
                <w:rFonts w:ascii="Arial Narrow" w:hAnsi="Arial Narrow"/>
                <w:b/>
                <w:sz w:val="20"/>
                <w:szCs w:val="20"/>
              </w:rPr>
              <w:t>Percentage breakdown (%)</w:t>
            </w:r>
          </w:p>
        </w:tc>
      </w:tr>
      <w:tr w:rsidR="00CE2AC4" w:rsidRPr="00CE2AC4" w:rsidTr="00663020">
        <w:tc>
          <w:tcPr>
            <w:tcW w:w="3641"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Cancer treatment</w:t>
            </w:r>
          </w:p>
        </w:tc>
        <w:tc>
          <w:tcPr>
            <w:tcW w:w="4881"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50%</w:t>
            </w:r>
          </w:p>
        </w:tc>
      </w:tr>
      <w:tr w:rsidR="00CE2AC4" w:rsidRPr="00CE2AC4" w:rsidTr="00663020">
        <w:tc>
          <w:tcPr>
            <w:tcW w:w="3641"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Short bowel syndrome and other GI disorders</w:t>
            </w:r>
          </w:p>
        </w:tc>
        <w:tc>
          <w:tcPr>
            <w:tcW w:w="4881"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40%</w:t>
            </w:r>
          </w:p>
        </w:tc>
      </w:tr>
      <w:tr w:rsidR="00CE2AC4" w:rsidRPr="00CE2AC4" w:rsidTr="00663020">
        <w:tc>
          <w:tcPr>
            <w:tcW w:w="3641"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Liver disease or cystic fibrosis</w:t>
            </w:r>
          </w:p>
        </w:tc>
        <w:tc>
          <w:tcPr>
            <w:tcW w:w="4881" w:type="dxa"/>
          </w:tcPr>
          <w:p w:rsidR="00CE2AC4" w:rsidRPr="00663020" w:rsidRDefault="00CE2AC4" w:rsidP="00CE2AC4">
            <w:pPr>
              <w:pStyle w:val="ListParagraph"/>
              <w:ind w:left="0"/>
              <w:jc w:val="both"/>
              <w:rPr>
                <w:rFonts w:ascii="Arial Narrow" w:hAnsi="Arial Narrow"/>
                <w:sz w:val="20"/>
                <w:szCs w:val="20"/>
              </w:rPr>
            </w:pPr>
            <w:r w:rsidRPr="00663020">
              <w:rPr>
                <w:rFonts w:ascii="Arial Narrow" w:hAnsi="Arial Narrow"/>
                <w:sz w:val="20"/>
                <w:szCs w:val="20"/>
              </w:rPr>
              <w:t>10%</w:t>
            </w:r>
          </w:p>
        </w:tc>
      </w:tr>
    </w:tbl>
    <w:p w:rsidR="00CE2AC4" w:rsidRDefault="00CE2AC4" w:rsidP="00663020">
      <w:pPr>
        <w:pStyle w:val="ListParagraph"/>
        <w:jc w:val="both"/>
        <w:rPr>
          <w:rFonts w:ascii="Arial Narrow" w:hAnsi="Arial Narrow"/>
          <w:sz w:val="18"/>
          <w:szCs w:val="18"/>
        </w:rPr>
      </w:pPr>
      <w:r>
        <w:rPr>
          <w:rFonts w:ascii="Arial Narrow" w:hAnsi="Arial Narrow"/>
          <w:sz w:val="18"/>
          <w:szCs w:val="18"/>
        </w:rPr>
        <w:t>Source: Submission, pg. 40, Table 10</w:t>
      </w:r>
    </w:p>
    <w:p w:rsidR="00CE2AC4" w:rsidRDefault="00CE2AC4" w:rsidP="00663020">
      <w:pPr>
        <w:pStyle w:val="ListParagraph"/>
        <w:jc w:val="both"/>
        <w:rPr>
          <w:rFonts w:ascii="Arial Narrow" w:hAnsi="Arial Narrow"/>
          <w:sz w:val="18"/>
          <w:szCs w:val="18"/>
        </w:rPr>
      </w:pPr>
    </w:p>
    <w:p w:rsidR="00AD5CA1" w:rsidRPr="00663020" w:rsidRDefault="00AD5CA1" w:rsidP="00663020">
      <w:pPr>
        <w:pStyle w:val="ListParagraph"/>
        <w:jc w:val="both"/>
        <w:rPr>
          <w:rFonts w:ascii="Arial Narrow" w:hAnsi="Arial Narrow"/>
          <w:b/>
          <w:sz w:val="20"/>
          <w:szCs w:val="20"/>
        </w:rPr>
      </w:pPr>
      <w:r w:rsidRPr="00663020">
        <w:rPr>
          <w:rFonts w:ascii="Arial Narrow" w:hAnsi="Arial Narrow"/>
          <w:b/>
          <w:sz w:val="20"/>
          <w:szCs w:val="20"/>
        </w:rPr>
        <w:t>Estimated cancer related patient numbers and cost to the PBS</w:t>
      </w:r>
    </w:p>
    <w:tbl>
      <w:tblPr>
        <w:tblStyle w:val="TableGrid"/>
        <w:tblW w:w="0" w:type="auto"/>
        <w:tblInd w:w="720" w:type="dxa"/>
        <w:tblLayout w:type="fixed"/>
        <w:tblLook w:val="04A0" w:firstRow="1" w:lastRow="0" w:firstColumn="1" w:lastColumn="0" w:noHBand="0" w:noVBand="1"/>
        <w:tblCaption w:val="Estimated cancer related patient numbers and cost to the PBS"/>
        <w:tblDescription w:val="Year 1 to 5"/>
      </w:tblPr>
      <w:tblGrid>
        <w:gridCol w:w="3074"/>
        <w:gridCol w:w="1089"/>
        <w:gridCol w:w="1090"/>
        <w:gridCol w:w="1089"/>
        <w:gridCol w:w="1090"/>
        <w:gridCol w:w="1090"/>
      </w:tblGrid>
      <w:tr w:rsidR="00AD5CA1" w:rsidRPr="00AD5CA1" w:rsidTr="00AD5CA1">
        <w:tc>
          <w:tcPr>
            <w:tcW w:w="3074" w:type="dxa"/>
          </w:tcPr>
          <w:p w:rsidR="00AD5CA1" w:rsidRPr="00663020" w:rsidRDefault="00AD5CA1" w:rsidP="00CE2AC4">
            <w:pPr>
              <w:pStyle w:val="ListParagraph"/>
              <w:ind w:left="0"/>
              <w:jc w:val="both"/>
              <w:rPr>
                <w:rFonts w:ascii="Arial Narrow" w:hAnsi="Arial Narrow"/>
                <w:sz w:val="20"/>
                <w:szCs w:val="20"/>
              </w:rPr>
            </w:pPr>
          </w:p>
        </w:tc>
        <w:tc>
          <w:tcPr>
            <w:tcW w:w="1089" w:type="dxa"/>
          </w:tcPr>
          <w:p w:rsidR="00AD5CA1" w:rsidRPr="00663020" w:rsidRDefault="00AD5CA1" w:rsidP="00663020">
            <w:pPr>
              <w:pStyle w:val="ListParagraph"/>
              <w:ind w:left="0"/>
              <w:jc w:val="center"/>
              <w:rPr>
                <w:rFonts w:ascii="Arial Narrow" w:hAnsi="Arial Narrow"/>
                <w:b/>
                <w:sz w:val="20"/>
                <w:szCs w:val="20"/>
              </w:rPr>
            </w:pPr>
            <w:r w:rsidRPr="00663020">
              <w:rPr>
                <w:rFonts w:ascii="Arial Narrow" w:hAnsi="Arial Narrow"/>
                <w:b/>
                <w:sz w:val="20"/>
                <w:szCs w:val="20"/>
              </w:rPr>
              <w:t>Year 1</w:t>
            </w:r>
          </w:p>
        </w:tc>
        <w:tc>
          <w:tcPr>
            <w:tcW w:w="1090" w:type="dxa"/>
          </w:tcPr>
          <w:p w:rsidR="00AD5CA1" w:rsidRPr="00663020" w:rsidRDefault="00AD5CA1" w:rsidP="00663020">
            <w:pPr>
              <w:pStyle w:val="ListParagraph"/>
              <w:ind w:left="0"/>
              <w:jc w:val="center"/>
              <w:rPr>
                <w:rFonts w:ascii="Arial Narrow" w:hAnsi="Arial Narrow"/>
                <w:b/>
                <w:sz w:val="20"/>
                <w:szCs w:val="20"/>
              </w:rPr>
            </w:pPr>
            <w:r w:rsidRPr="00663020">
              <w:rPr>
                <w:rFonts w:ascii="Arial Narrow" w:hAnsi="Arial Narrow"/>
                <w:b/>
                <w:sz w:val="20"/>
                <w:szCs w:val="20"/>
              </w:rPr>
              <w:t>Year 2</w:t>
            </w:r>
          </w:p>
        </w:tc>
        <w:tc>
          <w:tcPr>
            <w:tcW w:w="1089" w:type="dxa"/>
          </w:tcPr>
          <w:p w:rsidR="00AD5CA1" w:rsidRPr="00663020" w:rsidRDefault="00AD5CA1" w:rsidP="00663020">
            <w:pPr>
              <w:pStyle w:val="ListParagraph"/>
              <w:ind w:left="0"/>
              <w:jc w:val="center"/>
              <w:rPr>
                <w:rFonts w:ascii="Arial Narrow" w:hAnsi="Arial Narrow"/>
                <w:b/>
                <w:sz w:val="20"/>
                <w:szCs w:val="20"/>
              </w:rPr>
            </w:pPr>
            <w:r w:rsidRPr="00663020">
              <w:rPr>
                <w:rFonts w:ascii="Arial Narrow" w:hAnsi="Arial Narrow"/>
                <w:b/>
                <w:sz w:val="20"/>
                <w:szCs w:val="20"/>
              </w:rPr>
              <w:t>Year 3</w:t>
            </w:r>
          </w:p>
        </w:tc>
        <w:tc>
          <w:tcPr>
            <w:tcW w:w="1090" w:type="dxa"/>
          </w:tcPr>
          <w:p w:rsidR="00AD5CA1" w:rsidRPr="00663020" w:rsidRDefault="00AD5CA1" w:rsidP="00663020">
            <w:pPr>
              <w:pStyle w:val="ListParagraph"/>
              <w:ind w:left="0"/>
              <w:jc w:val="center"/>
              <w:rPr>
                <w:rFonts w:ascii="Arial Narrow" w:hAnsi="Arial Narrow"/>
                <w:b/>
                <w:sz w:val="20"/>
                <w:szCs w:val="20"/>
              </w:rPr>
            </w:pPr>
            <w:r w:rsidRPr="00663020">
              <w:rPr>
                <w:rFonts w:ascii="Arial Narrow" w:hAnsi="Arial Narrow"/>
                <w:b/>
                <w:sz w:val="20"/>
                <w:szCs w:val="20"/>
              </w:rPr>
              <w:t>Year 4</w:t>
            </w:r>
          </w:p>
        </w:tc>
        <w:tc>
          <w:tcPr>
            <w:tcW w:w="1090" w:type="dxa"/>
          </w:tcPr>
          <w:p w:rsidR="00AD5CA1" w:rsidRPr="00663020" w:rsidRDefault="00AD5CA1" w:rsidP="00663020">
            <w:pPr>
              <w:pStyle w:val="ListParagraph"/>
              <w:ind w:left="0"/>
              <w:jc w:val="center"/>
              <w:rPr>
                <w:rFonts w:ascii="Arial Narrow" w:hAnsi="Arial Narrow"/>
                <w:b/>
                <w:sz w:val="20"/>
                <w:szCs w:val="20"/>
              </w:rPr>
            </w:pPr>
            <w:r w:rsidRPr="00663020">
              <w:rPr>
                <w:rFonts w:ascii="Arial Narrow" w:hAnsi="Arial Narrow"/>
                <w:b/>
                <w:sz w:val="20"/>
                <w:szCs w:val="20"/>
              </w:rPr>
              <w:t>Year 5</w:t>
            </w:r>
          </w:p>
        </w:tc>
      </w:tr>
      <w:tr w:rsidR="00AD5CA1" w:rsidRPr="00AD5CA1" w:rsidTr="00AD5CA1">
        <w:tc>
          <w:tcPr>
            <w:tcW w:w="3074" w:type="dxa"/>
          </w:tcPr>
          <w:p w:rsidR="00AD5CA1" w:rsidRPr="00663020" w:rsidRDefault="00AD5CA1" w:rsidP="00CE2AC4">
            <w:pPr>
              <w:pStyle w:val="ListParagraph"/>
              <w:ind w:left="0"/>
              <w:jc w:val="both"/>
              <w:rPr>
                <w:rFonts w:ascii="Arial Narrow" w:hAnsi="Arial Narrow"/>
                <w:sz w:val="20"/>
                <w:szCs w:val="20"/>
              </w:rPr>
            </w:pPr>
            <w:r w:rsidRPr="00663020">
              <w:rPr>
                <w:rFonts w:ascii="Arial Narrow" w:hAnsi="Arial Narrow"/>
                <w:sz w:val="20"/>
                <w:szCs w:val="20"/>
              </w:rPr>
              <w:t>Estimated patients with malabsorption due to cancer treatment</w:t>
            </w:r>
          </w:p>
        </w:tc>
        <w:tc>
          <w:tcPr>
            <w:tcW w:w="1089" w:type="dxa"/>
          </w:tcPr>
          <w:p w:rsidR="00AD5CA1"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0" w:type="dxa"/>
          </w:tcPr>
          <w:p w:rsidR="00AD5CA1"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9" w:type="dxa"/>
          </w:tcPr>
          <w:p w:rsidR="00AD5CA1"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0" w:type="dxa"/>
          </w:tcPr>
          <w:p w:rsidR="00AD5CA1"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0" w:type="dxa"/>
          </w:tcPr>
          <w:p w:rsidR="00AD5CA1" w:rsidRPr="00C45183" w:rsidRDefault="00C45183" w:rsidP="00663020">
            <w:pPr>
              <w:pStyle w:val="ListParagraph"/>
              <w:ind w:left="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D5CA1" w:rsidRPr="00AD5CA1" w:rsidTr="00AD5CA1">
        <w:tc>
          <w:tcPr>
            <w:tcW w:w="3074" w:type="dxa"/>
          </w:tcPr>
          <w:p w:rsidR="00AD5CA1" w:rsidRPr="00663020" w:rsidRDefault="00AD5CA1" w:rsidP="00CE2AC4">
            <w:pPr>
              <w:pStyle w:val="ListParagraph"/>
              <w:ind w:left="0"/>
              <w:jc w:val="both"/>
              <w:rPr>
                <w:rFonts w:ascii="Arial Narrow" w:hAnsi="Arial Narrow"/>
                <w:sz w:val="20"/>
                <w:szCs w:val="20"/>
              </w:rPr>
            </w:pPr>
            <w:r w:rsidRPr="00663020">
              <w:rPr>
                <w:rFonts w:ascii="Arial Narrow" w:hAnsi="Arial Narrow"/>
                <w:sz w:val="20"/>
                <w:szCs w:val="20"/>
              </w:rPr>
              <w:t>PBS cost based on $</w:t>
            </w:r>
            <w:r w:rsidR="00C45183">
              <w:rPr>
                <w:rFonts w:ascii="Arial Narrow" w:hAnsi="Arial Narrow"/>
                <w:noProof/>
                <w:color w:val="000000"/>
                <w:sz w:val="20"/>
                <w:szCs w:val="20"/>
                <w:highlight w:val="black"/>
              </w:rPr>
              <w:t>''''''''''''''''</w:t>
            </w:r>
            <w:r w:rsidRPr="00663020">
              <w:rPr>
                <w:rFonts w:ascii="Arial Narrow" w:hAnsi="Arial Narrow"/>
                <w:sz w:val="20"/>
                <w:szCs w:val="20"/>
              </w:rPr>
              <w:t xml:space="preserve"> per box of 8 x 500 mL</w:t>
            </w:r>
          </w:p>
        </w:tc>
        <w:tc>
          <w:tcPr>
            <w:tcW w:w="1089" w:type="dxa"/>
          </w:tcPr>
          <w:p w:rsidR="00AD5CA1" w:rsidRPr="00663020" w:rsidRDefault="00AD5CA1" w:rsidP="00663020">
            <w:pPr>
              <w:pStyle w:val="ListParagraph"/>
              <w:ind w:left="0"/>
              <w:jc w:val="center"/>
              <w:rPr>
                <w:rFonts w:ascii="Arial Narrow" w:hAnsi="Arial Narrow"/>
                <w:sz w:val="20"/>
                <w:szCs w:val="20"/>
              </w:rPr>
            </w:pPr>
            <w:r w:rsidRPr="00663020">
              <w:rPr>
                <w:rFonts w:ascii="Arial Narrow" w:hAnsi="Arial Narrow"/>
                <w:sz w:val="20"/>
                <w:szCs w:val="20"/>
              </w:rPr>
              <w:t>$</w:t>
            </w:r>
            <w:r w:rsidR="00C45183">
              <w:rPr>
                <w:rFonts w:ascii="Arial Narrow" w:hAnsi="Arial Narrow"/>
                <w:noProof/>
                <w:color w:val="000000"/>
                <w:sz w:val="20"/>
                <w:szCs w:val="20"/>
                <w:highlight w:val="black"/>
              </w:rPr>
              <w:t>''''''''''''''''''''</w:t>
            </w:r>
          </w:p>
        </w:tc>
        <w:tc>
          <w:tcPr>
            <w:tcW w:w="1090" w:type="dxa"/>
          </w:tcPr>
          <w:p w:rsidR="00AD5CA1" w:rsidRPr="00663020" w:rsidRDefault="00AD5CA1" w:rsidP="00663020">
            <w:pPr>
              <w:pStyle w:val="ListParagraph"/>
              <w:ind w:left="0"/>
              <w:jc w:val="center"/>
              <w:rPr>
                <w:rFonts w:ascii="Arial Narrow" w:hAnsi="Arial Narrow"/>
                <w:sz w:val="20"/>
                <w:szCs w:val="20"/>
              </w:rPr>
            </w:pPr>
            <w:r w:rsidRPr="00663020">
              <w:rPr>
                <w:rFonts w:ascii="Arial Narrow" w:hAnsi="Arial Narrow"/>
                <w:sz w:val="20"/>
                <w:szCs w:val="20"/>
              </w:rPr>
              <w:t>$</w:t>
            </w:r>
            <w:r w:rsidR="00C45183">
              <w:rPr>
                <w:rFonts w:ascii="Arial Narrow" w:hAnsi="Arial Narrow"/>
                <w:noProof/>
                <w:color w:val="000000"/>
                <w:sz w:val="20"/>
                <w:szCs w:val="20"/>
                <w:highlight w:val="black"/>
              </w:rPr>
              <w:t>'''''''''''''''''''''''''</w:t>
            </w:r>
          </w:p>
        </w:tc>
        <w:tc>
          <w:tcPr>
            <w:tcW w:w="1089" w:type="dxa"/>
          </w:tcPr>
          <w:p w:rsidR="00AD5CA1" w:rsidRPr="00663020" w:rsidRDefault="00AD5CA1" w:rsidP="00663020">
            <w:pPr>
              <w:pStyle w:val="ListParagraph"/>
              <w:ind w:left="0"/>
              <w:jc w:val="center"/>
              <w:rPr>
                <w:rFonts w:ascii="Arial Narrow" w:hAnsi="Arial Narrow"/>
                <w:sz w:val="20"/>
                <w:szCs w:val="20"/>
              </w:rPr>
            </w:pPr>
            <w:r w:rsidRPr="00663020">
              <w:rPr>
                <w:rFonts w:ascii="Arial Narrow" w:hAnsi="Arial Narrow"/>
                <w:sz w:val="20"/>
                <w:szCs w:val="20"/>
              </w:rPr>
              <w:t>$</w:t>
            </w:r>
            <w:r w:rsidR="00C45183">
              <w:rPr>
                <w:rFonts w:ascii="Arial Narrow" w:hAnsi="Arial Narrow"/>
                <w:noProof/>
                <w:color w:val="000000"/>
                <w:sz w:val="20"/>
                <w:szCs w:val="20"/>
                <w:highlight w:val="black"/>
              </w:rPr>
              <w:t>''''''''''''''''''''''</w:t>
            </w:r>
          </w:p>
        </w:tc>
        <w:tc>
          <w:tcPr>
            <w:tcW w:w="1090" w:type="dxa"/>
          </w:tcPr>
          <w:p w:rsidR="00AD5CA1" w:rsidRPr="00663020" w:rsidRDefault="00AD5CA1" w:rsidP="00663020">
            <w:pPr>
              <w:pStyle w:val="ListParagraph"/>
              <w:ind w:left="0"/>
              <w:jc w:val="center"/>
              <w:rPr>
                <w:rFonts w:ascii="Arial Narrow" w:hAnsi="Arial Narrow"/>
                <w:sz w:val="20"/>
                <w:szCs w:val="20"/>
              </w:rPr>
            </w:pPr>
            <w:r w:rsidRPr="00663020">
              <w:rPr>
                <w:rFonts w:ascii="Arial Narrow" w:hAnsi="Arial Narrow"/>
                <w:sz w:val="20"/>
                <w:szCs w:val="20"/>
              </w:rPr>
              <w:t>$</w:t>
            </w:r>
            <w:r w:rsidR="00C45183">
              <w:rPr>
                <w:rFonts w:ascii="Arial Narrow" w:hAnsi="Arial Narrow"/>
                <w:noProof/>
                <w:color w:val="000000"/>
                <w:sz w:val="20"/>
                <w:szCs w:val="20"/>
                <w:highlight w:val="black"/>
              </w:rPr>
              <w:t>''''''''''''''''''''''''</w:t>
            </w:r>
          </w:p>
        </w:tc>
        <w:tc>
          <w:tcPr>
            <w:tcW w:w="1090" w:type="dxa"/>
          </w:tcPr>
          <w:p w:rsidR="00AD5CA1" w:rsidRPr="00663020" w:rsidRDefault="00AD5CA1" w:rsidP="00663020">
            <w:pPr>
              <w:pStyle w:val="ListParagraph"/>
              <w:ind w:left="0"/>
              <w:jc w:val="center"/>
              <w:rPr>
                <w:rFonts w:ascii="Arial Narrow" w:hAnsi="Arial Narrow"/>
                <w:sz w:val="20"/>
                <w:szCs w:val="20"/>
              </w:rPr>
            </w:pPr>
            <w:r w:rsidRPr="00663020">
              <w:rPr>
                <w:rFonts w:ascii="Arial Narrow" w:hAnsi="Arial Narrow"/>
                <w:sz w:val="20"/>
                <w:szCs w:val="20"/>
              </w:rPr>
              <w:t>$</w:t>
            </w:r>
            <w:r w:rsidR="00C45183">
              <w:rPr>
                <w:rFonts w:ascii="Arial Narrow" w:hAnsi="Arial Narrow"/>
                <w:noProof/>
                <w:color w:val="000000"/>
                <w:sz w:val="20"/>
                <w:szCs w:val="20"/>
                <w:highlight w:val="black"/>
              </w:rPr>
              <w:t>'''''''''''''''''''''''''</w:t>
            </w:r>
          </w:p>
        </w:tc>
      </w:tr>
    </w:tbl>
    <w:p w:rsidR="00CE2AC4" w:rsidRPr="00663020" w:rsidRDefault="00AD5CA1" w:rsidP="00663020">
      <w:pPr>
        <w:pStyle w:val="ListParagraph"/>
        <w:jc w:val="both"/>
        <w:rPr>
          <w:rFonts w:ascii="Arial Narrow" w:hAnsi="Arial Narrow"/>
          <w:sz w:val="18"/>
          <w:szCs w:val="18"/>
        </w:rPr>
      </w:pPr>
      <w:r>
        <w:rPr>
          <w:rFonts w:ascii="Arial Narrow" w:hAnsi="Arial Narrow"/>
          <w:sz w:val="18"/>
          <w:szCs w:val="18"/>
        </w:rPr>
        <w:t>Source: Submission, pg. 45, Table 19.</w:t>
      </w:r>
    </w:p>
    <w:p w:rsidR="00BA619E" w:rsidRDefault="00BA619E" w:rsidP="00663020">
      <w:pPr>
        <w:pStyle w:val="ListParagraph"/>
        <w:jc w:val="both"/>
        <w:rPr>
          <w:rFonts w:ascii="Arial" w:hAnsi="Arial"/>
          <w:sz w:val="22"/>
          <w:szCs w:val="22"/>
        </w:rPr>
      </w:pPr>
    </w:p>
    <w:p w:rsidR="00F31D10" w:rsidRDefault="000B2E05" w:rsidP="00663020">
      <w:pPr>
        <w:pStyle w:val="ListParagraph"/>
        <w:numPr>
          <w:ilvl w:val="1"/>
          <w:numId w:val="25"/>
        </w:numPr>
        <w:jc w:val="both"/>
        <w:rPr>
          <w:rFonts w:ascii="Arial" w:hAnsi="Arial"/>
          <w:sz w:val="22"/>
          <w:szCs w:val="22"/>
        </w:rPr>
      </w:pPr>
      <w:r>
        <w:rPr>
          <w:rFonts w:ascii="Arial" w:hAnsi="Arial"/>
          <w:sz w:val="22"/>
          <w:szCs w:val="22"/>
        </w:rPr>
        <w:t>T</w:t>
      </w:r>
      <w:r w:rsidRPr="000B2E05">
        <w:rPr>
          <w:rFonts w:ascii="Arial" w:hAnsi="Arial"/>
          <w:sz w:val="22"/>
          <w:szCs w:val="22"/>
        </w:rPr>
        <w:t>he N</w:t>
      </w:r>
      <w:r>
        <w:rPr>
          <w:rFonts w:ascii="Arial" w:hAnsi="Arial"/>
          <w:sz w:val="22"/>
          <w:szCs w:val="22"/>
        </w:rPr>
        <w:t xml:space="preserve">utritional </w:t>
      </w:r>
      <w:r w:rsidRPr="000B2E05">
        <w:rPr>
          <w:rFonts w:ascii="Arial" w:hAnsi="Arial"/>
          <w:sz w:val="22"/>
          <w:szCs w:val="22"/>
        </w:rPr>
        <w:t>P</w:t>
      </w:r>
      <w:r>
        <w:rPr>
          <w:rFonts w:ascii="Arial" w:hAnsi="Arial"/>
          <w:sz w:val="22"/>
          <w:szCs w:val="22"/>
        </w:rPr>
        <w:t xml:space="preserve">roducts </w:t>
      </w:r>
      <w:r w:rsidRPr="000B2E05">
        <w:rPr>
          <w:rFonts w:ascii="Arial" w:hAnsi="Arial"/>
          <w:sz w:val="22"/>
          <w:szCs w:val="22"/>
        </w:rPr>
        <w:t>W</w:t>
      </w:r>
      <w:r>
        <w:rPr>
          <w:rFonts w:ascii="Arial" w:hAnsi="Arial"/>
          <w:sz w:val="22"/>
          <w:szCs w:val="22"/>
        </w:rPr>
        <w:t xml:space="preserve">orking </w:t>
      </w:r>
      <w:r w:rsidRPr="000B2E05">
        <w:rPr>
          <w:rFonts w:ascii="Arial" w:hAnsi="Arial"/>
          <w:sz w:val="22"/>
          <w:szCs w:val="22"/>
        </w:rPr>
        <w:t>P</w:t>
      </w:r>
      <w:r>
        <w:rPr>
          <w:rFonts w:ascii="Arial" w:hAnsi="Arial"/>
          <w:sz w:val="22"/>
          <w:szCs w:val="22"/>
        </w:rPr>
        <w:t>arty (NPWP)</w:t>
      </w:r>
      <w:r w:rsidRPr="000B2E05">
        <w:rPr>
          <w:rFonts w:ascii="Arial" w:hAnsi="Arial"/>
          <w:sz w:val="22"/>
          <w:szCs w:val="22"/>
        </w:rPr>
        <w:t xml:space="preserve"> advised that the submission’s estimates of use and financial estimates particular</w:t>
      </w:r>
      <w:r>
        <w:rPr>
          <w:rFonts w:ascii="Arial" w:hAnsi="Arial"/>
          <w:sz w:val="22"/>
          <w:szCs w:val="22"/>
        </w:rPr>
        <w:t>ly in the chemotherapy setting were significantly underestimated.  The NPWP’s view was that there would be</w:t>
      </w:r>
      <w:r w:rsidRPr="000B2E05">
        <w:rPr>
          <w:rFonts w:ascii="Arial" w:hAnsi="Arial"/>
          <w:sz w:val="22"/>
          <w:szCs w:val="22"/>
        </w:rPr>
        <w:t xml:space="preserve"> a ten-fold difference between the submission’s estimate of use in cancer patients and what is lik</w:t>
      </w:r>
      <w:r>
        <w:rPr>
          <w:rFonts w:ascii="Arial" w:hAnsi="Arial"/>
          <w:sz w:val="22"/>
          <w:szCs w:val="22"/>
        </w:rPr>
        <w:t>ely to be occurring in practice, based on anecdotal evidence and the experience of clinicians on the NPWP</w:t>
      </w:r>
      <w:r w:rsidRPr="000B2E05">
        <w:rPr>
          <w:rFonts w:ascii="Arial" w:hAnsi="Arial"/>
          <w:sz w:val="22"/>
          <w:szCs w:val="22"/>
        </w:rPr>
        <w:t>.</w:t>
      </w:r>
    </w:p>
    <w:p w:rsidR="00F31D10" w:rsidRDefault="00F31D10" w:rsidP="00663020">
      <w:pPr>
        <w:pStyle w:val="ListParagraph"/>
        <w:jc w:val="both"/>
        <w:rPr>
          <w:rFonts w:ascii="Arial" w:hAnsi="Arial"/>
          <w:sz w:val="22"/>
          <w:szCs w:val="22"/>
        </w:rPr>
      </w:pPr>
    </w:p>
    <w:p w:rsidR="004A2861" w:rsidRPr="00663020" w:rsidRDefault="00F31D10" w:rsidP="00663020">
      <w:pPr>
        <w:pStyle w:val="ListParagraph"/>
        <w:numPr>
          <w:ilvl w:val="1"/>
          <w:numId w:val="25"/>
        </w:numPr>
        <w:jc w:val="both"/>
        <w:rPr>
          <w:rFonts w:ascii="Arial" w:hAnsi="Arial"/>
          <w:sz w:val="22"/>
          <w:szCs w:val="22"/>
        </w:rPr>
      </w:pPr>
      <w:r>
        <w:rPr>
          <w:rFonts w:ascii="Arial" w:hAnsi="Arial"/>
          <w:sz w:val="22"/>
          <w:szCs w:val="22"/>
        </w:rPr>
        <w:t>T</w:t>
      </w:r>
      <w:r w:rsidR="004A2861">
        <w:rPr>
          <w:rFonts w:ascii="Arial" w:hAnsi="Arial"/>
          <w:sz w:val="22"/>
          <w:szCs w:val="22"/>
        </w:rPr>
        <w:t>he pre-PBAC response provided further estimates of the potential number of patients who may use Nutrini Peptisorb for cancer related malabsorption.</w:t>
      </w:r>
      <w:r w:rsidR="000B2E05">
        <w:rPr>
          <w:rFonts w:ascii="Arial" w:hAnsi="Arial"/>
          <w:sz w:val="22"/>
          <w:szCs w:val="22"/>
        </w:rPr>
        <w:t xml:space="preserve"> The pre-PBAC response noted that </w:t>
      </w:r>
      <w:r w:rsidR="000B2E05" w:rsidRPr="00663020">
        <w:rPr>
          <w:rFonts w:ascii="Arial" w:hAnsi="Arial"/>
          <w:sz w:val="22"/>
          <w:szCs w:val="22"/>
        </w:rPr>
        <w:t>there are approximately 625 children under 15 years of age in Australia d</w:t>
      </w:r>
      <w:r w:rsidR="000B2E05">
        <w:rPr>
          <w:rFonts w:ascii="Arial" w:hAnsi="Arial"/>
          <w:sz w:val="22"/>
          <w:szCs w:val="22"/>
        </w:rPr>
        <w:t>iagnosed with cancer each year (</w:t>
      </w:r>
      <w:r w:rsidR="000B2E05" w:rsidRPr="00663020">
        <w:rPr>
          <w:rFonts w:ascii="Arial" w:hAnsi="Arial"/>
          <w:sz w:val="22"/>
          <w:szCs w:val="22"/>
        </w:rPr>
        <w:t>Childhood Cancer Institute, 2014</w:t>
      </w:r>
      <w:r w:rsidR="000B2E05">
        <w:rPr>
          <w:rFonts w:ascii="Arial" w:hAnsi="Arial"/>
          <w:sz w:val="22"/>
          <w:szCs w:val="22"/>
        </w:rPr>
        <w:t xml:space="preserve">). </w:t>
      </w:r>
      <w:r w:rsidR="000B2E05" w:rsidRPr="00663020">
        <w:rPr>
          <w:rFonts w:ascii="Arial" w:hAnsi="Arial"/>
          <w:sz w:val="22"/>
          <w:szCs w:val="22"/>
        </w:rPr>
        <w:t xml:space="preserve">Further to this, </w:t>
      </w:r>
      <w:r w:rsidR="000B2E05">
        <w:rPr>
          <w:rFonts w:ascii="Arial" w:hAnsi="Arial"/>
          <w:sz w:val="22"/>
          <w:szCs w:val="22"/>
        </w:rPr>
        <w:t xml:space="preserve">the pre-PBAC response noted that </w:t>
      </w:r>
      <w:r w:rsidR="000B2E05" w:rsidRPr="00663020">
        <w:rPr>
          <w:rFonts w:ascii="Arial" w:hAnsi="Arial"/>
          <w:sz w:val="22"/>
          <w:szCs w:val="22"/>
        </w:rPr>
        <w:t xml:space="preserve">acute lymphoblastic leukemia (ALL) is the most common childhood cancer. </w:t>
      </w:r>
      <w:r w:rsidR="000B2E05">
        <w:rPr>
          <w:rFonts w:ascii="Arial" w:hAnsi="Arial"/>
          <w:sz w:val="22"/>
          <w:szCs w:val="22"/>
        </w:rPr>
        <w:t>The pre-PBAC response claimed that e</w:t>
      </w:r>
      <w:r w:rsidR="000B2E05" w:rsidRPr="00663020">
        <w:rPr>
          <w:rFonts w:ascii="Arial" w:hAnsi="Arial"/>
          <w:sz w:val="22"/>
          <w:szCs w:val="22"/>
        </w:rPr>
        <w:t>ach year in Australia, over 300 people are diagnosed with ALL and 60% of all ca</w:t>
      </w:r>
      <w:r w:rsidR="000B2E05">
        <w:rPr>
          <w:rFonts w:ascii="Arial" w:hAnsi="Arial"/>
          <w:sz w:val="22"/>
          <w:szCs w:val="22"/>
        </w:rPr>
        <w:t>ses are children 0 – 14 years (</w:t>
      </w:r>
      <w:r w:rsidR="000B2E05" w:rsidRPr="00663020">
        <w:rPr>
          <w:rFonts w:ascii="Arial" w:hAnsi="Arial"/>
          <w:sz w:val="22"/>
          <w:szCs w:val="22"/>
        </w:rPr>
        <w:t>L</w:t>
      </w:r>
      <w:r w:rsidR="000B2E05">
        <w:rPr>
          <w:rFonts w:ascii="Arial" w:hAnsi="Arial"/>
          <w:sz w:val="22"/>
          <w:szCs w:val="22"/>
        </w:rPr>
        <w:t>eukaemia Foundation, Australia).</w:t>
      </w:r>
      <w:r w:rsidR="000B2E05" w:rsidRPr="00663020">
        <w:rPr>
          <w:rFonts w:ascii="Arial" w:hAnsi="Arial"/>
          <w:sz w:val="22"/>
          <w:szCs w:val="22"/>
        </w:rPr>
        <w:t xml:space="preserve"> </w:t>
      </w:r>
      <w:r w:rsidR="000B2E05">
        <w:rPr>
          <w:rFonts w:ascii="Arial" w:hAnsi="Arial"/>
          <w:sz w:val="22"/>
          <w:szCs w:val="22"/>
        </w:rPr>
        <w:t>T</w:t>
      </w:r>
      <w:r w:rsidR="000B2E05" w:rsidRPr="00663020">
        <w:rPr>
          <w:rFonts w:ascii="Arial" w:hAnsi="Arial"/>
          <w:sz w:val="22"/>
          <w:szCs w:val="22"/>
        </w:rPr>
        <w:t xml:space="preserve">his would equate to 180 children diagnosed with ALL each year. Of </w:t>
      </w:r>
      <w:r w:rsidR="001E0CA2">
        <w:rPr>
          <w:rFonts w:ascii="Arial" w:hAnsi="Arial"/>
          <w:sz w:val="22"/>
          <w:szCs w:val="22"/>
        </w:rPr>
        <w:t>these</w:t>
      </w:r>
      <w:r w:rsidR="000B2E05" w:rsidRPr="00663020">
        <w:rPr>
          <w:rFonts w:ascii="Arial" w:hAnsi="Arial"/>
          <w:sz w:val="22"/>
          <w:szCs w:val="22"/>
        </w:rPr>
        <w:t xml:space="preserve">, about less than half of this number (i.e. &lt;90) could be estimated to be children 1 – 6 years of age and hence potentially requiring the use of Nutrini Peptisorb (Nutrini Peptisorb is indicated for ages 1 – 6 years). </w:t>
      </w:r>
      <w:r w:rsidR="000B2E05">
        <w:rPr>
          <w:rFonts w:ascii="Arial" w:hAnsi="Arial"/>
          <w:sz w:val="22"/>
          <w:szCs w:val="22"/>
        </w:rPr>
        <w:t>The pre-PBAC response claimed that t</w:t>
      </w:r>
      <w:r w:rsidR="000B2E05" w:rsidRPr="00663020">
        <w:rPr>
          <w:rFonts w:ascii="Arial" w:hAnsi="Arial"/>
          <w:sz w:val="22"/>
          <w:szCs w:val="22"/>
        </w:rPr>
        <w:t>he number of patients reported by the Australian Bone Marrow Transplant Recipient Registry receiving a bone marrow transplant over a year is 117 childr</w:t>
      </w:r>
      <w:r w:rsidR="000B2E05">
        <w:rPr>
          <w:rFonts w:ascii="Arial" w:hAnsi="Arial"/>
          <w:sz w:val="22"/>
          <w:szCs w:val="22"/>
        </w:rPr>
        <w:t>en between the ages of 0 to 15 (Leukemia Foundation, 2008)</w:t>
      </w:r>
      <w:r w:rsidR="000B2E05" w:rsidRPr="00663020">
        <w:rPr>
          <w:rFonts w:ascii="Arial" w:hAnsi="Arial"/>
          <w:sz w:val="22"/>
          <w:szCs w:val="22"/>
        </w:rPr>
        <w:t>. Hence, the potential number of patients that would be suited in age to use Nutrini Peptisorb (for 1- 6 years only) could be estimated to be less than half this patient number of 117 (i.e. &lt;60 per year who would be undergoing bone marrow transplant treatment between ages of 1 – 6 years hence potentially requiring the use of Nutrini Peptisorb due to impaired gastrointestinal absorption).</w:t>
      </w:r>
    </w:p>
    <w:p w:rsidR="004A2861" w:rsidRDefault="004A2861" w:rsidP="00663020">
      <w:pPr>
        <w:pStyle w:val="ListParagraph"/>
        <w:jc w:val="both"/>
        <w:rPr>
          <w:rFonts w:ascii="Arial" w:hAnsi="Arial"/>
          <w:sz w:val="22"/>
          <w:szCs w:val="22"/>
        </w:rPr>
      </w:pPr>
    </w:p>
    <w:p w:rsidR="004A2861" w:rsidRDefault="004A2861" w:rsidP="00BA619E">
      <w:pPr>
        <w:jc w:val="both"/>
        <w:rPr>
          <w:rFonts w:ascii="Arial" w:hAnsi="Arial"/>
          <w:sz w:val="22"/>
          <w:szCs w:val="22"/>
        </w:rPr>
      </w:pPr>
      <w:r>
        <w:rPr>
          <w:rFonts w:ascii="Arial" w:hAnsi="Arial"/>
          <w:sz w:val="22"/>
          <w:szCs w:val="22"/>
        </w:rPr>
        <w:tab/>
      </w:r>
      <w:r w:rsidRPr="004A2861">
        <w:rPr>
          <w:rFonts w:ascii="Arial" w:hAnsi="Arial"/>
          <w:i/>
          <w:sz w:val="22"/>
          <w:szCs w:val="22"/>
        </w:rPr>
        <w:t>For more detail on PBAC’s view, see section 7 “PBAC outcome”</w:t>
      </w:r>
      <w:r w:rsidR="00F51AA3">
        <w:rPr>
          <w:rFonts w:ascii="Arial" w:hAnsi="Arial"/>
          <w:i/>
          <w:sz w:val="22"/>
          <w:szCs w:val="22"/>
        </w:rPr>
        <w:t>.</w:t>
      </w:r>
    </w:p>
    <w:p w:rsidR="004A2861" w:rsidRDefault="004A2861" w:rsidP="00BA619E">
      <w:pPr>
        <w:jc w:val="both"/>
        <w:rPr>
          <w:rFonts w:ascii="Arial" w:hAnsi="Arial"/>
          <w:sz w:val="22"/>
          <w:szCs w:val="22"/>
        </w:rPr>
      </w:pPr>
    </w:p>
    <w:p w:rsidR="000B2E05" w:rsidRDefault="000B2E05" w:rsidP="00BA619E">
      <w:pPr>
        <w:jc w:val="both"/>
        <w:rPr>
          <w:rFonts w:ascii="Arial" w:hAnsi="Arial"/>
          <w:sz w:val="22"/>
          <w:szCs w:val="22"/>
        </w:rPr>
      </w:pPr>
    </w:p>
    <w:p w:rsidR="0041616F" w:rsidRPr="00B4253A" w:rsidRDefault="0041616F" w:rsidP="00470BDF">
      <w:pPr>
        <w:pStyle w:val="PBACHeading1"/>
      </w:pPr>
      <w:r w:rsidRPr="00B4253A">
        <w:t>PBAC Outcome</w:t>
      </w:r>
    </w:p>
    <w:p w:rsidR="0041616F" w:rsidRDefault="0041616F" w:rsidP="00BA619E">
      <w:pPr>
        <w:jc w:val="both"/>
        <w:rPr>
          <w:rFonts w:ascii="Arial" w:hAnsi="Arial"/>
          <w:sz w:val="22"/>
          <w:szCs w:val="22"/>
        </w:rPr>
      </w:pPr>
    </w:p>
    <w:p w:rsidR="0041616F" w:rsidRPr="00663020" w:rsidRDefault="0041616F">
      <w:pPr>
        <w:pStyle w:val="ListParagraph"/>
        <w:numPr>
          <w:ilvl w:val="1"/>
          <w:numId w:val="25"/>
        </w:numPr>
        <w:jc w:val="both"/>
        <w:rPr>
          <w:rFonts w:ascii="Arial" w:hAnsi="Arial"/>
          <w:sz w:val="22"/>
          <w:szCs w:val="22"/>
        </w:rPr>
      </w:pPr>
      <w:r>
        <w:rPr>
          <w:rFonts w:ascii="Arial" w:hAnsi="Arial"/>
          <w:sz w:val="22"/>
          <w:szCs w:val="22"/>
        </w:rPr>
        <w:t xml:space="preserve">The PBAC recommended listing Nutrini Peptisorb as </w:t>
      </w:r>
      <w:r w:rsidR="00170FF6">
        <w:rPr>
          <w:rFonts w:ascii="Arial" w:hAnsi="Arial"/>
          <w:sz w:val="22"/>
          <w:szCs w:val="22"/>
        </w:rPr>
        <w:t xml:space="preserve">a </w:t>
      </w:r>
      <w:r>
        <w:rPr>
          <w:rFonts w:ascii="Arial" w:hAnsi="Arial"/>
          <w:sz w:val="22"/>
          <w:szCs w:val="22"/>
        </w:rPr>
        <w:t xml:space="preserve">Restricted Benefit </w:t>
      </w:r>
      <w:r w:rsidRPr="00273376">
        <w:rPr>
          <w:rFonts w:ascii="Arial" w:hAnsi="Arial"/>
          <w:sz w:val="22"/>
          <w:szCs w:val="22"/>
        </w:rPr>
        <w:t xml:space="preserve">for the dietary management of conditions requiring a source of medium chain </w:t>
      </w:r>
      <w:r w:rsidR="00E1494C" w:rsidRPr="00273376">
        <w:rPr>
          <w:rFonts w:ascii="Arial" w:hAnsi="Arial"/>
          <w:sz w:val="22"/>
          <w:szCs w:val="22"/>
        </w:rPr>
        <w:t>triglycerides</w:t>
      </w:r>
      <w:r w:rsidRPr="00273376">
        <w:rPr>
          <w:rFonts w:ascii="Arial" w:hAnsi="Arial"/>
          <w:sz w:val="22"/>
          <w:szCs w:val="22"/>
        </w:rPr>
        <w:t xml:space="preserve"> </w:t>
      </w:r>
      <w:r w:rsidR="00626484">
        <w:rPr>
          <w:rFonts w:ascii="Arial" w:hAnsi="Arial"/>
          <w:sz w:val="22"/>
          <w:szCs w:val="22"/>
        </w:rPr>
        <w:t>involving</w:t>
      </w:r>
      <w:r w:rsidRPr="00273376">
        <w:rPr>
          <w:rFonts w:ascii="Arial" w:hAnsi="Arial"/>
          <w:sz w:val="22"/>
          <w:szCs w:val="22"/>
        </w:rPr>
        <w:t xml:space="preserve"> fat malabsorption due to liver disease, short gut syndrome, cystic fibrosis</w:t>
      </w:r>
      <w:r w:rsidR="00626484">
        <w:rPr>
          <w:rFonts w:ascii="Arial" w:hAnsi="Arial"/>
          <w:sz w:val="22"/>
          <w:szCs w:val="22"/>
        </w:rPr>
        <w:t xml:space="preserve"> and</w:t>
      </w:r>
      <w:r w:rsidRPr="00273376">
        <w:rPr>
          <w:rFonts w:ascii="Arial" w:hAnsi="Arial"/>
          <w:sz w:val="22"/>
          <w:szCs w:val="22"/>
        </w:rPr>
        <w:t xml:space="preserve"> gastrointestinal disorders</w:t>
      </w:r>
      <w:r>
        <w:rPr>
          <w:rFonts w:ascii="Arial" w:hAnsi="Arial"/>
          <w:sz w:val="22"/>
          <w:szCs w:val="22"/>
        </w:rPr>
        <w:t xml:space="preserve"> on a cost-minimisation basis against Peptamen Junior with the same price per gram of energy equivalen</w:t>
      </w:r>
      <w:r w:rsidR="00626484">
        <w:rPr>
          <w:rFonts w:ascii="Arial" w:hAnsi="Arial"/>
          <w:sz w:val="22"/>
          <w:szCs w:val="22"/>
        </w:rPr>
        <w:t>ce between Nutrini Pep</w:t>
      </w:r>
      <w:r w:rsidR="00E1494C">
        <w:rPr>
          <w:rFonts w:ascii="Arial" w:hAnsi="Arial"/>
          <w:sz w:val="22"/>
          <w:szCs w:val="22"/>
        </w:rPr>
        <w:t>t</w:t>
      </w:r>
      <w:r w:rsidR="00626484">
        <w:rPr>
          <w:rFonts w:ascii="Arial" w:hAnsi="Arial"/>
          <w:sz w:val="22"/>
          <w:szCs w:val="22"/>
        </w:rPr>
        <w:t xml:space="preserve">isorb and Pepatmen Junior. </w:t>
      </w:r>
    </w:p>
    <w:p w:rsidR="0041616F" w:rsidRDefault="0041616F" w:rsidP="0041616F">
      <w:pPr>
        <w:pStyle w:val="ListParagraph"/>
        <w:jc w:val="both"/>
        <w:rPr>
          <w:rFonts w:ascii="Arial" w:hAnsi="Arial"/>
          <w:sz w:val="22"/>
          <w:szCs w:val="22"/>
        </w:rPr>
      </w:pPr>
    </w:p>
    <w:p w:rsidR="0041616F" w:rsidRDefault="0041616F" w:rsidP="0041616F">
      <w:pPr>
        <w:pStyle w:val="ListParagraph"/>
        <w:numPr>
          <w:ilvl w:val="1"/>
          <w:numId w:val="25"/>
        </w:numPr>
        <w:jc w:val="both"/>
        <w:rPr>
          <w:rFonts w:ascii="Arial" w:hAnsi="Arial"/>
          <w:sz w:val="22"/>
          <w:szCs w:val="22"/>
        </w:rPr>
      </w:pPr>
      <w:r>
        <w:rPr>
          <w:rFonts w:ascii="Arial" w:hAnsi="Arial"/>
          <w:sz w:val="22"/>
          <w:szCs w:val="22"/>
        </w:rPr>
        <w:lastRenderedPageBreak/>
        <w:t xml:space="preserve">The PBAC noted </w:t>
      </w:r>
      <w:r w:rsidR="00626484">
        <w:rPr>
          <w:rFonts w:ascii="Arial" w:hAnsi="Arial"/>
          <w:sz w:val="22"/>
          <w:szCs w:val="22"/>
        </w:rPr>
        <w:t>advice from</w:t>
      </w:r>
      <w:r>
        <w:rPr>
          <w:rFonts w:ascii="Arial" w:hAnsi="Arial"/>
          <w:sz w:val="22"/>
          <w:szCs w:val="22"/>
        </w:rPr>
        <w:t xml:space="preserve"> the Nutritional Products Working Party (NPWP) </w:t>
      </w:r>
      <w:r w:rsidR="00626484">
        <w:rPr>
          <w:rFonts w:ascii="Arial" w:hAnsi="Arial"/>
          <w:sz w:val="22"/>
          <w:szCs w:val="22"/>
        </w:rPr>
        <w:t>that it supported listing</w:t>
      </w:r>
      <w:r>
        <w:rPr>
          <w:rFonts w:ascii="Arial" w:hAnsi="Arial"/>
          <w:sz w:val="22"/>
          <w:szCs w:val="22"/>
        </w:rPr>
        <w:t xml:space="preserve"> Nutrini Peptisorb on the PBS</w:t>
      </w:r>
      <w:r w:rsidR="00626484">
        <w:rPr>
          <w:rFonts w:ascii="Arial" w:hAnsi="Arial"/>
          <w:sz w:val="22"/>
          <w:szCs w:val="22"/>
        </w:rPr>
        <w:t xml:space="preserve"> for all the requested indications</w:t>
      </w:r>
      <w:r>
        <w:rPr>
          <w:rFonts w:ascii="Arial" w:hAnsi="Arial"/>
          <w:sz w:val="22"/>
          <w:szCs w:val="22"/>
        </w:rPr>
        <w:t>.</w:t>
      </w:r>
    </w:p>
    <w:p w:rsidR="0041616F" w:rsidRPr="0082619B" w:rsidRDefault="0041616F" w:rsidP="0082619B">
      <w:pPr>
        <w:pStyle w:val="ListParagraph"/>
        <w:rPr>
          <w:rFonts w:ascii="Arial" w:hAnsi="Arial"/>
          <w:sz w:val="22"/>
          <w:szCs w:val="22"/>
        </w:rPr>
      </w:pPr>
    </w:p>
    <w:p w:rsidR="00F6231C" w:rsidRPr="00F51AA3" w:rsidRDefault="00390FD3" w:rsidP="00F51AA3">
      <w:pPr>
        <w:pStyle w:val="ListParagraph"/>
        <w:numPr>
          <w:ilvl w:val="1"/>
          <w:numId w:val="25"/>
        </w:numPr>
        <w:jc w:val="both"/>
        <w:rPr>
          <w:rFonts w:ascii="Arial" w:hAnsi="Arial"/>
          <w:sz w:val="22"/>
          <w:szCs w:val="22"/>
        </w:rPr>
      </w:pPr>
      <w:r>
        <w:rPr>
          <w:rFonts w:ascii="Arial" w:hAnsi="Arial"/>
          <w:sz w:val="22"/>
          <w:szCs w:val="22"/>
        </w:rPr>
        <w:t>However, with respect to</w:t>
      </w:r>
      <w:r w:rsidR="0082619B" w:rsidRPr="005F0AA1">
        <w:rPr>
          <w:rFonts w:ascii="Arial" w:hAnsi="Arial"/>
          <w:sz w:val="22"/>
          <w:szCs w:val="22"/>
        </w:rPr>
        <w:t xml:space="preserve"> the additional indications sought for this product in paediatric </w:t>
      </w:r>
      <w:r w:rsidR="00F6231C">
        <w:rPr>
          <w:rFonts w:ascii="Arial" w:hAnsi="Arial"/>
          <w:sz w:val="22"/>
          <w:szCs w:val="22"/>
        </w:rPr>
        <w:t>cancer</w:t>
      </w:r>
      <w:r w:rsidR="0082619B" w:rsidRPr="005F0AA1">
        <w:rPr>
          <w:rFonts w:ascii="Arial" w:hAnsi="Arial"/>
          <w:sz w:val="22"/>
          <w:szCs w:val="22"/>
        </w:rPr>
        <w:t xml:space="preserve"> patients</w:t>
      </w:r>
      <w:r>
        <w:rPr>
          <w:rFonts w:ascii="Arial" w:hAnsi="Arial"/>
          <w:sz w:val="22"/>
          <w:szCs w:val="22"/>
        </w:rPr>
        <w:t>,</w:t>
      </w:r>
      <w:r w:rsidR="0082619B" w:rsidRPr="005F0AA1">
        <w:rPr>
          <w:rFonts w:ascii="Arial" w:hAnsi="Arial"/>
          <w:sz w:val="22"/>
          <w:szCs w:val="22"/>
        </w:rPr>
        <w:t xml:space="preserve"> </w:t>
      </w:r>
      <w:r>
        <w:rPr>
          <w:rFonts w:ascii="Arial" w:hAnsi="Arial"/>
          <w:sz w:val="22"/>
          <w:szCs w:val="22"/>
        </w:rPr>
        <w:t>t</w:t>
      </w:r>
      <w:r w:rsidR="00F86480">
        <w:rPr>
          <w:rFonts w:ascii="Arial" w:hAnsi="Arial"/>
          <w:sz w:val="22"/>
          <w:szCs w:val="22"/>
        </w:rPr>
        <w:t xml:space="preserve">he PBAC </w:t>
      </w:r>
      <w:r>
        <w:rPr>
          <w:rFonts w:ascii="Arial" w:hAnsi="Arial"/>
          <w:sz w:val="22"/>
          <w:szCs w:val="22"/>
        </w:rPr>
        <w:t>held concerns that</w:t>
      </w:r>
      <w:r w:rsidR="00F86480">
        <w:rPr>
          <w:rFonts w:ascii="Arial" w:hAnsi="Arial"/>
          <w:sz w:val="22"/>
          <w:szCs w:val="22"/>
        </w:rPr>
        <w:t xml:space="preserve"> the</w:t>
      </w:r>
      <w:r w:rsidR="0082619B" w:rsidRPr="005F0AA1">
        <w:rPr>
          <w:rFonts w:ascii="Arial" w:hAnsi="Arial"/>
          <w:sz w:val="22"/>
          <w:szCs w:val="22"/>
        </w:rPr>
        <w:t xml:space="preserve"> submission’s estimates of use and financial implications to the PBS were likely to be significantly underestimated in this pa</w:t>
      </w:r>
      <w:r w:rsidR="0082619B" w:rsidRPr="00215F2E">
        <w:rPr>
          <w:rFonts w:ascii="Arial" w:hAnsi="Arial"/>
          <w:sz w:val="22"/>
          <w:szCs w:val="22"/>
        </w:rPr>
        <w:t>tient population.</w:t>
      </w:r>
      <w:r w:rsidR="00963A5A" w:rsidRPr="00215F2E">
        <w:rPr>
          <w:rFonts w:ascii="Arial" w:hAnsi="Arial"/>
          <w:sz w:val="22"/>
          <w:szCs w:val="22"/>
        </w:rPr>
        <w:t xml:space="preserve"> </w:t>
      </w:r>
      <w:r>
        <w:rPr>
          <w:rFonts w:ascii="Arial" w:hAnsi="Arial"/>
          <w:sz w:val="22"/>
          <w:szCs w:val="22"/>
        </w:rPr>
        <w:t xml:space="preserve">Additionally, the PBAC was also concerned that listing for this patient population </w:t>
      </w:r>
      <w:r w:rsidR="00F51AA3">
        <w:rPr>
          <w:rFonts w:ascii="Arial" w:hAnsi="Arial"/>
          <w:sz w:val="22"/>
          <w:szCs w:val="22"/>
        </w:rPr>
        <w:t>would create a risk of inappropriate use in a patient population which did not necessarily have fat malabsorption, which in turn could contribute to an increase in obesity in children. The PBAC noted that submissions seeking the addition of a new indication/s on the PBS would usually require a major submission.</w:t>
      </w:r>
    </w:p>
    <w:p w:rsidR="00484D8F" w:rsidRDefault="00484D8F" w:rsidP="00663020">
      <w:pPr>
        <w:pStyle w:val="ListParagraph"/>
        <w:jc w:val="both"/>
        <w:rPr>
          <w:rFonts w:ascii="Arial" w:hAnsi="Arial"/>
          <w:sz w:val="22"/>
          <w:szCs w:val="22"/>
        </w:rPr>
      </w:pPr>
    </w:p>
    <w:p w:rsidR="00484D8F" w:rsidRPr="00663020" w:rsidRDefault="00484D8F" w:rsidP="00484D8F">
      <w:pPr>
        <w:pStyle w:val="ListParagraph"/>
        <w:numPr>
          <w:ilvl w:val="1"/>
          <w:numId w:val="25"/>
        </w:numPr>
        <w:jc w:val="both"/>
        <w:rPr>
          <w:rFonts w:ascii="Arial" w:hAnsi="Arial"/>
          <w:sz w:val="22"/>
          <w:szCs w:val="22"/>
          <w:u w:val="single"/>
        </w:rPr>
      </w:pPr>
      <w:r w:rsidRPr="00663020">
        <w:rPr>
          <w:rFonts w:ascii="Arial" w:hAnsi="Arial"/>
          <w:sz w:val="22"/>
          <w:szCs w:val="22"/>
          <w:u w:val="single"/>
        </w:rPr>
        <w:t>Advice to the Minister under subsection 101(3BA) of the Act</w:t>
      </w:r>
    </w:p>
    <w:p w:rsidR="00484D8F" w:rsidRPr="00663020" w:rsidRDefault="00484D8F" w:rsidP="00663020">
      <w:pPr>
        <w:pStyle w:val="ListParagraph"/>
        <w:jc w:val="both"/>
        <w:rPr>
          <w:rFonts w:ascii="Arial" w:hAnsi="Arial"/>
          <w:sz w:val="22"/>
          <w:szCs w:val="22"/>
        </w:rPr>
      </w:pPr>
      <w:r w:rsidRPr="00484D8F">
        <w:rPr>
          <w:rFonts w:ascii="Arial" w:hAnsi="Arial"/>
          <w:sz w:val="22"/>
          <w:szCs w:val="22"/>
        </w:rPr>
        <w:t xml:space="preserve">In accordance with subsection 101(3BA) of the Act the PBAC advised that it is of the opinion that, on the basis if the material available to it at its March 2015 meeting, </w:t>
      </w:r>
      <w:r>
        <w:rPr>
          <w:rFonts w:ascii="Arial" w:hAnsi="Arial"/>
          <w:sz w:val="22"/>
          <w:szCs w:val="22"/>
        </w:rPr>
        <w:t>triglycerides medium chain formula</w:t>
      </w:r>
      <w:r w:rsidRPr="00484D8F">
        <w:rPr>
          <w:rFonts w:ascii="Arial" w:hAnsi="Arial"/>
          <w:sz w:val="22"/>
          <w:szCs w:val="22"/>
        </w:rPr>
        <w:t xml:space="preserve"> should not be treated as interchangeable on an individual patient basis with any other </w:t>
      </w:r>
      <w:r w:rsidR="00F51AA3">
        <w:rPr>
          <w:rFonts w:ascii="Arial" w:hAnsi="Arial"/>
          <w:sz w:val="22"/>
          <w:szCs w:val="22"/>
        </w:rPr>
        <w:t>nutritional products</w:t>
      </w:r>
      <w:r>
        <w:rPr>
          <w:rFonts w:ascii="Arial" w:hAnsi="Arial"/>
          <w:sz w:val="22"/>
          <w:szCs w:val="22"/>
        </w:rPr>
        <w:t>.</w:t>
      </w:r>
    </w:p>
    <w:p w:rsidR="005F0AA1" w:rsidRPr="005F0AA1" w:rsidRDefault="005F0AA1" w:rsidP="005F0AA1">
      <w:pPr>
        <w:jc w:val="both"/>
        <w:rPr>
          <w:rFonts w:ascii="Arial" w:hAnsi="Arial"/>
          <w:sz w:val="22"/>
          <w:szCs w:val="22"/>
        </w:rPr>
      </w:pPr>
    </w:p>
    <w:p w:rsidR="0041616F" w:rsidRDefault="005F0AA1" w:rsidP="005F0AA1">
      <w:pPr>
        <w:pStyle w:val="ListParagraph"/>
        <w:numPr>
          <w:ilvl w:val="1"/>
          <w:numId w:val="25"/>
        </w:numPr>
        <w:jc w:val="both"/>
        <w:rPr>
          <w:rFonts w:ascii="Arial" w:hAnsi="Arial"/>
          <w:sz w:val="22"/>
          <w:szCs w:val="22"/>
        </w:rPr>
      </w:pPr>
      <w:r>
        <w:rPr>
          <w:rFonts w:ascii="Arial" w:hAnsi="Arial"/>
          <w:sz w:val="22"/>
          <w:szCs w:val="22"/>
        </w:rPr>
        <w:t>The PBAC recommended that</w:t>
      </w:r>
      <w:r w:rsidR="00215F2E">
        <w:rPr>
          <w:rFonts w:ascii="Arial" w:hAnsi="Arial"/>
          <w:sz w:val="22"/>
          <w:szCs w:val="22"/>
        </w:rPr>
        <w:t xml:space="preserve"> Nutrini Peptisorb is suitable for inclusion in the PBS medicines for prescribing by nurse practitioners within collaborative arrangements.</w:t>
      </w:r>
    </w:p>
    <w:p w:rsidR="00215F2E" w:rsidRPr="00215F2E" w:rsidRDefault="00215F2E" w:rsidP="00215F2E">
      <w:pPr>
        <w:pStyle w:val="ListParagraph"/>
        <w:rPr>
          <w:rFonts w:ascii="Arial" w:hAnsi="Arial"/>
          <w:sz w:val="22"/>
          <w:szCs w:val="22"/>
        </w:rPr>
      </w:pPr>
    </w:p>
    <w:p w:rsidR="00215F2E" w:rsidRPr="00215F2E" w:rsidRDefault="00215F2E" w:rsidP="00215F2E">
      <w:pPr>
        <w:pStyle w:val="ListParagraph"/>
        <w:numPr>
          <w:ilvl w:val="1"/>
          <w:numId w:val="25"/>
        </w:numPr>
        <w:jc w:val="both"/>
        <w:rPr>
          <w:rFonts w:ascii="Arial" w:hAnsi="Arial"/>
          <w:sz w:val="22"/>
          <w:szCs w:val="22"/>
        </w:rPr>
      </w:pPr>
      <w:r>
        <w:rPr>
          <w:rFonts w:ascii="Arial" w:hAnsi="Arial"/>
          <w:sz w:val="22"/>
          <w:szCs w:val="22"/>
        </w:rPr>
        <w:t>The PBAC recommended that the Safety Net 20 Day Rule should not apply as it has been the PBAC’s view that general nutrients be exempt.</w:t>
      </w:r>
    </w:p>
    <w:p w:rsidR="00215F2E" w:rsidRDefault="00215F2E" w:rsidP="00BA619E">
      <w:pPr>
        <w:jc w:val="both"/>
        <w:rPr>
          <w:rFonts w:ascii="Arial" w:hAnsi="Arial"/>
          <w:sz w:val="22"/>
          <w:szCs w:val="22"/>
        </w:rPr>
      </w:pPr>
    </w:p>
    <w:p w:rsidR="00215F2E" w:rsidRDefault="00215F2E" w:rsidP="00BA619E">
      <w:pPr>
        <w:jc w:val="both"/>
        <w:rPr>
          <w:rFonts w:ascii="Arial" w:hAnsi="Arial"/>
          <w:sz w:val="22"/>
          <w:szCs w:val="22"/>
        </w:rPr>
      </w:pPr>
    </w:p>
    <w:p w:rsidR="00215F2E" w:rsidRPr="00215F2E" w:rsidRDefault="00215F2E" w:rsidP="00BA619E">
      <w:pPr>
        <w:jc w:val="both"/>
        <w:rPr>
          <w:rFonts w:ascii="Arial" w:hAnsi="Arial"/>
          <w:b/>
          <w:sz w:val="22"/>
          <w:szCs w:val="22"/>
        </w:rPr>
      </w:pPr>
      <w:r w:rsidRPr="00215F2E">
        <w:rPr>
          <w:rFonts w:ascii="Arial" w:hAnsi="Arial"/>
          <w:b/>
          <w:sz w:val="22"/>
          <w:szCs w:val="22"/>
        </w:rPr>
        <w:t>Outcome:</w:t>
      </w:r>
    </w:p>
    <w:p w:rsidR="00215F2E" w:rsidRDefault="00215F2E" w:rsidP="00BA619E">
      <w:pPr>
        <w:jc w:val="both"/>
        <w:rPr>
          <w:rFonts w:ascii="Arial" w:hAnsi="Arial"/>
          <w:sz w:val="22"/>
          <w:szCs w:val="22"/>
        </w:rPr>
      </w:pPr>
      <w:r>
        <w:rPr>
          <w:rFonts w:ascii="Arial" w:hAnsi="Arial"/>
          <w:sz w:val="22"/>
          <w:szCs w:val="22"/>
        </w:rPr>
        <w:t xml:space="preserve">Recommended </w:t>
      </w:r>
    </w:p>
    <w:p w:rsidR="0041616F" w:rsidRDefault="0041616F" w:rsidP="00BA619E">
      <w:pPr>
        <w:jc w:val="both"/>
        <w:rPr>
          <w:rFonts w:ascii="Arial" w:hAnsi="Arial"/>
          <w:sz w:val="22"/>
          <w:szCs w:val="22"/>
        </w:rPr>
      </w:pPr>
    </w:p>
    <w:p w:rsidR="0041616F" w:rsidRDefault="0041616F" w:rsidP="00BA619E">
      <w:pPr>
        <w:jc w:val="both"/>
        <w:rPr>
          <w:rFonts w:ascii="Arial" w:hAnsi="Arial"/>
          <w:sz w:val="22"/>
          <w:szCs w:val="22"/>
        </w:rPr>
      </w:pPr>
    </w:p>
    <w:p w:rsidR="0041616F" w:rsidRDefault="0041616F" w:rsidP="00BA619E">
      <w:pPr>
        <w:jc w:val="both"/>
        <w:rPr>
          <w:rFonts w:ascii="Arial" w:hAnsi="Arial"/>
          <w:sz w:val="22"/>
          <w:szCs w:val="22"/>
        </w:rPr>
      </w:pPr>
    </w:p>
    <w:p w:rsidR="00215F2E" w:rsidRPr="00B170DE" w:rsidRDefault="00215F2E" w:rsidP="00470BDF">
      <w:pPr>
        <w:pStyle w:val="PBACHeading1"/>
      </w:pPr>
      <w:r w:rsidRPr="00B170DE">
        <w:t>Recommended listing</w:t>
      </w:r>
    </w:p>
    <w:p w:rsidR="00215F2E" w:rsidRPr="00C45183" w:rsidRDefault="00215F2E" w:rsidP="00215F2E">
      <w:pPr>
        <w:jc w:val="both"/>
        <w:rPr>
          <w:rFonts w:ascii="Arial" w:hAnsi="Arial" w:cs="Arial"/>
          <w:sz w:val="22"/>
          <w:szCs w:val="22"/>
        </w:rPr>
      </w:pPr>
    </w:p>
    <w:p w:rsidR="00215F2E" w:rsidRPr="00CB3C6C" w:rsidRDefault="00215F2E" w:rsidP="00215F2E">
      <w:pPr>
        <w:pStyle w:val="ListParagraph"/>
        <w:numPr>
          <w:ilvl w:val="1"/>
          <w:numId w:val="25"/>
        </w:numPr>
        <w:jc w:val="both"/>
        <w:rPr>
          <w:rFonts w:ascii="Arial" w:hAnsi="Arial" w:cs="Arial"/>
          <w:i/>
          <w:sz w:val="22"/>
          <w:szCs w:val="22"/>
        </w:rPr>
      </w:pPr>
      <w:r>
        <w:rPr>
          <w:rFonts w:ascii="Arial" w:hAnsi="Arial" w:cs="Arial"/>
          <w:sz w:val="22"/>
          <w:szCs w:val="22"/>
        </w:rPr>
        <w:t>Add new item</w:t>
      </w:r>
      <w:r w:rsidR="00F72692">
        <w:rPr>
          <w:rFonts w:ascii="Arial" w:hAnsi="Arial" w:cs="Arial"/>
          <w:sz w:val="22"/>
          <w:szCs w:val="22"/>
        </w:rPr>
        <w:t>s</w:t>
      </w:r>
      <w:r>
        <w:rPr>
          <w:rFonts w:ascii="Arial" w:hAnsi="Arial" w:cs="Arial"/>
          <w:sz w:val="22"/>
          <w:szCs w:val="22"/>
        </w:rPr>
        <w:t xml:space="preserve">: </w:t>
      </w:r>
    </w:p>
    <w:p w:rsidR="0041616F" w:rsidRDefault="0041616F" w:rsidP="00BA619E">
      <w:pPr>
        <w:jc w:val="both"/>
        <w:rPr>
          <w:rFonts w:ascii="Arial" w:hAnsi="Arial"/>
          <w:sz w:val="22"/>
          <w:szCs w:val="22"/>
        </w:rPr>
      </w:pPr>
    </w:p>
    <w:p w:rsidR="00215F2E" w:rsidRPr="00263CB8" w:rsidRDefault="00215F2E" w:rsidP="00215F2E">
      <w:pPr>
        <w:jc w:val="both"/>
        <w:rPr>
          <w:rFonts w:ascii="Arial" w:hAnsi="Arial" w:cs="Arial"/>
          <w:i/>
          <w:sz w:val="22"/>
          <w:szCs w:val="22"/>
        </w:rPr>
      </w:pPr>
    </w:p>
    <w:tbl>
      <w:tblPr>
        <w:tblW w:w="8790" w:type="dxa"/>
        <w:tblInd w:w="108" w:type="dxa"/>
        <w:tblLayout w:type="fixed"/>
        <w:tblLook w:val="0000" w:firstRow="0" w:lastRow="0" w:firstColumn="0" w:lastColumn="0" w:noHBand="0" w:noVBand="0"/>
      </w:tblPr>
      <w:tblGrid>
        <w:gridCol w:w="1985"/>
        <w:gridCol w:w="2410"/>
        <w:gridCol w:w="708"/>
        <w:gridCol w:w="567"/>
        <w:gridCol w:w="284"/>
        <w:gridCol w:w="1559"/>
        <w:gridCol w:w="1277"/>
      </w:tblGrid>
      <w:tr w:rsidR="00215F2E" w:rsidRPr="001A567E" w:rsidTr="00CE2AC4">
        <w:trPr>
          <w:cantSplit/>
          <w:trHeight w:val="471"/>
        </w:trPr>
        <w:tc>
          <w:tcPr>
            <w:tcW w:w="4395" w:type="dxa"/>
            <w:gridSpan w:val="2"/>
            <w:tcBorders>
              <w:bottom w:val="single" w:sz="4" w:space="0" w:color="auto"/>
            </w:tcBorders>
          </w:tcPr>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Name, Restriction,</w:t>
            </w:r>
          </w:p>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Manner of administration and form</w:t>
            </w:r>
          </w:p>
        </w:tc>
        <w:tc>
          <w:tcPr>
            <w:tcW w:w="708" w:type="dxa"/>
            <w:tcBorders>
              <w:bottom w:val="single" w:sz="4" w:space="0" w:color="auto"/>
            </w:tcBorders>
          </w:tcPr>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Max.</w:t>
            </w:r>
          </w:p>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Qty</w:t>
            </w:r>
          </w:p>
        </w:tc>
        <w:tc>
          <w:tcPr>
            <w:tcW w:w="567" w:type="dxa"/>
            <w:tcBorders>
              <w:bottom w:val="single" w:sz="4" w:space="0" w:color="auto"/>
            </w:tcBorders>
          </w:tcPr>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№.of</w:t>
            </w:r>
          </w:p>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Rpts</w:t>
            </w:r>
          </w:p>
        </w:tc>
        <w:tc>
          <w:tcPr>
            <w:tcW w:w="284" w:type="dxa"/>
            <w:tcBorders>
              <w:bottom w:val="single" w:sz="4" w:space="0" w:color="auto"/>
            </w:tcBorders>
          </w:tcPr>
          <w:p w:rsidR="00215F2E" w:rsidRPr="001A567E" w:rsidRDefault="00215F2E" w:rsidP="00CE2AC4">
            <w:pPr>
              <w:keepNext/>
              <w:ind w:left="-108"/>
              <w:jc w:val="both"/>
              <w:rPr>
                <w:rFonts w:ascii="Arial Narrow" w:hAnsi="Arial Narrow" w:cs="Arial"/>
                <w:sz w:val="20"/>
                <w:szCs w:val="20"/>
              </w:rPr>
            </w:pPr>
          </w:p>
        </w:tc>
        <w:tc>
          <w:tcPr>
            <w:tcW w:w="2836" w:type="dxa"/>
            <w:gridSpan w:val="2"/>
            <w:tcBorders>
              <w:bottom w:val="single" w:sz="4" w:space="0" w:color="auto"/>
            </w:tcBorders>
          </w:tcPr>
          <w:p w:rsidR="00215F2E" w:rsidRPr="001A567E" w:rsidRDefault="00215F2E" w:rsidP="00CE2AC4">
            <w:pPr>
              <w:keepNext/>
              <w:jc w:val="both"/>
              <w:rPr>
                <w:rFonts w:ascii="Arial Narrow" w:hAnsi="Arial Narrow" w:cs="Arial"/>
                <w:sz w:val="20"/>
                <w:szCs w:val="20"/>
                <w:lang w:val="fr-FR"/>
              </w:rPr>
            </w:pPr>
            <w:r w:rsidRPr="001A567E">
              <w:rPr>
                <w:rFonts w:ascii="Arial Narrow" w:hAnsi="Arial Narrow" w:cs="Arial"/>
                <w:sz w:val="20"/>
                <w:szCs w:val="20"/>
              </w:rPr>
              <w:t>Proprietary Name and Manufacturer</w:t>
            </w:r>
          </w:p>
        </w:tc>
      </w:tr>
      <w:tr w:rsidR="00215F2E" w:rsidRPr="001A567E" w:rsidTr="00CE2AC4">
        <w:trPr>
          <w:cantSplit/>
          <w:trHeight w:val="577"/>
        </w:trPr>
        <w:tc>
          <w:tcPr>
            <w:tcW w:w="4395" w:type="dxa"/>
            <w:gridSpan w:val="2"/>
          </w:tcPr>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TRIGLYCERIDES MEDIUM CHAIN FORMULA</w:t>
            </w:r>
          </w:p>
          <w:p w:rsidR="00215F2E" w:rsidRPr="001A567E" w:rsidRDefault="00215F2E" w:rsidP="00CE2AC4">
            <w:pPr>
              <w:keepNext/>
              <w:ind w:left="-108"/>
              <w:jc w:val="both"/>
              <w:rPr>
                <w:rFonts w:ascii="Arial Narrow" w:hAnsi="Arial Narrow" w:cs="Arial"/>
                <w:sz w:val="20"/>
                <w:szCs w:val="20"/>
              </w:rPr>
            </w:pPr>
          </w:p>
          <w:p w:rsidR="00215F2E" w:rsidRPr="001A567E" w:rsidRDefault="00215F2E" w:rsidP="00CE2AC4">
            <w:pPr>
              <w:keepNext/>
              <w:ind w:left="-108"/>
              <w:jc w:val="both"/>
              <w:rPr>
                <w:rFonts w:ascii="Arial Narrow" w:hAnsi="Arial Narrow" w:cs="Arial"/>
                <w:sz w:val="20"/>
                <w:szCs w:val="20"/>
              </w:rPr>
            </w:pPr>
            <w:r w:rsidRPr="001A567E">
              <w:rPr>
                <w:rFonts w:ascii="Arial Narrow" w:hAnsi="Arial Narrow" w:cs="Arial"/>
                <w:sz w:val="20"/>
                <w:szCs w:val="20"/>
              </w:rPr>
              <w:t xml:space="preserve">triglycerides medium chain oral liquid, 8 x 500 mL cartons </w:t>
            </w:r>
          </w:p>
        </w:tc>
        <w:tc>
          <w:tcPr>
            <w:tcW w:w="708" w:type="dxa"/>
          </w:tcPr>
          <w:p w:rsidR="00215F2E" w:rsidRPr="001A567E" w:rsidRDefault="00215F2E" w:rsidP="00CE2AC4">
            <w:pPr>
              <w:keepNext/>
              <w:ind w:left="-108"/>
              <w:jc w:val="center"/>
              <w:rPr>
                <w:rFonts w:ascii="Arial Narrow" w:hAnsi="Arial Narrow" w:cs="Arial"/>
                <w:sz w:val="20"/>
                <w:szCs w:val="20"/>
              </w:rPr>
            </w:pPr>
          </w:p>
          <w:p w:rsidR="00215F2E" w:rsidRPr="001A567E" w:rsidRDefault="00215F2E" w:rsidP="00CE2AC4">
            <w:pPr>
              <w:keepNext/>
              <w:rPr>
                <w:rFonts w:ascii="Arial Narrow" w:hAnsi="Arial Narrow" w:cs="Arial"/>
                <w:sz w:val="20"/>
                <w:szCs w:val="20"/>
              </w:rPr>
            </w:pPr>
          </w:p>
          <w:p w:rsidR="00215F2E" w:rsidRPr="001A567E" w:rsidRDefault="00215F2E" w:rsidP="00CE2AC4">
            <w:pPr>
              <w:keepNext/>
              <w:rPr>
                <w:rFonts w:ascii="Arial Narrow" w:hAnsi="Arial Narrow" w:cs="Arial"/>
                <w:sz w:val="20"/>
                <w:szCs w:val="20"/>
              </w:rPr>
            </w:pPr>
            <w:r w:rsidRPr="001A567E">
              <w:rPr>
                <w:rFonts w:ascii="Arial Narrow" w:hAnsi="Arial Narrow" w:cs="Arial"/>
                <w:sz w:val="20"/>
                <w:szCs w:val="20"/>
              </w:rPr>
              <w:t>8</w:t>
            </w:r>
          </w:p>
          <w:p w:rsidR="00215F2E" w:rsidRPr="001A567E" w:rsidRDefault="00215F2E" w:rsidP="00CE2AC4">
            <w:pPr>
              <w:keepNext/>
              <w:rPr>
                <w:rFonts w:ascii="Arial Narrow" w:hAnsi="Arial Narrow" w:cs="Arial"/>
                <w:sz w:val="20"/>
                <w:szCs w:val="20"/>
              </w:rPr>
            </w:pPr>
          </w:p>
        </w:tc>
        <w:tc>
          <w:tcPr>
            <w:tcW w:w="567" w:type="dxa"/>
          </w:tcPr>
          <w:p w:rsidR="00215F2E" w:rsidRPr="001A567E" w:rsidRDefault="00215F2E" w:rsidP="00CE2AC4">
            <w:pPr>
              <w:keepNext/>
              <w:ind w:left="-108"/>
              <w:jc w:val="center"/>
              <w:rPr>
                <w:rFonts w:ascii="Arial Narrow" w:hAnsi="Arial Narrow" w:cs="Arial"/>
                <w:sz w:val="20"/>
                <w:szCs w:val="20"/>
              </w:rPr>
            </w:pPr>
          </w:p>
          <w:p w:rsidR="00215F2E" w:rsidRPr="001A567E" w:rsidRDefault="00215F2E" w:rsidP="00CE2AC4">
            <w:pPr>
              <w:keepNext/>
              <w:rPr>
                <w:rFonts w:ascii="Arial Narrow" w:hAnsi="Arial Narrow" w:cs="Arial"/>
                <w:sz w:val="20"/>
                <w:szCs w:val="20"/>
              </w:rPr>
            </w:pPr>
          </w:p>
          <w:p w:rsidR="00215F2E" w:rsidRPr="001A567E" w:rsidRDefault="00215F2E" w:rsidP="00CE2AC4">
            <w:pPr>
              <w:keepNext/>
              <w:rPr>
                <w:rFonts w:ascii="Arial Narrow" w:hAnsi="Arial Narrow" w:cs="Arial"/>
                <w:sz w:val="20"/>
                <w:szCs w:val="20"/>
              </w:rPr>
            </w:pPr>
            <w:r w:rsidRPr="001A567E">
              <w:rPr>
                <w:rFonts w:ascii="Arial Narrow" w:hAnsi="Arial Narrow" w:cs="Arial"/>
                <w:sz w:val="20"/>
                <w:szCs w:val="20"/>
              </w:rPr>
              <w:t>5</w:t>
            </w:r>
          </w:p>
          <w:p w:rsidR="00215F2E" w:rsidRPr="001A567E" w:rsidRDefault="00215F2E" w:rsidP="00CE2AC4">
            <w:pPr>
              <w:keepNext/>
              <w:rPr>
                <w:rFonts w:ascii="Arial Narrow" w:hAnsi="Arial Narrow" w:cs="Arial"/>
                <w:sz w:val="20"/>
                <w:szCs w:val="20"/>
              </w:rPr>
            </w:pPr>
          </w:p>
          <w:p w:rsidR="00215F2E" w:rsidRPr="001A567E" w:rsidRDefault="00215F2E" w:rsidP="00CE2AC4">
            <w:pPr>
              <w:keepNext/>
              <w:ind w:left="-108"/>
              <w:jc w:val="center"/>
              <w:rPr>
                <w:rFonts w:ascii="Arial Narrow" w:hAnsi="Arial Narrow" w:cs="Arial"/>
                <w:sz w:val="20"/>
                <w:szCs w:val="20"/>
              </w:rPr>
            </w:pPr>
          </w:p>
        </w:tc>
        <w:tc>
          <w:tcPr>
            <w:tcW w:w="284" w:type="dxa"/>
          </w:tcPr>
          <w:p w:rsidR="00215F2E" w:rsidRPr="001A567E" w:rsidRDefault="00215F2E" w:rsidP="00CE2AC4">
            <w:pPr>
              <w:keepNext/>
              <w:ind w:left="-108"/>
              <w:jc w:val="both"/>
              <w:rPr>
                <w:rFonts w:ascii="Arial Narrow" w:hAnsi="Arial Narrow" w:cs="Arial"/>
                <w:sz w:val="20"/>
                <w:szCs w:val="20"/>
              </w:rPr>
            </w:pPr>
          </w:p>
          <w:p w:rsidR="00215F2E" w:rsidRPr="001A567E" w:rsidRDefault="00215F2E" w:rsidP="00CE2AC4">
            <w:pPr>
              <w:keepNext/>
              <w:jc w:val="both"/>
              <w:rPr>
                <w:rFonts w:ascii="Arial Narrow" w:hAnsi="Arial Narrow" w:cs="Arial"/>
                <w:i/>
                <w:sz w:val="20"/>
                <w:szCs w:val="20"/>
              </w:rPr>
            </w:pPr>
          </w:p>
        </w:tc>
        <w:tc>
          <w:tcPr>
            <w:tcW w:w="1559" w:type="dxa"/>
          </w:tcPr>
          <w:p w:rsidR="00215F2E" w:rsidRPr="001A567E" w:rsidRDefault="00215F2E" w:rsidP="00CE2AC4">
            <w:pPr>
              <w:keepNext/>
              <w:jc w:val="both"/>
              <w:rPr>
                <w:rFonts w:ascii="Arial Narrow" w:hAnsi="Arial Narrow" w:cs="Arial"/>
                <w:sz w:val="20"/>
                <w:szCs w:val="20"/>
              </w:rPr>
            </w:pPr>
          </w:p>
          <w:p w:rsidR="00215F2E" w:rsidRPr="001A567E" w:rsidRDefault="00215F2E" w:rsidP="00CE2AC4">
            <w:pPr>
              <w:keepNext/>
              <w:jc w:val="both"/>
              <w:rPr>
                <w:rFonts w:ascii="Arial Narrow" w:hAnsi="Arial Narrow" w:cs="Arial"/>
                <w:sz w:val="20"/>
                <w:szCs w:val="20"/>
              </w:rPr>
            </w:pPr>
          </w:p>
          <w:p w:rsidR="00215F2E" w:rsidRPr="001A567E" w:rsidRDefault="00215F2E" w:rsidP="00CE2AC4">
            <w:pPr>
              <w:keepNext/>
              <w:jc w:val="both"/>
              <w:rPr>
                <w:rFonts w:ascii="Arial Narrow" w:hAnsi="Arial Narrow" w:cs="Arial"/>
                <w:sz w:val="20"/>
                <w:szCs w:val="20"/>
              </w:rPr>
            </w:pPr>
            <w:r w:rsidRPr="001A567E">
              <w:rPr>
                <w:rFonts w:ascii="Arial Narrow" w:hAnsi="Arial Narrow" w:cs="Arial"/>
                <w:sz w:val="20"/>
                <w:szCs w:val="20"/>
              </w:rPr>
              <w:t>Nutrini Peptisorb</w:t>
            </w:r>
          </w:p>
        </w:tc>
        <w:tc>
          <w:tcPr>
            <w:tcW w:w="1277" w:type="dxa"/>
          </w:tcPr>
          <w:p w:rsidR="00215F2E" w:rsidRPr="001A567E" w:rsidRDefault="00215F2E" w:rsidP="00CE2AC4">
            <w:pPr>
              <w:keepNext/>
              <w:jc w:val="both"/>
              <w:rPr>
                <w:rFonts w:ascii="Arial Narrow" w:hAnsi="Arial Narrow" w:cs="Arial"/>
                <w:sz w:val="20"/>
                <w:szCs w:val="20"/>
              </w:rPr>
            </w:pPr>
            <w:r w:rsidRPr="001A567E">
              <w:rPr>
                <w:rFonts w:ascii="Arial Narrow" w:hAnsi="Arial Narrow" w:cs="Arial"/>
                <w:sz w:val="20"/>
                <w:szCs w:val="20"/>
              </w:rPr>
              <w:t xml:space="preserve">          </w:t>
            </w:r>
          </w:p>
          <w:p w:rsidR="00215F2E" w:rsidRPr="001A567E" w:rsidRDefault="00215F2E" w:rsidP="00CE2AC4">
            <w:pPr>
              <w:keepNext/>
              <w:jc w:val="both"/>
              <w:rPr>
                <w:rFonts w:ascii="Arial Narrow" w:hAnsi="Arial Narrow" w:cs="Arial"/>
                <w:sz w:val="20"/>
                <w:szCs w:val="20"/>
              </w:rPr>
            </w:pPr>
          </w:p>
          <w:p w:rsidR="00215F2E" w:rsidRPr="001A567E" w:rsidRDefault="00193839" w:rsidP="00CE2AC4">
            <w:pPr>
              <w:keepNext/>
              <w:jc w:val="both"/>
              <w:rPr>
                <w:rFonts w:ascii="Arial Narrow" w:hAnsi="Arial Narrow" w:cs="Arial"/>
                <w:sz w:val="20"/>
                <w:szCs w:val="20"/>
              </w:rPr>
            </w:pPr>
            <w:r>
              <w:rPr>
                <w:rFonts w:ascii="Arial Narrow" w:hAnsi="Arial Narrow" w:cs="Arial"/>
                <w:sz w:val="20"/>
                <w:szCs w:val="20"/>
              </w:rPr>
              <w:t>SB</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Category / Program</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GENERAL – General Schedule (Code GE)</w:t>
            </w:r>
          </w:p>
          <w:p w:rsidR="00215F2E" w:rsidRPr="001A567E" w:rsidRDefault="00215F2E" w:rsidP="00CE2AC4">
            <w:pPr>
              <w:rPr>
                <w:rFonts w:ascii="Arial Narrow" w:hAnsi="Arial Narrow" w:cs="Arial"/>
                <w:sz w:val="20"/>
                <w:szCs w:val="20"/>
              </w:rPr>
            </w:pP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Prescriber type:</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Check1"/>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 xml:space="preserve">Dental  </w:t>
            </w:r>
            <w:r w:rsidRPr="001A567E">
              <w:rPr>
                <w:rFonts w:ascii="Arial Narrow" w:hAnsi="Arial Narrow" w:cs="Arial"/>
                <w:sz w:val="20"/>
                <w:szCs w:val="20"/>
              </w:rPr>
              <w:fldChar w:fldCharType="begin">
                <w:ffData>
                  <w:name w:val=""/>
                  <w:enabled/>
                  <w:calcOnExit w:val="0"/>
                  <w:checkBox>
                    <w:sizeAuto/>
                    <w:default w:val="1"/>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 xml:space="preserve">Medical Practitioners  </w:t>
            </w:r>
            <w:r w:rsidRPr="001A567E">
              <w:rPr>
                <w:rFonts w:ascii="Arial Narrow" w:hAnsi="Arial Narrow" w:cs="Arial"/>
                <w:sz w:val="20"/>
                <w:szCs w:val="20"/>
              </w:rPr>
              <w:fldChar w:fldCharType="begin">
                <w:ffData>
                  <w:name w:val="Check3"/>
                  <w:enabled/>
                  <w:calcOnExit w:val="0"/>
                  <w:checkBox>
                    <w:sizeAuto/>
                    <w:default w:val="1"/>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 xml:space="preserve">Nurse practitioners  </w:t>
            </w:r>
            <w:r w:rsidRPr="001A567E">
              <w:rPr>
                <w:rFonts w:ascii="Arial Narrow" w:hAnsi="Arial Narrow" w:cs="Arial"/>
                <w:sz w:val="20"/>
                <w:szCs w:val="20"/>
              </w:rPr>
              <w:fldChar w:fldCharType="begin">
                <w:ffData>
                  <w:name w:val=""/>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 xml:space="preserve">Optometrists    </w:t>
            </w:r>
            <w:r w:rsidRPr="001A567E">
              <w:rPr>
                <w:rFonts w:ascii="Arial Narrow" w:hAnsi="Arial Narrow" w:cs="Arial"/>
                <w:sz w:val="20"/>
                <w:szCs w:val="20"/>
              </w:rPr>
              <w:fldChar w:fldCharType="begin">
                <w:ffData>
                  <w:name w:val="Check5"/>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Midwives</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Episodicity:</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Severity:</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Condition:</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Dietary management of conditions requiring a source of medium chain triglycerides</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PBS Indication:</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Dietary management of conditions requiring a source of medium chain triglycerides</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Treatment phase:</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w:t>
            </w: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lastRenderedPageBreak/>
              <w:t>Restriction Level / Method:</w:t>
            </w:r>
          </w:p>
          <w:p w:rsidR="00215F2E" w:rsidRPr="001A567E" w:rsidRDefault="00215F2E" w:rsidP="00CE2AC4">
            <w:pPr>
              <w:rPr>
                <w:rFonts w:ascii="Arial Narrow" w:hAnsi="Arial Narrow" w:cs="Arial"/>
                <w:sz w:val="20"/>
                <w:szCs w:val="20"/>
              </w:rPr>
            </w:pP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Check1"/>
                  <w:enabled/>
                  <w:calcOnExit w:val="0"/>
                  <w:checkBox>
                    <w:sizeAuto/>
                    <w:default w:val="1"/>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Restricted benefit</w:t>
            </w:r>
          </w:p>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Authority Required - In Writing</w:t>
            </w:r>
          </w:p>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Check3"/>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Authority Required - Telephone</w:t>
            </w:r>
          </w:p>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Authority Required – Emergency</w:t>
            </w:r>
          </w:p>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Check5"/>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Authority Required - Electronic</w:t>
            </w:r>
          </w:p>
          <w:p w:rsidR="00215F2E" w:rsidRDefault="00215F2E" w:rsidP="00CE2AC4">
            <w:pPr>
              <w:rPr>
                <w:rFonts w:ascii="Arial Narrow" w:hAnsi="Arial Narrow" w:cs="Arial"/>
                <w:sz w:val="20"/>
                <w:szCs w:val="20"/>
              </w:rPr>
            </w:pPr>
            <w:r w:rsidRPr="001A567E">
              <w:rPr>
                <w:rFonts w:ascii="Arial Narrow" w:hAnsi="Arial Narrow" w:cs="Arial"/>
                <w:sz w:val="20"/>
                <w:szCs w:val="20"/>
              </w:rPr>
              <w:fldChar w:fldCharType="begin">
                <w:ffData>
                  <w:name w:val="Check5"/>
                  <w:enabled/>
                  <w:calcOnExit w:val="0"/>
                  <w:checkBox>
                    <w:sizeAuto/>
                    <w:default w:val="0"/>
                  </w:checkBox>
                </w:ffData>
              </w:fldChar>
            </w:r>
            <w:r w:rsidRPr="001A567E">
              <w:rPr>
                <w:rFonts w:ascii="Arial Narrow" w:hAnsi="Arial Narrow" w:cs="Arial"/>
                <w:sz w:val="20"/>
                <w:szCs w:val="20"/>
              </w:rPr>
              <w:instrText xml:space="preserve"> FORMCHECKBOX </w:instrText>
            </w:r>
            <w:r w:rsidR="00C45183">
              <w:rPr>
                <w:rFonts w:ascii="Arial Narrow" w:hAnsi="Arial Narrow" w:cs="Arial"/>
                <w:sz w:val="20"/>
                <w:szCs w:val="20"/>
              </w:rPr>
            </w:r>
            <w:r w:rsidR="00C45183">
              <w:rPr>
                <w:rFonts w:ascii="Arial Narrow" w:hAnsi="Arial Narrow" w:cs="Arial"/>
                <w:sz w:val="20"/>
                <w:szCs w:val="20"/>
              </w:rPr>
              <w:fldChar w:fldCharType="separate"/>
            </w:r>
            <w:r w:rsidRPr="001A567E">
              <w:rPr>
                <w:rFonts w:ascii="Arial Narrow" w:hAnsi="Arial Narrow" w:cs="Arial"/>
                <w:sz w:val="20"/>
                <w:szCs w:val="20"/>
              </w:rPr>
              <w:fldChar w:fldCharType="end"/>
            </w:r>
            <w:r w:rsidRPr="001A567E">
              <w:rPr>
                <w:rFonts w:ascii="Arial Narrow" w:hAnsi="Arial Narrow" w:cs="Arial"/>
                <w:sz w:val="20"/>
                <w:szCs w:val="20"/>
              </w:rPr>
              <w:t>Streamlined</w:t>
            </w:r>
          </w:p>
          <w:p w:rsidR="00E1494C" w:rsidRPr="001A567E" w:rsidRDefault="00E1494C" w:rsidP="00CE2AC4">
            <w:pPr>
              <w:rPr>
                <w:rFonts w:ascii="Arial Narrow" w:hAnsi="Arial Narrow" w:cs="Arial"/>
                <w:sz w:val="20"/>
                <w:szCs w:val="20"/>
              </w:rPr>
            </w:pP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Clinical criteria:</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Patient must have fat malabsorption due to liver disease; OR</w:t>
            </w:r>
          </w:p>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Patient must have fat malabsorption due to short gut syndrome; OR</w:t>
            </w:r>
          </w:p>
          <w:p w:rsidR="00215F2E" w:rsidRPr="001A567E" w:rsidRDefault="00215F2E" w:rsidP="00CE2AC4">
            <w:pPr>
              <w:rPr>
                <w:rFonts w:ascii="Arial Narrow" w:hAnsi="Arial Narrow" w:cs="Arial"/>
                <w:sz w:val="20"/>
                <w:szCs w:val="20"/>
              </w:rPr>
            </w:pPr>
            <w:r w:rsidRPr="001A567E">
              <w:rPr>
                <w:rFonts w:ascii="Arial Narrow" w:hAnsi="Arial Narrow" w:cs="Arial"/>
                <w:sz w:val="20"/>
                <w:szCs w:val="20"/>
              </w:rPr>
              <w:t>Patient must have fat malabsorption due to cystic fibrosis; OR</w:t>
            </w:r>
          </w:p>
          <w:p w:rsidR="00215F2E" w:rsidRDefault="00215F2E" w:rsidP="00CE2AC4">
            <w:pPr>
              <w:rPr>
                <w:rFonts w:ascii="Arial Narrow" w:hAnsi="Arial Narrow" w:cs="Arial"/>
                <w:sz w:val="20"/>
                <w:szCs w:val="20"/>
              </w:rPr>
            </w:pPr>
            <w:r w:rsidRPr="001A567E">
              <w:rPr>
                <w:rFonts w:ascii="Arial Narrow" w:hAnsi="Arial Narrow" w:cs="Arial"/>
                <w:sz w:val="20"/>
                <w:szCs w:val="20"/>
              </w:rPr>
              <w:t>Patient must have fat malabsorption due to gastrointestinal disorders</w:t>
            </w:r>
          </w:p>
          <w:p w:rsidR="00215F2E" w:rsidRPr="001A567E" w:rsidRDefault="00215F2E" w:rsidP="00390FD3">
            <w:pPr>
              <w:rPr>
                <w:rFonts w:ascii="Arial Narrow" w:hAnsi="Arial Narrow" w:cs="Arial"/>
                <w:sz w:val="20"/>
                <w:szCs w:val="20"/>
              </w:rPr>
            </w:pPr>
          </w:p>
        </w:tc>
      </w:tr>
      <w:tr w:rsidR="00215F2E" w:rsidRPr="001A567E" w:rsidTr="0066302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15F2E" w:rsidRPr="001A567E" w:rsidRDefault="00215F2E" w:rsidP="00CE2AC4">
            <w:pPr>
              <w:jc w:val="both"/>
              <w:rPr>
                <w:rFonts w:ascii="Arial Narrow" w:hAnsi="Arial Narrow" w:cs="Arial"/>
                <w:b/>
                <w:sz w:val="20"/>
                <w:szCs w:val="20"/>
              </w:rPr>
            </w:pPr>
            <w:r w:rsidRPr="001A567E">
              <w:rPr>
                <w:rFonts w:ascii="Arial Narrow" w:hAnsi="Arial Narrow" w:cs="Arial"/>
                <w:b/>
                <w:sz w:val="20"/>
                <w:szCs w:val="20"/>
              </w:rPr>
              <w:t>Administrative Advice:</w:t>
            </w:r>
          </w:p>
        </w:tc>
        <w:tc>
          <w:tcPr>
            <w:tcW w:w="6805" w:type="dxa"/>
            <w:gridSpan w:val="6"/>
            <w:tcBorders>
              <w:top w:val="single" w:sz="4" w:space="0" w:color="auto"/>
              <w:left w:val="single" w:sz="4" w:space="0" w:color="auto"/>
              <w:bottom w:val="single" w:sz="4" w:space="0" w:color="auto"/>
              <w:right w:val="single" w:sz="4" w:space="0" w:color="auto"/>
            </w:tcBorders>
          </w:tcPr>
          <w:p w:rsidR="00215F2E" w:rsidRPr="00663020" w:rsidRDefault="00215F2E" w:rsidP="00CE2AC4">
            <w:pPr>
              <w:rPr>
                <w:rFonts w:ascii="Arial Narrow" w:hAnsi="Arial Narrow" w:cs="Arial"/>
                <w:sz w:val="20"/>
                <w:szCs w:val="20"/>
                <w:u w:val="single"/>
              </w:rPr>
            </w:pPr>
            <w:r w:rsidRPr="00663020">
              <w:rPr>
                <w:rFonts w:ascii="Arial Narrow" w:hAnsi="Arial Narrow" w:cs="Arial"/>
                <w:sz w:val="20"/>
                <w:szCs w:val="20"/>
                <w:u w:val="single"/>
              </w:rPr>
              <w:t>NOTE:</w:t>
            </w:r>
          </w:p>
          <w:p w:rsidR="00215F2E" w:rsidRPr="00663020" w:rsidRDefault="00215F2E" w:rsidP="00CE2AC4">
            <w:pPr>
              <w:rPr>
                <w:rFonts w:ascii="Arial Narrow" w:hAnsi="Arial Narrow" w:cs="Arial"/>
                <w:sz w:val="20"/>
                <w:szCs w:val="20"/>
              </w:rPr>
            </w:pPr>
            <w:r w:rsidRPr="00663020">
              <w:rPr>
                <w:rFonts w:ascii="Arial Narrow" w:hAnsi="Arial Narrow" w:cs="Arial"/>
                <w:sz w:val="20"/>
                <w:szCs w:val="20"/>
              </w:rPr>
              <w:t>No increase in the maximum number of repeats may be authorised.</w:t>
            </w:r>
          </w:p>
          <w:p w:rsidR="00215F2E" w:rsidRPr="00663020" w:rsidRDefault="00215F2E" w:rsidP="00CE2AC4">
            <w:pPr>
              <w:rPr>
                <w:rFonts w:ascii="Arial Narrow" w:hAnsi="Arial Narrow" w:cs="Arial"/>
                <w:sz w:val="20"/>
                <w:szCs w:val="20"/>
              </w:rPr>
            </w:pPr>
          </w:p>
          <w:p w:rsidR="00215F2E" w:rsidRPr="00663020" w:rsidRDefault="00215F2E" w:rsidP="00CE2AC4">
            <w:pPr>
              <w:rPr>
                <w:rFonts w:ascii="Arial Narrow" w:hAnsi="Arial Narrow" w:cs="Arial"/>
                <w:sz w:val="20"/>
                <w:szCs w:val="20"/>
                <w:u w:val="single"/>
              </w:rPr>
            </w:pPr>
            <w:r w:rsidRPr="00663020">
              <w:rPr>
                <w:rFonts w:ascii="Arial Narrow" w:hAnsi="Arial Narrow" w:cs="Arial"/>
                <w:sz w:val="20"/>
                <w:szCs w:val="20"/>
                <w:u w:val="single"/>
              </w:rPr>
              <w:t>NOTE:</w:t>
            </w:r>
          </w:p>
          <w:p w:rsidR="00215F2E" w:rsidRPr="00663020" w:rsidRDefault="00215F2E" w:rsidP="00CE2AC4">
            <w:pPr>
              <w:rPr>
                <w:rFonts w:ascii="Arial Narrow" w:hAnsi="Arial Narrow" w:cs="Arial"/>
                <w:sz w:val="20"/>
                <w:szCs w:val="20"/>
              </w:rPr>
            </w:pPr>
            <w:r w:rsidRPr="00663020">
              <w:rPr>
                <w:rFonts w:ascii="Arial Narrow" w:hAnsi="Arial Narrow" w:cs="Arial"/>
                <w:sz w:val="20"/>
                <w:szCs w:val="20"/>
              </w:rPr>
              <w:t>No increase in the maximum quantity or number of units may be authorised.</w:t>
            </w:r>
          </w:p>
          <w:p w:rsidR="00215F2E" w:rsidRPr="00663020" w:rsidRDefault="00215F2E" w:rsidP="00CE2AC4">
            <w:pPr>
              <w:rPr>
                <w:rFonts w:ascii="Arial Narrow" w:hAnsi="Arial Narrow" w:cs="Arial"/>
                <w:sz w:val="20"/>
                <w:szCs w:val="20"/>
              </w:rPr>
            </w:pPr>
          </w:p>
          <w:p w:rsidR="00215F2E" w:rsidRPr="00663020" w:rsidRDefault="00215F2E" w:rsidP="00CE2AC4">
            <w:pPr>
              <w:rPr>
                <w:rFonts w:ascii="Arial Narrow" w:hAnsi="Arial Narrow" w:cs="Arial"/>
                <w:sz w:val="20"/>
                <w:szCs w:val="20"/>
              </w:rPr>
            </w:pPr>
            <w:r w:rsidRPr="00663020">
              <w:rPr>
                <w:rFonts w:ascii="Arial Narrow" w:hAnsi="Arial Narrow" w:cs="Arial"/>
                <w:sz w:val="20"/>
                <w:szCs w:val="20"/>
                <w:u w:val="single"/>
              </w:rPr>
              <w:t>NOTE</w:t>
            </w:r>
            <w:r w:rsidRPr="00663020">
              <w:rPr>
                <w:rFonts w:ascii="Arial Narrow" w:hAnsi="Arial Narrow" w:cs="Arial"/>
                <w:sz w:val="20"/>
                <w:szCs w:val="20"/>
              </w:rPr>
              <w:t>:</w:t>
            </w:r>
          </w:p>
          <w:p w:rsidR="00215F2E" w:rsidRPr="001A567E" w:rsidRDefault="00215F2E" w:rsidP="00CE2AC4">
            <w:pPr>
              <w:rPr>
                <w:rFonts w:ascii="Arial Narrow" w:hAnsi="Arial Narrow" w:cs="Arial"/>
                <w:sz w:val="20"/>
                <w:szCs w:val="20"/>
              </w:rPr>
            </w:pPr>
            <w:r w:rsidRPr="00663020">
              <w:rPr>
                <w:rFonts w:ascii="Arial Narrow" w:hAnsi="Arial Narrow" w:cs="Arial"/>
                <w:sz w:val="20"/>
                <w:szCs w:val="20"/>
              </w:rPr>
              <w:t>Not indicated for the treatment of intractable childhood epilepsy or cerebrospinal fluid glucose transporter defect requiring a ketogenic diet.</w:t>
            </w:r>
          </w:p>
        </w:tc>
      </w:tr>
    </w:tbl>
    <w:p w:rsidR="00215F2E" w:rsidRDefault="00215F2E" w:rsidP="00BA619E">
      <w:pPr>
        <w:jc w:val="both"/>
        <w:rPr>
          <w:rFonts w:ascii="Arial" w:hAnsi="Arial"/>
          <w:sz w:val="22"/>
          <w:szCs w:val="22"/>
        </w:rPr>
      </w:pPr>
    </w:p>
    <w:p w:rsidR="003F0173" w:rsidRPr="00207D4D" w:rsidRDefault="003F0173" w:rsidP="003F0173">
      <w:pPr>
        <w:jc w:val="both"/>
        <w:rPr>
          <w:rFonts w:ascii="Arial" w:eastAsia="SimSun" w:hAnsi="Arial"/>
          <w:sz w:val="22"/>
          <w:szCs w:val="22"/>
        </w:rPr>
      </w:pPr>
    </w:p>
    <w:p w:rsidR="003F0173" w:rsidRPr="00207D4D" w:rsidRDefault="003F0173" w:rsidP="00470BDF">
      <w:pPr>
        <w:pStyle w:val="PBACHeading1"/>
        <w:rPr>
          <w:rFonts w:eastAsia="SimSun"/>
        </w:rPr>
      </w:pPr>
      <w:r w:rsidRPr="00207D4D">
        <w:rPr>
          <w:rFonts w:eastAsia="SimSun"/>
        </w:rPr>
        <w:t>Context for Decision</w:t>
      </w:r>
    </w:p>
    <w:p w:rsidR="003F0173" w:rsidRPr="00207D4D" w:rsidRDefault="003F0173" w:rsidP="003F0173">
      <w:pPr>
        <w:ind w:left="720"/>
        <w:contextualSpacing/>
        <w:rPr>
          <w:rFonts w:eastAsia="SimSun"/>
          <w:b/>
        </w:rPr>
      </w:pPr>
    </w:p>
    <w:p w:rsidR="003F0173" w:rsidRPr="00207D4D" w:rsidRDefault="003F0173" w:rsidP="003F0173">
      <w:pPr>
        <w:ind w:left="720"/>
        <w:rPr>
          <w:rFonts w:ascii="Arial" w:eastAsia="SimSun" w:hAnsi="Arial" w:cs="Arial"/>
          <w:bCs/>
          <w:snapToGrid w:val="0"/>
          <w:sz w:val="22"/>
          <w:szCs w:val="22"/>
        </w:rPr>
      </w:pPr>
      <w:r w:rsidRPr="00207D4D">
        <w:rPr>
          <w:rFonts w:ascii="Arial" w:eastAsia="SimSun"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F0173" w:rsidRPr="00207D4D" w:rsidRDefault="003F0173" w:rsidP="003F0173">
      <w:pPr>
        <w:rPr>
          <w:rFonts w:eastAsia="SimSun"/>
        </w:rPr>
      </w:pPr>
    </w:p>
    <w:p w:rsidR="003F0173" w:rsidRPr="00207D4D" w:rsidRDefault="003F0173" w:rsidP="00470BDF">
      <w:pPr>
        <w:pStyle w:val="PBACHeading1"/>
        <w:rPr>
          <w:rFonts w:eastAsia="SimSun"/>
        </w:rPr>
      </w:pPr>
      <w:r w:rsidRPr="00207D4D">
        <w:rPr>
          <w:rFonts w:eastAsia="SimSun"/>
        </w:rPr>
        <w:t>Sponsor’s Comment</w:t>
      </w:r>
    </w:p>
    <w:p w:rsidR="00215F2E" w:rsidRDefault="00215F2E" w:rsidP="00BA619E">
      <w:pPr>
        <w:jc w:val="both"/>
        <w:rPr>
          <w:rFonts w:ascii="Arial" w:hAnsi="Arial"/>
          <w:sz w:val="22"/>
          <w:szCs w:val="22"/>
        </w:rPr>
      </w:pPr>
    </w:p>
    <w:p w:rsidR="00F72692" w:rsidRDefault="00C047D9" w:rsidP="00470BDF">
      <w:pPr>
        <w:ind w:left="720"/>
        <w:rPr>
          <w:rFonts w:ascii="Arial" w:hAnsi="Arial"/>
          <w:sz w:val="22"/>
          <w:szCs w:val="22"/>
        </w:rPr>
      </w:pPr>
      <w:r>
        <w:rPr>
          <w:rFonts w:ascii="Arial" w:hAnsi="Arial"/>
          <w:sz w:val="22"/>
          <w:szCs w:val="22"/>
        </w:rPr>
        <w:t>The sponsor had no comment.</w:t>
      </w:r>
    </w:p>
    <w:p w:rsidR="00F72692" w:rsidRDefault="00F72692" w:rsidP="00BA619E">
      <w:pPr>
        <w:jc w:val="both"/>
        <w:rPr>
          <w:rFonts w:ascii="Arial" w:hAnsi="Arial"/>
          <w:sz w:val="22"/>
          <w:szCs w:val="22"/>
        </w:rPr>
      </w:pPr>
    </w:p>
    <w:p w:rsidR="00E1494C" w:rsidRDefault="00E1494C" w:rsidP="00BA619E">
      <w:pPr>
        <w:jc w:val="both"/>
        <w:rPr>
          <w:rFonts w:ascii="Arial" w:hAnsi="Arial"/>
          <w:sz w:val="22"/>
          <w:szCs w:val="22"/>
        </w:rPr>
      </w:pPr>
    </w:p>
    <w:p w:rsidR="00E1494C" w:rsidRDefault="00E1494C" w:rsidP="00BA619E">
      <w:pPr>
        <w:jc w:val="both"/>
        <w:rPr>
          <w:rFonts w:ascii="Arial" w:hAnsi="Arial"/>
          <w:sz w:val="22"/>
          <w:szCs w:val="22"/>
        </w:rPr>
      </w:pPr>
    </w:p>
    <w:p w:rsidR="00E1494C" w:rsidRDefault="00E1494C" w:rsidP="00BA619E">
      <w:pPr>
        <w:jc w:val="both"/>
        <w:rPr>
          <w:rFonts w:ascii="Arial" w:hAnsi="Arial"/>
          <w:sz w:val="22"/>
          <w:szCs w:val="22"/>
        </w:rPr>
      </w:pPr>
    </w:p>
    <w:p w:rsidR="00E1494C" w:rsidRDefault="00E1494C" w:rsidP="00BA619E">
      <w:pPr>
        <w:jc w:val="both"/>
        <w:rPr>
          <w:rFonts w:ascii="Arial" w:hAnsi="Arial"/>
          <w:sz w:val="22"/>
          <w:szCs w:val="22"/>
        </w:rPr>
      </w:pPr>
    </w:p>
    <w:p w:rsidR="00E1494C" w:rsidRDefault="00E1494C" w:rsidP="00BA619E">
      <w:pPr>
        <w:jc w:val="both"/>
        <w:rPr>
          <w:rFonts w:ascii="Arial" w:hAnsi="Arial"/>
          <w:sz w:val="22"/>
          <w:szCs w:val="22"/>
        </w:rPr>
      </w:pPr>
    </w:p>
    <w:p w:rsidR="0041616F" w:rsidRDefault="0041616F" w:rsidP="00BA619E">
      <w:pPr>
        <w:jc w:val="both"/>
        <w:rPr>
          <w:rFonts w:ascii="Arial" w:hAnsi="Arial"/>
          <w:sz w:val="22"/>
          <w:szCs w:val="22"/>
        </w:rPr>
      </w:pPr>
    </w:p>
    <w:p w:rsidR="00215F2E" w:rsidRDefault="00215F2E" w:rsidP="00BA619E">
      <w:pPr>
        <w:jc w:val="both"/>
        <w:rPr>
          <w:rFonts w:ascii="Arial" w:hAnsi="Arial"/>
          <w:sz w:val="22"/>
          <w:szCs w:val="22"/>
        </w:rPr>
      </w:pPr>
    </w:p>
    <w:p w:rsidR="00215F2E" w:rsidRDefault="00215F2E" w:rsidP="00BA619E">
      <w:pPr>
        <w:jc w:val="both"/>
        <w:rPr>
          <w:rFonts w:ascii="Arial" w:hAnsi="Arial"/>
          <w:sz w:val="22"/>
          <w:szCs w:val="22"/>
        </w:rPr>
      </w:pPr>
    </w:p>
    <w:p w:rsidR="00215F2E" w:rsidRPr="00BA619E" w:rsidRDefault="00215F2E" w:rsidP="00BA619E">
      <w:pPr>
        <w:jc w:val="both"/>
        <w:rPr>
          <w:rFonts w:ascii="Arial" w:hAnsi="Arial"/>
          <w:sz w:val="22"/>
          <w:szCs w:val="22"/>
        </w:rPr>
      </w:pPr>
    </w:p>
    <w:p w:rsidR="00CE10C4" w:rsidRPr="00005C43" w:rsidRDefault="00CE10C4" w:rsidP="006F7AF3">
      <w:pPr>
        <w:ind w:left="720" w:hanging="720"/>
        <w:jc w:val="both"/>
        <w:rPr>
          <w:rFonts w:ascii="Arial" w:hAnsi="Arial" w:cs="Arial"/>
          <w:sz w:val="22"/>
          <w:szCs w:val="22"/>
        </w:rPr>
      </w:pPr>
    </w:p>
    <w:sectPr w:rsidR="00CE10C4" w:rsidRPr="00005C43" w:rsidSect="00306A46">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83" w:rsidRDefault="00C45183">
      <w:r>
        <w:separator/>
      </w:r>
    </w:p>
  </w:endnote>
  <w:endnote w:type="continuationSeparator" w:id="0">
    <w:p w:rsidR="00C45183" w:rsidRDefault="00C4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E2AC4" w:rsidTr="005A3173">
      <w:trPr>
        <w:trHeight w:val="151"/>
      </w:trPr>
      <w:tc>
        <w:tcPr>
          <w:tcW w:w="2250" w:type="pct"/>
          <w:tcBorders>
            <w:top w:val="nil"/>
            <w:left w:val="nil"/>
            <w:bottom w:val="single" w:sz="4" w:space="0" w:color="4F81BD"/>
            <w:right w:val="nil"/>
          </w:tcBorders>
        </w:tcPr>
        <w:p w:rsidR="00CE2AC4" w:rsidRPr="005A3173" w:rsidRDefault="00CE2AC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E2AC4" w:rsidRPr="005A3173" w:rsidRDefault="00CE2AC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2AC4" w:rsidRPr="005A3173" w:rsidRDefault="00CE2AC4" w:rsidP="005A3173">
          <w:pPr>
            <w:pStyle w:val="Header"/>
            <w:spacing w:line="276" w:lineRule="auto"/>
            <w:rPr>
              <w:rFonts w:ascii="Calibri" w:eastAsia="MS Gothic" w:hAnsi="Calibri"/>
              <w:b/>
              <w:bCs/>
              <w:color w:val="4F81BD"/>
            </w:rPr>
          </w:pPr>
        </w:p>
      </w:tc>
    </w:tr>
    <w:tr w:rsidR="00CE2AC4" w:rsidTr="005A3173">
      <w:trPr>
        <w:trHeight w:val="150"/>
      </w:trPr>
      <w:tc>
        <w:tcPr>
          <w:tcW w:w="2250" w:type="pct"/>
          <w:tcBorders>
            <w:top w:val="single" w:sz="4" w:space="0" w:color="4F81BD"/>
            <w:left w:val="nil"/>
            <w:bottom w:val="nil"/>
            <w:right w:val="nil"/>
          </w:tcBorders>
        </w:tcPr>
        <w:p w:rsidR="00CE2AC4" w:rsidRPr="005A3173" w:rsidRDefault="00CE2AC4" w:rsidP="005A3173">
          <w:pPr>
            <w:pStyle w:val="Header"/>
            <w:spacing w:line="276" w:lineRule="auto"/>
            <w:rPr>
              <w:rFonts w:ascii="Calibri" w:eastAsia="MS Gothic" w:hAnsi="Calibri"/>
              <w:b/>
              <w:bCs/>
              <w:color w:val="4F81BD"/>
            </w:rPr>
          </w:pPr>
        </w:p>
      </w:tc>
      <w:tc>
        <w:tcPr>
          <w:tcW w:w="0" w:type="auto"/>
          <w:vMerge/>
          <w:vAlign w:val="center"/>
          <w:hideMark/>
        </w:tcPr>
        <w:p w:rsidR="00CE2AC4" w:rsidRPr="005A3173" w:rsidRDefault="00CE2AC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E2AC4" w:rsidRPr="005A3173" w:rsidRDefault="00CE2AC4" w:rsidP="005A3173">
          <w:pPr>
            <w:pStyle w:val="Header"/>
            <w:spacing w:line="276" w:lineRule="auto"/>
            <w:rPr>
              <w:rFonts w:ascii="Calibri" w:eastAsia="MS Gothic" w:hAnsi="Calibri"/>
              <w:b/>
              <w:bCs/>
              <w:color w:val="4F81BD"/>
            </w:rPr>
          </w:pPr>
        </w:p>
      </w:tc>
    </w:tr>
  </w:tbl>
  <w:p w:rsidR="00CE2AC4" w:rsidRDefault="00CE2AC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2AC4" w:rsidRDefault="00CE2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C4" w:rsidRDefault="00CE2AC4" w:rsidP="00EF44A0">
    <w:pPr>
      <w:pStyle w:val="Footer"/>
      <w:jc w:val="center"/>
      <w:rPr>
        <w:rFonts w:ascii="Arial" w:hAnsi="Arial" w:cs="Arial"/>
        <w:b/>
        <w:sz w:val="20"/>
        <w:szCs w:val="20"/>
      </w:rPr>
    </w:pPr>
  </w:p>
  <w:p w:rsidR="00CE2AC4" w:rsidRDefault="00CE2AC4" w:rsidP="00EF44A0">
    <w:pPr>
      <w:pStyle w:val="Footer"/>
    </w:pPr>
  </w:p>
  <w:p w:rsidR="00CE2AC4" w:rsidRPr="0041616F" w:rsidRDefault="00C45183">
    <w:pPr>
      <w:pStyle w:val="Footer"/>
      <w:jc w:val="center"/>
      <w:rPr>
        <w:rFonts w:ascii="Arial" w:hAnsi="Arial" w:cs="Arial"/>
      </w:rPr>
    </w:pPr>
    <w:sdt>
      <w:sdtPr>
        <w:rPr>
          <w:rFonts w:ascii="Arial" w:hAnsi="Arial" w:cs="Arial"/>
        </w:rPr>
        <w:id w:val="646254239"/>
        <w:docPartObj>
          <w:docPartGallery w:val="Page Numbers (Bottom of Page)"/>
          <w:docPartUnique/>
        </w:docPartObj>
      </w:sdtPr>
      <w:sdtEndPr>
        <w:rPr>
          <w:noProof/>
        </w:rPr>
      </w:sdtEndPr>
      <w:sdtContent>
        <w:r w:rsidR="00CE2AC4" w:rsidRPr="0041616F">
          <w:rPr>
            <w:rFonts w:ascii="Arial" w:hAnsi="Arial" w:cs="Arial"/>
          </w:rPr>
          <w:fldChar w:fldCharType="begin"/>
        </w:r>
        <w:r w:rsidR="00CE2AC4" w:rsidRPr="0041616F">
          <w:rPr>
            <w:rFonts w:ascii="Arial" w:hAnsi="Arial" w:cs="Arial"/>
          </w:rPr>
          <w:instrText xml:space="preserve"> PAGE   \* MERGEFORMAT </w:instrText>
        </w:r>
        <w:r w:rsidR="00CE2AC4" w:rsidRPr="0041616F">
          <w:rPr>
            <w:rFonts w:ascii="Arial" w:hAnsi="Arial" w:cs="Arial"/>
          </w:rPr>
          <w:fldChar w:fldCharType="separate"/>
        </w:r>
        <w:r>
          <w:rPr>
            <w:rFonts w:ascii="Arial" w:hAnsi="Arial" w:cs="Arial"/>
            <w:noProof/>
          </w:rPr>
          <w:t>5</w:t>
        </w:r>
        <w:r w:rsidR="00CE2AC4" w:rsidRPr="0041616F">
          <w:rPr>
            <w:rFonts w:ascii="Arial" w:hAnsi="Arial" w:cs="Arial"/>
            <w:noProof/>
          </w:rPr>
          <w:fldChar w:fldCharType="end"/>
        </w:r>
      </w:sdtContent>
    </w:sdt>
  </w:p>
  <w:p w:rsidR="00CE2AC4" w:rsidRPr="008F1434" w:rsidRDefault="00CE2AC4"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E2AC4" w:rsidTr="005A3173">
      <w:trPr>
        <w:trHeight w:val="151"/>
      </w:trPr>
      <w:tc>
        <w:tcPr>
          <w:tcW w:w="2250" w:type="pct"/>
          <w:tcBorders>
            <w:top w:val="nil"/>
            <w:left w:val="nil"/>
            <w:bottom w:val="single" w:sz="4" w:space="0" w:color="4F81BD"/>
            <w:right w:val="nil"/>
          </w:tcBorders>
        </w:tcPr>
        <w:p w:rsidR="00CE2AC4" w:rsidRPr="005A3173" w:rsidRDefault="00CE2AC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E2AC4" w:rsidRPr="005A3173" w:rsidRDefault="00CE2AC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2AC4" w:rsidRPr="005A3173" w:rsidRDefault="00CE2AC4" w:rsidP="005A3173">
          <w:pPr>
            <w:pStyle w:val="Header"/>
            <w:spacing w:line="276" w:lineRule="auto"/>
            <w:rPr>
              <w:rFonts w:ascii="Calibri" w:eastAsia="MS Gothic" w:hAnsi="Calibri"/>
              <w:b/>
              <w:bCs/>
              <w:color w:val="4F81BD"/>
            </w:rPr>
          </w:pPr>
        </w:p>
      </w:tc>
    </w:tr>
    <w:tr w:rsidR="00CE2AC4" w:rsidTr="005A3173">
      <w:trPr>
        <w:trHeight w:val="150"/>
      </w:trPr>
      <w:tc>
        <w:tcPr>
          <w:tcW w:w="2250" w:type="pct"/>
          <w:tcBorders>
            <w:top w:val="single" w:sz="4" w:space="0" w:color="4F81BD"/>
            <w:left w:val="nil"/>
            <w:bottom w:val="nil"/>
            <w:right w:val="nil"/>
          </w:tcBorders>
        </w:tcPr>
        <w:p w:rsidR="00CE2AC4" w:rsidRPr="005A3173" w:rsidRDefault="00CE2AC4" w:rsidP="005A3173">
          <w:pPr>
            <w:pStyle w:val="Header"/>
            <w:spacing w:line="276" w:lineRule="auto"/>
            <w:rPr>
              <w:rFonts w:ascii="Calibri" w:eastAsia="MS Gothic" w:hAnsi="Calibri"/>
              <w:b/>
              <w:bCs/>
              <w:color w:val="4F81BD"/>
            </w:rPr>
          </w:pPr>
        </w:p>
      </w:tc>
      <w:tc>
        <w:tcPr>
          <w:tcW w:w="0" w:type="auto"/>
          <w:vMerge/>
          <w:vAlign w:val="center"/>
          <w:hideMark/>
        </w:tcPr>
        <w:p w:rsidR="00CE2AC4" w:rsidRPr="005A3173" w:rsidRDefault="00CE2AC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E2AC4" w:rsidRPr="005A3173" w:rsidRDefault="00CE2AC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E2AC4" w:rsidTr="005A3173">
      <w:trPr>
        <w:trHeight w:val="151"/>
      </w:trPr>
      <w:tc>
        <w:tcPr>
          <w:tcW w:w="2250" w:type="pct"/>
          <w:tcBorders>
            <w:top w:val="nil"/>
            <w:left w:val="nil"/>
            <w:bottom w:val="single" w:sz="4" w:space="0" w:color="4F81BD"/>
            <w:right w:val="nil"/>
          </w:tcBorders>
        </w:tcPr>
        <w:p w:rsidR="00CE2AC4" w:rsidRPr="005A3173" w:rsidRDefault="00CE2AC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E2AC4" w:rsidRPr="005A3173" w:rsidRDefault="00CE2AC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2AC4" w:rsidRPr="005A3173" w:rsidRDefault="00CE2AC4" w:rsidP="005A3173">
          <w:pPr>
            <w:pStyle w:val="Header"/>
            <w:spacing w:line="276" w:lineRule="auto"/>
            <w:rPr>
              <w:rFonts w:ascii="Calibri" w:eastAsia="MS Gothic" w:hAnsi="Calibri"/>
              <w:b/>
              <w:bCs/>
              <w:color w:val="4F81BD"/>
            </w:rPr>
          </w:pPr>
        </w:p>
      </w:tc>
    </w:tr>
    <w:tr w:rsidR="00CE2AC4" w:rsidTr="005A3173">
      <w:trPr>
        <w:trHeight w:val="150"/>
      </w:trPr>
      <w:tc>
        <w:tcPr>
          <w:tcW w:w="2250" w:type="pct"/>
          <w:tcBorders>
            <w:top w:val="single" w:sz="4" w:space="0" w:color="4F81BD"/>
            <w:left w:val="nil"/>
            <w:bottom w:val="nil"/>
            <w:right w:val="nil"/>
          </w:tcBorders>
        </w:tcPr>
        <w:p w:rsidR="00CE2AC4" w:rsidRPr="005A3173" w:rsidRDefault="00CE2AC4" w:rsidP="005A3173">
          <w:pPr>
            <w:pStyle w:val="Header"/>
            <w:spacing w:line="276" w:lineRule="auto"/>
            <w:rPr>
              <w:rFonts w:ascii="Calibri" w:eastAsia="MS Gothic" w:hAnsi="Calibri"/>
              <w:b/>
              <w:bCs/>
              <w:color w:val="4F81BD"/>
            </w:rPr>
          </w:pPr>
        </w:p>
      </w:tc>
      <w:tc>
        <w:tcPr>
          <w:tcW w:w="0" w:type="auto"/>
          <w:vMerge/>
          <w:vAlign w:val="center"/>
          <w:hideMark/>
        </w:tcPr>
        <w:p w:rsidR="00CE2AC4" w:rsidRPr="005A3173" w:rsidRDefault="00CE2AC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E2AC4" w:rsidRPr="005A3173" w:rsidRDefault="00CE2AC4" w:rsidP="005A3173">
          <w:pPr>
            <w:pStyle w:val="Header"/>
            <w:spacing w:line="276" w:lineRule="auto"/>
            <w:rPr>
              <w:rFonts w:ascii="Calibri" w:eastAsia="MS Gothic" w:hAnsi="Calibri"/>
              <w:b/>
              <w:bCs/>
              <w:color w:val="4F81BD"/>
            </w:rPr>
          </w:pPr>
        </w:p>
      </w:tc>
    </w:tr>
  </w:tbl>
  <w:p w:rsidR="00CE2AC4" w:rsidRPr="007C0F57" w:rsidRDefault="00CE2AC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E2AC4" w:rsidRPr="007C0F57" w:rsidRDefault="00CE2AC4"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83" w:rsidRDefault="00C45183">
      <w:r>
        <w:separator/>
      </w:r>
    </w:p>
  </w:footnote>
  <w:footnote w:type="continuationSeparator" w:id="0">
    <w:p w:rsidR="00C45183" w:rsidRDefault="00C4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E2AC4" w:rsidRPr="008E0D90" w:rsidTr="00A06225">
      <w:trPr>
        <w:trHeight w:val="151"/>
      </w:trPr>
      <w:tc>
        <w:tcPr>
          <w:tcW w:w="2389" w:type="pct"/>
          <w:tcBorders>
            <w:top w:val="nil"/>
            <w:left w:val="nil"/>
            <w:bottom w:val="single" w:sz="4" w:space="0" w:color="4F81BD"/>
            <w:right w:val="nil"/>
          </w:tcBorders>
        </w:tcPr>
        <w:p w:rsidR="00CE2AC4" w:rsidRPr="00A06225" w:rsidRDefault="00CE2AC4">
          <w:pPr>
            <w:pStyle w:val="Header"/>
            <w:spacing w:line="276" w:lineRule="auto"/>
            <w:rPr>
              <w:rFonts w:ascii="Cambria" w:eastAsia="MS Gothic" w:hAnsi="Cambria"/>
              <w:b/>
              <w:bCs/>
              <w:color w:val="4F81BD"/>
            </w:rPr>
          </w:pPr>
        </w:p>
      </w:tc>
      <w:tc>
        <w:tcPr>
          <w:tcW w:w="333" w:type="pct"/>
          <w:vMerge w:val="restart"/>
          <w:noWrap/>
          <w:vAlign w:val="center"/>
          <w:hideMark/>
        </w:tcPr>
        <w:p w:rsidR="00CE2AC4" w:rsidRPr="00A06225" w:rsidRDefault="00CE2AC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E2AC4" w:rsidRPr="00A06225" w:rsidRDefault="00CE2AC4">
          <w:pPr>
            <w:pStyle w:val="Header"/>
            <w:spacing w:line="276" w:lineRule="auto"/>
            <w:rPr>
              <w:rFonts w:ascii="Cambria" w:eastAsia="MS Gothic" w:hAnsi="Cambria"/>
              <w:b/>
              <w:bCs/>
              <w:color w:val="4F81BD"/>
            </w:rPr>
          </w:pPr>
        </w:p>
      </w:tc>
    </w:tr>
    <w:tr w:rsidR="00CE2AC4" w:rsidRPr="008E0D90" w:rsidTr="00A06225">
      <w:trPr>
        <w:trHeight w:val="150"/>
      </w:trPr>
      <w:tc>
        <w:tcPr>
          <w:tcW w:w="2389" w:type="pct"/>
          <w:tcBorders>
            <w:top w:val="single" w:sz="4" w:space="0" w:color="4F81BD"/>
            <w:left w:val="nil"/>
            <w:bottom w:val="nil"/>
            <w:right w:val="nil"/>
          </w:tcBorders>
        </w:tcPr>
        <w:p w:rsidR="00CE2AC4" w:rsidRPr="00A06225" w:rsidRDefault="00CE2AC4">
          <w:pPr>
            <w:pStyle w:val="Header"/>
            <w:spacing w:line="276" w:lineRule="auto"/>
            <w:rPr>
              <w:rFonts w:ascii="Cambria" w:eastAsia="MS Gothic" w:hAnsi="Cambria"/>
              <w:b/>
              <w:bCs/>
              <w:color w:val="4F81BD"/>
            </w:rPr>
          </w:pPr>
        </w:p>
      </w:tc>
      <w:tc>
        <w:tcPr>
          <w:tcW w:w="0" w:type="auto"/>
          <w:vMerge/>
          <w:vAlign w:val="center"/>
          <w:hideMark/>
        </w:tcPr>
        <w:p w:rsidR="00CE2AC4" w:rsidRPr="00A06225" w:rsidRDefault="00CE2AC4">
          <w:pPr>
            <w:rPr>
              <w:rFonts w:ascii="Cambria" w:hAnsi="Cambria"/>
              <w:color w:val="4F81BD"/>
              <w:sz w:val="22"/>
              <w:szCs w:val="22"/>
            </w:rPr>
          </w:pPr>
        </w:p>
      </w:tc>
      <w:tc>
        <w:tcPr>
          <w:tcW w:w="2278" w:type="pct"/>
          <w:tcBorders>
            <w:top w:val="single" w:sz="4" w:space="0" w:color="4F81BD"/>
            <w:left w:val="nil"/>
            <w:bottom w:val="nil"/>
            <w:right w:val="nil"/>
          </w:tcBorders>
        </w:tcPr>
        <w:p w:rsidR="00CE2AC4" w:rsidRPr="00A06225" w:rsidRDefault="00CE2AC4">
          <w:pPr>
            <w:pStyle w:val="Header"/>
            <w:spacing w:line="276" w:lineRule="auto"/>
            <w:rPr>
              <w:rFonts w:ascii="Cambria" w:eastAsia="MS Gothic" w:hAnsi="Cambria"/>
              <w:b/>
              <w:bCs/>
              <w:color w:val="4F81BD"/>
            </w:rPr>
          </w:pPr>
        </w:p>
      </w:tc>
    </w:tr>
  </w:tbl>
  <w:p w:rsidR="00CE2AC4" w:rsidRDefault="00CE2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C4" w:rsidRPr="00B4253A" w:rsidRDefault="003F0173" w:rsidP="0041616F">
    <w:pPr>
      <w:tabs>
        <w:tab w:val="center" w:pos="4153"/>
        <w:tab w:val="right" w:pos="8306"/>
      </w:tabs>
      <w:spacing w:after="120"/>
      <w:ind w:left="360"/>
      <w:jc w:val="center"/>
      <w:rPr>
        <w:rFonts w:ascii="Arial" w:hAnsi="Arial" w:cs="Arial"/>
        <w:i/>
        <w:color w:val="808080"/>
        <w:sz w:val="22"/>
        <w:lang w:eastAsia="en-US"/>
      </w:rPr>
    </w:pPr>
    <w:r w:rsidRPr="003F0173">
      <w:rPr>
        <w:rFonts w:ascii="Arial" w:hAnsi="Arial" w:cs="Arial"/>
        <w:i/>
        <w:color w:val="808080"/>
        <w:sz w:val="22"/>
        <w:lang w:eastAsia="en-US"/>
      </w:rPr>
      <w:t>Public Summary Document</w:t>
    </w:r>
    <w:r>
      <w:rPr>
        <w:i/>
        <w:color w:val="808080"/>
      </w:rPr>
      <w:t xml:space="preserve"> </w:t>
    </w:r>
    <w:r w:rsidR="00CE2AC4" w:rsidRPr="00B4253A">
      <w:rPr>
        <w:rFonts w:ascii="Arial" w:hAnsi="Arial" w:cs="Arial"/>
        <w:i/>
        <w:color w:val="808080"/>
        <w:sz w:val="22"/>
        <w:lang w:eastAsia="en-US"/>
      </w:rPr>
      <w:t>– March 2015 PBAC Meeting</w:t>
    </w:r>
  </w:p>
  <w:p w:rsidR="00CE2AC4" w:rsidRPr="0041616F" w:rsidRDefault="00CE2AC4" w:rsidP="004161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10551F"/>
    <w:multiLevelType w:val="multilevel"/>
    <w:tmpl w:val="BAEA120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D36EB0A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80887"/>
    <w:multiLevelType w:val="multilevel"/>
    <w:tmpl w:val="81BC6AB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5F3DAB"/>
    <w:multiLevelType w:val="hybridMultilevel"/>
    <w:tmpl w:val="0DEEE5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3AA029E"/>
    <w:multiLevelType w:val="multilevel"/>
    <w:tmpl w:val="164E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7EC609F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0"/>
  </w:num>
  <w:num w:numId="4">
    <w:abstractNumId w:val="0"/>
  </w:num>
  <w:num w:numId="5">
    <w:abstractNumId w:val="5"/>
  </w:num>
  <w:num w:numId="6">
    <w:abstractNumId w:val="19"/>
  </w:num>
  <w:num w:numId="7">
    <w:abstractNumId w:val="15"/>
  </w:num>
  <w:num w:numId="8">
    <w:abstractNumId w:val="4"/>
  </w:num>
  <w:num w:numId="9">
    <w:abstractNumId w:val="7"/>
  </w:num>
  <w:num w:numId="10">
    <w:abstractNumId w:val="32"/>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6"/>
  </w:num>
  <w:num w:numId="15">
    <w:abstractNumId w:val="27"/>
  </w:num>
  <w:num w:numId="16">
    <w:abstractNumId w:val="23"/>
  </w:num>
  <w:num w:numId="17">
    <w:abstractNumId w:val="39"/>
  </w:num>
  <w:num w:numId="18">
    <w:abstractNumId w:val="12"/>
  </w:num>
  <w:num w:numId="19">
    <w:abstractNumId w:val="18"/>
  </w:num>
  <w:num w:numId="20">
    <w:abstractNumId w:val="3"/>
  </w:num>
  <w:num w:numId="21">
    <w:abstractNumId w:val="30"/>
  </w:num>
  <w:num w:numId="22">
    <w:abstractNumId w:val="34"/>
  </w:num>
  <w:num w:numId="23">
    <w:abstractNumId w:val="41"/>
  </w:num>
  <w:num w:numId="24">
    <w:abstractNumId w:val="14"/>
  </w:num>
  <w:num w:numId="25">
    <w:abstractNumId w:val="40"/>
  </w:num>
  <w:num w:numId="26">
    <w:abstractNumId w:val="28"/>
  </w:num>
  <w:num w:numId="27">
    <w:abstractNumId w:val="11"/>
  </w:num>
  <w:num w:numId="28">
    <w:abstractNumId w:val="6"/>
  </w:num>
  <w:num w:numId="29">
    <w:abstractNumId w:val="25"/>
  </w:num>
  <w:num w:numId="30">
    <w:abstractNumId w:val="2"/>
  </w:num>
  <w:num w:numId="31">
    <w:abstractNumId w:val="26"/>
  </w:num>
  <w:num w:numId="32">
    <w:abstractNumId w:val="38"/>
  </w:num>
  <w:num w:numId="33">
    <w:abstractNumId w:val="24"/>
  </w:num>
  <w:num w:numId="34">
    <w:abstractNumId w:val="42"/>
  </w:num>
  <w:num w:numId="35">
    <w:abstractNumId w:val="10"/>
  </w:num>
  <w:num w:numId="36">
    <w:abstractNumId w:val="22"/>
  </w:num>
  <w:num w:numId="37">
    <w:abstractNumId w:val="29"/>
  </w:num>
  <w:num w:numId="38">
    <w:abstractNumId w:val="8"/>
  </w:num>
  <w:num w:numId="39">
    <w:abstractNumId w:val="16"/>
  </w:num>
  <w:num w:numId="40">
    <w:abstractNumId w:val="1"/>
  </w:num>
  <w:num w:numId="41">
    <w:abstractNumId w:val="13"/>
  </w:num>
  <w:num w:numId="42">
    <w:abstractNumId w:val="31"/>
  </w:num>
  <w:num w:numId="43">
    <w:abstractNumId w:val="17"/>
  </w:num>
  <w:num w:numId="44">
    <w:abstractNumId w:val="3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C43"/>
    <w:rsid w:val="00023122"/>
    <w:rsid w:val="0002464A"/>
    <w:rsid w:val="0003106B"/>
    <w:rsid w:val="00032097"/>
    <w:rsid w:val="000421A1"/>
    <w:rsid w:val="0004240E"/>
    <w:rsid w:val="00045E26"/>
    <w:rsid w:val="000509C2"/>
    <w:rsid w:val="000514B5"/>
    <w:rsid w:val="00060E64"/>
    <w:rsid w:val="00066755"/>
    <w:rsid w:val="00076E5F"/>
    <w:rsid w:val="00085A77"/>
    <w:rsid w:val="000927DD"/>
    <w:rsid w:val="000948A4"/>
    <w:rsid w:val="000969AD"/>
    <w:rsid w:val="000B2E05"/>
    <w:rsid w:val="000B558D"/>
    <w:rsid w:val="000C6996"/>
    <w:rsid w:val="000D23BA"/>
    <w:rsid w:val="000E681E"/>
    <w:rsid w:val="000F4E6A"/>
    <w:rsid w:val="001107BF"/>
    <w:rsid w:val="0012417C"/>
    <w:rsid w:val="001331D6"/>
    <w:rsid w:val="001347D0"/>
    <w:rsid w:val="00142395"/>
    <w:rsid w:val="00142714"/>
    <w:rsid w:val="001452ED"/>
    <w:rsid w:val="00170FF6"/>
    <w:rsid w:val="001830CE"/>
    <w:rsid w:val="00191F0E"/>
    <w:rsid w:val="00193839"/>
    <w:rsid w:val="00196307"/>
    <w:rsid w:val="001A567E"/>
    <w:rsid w:val="001B017F"/>
    <w:rsid w:val="001B5129"/>
    <w:rsid w:val="001C1195"/>
    <w:rsid w:val="001C1E17"/>
    <w:rsid w:val="001D46D8"/>
    <w:rsid w:val="001E0CA2"/>
    <w:rsid w:val="00202EF1"/>
    <w:rsid w:val="00213CFB"/>
    <w:rsid w:val="00215F2E"/>
    <w:rsid w:val="00223E9A"/>
    <w:rsid w:val="002262B7"/>
    <w:rsid w:val="0024607B"/>
    <w:rsid w:val="002533CD"/>
    <w:rsid w:val="00263CB8"/>
    <w:rsid w:val="00271BA1"/>
    <w:rsid w:val="00273376"/>
    <w:rsid w:val="00277505"/>
    <w:rsid w:val="0029458F"/>
    <w:rsid w:val="00295417"/>
    <w:rsid w:val="00296A15"/>
    <w:rsid w:val="002A104C"/>
    <w:rsid w:val="002A4960"/>
    <w:rsid w:val="002B1AE6"/>
    <w:rsid w:val="002B2675"/>
    <w:rsid w:val="002B30F8"/>
    <w:rsid w:val="002B3A65"/>
    <w:rsid w:val="002C212F"/>
    <w:rsid w:val="002D23F6"/>
    <w:rsid w:val="002D76FE"/>
    <w:rsid w:val="002E2693"/>
    <w:rsid w:val="002E72CA"/>
    <w:rsid w:val="00306A46"/>
    <w:rsid w:val="00326E79"/>
    <w:rsid w:val="00331046"/>
    <w:rsid w:val="00333EF8"/>
    <w:rsid w:val="003367EF"/>
    <w:rsid w:val="00341AE4"/>
    <w:rsid w:val="003627A9"/>
    <w:rsid w:val="00363714"/>
    <w:rsid w:val="00387C43"/>
    <w:rsid w:val="00390FD3"/>
    <w:rsid w:val="003A55A7"/>
    <w:rsid w:val="003A5B4A"/>
    <w:rsid w:val="003B23C5"/>
    <w:rsid w:val="003B2A75"/>
    <w:rsid w:val="003D4AC4"/>
    <w:rsid w:val="003D63B7"/>
    <w:rsid w:val="003E1DF6"/>
    <w:rsid w:val="003E468B"/>
    <w:rsid w:val="003F0173"/>
    <w:rsid w:val="003F2791"/>
    <w:rsid w:val="003F5C8C"/>
    <w:rsid w:val="00403FFF"/>
    <w:rsid w:val="00414641"/>
    <w:rsid w:val="0041616F"/>
    <w:rsid w:val="00445BC1"/>
    <w:rsid w:val="004465BD"/>
    <w:rsid w:val="00463AFC"/>
    <w:rsid w:val="00466ADA"/>
    <w:rsid w:val="00470BDF"/>
    <w:rsid w:val="00474CA0"/>
    <w:rsid w:val="00476245"/>
    <w:rsid w:val="00484D8F"/>
    <w:rsid w:val="00485940"/>
    <w:rsid w:val="00485BB2"/>
    <w:rsid w:val="004A2861"/>
    <w:rsid w:val="004A5A85"/>
    <w:rsid w:val="004B5640"/>
    <w:rsid w:val="004C1BD7"/>
    <w:rsid w:val="004C691D"/>
    <w:rsid w:val="004E3314"/>
    <w:rsid w:val="004E5044"/>
    <w:rsid w:val="004E692D"/>
    <w:rsid w:val="00514CD7"/>
    <w:rsid w:val="00534E2E"/>
    <w:rsid w:val="005419D8"/>
    <w:rsid w:val="00544552"/>
    <w:rsid w:val="00561766"/>
    <w:rsid w:val="00566F74"/>
    <w:rsid w:val="00581932"/>
    <w:rsid w:val="00584B45"/>
    <w:rsid w:val="00593DF9"/>
    <w:rsid w:val="005963BB"/>
    <w:rsid w:val="005A3173"/>
    <w:rsid w:val="005A3223"/>
    <w:rsid w:val="005A3DA3"/>
    <w:rsid w:val="005A52C4"/>
    <w:rsid w:val="005C4058"/>
    <w:rsid w:val="005D03AB"/>
    <w:rsid w:val="005D5017"/>
    <w:rsid w:val="005F0AA1"/>
    <w:rsid w:val="00601A91"/>
    <w:rsid w:val="00602BA3"/>
    <w:rsid w:val="00605E9C"/>
    <w:rsid w:val="00606285"/>
    <w:rsid w:val="00611E81"/>
    <w:rsid w:val="00614159"/>
    <w:rsid w:val="00617C00"/>
    <w:rsid w:val="006263BF"/>
    <w:rsid w:val="00626484"/>
    <w:rsid w:val="00630A2C"/>
    <w:rsid w:val="00637AC7"/>
    <w:rsid w:val="00651169"/>
    <w:rsid w:val="00653D69"/>
    <w:rsid w:val="00663020"/>
    <w:rsid w:val="00670A76"/>
    <w:rsid w:val="006711AA"/>
    <w:rsid w:val="006747BE"/>
    <w:rsid w:val="00675622"/>
    <w:rsid w:val="006906DB"/>
    <w:rsid w:val="006A12A5"/>
    <w:rsid w:val="006A1C53"/>
    <w:rsid w:val="006B0D94"/>
    <w:rsid w:val="006B46A5"/>
    <w:rsid w:val="006B485D"/>
    <w:rsid w:val="006C708E"/>
    <w:rsid w:val="006D5700"/>
    <w:rsid w:val="006D6EC7"/>
    <w:rsid w:val="006F307D"/>
    <w:rsid w:val="006F5125"/>
    <w:rsid w:val="006F7AF3"/>
    <w:rsid w:val="007174BB"/>
    <w:rsid w:val="0073725A"/>
    <w:rsid w:val="00737D44"/>
    <w:rsid w:val="00744E6C"/>
    <w:rsid w:val="0076253D"/>
    <w:rsid w:val="0076420C"/>
    <w:rsid w:val="00771B47"/>
    <w:rsid w:val="007753C2"/>
    <w:rsid w:val="007838B8"/>
    <w:rsid w:val="007849B1"/>
    <w:rsid w:val="007C0F57"/>
    <w:rsid w:val="007C40B6"/>
    <w:rsid w:val="007C729F"/>
    <w:rsid w:val="007D33B7"/>
    <w:rsid w:val="007E1D28"/>
    <w:rsid w:val="007E5823"/>
    <w:rsid w:val="007F2641"/>
    <w:rsid w:val="007F7C36"/>
    <w:rsid w:val="00806796"/>
    <w:rsid w:val="0082619B"/>
    <w:rsid w:val="00826F6D"/>
    <w:rsid w:val="00856DDD"/>
    <w:rsid w:val="0086388B"/>
    <w:rsid w:val="00863E68"/>
    <w:rsid w:val="00882085"/>
    <w:rsid w:val="00883188"/>
    <w:rsid w:val="00886096"/>
    <w:rsid w:val="00897D58"/>
    <w:rsid w:val="008A1956"/>
    <w:rsid w:val="008A4937"/>
    <w:rsid w:val="008A6C72"/>
    <w:rsid w:val="008C6840"/>
    <w:rsid w:val="008D3C82"/>
    <w:rsid w:val="008D447E"/>
    <w:rsid w:val="008D7A41"/>
    <w:rsid w:val="008E3680"/>
    <w:rsid w:val="008E5870"/>
    <w:rsid w:val="008F1434"/>
    <w:rsid w:val="008F1903"/>
    <w:rsid w:val="008F7355"/>
    <w:rsid w:val="00905608"/>
    <w:rsid w:val="009067B7"/>
    <w:rsid w:val="00907175"/>
    <w:rsid w:val="0092111E"/>
    <w:rsid w:val="00925CF0"/>
    <w:rsid w:val="00930937"/>
    <w:rsid w:val="00933E6C"/>
    <w:rsid w:val="00942160"/>
    <w:rsid w:val="00946E91"/>
    <w:rsid w:val="009602C5"/>
    <w:rsid w:val="00963A5A"/>
    <w:rsid w:val="00974C21"/>
    <w:rsid w:val="00992E43"/>
    <w:rsid w:val="009A5C0E"/>
    <w:rsid w:val="009B0F67"/>
    <w:rsid w:val="009C703C"/>
    <w:rsid w:val="009D0B6B"/>
    <w:rsid w:val="009D3CAA"/>
    <w:rsid w:val="009F4E46"/>
    <w:rsid w:val="009F5B65"/>
    <w:rsid w:val="009F5F2E"/>
    <w:rsid w:val="00A06225"/>
    <w:rsid w:val="00A149B2"/>
    <w:rsid w:val="00A32365"/>
    <w:rsid w:val="00A37C8D"/>
    <w:rsid w:val="00A5273B"/>
    <w:rsid w:val="00A53A9D"/>
    <w:rsid w:val="00A60E0C"/>
    <w:rsid w:val="00A62C1A"/>
    <w:rsid w:val="00A62DDA"/>
    <w:rsid w:val="00A6426D"/>
    <w:rsid w:val="00A70622"/>
    <w:rsid w:val="00A70977"/>
    <w:rsid w:val="00A833E7"/>
    <w:rsid w:val="00A8390C"/>
    <w:rsid w:val="00A93C61"/>
    <w:rsid w:val="00AA4D1C"/>
    <w:rsid w:val="00AC5206"/>
    <w:rsid w:val="00AD5CA1"/>
    <w:rsid w:val="00AE11A5"/>
    <w:rsid w:val="00AE22FD"/>
    <w:rsid w:val="00AE3A95"/>
    <w:rsid w:val="00AF68CC"/>
    <w:rsid w:val="00AF7619"/>
    <w:rsid w:val="00B205AA"/>
    <w:rsid w:val="00B22E84"/>
    <w:rsid w:val="00B23871"/>
    <w:rsid w:val="00B25F75"/>
    <w:rsid w:val="00B27FEB"/>
    <w:rsid w:val="00B43E90"/>
    <w:rsid w:val="00B5019B"/>
    <w:rsid w:val="00B513ED"/>
    <w:rsid w:val="00B56118"/>
    <w:rsid w:val="00B571E7"/>
    <w:rsid w:val="00B60CDE"/>
    <w:rsid w:val="00B6773F"/>
    <w:rsid w:val="00B8413B"/>
    <w:rsid w:val="00BA619E"/>
    <w:rsid w:val="00BB69F5"/>
    <w:rsid w:val="00BB7EC3"/>
    <w:rsid w:val="00BC4B9A"/>
    <w:rsid w:val="00BD784C"/>
    <w:rsid w:val="00BE5168"/>
    <w:rsid w:val="00BF4CB6"/>
    <w:rsid w:val="00C00DA7"/>
    <w:rsid w:val="00C02FE2"/>
    <w:rsid w:val="00C02FE6"/>
    <w:rsid w:val="00C03A8F"/>
    <w:rsid w:val="00C047D9"/>
    <w:rsid w:val="00C12768"/>
    <w:rsid w:val="00C266BF"/>
    <w:rsid w:val="00C3283D"/>
    <w:rsid w:val="00C35996"/>
    <w:rsid w:val="00C45183"/>
    <w:rsid w:val="00C5342C"/>
    <w:rsid w:val="00C6256A"/>
    <w:rsid w:val="00C91449"/>
    <w:rsid w:val="00C92D10"/>
    <w:rsid w:val="00CA0E9C"/>
    <w:rsid w:val="00CA6F9E"/>
    <w:rsid w:val="00CB3D13"/>
    <w:rsid w:val="00CB63C3"/>
    <w:rsid w:val="00CE10C4"/>
    <w:rsid w:val="00CE27B5"/>
    <w:rsid w:val="00CE2AC4"/>
    <w:rsid w:val="00CE7247"/>
    <w:rsid w:val="00D0321E"/>
    <w:rsid w:val="00D1455A"/>
    <w:rsid w:val="00D3280C"/>
    <w:rsid w:val="00D3406A"/>
    <w:rsid w:val="00D469B2"/>
    <w:rsid w:val="00D741EB"/>
    <w:rsid w:val="00D91271"/>
    <w:rsid w:val="00DA2CB5"/>
    <w:rsid w:val="00DA3C43"/>
    <w:rsid w:val="00DA4BAC"/>
    <w:rsid w:val="00DB5E86"/>
    <w:rsid w:val="00DE6D27"/>
    <w:rsid w:val="00DF217D"/>
    <w:rsid w:val="00DF26A7"/>
    <w:rsid w:val="00E03659"/>
    <w:rsid w:val="00E1494C"/>
    <w:rsid w:val="00E15DD1"/>
    <w:rsid w:val="00E164B3"/>
    <w:rsid w:val="00E16910"/>
    <w:rsid w:val="00E64438"/>
    <w:rsid w:val="00E65E54"/>
    <w:rsid w:val="00E72852"/>
    <w:rsid w:val="00E80155"/>
    <w:rsid w:val="00E848C0"/>
    <w:rsid w:val="00E91B96"/>
    <w:rsid w:val="00E941A1"/>
    <w:rsid w:val="00E95CE3"/>
    <w:rsid w:val="00EA09B0"/>
    <w:rsid w:val="00EA2825"/>
    <w:rsid w:val="00EB5088"/>
    <w:rsid w:val="00EC1867"/>
    <w:rsid w:val="00ED1644"/>
    <w:rsid w:val="00EE3645"/>
    <w:rsid w:val="00EE66B2"/>
    <w:rsid w:val="00EE6E1B"/>
    <w:rsid w:val="00EF44A0"/>
    <w:rsid w:val="00F050BD"/>
    <w:rsid w:val="00F05657"/>
    <w:rsid w:val="00F12B37"/>
    <w:rsid w:val="00F13E7A"/>
    <w:rsid w:val="00F14697"/>
    <w:rsid w:val="00F23D55"/>
    <w:rsid w:val="00F25578"/>
    <w:rsid w:val="00F258E5"/>
    <w:rsid w:val="00F300BC"/>
    <w:rsid w:val="00F31D10"/>
    <w:rsid w:val="00F3334E"/>
    <w:rsid w:val="00F42D16"/>
    <w:rsid w:val="00F50AB9"/>
    <w:rsid w:val="00F50EC4"/>
    <w:rsid w:val="00F51AA3"/>
    <w:rsid w:val="00F57A6D"/>
    <w:rsid w:val="00F6231C"/>
    <w:rsid w:val="00F638CC"/>
    <w:rsid w:val="00F64665"/>
    <w:rsid w:val="00F7044A"/>
    <w:rsid w:val="00F72692"/>
    <w:rsid w:val="00F8247A"/>
    <w:rsid w:val="00F86480"/>
    <w:rsid w:val="00F9629A"/>
    <w:rsid w:val="00FA41FE"/>
    <w:rsid w:val="00FA5883"/>
    <w:rsid w:val="00FA6055"/>
    <w:rsid w:val="00FB322F"/>
    <w:rsid w:val="00FB442F"/>
    <w:rsid w:val="00FB7FFE"/>
    <w:rsid w:val="00FC1929"/>
    <w:rsid w:val="00FC5B46"/>
    <w:rsid w:val="00FC7C21"/>
    <w:rsid w:val="00FF00BD"/>
    <w:rsid w:val="00FF1ED4"/>
    <w:rsid w:val="00FF3F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470BDF"/>
    <w:pPr>
      <w:ind w:left="720" w:hanging="720"/>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470BDF"/>
    <w:pPr>
      <w:numPr>
        <w:numId w:val="25"/>
      </w:numPr>
      <w:jc w:val="both"/>
    </w:pPr>
    <w:rPr>
      <w:rFonts w:ascii="Arial" w:hAnsi="Arial"/>
      <w:b/>
      <w:sz w:val="22"/>
      <w:szCs w:val="22"/>
    </w:rPr>
  </w:style>
  <w:style w:type="paragraph" w:styleId="Title">
    <w:name w:val="Title"/>
    <w:basedOn w:val="Normal"/>
    <w:next w:val="Normal"/>
    <w:link w:val="TitleChar"/>
    <w:qFormat/>
    <w:rsid w:val="007849B1"/>
    <w:pPr>
      <w:ind w:left="720" w:hanging="720"/>
    </w:pPr>
    <w:rPr>
      <w:rFonts w:ascii="Arial" w:hAnsi="Arial"/>
      <w:b/>
      <w:sz w:val="28"/>
      <w:szCs w:val="28"/>
    </w:rPr>
  </w:style>
  <w:style w:type="character" w:customStyle="1" w:styleId="TitleChar">
    <w:name w:val="Title Char"/>
    <w:basedOn w:val="DefaultParagraphFont"/>
    <w:link w:val="Title"/>
    <w:rsid w:val="007849B1"/>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470BDF"/>
    <w:pPr>
      <w:ind w:left="720" w:hanging="720"/>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470BDF"/>
    <w:pPr>
      <w:numPr>
        <w:numId w:val="25"/>
      </w:numPr>
      <w:jc w:val="both"/>
    </w:pPr>
    <w:rPr>
      <w:rFonts w:ascii="Arial" w:hAnsi="Arial"/>
      <w:b/>
      <w:sz w:val="22"/>
      <w:szCs w:val="22"/>
    </w:rPr>
  </w:style>
  <w:style w:type="paragraph" w:styleId="Title">
    <w:name w:val="Title"/>
    <w:basedOn w:val="Normal"/>
    <w:next w:val="Normal"/>
    <w:link w:val="TitleChar"/>
    <w:qFormat/>
    <w:rsid w:val="007849B1"/>
    <w:pPr>
      <w:ind w:left="720" w:hanging="720"/>
    </w:pPr>
    <w:rPr>
      <w:rFonts w:ascii="Arial" w:hAnsi="Arial"/>
      <w:b/>
      <w:sz w:val="28"/>
      <w:szCs w:val="28"/>
    </w:rPr>
  </w:style>
  <w:style w:type="character" w:customStyle="1" w:styleId="TitleChar">
    <w:name w:val="Title Char"/>
    <w:basedOn w:val="DefaultParagraphFont"/>
    <w:link w:val="Title"/>
    <w:rsid w:val="007849B1"/>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54818999">
      <w:bodyDiv w:val="1"/>
      <w:marLeft w:val="0"/>
      <w:marRight w:val="0"/>
      <w:marTop w:val="0"/>
      <w:marBottom w:val="0"/>
      <w:divBdr>
        <w:top w:val="none" w:sz="0" w:space="0" w:color="auto"/>
        <w:left w:val="none" w:sz="0" w:space="0" w:color="auto"/>
        <w:bottom w:val="none" w:sz="0" w:space="0" w:color="auto"/>
        <w:right w:val="none" w:sz="0" w:space="0" w:color="auto"/>
      </w:divBdr>
    </w:div>
    <w:div w:id="1559976567">
      <w:bodyDiv w:val="1"/>
      <w:marLeft w:val="0"/>
      <w:marRight w:val="0"/>
      <w:marTop w:val="0"/>
      <w:marBottom w:val="0"/>
      <w:divBdr>
        <w:top w:val="none" w:sz="0" w:space="0" w:color="auto"/>
        <w:left w:val="none" w:sz="0" w:space="0" w:color="auto"/>
        <w:bottom w:val="none" w:sz="0" w:space="0" w:color="auto"/>
        <w:right w:val="none" w:sz="0" w:space="0" w:color="auto"/>
      </w:divBdr>
      <w:divsChild>
        <w:div w:id="949240428">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6F97-815E-4C12-9DD9-B9083A8A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9819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5.37 Triglycerides medium chain formula</vt:lpstr>
    </vt:vector>
  </TitlesOfParts>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5.37 Triglycerides medium chain formula</dc:title>
  <dc:creator/>
  <cp:lastModifiedBy/>
  <cp:revision>1</cp:revision>
  <dcterms:created xsi:type="dcterms:W3CDTF">2015-06-29T06:18:00Z</dcterms:created>
  <dcterms:modified xsi:type="dcterms:W3CDTF">2015-06-29T06:18:00Z</dcterms:modified>
</cp:coreProperties>
</file>