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25B6" w:rsidRPr="005125B6" w:rsidRDefault="005125B6" w:rsidP="005125B6">
      <w:pPr>
        <w:pStyle w:val="Title"/>
        <w:rPr>
          <w:b/>
          <w:sz w:val="28"/>
          <w:szCs w:val="28"/>
        </w:rPr>
      </w:pPr>
      <w:bookmarkStart w:id="0" w:name="_Toc409513698"/>
      <w:bookmarkStart w:id="1" w:name="_GoBack"/>
      <w:bookmarkEnd w:id="1"/>
      <w:r w:rsidRPr="005125B6">
        <w:rPr>
          <w:b/>
          <w:sz w:val="28"/>
          <w:szCs w:val="28"/>
        </w:rPr>
        <w:t>6.06</w:t>
      </w:r>
      <w:r w:rsidRPr="005125B6">
        <w:rPr>
          <w:b/>
          <w:sz w:val="28"/>
          <w:szCs w:val="28"/>
        </w:rPr>
        <w:tab/>
      </w:r>
      <w:r w:rsidR="00CE2C77" w:rsidRPr="005125B6">
        <w:rPr>
          <w:b/>
          <w:sz w:val="28"/>
          <w:szCs w:val="28"/>
        </w:rPr>
        <w:t>PNEUMOCOCCAL CONJUGATE VACCINE</w:t>
      </w:r>
    </w:p>
    <w:p w:rsidR="00CE2C77" w:rsidRPr="005125B6" w:rsidRDefault="005125B6" w:rsidP="00B13F1C">
      <w:pPr>
        <w:ind w:left="720"/>
        <w:outlineLvl w:val="0"/>
        <w:rPr>
          <w:rFonts w:ascii="Arial" w:hAnsi="Arial" w:cs="Arial"/>
          <w:b/>
          <w:caps/>
          <w:snapToGrid w:val="0"/>
          <w:sz w:val="28"/>
          <w:szCs w:val="28"/>
        </w:rPr>
      </w:pPr>
      <w:r w:rsidRPr="005125B6">
        <w:rPr>
          <w:rStyle w:val="TitleChar"/>
          <w:b/>
          <w:sz w:val="28"/>
          <w:szCs w:val="28"/>
        </w:rPr>
        <w:t>13-valent adsorbed</w:t>
      </w:r>
      <w:r>
        <w:rPr>
          <w:rFonts w:ascii="Arial" w:hAnsi="Arial" w:cs="Arial"/>
          <w:b/>
          <w:caps/>
          <w:snapToGrid w:val="0"/>
          <w:sz w:val="28"/>
          <w:szCs w:val="28"/>
        </w:rPr>
        <w:t xml:space="preserve"> </w:t>
      </w:r>
      <w:r w:rsidR="00CE2C77" w:rsidRPr="00CE2C77">
        <w:rPr>
          <w:rFonts w:ascii="Arial Bold" w:hAnsi="Arial Bold" w:cs="Arial"/>
          <w:b/>
          <w:snapToGrid w:val="0"/>
          <w:sz w:val="28"/>
          <w:szCs w:val="20"/>
        </w:rPr>
        <w:t>pre-filled syringe</w:t>
      </w:r>
      <w:r w:rsidR="00CE2C77" w:rsidRPr="00CE2C77">
        <w:rPr>
          <w:rFonts w:ascii="Arial Bold" w:hAnsi="Arial Bold" w:cs="Arial"/>
          <w:b/>
          <w:caps/>
          <w:snapToGrid w:val="0"/>
          <w:sz w:val="28"/>
          <w:szCs w:val="20"/>
        </w:rPr>
        <w:t xml:space="preserve">, </w:t>
      </w:r>
      <w:r w:rsidR="00CE2C77" w:rsidRPr="00CE2C77">
        <w:rPr>
          <w:rFonts w:ascii="Arial Bold" w:hAnsi="Arial Bold" w:cs="Arial"/>
          <w:b/>
          <w:snapToGrid w:val="0"/>
          <w:sz w:val="28"/>
          <w:szCs w:val="20"/>
        </w:rPr>
        <w:t>0.5 mL</w:t>
      </w:r>
      <w:r w:rsidR="00A73D9B">
        <w:rPr>
          <w:rFonts w:ascii="Arial Bold" w:hAnsi="Arial Bold" w:cs="Arial"/>
          <w:b/>
          <w:caps/>
          <w:snapToGrid w:val="0"/>
          <w:sz w:val="28"/>
          <w:szCs w:val="20"/>
        </w:rPr>
        <w:br/>
      </w:r>
      <w:r w:rsidR="00CE2C77" w:rsidRPr="00CE2C77">
        <w:rPr>
          <w:rFonts w:ascii="Arial Bold" w:hAnsi="Arial Bold" w:cs="Arial"/>
          <w:b/>
          <w:snapToGrid w:val="0"/>
          <w:sz w:val="28"/>
          <w:szCs w:val="20"/>
        </w:rPr>
        <w:t>Prevenar 13</w:t>
      </w:r>
      <w:r w:rsidR="00CE2C77" w:rsidRPr="00CE2C77">
        <w:rPr>
          <w:rFonts w:ascii="Arial Bold" w:hAnsi="Arial Bold" w:cs="Arial"/>
          <w:b/>
          <w:caps/>
          <w:snapToGrid w:val="0"/>
          <w:sz w:val="28"/>
          <w:szCs w:val="20"/>
          <w:vertAlign w:val="superscript"/>
        </w:rPr>
        <w:t>®</w:t>
      </w:r>
      <w:r w:rsidR="00CE2C77" w:rsidRPr="00CE2C77">
        <w:rPr>
          <w:rFonts w:ascii="Arial Bold" w:hAnsi="Arial Bold" w:cs="Arial"/>
          <w:b/>
          <w:caps/>
          <w:snapToGrid w:val="0"/>
          <w:sz w:val="28"/>
          <w:szCs w:val="20"/>
        </w:rPr>
        <w:t xml:space="preserve">, </w:t>
      </w:r>
      <w:r w:rsidR="00CE2C77" w:rsidRPr="00020CA5">
        <w:rPr>
          <w:rFonts w:ascii="Arial Bold" w:hAnsi="Arial Bold" w:cs="Arial"/>
          <w:b/>
          <w:snapToGrid w:val="0"/>
          <w:sz w:val="28"/>
          <w:szCs w:val="20"/>
        </w:rPr>
        <w:t>Pfizer</w:t>
      </w:r>
      <w:bookmarkEnd w:id="0"/>
    </w:p>
    <w:p w:rsidR="00434001" w:rsidRPr="00CE2C77" w:rsidRDefault="00434001" w:rsidP="005D0815">
      <w:pPr>
        <w:jc w:val="both"/>
        <w:rPr>
          <w:rFonts w:ascii="Arial" w:hAnsi="Arial" w:cs="Arial"/>
          <w:snapToGrid w:val="0"/>
          <w:sz w:val="22"/>
          <w:szCs w:val="20"/>
        </w:rPr>
      </w:pPr>
    </w:p>
    <w:p w:rsidR="00CE2C77" w:rsidRPr="00997340" w:rsidRDefault="00CE2C77" w:rsidP="005D0815">
      <w:pPr>
        <w:pStyle w:val="PBACHeading1"/>
        <w:keepNext/>
      </w:pPr>
      <w:bookmarkStart w:id="2" w:name="_Toc409513700"/>
      <w:r w:rsidRPr="00997340">
        <w:t>Purpose of Application</w:t>
      </w:r>
      <w:bookmarkEnd w:id="2"/>
    </w:p>
    <w:p w:rsidR="00CE2C77" w:rsidRPr="00CE2C77" w:rsidRDefault="00CE2C77" w:rsidP="005D0815">
      <w:pPr>
        <w:keepNext/>
        <w:jc w:val="both"/>
        <w:rPr>
          <w:rFonts w:ascii="Arial" w:hAnsi="Arial" w:cs="Arial"/>
          <w:snapToGrid w:val="0"/>
          <w:sz w:val="22"/>
          <w:szCs w:val="22"/>
        </w:rPr>
      </w:pPr>
    </w:p>
    <w:p w:rsidR="00CE2C77" w:rsidRPr="00CE2C77" w:rsidRDefault="002A5EC2" w:rsidP="005D0815">
      <w:pPr>
        <w:numPr>
          <w:ilvl w:val="1"/>
          <w:numId w:val="3"/>
        </w:numPr>
        <w:contextualSpacing/>
        <w:jc w:val="both"/>
        <w:rPr>
          <w:rFonts w:ascii="Arial" w:hAnsi="Arial" w:cs="Arial"/>
          <w:snapToGrid w:val="0"/>
          <w:sz w:val="22"/>
          <w:szCs w:val="20"/>
        </w:rPr>
      </w:pPr>
      <w:r>
        <w:rPr>
          <w:rFonts w:ascii="Arial" w:hAnsi="Arial" w:cs="Arial"/>
          <w:snapToGrid w:val="0"/>
          <w:sz w:val="22"/>
          <w:szCs w:val="20"/>
        </w:rPr>
        <w:t xml:space="preserve">The major submission </w:t>
      </w:r>
      <w:r w:rsidR="005C77AA">
        <w:rPr>
          <w:rFonts w:ascii="Arial" w:hAnsi="Arial" w:cs="Arial"/>
          <w:snapToGrid w:val="0"/>
          <w:sz w:val="22"/>
          <w:szCs w:val="20"/>
        </w:rPr>
        <w:t>sought</w:t>
      </w:r>
      <w:r>
        <w:rPr>
          <w:rFonts w:ascii="Arial" w:hAnsi="Arial" w:cs="Arial"/>
          <w:snapToGrid w:val="0"/>
          <w:sz w:val="22"/>
          <w:szCs w:val="20"/>
        </w:rPr>
        <w:t xml:space="preserve"> </w:t>
      </w:r>
      <w:r w:rsidR="006153CD">
        <w:rPr>
          <w:rFonts w:ascii="Arial" w:hAnsi="Arial" w:cs="Arial"/>
          <w:snapToGrid w:val="0"/>
          <w:sz w:val="22"/>
          <w:szCs w:val="20"/>
        </w:rPr>
        <w:t>National Immunisation Program (</w:t>
      </w:r>
      <w:r w:rsidR="00CE2C77" w:rsidRPr="00CE2C77">
        <w:rPr>
          <w:rFonts w:ascii="Arial" w:hAnsi="Arial" w:cs="Arial"/>
          <w:snapToGrid w:val="0"/>
          <w:sz w:val="22"/>
          <w:szCs w:val="20"/>
        </w:rPr>
        <w:t>NIP</w:t>
      </w:r>
      <w:r w:rsidR="006153CD">
        <w:rPr>
          <w:rFonts w:ascii="Arial" w:hAnsi="Arial" w:cs="Arial"/>
          <w:snapToGrid w:val="0"/>
          <w:sz w:val="22"/>
          <w:szCs w:val="20"/>
        </w:rPr>
        <w:t>)</w:t>
      </w:r>
      <w:r w:rsidR="00CE2C77" w:rsidRPr="00CE2C77">
        <w:rPr>
          <w:rFonts w:ascii="Arial" w:hAnsi="Arial" w:cs="Arial"/>
          <w:snapToGrid w:val="0"/>
          <w:sz w:val="22"/>
          <w:szCs w:val="20"/>
        </w:rPr>
        <w:t xml:space="preserve"> listing for </w:t>
      </w:r>
      <w:r w:rsidR="00780900">
        <w:rPr>
          <w:rFonts w:ascii="Arial" w:hAnsi="Arial" w:cs="Arial"/>
          <w:snapToGrid w:val="0"/>
          <w:sz w:val="22"/>
          <w:szCs w:val="20"/>
        </w:rPr>
        <w:t>13</w:t>
      </w:r>
      <w:r w:rsidR="00780900">
        <w:rPr>
          <w:rFonts w:ascii="Arial" w:hAnsi="Arial" w:cs="Arial"/>
          <w:snapToGrid w:val="0"/>
          <w:sz w:val="22"/>
          <w:szCs w:val="20"/>
        </w:rPr>
        <w:noBreakHyphen/>
      </w:r>
      <w:r w:rsidR="006153CD" w:rsidRPr="006153CD">
        <w:rPr>
          <w:rFonts w:ascii="Arial" w:hAnsi="Arial" w:cs="Arial"/>
          <w:snapToGrid w:val="0"/>
          <w:sz w:val="22"/>
          <w:szCs w:val="20"/>
        </w:rPr>
        <w:t xml:space="preserve">valent pneumococcal conjugate vaccine </w:t>
      </w:r>
      <w:r w:rsidR="006153CD">
        <w:rPr>
          <w:rFonts w:ascii="Arial" w:hAnsi="Arial" w:cs="Arial"/>
          <w:snapToGrid w:val="0"/>
          <w:sz w:val="22"/>
          <w:szCs w:val="20"/>
        </w:rPr>
        <w:t>(</w:t>
      </w:r>
      <w:r w:rsidR="00CE2C77" w:rsidRPr="00CE2C77">
        <w:rPr>
          <w:rFonts w:ascii="Arial" w:hAnsi="Arial" w:cs="Arial"/>
          <w:snapToGrid w:val="0"/>
          <w:sz w:val="22"/>
          <w:szCs w:val="20"/>
        </w:rPr>
        <w:t>13vPCV</w:t>
      </w:r>
      <w:r w:rsidR="006153CD">
        <w:rPr>
          <w:rFonts w:ascii="Arial" w:hAnsi="Arial" w:cs="Arial"/>
          <w:snapToGrid w:val="0"/>
          <w:sz w:val="22"/>
          <w:szCs w:val="20"/>
        </w:rPr>
        <w:t>)</w:t>
      </w:r>
      <w:r w:rsidR="00CE2C77" w:rsidRPr="00CE2C77">
        <w:rPr>
          <w:rFonts w:ascii="Arial" w:hAnsi="Arial" w:cs="Arial"/>
          <w:snapToGrid w:val="0"/>
          <w:sz w:val="22"/>
          <w:szCs w:val="20"/>
        </w:rPr>
        <w:t xml:space="preserve"> for prevention of pneumococcal </w:t>
      </w:r>
      <w:r w:rsidR="007712B0">
        <w:rPr>
          <w:rFonts w:ascii="Arial" w:hAnsi="Arial" w:cs="Arial"/>
          <w:snapToGrid w:val="0"/>
          <w:sz w:val="22"/>
          <w:szCs w:val="20"/>
        </w:rPr>
        <w:t>pneumonia and invasive pneumococcal disease</w:t>
      </w:r>
      <w:r w:rsidR="007712B0" w:rsidRPr="00CE2C77">
        <w:rPr>
          <w:rFonts w:ascii="Arial" w:hAnsi="Arial" w:cs="Arial"/>
          <w:snapToGrid w:val="0"/>
          <w:sz w:val="22"/>
          <w:szCs w:val="20"/>
        </w:rPr>
        <w:t xml:space="preserve"> </w:t>
      </w:r>
      <w:r w:rsidR="00CE2C77" w:rsidRPr="00CE2C77">
        <w:rPr>
          <w:rFonts w:ascii="Arial" w:hAnsi="Arial" w:cs="Arial"/>
          <w:snapToGrid w:val="0"/>
          <w:sz w:val="22"/>
          <w:szCs w:val="20"/>
        </w:rPr>
        <w:t xml:space="preserve">in adults. </w:t>
      </w:r>
    </w:p>
    <w:p w:rsidR="00CE2C77" w:rsidRDefault="00CE2C77" w:rsidP="005D0815">
      <w:pPr>
        <w:jc w:val="both"/>
        <w:rPr>
          <w:rFonts w:ascii="Arial" w:hAnsi="Arial" w:cs="Arial"/>
          <w:snapToGrid w:val="0"/>
          <w:sz w:val="22"/>
          <w:szCs w:val="20"/>
        </w:rPr>
      </w:pPr>
    </w:p>
    <w:p w:rsidR="00EA2B1F" w:rsidRPr="00CE2C77" w:rsidRDefault="00EA2B1F" w:rsidP="005D0815">
      <w:pPr>
        <w:jc w:val="both"/>
        <w:rPr>
          <w:rFonts w:ascii="Arial" w:hAnsi="Arial" w:cs="Arial"/>
          <w:snapToGrid w:val="0"/>
          <w:sz w:val="22"/>
          <w:szCs w:val="20"/>
        </w:rPr>
      </w:pPr>
    </w:p>
    <w:p w:rsidR="00CE2C77" w:rsidRPr="00CE2C77" w:rsidRDefault="00CE2C77" w:rsidP="005D0815">
      <w:pPr>
        <w:pStyle w:val="PBACHeading1"/>
      </w:pPr>
      <w:bookmarkStart w:id="3" w:name="_Toc409513701"/>
      <w:r w:rsidRPr="00CE2C77">
        <w:t>Requested listing</w:t>
      </w:r>
      <w:bookmarkEnd w:id="3"/>
    </w:p>
    <w:p w:rsidR="00CE2C77" w:rsidRPr="00CE2C77" w:rsidRDefault="00CE2C77" w:rsidP="005D0815">
      <w:pPr>
        <w:jc w:val="both"/>
        <w:rPr>
          <w:rFonts w:ascii="Arial" w:hAnsi="Arial" w:cs="Arial"/>
          <w:snapToGrid w:val="0"/>
          <w:sz w:val="22"/>
          <w:szCs w:val="20"/>
        </w:rPr>
      </w:pPr>
    </w:p>
    <w:p w:rsidR="00CE2C77" w:rsidRPr="00CE2C77" w:rsidRDefault="00CE2C77" w:rsidP="005D0815">
      <w:pPr>
        <w:numPr>
          <w:ilvl w:val="1"/>
          <w:numId w:val="3"/>
        </w:numPr>
        <w:contextualSpacing/>
        <w:jc w:val="both"/>
        <w:rPr>
          <w:rFonts w:ascii="Arial" w:hAnsi="Arial" w:cs="Arial"/>
          <w:snapToGrid w:val="0"/>
          <w:sz w:val="22"/>
          <w:szCs w:val="22"/>
        </w:rPr>
      </w:pPr>
      <w:r w:rsidRPr="00CE2C77">
        <w:rPr>
          <w:rFonts w:ascii="Arial" w:hAnsi="Arial" w:cs="Arial"/>
          <w:snapToGrid w:val="0"/>
          <w:sz w:val="22"/>
          <w:szCs w:val="22"/>
        </w:rPr>
        <w:t>The submission sought the following listing:</w:t>
      </w:r>
    </w:p>
    <w:p w:rsidR="00CE2C77" w:rsidRPr="006153CD" w:rsidRDefault="00CE2C77" w:rsidP="005D0815">
      <w:pPr>
        <w:jc w:val="both"/>
        <w:rPr>
          <w:rFonts w:ascii="Arial Narrow" w:hAnsi="Arial Narrow" w:cs="Arial"/>
          <w:snapToGrid w:val="0"/>
          <w:sz w:val="22"/>
          <w:szCs w:val="20"/>
        </w:rPr>
      </w:pPr>
    </w:p>
    <w:tbl>
      <w:tblPr>
        <w:tblW w:w="4604" w:type="pct"/>
        <w:tblInd w:w="737" w:type="dxa"/>
        <w:tblCellMar>
          <w:left w:w="28" w:type="dxa"/>
          <w:right w:w="28" w:type="dxa"/>
        </w:tblCellMar>
        <w:tblLook w:val="0000" w:firstRow="0" w:lastRow="0" w:firstColumn="0" w:lastColumn="0" w:noHBand="0" w:noVBand="0"/>
      </w:tblPr>
      <w:tblGrid>
        <w:gridCol w:w="3106"/>
        <w:gridCol w:w="694"/>
        <w:gridCol w:w="838"/>
        <w:gridCol w:w="1516"/>
        <w:gridCol w:w="1218"/>
        <w:gridCol w:w="992"/>
      </w:tblGrid>
      <w:tr w:rsidR="00CE2C77" w:rsidRPr="002A5EC2" w:rsidTr="00E97617">
        <w:trPr>
          <w:cantSplit/>
          <w:trHeight w:val="463"/>
        </w:trPr>
        <w:tc>
          <w:tcPr>
            <w:tcW w:w="1857" w:type="pct"/>
            <w:tcBorders>
              <w:bottom w:val="single" w:sz="4" w:space="0" w:color="auto"/>
            </w:tcBorders>
            <w:vAlign w:val="center"/>
          </w:tcPr>
          <w:p w:rsidR="00CE2C77" w:rsidRPr="006153CD" w:rsidRDefault="00CE2C77" w:rsidP="005D0815">
            <w:pPr>
              <w:keepNext/>
              <w:rPr>
                <w:rFonts w:ascii="Arial Narrow" w:hAnsi="Arial Narrow" w:cs="Arial"/>
                <w:snapToGrid w:val="0"/>
                <w:sz w:val="20"/>
                <w:szCs w:val="20"/>
              </w:rPr>
            </w:pPr>
            <w:r w:rsidRPr="006153CD">
              <w:rPr>
                <w:rFonts w:ascii="Arial Narrow" w:hAnsi="Arial Narrow" w:cs="Arial"/>
                <w:snapToGrid w:val="0"/>
                <w:sz w:val="20"/>
                <w:szCs w:val="20"/>
              </w:rPr>
              <w:t>Name, Restriction,</w:t>
            </w:r>
          </w:p>
          <w:p w:rsidR="00CE2C77" w:rsidRPr="006153CD" w:rsidRDefault="00CE2C77" w:rsidP="005D0815">
            <w:pPr>
              <w:keepNext/>
              <w:rPr>
                <w:rFonts w:ascii="Arial Narrow" w:hAnsi="Arial Narrow" w:cs="Arial"/>
                <w:snapToGrid w:val="0"/>
                <w:sz w:val="20"/>
                <w:szCs w:val="20"/>
              </w:rPr>
            </w:pPr>
            <w:r w:rsidRPr="006153CD">
              <w:rPr>
                <w:rFonts w:ascii="Arial Narrow" w:hAnsi="Arial Narrow" w:cs="Arial"/>
                <w:snapToGrid w:val="0"/>
                <w:sz w:val="20"/>
                <w:szCs w:val="20"/>
              </w:rPr>
              <w:t>Manner of administration and form</w:t>
            </w:r>
          </w:p>
        </w:tc>
        <w:tc>
          <w:tcPr>
            <w:tcW w:w="415" w:type="pct"/>
            <w:tcBorders>
              <w:bottom w:val="single" w:sz="4" w:space="0" w:color="auto"/>
            </w:tcBorders>
            <w:vAlign w:val="center"/>
          </w:tcPr>
          <w:p w:rsidR="00CE2C77" w:rsidRPr="006153CD" w:rsidRDefault="00CE2C77" w:rsidP="005D0815">
            <w:pPr>
              <w:keepNext/>
              <w:jc w:val="center"/>
              <w:rPr>
                <w:rFonts w:ascii="Arial Narrow" w:hAnsi="Arial Narrow" w:cs="Arial"/>
                <w:snapToGrid w:val="0"/>
                <w:sz w:val="20"/>
                <w:szCs w:val="20"/>
              </w:rPr>
            </w:pPr>
            <w:r w:rsidRPr="006153CD">
              <w:rPr>
                <w:rFonts w:ascii="Arial Narrow" w:hAnsi="Arial Narrow" w:cs="Arial"/>
                <w:snapToGrid w:val="0"/>
                <w:sz w:val="20"/>
                <w:szCs w:val="20"/>
              </w:rPr>
              <w:t>Max.</w:t>
            </w:r>
          </w:p>
          <w:p w:rsidR="00CE2C77" w:rsidRPr="006153CD" w:rsidRDefault="00CE2C77" w:rsidP="005D0815">
            <w:pPr>
              <w:keepNext/>
              <w:jc w:val="center"/>
              <w:rPr>
                <w:rFonts w:ascii="Arial Narrow" w:hAnsi="Arial Narrow" w:cs="Arial"/>
                <w:snapToGrid w:val="0"/>
                <w:sz w:val="20"/>
                <w:szCs w:val="20"/>
              </w:rPr>
            </w:pPr>
            <w:r w:rsidRPr="006153CD">
              <w:rPr>
                <w:rFonts w:ascii="Arial Narrow" w:hAnsi="Arial Narrow" w:cs="Arial"/>
                <w:snapToGrid w:val="0"/>
                <w:sz w:val="20"/>
                <w:szCs w:val="20"/>
              </w:rPr>
              <w:t>Qty</w:t>
            </w:r>
          </w:p>
        </w:tc>
        <w:tc>
          <w:tcPr>
            <w:tcW w:w="501" w:type="pct"/>
            <w:tcBorders>
              <w:bottom w:val="single" w:sz="4" w:space="0" w:color="auto"/>
            </w:tcBorders>
            <w:vAlign w:val="center"/>
          </w:tcPr>
          <w:p w:rsidR="00CE2C77" w:rsidRPr="006153CD" w:rsidRDefault="00CE2C77" w:rsidP="005D0815">
            <w:pPr>
              <w:keepNext/>
              <w:jc w:val="center"/>
              <w:rPr>
                <w:rFonts w:ascii="Arial Narrow" w:hAnsi="Arial Narrow" w:cs="Arial"/>
                <w:snapToGrid w:val="0"/>
                <w:sz w:val="20"/>
                <w:szCs w:val="20"/>
              </w:rPr>
            </w:pPr>
            <w:r w:rsidRPr="006153CD">
              <w:rPr>
                <w:rFonts w:ascii="Arial Narrow" w:hAnsi="Arial Narrow" w:cs="Arial"/>
                <w:snapToGrid w:val="0"/>
                <w:sz w:val="20"/>
                <w:szCs w:val="20"/>
              </w:rPr>
              <w:t>№.of</w:t>
            </w:r>
          </w:p>
          <w:p w:rsidR="00CE2C77" w:rsidRPr="006153CD" w:rsidRDefault="00CE2C77" w:rsidP="005D0815">
            <w:pPr>
              <w:keepNext/>
              <w:jc w:val="center"/>
              <w:rPr>
                <w:rFonts w:ascii="Arial Narrow" w:hAnsi="Arial Narrow" w:cs="Arial"/>
                <w:snapToGrid w:val="0"/>
                <w:sz w:val="20"/>
                <w:szCs w:val="20"/>
              </w:rPr>
            </w:pPr>
            <w:r w:rsidRPr="006153CD">
              <w:rPr>
                <w:rFonts w:ascii="Arial Narrow" w:hAnsi="Arial Narrow" w:cs="Arial"/>
                <w:snapToGrid w:val="0"/>
                <w:sz w:val="20"/>
                <w:szCs w:val="20"/>
              </w:rPr>
              <w:t>Rpts</w:t>
            </w:r>
          </w:p>
        </w:tc>
        <w:tc>
          <w:tcPr>
            <w:tcW w:w="906" w:type="pct"/>
            <w:tcBorders>
              <w:bottom w:val="single" w:sz="4" w:space="0" w:color="auto"/>
            </w:tcBorders>
            <w:vAlign w:val="center"/>
          </w:tcPr>
          <w:p w:rsidR="00CE2C77" w:rsidRPr="006153CD" w:rsidRDefault="00CE2C77" w:rsidP="005D0815">
            <w:pPr>
              <w:keepNext/>
              <w:jc w:val="center"/>
              <w:rPr>
                <w:rFonts w:ascii="Arial Narrow" w:hAnsi="Arial Narrow" w:cs="Arial"/>
                <w:snapToGrid w:val="0"/>
                <w:sz w:val="20"/>
                <w:szCs w:val="20"/>
              </w:rPr>
            </w:pPr>
            <w:r w:rsidRPr="006153CD">
              <w:rPr>
                <w:rFonts w:ascii="Arial Narrow" w:hAnsi="Arial Narrow" w:cs="Arial"/>
                <w:snapToGrid w:val="0"/>
                <w:sz w:val="20"/>
                <w:szCs w:val="20"/>
              </w:rPr>
              <w:t>Dispensed Price for Max. Qty</w:t>
            </w:r>
          </w:p>
        </w:tc>
        <w:tc>
          <w:tcPr>
            <w:tcW w:w="1321" w:type="pct"/>
            <w:gridSpan w:val="2"/>
            <w:tcBorders>
              <w:bottom w:val="single" w:sz="4" w:space="0" w:color="auto"/>
            </w:tcBorders>
            <w:vAlign w:val="center"/>
          </w:tcPr>
          <w:p w:rsidR="00CE2C77" w:rsidRPr="006153CD" w:rsidRDefault="00CE2C77" w:rsidP="005D0815">
            <w:pPr>
              <w:keepNext/>
              <w:jc w:val="center"/>
              <w:rPr>
                <w:rFonts w:ascii="Arial Narrow" w:hAnsi="Arial Narrow" w:cs="Arial"/>
                <w:snapToGrid w:val="0"/>
                <w:sz w:val="20"/>
                <w:szCs w:val="20"/>
                <w:lang w:val="fr-FR"/>
              </w:rPr>
            </w:pPr>
            <w:r w:rsidRPr="006153CD">
              <w:rPr>
                <w:rFonts w:ascii="Arial Narrow" w:hAnsi="Arial Narrow" w:cs="Arial"/>
                <w:snapToGrid w:val="0"/>
                <w:sz w:val="20"/>
                <w:szCs w:val="20"/>
              </w:rPr>
              <w:t>Proprietary Name and Manufacturer</w:t>
            </w:r>
          </w:p>
        </w:tc>
      </w:tr>
      <w:tr w:rsidR="00CE2C77" w:rsidRPr="002A5EC2" w:rsidTr="00E97617">
        <w:trPr>
          <w:cantSplit/>
          <w:trHeight w:val="567"/>
        </w:trPr>
        <w:tc>
          <w:tcPr>
            <w:tcW w:w="1857" w:type="pct"/>
            <w:vAlign w:val="center"/>
          </w:tcPr>
          <w:p w:rsidR="00CE2C77" w:rsidRPr="006153CD" w:rsidRDefault="00CE2C77" w:rsidP="005D0815">
            <w:pPr>
              <w:keepNext/>
              <w:rPr>
                <w:rFonts w:ascii="Arial Narrow" w:hAnsi="Arial Narrow" w:cs="Arial"/>
                <w:snapToGrid w:val="0"/>
                <w:sz w:val="20"/>
                <w:szCs w:val="20"/>
              </w:rPr>
            </w:pPr>
            <w:r w:rsidRPr="006153CD">
              <w:rPr>
                <w:rFonts w:ascii="Arial Narrow" w:hAnsi="Arial Narrow" w:cs="Arial"/>
                <w:smallCaps/>
                <w:snapToGrid w:val="0"/>
                <w:sz w:val="20"/>
                <w:szCs w:val="20"/>
              </w:rPr>
              <w:t>pneumococcal polysaccharide conjugate vaccine, 13-valent adsorbed</w:t>
            </w:r>
          </w:p>
          <w:p w:rsidR="00CE2C77" w:rsidRPr="006153CD" w:rsidRDefault="00CE2C77" w:rsidP="005D0815">
            <w:pPr>
              <w:keepNext/>
              <w:spacing w:line="360" w:lineRule="auto"/>
              <w:rPr>
                <w:rFonts w:ascii="Arial Narrow" w:hAnsi="Arial Narrow" w:cs="Arial"/>
                <w:snapToGrid w:val="0"/>
                <w:sz w:val="20"/>
                <w:szCs w:val="20"/>
              </w:rPr>
            </w:pPr>
            <w:r w:rsidRPr="006153CD">
              <w:rPr>
                <w:rFonts w:ascii="Arial Narrow" w:hAnsi="Arial Narrow" w:cs="Arial"/>
                <w:snapToGrid w:val="0"/>
                <w:sz w:val="20"/>
                <w:szCs w:val="20"/>
              </w:rPr>
              <w:t>Pre-filled syringe, 0.5 mL</w:t>
            </w:r>
          </w:p>
        </w:tc>
        <w:tc>
          <w:tcPr>
            <w:tcW w:w="415" w:type="pct"/>
            <w:vAlign w:val="center"/>
          </w:tcPr>
          <w:p w:rsidR="00CE2C77" w:rsidRPr="006153CD" w:rsidRDefault="00CE2C77" w:rsidP="005D0815">
            <w:pPr>
              <w:keepNext/>
              <w:jc w:val="center"/>
              <w:rPr>
                <w:rFonts w:ascii="Arial Narrow" w:hAnsi="Arial Narrow" w:cs="Arial"/>
                <w:snapToGrid w:val="0"/>
                <w:sz w:val="20"/>
                <w:szCs w:val="20"/>
              </w:rPr>
            </w:pPr>
          </w:p>
          <w:p w:rsidR="00CE2C77" w:rsidRPr="006153CD" w:rsidRDefault="00CE2C77" w:rsidP="005D0815">
            <w:pPr>
              <w:keepNext/>
              <w:jc w:val="center"/>
              <w:rPr>
                <w:rFonts w:ascii="Arial Narrow" w:hAnsi="Arial Narrow" w:cs="Arial"/>
                <w:snapToGrid w:val="0"/>
                <w:sz w:val="20"/>
                <w:szCs w:val="20"/>
              </w:rPr>
            </w:pPr>
            <w:r w:rsidRPr="006153CD">
              <w:rPr>
                <w:rFonts w:ascii="Arial Narrow" w:hAnsi="Arial Narrow" w:cs="Arial"/>
                <w:snapToGrid w:val="0"/>
                <w:sz w:val="20"/>
                <w:szCs w:val="20"/>
              </w:rPr>
              <w:t>1</w:t>
            </w:r>
          </w:p>
        </w:tc>
        <w:tc>
          <w:tcPr>
            <w:tcW w:w="501" w:type="pct"/>
            <w:vAlign w:val="center"/>
          </w:tcPr>
          <w:p w:rsidR="00CE2C77" w:rsidRPr="006153CD" w:rsidRDefault="00CE2C77" w:rsidP="005D0815">
            <w:pPr>
              <w:keepNext/>
              <w:jc w:val="center"/>
              <w:rPr>
                <w:rFonts w:ascii="Arial Narrow" w:hAnsi="Arial Narrow" w:cs="Arial"/>
                <w:snapToGrid w:val="0"/>
                <w:sz w:val="20"/>
                <w:szCs w:val="20"/>
              </w:rPr>
            </w:pPr>
          </w:p>
          <w:p w:rsidR="00CE2C77" w:rsidRPr="006153CD" w:rsidRDefault="00CE2C77" w:rsidP="005D0815">
            <w:pPr>
              <w:keepNext/>
              <w:jc w:val="center"/>
              <w:rPr>
                <w:rFonts w:ascii="Arial Narrow" w:hAnsi="Arial Narrow" w:cs="Arial"/>
                <w:snapToGrid w:val="0"/>
                <w:sz w:val="20"/>
                <w:szCs w:val="20"/>
              </w:rPr>
            </w:pPr>
            <w:r w:rsidRPr="006153CD">
              <w:rPr>
                <w:rFonts w:ascii="Arial Narrow" w:hAnsi="Arial Narrow" w:cs="Arial"/>
                <w:snapToGrid w:val="0"/>
                <w:sz w:val="20"/>
                <w:szCs w:val="20"/>
              </w:rPr>
              <w:t>0</w:t>
            </w:r>
          </w:p>
        </w:tc>
        <w:tc>
          <w:tcPr>
            <w:tcW w:w="906" w:type="pct"/>
            <w:vAlign w:val="center"/>
          </w:tcPr>
          <w:p w:rsidR="00CE2C77" w:rsidRPr="006153CD" w:rsidRDefault="00CE2C77" w:rsidP="005D0815">
            <w:pPr>
              <w:keepNext/>
              <w:jc w:val="center"/>
              <w:rPr>
                <w:rFonts w:ascii="Arial Narrow" w:hAnsi="Arial Narrow" w:cs="Arial"/>
                <w:snapToGrid w:val="0"/>
                <w:sz w:val="20"/>
                <w:szCs w:val="20"/>
              </w:rPr>
            </w:pPr>
          </w:p>
          <w:p w:rsidR="00CE2C77" w:rsidRPr="006153CD" w:rsidRDefault="00CE2C77" w:rsidP="005D0815">
            <w:pPr>
              <w:keepNext/>
              <w:jc w:val="center"/>
              <w:rPr>
                <w:rFonts w:ascii="Arial Narrow" w:hAnsi="Arial Narrow" w:cs="Arial"/>
                <w:snapToGrid w:val="0"/>
                <w:sz w:val="20"/>
                <w:szCs w:val="20"/>
              </w:rPr>
            </w:pPr>
            <w:r w:rsidRPr="00382D66">
              <w:rPr>
                <w:rFonts w:ascii="Arial Narrow" w:hAnsi="Arial Narrow" w:cs="Arial"/>
                <w:snapToGrid w:val="0"/>
                <w:sz w:val="20"/>
                <w:szCs w:val="20"/>
              </w:rPr>
              <w:t>$</w:t>
            </w:r>
            <w:r w:rsidR="008D2701">
              <w:rPr>
                <w:rFonts w:ascii="Arial Narrow" w:hAnsi="Arial Narrow" w:cs="Arial"/>
                <w:noProof/>
                <w:snapToGrid w:val="0"/>
                <w:color w:val="000000"/>
                <w:sz w:val="20"/>
                <w:szCs w:val="20"/>
                <w:highlight w:val="black"/>
              </w:rPr>
              <w:t>''''''''''''</w:t>
            </w:r>
          </w:p>
        </w:tc>
        <w:tc>
          <w:tcPr>
            <w:tcW w:w="728" w:type="pct"/>
            <w:vAlign w:val="center"/>
          </w:tcPr>
          <w:p w:rsidR="00CE2C77" w:rsidRPr="006153CD" w:rsidRDefault="00CE2C77" w:rsidP="005D0815">
            <w:pPr>
              <w:keepNext/>
              <w:jc w:val="center"/>
              <w:rPr>
                <w:rFonts w:ascii="Arial Narrow" w:hAnsi="Arial Narrow" w:cs="Arial"/>
                <w:snapToGrid w:val="0"/>
                <w:sz w:val="20"/>
                <w:szCs w:val="20"/>
              </w:rPr>
            </w:pPr>
            <w:r w:rsidRPr="006153CD">
              <w:rPr>
                <w:rFonts w:ascii="Arial Narrow" w:hAnsi="Arial Narrow" w:cs="Arial"/>
                <w:snapToGrid w:val="0"/>
                <w:sz w:val="20"/>
                <w:szCs w:val="20"/>
              </w:rPr>
              <w:t>Prevenar 13</w:t>
            </w:r>
          </w:p>
        </w:tc>
        <w:tc>
          <w:tcPr>
            <w:tcW w:w="594" w:type="pct"/>
            <w:vAlign w:val="center"/>
          </w:tcPr>
          <w:p w:rsidR="00CE2C77" w:rsidRPr="006153CD" w:rsidRDefault="00CE2C77" w:rsidP="005D0815">
            <w:pPr>
              <w:keepNext/>
              <w:jc w:val="center"/>
              <w:rPr>
                <w:rFonts w:ascii="Arial Narrow" w:hAnsi="Arial Narrow" w:cs="Arial"/>
                <w:snapToGrid w:val="0"/>
                <w:sz w:val="20"/>
                <w:szCs w:val="20"/>
              </w:rPr>
            </w:pPr>
            <w:r w:rsidRPr="006153CD">
              <w:rPr>
                <w:rFonts w:ascii="Arial Narrow" w:hAnsi="Arial Narrow" w:cs="Arial"/>
                <w:snapToGrid w:val="0"/>
                <w:sz w:val="20"/>
                <w:szCs w:val="20"/>
              </w:rPr>
              <w:t>Pfizer</w:t>
            </w:r>
          </w:p>
        </w:tc>
      </w:tr>
      <w:tr w:rsidR="00CE2C77" w:rsidRPr="002A5EC2" w:rsidTr="00CE2C77">
        <w:trPr>
          <w:cantSplit/>
          <w:trHeight w:val="354"/>
        </w:trPr>
        <w:tc>
          <w:tcPr>
            <w:tcW w:w="5000" w:type="pct"/>
            <w:gridSpan w:val="6"/>
            <w:vAlign w:val="center"/>
          </w:tcPr>
          <w:p w:rsidR="00CE2C77" w:rsidRPr="006153CD" w:rsidRDefault="00CE2C77" w:rsidP="005D0815">
            <w:pPr>
              <w:spacing w:line="360" w:lineRule="auto"/>
              <w:jc w:val="both"/>
              <w:rPr>
                <w:rFonts w:ascii="Arial Narrow" w:hAnsi="Arial Narrow" w:cs="Arial"/>
                <w:snapToGrid w:val="0"/>
                <w:sz w:val="20"/>
                <w:szCs w:val="20"/>
              </w:rPr>
            </w:pPr>
            <w:r w:rsidRPr="006153CD">
              <w:rPr>
                <w:rFonts w:ascii="Arial Narrow" w:hAnsi="Arial Narrow" w:cs="Arial"/>
                <w:snapToGrid w:val="0"/>
                <w:sz w:val="20"/>
                <w:szCs w:val="20"/>
                <w:u w:val="single"/>
              </w:rPr>
              <w:t>Primary program</w:t>
            </w:r>
            <w:r w:rsidRPr="006153CD">
              <w:rPr>
                <w:rFonts w:ascii="Arial Narrow" w:hAnsi="Arial Narrow" w:cs="Arial"/>
                <w:snapToGrid w:val="0"/>
                <w:sz w:val="20"/>
                <w:szCs w:val="20"/>
              </w:rPr>
              <w:t>: A single dose for non-Indigenous adults at age 65 years and Indigenous people at age 50 years</w:t>
            </w:r>
          </w:p>
          <w:p w:rsidR="00CE2C77" w:rsidRPr="006153CD" w:rsidRDefault="00CE2C77" w:rsidP="005D0815">
            <w:pPr>
              <w:rPr>
                <w:rFonts w:ascii="Arial Narrow" w:hAnsi="Arial Narrow" w:cs="Arial"/>
                <w:snapToGrid w:val="0"/>
                <w:sz w:val="20"/>
                <w:szCs w:val="20"/>
              </w:rPr>
            </w:pPr>
            <w:r w:rsidRPr="006153CD">
              <w:rPr>
                <w:rFonts w:ascii="Arial Narrow" w:hAnsi="Arial Narrow" w:cs="Arial"/>
                <w:snapToGrid w:val="0"/>
                <w:sz w:val="20"/>
                <w:szCs w:val="20"/>
                <w:u w:val="single"/>
              </w:rPr>
              <w:t>Catch-up program</w:t>
            </w:r>
            <w:r w:rsidRPr="006153CD">
              <w:rPr>
                <w:rFonts w:ascii="Arial Narrow" w:hAnsi="Arial Narrow" w:cs="Arial"/>
                <w:snapToGrid w:val="0"/>
                <w:sz w:val="20"/>
                <w:szCs w:val="20"/>
              </w:rPr>
              <w:t>: A single dose for non-Indigenous adults aged 70-84 years and Indigenous people aged 55 years and older in a 5 year catch-up program</w:t>
            </w:r>
          </w:p>
        </w:tc>
      </w:tr>
    </w:tbl>
    <w:p w:rsidR="00CE2C77" w:rsidRPr="00CE2C77" w:rsidRDefault="00CE2C77" w:rsidP="005D0815">
      <w:pPr>
        <w:jc w:val="both"/>
        <w:rPr>
          <w:rFonts w:ascii="Arial" w:hAnsi="Arial" w:cs="Arial"/>
          <w:snapToGrid w:val="0"/>
          <w:sz w:val="22"/>
          <w:szCs w:val="20"/>
        </w:rPr>
      </w:pPr>
    </w:p>
    <w:p w:rsidR="006B5EB3" w:rsidRPr="000C0D06" w:rsidRDefault="00CE2C77" w:rsidP="005D0815">
      <w:pPr>
        <w:numPr>
          <w:ilvl w:val="1"/>
          <w:numId w:val="3"/>
        </w:numPr>
        <w:contextualSpacing/>
        <w:jc w:val="both"/>
        <w:rPr>
          <w:rFonts w:ascii="Arial" w:hAnsi="Arial" w:cs="Arial"/>
          <w:snapToGrid w:val="0"/>
          <w:sz w:val="22"/>
          <w:szCs w:val="22"/>
        </w:rPr>
      </w:pPr>
      <w:r w:rsidRPr="00CE2C77">
        <w:rPr>
          <w:rFonts w:ascii="Arial" w:hAnsi="Arial" w:cs="Arial"/>
          <w:snapToGrid w:val="0"/>
          <w:sz w:val="22"/>
          <w:szCs w:val="22"/>
        </w:rPr>
        <w:t xml:space="preserve">Listing was requested based on cost-effectiveness compared with </w:t>
      </w:r>
      <w:r w:rsidR="006153CD" w:rsidRPr="00A15171">
        <w:rPr>
          <w:rFonts w:ascii="Arial" w:hAnsi="Arial" w:cs="Arial"/>
          <w:snapToGrid w:val="0"/>
          <w:sz w:val="22"/>
          <w:szCs w:val="22"/>
        </w:rPr>
        <w:t>23-valent pneumococcal polysaccharide vaccine</w:t>
      </w:r>
      <w:r w:rsidR="006153CD" w:rsidRPr="00CE2C77">
        <w:rPr>
          <w:rFonts w:ascii="Arial" w:hAnsi="Arial" w:cs="Arial"/>
          <w:snapToGrid w:val="0"/>
          <w:sz w:val="22"/>
          <w:szCs w:val="22"/>
        </w:rPr>
        <w:t xml:space="preserve"> </w:t>
      </w:r>
      <w:r w:rsidR="006153CD">
        <w:rPr>
          <w:rFonts w:ascii="Arial" w:hAnsi="Arial" w:cs="Arial"/>
          <w:snapToGrid w:val="0"/>
          <w:sz w:val="22"/>
          <w:szCs w:val="22"/>
        </w:rPr>
        <w:t>(</w:t>
      </w:r>
      <w:r w:rsidRPr="00CE2C77">
        <w:rPr>
          <w:rFonts w:ascii="Arial" w:hAnsi="Arial" w:cs="Arial"/>
          <w:snapToGrid w:val="0"/>
          <w:sz w:val="22"/>
          <w:szCs w:val="22"/>
        </w:rPr>
        <w:t>23vPPV</w:t>
      </w:r>
      <w:r w:rsidR="006153CD">
        <w:rPr>
          <w:rFonts w:ascii="Arial" w:hAnsi="Arial" w:cs="Arial"/>
          <w:snapToGrid w:val="0"/>
          <w:sz w:val="22"/>
          <w:szCs w:val="22"/>
        </w:rPr>
        <w:t>)</w:t>
      </w:r>
      <w:r w:rsidRPr="00CE2C77">
        <w:rPr>
          <w:rFonts w:ascii="Arial" w:hAnsi="Arial" w:cs="Arial"/>
          <w:snapToGrid w:val="0"/>
          <w:sz w:val="22"/>
          <w:szCs w:val="22"/>
        </w:rPr>
        <w:t xml:space="preserve"> for the primary program and cost</w:t>
      </w:r>
      <w:r w:rsidR="00845008">
        <w:rPr>
          <w:rFonts w:ascii="Arial" w:hAnsi="Arial" w:cs="Arial"/>
          <w:snapToGrid w:val="0"/>
          <w:sz w:val="22"/>
          <w:szCs w:val="22"/>
        </w:rPr>
        <w:noBreakHyphen/>
      </w:r>
      <w:r w:rsidRPr="00CE2C77">
        <w:rPr>
          <w:rFonts w:ascii="Arial" w:hAnsi="Arial" w:cs="Arial"/>
          <w:snapToGrid w:val="0"/>
          <w:sz w:val="22"/>
          <w:szCs w:val="22"/>
        </w:rPr>
        <w:t xml:space="preserve">effectiveness compared with no vaccine for the catch-up program. </w:t>
      </w:r>
    </w:p>
    <w:p w:rsidR="006B5EB3" w:rsidRPr="00517B6E" w:rsidRDefault="006B5EB3" w:rsidP="005D0815">
      <w:pPr>
        <w:ind w:left="720"/>
        <w:contextualSpacing/>
        <w:jc w:val="both"/>
        <w:rPr>
          <w:rFonts w:ascii="Arial" w:hAnsi="Arial" w:cs="Arial"/>
          <w:snapToGrid w:val="0"/>
          <w:sz w:val="22"/>
          <w:szCs w:val="22"/>
        </w:rPr>
      </w:pPr>
    </w:p>
    <w:p w:rsidR="002E1D71" w:rsidRPr="00020CA5" w:rsidRDefault="00845008" w:rsidP="002E1D71">
      <w:pPr>
        <w:numPr>
          <w:ilvl w:val="1"/>
          <w:numId w:val="3"/>
        </w:numPr>
        <w:contextualSpacing/>
        <w:jc w:val="both"/>
        <w:rPr>
          <w:rFonts w:ascii="Arial" w:hAnsi="Arial" w:cs="Arial"/>
          <w:snapToGrid w:val="0"/>
          <w:sz w:val="22"/>
          <w:szCs w:val="22"/>
        </w:rPr>
      </w:pPr>
      <w:r w:rsidRPr="002E1D71">
        <w:rPr>
          <w:rFonts w:ascii="Arial" w:hAnsi="Arial" w:cs="Arial"/>
          <w:snapToGrid w:val="0"/>
          <w:sz w:val="22"/>
          <w:szCs w:val="22"/>
        </w:rPr>
        <w:t xml:space="preserve">The ESC </w:t>
      </w:r>
      <w:r w:rsidR="00E0391A" w:rsidRPr="002E1D71">
        <w:rPr>
          <w:rFonts w:ascii="Arial" w:hAnsi="Arial" w:cs="Arial"/>
          <w:snapToGrid w:val="0"/>
          <w:sz w:val="22"/>
          <w:szCs w:val="22"/>
        </w:rPr>
        <w:t xml:space="preserve">noted that the requested listing was only for a specific year of age and may result in confusion and some adults missing the chance to receive the 13vPCV. For example, a non-Indigenous adult without risk factors who did not receive the 13vPCV at age 65 would be ineligible to receive the 13vPCV at age 66. </w:t>
      </w:r>
      <w:r w:rsidR="002E1D71" w:rsidRPr="002E1D71">
        <w:rPr>
          <w:rFonts w:ascii="Arial" w:hAnsi="Arial" w:cs="Arial"/>
          <w:snapToGrid w:val="0"/>
          <w:sz w:val="22"/>
          <w:szCs w:val="22"/>
        </w:rPr>
        <w:t xml:space="preserve">ATAGI </w:t>
      </w:r>
      <w:r w:rsidR="002E1D71">
        <w:rPr>
          <w:rFonts w:ascii="Arial" w:hAnsi="Arial" w:cs="Arial"/>
          <w:snapToGrid w:val="0"/>
          <w:sz w:val="22"/>
          <w:szCs w:val="22"/>
        </w:rPr>
        <w:t>‘</w:t>
      </w:r>
      <w:r w:rsidR="002E1D71" w:rsidRPr="002E1D71">
        <w:rPr>
          <w:rFonts w:ascii="Arial" w:hAnsi="Arial" w:cs="Arial"/>
          <w:snapToGrid w:val="0"/>
          <w:sz w:val="22"/>
          <w:szCs w:val="22"/>
        </w:rPr>
        <w:t>recommended that, in the primary program, a single dose of 13vPCV is offered for non-Indigenous adults from their 65th birthday and for Indigenous adults from their 50th birthday. Rather than single year of age target cohorts (non-Indigenous adults to their 66th birthday and Indigenous adults to their 51st</w:t>
      </w:r>
      <w:r w:rsidR="002E1D71">
        <w:rPr>
          <w:rFonts w:ascii="Arial" w:hAnsi="Arial" w:cs="Arial"/>
          <w:snapToGrid w:val="0"/>
          <w:sz w:val="22"/>
          <w:szCs w:val="22"/>
        </w:rPr>
        <w:t xml:space="preserve"> birthday), ATAGI recommended</w:t>
      </w:r>
      <w:r w:rsidR="002E1D71" w:rsidRPr="002E1D71">
        <w:rPr>
          <w:rFonts w:ascii="Arial" w:hAnsi="Arial" w:cs="Arial"/>
          <w:snapToGrid w:val="0"/>
          <w:sz w:val="22"/>
          <w:szCs w:val="22"/>
        </w:rPr>
        <w:t xml:space="preserve"> that persons who become age-eligible under the primary program have continued eligibility for a single 13vPCV dose until they reach their 85th birthday, which is the current upper age limit of evidence of efficacy from the CAPiTA trial. This continued eligibility for a first dose of 23vPPV is consistent with the current NIP program eligibility.</w:t>
      </w:r>
      <w:r w:rsidR="002E1D71">
        <w:rPr>
          <w:rFonts w:ascii="Arial" w:hAnsi="Arial" w:cs="Arial"/>
          <w:snapToGrid w:val="0"/>
          <w:sz w:val="22"/>
          <w:szCs w:val="22"/>
        </w:rPr>
        <w:t>’ (</w:t>
      </w:r>
      <w:r w:rsidR="002E1D71" w:rsidRPr="001E2BDD">
        <w:rPr>
          <w:rFonts w:ascii="Arial" w:hAnsi="Arial" w:cs="Arial"/>
          <w:snapToGrid w:val="0"/>
          <w:sz w:val="22"/>
          <w:szCs w:val="20"/>
        </w:rPr>
        <w:t xml:space="preserve">ATAGI </w:t>
      </w:r>
      <w:r w:rsidR="002E1D71">
        <w:rPr>
          <w:rFonts w:ascii="Arial" w:hAnsi="Arial" w:cs="Arial"/>
          <w:snapToGrid w:val="0"/>
          <w:sz w:val="22"/>
          <w:szCs w:val="20"/>
        </w:rPr>
        <w:t>p</w:t>
      </w:r>
      <w:r w:rsidR="002E1D71" w:rsidRPr="001E2BDD">
        <w:rPr>
          <w:rFonts w:ascii="Arial" w:hAnsi="Arial" w:cs="Arial"/>
          <w:snapToGrid w:val="0"/>
          <w:sz w:val="22"/>
          <w:szCs w:val="20"/>
        </w:rPr>
        <w:t xml:space="preserve">ost </w:t>
      </w:r>
      <w:r w:rsidR="002E1D71">
        <w:rPr>
          <w:rFonts w:ascii="Arial" w:hAnsi="Arial" w:cs="Arial"/>
          <w:snapToGrid w:val="0"/>
          <w:sz w:val="22"/>
          <w:szCs w:val="20"/>
        </w:rPr>
        <w:t>s</w:t>
      </w:r>
      <w:r w:rsidR="002E1D71" w:rsidRPr="001E2BDD">
        <w:rPr>
          <w:rFonts w:ascii="Arial" w:hAnsi="Arial" w:cs="Arial"/>
          <w:snapToGrid w:val="0"/>
          <w:sz w:val="22"/>
          <w:szCs w:val="20"/>
        </w:rPr>
        <w:t xml:space="preserve">ubmission </w:t>
      </w:r>
      <w:r w:rsidR="002E1D71">
        <w:rPr>
          <w:rFonts w:ascii="Arial" w:hAnsi="Arial" w:cs="Arial"/>
          <w:snapToGrid w:val="0"/>
          <w:sz w:val="22"/>
          <w:szCs w:val="20"/>
        </w:rPr>
        <w:t>a</w:t>
      </w:r>
      <w:r w:rsidR="002E1D71" w:rsidRPr="001E2BDD">
        <w:rPr>
          <w:rFonts w:ascii="Arial" w:hAnsi="Arial" w:cs="Arial"/>
          <w:snapToGrid w:val="0"/>
          <w:sz w:val="22"/>
          <w:szCs w:val="20"/>
        </w:rPr>
        <w:t>dvice</w:t>
      </w:r>
      <w:r w:rsidR="002E1D71">
        <w:rPr>
          <w:rFonts w:ascii="Arial" w:hAnsi="Arial" w:cs="Arial"/>
          <w:snapToGrid w:val="0"/>
          <w:sz w:val="22"/>
          <w:szCs w:val="20"/>
        </w:rPr>
        <w:t>)</w:t>
      </w:r>
    </w:p>
    <w:p w:rsidR="00020CA5" w:rsidRPr="002E1D71" w:rsidRDefault="00020CA5" w:rsidP="00020CA5">
      <w:pPr>
        <w:contextualSpacing/>
        <w:jc w:val="both"/>
        <w:rPr>
          <w:rFonts w:ascii="Arial" w:hAnsi="Arial" w:cs="Arial"/>
          <w:snapToGrid w:val="0"/>
          <w:sz w:val="22"/>
          <w:szCs w:val="22"/>
        </w:rPr>
      </w:pPr>
    </w:p>
    <w:p w:rsidR="00780900" w:rsidRDefault="0050768E" w:rsidP="00A73D9B">
      <w:pPr>
        <w:numPr>
          <w:ilvl w:val="1"/>
          <w:numId w:val="3"/>
        </w:numPr>
        <w:contextualSpacing/>
        <w:jc w:val="both"/>
        <w:rPr>
          <w:rFonts w:ascii="Arial" w:hAnsi="Arial" w:cs="Arial"/>
          <w:snapToGrid w:val="0"/>
          <w:sz w:val="22"/>
          <w:szCs w:val="20"/>
        </w:rPr>
      </w:pPr>
      <w:r w:rsidRPr="00F15F90">
        <w:rPr>
          <w:rFonts w:ascii="Arial" w:hAnsi="Arial" w:cs="Arial"/>
          <w:snapToGrid w:val="0"/>
          <w:sz w:val="22"/>
          <w:szCs w:val="20"/>
        </w:rPr>
        <w:t>Th</w:t>
      </w:r>
      <w:r w:rsidR="00780900" w:rsidRPr="00F15F90">
        <w:rPr>
          <w:rFonts w:ascii="Arial" w:hAnsi="Arial" w:cs="Arial"/>
          <w:snapToGrid w:val="0"/>
          <w:sz w:val="22"/>
          <w:szCs w:val="20"/>
        </w:rPr>
        <w:t xml:space="preserve">e </w:t>
      </w:r>
      <w:r w:rsidR="005C0BD3" w:rsidRPr="001E2BDD">
        <w:rPr>
          <w:rFonts w:ascii="Arial" w:hAnsi="Arial" w:cs="Arial"/>
          <w:snapToGrid w:val="0"/>
          <w:sz w:val="22"/>
          <w:szCs w:val="20"/>
        </w:rPr>
        <w:t>Pre-Sub-Committee Response (PSCR)</w:t>
      </w:r>
      <w:r w:rsidR="00780900" w:rsidRPr="001E2BDD">
        <w:rPr>
          <w:rFonts w:ascii="Arial" w:hAnsi="Arial" w:cs="Arial"/>
          <w:snapToGrid w:val="0"/>
          <w:sz w:val="22"/>
          <w:szCs w:val="20"/>
        </w:rPr>
        <w:t xml:space="preserve"> proposed a revised five</w:t>
      </w:r>
      <w:r w:rsidRPr="001E2BDD">
        <w:rPr>
          <w:rFonts w:ascii="Arial" w:hAnsi="Arial" w:cs="Arial"/>
          <w:snapToGrid w:val="0"/>
          <w:sz w:val="22"/>
          <w:szCs w:val="20"/>
        </w:rPr>
        <w:t xml:space="preserve"> year catch</w:t>
      </w:r>
      <w:r w:rsidR="00B4601C" w:rsidRPr="001E2BDD">
        <w:rPr>
          <w:rFonts w:ascii="Arial" w:hAnsi="Arial" w:cs="Arial"/>
          <w:snapToGrid w:val="0"/>
          <w:sz w:val="22"/>
          <w:szCs w:val="20"/>
        </w:rPr>
        <w:noBreakHyphen/>
      </w:r>
      <w:r w:rsidRPr="001E2BDD">
        <w:rPr>
          <w:rFonts w:ascii="Arial" w:hAnsi="Arial" w:cs="Arial"/>
          <w:snapToGrid w:val="0"/>
          <w:sz w:val="22"/>
          <w:szCs w:val="20"/>
        </w:rPr>
        <w:t>up program for adults aged 66-74 years or 70-74 years in response to the cost</w:t>
      </w:r>
      <w:r w:rsidR="00B4601C" w:rsidRPr="001E2BDD">
        <w:rPr>
          <w:rFonts w:ascii="Arial" w:hAnsi="Arial" w:cs="Arial"/>
          <w:snapToGrid w:val="0"/>
          <w:sz w:val="22"/>
          <w:szCs w:val="20"/>
        </w:rPr>
        <w:noBreakHyphen/>
      </w:r>
      <w:r w:rsidRPr="001E2BDD">
        <w:rPr>
          <w:rFonts w:ascii="Arial" w:hAnsi="Arial" w:cs="Arial"/>
          <w:snapToGrid w:val="0"/>
          <w:sz w:val="22"/>
          <w:szCs w:val="20"/>
        </w:rPr>
        <w:t>effectiveness of the program being found to be higher than indicated in the submission during the evaluation.</w:t>
      </w:r>
      <w:r w:rsidR="00834FDD" w:rsidRPr="001E2BDD">
        <w:rPr>
          <w:rFonts w:ascii="Arial" w:hAnsi="Arial" w:cs="Arial"/>
          <w:snapToGrid w:val="0"/>
          <w:sz w:val="22"/>
          <w:szCs w:val="20"/>
        </w:rPr>
        <w:t xml:space="preserve"> The ATAGI </w:t>
      </w:r>
      <w:r w:rsidR="002E1D71">
        <w:rPr>
          <w:rFonts w:ascii="Arial" w:hAnsi="Arial" w:cs="Arial"/>
          <w:snapToGrid w:val="0"/>
          <w:sz w:val="22"/>
          <w:szCs w:val="20"/>
        </w:rPr>
        <w:t>p</w:t>
      </w:r>
      <w:r w:rsidR="00834FDD" w:rsidRPr="001E2BDD">
        <w:rPr>
          <w:rFonts w:ascii="Arial" w:hAnsi="Arial" w:cs="Arial"/>
          <w:snapToGrid w:val="0"/>
          <w:sz w:val="22"/>
          <w:szCs w:val="20"/>
        </w:rPr>
        <w:t xml:space="preserve">ost </w:t>
      </w:r>
      <w:r w:rsidR="002E1D71">
        <w:rPr>
          <w:rFonts w:ascii="Arial" w:hAnsi="Arial" w:cs="Arial"/>
          <w:snapToGrid w:val="0"/>
          <w:sz w:val="22"/>
          <w:szCs w:val="20"/>
        </w:rPr>
        <w:t>s</w:t>
      </w:r>
      <w:r w:rsidR="00834FDD" w:rsidRPr="001E2BDD">
        <w:rPr>
          <w:rFonts w:ascii="Arial" w:hAnsi="Arial" w:cs="Arial"/>
          <w:snapToGrid w:val="0"/>
          <w:sz w:val="22"/>
          <w:szCs w:val="20"/>
        </w:rPr>
        <w:t xml:space="preserve">ubmission </w:t>
      </w:r>
      <w:r w:rsidR="002E1D71">
        <w:rPr>
          <w:rFonts w:ascii="Arial" w:hAnsi="Arial" w:cs="Arial"/>
          <w:snapToGrid w:val="0"/>
          <w:sz w:val="22"/>
          <w:szCs w:val="20"/>
        </w:rPr>
        <w:t>a</w:t>
      </w:r>
      <w:r w:rsidR="00834FDD" w:rsidRPr="001E2BDD">
        <w:rPr>
          <w:rFonts w:ascii="Arial" w:hAnsi="Arial" w:cs="Arial"/>
          <w:snapToGrid w:val="0"/>
          <w:sz w:val="22"/>
          <w:szCs w:val="20"/>
        </w:rPr>
        <w:t>dvice</w:t>
      </w:r>
      <w:r w:rsidR="00006DB2">
        <w:rPr>
          <w:rFonts w:ascii="Arial" w:hAnsi="Arial" w:cs="Arial"/>
          <w:snapToGrid w:val="0"/>
          <w:sz w:val="22"/>
          <w:szCs w:val="20"/>
        </w:rPr>
        <w:t xml:space="preserve"> </w:t>
      </w:r>
      <w:r w:rsidR="00F15F90">
        <w:rPr>
          <w:rFonts w:ascii="Arial" w:hAnsi="Arial" w:cs="Arial"/>
          <w:snapToGrid w:val="0"/>
          <w:sz w:val="22"/>
          <w:szCs w:val="20"/>
        </w:rPr>
        <w:t xml:space="preserve"> ‘…recommend</w:t>
      </w:r>
      <w:r w:rsidR="00A73D9B">
        <w:rPr>
          <w:rFonts w:ascii="Arial" w:hAnsi="Arial" w:cs="Arial"/>
          <w:snapToGrid w:val="0"/>
          <w:sz w:val="22"/>
          <w:szCs w:val="20"/>
        </w:rPr>
        <w:t>ed</w:t>
      </w:r>
      <w:r w:rsidR="00F15F90">
        <w:rPr>
          <w:rFonts w:ascii="Arial" w:hAnsi="Arial" w:cs="Arial"/>
          <w:snapToGrid w:val="0"/>
          <w:sz w:val="22"/>
          <w:szCs w:val="20"/>
        </w:rPr>
        <w:t xml:space="preserve"> that those adults who had attained their 65</w:t>
      </w:r>
      <w:r w:rsidR="00F15F90" w:rsidRPr="00F21072">
        <w:rPr>
          <w:rFonts w:ascii="Arial" w:hAnsi="Arial" w:cs="Arial"/>
          <w:snapToGrid w:val="0"/>
          <w:sz w:val="22"/>
          <w:szCs w:val="20"/>
        </w:rPr>
        <w:t>th</w:t>
      </w:r>
      <w:r w:rsidR="00F15F90">
        <w:rPr>
          <w:rFonts w:ascii="Arial" w:hAnsi="Arial" w:cs="Arial"/>
          <w:snapToGrid w:val="0"/>
          <w:sz w:val="22"/>
          <w:szCs w:val="20"/>
        </w:rPr>
        <w:t xml:space="preserve"> birthday (or 50</w:t>
      </w:r>
      <w:r w:rsidR="00F15F90" w:rsidRPr="00F21072">
        <w:rPr>
          <w:rFonts w:ascii="Arial" w:hAnsi="Arial" w:cs="Arial"/>
          <w:snapToGrid w:val="0"/>
          <w:sz w:val="22"/>
          <w:szCs w:val="20"/>
        </w:rPr>
        <w:t>th</w:t>
      </w:r>
      <w:r w:rsidR="00F15F90">
        <w:rPr>
          <w:rFonts w:ascii="Arial" w:hAnsi="Arial" w:cs="Arial"/>
          <w:snapToGrid w:val="0"/>
          <w:sz w:val="22"/>
          <w:szCs w:val="20"/>
        </w:rPr>
        <w:t xml:space="preserve"> for Indigenous adults) prior to the commencement date of any primary 13vPCV NIP program receive a single dose of 13vPCV through the proposed 5-year catch-up program regardless of their previous 23vPPV vaccination history</w:t>
      </w:r>
      <w:r w:rsidR="00F21072">
        <w:rPr>
          <w:rFonts w:ascii="Arial" w:hAnsi="Arial" w:cs="Arial"/>
          <w:snapToGrid w:val="0"/>
          <w:sz w:val="22"/>
          <w:szCs w:val="20"/>
        </w:rPr>
        <w:t xml:space="preserve">. </w:t>
      </w:r>
      <w:r w:rsidR="00F21072" w:rsidRPr="00F21072">
        <w:rPr>
          <w:rFonts w:ascii="Arial" w:hAnsi="Arial" w:cs="Arial"/>
          <w:snapToGrid w:val="0"/>
          <w:sz w:val="22"/>
          <w:szCs w:val="20"/>
        </w:rPr>
        <w:t xml:space="preserve">ATAGI noted the </w:t>
      </w:r>
      <w:r w:rsidR="00F21072" w:rsidRPr="00F21072">
        <w:rPr>
          <w:rFonts w:ascii="Arial" w:hAnsi="Arial" w:cs="Arial"/>
          <w:snapToGrid w:val="0"/>
          <w:sz w:val="22"/>
          <w:szCs w:val="20"/>
        </w:rPr>
        <w:lastRenderedPageBreak/>
        <w:t>revised proposal of Pfizer to consider limiting the eligible age window for the 5 year catch-up program to 70–74 years</w:t>
      </w:r>
      <w:r w:rsidR="002E1D71">
        <w:rPr>
          <w:rFonts w:ascii="Arial" w:hAnsi="Arial" w:cs="Arial"/>
          <w:snapToGrid w:val="0"/>
          <w:sz w:val="22"/>
          <w:szCs w:val="20"/>
        </w:rPr>
        <w:t xml:space="preserve"> and supported</w:t>
      </w:r>
      <w:r w:rsidR="00F21072" w:rsidRPr="00F21072">
        <w:rPr>
          <w:rFonts w:ascii="Arial" w:hAnsi="Arial" w:cs="Arial"/>
          <w:snapToGrid w:val="0"/>
          <w:sz w:val="22"/>
          <w:szCs w:val="20"/>
        </w:rPr>
        <w:t xml:space="preserve"> this proposal from the perspective of program implementation</w:t>
      </w:r>
      <w:r w:rsidR="00F15F90">
        <w:rPr>
          <w:rFonts w:ascii="Arial" w:hAnsi="Arial" w:cs="Arial"/>
          <w:snapToGrid w:val="0"/>
          <w:sz w:val="22"/>
          <w:szCs w:val="20"/>
        </w:rPr>
        <w:t>’.</w:t>
      </w:r>
    </w:p>
    <w:p w:rsidR="00F15F90" w:rsidRPr="00F15F90" w:rsidRDefault="00F15F90" w:rsidP="00A73D9B">
      <w:pPr>
        <w:ind w:left="720"/>
        <w:contextualSpacing/>
        <w:jc w:val="both"/>
        <w:rPr>
          <w:rFonts w:ascii="Arial" w:hAnsi="Arial" w:cs="Arial"/>
          <w:snapToGrid w:val="0"/>
          <w:sz w:val="22"/>
          <w:szCs w:val="20"/>
        </w:rPr>
      </w:pPr>
    </w:p>
    <w:p w:rsidR="00780900" w:rsidRDefault="00780900" w:rsidP="005D0815">
      <w:pPr>
        <w:numPr>
          <w:ilvl w:val="1"/>
          <w:numId w:val="3"/>
        </w:numPr>
        <w:contextualSpacing/>
        <w:jc w:val="both"/>
        <w:rPr>
          <w:rFonts w:ascii="Arial" w:hAnsi="Arial" w:cs="Arial"/>
          <w:snapToGrid w:val="0"/>
          <w:sz w:val="22"/>
          <w:szCs w:val="22"/>
        </w:rPr>
      </w:pPr>
      <w:r w:rsidRPr="00517B6E">
        <w:rPr>
          <w:rFonts w:ascii="Arial" w:hAnsi="Arial" w:cs="Arial"/>
          <w:snapToGrid w:val="0"/>
          <w:sz w:val="22"/>
          <w:szCs w:val="22"/>
        </w:rPr>
        <w:t>The</w:t>
      </w:r>
      <w:r w:rsidR="00006DB2">
        <w:rPr>
          <w:rFonts w:ascii="Arial" w:hAnsi="Arial" w:cs="Arial"/>
          <w:snapToGrid w:val="0"/>
          <w:sz w:val="22"/>
          <w:szCs w:val="22"/>
        </w:rPr>
        <w:t xml:space="preserve"> </w:t>
      </w:r>
      <w:r w:rsidRPr="00517B6E">
        <w:rPr>
          <w:rFonts w:ascii="Arial" w:hAnsi="Arial" w:cs="Arial"/>
          <w:snapToGrid w:val="0"/>
          <w:sz w:val="22"/>
          <w:szCs w:val="22"/>
        </w:rPr>
        <w:t xml:space="preserve">13vPCV listing </w:t>
      </w:r>
      <w:r w:rsidR="00A73D9B">
        <w:rPr>
          <w:rFonts w:ascii="Arial" w:hAnsi="Arial" w:cs="Arial"/>
          <w:snapToGrid w:val="0"/>
          <w:sz w:val="22"/>
          <w:szCs w:val="22"/>
        </w:rPr>
        <w:t xml:space="preserve">proposed in the submission </w:t>
      </w:r>
      <w:r w:rsidRPr="00517B6E">
        <w:rPr>
          <w:rFonts w:ascii="Arial" w:hAnsi="Arial" w:cs="Arial"/>
          <w:snapToGrid w:val="0"/>
          <w:sz w:val="22"/>
          <w:szCs w:val="22"/>
        </w:rPr>
        <w:t>would result in two different vaccine formulations being used for the prevention of the same disease. For the catch-up program this may result in adults without risk factors receiving 23vPPV and 13vPCV sequentially (compared with a single dose of 23vPPV currently) and adults with risk factors receiving 13vPCV instead of a second dose of 23vPPV. For both programs, given the reduced serotype coverage with 13vPCV, adults may receive concomitant vaccination with 13vPCV and 23vPPV, especially adults with risk factors. These scenarios are not considered in the submission.</w:t>
      </w:r>
      <w:r w:rsidR="00A672A9">
        <w:rPr>
          <w:rFonts w:ascii="Arial" w:hAnsi="Arial" w:cs="Arial"/>
          <w:snapToGrid w:val="0"/>
          <w:sz w:val="22"/>
          <w:szCs w:val="22"/>
        </w:rPr>
        <w:t xml:space="preserve"> </w:t>
      </w:r>
      <w:r w:rsidRPr="00A672A9">
        <w:rPr>
          <w:rFonts w:ascii="Arial" w:hAnsi="Arial" w:cs="Arial"/>
          <w:snapToGrid w:val="0"/>
          <w:sz w:val="22"/>
          <w:szCs w:val="22"/>
        </w:rPr>
        <w:t>The PSCR</w:t>
      </w:r>
      <w:r w:rsidR="00F10871" w:rsidRPr="00A672A9">
        <w:rPr>
          <w:rFonts w:ascii="Arial" w:hAnsi="Arial" w:cs="Arial"/>
          <w:snapToGrid w:val="0"/>
          <w:sz w:val="22"/>
          <w:szCs w:val="22"/>
        </w:rPr>
        <w:t xml:space="preserve"> </w:t>
      </w:r>
      <w:r w:rsidRPr="00A672A9">
        <w:rPr>
          <w:rFonts w:ascii="Arial" w:hAnsi="Arial" w:cs="Arial"/>
          <w:snapToGrid w:val="0"/>
          <w:sz w:val="22"/>
          <w:szCs w:val="22"/>
        </w:rPr>
        <w:t>argue</w:t>
      </w:r>
      <w:r w:rsidR="00F10871" w:rsidRPr="00A672A9">
        <w:rPr>
          <w:rFonts w:ascii="Arial" w:hAnsi="Arial" w:cs="Arial"/>
          <w:snapToGrid w:val="0"/>
          <w:sz w:val="22"/>
          <w:szCs w:val="22"/>
        </w:rPr>
        <w:t>d</w:t>
      </w:r>
      <w:r w:rsidRPr="00A672A9">
        <w:rPr>
          <w:rFonts w:ascii="Arial" w:hAnsi="Arial" w:cs="Arial"/>
          <w:snapToGrid w:val="0"/>
          <w:sz w:val="22"/>
          <w:szCs w:val="22"/>
        </w:rPr>
        <w:t xml:space="preserve"> that these scenarios are unlikely but indicated the sponsor’s willingness to work with ATAGI and the PBAC to work through issues with the implementation of the catch-up program.</w:t>
      </w:r>
      <w:r w:rsidR="002E1D71">
        <w:rPr>
          <w:rFonts w:ascii="Arial" w:hAnsi="Arial" w:cs="Arial"/>
          <w:snapToGrid w:val="0"/>
          <w:sz w:val="22"/>
          <w:szCs w:val="22"/>
        </w:rPr>
        <w:t xml:space="preserve"> The</w:t>
      </w:r>
      <w:r w:rsidR="006E717C">
        <w:rPr>
          <w:rFonts w:ascii="Arial" w:hAnsi="Arial" w:cs="Arial"/>
          <w:snapToGrid w:val="0"/>
          <w:sz w:val="22"/>
          <w:szCs w:val="22"/>
        </w:rPr>
        <w:t xml:space="preserve"> ATAGI</w:t>
      </w:r>
      <w:r w:rsidR="002E1D71">
        <w:rPr>
          <w:rFonts w:ascii="Arial" w:hAnsi="Arial" w:cs="Arial"/>
          <w:snapToGrid w:val="0"/>
          <w:sz w:val="22"/>
          <w:szCs w:val="22"/>
        </w:rPr>
        <w:t xml:space="preserve"> post-PBAC submission Advice recommended</w:t>
      </w:r>
      <w:r w:rsidR="002E1D71" w:rsidRPr="002E1D71">
        <w:rPr>
          <w:rFonts w:ascii="Arial" w:hAnsi="Arial" w:cs="Arial"/>
          <w:snapToGrid w:val="0"/>
          <w:sz w:val="22"/>
          <w:szCs w:val="22"/>
        </w:rPr>
        <w:t xml:space="preserve"> that the 13vPCV dose provided through the catch-up program for those with risk factors should replace the recommended second dose of 23vPPV in those who have already received their first dose of 23vPPV under the existing program. This reco</w:t>
      </w:r>
      <w:r w:rsidR="002E1D71">
        <w:rPr>
          <w:rFonts w:ascii="Arial" w:hAnsi="Arial" w:cs="Arial"/>
          <w:snapToGrid w:val="0"/>
          <w:sz w:val="22"/>
          <w:szCs w:val="22"/>
        </w:rPr>
        <w:t>mmendation wa</w:t>
      </w:r>
      <w:r w:rsidR="002E1D71" w:rsidRPr="002E1D71">
        <w:rPr>
          <w:rFonts w:ascii="Arial" w:hAnsi="Arial" w:cs="Arial"/>
          <w:snapToGrid w:val="0"/>
          <w:sz w:val="22"/>
          <w:szCs w:val="22"/>
        </w:rPr>
        <w:t>s based on the lack of clear evidence of benefit of an additional dose of 23vPPV following 13vPCV, and simplicity of program implementation.</w:t>
      </w:r>
    </w:p>
    <w:p w:rsidR="00CE2C77" w:rsidRPr="000C0D06" w:rsidRDefault="00CE2C77" w:rsidP="005D0815">
      <w:pPr>
        <w:ind w:left="720"/>
        <w:contextualSpacing/>
        <w:jc w:val="both"/>
        <w:rPr>
          <w:rFonts w:ascii="Arial" w:hAnsi="Arial" w:cs="Arial"/>
          <w:i/>
          <w:snapToGrid w:val="0"/>
          <w:sz w:val="22"/>
          <w:szCs w:val="20"/>
        </w:rPr>
      </w:pPr>
    </w:p>
    <w:p w:rsidR="00EF2AFE" w:rsidRPr="00EF2AFE" w:rsidRDefault="00EF2AFE" w:rsidP="005E67AE">
      <w:pPr>
        <w:ind w:left="709"/>
        <w:contextualSpacing/>
        <w:jc w:val="both"/>
        <w:rPr>
          <w:rFonts w:ascii="Arial" w:hAnsi="Arial" w:cs="Arial"/>
          <w:i/>
          <w:snapToGrid w:val="0"/>
          <w:sz w:val="22"/>
          <w:szCs w:val="22"/>
        </w:rPr>
      </w:pPr>
      <w:r w:rsidRPr="00EF2AFE">
        <w:rPr>
          <w:rFonts w:ascii="Arial" w:hAnsi="Arial" w:cs="Arial"/>
          <w:i/>
          <w:snapToGrid w:val="0"/>
          <w:sz w:val="22"/>
          <w:szCs w:val="22"/>
        </w:rPr>
        <w:t>For more detail on PBAC’s view, see section 7 “PBAC outcome”</w:t>
      </w:r>
    </w:p>
    <w:p w:rsidR="003C4F0B" w:rsidRDefault="003C4F0B" w:rsidP="00AD362F">
      <w:pPr>
        <w:jc w:val="both"/>
        <w:rPr>
          <w:rFonts w:ascii="Arial" w:hAnsi="Arial" w:cs="Arial"/>
          <w:snapToGrid w:val="0"/>
          <w:sz w:val="22"/>
          <w:szCs w:val="20"/>
        </w:rPr>
      </w:pPr>
    </w:p>
    <w:p w:rsidR="00EA2B1F" w:rsidRPr="00CE2C77" w:rsidRDefault="00EA2B1F" w:rsidP="00AD362F">
      <w:pPr>
        <w:jc w:val="both"/>
        <w:rPr>
          <w:rFonts w:ascii="Arial" w:hAnsi="Arial" w:cs="Arial"/>
          <w:snapToGrid w:val="0"/>
          <w:sz w:val="22"/>
          <w:szCs w:val="20"/>
        </w:rPr>
      </w:pPr>
    </w:p>
    <w:p w:rsidR="00CE2C77" w:rsidRPr="00CE2C77" w:rsidRDefault="00CE2C77" w:rsidP="00AD362F">
      <w:pPr>
        <w:pStyle w:val="PBACHeading1"/>
        <w:keepNext/>
      </w:pPr>
      <w:bookmarkStart w:id="4" w:name="_Toc409513702"/>
      <w:r w:rsidRPr="00CE2C77">
        <w:t>Background</w:t>
      </w:r>
      <w:bookmarkEnd w:id="4"/>
    </w:p>
    <w:p w:rsidR="00CE2C77" w:rsidRPr="00CE2C77" w:rsidRDefault="00CE2C77" w:rsidP="00AD362F">
      <w:pPr>
        <w:keepNext/>
        <w:jc w:val="both"/>
        <w:rPr>
          <w:rFonts w:ascii="Arial" w:hAnsi="Arial" w:cs="Arial"/>
          <w:snapToGrid w:val="0"/>
          <w:sz w:val="22"/>
          <w:szCs w:val="22"/>
        </w:rPr>
      </w:pPr>
    </w:p>
    <w:p w:rsidR="00CE2C77" w:rsidRPr="006153CD" w:rsidRDefault="00CE2C77" w:rsidP="00AD362F">
      <w:pPr>
        <w:numPr>
          <w:ilvl w:val="1"/>
          <w:numId w:val="3"/>
        </w:numPr>
        <w:contextualSpacing/>
        <w:jc w:val="both"/>
        <w:rPr>
          <w:rFonts w:ascii="Arial" w:hAnsi="Arial" w:cs="Arial"/>
          <w:snapToGrid w:val="0"/>
          <w:sz w:val="22"/>
          <w:szCs w:val="20"/>
        </w:rPr>
      </w:pPr>
      <w:r w:rsidRPr="006153CD">
        <w:rPr>
          <w:rFonts w:ascii="Arial" w:hAnsi="Arial" w:cs="Arial"/>
          <w:snapToGrid w:val="0"/>
          <w:sz w:val="22"/>
          <w:szCs w:val="22"/>
        </w:rPr>
        <w:t>TGA status: 13vPCV was TGA registered on 28 October 2011 for adults aged 50</w:t>
      </w:r>
      <w:r w:rsidR="000C0D06">
        <w:rPr>
          <w:rFonts w:ascii="Arial" w:hAnsi="Arial" w:cs="Arial"/>
          <w:snapToGrid w:val="0"/>
          <w:sz w:val="22"/>
          <w:szCs w:val="22"/>
        </w:rPr>
        <w:t> </w:t>
      </w:r>
      <w:r w:rsidRPr="006153CD">
        <w:rPr>
          <w:rFonts w:ascii="Arial" w:hAnsi="Arial" w:cs="Arial"/>
          <w:snapToGrid w:val="0"/>
          <w:sz w:val="22"/>
          <w:szCs w:val="22"/>
        </w:rPr>
        <w:t>years and older.</w:t>
      </w:r>
      <w:r w:rsidRPr="006153CD">
        <w:rPr>
          <w:rFonts w:ascii="Arial" w:hAnsi="Arial" w:cs="Arial"/>
          <w:snapToGrid w:val="0"/>
          <w:sz w:val="22"/>
          <w:szCs w:val="20"/>
        </w:rPr>
        <w:t xml:space="preserve"> The approval was based on immunogenicity studies.</w:t>
      </w:r>
    </w:p>
    <w:p w:rsidR="00CE2C77" w:rsidRPr="00CE2C77" w:rsidRDefault="00CE2C77" w:rsidP="00AD362F">
      <w:pPr>
        <w:ind w:left="720"/>
        <w:contextualSpacing/>
        <w:jc w:val="both"/>
        <w:rPr>
          <w:rFonts w:ascii="Arial" w:hAnsi="Arial" w:cs="Arial"/>
          <w:snapToGrid w:val="0"/>
          <w:sz w:val="22"/>
          <w:szCs w:val="22"/>
        </w:rPr>
      </w:pPr>
    </w:p>
    <w:p w:rsidR="00CE2C77" w:rsidRPr="006153CD" w:rsidRDefault="00CE2C77" w:rsidP="00AD362F">
      <w:pPr>
        <w:numPr>
          <w:ilvl w:val="1"/>
          <w:numId w:val="3"/>
        </w:numPr>
        <w:contextualSpacing/>
        <w:jc w:val="both"/>
        <w:rPr>
          <w:rFonts w:ascii="Arial" w:hAnsi="Arial" w:cs="Arial"/>
          <w:snapToGrid w:val="0"/>
          <w:sz w:val="22"/>
          <w:szCs w:val="22"/>
        </w:rPr>
      </w:pPr>
      <w:r w:rsidRPr="00CE2C77">
        <w:rPr>
          <w:rFonts w:ascii="Arial" w:hAnsi="Arial" w:cs="Arial"/>
          <w:snapToGrid w:val="0"/>
          <w:sz w:val="22"/>
          <w:szCs w:val="22"/>
        </w:rPr>
        <w:t>13vPCV for adults has</w:t>
      </w:r>
      <w:r w:rsidRPr="00CE2C77">
        <w:rPr>
          <w:rFonts w:ascii="Arial" w:hAnsi="Arial" w:cs="Arial"/>
          <w:snapToGrid w:val="0"/>
          <w:color w:val="0066FF"/>
          <w:sz w:val="22"/>
          <w:szCs w:val="22"/>
        </w:rPr>
        <w:t xml:space="preserve"> </w:t>
      </w:r>
      <w:r w:rsidRPr="00CE2C77">
        <w:rPr>
          <w:rFonts w:ascii="Arial" w:hAnsi="Arial" w:cs="Arial"/>
          <w:snapToGrid w:val="0"/>
          <w:sz w:val="22"/>
          <w:szCs w:val="22"/>
        </w:rPr>
        <w:t>not been considered by the PBAC previously</w:t>
      </w:r>
      <w:r w:rsidRPr="00CE2C77">
        <w:rPr>
          <w:rFonts w:ascii="Arial" w:hAnsi="Arial" w:cs="Arial"/>
          <w:snapToGrid w:val="0"/>
          <w:color w:val="0066FF"/>
          <w:sz w:val="22"/>
          <w:szCs w:val="22"/>
        </w:rPr>
        <w:t>.</w:t>
      </w:r>
    </w:p>
    <w:p w:rsidR="006B50F3" w:rsidRDefault="006B50F3" w:rsidP="00AD362F">
      <w:pPr>
        <w:pStyle w:val="ListParagraph"/>
        <w:rPr>
          <w:rFonts w:ascii="Arial" w:hAnsi="Arial" w:cs="Arial"/>
          <w:snapToGrid w:val="0"/>
          <w:sz w:val="22"/>
          <w:szCs w:val="22"/>
        </w:rPr>
      </w:pPr>
    </w:p>
    <w:p w:rsidR="00435734" w:rsidRPr="00517B6E" w:rsidRDefault="00435734" w:rsidP="00AD362F">
      <w:pPr>
        <w:numPr>
          <w:ilvl w:val="1"/>
          <w:numId w:val="3"/>
        </w:numPr>
        <w:contextualSpacing/>
        <w:jc w:val="both"/>
        <w:rPr>
          <w:rFonts w:ascii="Arial" w:hAnsi="Arial" w:cs="Arial"/>
          <w:snapToGrid w:val="0"/>
          <w:sz w:val="22"/>
          <w:szCs w:val="22"/>
        </w:rPr>
      </w:pPr>
      <w:r w:rsidRPr="00517B6E">
        <w:rPr>
          <w:rFonts w:ascii="Arial" w:hAnsi="Arial" w:cs="Arial"/>
          <w:snapToGrid w:val="0"/>
          <w:sz w:val="22"/>
          <w:szCs w:val="22"/>
        </w:rPr>
        <w:t xml:space="preserve">In July 2010 the PBAC recommended listing </w:t>
      </w:r>
      <w:r w:rsidR="000C0D06" w:rsidRPr="00517B6E">
        <w:rPr>
          <w:rFonts w:ascii="Arial" w:hAnsi="Arial" w:cs="Arial"/>
          <w:snapToGrid w:val="0"/>
          <w:sz w:val="22"/>
          <w:szCs w:val="22"/>
        </w:rPr>
        <w:t xml:space="preserve">13vPCV (Prevenar 13) </w:t>
      </w:r>
      <w:r w:rsidRPr="00517B6E">
        <w:rPr>
          <w:rFonts w:ascii="Arial" w:hAnsi="Arial" w:cs="Arial"/>
          <w:snapToGrid w:val="0"/>
          <w:sz w:val="22"/>
          <w:szCs w:val="22"/>
        </w:rPr>
        <w:t xml:space="preserve">on the NIP </w:t>
      </w:r>
      <w:r w:rsidR="001B584E">
        <w:rPr>
          <w:rFonts w:ascii="Arial" w:hAnsi="Arial" w:cs="Arial"/>
          <w:snapToGrid w:val="0"/>
          <w:sz w:val="22"/>
          <w:szCs w:val="22"/>
        </w:rPr>
        <w:t xml:space="preserve">for children </w:t>
      </w:r>
      <w:r w:rsidRPr="00517B6E">
        <w:rPr>
          <w:rFonts w:ascii="Arial" w:hAnsi="Arial" w:cs="Arial"/>
          <w:snapToGrid w:val="0"/>
          <w:sz w:val="22"/>
          <w:szCs w:val="22"/>
        </w:rPr>
        <w:t>under the same circumstances of use as the existing NIP listed pneumococcal 7-valent vaccine (Prevenar). The PBAC further recommended that Prevenar 13 pre-filled syringes should be priced to achieve parity between a complete course of Prevenar 13 and a complete course of the 10-valent vaccine (Synflorix) taking into account the proportion of the Prevenar 13 targeted population who will require a fourth dose and including the $7 cost of administering this dose at an existing vaccination point (Public Summary Document</w:t>
      </w:r>
      <w:r w:rsidR="006B5EB3" w:rsidRPr="00517B6E">
        <w:rPr>
          <w:rFonts w:ascii="Arial" w:hAnsi="Arial" w:cs="Arial"/>
          <w:snapToGrid w:val="0"/>
          <w:sz w:val="22"/>
          <w:szCs w:val="22"/>
        </w:rPr>
        <w:t xml:space="preserve">, </w:t>
      </w:r>
      <w:r w:rsidR="000C0D06" w:rsidRPr="00517B6E">
        <w:rPr>
          <w:rFonts w:ascii="Arial" w:hAnsi="Arial" w:cs="Arial"/>
          <w:snapToGrid w:val="0"/>
          <w:sz w:val="22"/>
          <w:szCs w:val="22"/>
        </w:rPr>
        <w:t>July 2010</w:t>
      </w:r>
      <w:r w:rsidR="00647D9A" w:rsidRPr="00517B6E">
        <w:rPr>
          <w:rFonts w:ascii="Arial" w:hAnsi="Arial" w:cs="Arial"/>
          <w:snapToGrid w:val="0"/>
          <w:sz w:val="22"/>
          <w:szCs w:val="22"/>
        </w:rPr>
        <w:t>)</w:t>
      </w:r>
      <w:r w:rsidR="00F15F90">
        <w:rPr>
          <w:rFonts w:ascii="Arial" w:hAnsi="Arial" w:cs="Arial"/>
          <w:snapToGrid w:val="0"/>
          <w:sz w:val="22"/>
          <w:szCs w:val="22"/>
        </w:rPr>
        <w:t>. It should be noted</w:t>
      </w:r>
      <w:r w:rsidR="001E2BDD">
        <w:rPr>
          <w:rFonts w:ascii="Arial" w:hAnsi="Arial" w:cs="Arial"/>
          <w:snapToGrid w:val="0"/>
          <w:sz w:val="22"/>
          <w:szCs w:val="22"/>
        </w:rPr>
        <w:t xml:space="preserve"> that the 7-valent </w:t>
      </w:r>
      <w:r w:rsidR="00F15F90">
        <w:rPr>
          <w:rFonts w:ascii="Arial" w:hAnsi="Arial" w:cs="Arial"/>
          <w:snapToGrid w:val="0"/>
          <w:sz w:val="22"/>
          <w:szCs w:val="22"/>
        </w:rPr>
        <w:t xml:space="preserve">vaccine </w:t>
      </w:r>
      <w:r w:rsidR="00486F9E">
        <w:rPr>
          <w:rFonts w:ascii="Arial" w:hAnsi="Arial" w:cs="Arial"/>
          <w:snapToGrid w:val="0"/>
          <w:sz w:val="22"/>
          <w:szCs w:val="22"/>
        </w:rPr>
        <w:t xml:space="preserve">had </w:t>
      </w:r>
      <w:r w:rsidR="00F15F90">
        <w:rPr>
          <w:rFonts w:ascii="Arial" w:hAnsi="Arial" w:cs="Arial"/>
          <w:snapToGrid w:val="0"/>
          <w:sz w:val="22"/>
          <w:szCs w:val="22"/>
        </w:rPr>
        <w:t xml:space="preserve">not been considered by the PBAC as </w:t>
      </w:r>
      <w:r w:rsidR="00486F9E">
        <w:rPr>
          <w:rFonts w:ascii="Arial" w:hAnsi="Arial" w:cs="Arial"/>
          <w:snapToGrid w:val="0"/>
          <w:sz w:val="22"/>
          <w:szCs w:val="22"/>
        </w:rPr>
        <w:t xml:space="preserve">its </w:t>
      </w:r>
      <w:r w:rsidR="00F15F90">
        <w:rPr>
          <w:rFonts w:ascii="Arial" w:hAnsi="Arial" w:cs="Arial"/>
          <w:snapToGrid w:val="0"/>
          <w:sz w:val="22"/>
          <w:szCs w:val="22"/>
        </w:rPr>
        <w:t xml:space="preserve">listing </w:t>
      </w:r>
      <w:r w:rsidR="00006DB2">
        <w:rPr>
          <w:rFonts w:ascii="Arial" w:hAnsi="Arial" w:cs="Arial"/>
          <w:snapToGrid w:val="0"/>
          <w:sz w:val="22"/>
          <w:szCs w:val="22"/>
        </w:rPr>
        <w:t>pre-dated the requirement for a PBAC recommendation for vaccines to be funded under the NIP</w:t>
      </w:r>
      <w:r w:rsidR="001E2BDD">
        <w:rPr>
          <w:rFonts w:ascii="Arial" w:hAnsi="Arial" w:cs="Arial"/>
          <w:snapToGrid w:val="0"/>
          <w:sz w:val="22"/>
          <w:szCs w:val="22"/>
        </w:rPr>
        <w:t>.</w:t>
      </w:r>
      <w:r w:rsidR="00486F9E">
        <w:rPr>
          <w:rFonts w:ascii="Arial" w:hAnsi="Arial" w:cs="Arial"/>
          <w:snapToGrid w:val="0"/>
          <w:sz w:val="22"/>
          <w:szCs w:val="22"/>
        </w:rPr>
        <w:t xml:space="preserve"> The 10-valent vaccine was considered at the July 2009 PBAC meeting. </w:t>
      </w:r>
    </w:p>
    <w:p w:rsidR="00435734" w:rsidRPr="00517B6E" w:rsidRDefault="00435734" w:rsidP="00AD362F">
      <w:pPr>
        <w:pStyle w:val="ListParagraph"/>
        <w:rPr>
          <w:rFonts w:ascii="Arial" w:hAnsi="Arial" w:cs="Arial"/>
          <w:snapToGrid w:val="0"/>
          <w:sz w:val="22"/>
          <w:szCs w:val="22"/>
        </w:rPr>
      </w:pPr>
    </w:p>
    <w:p w:rsidR="00435734" w:rsidRPr="0095208C" w:rsidRDefault="00435734" w:rsidP="0095208C">
      <w:pPr>
        <w:numPr>
          <w:ilvl w:val="1"/>
          <w:numId w:val="3"/>
        </w:numPr>
        <w:contextualSpacing/>
        <w:jc w:val="both"/>
        <w:rPr>
          <w:rFonts w:ascii="Arial" w:hAnsi="Arial" w:cs="Arial"/>
          <w:snapToGrid w:val="0"/>
          <w:sz w:val="22"/>
          <w:szCs w:val="22"/>
        </w:rPr>
      </w:pPr>
      <w:r w:rsidRPr="00517B6E">
        <w:rPr>
          <w:rFonts w:ascii="Arial" w:hAnsi="Arial" w:cs="Arial"/>
          <w:snapToGrid w:val="0"/>
          <w:sz w:val="22"/>
          <w:szCs w:val="22"/>
        </w:rPr>
        <w:t>In November 2010</w:t>
      </w:r>
      <w:r w:rsidR="00006DB2">
        <w:rPr>
          <w:rFonts w:ascii="Arial" w:hAnsi="Arial" w:cs="Arial"/>
          <w:snapToGrid w:val="0"/>
          <w:sz w:val="22"/>
          <w:szCs w:val="22"/>
        </w:rPr>
        <w:t>,</w:t>
      </w:r>
      <w:r w:rsidRPr="00517B6E">
        <w:rPr>
          <w:rFonts w:ascii="Arial" w:hAnsi="Arial" w:cs="Arial"/>
          <w:snapToGrid w:val="0"/>
          <w:sz w:val="22"/>
          <w:szCs w:val="22"/>
        </w:rPr>
        <w:t xml:space="preserve"> </w:t>
      </w:r>
      <w:r w:rsidR="0095208C">
        <w:rPr>
          <w:rFonts w:ascii="Arial" w:hAnsi="Arial" w:cs="Arial"/>
          <w:snapToGrid w:val="0"/>
          <w:sz w:val="22"/>
          <w:szCs w:val="22"/>
        </w:rPr>
        <w:t>‘t</w:t>
      </w:r>
      <w:r w:rsidR="0095208C" w:rsidRPr="0095208C">
        <w:rPr>
          <w:rFonts w:ascii="Arial" w:hAnsi="Arial" w:cs="Arial"/>
          <w:snapToGrid w:val="0"/>
          <w:sz w:val="22"/>
          <w:szCs w:val="22"/>
        </w:rPr>
        <w:t xml:space="preserve">he PBAC recommended extension of the recommended listing, in the NIP, of 13vPCV to include a single supplementary (catch-up) dose of 13vPCV for children aged between 12 and 23 months who have completed primary vaccination with 3 doses of 7vPCV, assuming that the catch-up program commences at around the same time as any switch from 7vPCV to 13vPCV on the NIP. Although noting that some uncertainty remained about the duration of direct benefits and the extrapolation of the surrogate immunogenicity data provided into clinical benefits, the </w:t>
      </w:r>
      <w:r w:rsidR="0095208C" w:rsidRPr="0095208C">
        <w:rPr>
          <w:rFonts w:ascii="Arial" w:hAnsi="Arial" w:cs="Arial"/>
          <w:snapToGrid w:val="0"/>
          <w:sz w:val="22"/>
          <w:szCs w:val="22"/>
        </w:rPr>
        <w:lastRenderedPageBreak/>
        <w:t>Committee considered that the ICER of between $</w:t>
      </w:r>
      <w:r w:rsidR="0095208C" w:rsidRPr="00DF69CA">
        <w:rPr>
          <w:rFonts w:ascii="Arial" w:hAnsi="Arial" w:cs="Arial"/>
          <w:snapToGrid w:val="0"/>
          <w:sz w:val="22"/>
          <w:szCs w:val="22"/>
        </w:rPr>
        <w:t>15,000 - $45,000</w:t>
      </w:r>
      <w:r w:rsidR="0095208C" w:rsidRPr="0095208C">
        <w:rPr>
          <w:rFonts w:ascii="Arial" w:hAnsi="Arial" w:cs="Arial"/>
          <w:snapToGrid w:val="0"/>
          <w:sz w:val="22"/>
          <w:szCs w:val="22"/>
        </w:rPr>
        <w:t xml:space="preserve"> per quality adjusted life-year (QALY) using the QALY weights proposed during the evaluation, including direct and indirect effects and the current price of 13vPCV, represented acceptable cos</w:t>
      </w:r>
      <w:r w:rsidR="0095208C">
        <w:rPr>
          <w:rFonts w:ascii="Arial" w:hAnsi="Arial" w:cs="Arial"/>
          <w:snapToGrid w:val="0"/>
          <w:sz w:val="22"/>
          <w:szCs w:val="22"/>
        </w:rPr>
        <w:t>t-effectiveness in this context.</w:t>
      </w:r>
      <w:r w:rsidR="0095208C" w:rsidRPr="0095208C">
        <w:rPr>
          <w:rFonts w:ascii="Arial" w:hAnsi="Arial" w:cs="Arial"/>
          <w:snapToGrid w:val="0"/>
          <w:sz w:val="22"/>
          <w:szCs w:val="22"/>
        </w:rPr>
        <w:t>’</w:t>
      </w:r>
      <w:r w:rsidRPr="0095208C">
        <w:rPr>
          <w:rFonts w:ascii="Arial" w:hAnsi="Arial" w:cs="Arial"/>
          <w:snapToGrid w:val="0"/>
          <w:sz w:val="22"/>
          <w:szCs w:val="22"/>
        </w:rPr>
        <w:t xml:space="preserve"> (Public Summary Document</w:t>
      </w:r>
      <w:r w:rsidR="006B5EB3" w:rsidRPr="0095208C">
        <w:rPr>
          <w:rFonts w:ascii="Arial" w:hAnsi="Arial" w:cs="Arial"/>
          <w:snapToGrid w:val="0"/>
          <w:sz w:val="22"/>
          <w:szCs w:val="22"/>
        </w:rPr>
        <w:t>,</w:t>
      </w:r>
      <w:r w:rsidR="00465741" w:rsidRPr="0095208C">
        <w:rPr>
          <w:rFonts w:ascii="Arial" w:hAnsi="Arial" w:cs="Arial"/>
          <w:snapToGrid w:val="0"/>
          <w:sz w:val="22"/>
          <w:szCs w:val="22"/>
        </w:rPr>
        <w:t xml:space="preserve"> </w:t>
      </w:r>
      <w:r w:rsidR="000C0D06" w:rsidRPr="0095208C">
        <w:rPr>
          <w:rFonts w:ascii="Arial" w:hAnsi="Arial" w:cs="Arial"/>
          <w:snapToGrid w:val="0"/>
          <w:sz w:val="22"/>
          <w:szCs w:val="22"/>
        </w:rPr>
        <w:t>November 2010</w:t>
      </w:r>
      <w:r w:rsidRPr="0095208C">
        <w:rPr>
          <w:rFonts w:ascii="Arial" w:hAnsi="Arial" w:cs="Arial"/>
          <w:snapToGrid w:val="0"/>
          <w:sz w:val="22"/>
          <w:szCs w:val="22"/>
        </w:rPr>
        <w:t>)</w:t>
      </w:r>
      <w:r w:rsidR="001B584E" w:rsidRPr="0095208C">
        <w:rPr>
          <w:rFonts w:ascii="Arial" w:hAnsi="Arial" w:cs="Arial"/>
          <w:snapToGrid w:val="0"/>
          <w:sz w:val="22"/>
          <w:szCs w:val="22"/>
        </w:rPr>
        <w:t>.</w:t>
      </w:r>
    </w:p>
    <w:p w:rsidR="00435734" w:rsidRPr="00517B6E" w:rsidRDefault="00435734" w:rsidP="00AD362F">
      <w:pPr>
        <w:pStyle w:val="ListParagraph"/>
        <w:rPr>
          <w:rFonts w:ascii="Arial" w:hAnsi="Arial" w:cs="Arial"/>
          <w:snapToGrid w:val="0"/>
          <w:sz w:val="22"/>
          <w:szCs w:val="22"/>
        </w:rPr>
      </w:pPr>
    </w:p>
    <w:p w:rsidR="00906FC8" w:rsidRPr="00517B6E" w:rsidRDefault="00906FC8" w:rsidP="00AD362F">
      <w:pPr>
        <w:numPr>
          <w:ilvl w:val="1"/>
          <w:numId w:val="3"/>
        </w:numPr>
        <w:contextualSpacing/>
        <w:jc w:val="both"/>
        <w:rPr>
          <w:rFonts w:ascii="Arial" w:hAnsi="Arial" w:cs="Arial"/>
          <w:snapToGrid w:val="0"/>
          <w:sz w:val="22"/>
          <w:szCs w:val="22"/>
        </w:rPr>
      </w:pPr>
      <w:r w:rsidRPr="00517B6E">
        <w:rPr>
          <w:rFonts w:ascii="Arial" w:hAnsi="Arial" w:cs="Arial"/>
          <w:snapToGrid w:val="0"/>
          <w:sz w:val="22"/>
          <w:szCs w:val="22"/>
        </w:rPr>
        <w:t xml:space="preserve">Vaccination using 23vPPV </w:t>
      </w:r>
      <w:r w:rsidR="00DD02EA" w:rsidRPr="00517B6E">
        <w:rPr>
          <w:rFonts w:ascii="Arial" w:hAnsi="Arial" w:cs="Arial"/>
          <w:snapToGrid w:val="0"/>
          <w:sz w:val="22"/>
          <w:szCs w:val="22"/>
        </w:rPr>
        <w:t xml:space="preserve">(comparator) </w:t>
      </w:r>
      <w:r w:rsidRPr="00517B6E">
        <w:rPr>
          <w:rFonts w:ascii="Arial" w:hAnsi="Arial" w:cs="Arial"/>
          <w:snapToGrid w:val="0"/>
          <w:sz w:val="22"/>
          <w:szCs w:val="22"/>
        </w:rPr>
        <w:t xml:space="preserve">was introduced in 1999 for all Indigenous adults aged ≥50 years and younger Indigenous adults with risk factors. Since January 2005, 23vPPV has also been funded under the NIP for non-Indigenous adults aged ≥65 years. Persons aged &lt;65 years with a condition(s) associated with an increased risk of </w:t>
      </w:r>
      <w:r w:rsidR="003C4F0B" w:rsidRPr="00517B6E">
        <w:rPr>
          <w:rFonts w:ascii="Arial" w:hAnsi="Arial" w:cs="Arial"/>
          <w:snapToGrid w:val="0"/>
          <w:sz w:val="22"/>
          <w:szCs w:val="22"/>
        </w:rPr>
        <w:t>invasive pneumococcal diseases (</w:t>
      </w:r>
      <w:r w:rsidRPr="00517B6E">
        <w:rPr>
          <w:rFonts w:ascii="Arial" w:hAnsi="Arial" w:cs="Arial"/>
          <w:snapToGrid w:val="0"/>
          <w:sz w:val="22"/>
          <w:szCs w:val="22"/>
        </w:rPr>
        <w:t>IPD</w:t>
      </w:r>
      <w:r w:rsidR="003C4F0B" w:rsidRPr="00517B6E">
        <w:rPr>
          <w:rFonts w:ascii="Arial" w:hAnsi="Arial" w:cs="Arial"/>
          <w:snapToGrid w:val="0"/>
          <w:sz w:val="22"/>
          <w:szCs w:val="22"/>
        </w:rPr>
        <w:t>)</w:t>
      </w:r>
      <w:r w:rsidRPr="00517B6E">
        <w:rPr>
          <w:rFonts w:ascii="Arial" w:hAnsi="Arial" w:cs="Arial"/>
          <w:snapToGrid w:val="0"/>
          <w:sz w:val="22"/>
          <w:szCs w:val="22"/>
        </w:rPr>
        <w:t xml:space="preserve"> can access 23vPPV through the Pharmaceutical Benefits Scheme. </w:t>
      </w:r>
      <w:r w:rsidR="00465741" w:rsidRPr="00517B6E">
        <w:rPr>
          <w:rFonts w:ascii="Arial" w:hAnsi="Arial" w:cs="Arial"/>
          <w:snapToGrid w:val="0"/>
          <w:sz w:val="22"/>
          <w:szCs w:val="22"/>
        </w:rPr>
        <w:t>(</w:t>
      </w:r>
      <w:r w:rsidR="00D95E58" w:rsidRPr="00517B6E">
        <w:rPr>
          <w:rFonts w:ascii="Arial" w:hAnsi="Arial" w:cs="Arial"/>
          <w:snapToGrid w:val="0"/>
          <w:sz w:val="22"/>
          <w:szCs w:val="22"/>
        </w:rPr>
        <w:t>Australian Immunis</w:t>
      </w:r>
      <w:r w:rsidR="00647D9A" w:rsidRPr="00517B6E">
        <w:rPr>
          <w:rFonts w:ascii="Arial" w:hAnsi="Arial" w:cs="Arial"/>
          <w:snapToGrid w:val="0"/>
          <w:sz w:val="22"/>
          <w:szCs w:val="22"/>
        </w:rPr>
        <w:t>ation Handbook</w:t>
      </w:r>
      <w:r w:rsidR="00580159" w:rsidRPr="00517B6E">
        <w:rPr>
          <w:rFonts w:ascii="Arial" w:hAnsi="Arial" w:cs="Arial"/>
          <w:snapToGrid w:val="0"/>
          <w:sz w:val="22"/>
          <w:szCs w:val="22"/>
        </w:rPr>
        <w:t xml:space="preserve"> 10</w:t>
      </w:r>
      <w:r w:rsidR="00580159" w:rsidRPr="00517B6E">
        <w:rPr>
          <w:rFonts w:ascii="Arial" w:hAnsi="Arial" w:cs="Arial"/>
          <w:snapToGrid w:val="0"/>
          <w:sz w:val="22"/>
          <w:szCs w:val="22"/>
          <w:vertAlign w:val="superscript"/>
        </w:rPr>
        <w:t>th</w:t>
      </w:r>
      <w:r w:rsidR="00580159" w:rsidRPr="00517B6E">
        <w:rPr>
          <w:rFonts w:ascii="Arial" w:hAnsi="Arial" w:cs="Arial"/>
          <w:snapToGrid w:val="0"/>
          <w:sz w:val="22"/>
          <w:szCs w:val="22"/>
        </w:rPr>
        <w:t xml:space="preserve"> Edition</w:t>
      </w:r>
      <w:r w:rsidR="00465741" w:rsidRPr="00517B6E">
        <w:rPr>
          <w:rFonts w:ascii="Arial" w:hAnsi="Arial" w:cs="Arial"/>
          <w:snapToGrid w:val="0"/>
          <w:sz w:val="22"/>
          <w:szCs w:val="22"/>
        </w:rPr>
        <w:t xml:space="preserve"> p.319)</w:t>
      </w:r>
    </w:p>
    <w:p w:rsidR="00906FC8" w:rsidRPr="00CE2C77" w:rsidRDefault="00906FC8" w:rsidP="00AD362F">
      <w:pPr>
        <w:contextualSpacing/>
        <w:jc w:val="both"/>
        <w:rPr>
          <w:rFonts w:ascii="Arial" w:hAnsi="Arial" w:cs="Arial"/>
          <w:snapToGrid w:val="0"/>
          <w:sz w:val="22"/>
          <w:szCs w:val="22"/>
        </w:rPr>
      </w:pPr>
    </w:p>
    <w:p w:rsidR="00EF2AFE" w:rsidRPr="00EF2AFE" w:rsidRDefault="00EF2AFE" w:rsidP="005E67AE">
      <w:pPr>
        <w:ind w:left="709"/>
        <w:contextualSpacing/>
        <w:jc w:val="both"/>
        <w:rPr>
          <w:rFonts w:ascii="Arial" w:hAnsi="Arial" w:cs="Arial"/>
          <w:i/>
          <w:snapToGrid w:val="0"/>
          <w:sz w:val="22"/>
          <w:szCs w:val="22"/>
        </w:rPr>
      </w:pPr>
      <w:r w:rsidRPr="00EF2AFE">
        <w:rPr>
          <w:rFonts w:ascii="Arial" w:hAnsi="Arial" w:cs="Arial"/>
          <w:i/>
          <w:snapToGrid w:val="0"/>
          <w:sz w:val="22"/>
          <w:szCs w:val="22"/>
        </w:rPr>
        <w:t>For more detail on PBAC’s view, see section 7 “PBAC outcome”</w:t>
      </w:r>
    </w:p>
    <w:p w:rsidR="00CE2C77" w:rsidRDefault="00CE2C77" w:rsidP="00AD362F">
      <w:pPr>
        <w:jc w:val="both"/>
        <w:rPr>
          <w:rFonts w:ascii="Arial" w:hAnsi="Arial" w:cs="Arial"/>
          <w:snapToGrid w:val="0"/>
          <w:sz w:val="22"/>
          <w:szCs w:val="20"/>
        </w:rPr>
      </w:pPr>
    </w:p>
    <w:p w:rsidR="00EA2B1F" w:rsidRPr="00CE2C77" w:rsidRDefault="00EA2B1F" w:rsidP="00AD362F">
      <w:pPr>
        <w:jc w:val="both"/>
        <w:rPr>
          <w:rFonts w:ascii="Arial" w:hAnsi="Arial" w:cs="Arial"/>
          <w:snapToGrid w:val="0"/>
          <w:sz w:val="22"/>
          <w:szCs w:val="20"/>
        </w:rPr>
      </w:pPr>
    </w:p>
    <w:p w:rsidR="00CE2C77" w:rsidRPr="00CE2C77" w:rsidRDefault="00CE2C77" w:rsidP="00AD362F">
      <w:pPr>
        <w:pStyle w:val="PBACHeading1"/>
        <w:keepNext/>
      </w:pPr>
      <w:bookmarkStart w:id="5" w:name="_Toc409513703"/>
      <w:r w:rsidRPr="00CE2C77">
        <w:t>Clinical place for the proposed therapy</w:t>
      </w:r>
      <w:bookmarkEnd w:id="5"/>
    </w:p>
    <w:p w:rsidR="00CE2C77" w:rsidRPr="00CE2C77" w:rsidRDefault="00CE2C77" w:rsidP="00AD362F">
      <w:pPr>
        <w:keepNext/>
        <w:jc w:val="both"/>
        <w:rPr>
          <w:rFonts w:ascii="Arial" w:hAnsi="Arial" w:cs="Arial"/>
          <w:snapToGrid w:val="0"/>
          <w:sz w:val="22"/>
          <w:szCs w:val="22"/>
        </w:rPr>
      </w:pPr>
    </w:p>
    <w:p w:rsidR="00CE2C77" w:rsidRPr="00CE2C77" w:rsidRDefault="00CE2C77" w:rsidP="00AD362F">
      <w:pPr>
        <w:numPr>
          <w:ilvl w:val="1"/>
          <w:numId w:val="3"/>
        </w:numPr>
        <w:contextualSpacing/>
        <w:jc w:val="both"/>
        <w:rPr>
          <w:rFonts w:ascii="Arial" w:hAnsi="Arial" w:cs="Arial"/>
          <w:snapToGrid w:val="0"/>
          <w:sz w:val="22"/>
          <w:szCs w:val="22"/>
        </w:rPr>
      </w:pPr>
      <w:r w:rsidRPr="00CE2C77">
        <w:rPr>
          <w:rFonts w:ascii="Arial" w:hAnsi="Arial" w:cs="Arial"/>
          <w:snapToGrid w:val="0"/>
          <w:sz w:val="22"/>
          <w:szCs w:val="22"/>
        </w:rPr>
        <w:t xml:space="preserve">Infections with </w:t>
      </w:r>
      <w:r w:rsidRPr="00CE2C77">
        <w:rPr>
          <w:rFonts w:ascii="Arial" w:hAnsi="Arial" w:cs="Arial"/>
          <w:i/>
          <w:snapToGrid w:val="0"/>
          <w:sz w:val="22"/>
          <w:szCs w:val="22"/>
        </w:rPr>
        <w:t>Streptococcus pneumoniae</w:t>
      </w:r>
      <w:r w:rsidRPr="00CE2C77">
        <w:rPr>
          <w:rFonts w:ascii="Arial" w:hAnsi="Arial" w:cs="Arial"/>
          <w:snapToGrid w:val="0"/>
          <w:sz w:val="22"/>
          <w:szCs w:val="22"/>
        </w:rPr>
        <w:t xml:space="preserve"> can cause IPD such as meningitis, septicaemia and bacteraemic pneumonia, and other forms of disease such as non</w:t>
      </w:r>
      <w:r w:rsidR="003C4F0B">
        <w:rPr>
          <w:rFonts w:ascii="Arial" w:hAnsi="Arial" w:cs="Arial"/>
          <w:snapToGrid w:val="0"/>
          <w:sz w:val="22"/>
          <w:szCs w:val="22"/>
        </w:rPr>
        <w:noBreakHyphen/>
      </w:r>
      <w:r w:rsidRPr="00CE2C77">
        <w:rPr>
          <w:rFonts w:ascii="Arial" w:hAnsi="Arial" w:cs="Arial"/>
          <w:snapToGrid w:val="0"/>
          <w:sz w:val="22"/>
          <w:szCs w:val="22"/>
        </w:rPr>
        <w:t xml:space="preserve">bacteraemic pneumonia. </w:t>
      </w:r>
      <w:r w:rsidRPr="00CE2C77">
        <w:rPr>
          <w:rFonts w:ascii="Arial" w:hAnsi="Arial" w:cs="Arial"/>
          <w:snapToGrid w:val="0"/>
          <w:sz w:val="22"/>
          <w:szCs w:val="20"/>
        </w:rPr>
        <w:t>13vPCV is a 13-valent pneumococcal conjugate vaccine. The pneumococcal vaccine currently liste</w:t>
      </w:r>
      <w:r w:rsidR="00D95E58">
        <w:rPr>
          <w:rFonts w:ascii="Arial" w:hAnsi="Arial" w:cs="Arial"/>
          <w:snapToGrid w:val="0"/>
          <w:sz w:val="22"/>
          <w:szCs w:val="20"/>
        </w:rPr>
        <w:t>d on the NIP for adults is a 23</w:t>
      </w:r>
      <w:r w:rsidR="00D95E58">
        <w:rPr>
          <w:rFonts w:ascii="Arial" w:hAnsi="Arial" w:cs="Arial"/>
          <w:snapToGrid w:val="0"/>
          <w:sz w:val="22"/>
          <w:szCs w:val="20"/>
        </w:rPr>
        <w:noBreakHyphen/>
      </w:r>
      <w:r w:rsidRPr="00CE2C77">
        <w:rPr>
          <w:rFonts w:ascii="Arial" w:hAnsi="Arial" w:cs="Arial"/>
          <w:snapToGrid w:val="0"/>
          <w:sz w:val="22"/>
          <w:szCs w:val="20"/>
        </w:rPr>
        <w:t>valent capsular polysaccharide vaccine. 13vPCV covers 12 of the 23 serotypes covered by 23vPPV and one additional serotype.</w:t>
      </w:r>
    </w:p>
    <w:p w:rsidR="00CE2C77" w:rsidRPr="00CE2C77" w:rsidRDefault="00CE2C77" w:rsidP="00AD362F">
      <w:pPr>
        <w:jc w:val="both"/>
        <w:rPr>
          <w:rFonts w:ascii="Arial" w:hAnsi="Arial" w:cs="Arial"/>
          <w:snapToGrid w:val="0"/>
          <w:sz w:val="22"/>
          <w:szCs w:val="22"/>
        </w:rPr>
      </w:pPr>
    </w:p>
    <w:p w:rsidR="00CE2C77" w:rsidRPr="00CE2C77" w:rsidRDefault="00CE2C77" w:rsidP="00AD362F">
      <w:pPr>
        <w:numPr>
          <w:ilvl w:val="1"/>
          <w:numId w:val="3"/>
        </w:numPr>
        <w:contextualSpacing/>
        <w:jc w:val="both"/>
        <w:rPr>
          <w:rFonts w:ascii="Arial" w:hAnsi="Arial" w:cs="Arial"/>
          <w:snapToGrid w:val="0"/>
          <w:sz w:val="22"/>
          <w:szCs w:val="22"/>
        </w:rPr>
      </w:pPr>
      <w:r w:rsidRPr="00CE2C77">
        <w:rPr>
          <w:rFonts w:ascii="Arial" w:hAnsi="Arial" w:cs="Arial"/>
          <w:snapToGrid w:val="0"/>
          <w:sz w:val="22"/>
          <w:szCs w:val="20"/>
        </w:rPr>
        <w:t>Primary program: for adults without at-risk conditions, a single dose of 13vPCV is to replace the single dose of 23vPPV. For adults with an at-risk condition, a single dose of 13vPCV is to replace the initial dose of two or three dose of 23vPPV</w:t>
      </w:r>
      <w:r w:rsidR="006C0468">
        <w:rPr>
          <w:rFonts w:ascii="Arial" w:hAnsi="Arial" w:cs="Arial"/>
          <w:snapToGrid w:val="0"/>
          <w:sz w:val="22"/>
          <w:szCs w:val="20"/>
        </w:rPr>
        <w:t>, noting that a dose of 23vPPV will still be required 5 years later</w:t>
      </w:r>
      <w:r w:rsidRPr="00CE2C77">
        <w:rPr>
          <w:rFonts w:ascii="Arial" w:hAnsi="Arial" w:cs="Arial"/>
          <w:snapToGrid w:val="0"/>
          <w:sz w:val="22"/>
          <w:szCs w:val="20"/>
        </w:rPr>
        <w:t>.</w:t>
      </w:r>
    </w:p>
    <w:p w:rsidR="003C4F0B" w:rsidRDefault="00CE2C77" w:rsidP="00AD362F">
      <w:pPr>
        <w:ind w:left="720"/>
        <w:contextualSpacing/>
        <w:jc w:val="both"/>
        <w:rPr>
          <w:rFonts w:ascii="Arial" w:hAnsi="Arial" w:cs="Arial"/>
          <w:snapToGrid w:val="0"/>
          <w:sz w:val="22"/>
          <w:szCs w:val="20"/>
        </w:rPr>
      </w:pPr>
      <w:r w:rsidRPr="00CE2C77">
        <w:rPr>
          <w:rFonts w:ascii="Arial" w:hAnsi="Arial" w:cs="Arial"/>
          <w:snapToGrid w:val="0"/>
          <w:sz w:val="22"/>
          <w:szCs w:val="20"/>
        </w:rPr>
        <w:t>Catch-up program: a single dose of 13vPCV</w:t>
      </w:r>
      <w:r w:rsidR="003B1C50">
        <w:rPr>
          <w:rFonts w:ascii="Arial" w:hAnsi="Arial" w:cs="Arial"/>
          <w:snapToGrid w:val="0"/>
          <w:sz w:val="22"/>
          <w:szCs w:val="20"/>
        </w:rPr>
        <w:t xml:space="preserve"> for adults 66-74 or 70-74 years of ag</w:t>
      </w:r>
      <w:r w:rsidR="00780900">
        <w:rPr>
          <w:rFonts w:ascii="Arial" w:hAnsi="Arial" w:cs="Arial"/>
          <w:snapToGrid w:val="0"/>
          <w:sz w:val="22"/>
          <w:szCs w:val="20"/>
        </w:rPr>
        <w:t>e over five</w:t>
      </w:r>
      <w:r w:rsidR="003B1C50">
        <w:rPr>
          <w:rFonts w:ascii="Arial" w:hAnsi="Arial" w:cs="Arial"/>
          <w:snapToGrid w:val="0"/>
          <w:sz w:val="22"/>
          <w:szCs w:val="20"/>
        </w:rPr>
        <w:t xml:space="preserve"> years</w:t>
      </w:r>
      <w:r w:rsidRPr="00CE2C77">
        <w:rPr>
          <w:rFonts w:ascii="Arial" w:hAnsi="Arial" w:cs="Arial"/>
          <w:snapToGrid w:val="0"/>
          <w:sz w:val="22"/>
          <w:szCs w:val="20"/>
        </w:rPr>
        <w:t xml:space="preserve"> to increase vaccination coverage.</w:t>
      </w:r>
    </w:p>
    <w:p w:rsidR="00465741" w:rsidRDefault="00465741" w:rsidP="00AD362F">
      <w:pPr>
        <w:ind w:left="720"/>
        <w:contextualSpacing/>
        <w:jc w:val="both"/>
        <w:rPr>
          <w:rFonts w:ascii="Arial" w:hAnsi="Arial" w:cs="Arial"/>
          <w:snapToGrid w:val="0"/>
          <w:sz w:val="22"/>
          <w:szCs w:val="20"/>
        </w:rPr>
      </w:pPr>
    </w:p>
    <w:p w:rsidR="00465741" w:rsidRPr="00EA2B1F" w:rsidRDefault="000A06B1" w:rsidP="00AD362F">
      <w:pPr>
        <w:numPr>
          <w:ilvl w:val="1"/>
          <w:numId w:val="3"/>
        </w:numPr>
        <w:contextualSpacing/>
        <w:jc w:val="both"/>
        <w:rPr>
          <w:rFonts w:ascii="Arial" w:hAnsi="Arial" w:cs="Arial"/>
          <w:snapToGrid w:val="0"/>
          <w:sz w:val="22"/>
          <w:szCs w:val="22"/>
        </w:rPr>
      </w:pPr>
      <w:r>
        <w:rPr>
          <w:rFonts w:ascii="Arial" w:hAnsi="Arial" w:cs="Arial"/>
          <w:snapToGrid w:val="0"/>
          <w:sz w:val="22"/>
          <w:szCs w:val="22"/>
        </w:rPr>
        <w:t xml:space="preserve">The </w:t>
      </w:r>
      <w:r w:rsidR="0095208C">
        <w:rPr>
          <w:rFonts w:ascii="Arial" w:hAnsi="Arial" w:cs="Arial"/>
          <w:snapToGrid w:val="0"/>
          <w:sz w:val="22"/>
          <w:szCs w:val="22"/>
        </w:rPr>
        <w:t xml:space="preserve">following </w:t>
      </w:r>
      <w:r>
        <w:rPr>
          <w:rFonts w:ascii="Arial" w:hAnsi="Arial" w:cs="Arial"/>
          <w:snapToGrid w:val="0"/>
          <w:sz w:val="22"/>
          <w:szCs w:val="22"/>
        </w:rPr>
        <w:t>table shows</w:t>
      </w:r>
      <w:r w:rsidR="00465741" w:rsidRPr="00EA2B1F">
        <w:rPr>
          <w:rFonts w:ascii="Arial" w:hAnsi="Arial" w:cs="Arial"/>
          <w:snapToGrid w:val="0"/>
          <w:sz w:val="22"/>
          <w:szCs w:val="22"/>
        </w:rPr>
        <w:t xml:space="preserve"> the proposed listing </w:t>
      </w:r>
      <w:r w:rsidR="00D95E58" w:rsidRPr="00EA2B1F">
        <w:rPr>
          <w:rFonts w:ascii="Arial" w:hAnsi="Arial" w:cs="Arial"/>
          <w:snapToGrid w:val="0"/>
          <w:sz w:val="22"/>
          <w:szCs w:val="22"/>
        </w:rPr>
        <w:t xml:space="preserve">for the primary program compared with the current schedule. </w:t>
      </w:r>
    </w:p>
    <w:p w:rsidR="00465741" w:rsidRDefault="00465741" w:rsidP="00AD362F">
      <w:pPr>
        <w:ind w:left="720"/>
        <w:contextualSpacing/>
        <w:jc w:val="both"/>
        <w:rPr>
          <w:rFonts w:ascii="Arial" w:hAnsi="Arial" w:cs="Arial"/>
          <w:snapToGrid w:val="0"/>
          <w:sz w:val="22"/>
          <w:szCs w:val="20"/>
        </w:rPr>
      </w:pPr>
    </w:p>
    <w:p w:rsidR="00D95E58" w:rsidRPr="00054B27" w:rsidRDefault="00D95E58" w:rsidP="00AD362F">
      <w:pPr>
        <w:pStyle w:val="ListParagraph"/>
        <w:keepNext/>
        <w:rPr>
          <w:rFonts w:ascii="Arial Narrow" w:hAnsi="Arial Narrow" w:cs="Arial"/>
          <w:b/>
          <w:snapToGrid w:val="0"/>
          <w:sz w:val="20"/>
          <w:szCs w:val="20"/>
        </w:rPr>
      </w:pPr>
      <w:r w:rsidRPr="00054B27">
        <w:rPr>
          <w:rFonts w:ascii="Arial Narrow" w:hAnsi="Arial Narrow" w:cs="Arial"/>
          <w:b/>
          <w:snapToGrid w:val="0"/>
          <w:sz w:val="20"/>
          <w:szCs w:val="20"/>
        </w:rPr>
        <w:t>13vPCV proposed listing compared with current 23vPPV</w:t>
      </w:r>
    </w:p>
    <w:tbl>
      <w:tblPr>
        <w:tblStyle w:val="TableGrid"/>
        <w:tblW w:w="0" w:type="auto"/>
        <w:tblInd w:w="817" w:type="dxa"/>
        <w:tblLook w:val="04A0" w:firstRow="1" w:lastRow="0" w:firstColumn="1" w:lastColumn="0" w:noHBand="0" w:noVBand="1"/>
      </w:tblPr>
      <w:tblGrid>
        <w:gridCol w:w="1134"/>
        <w:gridCol w:w="1843"/>
        <w:gridCol w:w="2268"/>
        <w:gridCol w:w="2551"/>
      </w:tblGrid>
      <w:tr w:rsidR="00D95E58" w:rsidRPr="00667350" w:rsidTr="00F10871">
        <w:tc>
          <w:tcPr>
            <w:tcW w:w="2977" w:type="dxa"/>
            <w:gridSpan w:val="2"/>
          </w:tcPr>
          <w:p w:rsidR="00D95E58" w:rsidRPr="00054B27" w:rsidRDefault="00D95E58" w:rsidP="00AD362F">
            <w:pPr>
              <w:keepNext/>
              <w:contextualSpacing/>
              <w:jc w:val="both"/>
              <w:rPr>
                <w:rFonts w:ascii="Arial Narrow" w:hAnsi="Arial Narrow" w:cs="Arial"/>
                <w:snapToGrid w:val="0"/>
                <w:sz w:val="20"/>
                <w:szCs w:val="20"/>
              </w:rPr>
            </w:pPr>
          </w:p>
        </w:tc>
        <w:tc>
          <w:tcPr>
            <w:tcW w:w="2268" w:type="dxa"/>
          </w:tcPr>
          <w:p w:rsidR="00D95E58" w:rsidRPr="00054B27" w:rsidRDefault="00D95E58" w:rsidP="00AD362F">
            <w:pPr>
              <w:keepNext/>
              <w:contextualSpacing/>
              <w:jc w:val="both"/>
              <w:rPr>
                <w:rFonts w:ascii="Arial Narrow" w:hAnsi="Arial Narrow" w:cs="Arial"/>
                <w:b/>
                <w:snapToGrid w:val="0"/>
                <w:sz w:val="20"/>
                <w:szCs w:val="20"/>
              </w:rPr>
            </w:pPr>
            <w:r w:rsidRPr="00054B27">
              <w:rPr>
                <w:rFonts w:ascii="Arial Narrow" w:hAnsi="Arial Narrow" w:cs="Arial"/>
                <w:b/>
                <w:snapToGrid w:val="0"/>
                <w:sz w:val="20"/>
                <w:szCs w:val="20"/>
              </w:rPr>
              <w:t>Current schedule</w:t>
            </w:r>
          </w:p>
        </w:tc>
        <w:tc>
          <w:tcPr>
            <w:tcW w:w="2551" w:type="dxa"/>
          </w:tcPr>
          <w:p w:rsidR="00D95E58" w:rsidRPr="00054B27" w:rsidRDefault="00D95E58" w:rsidP="00AD362F">
            <w:pPr>
              <w:keepNext/>
              <w:contextualSpacing/>
              <w:jc w:val="both"/>
              <w:rPr>
                <w:rFonts w:ascii="Arial Narrow" w:hAnsi="Arial Narrow" w:cs="Arial"/>
                <w:b/>
                <w:snapToGrid w:val="0"/>
                <w:sz w:val="20"/>
                <w:szCs w:val="20"/>
              </w:rPr>
            </w:pPr>
            <w:r w:rsidRPr="00054B27">
              <w:rPr>
                <w:rFonts w:ascii="Arial Narrow" w:hAnsi="Arial Narrow" w:cs="Arial"/>
                <w:b/>
                <w:snapToGrid w:val="0"/>
                <w:sz w:val="20"/>
                <w:szCs w:val="20"/>
              </w:rPr>
              <w:t>Proposed schedule</w:t>
            </w:r>
          </w:p>
        </w:tc>
      </w:tr>
      <w:tr w:rsidR="00D95E58" w:rsidRPr="00667350" w:rsidTr="00F10871">
        <w:tc>
          <w:tcPr>
            <w:tcW w:w="1134" w:type="dxa"/>
            <w:vMerge w:val="restart"/>
          </w:tcPr>
          <w:p w:rsidR="00D95E58" w:rsidRPr="00054B27" w:rsidRDefault="00D95E58" w:rsidP="00AD362F">
            <w:pPr>
              <w:keepNext/>
              <w:contextualSpacing/>
              <w:jc w:val="both"/>
              <w:rPr>
                <w:rFonts w:ascii="Arial Narrow" w:hAnsi="Arial Narrow" w:cs="Arial"/>
                <w:b/>
                <w:snapToGrid w:val="0"/>
                <w:sz w:val="20"/>
                <w:szCs w:val="20"/>
              </w:rPr>
            </w:pPr>
            <w:r w:rsidRPr="00054B27">
              <w:rPr>
                <w:rFonts w:ascii="Arial Narrow" w:hAnsi="Arial Narrow" w:cs="Arial"/>
                <w:b/>
                <w:snapToGrid w:val="0"/>
                <w:sz w:val="20"/>
                <w:szCs w:val="20"/>
              </w:rPr>
              <w:t>Non-Indigenous</w:t>
            </w:r>
          </w:p>
        </w:tc>
        <w:tc>
          <w:tcPr>
            <w:tcW w:w="1843" w:type="dxa"/>
            <w:vAlign w:val="center"/>
          </w:tcPr>
          <w:p w:rsidR="00D95E58" w:rsidRPr="00054B27" w:rsidRDefault="00D95E58" w:rsidP="00AD362F">
            <w:pPr>
              <w:keepNext/>
              <w:contextualSpacing/>
              <w:rPr>
                <w:rFonts w:ascii="Arial Narrow" w:hAnsi="Arial Narrow" w:cs="Arial"/>
                <w:snapToGrid w:val="0"/>
                <w:sz w:val="20"/>
                <w:szCs w:val="20"/>
              </w:rPr>
            </w:pPr>
            <w:r w:rsidRPr="00054B27">
              <w:rPr>
                <w:rFonts w:ascii="Arial Narrow" w:hAnsi="Arial Narrow" w:cs="Arial"/>
                <w:snapToGrid w:val="0"/>
                <w:sz w:val="20"/>
                <w:szCs w:val="20"/>
              </w:rPr>
              <w:t>Without at-risk conditions</w:t>
            </w:r>
          </w:p>
        </w:tc>
        <w:tc>
          <w:tcPr>
            <w:tcW w:w="2268" w:type="dxa"/>
          </w:tcPr>
          <w:p w:rsidR="00D95E58" w:rsidRPr="00054B27" w:rsidRDefault="00D95E58" w:rsidP="00AD362F">
            <w:pPr>
              <w:keepNext/>
              <w:contextualSpacing/>
              <w:jc w:val="both"/>
              <w:rPr>
                <w:rFonts w:ascii="Arial Narrow" w:hAnsi="Arial Narrow" w:cs="Arial"/>
                <w:snapToGrid w:val="0"/>
                <w:sz w:val="20"/>
                <w:szCs w:val="20"/>
              </w:rPr>
            </w:pPr>
            <w:r w:rsidRPr="00054B27">
              <w:rPr>
                <w:rFonts w:ascii="Arial Narrow" w:hAnsi="Arial Narrow" w:cs="Arial"/>
                <w:snapToGrid w:val="0"/>
                <w:sz w:val="20"/>
                <w:szCs w:val="20"/>
              </w:rPr>
              <w:t>23vPPV at ≥65 years</w:t>
            </w:r>
          </w:p>
        </w:tc>
        <w:tc>
          <w:tcPr>
            <w:tcW w:w="2551" w:type="dxa"/>
          </w:tcPr>
          <w:p w:rsidR="00D95E58" w:rsidRPr="00054B27" w:rsidRDefault="00D95E58" w:rsidP="00AD362F">
            <w:pPr>
              <w:keepNext/>
              <w:contextualSpacing/>
              <w:jc w:val="both"/>
              <w:rPr>
                <w:rFonts w:ascii="Arial Narrow" w:hAnsi="Arial Narrow" w:cs="Arial"/>
                <w:snapToGrid w:val="0"/>
                <w:sz w:val="20"/>
                <w:szCs w:val="20"/>
              </w:rPr>
            </w:pPr>
            <w:r w:rsidRPr="00054B27">
              <w:rPr>
                <w:rFonts w:ascii="Arial Narrow" w:hAnsi="Arial Narrow" w:cs="Arial"/>
                <w:snapToGrid w:val="0"/>
                <w:sz w:val="20"/>
                <w:szCs w:val="20"/>
              </w:rPr>
              <w:t>13vPCV at 65 years</w:t>
            </w:r>
          </w:p>
        </w:tc>
      </w:tr>
      <w:tr w:rsidR="00D95E58" w:rsidRPr="00667350" w:rsidTr="00F10871">
        <w:tc>
          <w:tcPr>
            <w:tcW w:w="1134" w:type="dxa"/>
            <w:vMerge/>
          </w:tcPr>
          <w:p w:rsidR="00D95E58" w:rsidRPr="00054B27" w:rsidRDefault="00D95E58" w:rsidP="00AD362F">
            <w:pPr>
              <w:keepNext/>
              <w:contextualSpacing/>
              <w:jc w:val="both"/>
              <w:rPr>
                <w:rFonts w:ascii="Arial Narrow" w:hAnsi="Arial Narrow" w:cs="Arial"/>
                <w:b/>
                <w:snapToGrid w:val="0"/>
                <w:sz w:val="20"/>
                <w:szCs w:val="20"/>
              </w:rPr>
            </w:pPr>
          </w:p>
        </w:tc>
        <w:tc>
          <w:tcPr>
            <w:tcW w:w="1843" w:type="dxa"/>
          </w:tcPr>
          <w:p w:rsidR="00D95E58" w:rsidRPr="00054B27" w:rsidRDefault="00D95E58" w:rsidP="00AD362F">
            <w:pPr>
              <w:keepNext/>
              <w:contextualSpacing/>
              <w:jc w:val="both"/>
              <w:rPr>
                <w:rFonts w:ascii="Arial Narrow" w:hAnsi="Arial Narrow" w:cs="Arial"/>
                <w:snapToGrid w:val="0"/>
                <w:sz w:val="20"/>
                <w:szCs w:val="20"/>
              </w:rPr>
            </w:pPr>
            <w:r w:rsidRPr="00054B27">
              <w:rPr>
                <w:rFonts w:ascii="Arial Narrow" w:hAnsi="Arial Narrow" w:cs="Arial"/>
                <w:snapToGrid w:val="0"/>
                <w:sz w:val="20"/>
                <w:szCs w:val="20"/>
              </w:rPr>
              <w:t>With at-risk conditions</w:t>
            </w:r>
          </w:p>
        </w:tc>
        <w:tc>
          <w:tcPr>
            <w:tcW w:w="2268" w:type="dxa"/>
          </w:tcPr>
          <w:p w:rsidR="00D95E58" w:rsidRPr="00054B27" w:rsidRDefault="00D95E58" w:rsidP="00AD362F">
            <w:pPr>
              <w:keepNext/>
              <w:contextualSpacing/>
              <w:jc w:val="both"/>
              <w:rPr>
                <w:rFonts w:ascii="Arial Narrow" w:hAnsi="Arial Narrow" w:cs="Arial"/>
                <w:snapToGrid w:val="0"/>
                <w:sz w:val="20"/>
                <w:szCs w:val="20"/>
                <w:highlight w:val="yellow"/>
              </w:rPr>
            </w:pPr>
            <w:r w:rsidRPr="00054B27">
              <w:rPr>
                <w:rFonts w:ascii="Arial Narrow" w:hAnsi="Arial Narrow" w:cs="Arial"/>
                <w:snapToGrid w:val="0"/>
                <w:sz w:val="20"/>
                <w:szCs w:val="20"/>
              </w:rPr>
              <w:t>23vPPV at ≥65 years with a subsequent dose ≥5 years after the first dose</w:t>
            </w:r>
          </w:p>
        </w:tc>
        <w:tc>
          <w:tcPr>
            <w:tcW w:w="2551" w:type="dxa"/>
          </w:tcPr>
          <w:p w:rsidR="00D95E58" w:rsidRPr="00054B27" w:rsidRDefault="00D95E58" w:rsidP="00AD362F">
            <w:pPr>
              <w:keepNext/>
              <w:contextualSpacing/>
              <w:jc w:val="both"/>
              <w:rPr>
                <w:rFonts w:ascii="Arial Narrow" w:hAnsi="Arial Narrow" w:cs="Arial"/>
                <w:snapToGrid w:val="0"/>
                <w:sz w:val="20"/>
                <w:szCs w:val="20"/>
              </w:rPr>
            </w:pPr>
            <w:r w:rsidRPr="00054B27">
              <w:rPr>
                <w:rFonts w:ascii="Arial Narrow" w:hAnsi="Arial Narrow" w:cs="Arial"/>
                <w:snapToGrid w:val="0"/>
                <w:sz w:val="20"/>
                <w:szCs w:val="20"/>
              </w:rPr>
              <w:t>13vPCV at 65 years and 23vPPV ≥5 years after the first dose</w:t>
            </w:r>
          </w:p>
        </w:tc>
      </w:tr>
      <w:tr w:rsidR="00D95E58" w:rsidRPr="00667350" w:rsidTr="00F10871">
        <w:tc>
          <w:tcPr>
            <w:tcW w:w="1134" w:type="dxa"/>
            <w:vMerge w:val="restart"/>
          </w:tcPr>
          <w:p w:rsidR="00D95E58" w:rsidRPr="00054B27" w:rsidRDefault="00D95E58" w:rsidP="00AD362F">
            <w:pPr>
              <w:keepNext/>
              <w:contextualSpacing/>
              <w:jc w:val="both"/>
              <w:rPr>
                <w:rFonts w:ascii="Arial Narrow" w:hAnsi="Arial Narrow" w:cs="Arial"/>
                <w:b/>
                <w:snapToGrid w:val="0"/>
                <w:sz w:val="20"/>
                <w:szCs w:val="20"/>
              </w:rPr>
            </w:pPr>
            <w:r w:rsidRPr="00054B27">
              <w:rPr>
                <w:rFonts w:ascii="Arial Narrow" w:hAnsi="Arial Narrow" w:cs="Arial"/>
                <w:b/>
                <w:snapToGrid w:val="0"/>
                <w:sz w:val="20"/>
                <w:szCs w:val="20"/>
              </w:rPr>
              <w:t>Indigenous</w:t>
            </w:r>
          </w:p>
        </w:tc>
        <w:tc>
          <w:tcPr>
            <w:tcW w:w="1843" w:type="dxa"/>
            <w:vAlign w:val="center"/>
          </w:tcPr>
          <w:p w:rsidR="00D95E58" w:rsidRPr="00054B27" w:rsidRDefault="00D95E58" w:rsidP="00AD362F">
            <w:pPr>
              <w:keepNext/>
              <w:contextualSpacing/>
              <w:rPr>
                <w:rFonts w:ascii="Arial Narrow" w:hAnsi="Arial Narrow" w:cs="Arial"/>
                <w:snapToGrid w:val="0"/>
                <w:sz w:val="20"/>
                <w:szCs w:val="20"/>
              </w:rPr>
            </w:pPr>
            <w:r w:rsidRPr="00054B27">
              <w:rPr>
                <w:rFonts w:ascii="Arial Narrow" w:hAnsi="Arial Narrow" w:cs="Arial"/>
                <w:snapToGrid w:val="0"/>
                <w:sz w:val="20"/>
                <w:szCs w:val="20"/>
              </w:rPr>
              <w:t>Without at-risk conditions</w:t>
            </w:r>
          </w:p>
        </w:tc>
        <w:tc>
          <w:tcPr>
            <w:tcW w:w="2268" w:type="dxa"/>
          </w:tcPr>
          <w:p w:rsidR="00D95E58" w:rsidRPr="00054B27" w:rsidRDefault="00D95E58" w:rsidP="00AD362F">
            <w:pPr>
              <w:keepNext/>
              <w:contextualSpacing/>
              <w:jc w:val="both"/>
              <w:rPr>
                <w:rFonts w:ascii="Arial Narrow" w:hAnsi="Arial Narrow" w:cs="Arial"/>
                <w:snapToGrid w:val="0"/>
                <w:sz w:val="20"/>
                <w:szCs w:val="20"/>
              </w:rPr>
            </w:pPr>
            <w:r w:rsidRPr="00054B27">
              <w:rPr>
                <w:rFonts w:ascii="Arial Narrow" w:hAnsi="Arial Narrow" w:cs="Arial"/>
                <w:snapToGrid w:val="0"/>
                <w:sz w:val="20"/>
                <w:szCs w:val="20"/>
              </w:rPr>
              <w:t>23vPPV at ≥50 years</w:t>
            </w:r>
          </w:p>
        </w:tc>
        <w:tc>
          <w:tcPr>
            <w:tcW w:w="2551" w:type="dxa"/>
          </w:tcPr>
          <w:p w:rsidR="00D95E58" w:rsidRPr="00054B27" w:rsidRDefault="00D95E58" w:rsidP="00AD362F">
            <w:pPr>
              <w:keepNext/>
              <w:contextualSpacing/>
              <w:jc w:val="both"/>
              <w:rPr>
                <w:rFonts w:ascii="Arial Narrow" w:hAnsi="Arial Narrow" w:cs="Arial"/>
                <w:snapToGrid w:val="0"/>
                <w:sz w:val="20"/>
                <w:szCs w:val="20"/>
              </w:rPr>
            </w:pPr>
            <w:r w:rsidRPr="00054B27">
              <w:rPr>
                <w:rFonts w:ascii="Arial Narrow" w:hAnsi="Arial Narrow" w:cs="Arial"/>
                <w:snapToGrid w:val="0"/>
                <w:sz w:val="20"/>
                <w:szCs w:val="20"/>
              </w:rPr>
              <w:t>13vPCV at 50 years</w:t>
            </w:r>
          </w:p>
        </w:tc>
      </w:tr>
      <w:tr w:rsidR="00D95E58" w:rsidRPr="00667350" w:rsidTr="00F10871">
        <w:tc>
          <w:tcPr>
            <w:tcW w:w="1134" w:type="dxa"/>
            <w:vMerge/>
          </w:tcPr>
          <w:p w:rsidR="00D95E58" w:rsidRPr="00054B27" w:rsidRDefault="00D95E58" w:rsidP="00AD362F">
            <w:pPr>
              <w:keepNext/>
              <w:contextualSpacing/>
              <w:jc w:val="both"/>
              <w:rPr>
                <w:rFonts w:ascii="Arial Narrow" w:hAnsi="Arial Narrow" w:cs="Arial"/>
                <w:snapToGrid w:val="0"/>
                <w:sz w:val="20"/>
                <w:szCs w:val="20"/>
              </w:rPr>
            </w:pPr>
          </w:p>
        </w:tc>
        <w:tc>
          <w:tcPr>
            <w:tcW w:w="1843" w:type="dxa"/>
          </w:tcPr>
          <w:p w:rsidR="00D95E58" w:rsidRPr="00054B27" w:rsidRDefault="00D95E58" w:rsidP="00AD362F">
            <w:pPr>
              <w:keepNext/>
              <w:contextualSpacing/>
              <w:jc w:val="both"/>
              <w:rPr>
                <w:rFonts w:ascii="Arial Narrow" w:hAnsi="Arial Narrow" w:cs="Arial"/>
                <w:snapToGrid w:val="0"/>
                <w:sz w:val="20"/>
                <w:szCs w:val="20"/>
              </w:rPr>
            </w:pPr>
            <w:r w:rsidRPr="00054B27">
              <w:rPr>
                <w:rFonts w:ascii="Arial Narrow" w:hAnsi="Arial Narrow" w:cs="Arial"/>
                <w:snapToGrid w:val="0"/>
                <w:sz w:val="20"/>
                <w:szCs w:val="20"/>
              </w:rPr>
              <w:t>With at-risk conditions</w:t>
            </w:r>
          </w:p>
        </w:tc>
        <w:tc>
          <w:tcPr>
            <w:tcW w:w="2268" w:type="dxa"/>
          </w:tcPr>
          <w:p w:rsidR="00D95E58" w:rsidRPr="00054B27" w:rsidRDefault="00D95E58" w:rsidP="00AD362F">
            <w:pPr>
              <w:keepNext/>
              <w:contextualSpacing/>
              <w:jc w:val="both"/>
              <w:rPr>
                <w:rFonts w:ascii="Arial Narrow" w:hAnsi="Arial Narrow" w:cs="Arial"/>
                <w:snapToGrid w:val="0"/>
                <w:sz w:val="20"/>
                <w:szCs w:val="20"/>
                <w:highlight w:val="yellow"/>
              </w:rPr>
            </w:pPr>
            <w:r w:rsidRPr="00054B27">
              <w:rPr>
                <w:rFonts w:ascii="Arial Narrow" w:hAnsi="Arial Narrow" w:cs="Arial"/>
                <w:snapToGrid w:val="0"/>
                <w:sz w:val="20"/>
                <w:szCs w:val="20"/>
              </w:rPr>
              <w:t>23vPPV at ≥50 years with a subsequent dose ≥5 years after the first dose</w:t>
            </w:r>
          </w:p>
        </w:tc>
        <w:tc>
          <w:tcPr>
            <w:tcW w:w="2551" w:type="dxa"/>
          </w:tcPr>
          <w:p w:rsidR="00D95E58" w:rsidRPr="00054B27" w:rsidRDefault="00D95E58" w:rsidP="00AD362F">
            <w:pPr>
              <w:keepNext/>
              <w:contextualSpacing/>
              <w:jc w:val="both"/>
              <w:rPr>
                <w:rFonts w:ascii="Arial Narrow" w:hAnsi="Arial Narrow" w:cs="Arial"/>
                <w:snapToGrid w:val="0"/>
                <w:sz w:val="20"/>
                <w:szCs w:val="20"/>
              </w:rPr>
            </w:pPr>
            <w:r w:rsidRPr="00054B27">
              <w:rPr>
                <w:rFonts w:ascii="Arial Narrow" w:hAnsi="Arial Narrow" w:cs="Arial"/>
                <w:snapToGrid w:val="0"/>
                <w:sz w:val="20"/>
                <w:szCs w:val="20"/>
              </w:rPr>
              <w:t>13vPCV at 50 years and 23vPPV ≥5 years after the first dose</w:t>
            </w:r>
          </w:p>
        </w:tc>
      </w:tr>
    </w:tbl>
    <w:p w:rsidR="00D95E58" w:rsidRPr="00667350" w:rsidRDefault="00D95E58" w:rsidP="00AD362F">
      <w:pPr>
        <w:ind w:left="720"/>
        <w:contextualSpacing/>
        <w:jc w:val="both"/>
        <w:rPr>
          <w:rFonts w:ascii="Arial Narrow" w:hAnsi="Arial Narrow" w:cs="Arial"/>
          <w:snapToGrid w:val="0"/>
          <w:sz w:val="18"/>
          <w:szCs w:val="18"/>
        </w:rPr>
      </w:pPr>
      <w:r w:rsidRPr="00054B27">
        <w:rPr>
          <w:rFonts w:ascii="Arial Narrow" w:hAnsi="Arial Narrow" w:cs="Arial"/>
          <w:snapToGrid w:val="0"/>
          <w:sz w:val="18"/>
          <w:szCs w:val="18"/>
        </w:rPr>
        <w:t>Source: Australian Immunisation Handbook 10</w:t>
      </w:r>
      <w:r w:rsidRPr="00054B27">
        <w:rPr>
          <w:rFonts w:ascii="Arial Narrow" w:hAnsi="Arial Narrow" w:cs="Arial"/>
          <w:snapToGrid w:val="0"/>
          <w:sz w:val="18"/>
          <w:szCs w:val="18"/>
          <w:vertAlign w:val="superscript"/>
        </w:rPr>
        <w:t>th</w:t>
      </w:r>
      <w:r w:rsidRPr="00054B27">
        <w:rPr>
          <w:rFonts w:ascii="Arial Narrow" w:hAnsi="Arial Narrow" w:cs="Arial"/>
          <w:snapToGrid w:val="0"/>
          <w:sz w:val="18"/>
          <w:szCs w:val="18"/>
        </w:rPr>
        <w:t xml:space="preserve"> Edition p.332-3</w:t>
      </w:r>
    </w:p>
    <w:p w:rsidR="00B845A7" w:rsidRDefault="00B845A7" w:rsidP="00AD362F">
      <w:pPr>
        <w:ind w:left="720"/>
        <w:contextualSpacing/>
        <w:jc w:val="both"/>
        <w:rPr>
          <w:rFonts w:ascii="Arial" w:hAnsi="Arial" w:cs="Arial"/>
          <w:snapToGrid w:val="0"/>
          <w:sz w:val="22"/>
          <w:szCs w:val="20"/>
        </w:rPr>
      </w:pPr>
    </w:p>
    <w:p w:rsidR="00B72FB3" w:rsidRPr="00CA7095" w:rsidRDefault="00B845A7" w:rsidP="00AD362F">
      <w:pPr>
        <w:numPr>
          <w:ilvl w:val="1"/>
          <w:numId w:val="3"/>
        </w:numPr>
        <w:contextualSpacing/>
        <w:jc w:val="both"/>
        <w:rPr>
          <w:rFonts w:ascii="Arial" w:hAnsi="Arial" w:cs="Arial"/>
          <w:snapToGrid w:val="0"/>
          <w:sz w:val="22"/>
          <w:szCs w:val="20"/>
        </w:rPr>
      </w:pPr>
      <w:r w:rsidRPr="00667350">
        <w:rPr>
          <w:rFonts w:ascii="Arial" w:hAnsi="Arial" w:cs="Arial"/>
          <w:snapToGrid w:val="0"/>
          <w:sz w:val="22"/>
          <w:szCs w:val="20"/>
        </w:rPr>
        <w:t>The</w:t>
      </w:r>
      <w:r w:rsidRPr="00B75E93">
        <w:rPr>
          <w:rFonts w:ascii="Arial" w:hAnsi="Arial" w:cs="Arial"/>
          <w:i/>
          <w:snapToGrid w:val="0"/>
          <w:sz w:val="22"/>
          <w:szCs w:val="20"/>
        </w:rPr>
        <w:t xml:space="preserve"> </w:t>
      </w:r>
      <w:r w:rsidRPr="00667350">
        <w:rPr>
          <w:rFonts w:ascii="Arial" w:hAnsi="Arial" w:cs="Arial"/>
          <w:snapToGrid w:val="0"/>
          <w:sz w:val="22"/>
          <w:szCs w:val="20"/>
        </w:rPr>
        <w:t>ESC</w:t>
      </w:r>
      <w:r w:rsidRPr="00B75E93">
        <w:rPr>
          <w:rFonts w:ascii="Arial" w:hAnsi="Arial" w:cs="Arial"/>
          <w:i/>
          <w:snapToGrid w:val="0"/>
          <w:sz w:val="22"/>
          <w:szCs w:val="20"/>
        </w:rPr>
        <w:t xml:space="preserve"> </w:t>
      </w:r>
      <w:r w:rsidR="00F10871" w:rsidRPr="00667350">
        <w:rPr>
          <w:rFonts w:ascii="Arial" w:hAnsi="Arial" w:cs="Arial"/>
          <w:snapToGrid w:val="0"/>
          <w:sz w:val="22"/>
          <w:szCs w:val="20"/>
        </w:rPr>
        <w:t>noted</w:t>
      </w:r>
      <w:r w:rsidR="003B1C50" w:rsidRPr="00667350">
        <w:rPr>
          <w:rFonts w:ascii="Arial" w:hAnsi="Arial" w:cs="Arial"/>
          <w:snapToGrid w:val="0"/>
          <w:sz w:val="22"/>
          <w:szCs w:val="20"/>
        </w:rPr>
        <w:t xml:space="preserve"> that if the ages remain at</w:t>
      </w:r>
      <w:r w:rsidRPr="00667350">
        <w:rPr>
          <w:rFonts w:ascii="Arial" w:hAnsi="Arial" w:cs="Arial"/>
          <w:snapToGrid w:val="0"/>
          <w:sz w:val="22"/>
          <w:szCs w:val="20"/>
        </w:rPr>
        <w:t xml:space="preserve"> 65 years and 50 years for non-Indigenous </w:t>
      </w:r>
      <w:r w:rsidRPr="00054B27">
        <w:rPr>
          <w:rFonts w:ascii="Arial" w:hAnsi="Arial" w:cs="Arial"/>
          <w:snapToGrid w:val="0"/>
          <w:sz w:val="22"/>
          <w:szCs w:val="20"/>
        </w:rPr>
        <w:t xml:space="preserve">and Indigenous adults respectively, as opposed to ≥65 years and ≥50 years, the </w:t>
      </w:r>
      <w:r w:rsidRPr="00054B27">
        <w:rPr>
          <w:rFonts w:ascii="Arial" w:hAnsi="Arial" w:cs="Arial"/>
          <w:snapToGrid w:val="0"/>
          <w:sz w:val="22"/>
          <w:szCs w:val="20"/>
        </w:rPr>
        <w:lastRenderedPageBreak/>
        <w:t xml:space="preserve">listing will mean that if an adult does not </w:t>
      </w:r>
      <w:r w:rsidR="00F10871" w:rsidRPr="00054B27">
        <w:rPr>
          <w:rFonts w:ascii="Arial" w:hAnsi="Arial" w:cs="Arial"/>
          <w:snapToGrid w:val="0"/>
          <w:sz w:val="22"/>
          <w:szCs w:val="20"/>
        </w:rPr>
        <w:t>receive</w:t>
      </w:r>
      <w:r w:rsidRPr="00054B27">
        <w:rPr>
          <w:rFonts w:ascii="Arial" w:hAnsi="Arial" w:cs="Arial"/>
          <w:snapToGrid w:val="0"/>
          <w:sz w:val="22"/>
          <w:szCs w:val="20"/>
        </w:rPr>
        <w:t xml:space="preserve"> the 13vPCV before </w:t>
      </w:r>
      <w:r w:rsidR="00F10871" w:rsidRPr="00054B27">
        <w:rPr>
          <w:rFonts w:ascii="Arial" w:hAnsi="Arial" w:cs="Arial"/>
          <w:snapToGrid w:val="0"/>
          <w:sz w:val="22"/>
          <w:szCs w:val="20"/>
        </w:rPr>
        <w:t xml:space="preserve">turning </w:t>
      </w:r>
      <w:r w:rsidRPr="00054B27">
        <w:rPr>
          <w:rFonts w:ascii="Arial" w:hAnsi="Arial" w:cs="Arial"/>
          <w:snapToGrid w:val="0"/>
          <w:sz w:val="22"/>
          <w:szCs w:val="20"/>
        </w:rPr>
        <w:t xml:space="preserve">66 years of age, they will </w:t>
      </w:r>
      <w:r w:rsidR="00F10871" w:rsidRPr="00054B27">
        <w:rPr>
          <w:rFonts w:ascii="Arial" w:hAnsi="Arial" w:cs="Arial"/>
          <w:snapToGrid w:val="0"/>
          <w:sz w:val="22"/>
          <w:szCs w:val="20"/>
        </w:rPr>
        <w:t>no longer</w:t>
      </w:r>
      <w:r w:rsidR="00D95E58" w:rsidRPr="00054B27">
        <w:rPr>
          <w:rFonts w:ascii="Arial" w:hAnsi="Arial" w:cs="Arial"/>
          <w:snapToGrid w:val="0"/>
          <w:sz w:val="22"/>
          <w:szCs w:val="20"/>
        </w:rPr>
        <w:t xml:space="preserve"> be eligible for 13vPCV</w:t>
      </w:r>
      <w:r w:rsidRPr="00054B27">
        <w:rPr>
          <w:rFonts w:ascii="Arial" w:hAnsi="Arial" w:cs="Arial"/>
          <w:snapToGrid w:val="0"/>
          <w:sz w:val="22"/>
          <w:szCs w:val="20"/>
        </w:rPr>
        <w:t xml:space="preserve">. </w:t>
      </w:r>
      <w:r w:rsidR="00667350">
        <w:rPr>
          <w:rFonts w:ascii="Arial" w:hAnsi="Arial" w:cs="Arial"/>
          <w:snapToGrid w:val="0"/>
          <w:sz w:val="22"/>
          <w:szCs w:val="20"/>
        </w:rPr>
        <w:t xml:space="preserve">The </w:t>
      </w:r>
      <w:r w:rsidR="00720E31">
        <w:rPr>
          <w:rFonts w:ascii="Arial" w:hAnsi="Arial" w:cs="Arial"/>
          <w:snapToGrid w:val="0"/>
          <w:sz w:val="22"/>
          <w:szCs w:val="20"/>
        </w:rPr>
        <w:t>Pre-PBAC response</w:t>
      </w:r>
      <w:r w:rsidR="00667350">
        <w:rPr>
          <w:rFonts w:ascii="Arial" w:hAnsi="Arial" w:cs="Arial"/>
          <w:snapToGrid w:val="0"/>
          <w:sz w:val="22"/>
          <w:szCs w:val="20"/>
        </w:rPr>
        <w:t xml:space="preserve"> indicated that</w:t>
      </w:r>
      <w:r w:rsidR="00720E31">
        <w:rPr>
          <w:rFonts w:ascii="Arial" w:hAnsi="Arial" w:cs="Arial"/>
          <w:snapToGrid w:val="0"/>
          <w:sz w:val="22"/>
          <w:szCs w:val="20"/>
        </w:rPr>
        <w:t xml:space="preserve"> the </w:t>
      </w:r>
      <w:r w:rsidR="00667350">
        <w:rPr>
          <w:rFonts w:ascii="Arial" w:hAnsi="Arial" w:cs="Arial"/>
          <w:snapToGrid w:val="0"/>
          <w:sz w:val="22"/>
          <w:szCs w:val="20"/>
        </w:rPr>
        <w:t>s</w:t>
      </w:r>
      <w:r w:rsidR="00720E31">
        <w:rPr>
          <w:rFonts w:ascii="Arial" w:hAnsi="Arial" w:cs="Arial"/>
          <w:snapToGrid w:val="0"/>
          <w:sz w:val="22"/>
          <w:szCs w:val="20"/>
        </w:rPr>
        <w:t>ponsor would be willing to discuss the approach recommended by ATAGI.</w:t>
      </w:r>
    </w:p>
    <w:p w:rsidR="00CE2C77" w:rsidRDefault="00CE2C77" w:rsidP="00AD362F">
      <w:pPr>
        <w:tabs>
          <w:tab w:val="center" w:pos="4513"/>
          <w:tab w:val="right" w:pos="9026"/>
        </w:tabs>
        <w:jc w:val="both"/>
        <w:rPr>
          <w:rFonts w:ascii="Arial" w:hAnsi="Arial" w:cs="Arial"/>
          <w:snapToGrid w:val="0"/>
          <w:sz w:val="22"/>
          <w:szCs w:val="22"/>
        </w:rPr>
      </w:pPr>
    </w:p>
    <w:p w:rsidR="00EF2AFE" w:rsidRPr="00EF2AFE" w:rsidRDefault="00EF2AFE" w:rsidP="005E67AE">
      <w:pPr>
        <w:ind w:left="709"/>
        <w:contextualSpacing/>
        <w:jc w:val="both"/>
        <w:rPr>
          <w:rFonts w:ascii="Arial" w:hAnsi="Arial" w:cs="Arial"/>
          <w:i/>
          <w:snapToGrid w:val="0"/>
          <w:sz w:val="22"/>
          <w:szCs w:val="22"/>
        </w:rPr>
      </w:pPr>
      <w:r w:rsidRPr="00EF2AFE">
        <w:rPr>
          <w:rFonts w:ascii="Arial" w:hAnsi="Arial" w:cs="Arial"/>
          <w:i/>
          <w:snapToGrid w:val="0"/>
          <w:sz w:val="22"/>
          <w:szCs w:val="22"/>
        </w:rPr>
        <w:t>For more detail on PBAC’s view, see section 7 “PBAC outcome”</w:t>
      </w:r>
    </w:p>
    <w:p w:rsidR="00EF2AFE" w:rsidRDefault="00EF2AFE" w:rsidP="00AD362F">
      <w:pPr>
        <w:tabs>
          <w:tab w:val="center" w:pos="4513"/>
          <w:tab w:val="right" w:pos="9026"/>
        </w:tabs>
        <w:jc w:val="both"/>
        <w:rPr>
          <w:rFonts w:ascii="Arial" w:hAnsi="Arial" w:cs="Arial"/>
          <w:snapToGrid w:val="0"/>
          <w:sz w:val="22"/>
          <w:szCs w:val="22"/>
        </w:rPr>
      </w:pPr>
    </w:p>
    <w:p w:rsidR="00EA2B1F" w:rsidRPr="00CE2C77" w:rsidRDefault="00EA2B1F" w:rsidP="00AD362F">
      <w:pPr>
        <w:tabs>
          <w:tab w:val="center" w:pos="4513"/>
          <w:tab w:val="right" w:pos="9026"/>
        </w:tabs>
        <w:jc w:val="both"/>
        <w:rPr>
          <w:rFonts w:ascii="Arial" w:hAnsi="Arial" w:cs="Arial"/>
          <w:snapToGrid w:val="0"/>
          <w:sz w:val="22"/>
          <w:szCs w:val="22"/>
        </w:rPr>
      </w:pPr>
    </w:p>
    <w:p w:rsidR="00CE2C77" w:rsidRPr="00CE2C77" w:rsidRDefault="00CE2C77" w:rsidP="00AD362F">
      <w:pPr>
        <w:keepNext/>
        <w:numPr>
          <w:ilvl w:val="0"/>
          <w:numId w:val="3"/>
        </w:numPr>
        <w:jc w:val="both"/>
        <w:rPr>
          <w:rFonts w:ascii="Arial" w:hAnsi="Arial" w:cs="Arial"/>
          <w:b/>
          <w:snapToGrid w:val="0"/>
          <w:sz w:val="22"/>
          <w:szCs w:val="22"/>
        </w:rPr>
      </w:pPr>
      <w:r w:rsidRPr="00CE2C77">
        <w:rPr>
          <w:rFonts w:ascii="Arial" w:hAnsi="Arial" w:cs="Arial"/>
          <w:b/>
          <w:snapToGrid w:val="0"/>
          <w:sz w:val="22"/>
          <w:szCs w:val="22"/>
        </w:rPr>
        <w:t>Comparator</w:t>
      </w:r>
    </w:p>
    <w:p w:rsidR="00CE2C77" w:rsidRPr="00CE2C77" w:rsidRDefault="00CE2C77" w:rsidP="00AD362F">
      <w:pPr>
        <w:keepNext/>
        <w:jc w:val="both"/>
        <w:rPr>
          <w:rFonts w:ascii="Arial" w:hAnsi="Arial" w:cs="Arial"/>
          <w:snapToGrid w:val="0"/>
          <w:sz w:val="22"/>
          <w:szCs w:val="20"/>
        </w:rPr>
      </w:pPr>
    </w:p>
    <w:p w:rsidR="003B1C50" w:rsidRPr="00845008" w:rsidRDefault="003B1C50" w:rsidP="00AD362F">
      <w:pPr>
        <w:numPr>
          <w:ilvl w:val="1"/>
          <w:numId w:val="3"/>
        </w:numPr>
        <w:contextualSpacing/>
        <w:jc w:val="both"/>
        <w:rPr>
          <w:rFonts w:ascii="Arial" w:hAnsi="Arial" w:cs="Arial"/>
          <w:snapToGrid w:val="0"/>
          <w:sz w:val="22"/>
          <w:szCs w:val="22"/>
        </w:rPr>
      </w:pPr>
      <w:r>
        <w:rPr>
          <w:rFonts w:ascii="Arial" w:hAnsi="Arial" w:cs="Arial"/>
          <w:snapToGrid w:val="0"/>
          <w:sz w:val="22"/>
          <w:szCs w:val="22"/>
        </w:rPr>
        <w:t xml:space="preserve">The submission nominated </w:t>
      </w:r>
      <w:r w:rsidR="00CE2C77" w:rsidRPr="00CE2C77">
        <w:rPr>
          <w:rFonts w:ascii="Arial" w:hAnsi="Arial" w:cs="Arial"/>
          <w:snapToGrid w:val="0"/>
          <w:sz w:val="22"/>
          <w:szCs w:val="22"/>
        </w:rPr>
        <w:t xml:space="preserve">23vPPV for the </w:t>
      </w:r>
      <w:r w:rsidR="00CE2C77" w:rsidRPr="00A15171">
        <w:rPr>
          <w:rFonts w:ascii="Arial" w:hAnsi="Arial" w:cs="Arial"/>
          <w:snapToGrid w:val="0"/>
          <w:sz w:val="22"/>
          <w:szCs w:val="22"/>
        </w:rPr>
        <w:t>primary program.</w:t>
      </w:r>
      <w:r w:rsidR="00CE2C77" w:rsidRPr="00A15171">
        <w:rPr>
          <w:rFonts w:ascii="Arial" w:hAnsi="Arial" w:cs="Arial"/>
          <w:snapToGrid w:val="0"/>
          <w:color w:val="3366FF"/>
          <w:sz w:val="22"/>
          <w:szCs w:val="20"/>
        </w:rPr>
        <w:t xml:space="preserve"> </w:t>
      </w:r>
      <w:r w:rsidR="00CE2C77" w:rsidRPr="00A15171">
        <w:rPr>
          <w:rFonts w:ascii="Arial" w:hAnsi="Arial" w:cs="Arial"/>
          <w:snapToGrid w:val="0"/>
          <w:sz w:val="22"/>
          <w:szCs w:val="20"/>
        </w:rPr>
        <w:t xml:space="preserve">This </w:t>
      </w:r>
      <w:r w:rsidR="002B7A73">
        <w:rPr>
          <w:rFonts w:ascii="Arial" w:hAnsi="Arial" w:cs="Arial"/>
          <w:snapToGrid w:val="0"/>
          <w:sz w:val="22"/>
          <w:szCs w:val="20"/>
        </w:rPr>
        <w:t>was</w:t>
      </w:r>
      <w:r w:rsidR="002B7A73" w:rsidRPr="00A15171">
        <w:rPr>
          <w:rFonts w:ascii="Arial" w:hAnsi="Arial" w:cs="Arial"/>
          <w:snapToGrid w:val="0"/>
          <w:sz w:val="22"/>
          <w:szCs w:val="20"/>
        </w:rPr>
        <w:t xml:space="preserve"> </w:t>
      </w:r>
      <w:r w:rsidR="00CE2C77" w:rsidRPr="00A15171">
        <w:rPr>
          <w:rFonts w:ascii="Arial" w:hAnsi="Arial" w:cs="Arial"/>
          <w:snapToGrid w:val="0"/>
          <w:sz w:val="22"/>
          <w:szCs w:val="20"/>
        </w:rPr>
        <w:t xml:space="preserve">the appropriate comparator. </w:t>
      </w:r>
    </w:p>
    <w:p w:rsidR="003B1C50" w:rsidRPr="00D735D6" w:rsidRDefault="003B1C50" w:rsidP="00AD362F">
      <w:pPr>
        <w:contextualSpacing/>
        <w:jc w:val="both"/>
        <w:rPr>
          <w:rFonts w:ascii="Arial" w:hAnsi="Arial" w:cs="Arial"/>
          <w:snapToGrid w:val="0"/>
          <w:sz w:val="22"/>
          <w:szCs w:val="22"/>
        </w:rPr>
      </w:pPr>
    </w:p>
    <w:p w:rsidR="00CE2C77" w:rsidRPr="00CE2C77" w:rsidRDefault="003B1C50" w:rsidP="002E1D71">
      <w:pPr>
        <w:numPr>
          <w:ilvl w:val="1"/>
          <w:numId w:val="3"/>
        </w:numPr>
        <w:contextualSpacing/>
        <w:jc w:val="both"/>
        <w:rPr>
          <w:rFonts w:ascii="Arial" w:hAnsi="Arial" w:cs="Arial"/>
          <w:snapToGrid w:val="0"/>
          <w:sz w:val="22"/>
          <w:szCs w:val="22"/>
        </w:rPr>
      </w:pPr>
      <w:r>
        <w:rPr>
          <w:rFonts w:ascii="Arial" w:hAnsi="Arial" w:cs="Arial"/>
          <w:snapToGrid w:val="0"/>
          <w:sz w:val="22"/>
          <w:szCs w:val="20"/>
        </w:rPr>
        <w:t>The submission nominated n</w:t>
      </w:r>
      <w:r w:rsidR="00CE2C77" w:rsidRPr="00A15171">
        <w:rPr>
          <w:rFonts w:ascii="Arial" w:hAnsi="Arial" w:cs="Arial"/>
          <w:snapToGrid w:val="0"/>
          <w:sz w:val="22"/>
          <w:szCs w:val="20"/>
        </w:rPr>
        <w:t xml:space="preserve">o vaccine for the catch-up program. This </w:t>
      </w:r>
      <w:r w:rsidR="002B7A73">
        <w:rPr>
          <w:rFonts w:ascii="Arial" w:hAnsi="Arial" w:cs="Arial"/>
          <w:snapToGrid w:val="0"/>
          <w:sz w:val="22"/>
          <w:szCs w:val="20"/>
        </w:rPr>
        <w:t>was</w:t>
      </w:r>
      <w:r w:rsidR="002B7A73" w:rsidRPr="00A15171">
        <w:rPr>
          <w:rFonts w:ascii="Arial" w:hAnsi="Arial" w:cs="Arial"/>
          <w:snapToGrid w:val="0"/>
          <w:sz w:val="22"/>
          <w:szCs w:val="20"/>
        </w:rPr>
        <w:t xml:space="preserve"> </w:t>
      </w:r>
      <w:r w:rsidR="00CE2C77" w:rsidRPr="00A15171">
        <w:rPr>
          <w:rFonts w:ascii="Arial" w:hAnsi="Arial" w:cs="Arial"/>
          <w:snapToGrid w:val="0"/>
          <w:sz w:val="22"/>
          <w:szCs w:val="20"/>
        </w:rPr>
        <w:t xml:space="preserve">the appropriate comparator for adults without risk factors for pneumococcal disease. For adults with risk factors the 13vPCV dose may </w:t>
      </w:r>
      <w:r w:rsidR="002B7A73">
        <w:rPr>
          <w:rFonts w:ascii="Arial" w:hAnsi="Arial" w:cs="Arial"/>
          <w:snapToGrid w:val="0"/>
          <w:sz w:val="22"/>
          <w:szCs w:val="20"/>
        </w:rPr>
        <w:t xml:space="preserve">have </w:t>
      </w:r>
      <w:r w:rsidR="00CE2C77" w:rsidRPr="00A15171">
        <w:rPr>
          <w:rFonts w:ascii="Arial" w:hAnsi="Arial" w:cs="Arial"/>
          <w:snapToGrid w:val="0"/>
          <w:sz w:val="22"/>
          <w:szCs w:val="20"/>
        </w:rPr>
        <w:t>replace</w:t>
      </w:r>
      <w:r w:rsidR="002B7A73">
        <w:rPr>
          <w:rFonts w:ascii="Arial" w:hAnsi="Arial" w:cs="Arial"/>
          <w:snapToGrid w:val="0"/>
          <w:sz w:val="22"/>
          <w:szCs w:val="20"/>
        </w:rPr>
        <w:t>d</w:t>
      </w:r>
      <w:r w:rsidR="00CE2C77" w:rsidRPr="00A15171">
        <w:rPr>
          <w:rFonts w:ascii="Arial" w:hAnsi="Arial" w:cs="Arial"/>
          <w:snapToGrid w:val="0"/>
          <w:sz w:val="22"/>
          <w:szCs w:val="20"/>
        </w:rPr>
        <w:t xml:space="preserve"> the second dose of 23vPPV.</w:t>
      </w:r>
      <w:r w:rsidR="00F10871">
        <w:rPr>
          <w:rFonts w:ascii="Arial" w:hAnsi="Arial" w:cs="Arial"/>
          <w:snapToGrid w:val="0"/>
          <w:sz w:val="22"/>
          <w:szCs w:val="20"/>
        </w:rPr>
        <w:t xml:space="preserve"> </w:t>
      </w:r>
      <w:r w:rsidR="00F10871" w:rsidRPr="00517B6E">
        <w:rPr>
          <w:rFonts w:ascii="Arial" w:hAnsi="Arial" w:cs="Arial"/>
          <w:snapToGrid w:val="0"/>
          <w:sz w:val="22"/>
          <w:szCs w:val="22"/>
        </w:rPr>
        <w:t xml:space="preserve">The PSCR argued that this scenario </w:t>
      </w:r>
      <w:r w:rsidR="002B7A73">
        <w:rPr>
          <w:rFonts w:ascii="Arial" w:hAnsi="Arial" w:cs="Arial"/>
          <w:snapToGrid w:val="0"/>
          <w:sz w:val="22"/>
          <w:szCs w:val="22"/>
        </w:rPr>
        <w:t>was</w:t>
      </w:r>
      <w:r w:rsidR="00F10871" w:rsidRPr="00517B6E">
        <w:rPr>
          <w:rFonts w:ascii="Arial" w:hAnsi="Arial" w:cs="Arial"/>
          <w:snapToGrid w:val="0"/>
          <w:sz w:val="22"/>
          <w:szCs w:val="22"/>
        </w:rPr>
        <w:t xml:space="preserve"> unlikely.</w:t>
      </w:r>
      <w:r w:rsidR="006E717C">
        <w:rPr>
          <w:rFonts w:ascii="Arial" w:hAnsi="Arial" w:cs="Arial"/>
          <w:snapToGrid w:val="0"/>
          <w:sz w:val="22"/>
          <w:szCs w:val="22"/>
        </w:rPr>
        <w:t xml:space="preserve"> The ATAGI p</w:t>
      </w:r>
      <w:r w:rsidR="002E1D71">
        <w:rPr>
          <w:rFonts w:ascii="Arial" w:hAnsi="Arial" w:cs="Arial"/>
          <w:snapToGrid w:val="0"/>
          <w:sz w:val="22"/>
          <w:szCs w:val="22"/>
        </w:rPr>
        <w:t xml:space="preserve">ost-PBAC </w:t>
      </w:r>
      <w:r w:rsidR="006E717C">
        <w:rPr>
          <w:rFonts w:ascii="Arial" w:hAnsi="Arial" w:cs="Arial"/>
          <w:snapToGrid w:val="0"/>
          <w:sz w:val="22"/>
          <w:szCs w:val="22"/>
        </w:rPr>
        <w:t>submission a</w:t>
      </w:r>
      <w:r w:rsidR="002E1D71">
        <w:rPr>
          <w:rFonts w:ascii="Arial" w:hAnsi="Arial" w:cs="Arial"/>
          <w:snapToGrid w:val="0"/>
          <w:sz w:val="22"/>
          <w:szCs w:val="22"/>
        </w:rPr>
        <w:t>dvice recommended</w:t>
      </w:r>
      <w:r w:rsidR="002E1D71" w:rsidRPr="002E1D71">
        <w:rPr>
          <w:rFonts w:ascii="Arial" w:hAnsi="Arial" w:cs="Arial"/>
          <w:snapToGrid w:val="0"/>
          <w:sz w:val="22"/>
          <w:szCs w:val="22"/>
        </w:rPr>
        <w:t xml:space="preserve"> that the 13vPCV </w:t>
      </w:r>
      <w:r w:rsidR="00F374DC">
        <w:rPr>
          <w:rFonts w:ascii="Arial" w:hAnsi="Arial" w:cs="Arial"/>
          <w:snapToGrid w:val="0"/>
          <w:sz w:val="22"/>
          <w:szCs w:val="22"/>
        </w:rPr>
        <w:t>dose provided through the catch</w:t>
      </w:r>
      <w:r w:rsidR="00F374DC">
        <w:rPr>
          <w:rFonts w:ascii="Arial" w:hAnsi="Arial" w:cs="Arial"/>
          <w:snapToGrid w:val="0"/>
          <w:sz w:val="22"/>
          <w:szCs w:val="22"/>
        </w:rPr>
        <w:noBreakHyphen/>
      </w:r>
      <w:r w:rsidR="002E1D71" w:rsidRPr="002E1D71">
        <w:rPr>
          <w:rFonts w:ascii="Arial" w:hAnsi="Arial" w:cs="Arial"/>
          <w:snapToGrid w:val="0"/>
          <w:sz w:val="22"/>
          <w:szCs w:val="22"/>
        </w:rPr>
        <w:t>up program for those with risk factors should replace the recommended second dose of 23vPPV in those who have already received their first dose of 23vPPV under the existing program. This reco</w:t>
      </w:r>
      <w:r w:rsidR="002E1D71">
        <w:rPr>
          <w:rFonts w:ascii="Arial" w:hAnsi="Arial" w:cs="Arial"/>
          <w:snapToGrid w:val="0"/>
          <w:sz w:val="22"/>
          <w:szCs w:val="22"/>
        </w:rPr>
        <w:t>mmendation wa</w:t>
      </w:r>
      <w:r w:rsidR="002E1D71" w:rsidRPr="002E1D71">
        <w:rPr>
          <w:rFonts w:ascii="Arial" w:hAnsi="Arial" w:cs="Arial"/>
          <w:snapToGrid w:val="0"/>
          <w:sz w:val="22"/>
          <w:szCs w:val="22"/>
        </w:rPr>
        <w:t>s based on the lack of clear evidence of benefit of an additional dose of 23vPPV following 13vPCV, and simplicity of program implementation.</w:t>
      </w:r>
    </w:p>
    <w:p w:rsidR="00CE2C77" w:rsidRDefault="00CE2C77" w:rsidP="00AD362F">
      <w:pPr>
        <w:jc w:val="both"/>
        <w:rPr>
          <w:rFonts w:ascii="Arial" w:hAnsi="Arial" w:cs="Arial"/>
          <w:snapToGrid w:val="0"/>
          <w:sz w:val="22"/>
          <w:szCs w:val="22"/>
        </w:rPr>
      </w:pPr>
    </w:p>
    <w:p w:rsidR="00EF2AFE" w:rsidRDefault="00EF2AFE" w:rsidP="002914D3">
      <w:pPr>
        <w:ind w:left="709"/>
        <w:contextualSpacing/>
        <w:jc w:val="both"/>
        <w:rPr>
          <w:rFonts w:ascii="Arial" w:hAnsi="Arial" w:cs="Arial"/>
          <w:snapToGrid w:val="0"/>
          <w:sz w:val="22"/>
          <w:szCs w:val="22"/>
        </w:rPr>
      </w:pPr>
      <w:r w:rsidRPr="00EF2AFE">
        <w:rPr>
          <w:rFonts w:ascii="Arial" w:hAnsi="Arial" w:cs="Arial"/>
          <w:i/>
          <w:snapToGrid w:val="0"/>
          <w:sz w:val="22"/>
          <w:szCs w:val="22"/>
        </w:rPr>
        <w:t>For more detail on PBAC’s view, see section 7 “PBAC outcome”</w:t>
      </w:r>
    </w:p>
    <w:p w:rsidR="00EA2B1F" w:rsidRPr="00CE2C77" w:rsidRDefault="00EA2B1F" w:rsidP="00AD362F">
      <w:pPr>
        <w:jc w:val="both"/>
        <w:rPr>
          <w:rFonts w:ascii="Arial" w:hAnsi="Arial" w:cs="Arial"/>
          <w:snapToGrid w:val="0"/>
          <w:sz w:val="22"/>
          <w:szCs w:val="22"/>
        </w:rPr>
      </w:pPr>
    </w:p>
    <w:p w:rsidR="00CE2C77" w:rsidRPr="00CE2C77" w:rsidRDefault="00CE2C77" w:rsidP="00AD362F">
      <w:pPr>
        <w:pStyle w:val="PBACHeading1"/>
      </w:pPr>
      <w:bookmarkStart w:id="6" w:name="_Toc409513704"/>
      <w:r w:rsidRPr="00CE2C77">
        <w:t>Consideration of the evidence</w:t>
      </w:r>
      <w:bookmarkEnd w:id="6"/>
    </w:p>
    <w:p w:rsidR="00CE2C77" w:rsidRDefault="00CE2C77" w:rsidP="00AD362F">
      <w:pPr>
        <w:jc w:val="both"/>
        <w:rPr>
          <w:rFonts w:ascii="Arial" w:hAnsi="Arial" w:cs="Arial"/>
          <w:snapToGrid w:val="0"/>
          <w:sz w:val="22"/>
          <w:szCs w:val="20"/>
        </w:rPr>
      </w:pPr>
    </w:p>
    <w:p w:rsidR="00EF2AFE" w:rsidRPr="005125B6" w:rsidRDefault="00EF2AFE" w:rsidP="005125B6">
      <w:pPr>
        <w:pStyle w:val="Heading2"/>
      </w:pPr>
      <w:r w:rsidRPr="005125B6">
        <w:t>Sponsor hearing</w:t>
      </w:r>
    </w:p>
    <w:p w:rsidR="00EF2AFE" w:rsidRPr="00EF2AFE" w:rsidRDefault="00EF2AFE" w:rsidP="005E67AE">
      <w:pPr>
        <w:ind w:left="709"/>
        <w:jc w:val="both"/>
        <w:rPr>
          <w:rFonts w:ascii="Arial" w:hAnsi="Arial" w:cs="Arial"/>
          <w:b/>
          <w:snapToGrid w:val="0"/>
          <w:sz w:val="22"/>
          <w:szCs w:val="22"/>
        </w:rPr>
      </w:pPr>
    </w:p>
    <w:p w:rsidR="00EF2AFE" w:rsidRPr="00EF2AFE" w:rsidRDefault="00EF2AFE" w:rsidP="005E67AE">
      <w:pPr>
        <w:numPr>
          <w:ilvl w:val="1"/>
          <w:numId w:val="3"/>
        </w:numPr>
        <w:contextualSpacing/>
        <w:jc w:val="both"/>
        <w:rPr>
          <w:rFonts w:ascii="Arial" w:hAnsi="Arial" w:cs="Arial"/>
          <w:snapToGrid w:val="0"/>
          <w:sz w:val="22"/>
          <w:szCs w:val="22"/>
        </w:rPr>
      </w:pPr>
      <w:r w:rsidRPr="00EF2AFE">
        <w:rPr>
          <w:rFonts w:ascii="Arial" w:hAnsi="Arial" w:cs="Arial"/>
          <w:snapToGrid w:val="0"/>
          <w:sz w:val="22"/>
          <w:szCs w:val="22"/>
        </w:rPr>
        <w:t>There was no hearing for this item.</w:t>
      </w:r>
    </w:p>
    <w:p w:rsidR="00EF2AFE" w:rsidRPr="00EF2AFE" w:rsidRDefault="00EF2AFE" w:rsidP="005E67AE">
      <w:pPr>
        <w:ind w:left="709"/>
        <w:contextualSpacing/>
        <w:jc w:val="both"/>
        <w:rPr>
          <w:rFonts w:ascii="Arial" w:hAnsi="Arial" w:cs="Arial"/>
          <w:snapToGrid w:val="0"/>
          <w:sz w:val="22"/>
          <w:szCs w:val="22"/>
        </w:rPr>
      </w:pPr>
    </w:p>
    <w:p w:rsidR="00EF2AFE" w:rsidRPr="00947361" w:rsidRDefault="00EF2AFE" w:rsidP="005125B6">
      <w:pPr>
        <w:pStyle w:val="Heading2"/>
      </w:pPr>
      <w:r w:rsidRPr="00947361">
        <w:t>Consumer comments</w:t>
      </w:r>
    </w:p>
    <w:p w:rsidR="00EF2AFE" w:rsidRPr="00EF2AFE" w:rsidRDefault="00EF2AFE" w:rsidP="005E67AE">
      <w:pPr>
        <w:ind w:left="709"/>
        <w:contextualSpacing/>
        <w:jc w:val="both"/>
        <w:rPr>
          <w:rFonts w:ascii="Arial" w:hAnsi="Arial" w:cs="Arial"/>
          <w:snapToGrid w:val="0"/>
          <w:sz w:val="22"/>
          <w:szCs w:val="22"/>
        </w:rPr>
      </w:pPr>
    </w:p>
    <w:p w:rsidR="00EF2AFE" w:rsidRPr="00EF2AFE" w:rsidRDefault="00EF2AFE" w:rsidP="005E67AE">
      <w:pPr>
        <w:numPr>
          <w:ilvl w:val="1"/>
          <w:numId w:val="3"/>
        </w:numPr>
        <w:contextualSpacing/>
        <w:jc w:val="both"/>
        <w:rPr>
          <w:rFonts w:ascii="Arial" w:hAnsi="Arial" w:cs="Arial"/>
          <w:i/>
          <w:snapToGrid w:val="0"/>
          <w:sz w:val="22"/>
          <w:szCs w:val="22"/>
        </w:rPr>
      </w:pPr>
      <w:r w:rsidRPr="00EF2AFE">
        <w:rPr>
          <w:rFonts w:ascii="Arial" w:hAnsi="Arial" w:cs="Arial"/>
          <w:snapToGrid w:val="0"/>
          <w:sz w:val="22"/>
          <w:szCs w:val="22"/>
        </w:rPr>
        <w:t>The PBAC noted that no consumer comments were received for this item.</w:t>
      </w:r>
    </w:p>
    <w:p w:rsidR="00EF2AFE" w:rsidRPr="00CE2C77" w:rsidRDefault="00EF2AFE" w:rsidP="00AD362F">
      <w:pPr>
        <w:jc w:val="both"/>
        <w:rPr>
          <w:rFonts w:ascii="Arial" w:hAnsi="Arial" w:cs="Arial"/>
          <w:snapToGrid w:val="0"/>
          <w:sz w:val="22"/>
          <w:szCs w:val="20"/>
        </w:rPr>
      </w:pPr>
    </w:p>
    <w:p w:rsidR="00CE2C77" w:rsidRPr="00947361" w:rsidRDefault="00CE2C77" w:rsidP="005125B6">
      <w:pPr>
        <w:pStyle w:val="Heading2"/>
      </w:pPr>
      <w:bookmarkStart w:id="7" w:name="_Toc409513705"/>
      <w:r w:rsidRPr="00947361">
        <w:t>Clinical trials</w:t>
      </w:r>
      <w:bookmarkEnd w:id="7"/>
    </w:p>
    <w:p w:rsidR="00CE2C77" w:rsidRPr="00CE2C77" w:rsidRDefault="00CE2C77" w:rsidP="00AD362F">
      <w:pPr>
        <w:keepNext/>
        <w:jc w:val="both"/>
        <w:rPr>
          <w:rFonts w:ascii="Arial" w:hAnsi="Arial" w:cs="Arial"/>
          <w:snapToGrid w:val="0"/>
          <w:sz w:val="22"/>
          <w:szCs w:val="22"/>
        </w:rPr>
      </w:pPr>
    </w:p>
    <w:p w:rsidR="00CE2C77" w:rsidRPr="00CE2C77" w:rsidRDefault="00CE2C77" w:rsidP="00AD362F">
      <w:pPr>
        <w:numPr>
          <w:ilvl w:val="1"/>
          <w:numId w:val="3"/>
        </w:numPr>
        <w:contextualSpacing/>
        <w:jc w:val="both"/>
        <w:rPr>
          <w:rFonts w:ascii="Arial" w:hAnsi="Arial" w:cs="Arial"/>
          <w:snapToGrid w:val="0"/>
          <w:sz w:val="22"/>
          <w:szCs w:val="22"/>
        </w:rPr>
      </w:pPr>
      <w:r w:rsidRPr="00CE2C77">
        <w:rPr>
          <w:rFonts w:ascii="Arial" w:hAnsi="Arial" w:cs="Arial"/>
          <w:snapToGrid w:val="0"/>
          <w:sz w:val="22"/>
          <w:szCs w:val="20"/>
        </w:rPr>
        <w:t>The submission was based on:</w:t>
      </w:r>
    </w:p>
    <w:p w:rsidR="00CE2C77" w:rsidRPr="00CE2C77" w:rsidRDefault="00CE2C77" w:rsidP="00AD362F">
      <w:pPr>
        <w:numPr>
          <w:ilvl w:val="0"/>
          <w:numId w:val="11"/>
        </w:numPr>
        <w:contextualSpacing/>
        <w:jc w:val="both"/>
        <w:rPr>
          <w:rFonts w:ascii="Arial" w:hAnsi="Arial" w:cs="Arial"/>
          <w:snapToGrid w:val="0"/>
          <w:sz w:val="22"/>
          <w:szCs w:val="22"/>
        </w:rPr>
      </w:pPr>
      <w:r w:rsidRPr="00CE2C77">
        <w:rPr>
          <w:rFonts w:ascii="Arial" w:hAnsi="Arial" w:cs="Arial"/>
          <w:snapToGrid w:val="0"/>
          <w:sz w:val="22"/>
          <w:szCs w:val="20"/>
        </w:rPr>
        <w:t>One 13vPCV placebo-controlled efficacy trial (CAPiTA)</w:t>
      </w:r>
    </w:p>
    <w:p w:rsidR="00CE2C77" w:rsidRPr="00CE2C77" w:rsidRDefault="00F10871" w:rsidP="00AD362F">
      <w:pPr>
        <w:numPr>
          <w:ilvl w:val="0"/>
          <w:numId w:val="11"/>
        </w:numPr>
        <w:contextualSpacing/>
        <w:jc w:val="both"/>
        <w:rPr>
          <w:rFonts w:ascii="Arial" w:hAnsi="Arial" w:cs="Arial"/>
          <w:snapToGrid w:val="0"/>
          <w:sz w:val="22"/>
          <w:szCs w:val="22"/>
        </w:rPr>
      </w:pPr>
      <w:r>
        <w:rPr>
          <w:rFonts w:ascii="Arial" w:hAnsi="Arial" w:cs="Arial"/>
          <w:snapToGrid w:val="0"/>
          <w:sz w:val="22"/>
          <w:szCs w:val="20"/>
        </w:rPr>
        <w:t>A meta-analysis of six</w:t>
      </w:r>
      <w:r w:rsidR="00CE2C77" w:rsidRPr="00CE2C77">
        <w:rPr>
          <w:rFonts w:ascii="Arial" w:hAnsi="Arial" w:cs="Arial"/>
          <w:snapToGrid w:val="0"/>
          <w:sz w:val="22"/>
          <w:szCs w:val="20"/>
        </w:rPr>
        <w:t xml:space="preserve"> randomised efficacy trials of 23vPPV in adults reporting the incidence of pneumonia</w:t>
      </w:r>
    </w:p>
    <w:p w:rsidR="00CE2C77" w:rsidRPr="00CE2C77" w:rsidRDefault="00CE2C77" w:rsidP="00AD362F">
      <w:pPr>
        <w:numPr>
          <w:ilvl w:val="0"/>
          <w:numId w:val="11"/>
        </w:numPr>
        <w:contextualSpacing/>
        <w:jc w:val="both"/>
        <w:rPr>
          <w:rFonts w:ascii="Arial" w:hAnsi="Arial" w:cs="Arial"/>
          <w:snapToGrid w:val="0"/>
          <w:sz w:val="22"/>
          <w:szCs w:val="22"/>
        </w:rPr>
      </w:pPr>
      <w:r w:rsidRPr="00CE2C77">
        <w:rPr>
          <w:rFonts w:ascii="Arial" w:hAnsi="Arial" w:cs="Arial"/>
          <w:snapToGrid w:val="0"/>
          <w:sz w:val="22"/>
          <w:szCs w:val="20"/>
        </w:rPr>
        <w:t>A meta-analysis of 17 non-randomised studies of 23vPPV in adults reporting the incidence of IPD</w:t>
      </w:r>
    </w:p>
    <w:p w:rsidR="00CE2C77" w:rsidRPr="00CE2C77" w:rsidRDefault="00CE2C77" w:rsidP="00AD362F">
      <w:pPr>
        <w:numPr>
          <w:ilvl w:val="0"/>
          <w:numId w:val="11"/>
        </w:numPr>
        <w:contextualSpacing/>
        <w:jc w:val="both"/>
        <w:rPr>
          <w:rFonts w:ascii="Arial" w:hAnsi="Arial" w:cs="Arial"/>
          <w:snapToGrid w:val="0"/>
          <w:sz w:val="22"/>
          <w:szCs w:val="22"/>
        </w:rPr>
      </w:pPr>
      <w:r w:rsidRPr="00CE2C77">
        <w:rPr>
          <w:rFonts w:ascii="Arial" w:hAnsi="Arial" w:cs="Arial"/>
          <w:snapToGrid w:val="0"/>
          <w:sz w:val="22"/>
          <w:szCs w:val="20"/>
        </w:rPr>
        <w:t>14 immunogenicity studies including 13vPCV</w:t>
      </w:r>
    </w:p>
    <w:p w:rsidR="00CE2C77" w:rsidRPr="00CE2C77" w:rsidRDefault="00CE2C77" w:rsidP="00AD362F">
      <w:pPr>
        <w:jc w:val="both"/>
        <w:rPr>
          <w:rFonts w:ascii="Arial" w:hAnsi="Arial" w:cs="Arial"/>
          <w:snapToGrid w:val="0"/>
          <w:sz w:val="22"/>
          <w:szCs w:val="22"/>
        </w:rPr>
      </w:pPr>
    </w:p>
    <w:p w:rsidR="00CE2C77" w:rsidRPr="00CE2C77" w:rsidRDefault="00CE2C77" w:rsidP="005E67AE">
      <w:pPr>
        <w:numPr>
          <w:ilvl w:val="1"/>
          <w:numId w:val="3"/>
        </w:numPr>
        <w:contextualSpacing/>
        <w:jc w:val="both"/>
        <w:rPr>
          <w:rFonts w:ascii="Arial" w:hAnsi="Arial" w:cs="Arial"/>
          <w:snapToGrid w:val="0"/>
          <w:sz w:val="22"/>
          <w:szCs w:val="22"/>
        </w:rPr>
      </w:pPr>
      <w:r w:rsidRPr="00CE2C77">
        <w:rPr>
          <w:rFonts w:ascii="Arial" w:hAnsi="Arial" w:cs="Arial"/>
          <w:snapToGrid w:val="0"/>
          <w:sz w:val="22"/>
          <w:szCs w:val="22"/>
        </w:rPr>
        <w:t xml:space="preserve">Details of the trials presented in the submission are provided in the table below.  </w:t>
      </w:r>
    </w:p>
    <w:p w:rsidR="00CE2C77" w:rsidRPr="00CE2C77" w:rsidRDefault="00CE2C77" w:rsidP="00AD362F">
      <w:pPr>
        <w:jc w:val="both"/>
        <w:rPr>
          <w:rFonts w:ascii="Arial" w:hAnsi="Arial" w:cs="Arial"/>
          <w:snapToGrid w:val="0"/>
          <w:sz w:val="22"/>
          <w:szCs w:val="22"/>
        </w:rPr>
      </w:pPr>
    </w:p>
    <w:p w:rsidR="00CE2C77" w:rsidRPr="00CE2C77" w:rsidRDefault="00CE2C77" w:rsidP="00AD362F">
      <w:pPr>
        <w:keepNext/>
        <w:ind w:firstLine="720"/>
        <w:jc w:val="both"/>
        <w:rPr>
          <w:rFonts w:ascii="Arial Narrow" w:hAnsi="Arial Narrow" w:cs="Arial"/>
          <w:b/>
          <w:snapToGrid w:val="0"/>
          <w:sz w:val="20"/>
          <w:szCs w:val="16"/>
        </w:rPr>
      </w:pPr>
      <w:r w:rsidRPr="00CE2C77">
        <w:rPr>
          <w:rFonts w:ascii="Arial Narrow" w:hAnsi="Arial Narrow" w:cs="Arial"/>
          <w:b/>
          <w:snapToGrid w:val="0"/>
          <w:sz w:val="20"/>
          <w:szCs w:val="16"/>
        </w:rPr>
        <w:lastRenderedPageBreak/>
        <w:t>Trials and associated reports presented in the submission</w:t>
      </w:r>
    </w:p>
    <w:tbl>
      <w:tblPr>
        <w:tblW w:w="460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Clinical trials and associated reports presented in the submission"/>
      </w:tblPr>
      <w:tblGrid>
        <w:gridCol w:w="1033"/>
        <w:gridCol w:w="5912"/>
        <w:gridCol w:w="1419"/>
      </w:tblGrid>
      <w:tr w:rsidR="00CE2C77" w:rsidRPr="00720E31" w:rsidTr="000F763D">
        <w:trPr>
          <w:cantSplit/>
          <w:tblHeader/>
        </w:trPr>
        <w:tc>
          <w:tcPr>
            <w:tcW w:w="618" w:type="pct"/>
          </w:tcPr>
          <w:p w:rsidR="00CE2C77" w:rsidRDefault="00CE2C77" w:rsidP="00AD362F">
            <w:pPr>
              <w:keepNext/>
              <w:rPr>
                <w:rFonts w:ascii="Arial Narrow" w:hAnsi="Arial Narrow" w:cs="Arial"/>
                <w:b/>
                <w:snapToGrid w:val="0"/>
                <w:sz w:val="20"/>
                <w:szCs w:val="20"/>
              </w:rPr>
            </w:pPr>
            <w:r w:rsidRPr="00054B27">
              <w:rPr>
                <w:rFonts w:ascii="Arial Narrow" w:hAnsi="Arial Narrow" w:cs="Arial"/>
                <w:b/>
                <w:snapToGrid w:val="0"/>
                <w:sz w:val="20"/>
                <w:szCs w:val="20"/>
              </w:rPr>
              <w:t>Trial ID</w:t>
            </w:r>
            <w:r w:rsidR="00436A8B">
              <w:rPr>
                <w:rFonts w:ascii="Arial Narrow" w:hAnsi="Arial Narrow" w:cs="Arial"/>
                <w:b/>
                <w:snapToGrid w:val="0"/>
                <w:sz w:val="20"/>
                <w:szCs w:val="20"/>
              </w:rPr>
              <w:t>/</w:t>
            </w:r>
          </w:p>
          <w:p w:rsidR="00436A8B" w:rsidRPr="00054B27" w:rsidRDefault="00436A8B" w:rsidP="00AD362F">
            <w:pPr>
              <w:keepNext/>
              <w:rPr>
                <w:rFonts w:ascii="Arial Narrow" w:hAnsi="Arial Narrow" w:cs="Arial"/>
                <w:b/>
                <w:snapToGrid w:val="0"/>
                <w:sz w:val="20"/>
                <w:szCs w:val="20"/>
              </w:rPr>
            </w:pPr>
            <w:r>
              <w:rPr>
                <w:rFonts w:ascii="Arial Narrow" w:hAnsi="Arial Narrow" w:cs="Arial"/>
                <w:b/>
                <w:snapToGrid w:val="0"/>
                <w:sz w:val="20"/>
                <w:szCs w:val="20"/>
              </w:rPr>
              <w:t>First Author</w:t>
            </w:r>
          </w:p>
        </w:tc>
        <w:tc>
          <w:tcPr>
            <w:tcW w:w="3534" w:type="pct"/>
          </w:tcPr>
          <w:p w:rsidR="00CE2C77" w:rsidRPr="00054B27" w:rsidRDefault="00CE2C77" w:rsidP="00AD362F">
            <w:pPr>
              <w:keepNext/>
              <w:jc w:val="center"/>
              <w:rPr>
                <w:rFonts w:ascii="Arial Narrow" w:hAnsi="Arial Narrow" w:cs="Arial"/>
                <w:b/>
                <w:snapToGrid w:val="0"/>
                <w:sz w:val="20"/>
                <w:szCs w:val="20"/>
              </w:rPr>
            </w:pPr>
            <w:r w:rsidRPr="00054B27">
              <w:rPr>
                <w:rFonts w:ascii="Arial Narrow" w:hAnsi="Arial Narrow" w:cs="Arial"/>
                <w:b/>
                <w:snapToGrid w:val="0"/>
                <w:sz w:val="20"/>
                <w:szCs w:val="20"/>
              </w:rPr>
              <w:t>Protocol title/ Publication title</w:t>
            </w:r>
          </w:p>
        </w:tc>
        <w:tc>
          <w:tcPr>
            <w:tcW w:w="848" w:type="pct"/>
          </w:tcPr>
          <w:p w:rsidR="00CE2C77" w:rsidRPr="00054B27" w:rsidRDefault="00CE2C77" w:rsidP="00AD362F">
            <w:pPr>
              <w:keepNext/>
              <w:jc w:val="center"/>
              <w:rPr>
                <w:rFonts w:ascii="Arial Narrow" w:hAnsi="Arial Narrow" w:cs="Arial"/>
                <w:b/>
                <w:snapToGrid w:val="0"/>
                <w:sz w:val="20"/>
                <w:szCs w:val="20"/>
              </w:rPr>
            </w:pPr>
            <w:r w:rsidRPr="00054B27">
              <w:rPr>
                <w:rFonts w:ascii="Arial Narrow" w:hAnsi="Arial Narrow" w:cs="Arial"/>
                <w:b/>
                <w:snapToGrid w:val="0"/>
                <w:sz w:val="20"/>
                <w:szCs w:val="20"/>
              </w:rPr>
              <w:t>Publication citation</w:t>
            </w:r>
          </w:p>
        </w:tc>
      </w:tr>
      <w:tr w:rsidR="00CE2C77" w:rsidRPr="00720E31" w:rsidTr="000F763D">
        <w:trPr>
          <w:cantSplit/>
        </w:trPr>
        <w:tc>
          <w:tcPr>
            <w:tcW w:w="5000" w:type="pct"/>
            <w:gridSpan w:val="3"/>
          </w:tcPr>
          <w:p w:rsidR="00CE2C77" w:rsidRPr="00054B27" w:rsidRDefault="00CE2C77" w:rsidP="00AD362F">
            <w:pPr>
              <w:keepNext/>
              <w:rPr>
                <w:rFonts w:ascii="Arial Narrow" w:hAnsi="Arial Narrow" w:cs="Arial"/>
                <w:b/>
                <w:snapToGrid w:val="0"/>
                <w:sz w:val="20"/>
                <w:szCs w:val="20"/>
              </w:rPr>
            </w:pPr>
            <w:r w:rsidRPr="00054B27">
              <w:rPr>
                <w:rFonts w:ascii="Arial Narrow" w:hAnsi="Arial Narrow" w:cs="Arial"/>
                <w:b/>
                <w:snapToGrid w:val="0"/>
                <w:sz w:val="20"/>
                <w:szCs w:val="20"/>
              </w:rPr>
              <w:t>Proposed vaccine: 13vPCV randomised trial</w:t>
            </w:r>
          </w:p>
        </w:tc>
      </w:tr>
      <w:tr w:rsidR="00CE2C77" w:rsidRPr="00720E31" w:rsidTr="000F763D">
        <w:trPr>
          <w:cantSplit/>
        </w:trPr>
        <w:tc>
          <w:tcPr>
            <w:tcW w:w="618" w:type="pct"/>
          </w:tcPr>
          <w:p w:rsidR="00CE2C77" w:rsidRPr="00054B27" w:rsidRDefault="00CE2C77" w:rsidP="00AD362F">
            <w:pPr>
              <w:keepNext/>
              <w:rPr>
                <w:rFonts w:ascii="Arial Narrow" w:hAnsi="Arial Narrow" w:cs="Arial"/>
                <w:snapToGrid w:val="0"/>
                <w:sz w:val="20"/>
                <w:szCs w:val="20"/>
              </w:rPr>
            </w:pPr>
            <w:r w:rsidRPr="00054B27">
              <w:rPr>
                <w:rFonts w:ascii="Arial Narrow" w:hAnsi="Arial Narrow" w:cs="Arial"/>
                <w:snapToGrid w:val="0"/>
                <w:sz w:val="20"/>
                <w:szCs w:val="20"/>
              </w:rPr>
              <w:t>CAPiTA</w:t>
            </w:r>
          </w:p>
        </w:tc>
        <w:tc>
          <w:tcPr>
            <w:tcW w:w="3534" w:type="pct"/>
          </w:tcPr>
          <w:p w:rsidR="00CE2C77" w:rsidRPr="00054B27" w:rsidRDefault="00CE2C77" w:rsidP="00AD362F">
            <w:pPr>
              <w:keepNext/>
              <w:rPr>
                <w:rFonts w:ascii="Arial Narrow" w:hAnsi="Arial Narrow" w:cs="Arial"/>
                <w:snapToGrid w:val="0"/>
                <w:sz w:val="20"/>
                <w:szCs w:val="20"/>
              </w:rPr>
            </w:pPr>
            <w:r w:rsidRPr="00054B27">
              <w:rPr>
                <w:rFonts w:ascii="Arial Narrow" w:hAnsi="Arial Narrow" w:cs="Arial"/>
                <w:snapToGrid w:val="0"/>
                <w:sz w:val="20"/>
                <w:szCs w:val="20"/>
              </w:rPr>
              <w:t>Final report: a phase 4, randomised, placebo</w:t>
            </w:r>
            <w:r w:rsidRPr="00054B27">
              <w:rPr>
                <w:rFonts w:ascii="Arial Narrow" w:hAnsi="Arial Narrow" w:cs="Arial"/>
                <w:snapToGrid w:val="0"/>
                <w:sz w:val="20"/>
                <w:szCs w:val="20"/>
              </w:rPr>
              <w:noBreakHyphen/>
              <w:t>controlled clinical trial of 13</w:t>
            </w:r>
            <w:r w:rsidRPr="00054B27">
              <w:rPr>
                <w:rFonts w:ascii="Arial Narrow" w:hAnsi="Arial Narrow" w:cs="Arial"/>
                <w:snapToGrid w:val="0"/>
                <w:sz w:val="20"/>
                <w:szCs w:val="20"/>
              </w:rPr>
              <w:noBreakHyphen/>
              <w:t>valent pneumococcal conjugate vaccine efficacy in prevention of vaccine</w:t>
            </w:r>
            <w:r w:rsidRPr="00054B27">
              <w:rPr>
                <w:rFonts w:ascii="Arial Narrow" w:hAnsi="Arial Narrow" w:cs="Arial"/>
                <w:snapToGrid w:val="0"/>
                <w:sz w:val="20"/>
                <w:szCs w:val="20"/>
              </w:rPr>
              <w:noBreakHyphen/>
              <w:t>serotype pneumococcal community</w:t>
            </w:r>
            <w:r w:rsidRPr="00054B27">
              <w:rPr>
                <w:rFonts w:ascii="Arial Narrow" w:hAnsi="Arial Narrow" w:cs="Arial"/>
                <w:snapToGrid w:val="0"/>
                <w:sz w:val="20"/>
                <w:szCs w:val="20"/>
              </w:rPr>
              <w:noBreakHyphen/>
              <w:t>acquired pneumonia and invasive pneumococcal disease.</w:t>
            </w:r>
          </w:p>
        </w:tc>
        <w:tc>
          <w:tcPr>
            <w:tcW w:w="848" w:type="pct"/>
          </w:tcPr>
          <w:p w:rsidR="00CE2C77" w:rsidRPr="00054B27" w:rsidRDefault="00CE2C77" w:rsidP="00AD362F">
            <w:pPr>
              <w:keepNext/>
              <w:rPr>
                <w:rFonts w:ascii="Arial Narrow" w:hAnsi="Arial Narrow" w:cs="Arial"/>
                <w:snapToGrid w:val="0"/>
                <w:sz w:val="20"/>
                <w:szCs w:val="20"/>
              </w:rPr>
            </w:pPr>
            <w:r w:rsidRPr="00054B27">
              <w:rPr>
                <w:rFonts w:ascii="Arial Narrow" w:hAnsi="Arial Narrow" w:cs="Arial"/>
                <w:snapToGrid w:val="0"/>
                <w:sz w:val="20"/>
                <w:szCs w:val="20"/>
              </w:rPr>
              <w:t>22 May 2014</w:t>
            </w:r>
          </w:p>
          <w:p w:rsidR="00CE2C77" w:rsidRPr="00054B27" w:rsidRDefault="00CE2C77" w:rsidP="00AD362F">
            <w:pPr>
              <w:keepNext/>
              <w:rPr>
                <w:rFonts w:ascii="Arial Narrow" w:hAnsi="Arial Narrow" w:cs="Arial"/>
                <w:snapToGrid w:val="0"/>
                <w:sz w:val="20"/>
                <w:szCs w:val="20"/>
              </w:rPr>
            </w:pPr>
          </w:p>
          <w:p w:rsidR="00CE2C77" w:rsidRPr="00054B27" w:rsidRDefault="00CE2C77" w:rsidP="00AD362F">
            <w:pPr>
              <w:keepNext/>
              <w:rPr>
                <w:rFonts w:ascii="Arial Narrow" w:hAnsi="Arial Narrow" w:cs="Arial"/>
                <w:snapToGrid w:val="0"/>
                <w:sz w:val="20"/>
                <w:szCs w:val="20"/>
              </w:rPr>
            </w:pPr>
          </w:p>
          <w:p w:rsidR="00CE2C77" w:rsidRPr="00054B27" w:rsidRDefault="00CE2C77" w:rsidP="00AD362F">
            <w:pPr>
              <w:keepNext/>
              <w:rPr>
                <w:rFonts w:ascii="Arial Narrow" w:hAnsi="Arial Narrow" w:cs="Arial"/>
                <w:b/>
                <w:snapToGrid w:val="0"/>
                <w:sz w:val="20"/>
                <w:szCs w:val="20"/>
              </w:rPr>
            </w:pPr>
          </w:p>
        </w:tc>
      </w:tr>
      <w:tr w:rsidR="00CE2C77" w:rsidRPr="00720E31" w:rsidTr="000F763D">
        <w:trPr>
          <w:cantSplit/>
        </w:trPr>
        <w:tc>
          <w:tcPr>
            <w:tcW w:w="5000" w:type="pct"/>
            <w:gridSpan w:val="3"/>
          </w:tcPr>
          <w:p w:rsidR="00CE2C77" w:rsidRPr="00054B27" w:rsidRDefault="00CE2C77" w:rsidP="00AD362F">
            <w:pPr>
              <w:keepNext/>
              <w:rPr>
                <w:rFonts w:ascii="Arial Narrow" w:hAnsi="Arial Narrow" w:cs="Arial"/>
                <w:b/>
                <w:snapToGrid w:val="0"/>
                <w:sz w:val="20"/>
                <w:szCs w:val="20"/>
              </w:rPr>
            </w:pPr>
            <w:r w:rsidRPr="00054B27">
              <w:rPr>
                <w:rFonts w:ascii="Arial Narrow" w:hAnsi="Arial Narrow" w:cs="Arial"/>
                <w:b/>
                <w:snapToGrid w:val="0"/>
                <w:sz w:val="20"/>
                <w:szCs w:val="20"/>
              </w:rPr>
              <w:t>Comparator vaccine: 23vPPV randomised trials</w:t>
            </w:r>
          </w:p>
        </w:tc>
      </w:tr>
      <w:tr w:rsidR="00CE2C77" w:rsidRPr="00720E31" w:rsidTr="000F763D">
        <w:trPr>
          <w:cantSplit/>
        </w:trPr>
        <w:tc>
          <w:tcPr>
            <w:tcW w:w="618" w:type="pct"/>
            <w:vAlign w:val="center"/>
          </w:tcPr>
          <w:p w:rsidR="00CE2C77" w:rsidRPr="00054B27" w:rsidRDefault="00CE2C77" w:rsidP="00AD362F">
            <w:pPr>
              <w:rPr>
                <w:rFonts w:ascii="Arial Narrow" w:hAnsi="Arial Narrow" w:cs="Arial"/>
                <w:snapToGrid w:val="0"/>
                <w:sz w:val="20"/>
                <w:szCs w:val="20"/>
              </w:rPr>
            </w:pPr>
            <w:r w:rsidRPr="00054B27">
              <w:rPr>
                <w:rFonts w:ascii="Arial Narrow" w:hAnsi="Arial Narrow" w:cs="Arial"/>
                <w:snapToGrid w:val="0"/>
                <w:sz w:val="20"/>
                <w:szCs w:val="20"/>
              </w:rPr>
              <w:t xml:space="preserve">Alfageme </w:t>
            </w:r>
          </w:p>
        </w:tc>
        <w:tc>
          <w:tcPr>
            <w:tcW w:w="3534" w:type="pct"/>
            <w:vAlign w:val="center"/>
          </w:tcPr>
          <w:p w:rsidR="00CE2C77" w:rsidRPr="00054B27" w:rsidRDefault="00CE2C77" w:rsidP="00AD362F">
            <w:pPr>
              <w:rPr>
                <w:rFonts w:ascii="Arial Narrow" w:hAnsi="Arial Narrow" w:cs="Arial"/>
                <w:snapToGrid w:val="0"/>
                <w:sz w:val="20"/>
                <w:szCs w:val="20"/>
              </w:rPr>
            </w:pPr>
            <w:r w:rsidRPr="00054B27">
              <w:rPr>
                <w:rFonts w:ascii="Arial Narrow" w:hAnsi="Arial Narrow" w:cs="Arial"/>
                <w:snapToGrid w:val="0"/>
                <w:sz w:val="20"/>
                <w:szCs w:val="20"/>
              </w:rPr>
              <w:t>Clinical efficacy of anti</w:t>
            </w:r>
            <w:r w:rsidRPr="00054B27">
              <w:rPr>
                <w:rFonts w:ascii="Arial Narrow" w:hAnsi="Arial Narrow" w:cs="Arial"/>
                <w:snapToGrid w:val="0"/>
                <w:sz w:val="20"/>
                <w:szCs w:val="20"/>
              </w:rPr>
              <w:noBreakHyphen/>
              <w:t xml:space="preserve">pneumococcal vaccination in patients with COPD. </w:t>
            </w:r>
          </w:p>
        </w:tc>
        <w:tc>
          <w:tcPr>
            <w:tcW w:w="848" w:type="pct"/>
          </w:tcPr>
          <w:p w:rsidR="00CE2C77" w:rsidRPr="00054B27" w:rsidRDefault="00CE2C77" w:rsidP="00AD362F">
            <w:pPr>
              <w:rPr>
                <w:rFonts w:ascii="Arial Narrow" w:hAnsi="Arial Narrow" w:cs="Arial"/>
                <w:snapToGrid w:val="0"/>
                <w:sz w:val="20"/>
                <w:szCs w:val="20"/>
              </w:rPr>
            </w:pPr>
            <w:r w:rsidRPr="00054B27">
              <w:rPr>
                <w:rFonts w:ascii="Arial Narrow" w:hAnsi="Arial Narrow" w:cs="Arial"/>
                <w:i/>
                <w:snapToGrid w:val="0"/>
                <w:sz w:val="20"/>
                <w:szCs w:val="20"/>
              </w:rPr>
              <w:t>Thorax</w:t>
            </w:r>
            <w:r w:rsidRPr="00054B27">
              <w:rPr>
                <w:rFonts w:ascii="Arial Narrow" w:hAnsi="Arial Narrow" w:cs="Arial"/>
                <w:snapToGrid w:val="0"/>
                <w:sz w:val="20"/>
                <w:szCs w:val="20"/>
              </w:rPr>
              <w:t xml:space="preserve"> 2006; 61:189–95</w:t>
            </w:r>
          </w:p>
        </w:tc>
      </w:tr>
      <w:tr w:rsidR="00CE2C77" w:rsidRPr="00720E31" w:rsidTr="000F763D">
        <w:trPr>
          <w:cantSplit/>
        </w:trPr>
        <w:tc>
          <w:tcPr>
            <w:tcW w:w="618" w:type="pct"/>
            <w:vAlign w:val="center"/>
          </w:tcPr>
          <w:p w:rsidR="00CE2C77" w:rsidRPr="00054B27" w:rsidRDefault="00CE2C77" w:rsidP="00AD362F">
            <w:pPr>
              <w:rPr>
                <w:rFonts w:ascii="Arial Narrow" w:hAnsi="Arial Narrow" w:cs="Arial"/>
                <w:snapToGrid w:val="0"/>
                <w:sz w:val="20"/>
                <w:szCs w:val="20"/>
              </w:rPr>
            </w:pPr>
            <w:r w:rsidRPr="00054B27">
              <w:rPr>
                <w:rFonts w:ascii="Arial Narrow" w:hAnsi="Arial Narrow" w:cs="Arial"/>
                <w:snapToGrid w:val="0"/>
                <w:sz w:val="20"/>
                <w:szCs w:val="20"/>
              </w:rPr>
              <w:t xml:space="preserve">Furumoto </w:t>
            </w:r>
          </w:p>
        </w:tc>
        <w:tc>
          <w:tcPr>
            <w:tcW w:w="3534" w:type="pct"/>
            <w:vAlign w:val="center"/>
          </w:tcPr>
          <w:p w:rsidR="00CE2C77" w:rsidRPr="00054B27" w:rsidRDefault="00CE2C77" w:rsidP="00AD362F">
            <w:pPr>
              <w:rPr>
                <w:rFonts w:ascii="Arial Narrow" w:hAnsi="Arial Narrow" w:cs="Arial"/>
                <w:snapToGrid w:val="0"/>
                <w:sz w:val="20"/>
                <w:szCs w:val="20"/>
              </w:rPr>
            </w:pPr>
            <w:r w:rsidRPr="00054B27">
              <w:rPr>
                <w:rFonts w:ascii="Arial Narrow" w:hAnsi="Arial Narrow" w:cs="OneGulliverA"/>
                <w:snapToGrid w:val="0"/>
                <w:sz w:val="20"/>
                <w:szCs w:val="20"/>
              </w:rPr>
              <w:t xml:space="preserve">Additive effect of pneumococcal vaccine and influenza vaccine on acute exacerbation in patients with chronic lung disease. </w:t>
            </w:r>
          </w:p>
        </w:tc>
        <w:tc>
          <w:tcPr>
            <w:tcW w:w="848" w:type="pct"/>
          </w:tcPr>
          <w:p w:rsidR="00CE2C77" w:rsidRPr="00054B27" w:rsidRDefault="00CE2C77" w:rsidP="00AD362F">
            <w:pPr>
              <w:rPr>
                <w:rFonts w:ascii="Arial Narrow" w:hAnsi="Arial Narrow" w:cs="Arial"/>
                <w:snapToGrid w:val="0"/>
                <w:sz w:val="20"/>
                <w:szCs w:val="20"/>
              </w:rPr>
            </w:pPr>
            <w:r w:rsidRPr="00054B27">
              <w:rPr>
                <w:rFonts w:ascii="Arial Narrow" w:hAnsi="Arial Narrow" w:cs="OneGulliverA"/>
                <w:i/>
                <w:snapToGrid w:val="0"/>
                <w:sz w:val="20"/>
                <w:szCs w:val="20"/>
              </w:rPr>
              <w:t>Vaccine</w:t>
            </w:r>
            <w:r w:rsidRPr="00054B27">
              <w:rPr>
                <w:rFonts w:ascii="Arial Narrow" w:hAnsi="Arial Narrow" w:cs="OneGulliverA"/>
                <w:snapToGrid w:val="0"/>
                <w:sz w:val="20"/>
                <w:szCs w:val="20"/>
              </w:rPr>
              <w:t xml:space="preserve"> 2008; 26:4284–9</w:t>
            </w:r>
          </w:p>
        </w:tc>
      </w:tr>
      <w:tr w:rsidR="00CE2C77" w:rsidRPr="00720E31" w:rsidTr="000F763D">
        <w:trPr>
          <w:cantSplit/>
        </w:trPr>
        <w:tc>
          <w:tcPr>
            <w:tcW w:w="618" w:type="pct"/>
            <w:vAlign w:val="center"/>
          </w:tcPr>
          <w:p w:rsidR="00CE2C77" w:rsidRPr="00054B27" w:rsidRDefault="00CE2C77" w:rsidP="00AD362F">
            <w:pPr>
              <w:rPr>
                <w:rFonts w:ascii="Arial Narrow" w:hAnsi="Arial Narrow" w:cs="Arial"/>
                <w:snapToGrid w:val="0"/>
                <w:sz w:val="20"/>
                <w:szCs w:val="20"/>
              </w:rPr>
            </w:pPr>
            <w:r w:rsidRPr="00054B27">
              <w:rPr>
                <w:rFonts w:ascii="Arial Narrow" w:hAnsi="Arial Narrow" w:cs="Arial"/>
                <w:snapToGrid w:val="0"/>
                <w:sz w:val="20"/>
                <w:szCs w:val="20"/>
              </w:rPr>
              <w:t xml:space="preserve">Kawakami </w:t>
            </w:r>
          </w:p>
        </w:tc>
        <w:tc>
          <w:tcPr>
            <w:tcW w:w="3534" w:type="pct"/>
            <w:vAlign w:val="center"/>
          </w:tcPr>
          <w:p w:rsidR="00CE2C77" w:rsidRPr="00054B27" w:rsidRDefault="00CE2C77" w:rsidP="00AD362F">
            <w:pPr>
              <w:rPr>
                <w:rFonts w:ascii="Arial Narrow" w:hAnsi="Arial Narrow" w:cs="Arial"/>
                <w:snapToGrid w:val="0"/>
                <w:sz w:val="20"/>
                <w:szCs w:val="20"/>
              </w:rPr>
            </w:pPr>
            <w:r w:rsidRPr="00054B27">
              <w:rPr>
                <w:rFonts w:ascii="Arial Narrow" w:hAnsi="Arial Narrow" w:cs="GulliverRM"/>
                <w:snapToGrid w:val="0"/>
                <w:sz w:val="20"/>
                <w:szCs w:val="20"/>
              </w:rPr>
              <w:t xml:space="preserve">Effectiveness of pneumococcal polysaccharide vaccine against pneumonia and cost analysis for the elderly who receive seasonal influenza vaccine in Japan. </w:t>
            </w:r>
          </w:p>
        </w:tc>
        <w:tc>
          <w:tcPr>
            <w:tcW w:w="848" w:type="pct"/>
          </w:tcPr>
          <w:p w:rsidR="00CE2C77" w:rsidRPr="00054B27" w:rsidRDefault="00CE2C77" w:rsidP="00AD362F">
            <w:pPr>
              <w:rPr>
                <w:rFonts w:ascii="Arial Narrow" w:hAnsi="Arial Narrow" w:cs="Arial"/>
                <w:snapToGrid w:val="0"/>
                <w:sz w:val="20"/>
                <w:szCs w:val="20"/>
              </w:rPr>
            </w:pPr>
            <w:r w:rsidRPr="00054B27">
              <w:rPr>
                <w:rFonts w:ascii="Arial Narrow" w:hAnsi="Arial Narrow" w:cs="GulliverIT"/>
                <w:i/>
                <w:snapToGrid w:val="0"/>
                <w:sz w:val="20"/>
                <w:szCs w:val="20"/>
              </w:rPr>
              <w:t>Vaccine</w:t>
            </w:r>
            <w:r w:rsidRPr="00054B27">
              <w:rPr>
                <w:rFonts w:ascii="Arial Narrow" w:hAnsi="Arial Narrow" w:cs="GulliverIT"/>
                <w:snapToGrid w:val="0"/>
                <w:sz w:val="20"/>
                <w:szCs w:val="20"/>
              </w:rPr>
              <w:t xml:space="preserve"> 2010; </w:t>
            </w:r>
            <w:r w:rsidRPr="00054B27">
              <w:rPr>
                <w:rFonts w:ascii="Arial Narrow" w:hAnsi="Arial Narrow" w:cs="OneGulliver-ItalicA"/>
                <w:iCs/>
                <w:snapToGrid w:val="0"/>
                <w:sz w:val="20"/>
                <w:szCs w:val="20"/>
              </w:rPr>
              <w:t>28:7063–9</w:t>
            </w:r>
          </w:p>
        </w:tc>
      </w:tr>
      <w:tr w:rsidR="00CE2C77" w:rsidRPr="00720E31" w:rsidTr="000F763D">
        <w:trPr>
          <w:cantSplit/>
        </w:trPr>
        <w:tc>
          <w:tcPr>
            <w:tcW w:w="618" w:type="pct"/>
            <w:vAlign w:val="center"/>
          </w:tcPr>
          <w:p w:rsidR="00CE2C77" w:rsidRPr="00054B27" w:rsidRDefault="00CE2C77" w:rsidP="00AD362F">
            <w:pPr>
              <w:rPr>
                <w:rFonts w:ascii="Arial Narrow" w:hAnsi="Arial Narrow" w:cs="Arial"/>
                <w:snapToGrid w:val="0"/>
                <w:sz w:val="20"/>
                <w:szCs w:val="20"/>
              </w:rPr>
            </w:pPr>
            <w:r w:rsidRPr="00054B27">
              <w:rPr>
                <w:rFonts w:ascii="Arial Narrow" w:hAnsi="Arial Narrow" w:cs="Arial"/>
                <w:snapToGrid w:val="0"/>
                <w:sz w:val="20"/>
                <w:szCs w:val="20"/>
              </w:rPr>
              <w:t xml:space="preserve">Maruyama </w:t>
            </w:r>
          </w:p>
        </w:tc>
        <w:tc>
          <w:tcPr>
            <w:tcW w:w="3534" w:type="pct"/>
            <w:vAlign w:val="center"/>
          </w:tcPr>
          <w:p w:rsidR="00CE2C77" w:rsidRPr="00054B27" w:rsidRDefault="00371193" w:rsidP="00AD362F">
            <w:pPr>
              <w:rPr>
                <w:rFonts w:ascii="Arial Narrow" w:hAnsi="Arial Narrow" w:cs="Arial"/>
                <w:snapToGrid w:val="0"/>
                <w:sz w:val="20"/>
                <w:szCs w:val="20"/>
              </w:rPr>
            </w:pPr>
            <w:r w:rsidRPr="00054B27">
              <w:rPr>
                <w:rFonts w:ascii="Arial Narrow" w:hAnsi="Arial Narrow" w:cs="Arial"/>
                <w:snapToGrid w:val="0"/>
                <w:sz w:val="20"/>
                <w:szCs w:val="20"/>
              </w:rPr>
              <w:t>E</w:t>
            </w:r>
            <w:r w:rsidR="00CE2C77" w:rsidRPr="00054B27">
              <w:rPr>
                <w:rFonts w:ascii="Arial Narrow" w:hAnsi="Arial Narrow" w:cs="Arial"/>
                <w:snapToGrid w:val="0"/>
                <w:sz w:val="20"/>
                <w:szCs w:val="20"/>
              </w:rPr>
              <w:t>fficacy of 23</w:t>
            </w:r>
            <w:r w:rsidR="00CE2C77" w:rsidRPr="00054B27">
              <w:rPr>
                <w:rFonts w:ascii="Arial Narrow" w:hAnsi="Arial Narrow" w:cs="Arial"/>
                <w:snapToGrid w:val="0"/>
                <w:sz w:val="20"/>
                <w:szCs w:val="20"/>
              </w:rPr>
              <w:noBreakHyphen/>
              <w:t xml:space="preserve">valent pneumococcal conjugate vaccine in preventing pneumonia and improving survival in nursing home residents: double blind, randomised and placebo controlled trial. </w:t>
            </w:r>
          </w:p>
        </w:tc>
        <w:tc>
          <w:tcPr>
            <w:tcW w:w="848" w:type="pct"/>
          </w:tcPr>
          <w:p w:rsidR="00CE2C77" w:rsidRPr="00054B27" w:rsidRDefault="00CE2C77" w:rsidP="00AD362F">
            <w:pPr>
              <w:rPr>
                <w:rFonts w:ascii="Arial Narrow" w:hAnsi="Arial Narrow" w:cs="Arial"/>
                <w:snapToGrid w:val="0"/>
                <w:sz w:val="20"/>
                <w:szCs w:val="20"/>
              </w:rPr>
            </w:pPr>
            <w:r w:rsidRPr="00054B27">
              <w:rPr>
                <w:rFonts w:ascii="Arial Narrow" w:hAnsi="Arial Narrow" w:cs="Arial"/>
                <w:i/>
                <w:snapToGrid w:val="0"/>
                <w:sz w:val="20"/>
                <w:szCs w:val="20"/>
              </w:rPr>
              <w:t>BMJ</w:t>
            </w:r>
            <w:r w:rsidRPr="00054B27">
              <w:rPr>
                <w:rFonts w:ascii="Arial Narrow" w:hAnsi="Arial Narrow" w:cs="Arial"/>
                <w:snapToGrid w:val="0"/>
                <w:sz w:val="20"/>
                <w:szCs w:val="20"/>
              </w:rPr>
              <w:t xml:space="preserve"> 2010; 340:C1004</w:t>
            </w:r>
          </w:p>
        </w:tc>
      </w:tr>
      <w:tr w:rsidR="00CE2C77" w:rsidRPr="00720E31" w:rsidTr="000F763D">
        <w:trPr>
          <w:cantSplit/>
        </w:trPr>
        <w:tc>
          <w:tcPr>
            <w:tcW w:w="618" w:type="pct"/>
            <w:vAlign w:val="center"/>
          </w:tcPr>
          <w:p w:rsidR="00CE2C77" w:rsidRPr="00054B27" w:rsidRDefault="00CE2C77" w:rsidP="00AD362F">
            <w:pPr>
              <w:rPr>
                <w:rFonts w:ascii="Arial Narrow" w:hAnsi="Arial Narrow" w:cs="Arial"/>
                <w:snapToGrid w:val="0"/>
                <w:sz w:val="20"/>
                <w:szCs w:val="20"/>
              </w:rPr>
            </w:pPr>
            <w:r w:rsidRPr="00054B27">
              <w:rPr>
                <w:rFonts w:ascii="Arial Narrow" w:hAnsi="Arial Narrow" w:cs="Arial"/>
                <w:snapToGrid w:val="0"/>
                <w:sz w:val="20"/>
                <w:szCs w:val="20"/>
              </w:rPr>
              <w:t xml:space="preserve">Örtqvist </w:t>
            </w:r>
          </w:p>
        </w:tc>
        <w:tc>
          <w:tcPr>
            <w:tcW w:w="3534" w:type="pct"/>
            <w:vAlign w:val="center"/>
          </w:tcPr>
          <w:p w:rsidR="00CE2C77" w:rsidRPr="00054B27" w:rsidRDefault="00CE2C77" w:rsidP="00AD362F">
            <w:pPr>
              <w:rPr>
                <w:rFonts w:ascii="Arial Narrow" w:hAnsi="Arial Narrow" w:cs="Arial"/>
                <w:b/>
                <w:snapToGrid w:val="0"/>
                <w:sz w:val="20"/>
                <w:szCs w:val="20"/>
              </w:rPr>
            </w:pPr>
            <w:r w:rsidRPr="00054B27">
              <w:rPr>
                <w:rFonts w:ascii="Arial Narrow" w:hAnsi="Arial Narrow" w:cs="Arial"/>
                <w:snapToGrid w:val="0"/>
                <w:sz w:val="20"/>
                <w:szCs w:val="20"/>
              </w:rPr>
              <w:t>Randomised trial of 23</w:t>
            </w:r>
            <w:r w:rsidRPr="00054B27">
              <w:rPr>
                <w:rFonts w:ascii="Arial Narrow" w:hAnsi="Arial Narrow" w:cs="Arial"/>
                <w:snapToGrid w:val="0"/>
                <w:sz w:val="20"/>
                <w:szCs w:val="20"/>
              </w:rPr>
              <w:noBreakHyphen/>
              <w:t>valent pneumococcal capsular polysaccharide vaccine in prevention of pneumonia in middle</w:t>
            </w:r>
            <w:r w:rsidRPr="00054B27">
              <w:rPr>
                <w:rFonts w:ascii="Arial Narrow" w:hAnsi="Arial Narrow" w:cs="Arial"/>
                <w:snapToGrid w:val="0"/>
                <w:sz w:val="20"/>
                <w:szCs w:val="20"/>
              </w:rPr>
              <w:noBreakHyphen/>
              <w:t xml:space="preserve">aged and elderly people. Swedish Pneumococcal Vaccination Study Group. </w:t>
            </w:r>
          </w:p>
        </w:tc>
        <w:tc>
          <w:tcPr>
            <w:tcW w:w="848" w:type="pct"/>
          </w:tcPr>
          <w:p w:rsidR="00CE2C77" w:rsidRPr="00054B27" w:rsidRDefault="00CE2C77" w:rsidP="00AD362F">
            <w:pPr>
              <w:rPr>
                <w:rFonts w:ascii="Arial Narrow" w:hAnsi="Arial Narrow" w:cs="Arial"/>
                <w:b/>
                <w:snapToGrid w:val="0"/>
                <w:sz w:val="20"/>
                <w:szCs w:val="20"/>
              </w:rPr>
            </w:pPr>
            <w:r w:rsidRPr="00054B27">
              <w:rPr>
                <w:rFonts w:ascii="Arial Narrow" w:hAnsi="Arial Narrow" w:cs="Arial"/>
                <w:i/>
                <w:snapToGrid w:val="0"/>
                <w:sz w:val="20"/>
                <w:szCs w:val="20"/>
              </w:rPr>
              <w:t>Lancet</w:t>
            </w:r>
            <w:r w:rsidRPr="00054B27">
              <w:rPr>
                <w:rFonts w:ascii="Arial Narrow" w:hAnsi="Arial Narrow" w:cs="Arial"/>
                <w:snapToGrid w:val="0"/>
                <w:sz w:val="20"/>
                <w:szCs w:val="20"/>
              </w:rPr>
              <w:t xml:space="preserve"> 1998; 351:399–403</w:t>
            </w:r>
          </w:p>
        </w:tc>
      </w:tr>
      <w:tr w:rsidR="00CE2C77" w:rsidRPr="00720E31" w:rsidTr="000F763D">
        <w:trPr>
          <w:cantSplit/>
        </w:trPr>
        <w:tc>
          <w:tcPr>
            <w:tcW w:w="618" w:type="pct"/>
            <w:vAlign w:val="center"/>
          </w:tcPr>
          <w:p w:rsidR="00CE2C77" w:rsidRPr="00054B27" w:rsidRDefault="00CE2C77" w:rsidP="00AD362F">
            <w:pPr>
              <w:rPr>
                <w:rFonts w:ascii="Arial Narrow" w:hAnsi="Arial Narrow" w:cs="Arial"/>
                <w:snapToGrid w:val="0"/>
                <w:sz w:val="20"/>
                <w:szCs w:val="20"/>
              </w:rPr>
            </w:pPr>
            <w:r w:rsidRPr="00054B27">
              <w:rPr>
                <w:rFonts w:ascii="Arial Narrow" w:hAnsi="Arial Narrow" w:cs="Arial"/>
                <w:snapToGrid w:val="0"/>
                <w:sz w:val="20"/>
                <w:szCs w:val="20"/>
              </w:rPr>
              <w:t xml:space="preserve">Teramoto </w:t>
            </w:r>
          </w:p>
        </w:tc>
        <w:tc>
          <w:tcPr>
            <w:tcW w:w="3534" w:type="pct"/>
            <w:vAlign w:val="center"/>
          </w:tcPr>
          <w:p w:rsidR="00CE2C77" w:rsidRPr="00054B27" w:rsidRDefault="00CE2C77" w:rsidP="00AD362F">
            <w:pPr>
              <w:rPr>
                <w:rFonts w:ascii="Arial Narrow" w:hAnsi="Arial Narrow" w:cs="Arial"/>
                <w:b/>
                <w:snapToGrid w:val="0"/>
                <w:sz w:val="20"/>
                <w:szCs w:val="20"/>
              </w:rPr>
            </w:pPr>
            <w:r w:rsidRPr="00054B27">
              <w:rPr>
                <w:rFonts w:ascii="Arial Narrow" w:hAnsi="Arial Narrow" w:cs="Arial"/>
                <w:snapToGrid w:val="0"/>
                <w:sz w:val="20"/>
                <w:szCs w:val="20"/>
              </w:rPr>
              <w:t>Clinical efficacy of anti</w:t>
            </w:r>
            <w:r w:rsidRPr="00054B27">
              <w:rPr>
                <w:rFonts w:ascii="Arial Narrow" w:hAnsi="Arial Narrow" w:cs="Arial"/>
                <w:snapToGrid w:val="0"/>
                <w:sz w:val="20"/>
                <w:szCs w:val="20"/>
              </w:rPr>
              <w:noBreakHyphen/>
              <w:t>pneumococcal vaccination in elderly patients with COPD (Abstract only)</w:t>
            </w:r>
          </w:p>
        </w:tc>
        <w:tc>
          <w:tcPr>
            <w:tcW w:w="848" w:type="pct"/>
          </w:tcPr>
          <w:p w:rsidR="00CE2C77" w:rsidRPr="00054B27" w:rsidRDefault="00CE2C77" w:rsidP="00AD362F">
            <w:pPr>
              <w:rPr>
                <w:rFonts w:ascii="Arial Narrow" w:hAnsi="Arial Narrow" w:cs="Arial"/>
                <w:b/>
                <w:snapToGrid w:val="0"/>
                <w:sz w:val="20"/>
                <w:szCs w:val="20"/>
              </w:rPr>
            </w:pPr>
            <w:r w:rsidRPr="00054B27">
              <w:rPr>
                <w:rFonts w:ascii="Arial Narrow" w:hAnsi="Arial Narrow" w:cs="Arial"/>
                <w:snapToGrid w:val="0"/>
                <w:sz w:val="20"/>
                <w:szCs w:val="20"/>
              </w:rPr>
              <w:t>American Thoracic Society International Conference. San Francisco, CA, USA, 18–23 May 2007</w:t>
            </w:r>
          </w:p>
        </w:tc>
      </w:tr>
      <w:tr w:rsidR="00CE2C77" w:rsidRPr="00720E31" w:rsidTr="000F763D">
        <w:trPr>
          <w:cantSplit/>
        </w:trPr>
        <w:tc>
          <w:tcPr>
            <w:tcW w:w="5000" w:type="pct"/>
            <w:gridSpan w:val="3"/>
          </w:tcPr>
          <w:p w:rsidR="00CE2C77" w:rsidRPr="00054B27" w:rsidRDefault="00CE2C77" w:rsidP="00AD362F">
            <w:pPr>
              <w:rPr>
                <w:rFonts w:ascii="Arial Narrow" w:hAnsi="Arial Narrow" w:cs="Arial"/>
                <w:b/>
                <w:snapToGrid w:val="0"/>
                <w:sz w:val="20"/>
                <w:szCs w:val="20"/>
              </w:rPr>
            </w:pPr>
            <w:r w:rsidRPr="00054B27">
              <w:rPr>
                <w:rFonts w:ascii="Arial Narrow" w:hAnsi="Arial Narrow" w:cs="Arial"/>
                <w:b/>
                <w:snapToGrid w:val="0"/>
                <w:sz w:val="20"/>
                <w:szCs w:val="20"/>
              </w:rPr>
              <w:t>Comparator vaccine: 23vPPV non-randomised studies</w:t>
            </w:r>
          </w:p>
        </w:tc>
      </w:tr>
      <w:tr w:rsidR="00CE2C77" w:rsidRPr="00720E31" w:rsidTr="000F763D">
        <w:trPr>
          <w:cantSplit/>
        </w:trPr>
        <w:tc>
          <w:tcPr>
            <w:tcW w:w="618" w:type="pct"/>
            <w:vAlign w:val="center"/>
          </w:tcPr>
          <w:p w:rsidR="00CE2C77" w:rsidRPr="00054B27" w:rsidRDefault="00CE2C77" w:rsidP="00AD362F">
            <w:pPr>
              <w:rPr>
                <w:rFonts w:ascii="Arial Narrow" w:hAnsi="Arial Narrow" w:cs="Arial"/>
                <w:snapToGrid w:val="0"/>
                <w:sz w:val="20"/>
                <w:szCs w:val="20"/>
              </w:rPr>
            </w:pPr>
            <w:r w:rsidRPr="00054B27">
              <w:rPr>
                <w:rFonts w:ascii="Arial Narrow" w:hAnsi="Arial Narrow" w:cs="Arial"/>
                <w:snapToGrid w:val="0"/>
                <w:sz w:val="20"/>
                <w:szCs w:val="20"/>
              </w:rPr>
              <w:t xml:space="preserve">Andrews </w:t>
            </w:r>
          </w:p>
        </w:tc>
        <w:tc>
          <w:tcPr>
            <w:tcW w:w="3534" w:type="pct"/>
            <w:vAlign w:val="center"/>
          </w:tcPr>
          <w:p w:rsidR="00CE2C77" w:rsidRPr="00054B27" w:rsidRDefault="00CE2C77" w:rsidP="00AD362F">
            <w:pPr>
              <w:rPr>
                <w:rFonts w:ascii="Arial Narrow" w:hAnsi="Arial Narrow" w:cs="Arial"/>
                <w:b/>
                <w:snapToGrid w:val="0"/>
                <w:sz w:val="20"/>
                <w:szCs w:val="20"/>
              </w:rPr>
            </w:pPr>
            <w:r w:rsidRPr="00054B27">
              <w:rPr>
                <w:rFonts w:ascii="Arial Narrow" w:hAnsi="Arial Narrow" w:cs="Arial"/>
                <w:snapToGrid w:val="0"/>
                <w:sz w:val="20"/>
                <w:szCs w:val="20"/>
              </w:rPr>
              <w:t xml:space="preserve">Effectiveness of a publicly funded pneumococcal vaccination program against invasive pneumococcal disease among the elderly in Victoria, Australia. </w:t>
            </w:r>
          </w:p>
        </w:tc>
        <w:tc>
          <w:tcPr>
            <w:tcW w:w="848" w:type="pct"/>
          </w:tcPr>
          <w:p w:rsidR="00CE2C77" w:rsidRPr="00054B27" w:rsidRDefault="00CE2C77" w:rsidP="00AD362F">
            <w:pPr>
              <w:rPr>
                <w:rFonts w:ascii="Arial Narrow" w:hAnsi="Arial Narrow" w:cs="Arial"/>
                <w:b/>
                <w:snapToGrid w:val="0"/>
                <w:sz w:val="20"/>
                <w:szCs w:val="20"/>
              </w:rPr>
            </w:pPr>
            <w:r w:rsidRPr="00054B27">
              <w:rPr>
                <w:rFonts w:ascii="Arial Narrow" w:hAnsi="Arial Narrow" w:cs="Arial"/>
                <w:i/>
                <w:snapToGrid w:val="0"/>
                <w:sz w:val="20"/>
                <w:szCs w:val="20"/>
              </w:rPr>
              <w:t>Vaccine</w:t>
            </w:r>
            <w:r w:rsidRPr="00054B27">
              <w:rPr>
                <w:rFonts w:ascii="Arial Narrow" w:hAnsi="Arial Narrow" w:cs="Arial"/>
                <w:snapToGrid w:val="0"/>
                <w:sz w:val="20"/>
                <w:szCs w:val="20"/>
              </w:rPr>
              <w:t xml:space="preserve"> 2004; 23:132–8</w:t>
            </w:r>
          </w:p>
        </w:tc>
      </w:tr>
      <w:tr w:rsidR="00CE2C77" w:rsidRPr="00720E31" w:rsidTr="000F763D">
        <w:trPr>
          <w:cantSplit/>
        </w:trPr>
        <w:tc>
          <w:tcPr>
            <w:tcW w:w="618" w:type="pct"/>
            <w:shd w:val="clear" w:color="auto" w:fill="FFFFFF" w:themeFill="background1"/>
            <w:vAlign w:val="center"/>
          </w:tcPr>
          <w:p w:rsidR="00CE2C77" w:rsidRPr="00054B27" w:rsidRDefault="00CE2C77" w:rsidP="00AD362F">
            <w:pPr>
              <w:rPr>
                <w:rFonts w:ascii="Arial Narrow" w:hAnsi="Arial Narrow" w:cs="Arial"/>
                <w:snapToGrid w:val="0"/>
                <w:sz w:val="20"/>
                <w:szCs w:val="20"/>
              </w:rPr>
            </w:pPr>
            <w:r w:rsidRPr="00054B27">
              <w:rPr>
                <w:rFonts w:ascii="Arial Narrow" w:hAnsi="Arial Narrow" w:cs="Arial"/>
                <w:snapToGrid w:val="0"/>
                <w:sz w:val="20"/>
                <w:szCs w:val="20"/>
              </w:rPr>
              <w:t xml:space="preserve">Andrews </w:t>
            </w:r>
          </w:p>
        </w:tc>
        <w:tc>
          <w:tcPr>
            <w:tcW w:w="3534" w:type="pct"/>
            <w:shd w:val="clear" w:color="auto" w:fill="FFFFFF" w:themeFill="background1"/>
            <w:vAlign w:val="center"/>
          </w:tcPr>
          <w:p w:rsidR="00CE2C77" w:rsidRPr="00054B27" w:rsidRDefault="00CE2C77" w:rsidP="00AD362F">
            <w:pPr>
              <w:rPr>
                <w:rFonts w:ascii="Arial Narrow" w:hAnsi="Arial Narrow" w:cs="Arial"/>
                <w:snapToGrid w:val="0"/>
                <w:sz w:val="20"/>
                <w:szCs w:val="20"/>
              </w:rPr>
            </w:pPr>
            <w:r w:rsidRPr="00054B27">
              <w:rPr>
                <w:rFonts w:ascii="Arial Narrow" w:hAnsi="Arial Narrow" w:cs="Arial"/>
                <w:snapToGrid w:val="0"/>
                <w:sz w:val="20"/>
                <w:szCs w:val="20"/>
              </w:rPr>
              <w:t>Impact and effectiveness of 23</w:t>
            </w:r>
            <w:r w:rsidRPr="00054B27">
              <w:rPr>
                <w:rFonts w:ascii="Arial Narrow" w:hAnsi="Arial Narrow" w:cs="Arial"/>
                <w:snapToGrid w:val="0"/>
                <w:sz w:val="20"/>
                <w:szCs w:val="20"/>
              </w:rPr>
              <w:noBreakHyphen/>
              <w:t xml:space="preserve">valent pneumococcal polysaccharide vaccine against invasive pneumococcal disease in the elderly in England and Wales. </w:t>
            </w:r>
          </w:p>
        </w:tc>
        <w:tc>
          <w:tcPr>
            <w:tcW w:w="848" w:type="pct"/>
            <w:shd w:val="clear" w:color="auto" w:fill="FFFFFF" w:themeFill="background1"/>
          </w:tcPr>
          <w:p w:rsidR="00CE2C77" w:rsidRPr="00054B27" w:rsidRDefault="00CE2C77" w:rsidP="00AD362F">
            <w:pPr>
              <w:rPr>
                <w:rFonts w:ascii="Arial Narrow" w:hAnsi="Arial Narrow" w:cs="Arial"/>
                <w:i/>
                <w:snapToGrid w:val="0"/>
                <w:sz w:val="20"/>
                <w:szCs w:val="20"/>
              </w:rPr>
            </w:pPr>
            <w:r w:rsidRPr="00054B27">
              <w:rPr>
                <w:rFonts w:ascii="Arial Narrow" w:hAnsi="Arial Narrow" w:cs="Arial"/>
                <w:i/>
                <w:snapToGrid w:val="0"/>
                <w:sz w:val="20"/>
                <w:szCs w:val="20"/>
              </w:rPr>
              <w:t>Vaccine</w:t>
            </w:r>
            <w:r w:rsidRPr="00054B27">
              <w:rPr>
                <w:rFonts w:ascii="Arial Narrow" w:hAnsi="Arial Narrow" w:cs="Arial"/>
                <w:snapToGrid w:val="0"/>
                <w:sz w:val="20"/>
                <w:szCs w:val="20"/>
              </w:rPr>
              <w:t xml:space="preserve"> 2012; 30:6802</w:t>
            </w:r>
            <w:r w:rsidRPr="00054B27">
              <w:rPr>
                <w:rFonts w:ascii="Arial Narrow" w:hAnsi="Arial Narrow" w:cs="Arial"/>
                <w:snapToGrid w:val="0"/>
                <w:sz w:val="20"/>
                <w:szCs w:val="20"/>
              </w:rPr>
              <w:noBreakHyphen/>
              <w:t>8</w:t>
            </w:r>
          </w:p>
        </w:tc>
      </w:tr>
      <w:tr w:rsidR="00CE2C77" w:rsidRPr="00720E31" w:rsidTr="000F763D">
        <w:trPr>
          <w:cantSplit/>
        </w:trPr>
        <w:tc>
          <w:tcPr>
            <w:tcW w:w="618" w:type="pct"/>
            <w:shd w:val="clear" w:color="auto" w:fill="FFFFFF" w:themeFill="background1"/>
            <w:vAlign w:val="center"/>
          </w:tcPr>
          <w:p w:rsidR="00CE2C77" w:rsidRPr="00054B27" w:rsidRDefault="00CE2C77" w:rsidP="00AD362F">
            <w:pPr>
              <w:rPr>
                <w:rFonts w:ascii="Arial Narrow" w:hAnsi="Arial Narrow" w:cs="Arial"/>
                <w:snapToGrid w:val="0"/>
                <w:sz w:val="20"/>
                <w:szCs w:val="20"/>
              </w:rPr>
            </w:pPr>
            <w:r w:rsidRPr="00054B27">
              <w:rPr>
                <w:rFonts w:ascii="Arial Narrow" w:hAnsi="Arial Narrow" w:cs="Arial"/>
                <w:snapToGrid w:val="0"/>
                <w:sz w:val="20"/>
                <w:szCs w:val="20"/>
              </w:rPr>
              <w:t xml:space="preserve">Christenson </w:t>
            </w:r>
          </w:p>
        </w:tc>
        <w:tc>
          <w:tcPr>
            <w:tcW w:w="3534" w:type="pct"/>
            <w:shd w:val="clear" w:color="auto" w:fill="FFFFFF" w:themeFill="background1"/>
          </w:tcPr>
          <w:p w:rsidR="00CE2C77" w:rsidRPr="00054B27" w:rsidRDefault="00CE2C77" w:rsidP="00AD362F">
            <w:pPr>
              <w:rPr>
                <w:rFonts w:ascii="Arial Narrow" w:hAnsi="Arial Narrow" w:cs="Arial"/>
                <w:snapToGrid w:val="0"/>
                <w:sz w:val="20"/>
                <w:szCs w:val="20"/>
              </w:rPr>
            </w:pPr>
            <w:r w:rsidRPr="00054B27">
              <w:rPr>
                <w:rFonts w:ascii="Arial Narrow" w:hAnsi="Arial Narrow" w:cs="Arial"/>
                <w:snapToGrid w:val="0"/>
                <w:sz w:val="20"/>
                <w:szCs w:val="20"/>
              </w:rPr>
              <w:t>Effects of a large</w:t>
            </w:r>
            <w:r w:rsidRPr="00054B27">
              <w:rPr>
                <w:rFonts w:ascii="Arial Narrow" w:hAnsi="Arial Narrow" w:cs="Arial"/>
                <w:snapToGrid w:val="0"/>
                <w:sz w:val="20"/>
                <w:szCs w:val="20"/>
              </w:rPr>
              <w:noBreakHyphen/>
              <w:t>scale intervention with influenza and 23</w:t>
            </w:r>
            <w:r w:rsidRPr="00054B27">
              <w:rPr>
                <w:rFonts w:ascii="Arial Narrow" w:hAnsi="Arial Narrow" w:cs="Arial"/>
                <w:snapToGrid w:val="0"/>
                <w:sz w:val="20"/>
                <w:szCs w:val="20"/>
              </w:rPr>
              <w:noBreakHyphen/>
              <w:t xml:space="preserve">valent pneumococcal vaccines in adults aged 65 years or older: a prospective study. </w:t>
            </w:r>
          </w:p>
        </w:tc>
        <w:tc>
          <w:tcPr>
            <w:tcW w:w="848" w:type="pct"/>
            <w:shd w:val="clear" w:color="auto" w:fill="FFFFFF" w:themeFill="background1"/>
          </w:tcPr>
          <w:p w:rsidR="00CE2C77" w:rsidRPr="00054B27" w:rsidRDefault="00CE2C77" w:rsidP="00AD362F">
            <w:pPr>
              <w:rPr>
                <w:rFonts w:ascii="Arial Narrow" w:hAnsi="Arial Narrow" w:cs="Arial"/>
                <w:snapToGrid w:val="0"/>
                <w:sz w:val="20"/>
                <w:szCs w:val="20"/>
              </w:rPr>
            </w:pPr>
            <w:r w:rsidRPr="00054B27">
              <w:rPr>
                <w:rFonts w:ascii="Arial Narrow" w:hAnsi="Arial Narrow" w:cs="Arial"/>
                <w:i/>
                <w:snapToGrid w:val="0"/>
                <w:sz w:val="20"/>
                <w:szCs w:val="20"/>
              </w:rPr>
              <w:t>Lancet</w:t>
            </w:r>
            <w:r w:rsidRPr="00054B27">
              <w:rPr>
                <w:rFonts w:ascii="Arial Narrow" w:hAnsi="Arial Narrow" w:cs="Arial"/>
                <w:snapToGrid w:val="0"/>
                <w:sz w:val="20"/>
                <w:szCs w:val="20"/>
              </w:rPr>
              <w:t xml:space="preserve"> 2001; 357:1008–11</w:t>
            </w:r>
          </w:p>
        </w:tc>
      </w:tr>
      <w:tr w:rsidR="00CE2C77" w:rsidRPr="00720E31" w:rsidTr="000F763D">
        <w:trPr>
          <w:cantSplit/>
        </w:trPr>
        <w:tc>
          <w:tcPr>
            <w:tcW w:w="618" w:type="pct"/>
            <w:shd w:val="clear" w:color="auto" w:fill="FFFFFF" w:themeFill="background1"/>
            <w:vAlign w:val="center"/>
          </w:tcPr>
          <w:p w:rsidR="00CE2C77" w:rsidRPr="00054B27" w:rsidRDefault="00CE2C77" w:rsidP="00AD362F">
            <w:pPr>
              <w:rPr>
                <w:rFonts w:ascii="Arial Narrow" w:hAnsi="Arial Narrow" w:cs="Arial"/>
                <w:snapToGrid w:val="0"/>
                <w:sz w:val="20"/>
                <w:szCs w:val="20"/>
              </w:rPr>
            </w:pPr>
            <w:r w:rsidRPr="00054B27">
              <w:rPr>
                <w:rFonts w:ascii="Arial Narrow" w:hAnsi="Arial Narrow" w:cs="Arial"/>
                <w:snapToGrid w:val="0"/>
                <w:sz w:val="20"/>
                <w:szCs w:val="20"/>
              </w:rPr>
              <w:t xml:space="preserve">Christenson </w:t>
            </w:r>
          </w:p>
        </w:tc>
        <w:tc>
          <w:tcPr>
            <w:tcW w:w="3534" w:type="pct"/>
            <w:shd w:val="clear" w:color="auto" w:fill="FFFFFF" w:themeFill="background1"/>
          </w:tcPr>
          <w:p w:rsidR="00CE2C77" w:rsidRPr="00054B27" w:rsidRDefault="00CE2C77" w:rsidP="00AD362F">
            <w:pPr>
              <w:rPr>
                <w:rFonts w:ascii="Arial Narrow" w:hAnsi="Arial Narrow" w:cs="Arial"/>
                <w:snapToGrid w:val="0"/>
                <w:sz w:val="20"/>
                <w:szCs w:val="20"/>
              </w:rPr>
            </w:pPr>
            <w:r w:rsidRPr="00054B27">
              <w:rPr>
                <w:rFonts w:ascii="Arial Narrow" w:eastAsiaTheme="minorHAnsi" w:hAnsi="Arial Narrow" w:cs="Arial"/>
                <w:snapToGrid w:val="0"/>
                <w:sz w:val="20"/>
                <w:szCs w:val="20"/>
              </w:rPr>
              <w:t xml:space="preserve">Additive preventive effect of influenza and pneumococcal vaccines in elderly persons. </w:t>
            </w:r>
          </w:p>
        </w:tc>
        <w:tc>
          <w:tcPr>
            <w:tcW w:w="848" w:type="pct"/>
            <w:shd w:val="clear" w:color="auto" w:fill="FFFFFF" w:themeFill="background1"/>
          </w:tcPr>
          <w:p w:rsidR="00CE2C77" w:rsidRPr="00054B27" w:rsidRDefault="00CE2C77" w:rsidP="00AD362F">
            <w:pPr>
              <w:rPr>
                <w:rFonts w:ascii="Arial Narrow" w:hAnsi="Arial Narrow" w:cs="Arial"/>
                <w:snapToGrid w:val="0"/>
                <w:sz w:val="20"/>
                <w:szCs w:val="20"/>
              </w:rPr>
            </w:pPr>
            <w:r w:rsidRPr="00054B27">
              <w:rPr>
                <w:rFonts w:ascii="Arial Narrow" w:eastAsiaTheme="minorHAnsi" w:hAnsi="Arial Narrow" w:cs="Arial"/>
                <w:i/>
                <w:snapToGrid w:val="0"/>
                <w:sz w:val="20"/>
                <w:szCs w:val="20"/>
              </w:rPr>
              <w:t>Eur Respir J</w:t>
            </w:r>
            <w:r w:rsidRPr="00054B27">
              <w:rPr>
                <w:rFonts w:ascii="Arial Narrow" w:eastAsiaTheme="minorHAnsi" w:hAnsi="Arial Narrow" w:cs="Arial"/>
                <w:snapToGrid w:val="0"/>
                <w:sz w:val="20"/>
                <w:szCs w:val="20"/>
              </w:rPr>
              <w:t xml:space="preserve"> 2004; 23:363–8</w:t>
            </w:r>
          </w:p>
        </w:tc>
      </w:tr>
      <w:tr w:rsidR="00CE2C77" w:rsidRPr="00720E31" w:rsidTr="000F763D">
        <w:trPr>
          <w:cantSplit/>
        </w:trPr>
        <w:tc>
          <w:tcPr>
            <w:tcW w:w="618" w:type="pct"/>
            <w:shd w:val="clear" w:color="auto" w:fill="FFFFFF" w:themeFill="background1"/>
            <w:vAlign w:val="center"/>
          </w:tcPr>
          <w:p w:rsidR="00CE2C77" w:rsidRPr="00054B27" w:rsidRDefault="00CE2C77" w:rsidP="00AD362F">
            <w:pPr>
              <w:rPr>
                <w:rFonts w:ascii="Arial Narrow" w:hAnsi="Arial Narrow" w:cs="Arial"/>
                <w:snapToGrid w:val="0"/>
                <w:sz w:val="20"/>
                <w:szCs w:val="20"/>
              </w:rPr>
            </w:pPr>
            <w:r w:rsidRPr="00054B27">
              <w:rPr>
                <w:rFonts w:ascii="Arial Narrow" w:hAnsi="Arial Narrow" w:cs="Arial"/>
                <w:snapToGrid w:val="0"/>
                <w:sz w:val="20"/>
                <w:szCs w:val="20"/>
              </w:rPr>
              <w:t xml:space="preserve">Christenson </w:t>
            </w:r>
          </w:p>
        </w:tc>
        <w:tc>
          <w:tcPr>
            <w:tcW w:w="3534" w:type="pct"/>
            <w:shd w:val="clear" w:color="auto" w:fill="FFFFFF" w:themeFill="background1"/>
          </w:tcPr>
          <w:p w:rsidR="00CE2C77" w:rsidRPr="00054B27" w:rsidRDefault="00CE2C77" w:rsidP="00AD362F">
            <w:pPr>
              <w:rPr>
                <w:rFonts w:ascii="Arial Narrow" w:hAnsi="Arial Narrow" w:cs="Arial"/>
                <w:snapToGrid w:val="0"/>
                <w:sz w:val="20"/>
                <w:szCs w:val="20"/>
              </w:rPr>
            </w:pPr>
            <w:r w:rsidRPr="00054B27">
              <w:rPr>
                <w:rFonts w:ascii="Arial Narrow" w:eastAsiaTheme="minorHAnsi" w:hAnsi="Arial Narrow" w:cs="Arial"/>
                <w:bCs/>
                <w:snapToGrid w:val="0"/>
                <w:sz w:val="20"/>
                <w:szCs w:val="20"/>
              </w:rPr>
              <w:t xml:space="preserve">Effect of influenza and pneumococcal vaccines in elderly persons in years of low influenza activity. </w:t>
            </w:r>
          </w:p>
        </w:tc>
        <w:tc>
          <w:tcPr>
            <w:tcW w:w="848" w:type="pct"/>
            <w:shd w:val="clear" w:color="auto" w:fill="FFFFFF" w:themeFill="background1"/>
          </w:tcPr>
          <w:p w:rsidR="00CE2C77" w:rsidRPr="00054B27" w:rsidRDefault="00CE2C77" w:rsidP="00AD362F">
            <w:pPr>
              <w:rPr>
                <w:rFonts w:ascii="Arial Narrow" w:hAnsi="Arial Narrow" w:cs="Arial"/>
                <w:snapToGrid w:val="0"/>
                <w:sz w:val="20"/>
                <w:szCs w:val="20"/>
              </w:rPr>
            </w:pPr>
            <w:r w:rsidRPr="00054B27">
              <w:rPr>
                <w:rFonts w:ascii="Arial Narrow" w:eastAsiaTheme="minorHAnsi" w:hAnsi="Arial Narrow" w:cs="Arial"/>
                <w:bCs/>
                <w:i/>
                <w:snapToGrid w:val="0"/>
                <w:sz w:val="20"/>
                <w:szCs w:val="20"/>
              </w:rPr>
              <w:t xml:space="preserve">Virol J </w:t>
            </w:r>
            <w:r w:rsidRPr="00054B27">
              <w:rPr>
                <w:rFonts w:ascii="Arial Narrow" w:eastAsiaTheme="minorHAnsi" w:hAnsi="Arial Narrow" w:cs="Arial"/>
                <w:bCs/>
                <w:snapToGrid w:val="0"/>
                <w:sz w:val="20"/>
                <w:szCs w:val="20"/>
              </w:rPr>
              <w:t>2008; 5:52</w:t>
            </w:r>
          </w:p>
        </w:tc>
      </w:tr>
      <w:tr w:rsidR="00CE2C77" w:rsidRPr="00720E31" w:rsidTr="000F763D">
        <w:trPr>
          <w:cantSplit/>
        </w:trPr>
        <w:tc>
          <w:tcPr>
            <w:tcW w:w="618" w:type="pct"/>
            <w:shd w:val="clear" w:color="auto" w:fill="FFFFFF" w:themeFill="background1"/>
            <w:vAlign w:val="center"/>
          </w:tcPr>
          <w:p w:rsidR="00CE2C77" w:rsidRPr="00054B27" w:rsidRDefault="00CE2C77" w:rsidP="00AD362F">
            <w:pPr>
              <w:rPr>
                <w:rFonts w:ascii="Arial Narrow" w:hAnsi="Arial Narrow" w:cs="Arial"/>
                <w:snapToGrid w:val="0"/>
                <w:sz w:val="20"/>
                <w:szCs w:val="20"/>
              </w:rPr>
            </w:pPr>
            <w:r w:rsidRPr="00054B27">
              <w:rPr>
                <w:rFonts w:ascii="Arial Narrow" w:hAnsi="Arial Narrow" w:cs="Arial"/>
                <w:snapToGrid w:val="0"/>
                <w:color w:val="000000"/>
                <w:sz w:val="20"/>
                <w:szCs w:val="20"/>
              </w:rPr>
              <w:t xml:space="preserve">Dominguez </w:t>
            </w:r>
          </w:p>
        </w:tc>
        <w:tc>
          <w:tcPr>
            <w:tcW w:w="3534" w:type="pct"/>
            <w:shd w:val="clear" w:color="auto" w:fill="FFFFFF" w:themeFill="background1"/>
          </w:tcPr>
          <w:p w:rsidR="00CE2C77" w:rsidRPr="00054B27" w:rsidRDefault="00CE2C77" w:rsidP="00AD362F">
            <w:pPr>
              <w:rPr>
                <w:rFonts w:ascii="Arial Narrow" w:hAnsi="Arial Narrow" w:cs="Arial"/>
                <w:snapToGrid w:val="0"/>
                <w:sz w:val="20"/>
                <w:szCs w:val="20"/>
              </w:rPr>
            </w:pPr>
            <w:r w:rsidRPr="00054B27">
              <w:rPr>
                <w:rFonts w:ascii="Arial Narrow" w:hAnsi="Arial Narrow" w:cs="Minion-Regular"/>
                <w:snapToGrid w:val="0"/>
                <w:sz w:val="20"/>
                <w:szCs w:val="20"/>
              </w:rPr>
              <w:t>Effectiveness of pneumococcal vaccination for elderly people in Catalonia, Spain: a case</w:t>
            </w:r>
            <w:r w:rsidRPr="00054B27">
              <w:rPr>
                <w:rFonts w:ascii="Arial Narrow" w:hAnsi="Arial Narrow" w:cs="Minion-Regular"/>
                <w:snapToGrid w:val="0"/>
                <w:sz w:val="20"/>
                <w:szCs w:val="20"/>
              </w:rPr>
              <w:noBreakHyphen/>
              <w:t xml:space="preserve">control study. </w:t>
            </w:r>
          </w:p>
        </w:tc>
        <w:tc>
          <w:tcPr>
            <w:tcW w:w="848" w:type="pct"/>
            <w:shd w:val="clear" w:color="auto" w:fill="FFFFFF" w:themeFill="background1"/>
          </w:tcPr>
          <w:p w:rsidR="00CE2C77" w:rsidRPr="00054B27" w:rsidRDefault="00CE2C77" w:rsidP="00AD362F">
            <w:pPr>
              <w:rPr>
                <w:rFonts w:ascii="Arial Narrow" w:hAnsi="Arial Narrow" w:cs="Arial"/>
                <w:i/>
                <w:snapToGrid w:val="0"/>
                <w:sz w:val="20"/>
                <w:szCs w:val="20"/>
              </w:rPr>
            </w:pPr>
            <w:r w:rsidRPr="00054B27">
              <w:rPr>
                <w:rFonts w:ascii="Arial Narrow" w:hAnsi="Arial Narrow" w:cs="Univers-CondensedBold"/>
                <w:bCs/>
                <w:i/>
                <w:snapToGrid w:val="0"/>
                <w:sz w:val="20"/>
                <w:szCs w:val="20"/>
              </w:rPr>
              <w:t>Clin Infect Dis</w:t>
            </w:r>
            <w:r w:rsidRPr="00054B27">
              <w:rPr>
                <w:rFonts w:ascii="Arial Narrow" w:hAnsi="Arial Narrow" w:cs="Univers-CondensedBold"/>
                <w:bCs/>
                <w:snapToGrid w:val="0"/>
                <w:sz w:val="20"/>
                <w:szCs w:val="20"/>
              </w:rPr>
              <w:t xml:space="preserve"> 2005; 40:1250–7</w:t>
            </w:r>
          </w:p>
        </w:tc>
      </w:tr>
      <w:tr w:rsidR="00CE2C77" w:rsidRPr="00720E31" w:rsidTr="000F763D">
        <w:trPr>
          <w:cantSplit/>
        </w:trPr>
        <w:tc>
          <w:tcPr>
            <w:tcW w:w="618" w:type="pct"/>
            <w:shd w:val="clear" w:color="auto" w:fill="FFFFFF" w:themeFill="background1"/>
            <w:vAlign w:val="center"/>
          </w:tcPr>
          <w:p w:rsidR="00CE2C77" w:rsidRPr="00054B27" w:rsidRDefault="00CE2C77" w:rsidP="00AD362F">
            <w:pPr>
              <w:rPr>
                <w:rFonts w:ascii="Arial Narrow" w:hAnsi="Arial Narrow" w:cs="Arial"/>
                <w:snapToGrid w:val="0"/>
                <w:sz w:val="20"/>
                <w:szCs w:val="20"/>
              </w:rPr>
            </w:pPr>
            <w:r w:rsidRPr="00054B27">
              <w:rPr>
                <w:rFonts w:ascii="Arial Narrow" w:hAnsi="Arial Narrow" w:cs="Arial"/>
                <w:snapToGrid w:val="0"/>
                <w:sz w:val="20"/>
                <w:szCs w:val="20"/>
              </w:rPr>
              <w:t xml:space="preserve">Hedlund </w:t>
            </w:r>
          </w:p>
        </w:tc>
        <w:tc>
          <w:tcPr>
            <w:tcW w:w="3534" w:type="pct"/>
            <w:shd w:val="clear" w:color="auto" w:fill="FFFFFF" w:themeFill="background1"/>
          </w:tcPr>
          <w:p w:rsidR="00CE2C77" w:rsidRPr="00054B27" w:rsidRDefault="00CE2C77" w:rsidP="00AD362F">
            <w:pPr>
              <w:rPr>
                <w:rFonts w:ascii="Arial Narrow" w:hAnsi="Arial Narrow" w:cs="Arial"/>
                <w:snapToGrid w:val="0"/>
                <w:sz w:val="20"/>
                <w:szCs w:val="20"/>
              </w:rPr>
            </w:pPr>
            <w:r w:rsidRPr="00054B27">
              <w:rPr>
                <w:rFonts w:ascii="Arial Narrow" w:hAnsi="Arial Narrow" w:cs="Arial"/>
                <w:snapToGrid w:val="0"/>
                <w:sz w:val="20"/>
                <w:szCs w:val="20"/>
              </w:rPr>
              <w:t>Effects of a large</w:t>
            </w:r>
            <w:r w:rsidRPr="00054B27">
              <w:rPr>
                <w:rFonts w:ascii="Arial Narrow" w:hAnsi="Arial Narrow" w:cs="Arial"/>
                <w:snapToGrid w:val="0"/>
                <w:sz w:val="20"/>
                <w:szCs w:val="20"/>
              </w:rPr>
              <w:noBreakHyphen/>
              <w:t>scale intervention with influenza and 23</w:t>
            </w:r>
            <w:r w:rsidRPr="00054B27">
              <w:rPr>
                <w:rFonts w:ascii="Arial Narrow" w:hAnsi="Arial Narrow" w:cs="Arial"/>
                <w:snapToGrid w:val="0"/>
                <w:sz w:val="20"/>
                <w:szCs w:val="20"/>
              </w:rPr>
              <w:noBreakHyphen/>
              <w:t>valent pneumococcal vaccines in elderly people: a 1</w:t>
            </w:r>
            <w:r w:rsidRPr="00054B27">
              <w:rPr>
                <w:rFonts w:ascii="Arial Narrow" w:hAnsi="Arial Narrow" w:cs="Arial"/>
                <w:snapToGrid w:val="0"/>
                <w:sz w:val="20"/>
                <w:szCs w:val="20"/>
              </w:rPr>
              <w:noBreakHyphen/>
              <w:t>year follow</w:t>
            </w:r>
            <w:r w:rsidRPr="00054B27">
              <w:rPr>
                <w:rFonts w:ascii="Arial Narrow" w:hAnsi="Arial Narrow" w:cs="Arial"/>
                <w:snapToGrid w:val="0"/>
                <w:sz w:val="20"/>
                <w:szCs w:val="20"/>
              </w:rPr>
              <w:noBreakHyphen/>
              <w:t xml:space="preserve">up. </w:t>
            </w:r>
          </w:p>
        </w:tc>
        <w:tc>
          <w:tcPr>
            <w:tcW w:w="848" w:type="pct"/>
            <w:shd w:val="clear" w:color="auto" w:fill="FFFFFF" w:themeFill="background1"/>
          </w:tcPr>
          <w:p w:rsidR="00CE2C77" w:rsidRPr="00054B27" w:rsidRDefault="00CE2C77" w:rsidP="00AD362F">
            <w:pPr>
              <w:rPr>
                <w:rFonts w:ascii="Arial Narrow" w:hAnsi="Arial Narrow" w:cs="Arial"/>
                <w:i/>
                <w:snapToGrid w:val="0"/>
                <w:sz w:val="20"/>
                <w:szCs w:val="20"/>
              </w:rPr>
            </w:pPr>
            <w:r w:rsidRPr="00054B27">
              <w:rPr>
                <w:rFonts w:ascii="Arial Narrow" w:hAnsi="Arial Narrow" w:cs="Arial"/>
                <w:i/>
                <w:snapToGrid w:val="0"/>
                <w:sz w:val="20"/>
                <w:szCs w:val="20"/>
              </w:rPr>
              <w:t>Vaccine</w:t>
            </w:r>
            <w:r w:rsidRPr="00054B27">
              <w:rPr>
                <w:rFonts w:ascii="Arial Narrow" w:hAnsi="Arial Narrow" w:cs="Arial"/>
                <w:snapToGrid w:val="0"/>
                <w:sz w:val="20"/>
                <w:szCs w:val="20"/>
              </w:rPr>
              <w:t xml:space="preserve"> 2003; 21:3906</w:t>
            </w:r>
            <w:r w:rsidRPr="00054B27">
              <w:rPr>
                <w:rFonts w:ascii="Arial Narrow" w:hAnsi="Arial Narrow" w:cs="Arial"/>
                <w:snapToGrid w:val="0"/>
                <w:sz w:val="20"/>
                <w:szCs w:val="20"/>
              </w:rPr>
              <w:noBreakHyphen/>
              <w:t>11</w:t>
            </w:r>
          </w:p>
        </w:tc>
      </w:tr>
      <w:tr w:rsidR="00CE2C77" w:rsidRPr="00720E31" w:rsidTr="000F763D">
        <w:trPr>
          <w:cantSplit/>
        </w:trPr>
        <w:tc>
          <w:tcPr>
            <w:tcW w:w="618" w:type="pct"/>
            <w:shd w:val="clear" w:color="auto" w:fill="FFFFFF" w:themeFill="background1"/>
            <w:vAlign w:val="center"/>
          </w:tcPr>
          <w:p w:rsidR="00CE2C77" w:rsidRPr="00054B27" w:rsidRDefault="00CE2C77" w:rsidP="00AD362F">
            <w:pPr>
              <w:rPr>
                <w:rFonts w:ascii="Arial Narrow" w:hAnsi="Arial Narrow" w:cs="Arial"/>
                <w:snapToGrid w:val="0"/>
                <w:sz w:val="20"/>
                <w:szCs w:val="20"/>
              </w:rPr>
            </w:pPr>
            <w:r w:rsidRPr="00054B27">
              <w:rPr>
                <w:rFonts w:ascii="Arial Narrow" w:hAnsi="Arial Narrow" w:cs="Arial"/>
                <w:snapToGrid w:val="0"/>
                <w:sz w:val="20"/>
                <w:szCs w:val="20"/>
              </w:rPr>
              <w:t xml:space="preserve">Honkanen </w:t>
            </w:r>
          </w:p>
        </w:tc>
        <w:tc>
          <w:tcPr>
            <w:tcW w:w="3534" w:type="pct"/>
            <w:shd w:val="clear" w:color="auto" w:fill="FFFFFF" w:themeFill="background1"/>
          </w:tcPr>
          <w:p w:rsidR="00CE2C77" w:rsidRPr="00054B27" w:rsidRDefault="00CE2C77" w:rsidP="00AD362F">
            <w:pPr>
              <w:rPr>
                <w:rFonts w:ascii="Arial Narrow" w:hAnsi="Arial Narrow" w:cs="Arial"/>
                <w:snapToGrid w:val="0"/>
                <w:sz w:val="20"/>
                <w:szCs w:val="20"/>
              </w:rPr>
            </w:pPr>
            <w:r w:rsidRPr="00054B27">
              <w:rPr>
                <w:rFonts w:ascii="Arial Narrow" w:hAnsi="Arial Narrow" w:cs="Arial"/>
                <w:snapToGrid w:val="0"/>
                <w:sz w:val="20"/>
                <w:szCs w:val="20"/>
              </w:rPr>
              <w:t xml:space="preserve">Incremental effectiveness of pneumococcal vaccine on simultaneously administered influenza vaccine in preventing pneumonia and pneumococcal pneumonia among persons aged 65 years or older. </w:t>
            </w:r>
          </w:p>
        </w:tc>
        <w:tc>
          <w:tcPr>
            <w:tcW w:w="848" w:type="pct"/>
            <w:shd w:val="clear" w:color="auto" w:fill="FFFFFF" w:themeFill="background1"/>
          </w:tcPr>
          <w:p w:rsidR="00CE2C77" w:rsidRPr="00054B27" w:rsidRDefault="00CE2C77" w:rsidP="00AD362F">
            <w:pPr>
              <w:rPr>
                <w:rFonts w:ascii="Arial Narrow" w:hAnsi="Arial Narrow" w:cs="Arial"/>
                <w:i/>
                <w:snapToGrid w:val="0"/>
                <w:sz w:val="20"/>
                <w:szCs w:val="20"/>
              </w:rPr>
            </w:pPr>
            <w:r w:rsidRPr="00054B27">
              <w:rPr>
                <w:rFonts w:ascii="Arial Narrow" w:hAnsi="Arial Narrow" w:cs="Arial"/>
                <w:i/>
                <w:snapToGrid w:val="0"/>
                <w:sz w:val="20"/>
                <w:szCs w:val="20"/>
              </w:rPr>
              <w:t>Vaccine</w:t>
            </w:r>
            <w:r w:rsidRPr="00054B27">
              <w:rPr>
                <w:rFonts w:ascii="Arial Narrow" w:hAnsi="Arial Narrow" w:cs="Arial"/>
                <w:snapToGrid w:val="0"/>
                <w:sz w:val="20"/>
                <w:szCs w:val="20"/>
              </w:rPr>
              <w:t xml:space="preserve"> 1999; 17:2493–500</w:t>
            </w:r>
          </w:p>
        </w:tc>
      </w:tr>
      <w:tr w:rsidR="00CE2C77" w:rsidRPr="00720E31" w:rsidTr="000F763D">
        <w:trPr>
          <w:cantSplit/>
        </w:trPr>
        <w:tc>
          <w:tcPr>
            <w:tcW w:w="618" w:type="pct"/>
            <w:shd w:val="clear" w:color="auto" w:fill="FFFFFF" w:themeFill="background1"/>
            <w:vAlign w:val="center"/>
          </w:tcPr>
          <w:p w:rsidR="00CE2C77" w:rsidRPr="00054B27" w:rsidRDefault="00CE2C77" w:rsidP="00AD362F">
            <w:pPr>
              <w:rPr>
                <w:rFonts w:ascii="Arial Narrow" w:hAnsi="Arial Narrow" w:cs="Arial"/>
                <w:snapToGrid w:val="0"/>
                <w:sz w:val="20"/>
                <w:szCs w:val="20"/>
              </w:rPr>
            </w:pPr>
            <w:r w:rsidRPr="00054B27">
              <w:rPr>
                <w:rFonts w:ascii="Arial Narrow" w:hAnsi="Arial Narrow" w:cs="Arial"/>
                <w:snapToGrid w:val="0"/>
                <w:sz w:val="20"/>
                <w:szCs w:val="20"/>
              </w:rPr>
              <w:t xml:space="preserve">Jackson </w:t>
            </w:r>
          </w:p>
        </w:tc>
        <w:tc>
          <w:tcPr>
            <w:tcW w:w="3534" w:type="pct"/>
            <w:shd w:val="clear" w:color="auto" w:fill="FFFFFF" w:themeFill="background1"/>
            <w:vAlign w:val="center"/>
          </w:tcPr>
          <w:p w:rsidR="00CE2C77" w:rsidRPr="00054B27" w:rsidRDefault="00CE2C77" w:rsidP="00AD362F">
            <w:pPr>
              <w:rPr>
                <w:rFonts w:ascii="Arial Narrow" w:hAnsi="Arial Narrow" w:cs="Arial"/>
                <w:b/>
                <w:snapToGrid w:val="0"/>
                <w:sz w:val="20"/>
                <w:szCs w:val="20"/>
              </w:rPr>
            </w:pPr>
            <w:r w:rsidRPr="00054B27">
              <w:rPr>
                <w:rFonts w:ascii="Arial Narrow" w:hAnsi="Arial Narrow" w:cs="Arial"/>
                <w:snapToGrid w:val="0"/>
                <w:sz w:val="20"/>
                <w:szCs w:val="20"/>
              </w:rPr>
              <w:t xml:space="preserve">Effectiveness of pneumococcal polysaccharide vaccine in older adults. </w:t>
            </w:r>
          </w:p>
        </w:tc>
        <w:tc>
          <w:tcPr>
            <w:tcW w:w="848" w:type="pct"/>
            <w:shd w:val="clear" w:color="auto" w:fill="FFFFFF" w:themeFill="background1"/>
          </w:tcPr>
          <w:p w:rsidR="00CE2C77" w:rsidRPr="00054B27" w:rsidRDefault="00CE2C77" w:rsidP="00AD362F">
            <w:pPr>
              <w:rPr>
                <w:rFonts w:ascii="Arial Narrow" w:hAnsi="Arial Narrow" w:cs="Arial"/>
                <w:b/>
                <w:snapToGrid w:val="0"/>
                <w:sz w:val="20"/>
                <w:szCs w:val="20"/>
              </w:rPr>
            </w:pPr>
            <w:r w:rsidRPr="00054B27">
              <w:rPr>
                <w:rFonts w:ascii="Arial Narrow" w:hAnsi="Arial Narrow" w:cs="Arial"/>
                <w:i/>
                <w:snapToGrid w:val="0"/>
                <w:sz w:val="20"/>
                <w:szCs w:val="20"/>
              </w:rPr>
              <w:t>N Engl J Med</w:t>
            </w:r>
            <w:r w:rsidRPr="00054B27">
              <w:rPr>
                <w:rFonts w:ascii="Arial Narrow" w:hAnsi="Arial Narrow" w:cs="Arial"/>
                <w:snapToGrid w:val="0"/>
                <w:sz w:val="20"/>
                <w:szCs w:val="20"/>
              </w:rPr>
              <w:t xml:space="preserve"> 2003; 348:1747–55</w:t>
            </w:r>
          </w:p>
        </w:tc>
      </w:tr>
      <w:tr w:rsidR="00CE2C77" w:rsidRPr="00720E31" w:rsidTr="000F763D">
        <w:trPr>
          <w:cantSplit/>
        </w:trPr>
        <w:tc>
          <w:tcPr>
            <w:tcW w:w="618" w:type="pct"/>
            <w:shd w:val="clear" w:color="auto" w:fill="auto"/>
            <w:vAlign w:val="center"/>
          </w:tcPr>
          <w:p w:rsidR="00CE2C77" w:rsidRPr="00054B27" w:rsidRDefault="00CE2C77" w:rsidP="00AD362F">
            <w:pPr>
              <w:rPr>
                <w:rFonts w:ascii="Arial Narrow" w:hAnsi="Arial Narrow" w:cs="Arial"/>
                <w:snapToGrid w:val="0"/>
                <w:sz w:val="20"/>
                <w:szCs w:val="20"/>
              </w:rPr>
            </w:pPr>
            <w:r w:rsidRPr="00054B27">
              <w:rPr>
                <w:rFonts w:ascii="Arial Narrow" w:hAnsi="Arial Narrow" w:cs="Arial"/>
                <w:snapToGrid w:val="0"/>
                <w:sz w:val="20"/>
                <w:szCs w:val="20"/>
              </w:rPr>
              <w:t xml:space="preserve">Johnstone </w:t>
            </w:r>
          </w:p>
        </w:tc>
        <w:tc>
          <w:tcPr>
            <w:tcW w:w="3534" w:type="pct"/>
            <w:shd w:val="clear" w:color="auto" w:fill="auto"/>
            <w:vAlign w:val="center"/>
          </w:tcPr>
          <w:p w:rsidR="00CE2C77" w:rsidRPr="00054B27" w:rsidRDefault="00CE2C77" w:rsidP="00AD362F">
            <w:pPr>
              <w:rPr>
                <w:rFonts w:ascii="Arial Narrow" w:hAnsi="Arial Narrow" w:cs="Arial"/>
                <w:b/>
                <w:snapToGrid w:val="0"/>
                <w:sz w:val="20"/>
                <w:szCs w:val="20"/>
              </w:rPr>
            </w:pPr>
            <w:r w:rsidRPr="00054B27">
              <w:rPr>
                <w:rFonts w:ascii="Arial Narrow" w:hAnsi="Arial Narrow" w:cs="Arial"/>
                <w:snapToGrid w:val="0"/>
                <w:sz w:val="20"/>
                <w:szCs w:val="20"/>
              </w:rPr>
              <w:t>Effect of pneumococcal vaccination in hospitalized adults with community</w:t>
            </w:r>
            <w:r w:rsidRPr="00054B27">
              <w:rPr>
                <w:rFonts w:ascii="Arial Narrow" w:hAnsi="Arial Narrow" w:cs="Arial"/>
                <w:snapToGrid w:val="0"/>
                <w:sz w:val="20"/>
                <w:szCs w:val="20"/>
              </w:rPr>
              <w:noBreakHyphen/>
              <w:t xml:space="preserve">acquired pneumonia. </w:t>
            </w:r>
          </w:p>
        </w:tc>
        <w:tc>
          <w:tcPr>
            <w:tcW w:w="848" w:type="pct"/>
            <w:shd w:val="clear" w:color="auto" w:fill="auto"/>
          </w:tcPr>
          <w:p w:rsidR="00CE2C77" w:rsidRPr="00054B27" w:rsidRDefault="00CE2C77" w:rsidP="00AD362F">
            <w:pPr>
              <w:rPr>
                <w:rFonts w:ascii="Arial Narrow" w:hAnsi="Arial Narrow" w:cs="Arial"/>
                <w:b/>
                <w:snapToGrid w:val="0"/>
                <w:sz w:val="20"/>
                <w:szCs w:val="20"/>
              </w:rPr>
            </w:pPr>
            <w:r w:rsidRPr="00054B27">
              <w:rPr>
                <w:rFonts w:ascii="Arial Narrow" w:hAnsi="Arial Narrow" w:cs="Arial"/>
                <w:i/>
                <w:snapToGrid w:val="0"/>
                <w:sz w:val="20"/>
                <w:szCs w:val="20"/>
              </w:rPr>
              <w:t>Arch Intern Med</w:t>
            </w:r>
            <w:r w:rsidRPr="00054B27">
              <w:rPr>
                <w:rFonts w:ascii="Arial Narrow" w:hAnsi="Arial Narrow" w:cs="Arial"/>
                <w:snapToGrid w:val="0"/>
                <w:sz w:val="20"/>
                <w:szCs w:val="20"/>
              </w:rPr>
              <w:t xml:space="preserve"> 2007; 167:1938</w:t>
            </w:r>
            <w:r w:rsidRPr="00054B27">
              <w:rPr>
                <w:rFonts w:ascii="Arial Narrow" w:hAnsi="Arial Narrow" w:cs="Arial"/>
                <w:snapToGrid w:val="0"/>
                <w:sz w:val="20"/>
                <w:szCs w:val="20"/>
              </w:rPr>
              <w:noBreakHyphen/>
              <w:t>43</w:t>
            </w:r>
          </w:p>
        </w:tc>
      </w:tr>
      <w:tr w:rsidR="00CE2C77" w:rsidRPr="00720E31" w:rsidTr="000F763D">
        <w:trPr>
          <w:cantSplit/>
        </w:trPr>
        <w:tc>
          <w:tcPr>
            <w:tcW w:w="618" w:type="pct"/>
            <w:shd w:val="clear" w:color="auto" w:fill="auto"/>
            <w:vAlign w:val="center"/>
          </w:tcPr>
          <w:p w:rsidR="00CE2C77" w:rsidRPr="00054B27" w:rsidRDefault="00CE2C77" w:rsidP="00AD362F">
            <w:pPr>
              <w:rPr>
                <w:rFonts w:ascii="Arial Narrow" w:hAnsi="Arial Narrow" w:cs="Arial"/>
                <w:snapToGrid w:val="0"/>
                <w:sz w:val="20"/>
                <w:szCs w:val="20"/>
              </w:rPr>
            </w:pPr>
            <w:r w:rsidRPr="00054B27">
              <w:rPr>
                <w:rFonts w:ascii="Arial Narrow" w:hAnsi="Arial Narrow" w:cs="Arial"/>
                <w:snapToGrid w:val="0"/>
                <w:sz w:val="20"/>
                <w:szCs w:val="20"/>
              </w:rPr>
              <w:t xml:space="preserve">Menzies </w:t>
            </w:r>
          </w:p>
        </w:tc>
        <w:tc>
          <w:tcPr>
            <w:tcW w:w="3534" w:type="pct"/>
            <w:shd w:val="clear" w:color="auto" w:fill="auto"/>
            <w:vAlign w:val="center"/>
          </w:tcPr>
          <w:p w:rsidR="00CE2C77" w:rsidRPr="00054B27" w:rsidRDefault="00CE2C77" w:rsidP="00AD362F">
            <w:pPr>
              <w:rPr>
                <w:rFonts w:ascii="Arial Narrow" w:hAnsi="Arial Narrow" w:cs="Arial"/>
                <w:b/>
                <w:snapToGrid w:val="0"/>
                <w:sz w:val="20"/>
                <w:szCs w:val="20"/>
              </w:rPr>
            </w:pPr>
            <w:r w:rsidRPr="00054B27">
              <w:rPr>
                <w:rFonts w:ascii="Arial Narrow" w:hAnsi="Arial Narrow" w:cs="Arial"/>
                <w:snapToGrid w:val="0"/>
                <w:sz w:val="20"/>
                <w:szCs w:val="20"/>
              </w:rPr>
              <w:t xml:space="preserve">Impact of pneumococcal polysaccharide vaccine in people aged 65 years or older. </w:t>
            </w:r>
          </w:p>
        </w:tc>
        <w:tc>
          <w:tcPr>
            <w:tcW w:w="848" w:type="pct"/>
            <w:shd w:val="clear" w:color="auto" w:fill="auto"/>
          </w:tcPr>
          <w:p w:rsidR="00CE2C77" w:rsidRPr="00054B27" w:rsidRDefault="00CE2C77" w:rsidP="00AD362F">
            <w:pPr>
              <w:rPr>
                <w:rFonts w:ascii="Arial Narrow" w:hAnsi="Arial Narrow" w:cs="Arial"/>
                <w:b/>
                <w:snapToGrid w:val="0"/>
                <w:sz w:val="20"/>
                <w:szCs w:val="20"/>
              </w:rPr>
            </w:pPr>
            <w:r w:rsidRPr="00054B27">
              <w:rPr>
                <w:rFonts w:ascii="Arial Narrow" w:hAnsi="Arial Narrow" w:cs="AntennaCond-Light"/>
                <w:i/>
                <w:snapToGrid w:val="0"/>
                <w:sz w:val="20"/>
                <w:szCs w:val="20"/>
              </w:rPr>
              <w:t>Med J Aust</w:t>
            </w:r>
            <w:r w:rsidRPr="00054B27">
              <w:rPr>
                <w:rFonts w:ascii="Arial Narrow" w:hAnsi="Arial Narrow" w:cs="AntennaCond-Light"/>
                <w:snapToGrid w:val="0"/>
                <w:sz w:val="20"/>
                <w:szCs w:val="20"/>
              </w:rPr>
              <w:t xml:space="preserve"> 2014; 200:112–5</w:t>
            </w:r>
          </w:p>
        </w:tc>
      </w:tr>
      <w:tr w:rsidR="00CE2C77" w:rsidRPr="00720E31" w:rsidTr="000F763D">
        <w:trPr>
          <w:cantSplit/>
        </w:trPr>
        <w:tc>
          <w:tcPr>
            <w:tcW w:w="618" w:type="pct"/>
            <w:shd w:val="clear" w:color="auto" w:fill="auto"/>
            <w:vAlign w:val="center"/>
          </w:tcPr>
          <w:p w:rsidR="00CE2C77" w:rsidRPr="00054B27" w:rsidRDefault="00CE2C77" w:rsidP="00AD362F">
            <w:pPr>
              <w:rPr>
                <w:rFonts w:ascii="Arial Narrow" w:hAnsi="Arial Narrow" w:cs="Arial"/>
                <w:snapToGrid w:val="0"/>
                <w:sz w:val="20"/>
                <w:szCs w:val="20"/>
              </w:rPr>
            </w:pPr>
            <w:r w:rsidRPr="00054B27">
              <w:rPr>
                <w:rFonts w:ascii="Arial Narrow" w:hAnsi="Arial Narrow" w:cs="Arial"/>
                <w:snapToGrid w:val="0"/>
                <w:sz w:val="20"/>
                <w:szCs w:val="20"/>
              </w:rPr>
              <w:lastRenderedPageBreak/>
              <w:t xml:space="preserve">Mooney </w:t>
            </w:r>
          </w:p>
        </w:tc>
        <w:tc>
          <w:tcPr>
            <w:tcW w:w="3534" w:type="pct"/>
            <w:shd w:val="clear" w:color="auto" w:fill="auto"/>
            <w:vAlign w:val="center"/>
          </w:tcPr>
          <w:p w:rsidR="00CE2C77" w:rsidRPr="00054B27" w:rsidRDefault="00CE2C77" w:rsidP="00AD362F">
            <w:pPr>
              <w:rPr>
                <w:rFonts w:ascii="Arial Narrow" w:hAnsi="Arial Narrow" w:cs="Arial"/>
                <w:b/>
                <w:snapToGrid w:val="0"/>
                <w:sz w:val="20"/>
                <w:szCs w:val="20"/>
              </w:rPr>
            </w:pPr>
            <w:r w:rsidRPr="00054B27">
              <w:rPr>
                <w:rFonts w:ascii="Arial Narrow" w:hAnsi="Arial Narrow" w:cs="GillSans-Bold"/>
                <w:bCs/>
                <w:snapToGrid w:val="0"/>
                <w:sz w:val="20"/>
                <w:szCs w:val="20"/>
              </w:rPr>
              <w:t xml:space="preserve">The impact and effectiveness of pneumococcal vaccination in Scotland for those aged 65 and over during winter 2003/2004. </w:t>
            </w:r>
          </w:p>
        </w:tc>
        <w:tc>
          <w:tcPr>
            <w:tcW w:w="848" w:type="pct"/>
            <w:shd w:val="clear" w:color="auto" w:fill="auto"/>
          </w:tcPr>
          <w:p w:rsidR="00CE2C77" w:rsidRPr="00054B27" w:rsidRDefault="00CE2C77" w:rsidP="00AD362F">
            <w:pPr>
              <w:rPr>
                <w:rFonts w:ascii="Arial Narrow" w:hAnsi="Arial Narrow" w:cs="Arial"/>
                <w:b/>
                <w:snapToGrid w:val="0"/>
                <w:sz w:val="20"/>
                <w:szCs w:val="20"/>
              </w:rPr>
            </w:pPr>
            <w:r w:rsidRPr="00054B27">
              <w:rPr>
                <w:rFonts w:ascii="Arial Narrow" w:hAnsi="Arial Narrow" w:cs="GillSans-Italic"/>
                <w:i/>
                <w:iCs/>
                <w:snapToGrid w:val="0"/>
                <w:sz w:val="20"/>
                <w:szCs w:val="20"/>
              </w:rPr>
              <w:t xml:space="preserve">BMC Infect Dis </w:t>
            </w:r>
            <w:r w:rsidRPr="00054B27">
              <w:rPr>
                <w:rFonts w:ascii="Arial Narrow" w:hAnsi="Arial Narrow" w:cs="GillSans"/>
                <w:snapToGrid w:val="0"/>
                <w:sz w:val="20"/>
                <w:szCs w:val="20"/>
              </w:rPr>
              <w:t xml:space="preserve">2008; </w:t>
            </w:r>
            <w:r w:rsidRPr="00054B27">
              <w:rPr>
                <w:rFonts w:ascii="Arial Narrow" w:hAnsi="Arial Narrow" w:cs="GillSans-Bold"/>
                <w:bCs/>
                <w:snapToGrid w:val="0"/>
                <w:sz w:val="20"/>
                <w:szCs w:val="20"/>
              </w:rPr>
              <w:t>8</w:t>
            </w:r>
            <w:r w:rsidRPr="00054B27">
              <w:rPr>
                <w:rFonts w:ascii="Arial Narrow" w:hAnsi="Arial Narrow" w:cs="GillSans"/>
                <w:snapToGrid w:val="0"/>
                <w:sz w:val="20"/>
                <w:szCs w:val="20"/>
              </w:rPr>
              <w:t>:53</w:t>
            </w:r>
          </w:p>
        </w:tc>
      </w:tr>
      <w:tr w:rsidR="00CE2C77" w:rsidRPr="00720E31" w:rsidTr="000F763D">
        <w:trPr>
          <w:cantSplit/>
        </w:trPr>
        <w:tc>
          <w:tcPr>
            <w:tcW w:w="618" w:type="pct"/>
            <w:shd w:val="clear" w:color="auto" w:fill="auto"/>
            <w:vAlign w:val="center"/>
          </w:tcPr>
          <w:p w:rsidR="00CE2C77" w:rsidRPr="00054B27" w:rsidRDefault="00CE2C77" w:rsidP="00AD362F">
            <w:pPr>
              <w:rPr>
                <w:rFonts w:ascii="Arial Narrow" w:hAnsi="Arial Narrow" w:cs="Arial"/>
                <w:snapToGrid w:val="0"/>
                <w:sz w:val="20"/>
                <w:szCs w:val="20"/>
              </w:rPr>
            </w:pPr>
            <w:r w:rsidRPr="00054B27">
              <w:rPr>
                <w:rFonts w:ascii="Arial Narrow" w:hAnsi="Arial Narrow" w:cs="Arial"/>
                <w:snapToGrid w:val="0"/>
                <w:color w:val="000000"/>
                <w:sz w:val="20"/>
                <w:szCs w:val="20"/>
              </w:rPr>
              <w:t xml:space="preserve">Musher </w:t>
            </w:r>
          </w:p>
        </w:tc>
        <w:tc>
          <w:tcPr>
            <w:tcW w:w="3534" w:type="pct"/>
            <w:shd w:val="clear" w:color="auto" w:fill="auto"/>
          </w:tcPr>
          <w:p w:rsidR="00CE2C77" w:rsidRPr="00054B27" w:rsidRDefault="00CE2C77" w:rsidP="00AD362F">
            <w:pPr>
              <w:rPr>
                <w:rFonts w:ascii="Arial Narrow" w:hAnsi="Arial Narrow" w:cs="Giovanni-Book"/>
                <w:snapToGrid w:val="0"/>
                <w:sz w:val="20"/>
                <w:szCs w:val="20"/>
              </w:rPr>
            </w:pPr>
            <w:r w:rsidRPr="00054B27">
              <w:rPr>
                <w:rFonts w:ascii="Arial Narrow" w:hAnsi="Arial Narrow" w:cs="Arial"/>
                <w:snapToGrid w:val="0"/>
                <w:sz w:val="20"/>
                <w:szCs w:val="20"/>
              </w:rPr>
              <w:t xml:space="preserve">Effect of pneumococcal vaccination: a comparison of vaccination rates in patients with bacteremic and nonbacteremic pneumococcal pneumonia. </w:t>
            </w:r>
          </w:p>
        </w:tc>
        <w:tc>
          <w:tcPr>
            <w:tcW w:w="848" w:type="pct"/>
            <w:shd w:val="clear" w:color="auto" w:fill="auto"/>
          </w:tcPr>
          <w:p w:rsidR="00CE2C77" w:rsidRPr="00054B27" w:rsidRDefault="00CE2C77" w:rsidP="00AD362F">
            <w:pPr>
              <w:rPr>
                <w:rFonts w:ascii="Arial Narrow" w:hAnsi="Arial Narrow" w:cs="Giovanni-Book"/>
                <w:i/>
                <w:snapToGrid w:val="0"/>
                <w:sz w:val="20"/>
                <w:szCs w:val="20"/>
              </w:rPr>
            </w:pPr>
            <w:r w:rsidRPr="00054B27">
              <w:rPr>
                <w:rFonts w:ascii="Arial Narrow" w:hAnsi="Arial Narrow" w:cs="Arial"/>
                <w:i/>
                <w:snapToGrid w:val="0"/>
                <w:sz w:val="20"/>
                <w:szCs w:val="20"/>
              </w:rPr>
              <w:t>Clin Infect Dis</w:t>
            </w:r>
            <w:r w:rsidRPr="00054B27">
              <w:rPr>
                <w:rFonts w:ascii="Arial Narrow" w:hAnsi="Arial Narrow" w:cs="Arial"/>
                <w:snapToGrid w:val="0"/>
                <w:sz w:val="20"/>
                <w:szCs w:val="20"/>
              </w:rPr>
              <w:t xml:space="preserve"> 2006; 43:1004–8</w:t>
            </w:r>
          </w:p>
        </w:tc>
      </w:tr>
      <w:tr w:rsidR="00CE2C77" w:rsidRPr="00720E31" w:rsidTr="000F763D">
        <w:trPr>
          <w:cantSplit/>
        </w:trPr>
        <w:tc>
          <w:tcPr>
            <w:tcW w:w="618" w:type="pct"/>
            <w:shd w:val="clear" w:color="auto" w:fill="auto"/>
            <w:vAlign w:val="center"/>
          </w:tcPr>
          <w:p w:rsidR="00CE2C77" w:rsidRPr="00054B27" w:rsidRDefault="00CE2C77" w:rsidP="00AD362F">
            <w:pPr>
              <w:rPr>
                <w:rFonts w:ascii="Arial Narrow" w:hAnsi="Arial Narrow" w:cs="Arial"/>
                <w:snapToGrid w:val="0"/>
                <w:sz w:val="20"/>
                <w:szCs w:val="20"/>
              </w:rPr>
            </w:pPr>
            <w:r w:rsidRPr="00054B27">
              <w:rPr>
                <w:rFonts w:ascii="Arial Narrow" w:hAnsi="Arial Narrow" w:cs="Arial"/>
                <w:snapToGrid w:val="0"/>
                <w:sz w:val="20"/>
                <w:szCs w:val="20"/>
              </w:rPr>
              <w:t xml:space="preserve">Mykietiuk </w:t>
            </w:r>
          </w:p>
        </w:tc>
        <w:tc>
          <w:tcPr>
            <w:tcW w:w="3534" w:type="pct"/>
            <w:shd w:val="clear" w:color="auto" w:fill="auto"/>
            <w:vAlign w:val="center"/>
          </w:tcPr>
          <w:p w:rsidR="00CE2C77" w:rsidRPr="00054B27" w:rsidRDefault="00CE2C77" w:rsidP="00AD362F">
            <w:pPr>
              <w:rPr>
                <w:rFonts w:ascii="Arial Narrow" w:hAnsi="Arial Narrow" w:cs="Arial"/>
                <w:b/>
                <w:snapToGrid w:val="0"/>
                <w:sz w:val="20"/>
                <w:szCs w:val="20"/>
              </w:rPr>
            </w:pPr>
            <w:r w:rsidRPr="00054B27">
              <w:rPr>
                <w:rFonts w:ascii="Arial Narrow" w:hAnsi="Arial Narrow" w:cs="Giovanni-Book"/>
                <w:snapToGrid w:val="0"/>
                <w:sz w:val="20"/>
                <w:szCs w:val="20"/>
              </w:rPr>
              <w:t>Effect of prior pneumococcal vaccination on clinical outcome of hospitalized adults with community</w:t>
            </w:r>
            <w:r w:rsidRPr="00054B27">
              <w:rPr>
                <w:rFonts w:ascii="Arial Narrow" w:hAnsi="Arial Narrow" w:cs="Giovanni-Book"/>
                <w:snapToGrid w:val="0"/>
                <w:sz w:val="20"/>
                <w:szCs w:val="20"/>
              </w:rPr>
              <w:noBreakHyphen/>
              <w:t xml:space="preserve">acquired pneumococcal pneumonia. </w:t>
            </w:r>
          </w:p>
        </w:tc>
        <w:tc>
          <w:tcPr>
            <w:tcW w:w="848" w:type="pct"/>
            <w:shd w:val="clear" w:color="auto" w:fill="auto"/>
          </w:tcPr>
          <w:p w:rsidR="00CE2C77" w:rsidRPr="00054B27" w:rsidRDefault="00CE2C77" w:rsidP="00AD362F">
            <w:pPr>
              <w:rPr>
                <w:rFonts w:ascii="Arial Narrow" w:hAnsi="Arial Narrow" w:cs="Arial"/>
                <w:b/>
                <w:snapToGrid w:val="0"/>
                <w:sz w:val="20"/>
                <w:szCs w:val="20"/>
                <w:lang w:val="fr-FR"/>
              </w:rPr>
            </w:pPr>
            <w:r w:rsidRPr="00054B27">
              <w:rPr>
                <w:rFonts w:ascii="Arial Narrow" w:hAnsi="Arial Narrow" w:cs="Giovanni-Book"/>
                <w:i/>
                <w:snapToGrid w:val="0"/>
                <w:sz w:val="20"/>
                <w:szCs w:val="20"/>
                <w:lang w:val="fr-FR"/>
              </w:rPr>
              <w:t>Eur J Clin Microbiol Infect Dis</w:t>
            </w:r>
            <w:r w:rsidRPr="00054B27">
              <w:rPr>
                <w:rFonts w:ascii="Arial Narrow" w:hAnsi="Arial Narrow" w:cs="Giovanni-Book"/>
                <w:snapToGrid w:val="0"/>
                <w:sz w:val="20"/>
                <w:szCs w:val="20"/>
                <w:lang w:val="fr-FR"/>
              </w:rPr>
              <w:t xml:space="preserve"> 2006; 25:457</w:t>
            </w:r>
            <w:r w:rsidRPr="00054B27">
              <w:rPr>
                <w:rFonts w:ascii="Arial Narrow" w:hAnsi="Arial Narrow" w:cs="Giovanni-Book"/>
                <w:snapToGrid w:val="0"/>
                <w:sz w:val="20"/>
                <w:szCs w:val="20"/>
                <w:lang w:val="fr-FR"/>
              </w:rPr>
              <w:noBreakHyphen/>
              <w:t>62</w:t>
            </w:r>
          </w:p>
        </w:tc>
      </w:tr>
      <w:tr w:rsidR="00CE2C77" w:rsidRPr="00720E31" w:rsidTr="000F763D">
        <w:trPr>
          <w:cantSplit/>
        </w:trPr>
        <w:tc>
          <w:tcPr>
            <w:tcW w:w="618" w:type="pct"/>
            <w:shd w:val="clear" w:color="auto" w:fill="auto"/>
            <w:vAlign w:val="center"/>
          </w:tcPr>
          <w:p w:rsidR="00CE2C77" w:rsidRPr="00054B27" w:rsidRDefault="00CE2C77" w:rsidP="00AD362F">
            <w:pPr>
              <w:rPr>
                <w:rFonts w:ascii="Arial Narrow" w:hAnsi="Arial Narrow" w:cs="Arial"/>
                <w:snapToGrid w:val="0"/>
                <w:sz w:val="20"/>
                <w:szCs w:val="20"/>
              </w:rPr>
            </w:pPr>
            <w:r w:rsidRPr="00054B27">
              <w:rPr>
                <w:rFonts w:ascii="Arial Narrow" w:hAnsi="Arial Narrow" w:cs="Arial"/>
                <w:snapToGrid w:val="0"/>
                <w:sz w:val="20"/>
                <w:szCs w:val="20"/>
              </w:rPr>
              <w:t>Vila</w:t>
            </w:r>
            <w:r w:rsidRPr="00054B27">
              <w:rPr>
                <w:rFonts w:ascii="Arial Narrow" w:hAnsi="Arial Narrow" w:cs="Arial"/>
                <w:snapToGrid w:val="0"/>
                <w:sz w:val="20"/>
                <w:szCs w:val="20"/>
              </w:rPr>
              <w:noBreakHyphen/>
              <w:t xml:space="preserve">Corcoles </w:t>
            </w:r>
          </w:p>
        </w:tc>
        <w:tc>
          <w:tcPr>
            <w:tcW w:w="3534" w:type="pct"/>
            <w:shd w:val="clear" w:color="auto" w:fill="auto"/>
            <w:vAlign w:val="center"/>
          </w:tcPr>
          <w:p w:rsidR="00CE2C77" w:rsidRPr="00054B27" w:rsidRDefault="00CE2C77" w:rsidP="00AD362F">
            <w:pPr>
              <w:rPr>
                <w:rFonts w:ascii="Arial Narrow" w:hAnsi="Arial Narrow" w:cs="Arial"/>
                <w:b/>
                <w:snapToGrid w:val="0"/>
                <w:sz w:val="20"/>
                <w:szCs w:val="20"/>
              </w:rPr>
            </w:pPr>
            <w:r w:rsidRPr="00054B27">
              <w:rPr>
                <w:rFonts w:ascii="Arial Narrow" w:hAnsi="Arial Narrow" w:cs="Arial"/>
                <w:snapToGrid w:val="0"/>
                <w:sz w:val="20"/>
                <w:szCs w:val="20"/>
              </w:rPr>
              <w:t>Protective effects of the 23</w:t>
            </w:r>
            <w:r w:rsidRPr="00054B27">
              <w:rPr>
                <w:rFonts w:ascii="Arial Narrow" w:hAnsi="Arial Narrow" w:cs="Arial"/>
                <w:snapToGrid w:val="0"/>
                <w:sz w:val="20"/>
                <w:szCs w:val="20"/>
              </w:rPr>
              <w:noBreakHyphen/>
              <w:t>valent pneumococcal polysaccharide vaccine in the elderly population: the Evan</w:t>
            </w:r>
            <w:r w:rsidRPr="00054B27">
              <w:rPr>
                <w:rFonts w:ascii="Arial Narrow" w:hAnsi="Arial Narrow" w:cs="Arial"/>
                <w:snapToGrid w:val="0"/>
                <w:sz w:val="20"/>
                <w:szCs w:val="20"/>
              </w:rPr>
              <w:noBreakHyphen/>
              <w:t xml:space="preserve">65 study. </w:t>
            </w:r>
          </w:p>
        </w:tc>
        <w:tc>
          <w:tcPr>
            <w:tcW w:w="848" w:type="pct"/>
            <w:shd w:val="clear" w:color="auto" w:fill="auto"/>
          </w:tcPr>
          <w:p w:rsidR="00CE2C77" w:rsidRPr="00054B27" w:rsidRDefault="00CE2C77" w:rsidP="00AD362F">
            <w:pPr>
              <w:rPr>
                <w:rFonts w:ascii="Arial Narrow" w:hAnsi="Arial Narrow" w:cs="Arial"/>
                <w:b/>
                <w:snapToGrid w:val="0"/>
                <w:sz w:val="20"/>
                <w:szCs w:val="20"/>
              </w:rPr>
            </w:pPr>
            <w:r w:rsidRPr="00054B27">
              <w:rPr>
                <w:rFonts w:ascii="Arial Narrow" w:hAnsi="Arial Narrow" w:cs="Arial"/>
                <w:i/>
                <w:iCs/>
                <w:snapToGrid w:val="0"/>
                <w:sz w:val="20"/>
                <w:szCs w:val="20"/>
              </w:rPr>
              <w:t>Clin Infect Dis</w:t>
            </w:r>
            <w:r w:rsidRPr="00054B27">
              <w:rPr>
                <w:rFonts w:ascii="Arial Narrow" w:hAnsi="Arial Narrow" w:cs="Arial"/>
                <w:iCs/>
                <w:snapToGrid w:val="0"/>
                <w:sz w:val="20"/>
                <w:szCs w:val="20"/>
              </w:rPr>
              <w:t xml:space="preserve"> 2006;</w:t>
            </w:r>
            <w:r w:rsidRPr="00054B27">
              <w:rPr>
                <w:rFonts w:ascii="Arial Narrow" w:hAnsi="Arial Narrow" w:cs="Arial"/>
                <w:i/>
                <w:iCs/>
                <w:snapToGrid w:val="0"/>
                <w:sz w:val="20"/>
                <w:szCs w:val="20"/>
              </w:rPr>
              <w:t xml:space="preserve"> </w:t>
            </w:r>
            <w:r w:rsidRPr="00054B27">
              <w:rPr>
                <w:rFonts w:ascii="Arial Narrow" w:hAnsi="Arial Narrow" w:cs="Arial"/>
                <w:snapToGrid w:val="0"/>
                <w:sz w:val="20"/>
                <w:szCs w:val="20"/>
              </w:rPr>
              <w:t>43:860–8</w:t>
            </w:r>
          </w:p>
        </w:tc>
      </w:tr>
      <w:tr w:rsidR="00CE2C77" w:rsidRPr="00720E31" w:rsidTr="000F763D">
        <w:trPr>
          <w:cantSplit/>
        </w:trPr>
        <w:tc>
          <w:tcPr>
            <w:tcW w:w="618" w:type="pct"/>
            <w:shd w:val="clear" w:color="auto" w:fill="auto"/>
            <w:vAlign w:val="center"/>
          </w:tcPr>
          <w:p w:rsidR="00CE2C77" w:rsidRPr="00054B27" w:rsidRDefault="00CE2C77" w:rsidP="00AD362F">
            <w:pPr>
              <w:rPr>
                <w:rFonts w:ascii="Arial Narrow" w:hAnsi="Arial Narrow" w:cs="Arial"/>
                <w:snapToGrid w:val="0"/>
                <w:sz w:val="20"/>
                <w:szCs w:val="20"/>
              </w:rPr>
            </w:pPr>
            <w:r w:rsidRPr="00054B27">
              <w:rPr>
                <w:rFonts w:ascii="Arial Narrow" w:hAnsi="Arial Narrow" w:cs="Arial"/>
                <w:snapToGrid w:val="0"/>
                <w:color w:val="000000"/>
                <w:sz w:val="20"/>
                <w:szCs w:val="20"/>
              </w:rPr>
              <w:t>Vila</w:t>
            </w:r>
            <w:r w:rsidRPr="00054B27">
              <w:rPr>
                <w:rFonts w:ascii="Arial Narrow" w:hAnsi="Arial Narrow" w:cs="Arial"/>
                <w:snapToGrid w:val="0"/>
                <w:color w:val="000000"/>
                <w:sz w:val="20"/>
                <w:szCs w:val="20"/>
              </w:rPr>
              <w:noBreakHyphen/>
              <w:t xml:space="preserve">Corcoles </w:t>
            </w:r>
          </w:p>
        </w:tc>
        <w:tc>
          <w:tcPr>
            <w:tcW w:w="3534" w:type="pct"/>
            <w:shd w:val="clear" w:color="auto" w:fill="auto"/>
          </w:tcPr>
          <w:p w:rsidR="00CE2C77" w:rsidRPr="00054B27" w:rsidRDefault="00CE2C77" w:rsidP="00AD362F">
            <w:pPr>
              <w:rPr>
                <w:rFonts w:ascii="Arial Narrow" w:hAnsi="Arial Narrow" w:cs="Arial"/>
                <w:snapToGrid w:val="0"/>
                <w:sz w:val="20"/>
                <w:szCs w:val="20"/>
              </w:rPr>
            </w:pPr>
            <w:r w:rsidRPr="00054B27">
              <w:rPr>
                <w:rFonts w:ascii="Arial Narrow" w:hAnsi="Arial Narrow" w:cs="AdvOT46dcae81"/>
                <w:snapToGrid w:val="0"/>
                <w:sz w:val="20"/>
                <w:szCs w:val="20"/>
              </w:rPr>
              <w:t>Effectiveness of the 23</w:t>
            </w:r>
            <w:r w:rsidRPr="00054B27">
              <w:rPr>
                <w:rFonts w:ascii="Arial Narrow" w:hAnsi="Arial Narrow" w:cs="AdvOT46dcae81"/>
                <w:snapToGrid w:val="0"/>
                <w:sz w:val="20"/>
                <w:szCs w:val="20"/>
              </w:rPr>
              <w:noBreakHyphen/>
              <w:t xml:space="preserve">valent polysaccharide pneumococcal vaccine against invasive pneumococcal disease in people 60 years or older. </w:t>
            </w:r>
          </w:p>
        </w:tc>
        <w:tc>
          <w:tcPr>
            <w:tcW w:w="848" w:type="pct"/>
            <w:shd w:val="clear" w:color="auto" w:fill="auto"/>
          </w:tcPr>
          <w:p w:rsidR="00CE2C77" w:rsidRPr="00054B27" w:rsidRDefault="00CE2C77" w:rsidP="00AD362F">
            <w:pPr>
              <w:rPr>
                <w:rFonts w:ascii="Arial Narrow" w:hAnsi="Arial Narrow" w:cs="Arial"/>
                <w:i/>
                <w:iCs/>
                <w:snapToGrid w:val="0"/>
                <w:sz w:val="20"/>
                <w:szCs w:val="20"/>
              </w:rPr>
            </w:pPr>
            <w:r w:rsidRPr="00054B27">
              <w:rPr>
                <w:rFonts w:ascii="Arial Narrow" w:hAnsi="Arial Narrow" w:cs="AdvOT65f8a23b.I"/>
                <w:i/>
                <w:snapToGrid w:val="0"/>
                <w:sz w:val="20"/>
                <w:szCs w:val="20"/>
              </w:rPr>
              <w:t>BMC Infect Dis</w:t>
            </w:r>
            <w:r w:rsidRPr="00054B27">
              <w:rPr>
                <w:rFonts w:ascii="Arial Narrow" w:hAnsi="Arial Narrow" w:cs="AdvOT65f8a23b.I"/>
                <w:snapToGrid w:val="0"/>
                <w:sz w:val="20"/>
                <w:szCs w:val="20"/>
              </w:rPr>
              <w:t xml:space="preserve"> </w:t>
            </w:r>
            <w:r w:rsidRPr="00054B27">
              <w:rPr>
                <w:rFonts w:ascii="Arial Narrow" w:hAnsi="Arial Narrow" w:cs="AdvOT46dcae81"/>
                <w:snapToGrid w:val="0"/>
                <w:sz w:val="20"/>
                <w:szCs w:val="20"/>
              </w:rPr>
              <w:t xml:space="preserve">2010; </w:t>
            </w:r>
            <w:r w:rsidRPr="00054B27">
              <w:rPr>
                <w:rFonts w:ascii="Arial Narrow" w:hAnsi="Arial Narrow" w:cs="AdvOT3b30f6db.B"/>
                <w:snapToGrid w:val="0"/>
                <w:sz w:val="20"/>
                <w:szCs w:val="20"/>
              </w:rPr>
              <w:t>10</w:t>
            </w:r>
            <w:r w:rsidRPr="00054B27">
              <w:rPr>
                <w:rFonts w:ascii="Arial Narrow" w:hAnsi="Arial Narrow" w:cs="AdvOT46dcae81"/>
                <w:snapToGrid w:val="0"/>
                <w:sz w:val="20"/>
                <w:szCs w:val="20"/>
              </w:rPr>
              <w:t>:73</w:t>
            </w:r>
          </w:p>
        </w:tc>
      </w:tr>
      <w:tr w:rsidR="00CE2C77" w:rsidRPr="00720E31" w:rsidTr="000F763D">
        <w:trPr>
          <w:cantSplit/>
        </w:trPr>
        <w:tc>
          <w:tcPr>
            <w:tcW w:w="618" w:type="pct"/>
            <w:shd w:val="clear" w:color="auto" w:fill="auto"/>
            <w:vAlign w:val="center"/>
          </w:tcPr>
          <w:p w:rsidR="00CE2C77" w:rsidRPr="00054B27" w:rsidRDefault="00CE2C77" w:rsidP="00AD362F">
            <w:pPr>
              <w:rPr>
                <w:rFonts w:ascii="Arial Narrow" w:hAnsi="Arial Narrow" w:cs="Arial"/>
                <w:snapToGrid w:val="0"/>
                <w:sz w:val="20"/>
                <w:szCs w:val="20"/>
              </w:rPr>
            </w:pPr>
            <w:r w:rsidRPr="00054B27">
              <w:rPr>
                <w:rFonts w:ascii="Arial Narrow" w:hAnsi="Arial Narrow" w:cs="Arial"/>
                <w:snapToGrid w:val="0"/>
                <w:color w:val="000000"/>
                <w:sz w:val="20"/>
                <w:szCs w:val="20"/>
              </w:rPr>
              <w:t xml:space="preserve">Wright </w:t>
            </w:r>
          </w:p>
        </w:tc>
        <w:tc>
          <w:tcPr>
            <w:tcW w:w="3534" w:type="pct"/>
            <w:shd w:val="clear" w:color="auto" w:fill="auto"/>
          </w:tcPr>
          <w:p w:rsidR="00CE2C77" w:rsidRPr="00054B27" w:rsidRDefault="00CE2C77" w:rsidP="00AD362F">
            <w:pPr>
              <w:rPr>
                <w:rFonts w:ascii="Arial Narrow" w:hAnsi="Arial Narrow" w:cs="Arial"/>
                <w:snapToGrid w:val="0"/>
                <w:sz w:val="20"/>
                <w:szCs w:val="20"/>
              </w:rPr>
            </w:pPr>
            <w:r w:rsidRPr="00054B27">
              <w:rPr>
                <w:rFonts w:ascii="Arial Narrow" w:hAnsi="Arial Narrow" w:cs="Arial"/>
                <w:snapToGrid w:val="0"/>
                <w:sz w:val="20"/>
                <w:szCs w:val="20"/>
              </w:rPr>
              <w:t>Effectiveness of the 23</w:t>
            </w:r>
            <w:r w:rsidRPr="00054B27">
              <w:rPr>
                <w:rFonts w:ascii="Arial Narrow" w:hAnsi="Arial Narrow" w:cs="Arial"/>
                <w:snapToGrid w:val="0"/>
                <w:sz w:val="20"/>
                <w:szCs w:val="20"/>
              </w:rPr>
              <w:noBreakHyphen/>
              <w:t>valent pneumococcal polysaccharide vaccine against invasive pneumococcal disease in people aged 65 years and over in the North East of England, April 2006</w:t>
            </w:r>
            <w:r w:rsidRPr="00054B27">
              <w:rPr>
                <w:rFonts w:ascii="Arial Narrow" w:hAnsi="Arial Narrow" w:cs="Arial"/>
                <w:snapToGrid w:val="0"/>
                <w:sz w:val="20"/>
                <w:szCs w:val="20"/>
              </w:rPr>
              <w:noBreakHyphen/>
              <w:t xml:space="preserve">July 2012. </w:t>
            </w:r>
          </w:p>
        </w:tc>
        <w:tc>
          <w:tcPr>
            <w:tcW w:w="848" w:type="pct"/>
            <w:shd w:val="clear" w:color="auto" w:fill="auto"/>
          </w:tcPr>
          <w:p w:rsidR="00CE2C77" w:rsidRPr="00054B27" w:rsidRDefault="00CE2C77" w:rsidP="00AD362F">
            <w:pPr>
              <w:rPr>
                <w:rFonts w:ascii="Arial Narrow" w:hAnsi="Arial Narrow" w:cs="Arial"/>
                <w:i/>
                <w:iCs/>
                <w:snapToGrid w:val="0"/>
                <w:sz w:val="20"/>
                <w:szCs w:val="20"/>
              </w:rPr>
            </w:pPr>
            <w:r w:rsidRPr="00054B27">
              <w:rPr>
                <w:rFonts w:ascii="Arial Narrow" w:hAnsi="Arial Narrow" w:cs="Arial"/>
                <w:i/>
                <w:snapToGrid w:val="0"/>
                <w:sz w:val="20"/>
                <w:szCs w:val="20"/>
              </w:rPr>
              <w:t>Trials Vaccinol</w:t>
            </w:r>
            <w:r w:rsidRPr="00054B27">
              <w:rPr>
                <w:rFonts w:ascii="Arial Narrow" w:hAnsi="Arial Narrow" w:cs="Arial"/>
                <w:snapToGrid w:val="0"/>
                <w:sz w:val="20"/>
                <w:szCs w:val="20"/>
              </w:rPr>
              <w:t xml:space="preserve"> 2013; 2:45</w:t>
            </w:r>
            <w:r w:rsidRPr="00054B27">
              <w:rPr>
                <w:rFonts w:ascii="Arial Narrow" w:hAnsi="Arial Narrow" w:cs="Arial"/>
                <w:snapToGrid w:val="0"/>
                <w:sz w:val="20"/>
                <w:szCs w:val="20"/>
              </w:rPr>
              <w:noBreakHyphen/>
              <w:t>8.</w:t>
            </w:r>
          </w:p>
        </w:tc>
      </w:tr>
      <w:tr w:rsidR="00CE2C77" w:rsidRPr="00720E31" w:rsidTr="000F763D">
        <w:trPr>
          <w:cantSplit/>
        </w:trPr>
        <w:tc>
          <w:tcPr>
            <w:tcW w:w="5000" w:type="pct"/>
            <w:gridSpan w:val="3"/>
          </w:tcPr>
          <w:p w:rsidR="00CE2C77" w:rsidRPr="00054B27" w:rsidRDefault="00CE2C77" w:rsidP="00AD362F">
            <w:pPr>
              <w:rPr>
                <w:rFonts w:ascii="Arial Narrow" w:hAnsi="Arial Narrow" w:cs="Arial"/>
                <w:b/>
                <w:snapToGrid w:val="0"/>
                <w:sz w:val="20"/>
                <w:szCs w:val="20"/>
              </w:rPr>
            </w:pPr>
            <w:r w:rsidRPr="00054B27">
              <w:rPr>
                <w:rFonts w:ascii="Arial Narrow" w:hAnsi="Arial Narrow" w:cs="Arial"/>
                <w:b/>
                <w:snapToGrid w:val="0"/>
                <w:sz w:val="20"/>
                <w:szCs w:val="20"/>
              </w:rPr>
              <w:t>Immunogenicity studies</w:t>
            </w:r>
          </w:p>
        </w:tc>
      </w:tr>
      <w:tr w:rsidR="00CE2C77" w:rsidRPr="00720E31" w:rsidTr="000F763D">
        <w:trPr>
          <w:cantSplit/>
        </w:trPr>
        <w:tc>
          <w:tcPr>
            <w:tcW w:w="618" w:type="pct"/>
            <w:tcBorders>
              <w:bottom w:val="single" w:sz="4" w:space="0" w:color="auto"/>
            </w:tcBorders>
            <w:vAlign w:val="center"/>
          </w:tcPr>
          <w:p w:rsidR="00CE2C77" w:rsidRPr="00054B27" w:rsidRDefault="00CE2C77" w:rsidP="00AD362F">
            <w:pPr>
              <w:rPr>
                <w:rFonts w:ascii="Arial Narrow" w:hAnsi="Arial Narrow" w:cs="Arial"/>
                <w:snapToGrid w:val="0"/>
                <w:sz w:val="20"/>
                <w:szCs w:val="20"/>
              </w:rPr>
            </w:pPr>
            <w:r w:rsidRPr="00054B27">
              <w:rPr>
                <w:rFonts w:ascii="Arial Narrow" w:hAnsi="Arial Narrow" w:cs="Arial"/>
                <w:snapToGrid w:val="0"/>
                <w:sz w:val="20"/>
                <w:szCs w:val="20"/>
              </w:rPr>
              <w:t>B1851088</w:t>
            </w:r>
          </w:p>
        </w:tc>
        <w:tc>
          <w:tcPr>
            <w:tcW w:w="3534" w:type="pct"/>
            <w:tcBorders>
              <w:bottom w:val="single" w:sz="4" w:space="0" w:color="auto"/>
            </w:tcBorders>
            <w:vAlign w:val="center"/>
          </w:tcPr>
          <w:p w:rsidR="00CE2C77" w:rsidRPr="00054B27" w:rsidRDefault="00CE2C77" w:rsidP="00AD362F">
            <w:pPr>
              <w:rPr>
                <w:rFonts w:ascii="Arial Narrow" w:hAnsi="Arial Narrow" w:cs="Arial"/>
                <w:snapToGrid w:val="0"/>
                <w:sz w:val="20"/>
                <w:szCs w:val="20"/>
              </w:rPr>
            </w:pPr>
            <w:r w:rsidRPr="00054B27">
              <w:rPr>
                <w:rFonts w:ascii="Arial Narrow" w:hAnsi="Arial Narrow" w:cs="Arial"/>
                <w:snapToGrid w:val="0"/>
                <w:sz w:val="20"/>
                <w:szCs w:val="20"/>
              </w:rPr>
              <w:t>A phase 3, randomised, modified double</w:t>
            </w:r>
            <w:r w:rsidRPr="00054B27">
              <w:rPr>
                <w:rFonts w:ascii="Arial Narrow" w:hAnsi="Arial Narrow" w:cs="Arial"/>
                <w:snapToGrid w:val="0"/>
                <w:sz w:val="20"/>
                <w:szCs w:val="20"/>
              </w:rPr>
              <w:noBreakHyphen/>
              <w:t>blind, active controlled trial evaluating the safety, tolerability and immunogenicity of a 13</w:t>
            </w:r>
            <w:r w:rsidRPr="00054B27">
              <w:rPr>
                <w:rFonts w:ascii="Arial Narrow" w:hAnsi="Arial Narrow" w:cs="Arial"/>
                <w:snapToGrid w:val="0"/>
                <w:sz w:val="20"/>
                <w:szCs w:val="20"/>
              </w:rPr>
              <w:noBreakHyphen/>
              <w:t xml:space="preserve">valent pneumococcal conjugate vaccine (13vPCV) in Japanese elderly adults aged 65+ years who are naïve to pneumococcal vaccine. </w:t>
            </w:r>
          </w:p>
        </w:tc>
        <w:tc>
          <w:tcPr>
            <w:tcW w:w="848" w:type="pct"/>
            <w:tcBorders>
              <w:bottom w:val="single" w:sz="4" w:space="0" w:color="auto"/>
            </w:tcBorders>
          </w:tcPr>
          <w:p w:rsidR="00CE2C77" w:rsidRPr="00054B27" w:rsidRDefault="00CE2C77" w:rsidP="00AD362F">
            <w:pPr>
              <w:rPr>
                <w:rFonts w:ascii="Arial Narrow" w:hAnsi="Arial Narrow" w:cs="Arial"/>
                <w:snapToGrid w:val="0"/>
                <w:sz w:val="20"/>
                <w:szCs w:val="20"/>
              </w:rPr>
            </w:pPr>
            <w:r w:rsidRPr="00054B27">
              <w:rPr>
                <w:rFonts w:ascii="Arial Narrow" w:hAnsi="Arial Narrow" w:cs="Arial"/>
                <w:snapToGrid w:val="0"/>
                <w:sz w:val="20"/>
                <w:szCs w:val="20"/>
              </w:rPr>
              <w:t>April 2013</w:t>
            </w:r>
          </w:p>
        </w:tc>
      </w:tr>
      <w:tr w:rsidR="00CE2C77" w:rsidRPr="00720E31" w:rsidTr="000F763D">
        <w:trPr>
          <w:cantSplit/>
        </w:trPr>
        <w:tc>
          <w:tcPr>
            <w:tcW w:w="618" w:type="pct"/>
            <w:tcBorders>
              <w:bottom w:val="nil"/>
            </w:tcBorders>
            <w:vAlign w:val="center"/>
          </w:tcPr>
          <w:p w:rsidR="00CE2C77" w:rsidRPr="00054B27" w:rsidRDefault="00CE2C77" w:rsidP="00AD362F">
            <w:pPr>
              <w:rPr>
                <w:rFonts w:ascii="Arial Narrow" w:hAnsi="Arial Narrow" w:cs="Arial"/>
                <w:snapToGrid w:val="0"/>
                <w:sz w:val="20"/>
                <w:szCs w:val="20"/>
              </w:rPr>
            </w:pPr>
            <w:r w:rsidRPr="00054B27">
              <w:rPr>
                <w:rFonts w:ascii="Arial Narrow" w:hAnsi="Arial Narrow" w:cs="Arial"/>
                <w:snapToGrid w:val="0"/>
                <w:sz w:val="20"/>
                <w:szCs w:val="20"/>
              </w:rPr>
              <w:t>004</w:t>
            </w:r>
          </w:p>
        </w:tc>
        <w:tc>
          <w:tcPr>
            <w:tcW w:w="3534" w:type="pct"/>
            <w:tcBorders>
              <w:bottom w:val="nil"/>
            </w:tcBorders>
            <w:vAlign w:val="center"/>
          </w:tcPr>
          <w:p w:rsidR="00CE2C77" w:rsidRPr="00054B27" w:rsidRDefault="00CE2C77" w:rsidP="00AD362F">
            <w:pPr>
              <w:spacing w:after="60"/>
              <w:rPr>
                <w:rFonts w:ascii="Arial Narrow" w:hAnsi="Arial Narrow" w:cs="Arial"/>
                <w:sz w:val="20"/>
                <w:szCs w:val="20"/>
                <w:lang w:eastAsia="en-AU"/>
              </w:rPr>
            </w:pPr>
            <w:r w:rsidRPr="00054B27">
              <w:rPr>
                <w:rFonts w:ascii="Arial Narrow" w:hAnsi="Arial Narrow"/>
                <w:sz w:val="20"/>
                <w:szCs w:val="20"/>
                <w:lang w:eastAsia="en-AU"/>
              </w:rPr>
              <w:t>A phase 3, randomised active</w:t>
            </w:r>
            <w:r w:rsidRPr="00054B27">
              <w:rPr>
                <w:rFonts w:ascii="Arial Narrow" w:hAnsi="Arial Narrow"/>
                <w:sz w:val="20"/>
                <w:szCs w:val="20"/>
                <w:lang w:eastAsia="en-AU"/>
              </w:rPr>
              <w:noBreakHyphen/>
              <w:t>controlled, modified double</w:t>
            </w:r>
            <w:r w:rsidRPr="00054B27">
              <w:rPr>
                <w:rFonts w:ascii="Arial Narrow" w:hAnsi="Arial Narrow"/>
                <w:sz w:val="20"/>
                <w:szCs w:val="20"/>
                <w:lang w:eastAsia="en-AU"/>
              </w:rPr>
              <w:noBreakHyphen/>
              <w:t>blind trial evaluating the safety, tolerability and immunogenicity of a 13</w:t>
            </w:r>
            <w:r w:rsidRPr="00054B27">
              <w:rPr>
                <w:rFonts w:ascii="Arial Narrow" w:hAnsi="Arial Narrow"/>
                <w:sz w:val="20"/>
                <w:szCs w:val="20"/>
                <w:lang w:eastAsia="en-AU"/>
              </w:rPr>
              <w:noBreakHyphen/>
              <w:t>valent pneumococcal conjugate vaccine (13vPCV) compared to a 23</w:t>
            </w:r>
            <w:r w:rsidRPr="00054B27">
              <w:rPr>
                <w:rFonts w:ascii="Arial Narrow" w:hAnsi="Arial Narrow"/>
                <w:sz w:val="20"/>
                <w:szCs w:val="20"/>
                <w:lang w:eastAsia="en-AU"/>
              </w:rPr>
              <w:noBreakHyphen/>
              <w:t xml:space="preserve">valent pneumococcal polysaccharide vaccine (23vPPV) in adults 60 to 64 years old who are naïve to 23vPPV and the safety, tolerability and immunogenicity of 13vPCV in adults 18 to 59 years old who are naïve to 23vPPV. </w:t>
            </w:r>
          </w:p>
        </w:tc>
        <w:tc>
          <w:tcPr>
            <w:tcW w:w="848" w:type="pct"/>
            <w:tcBorders>
              <w:bottom w:val="nil"/>
            </w:tcBorders>
          </w:tcPr>
          <w:p w:rsidR="00CE2C77" w:rsidRPr="00054B27" w:rsidRDefault="00CE2C77" w:rsidP="00AD362F">
            <w:pPr>
              <w:rPr>
                <w:rFonts w:ascii="Arial Narrow" w:hAnsi="Arial Narrow" w:cs="Arial"/>
                <w:snapToGrid w:val="0"/>
                <w:sz w:val="20"/>
                <w:szCs w:val="20"/>
              </w:rPr>
            </w:pPr>
            <w:r w:rsidRPr="00054B27">
              <w:rPr>
                <w:rFonts w:ascii="Arial Narrow" w:hAnsi="Arial Narrow" w:cs="Arial"/>
                <w:snapToGrid w:val="0"/>
                <w:sz w:val="20"/>
                <w:szCs w:val="20"/>
              </w:rPr>
              <w:t>August 2010</w:t>
            </w:r>
          </w:p>
          <w:p w:rsidR="00CE2C77" w:rsidRPr="00054B27" w:rsidRDefault="00CE2C77" w:rsidP="00AD362F">
            <w:pPr>
              <w:rPr>
                <w:rFonts w:ascii="Arial Narrow" w:hAnsi="Arial Narrow" w:cs="Arial"/>
                <w:snapToGrid w:val="0"/>
                <w:sz w:val="20"/>
                <w:szCs w:val="20"/>
              </w:rPr>
            </w:pPr>
          </w:p>
          <w:p w:rsidR="00CE2C77" w:rsidRPr="00054B27" w:rsidRDefault="00CE2C77" w:rsidP="00AD362F">
            <w:pPr>
              <w:rPr>
                <w:rFonts w:ascii="Arial Narrow" w:hAnsi="Arial Narrow" w:cs="Arial"/>
                <w:snapToGrid w:val="0"/>
                <w:sz w:val="20"/>
                <w:szCs w:val="20"/>
              </w:rPr>
            </w:pPr>
          </w:p>
          <w:p w:rsidR="00CE2C77" w:rsidRPr="00054B27" w:rsidRDefault="00CE2C77" w:rsidP="00AD362F">
            <w:pPr>
              <w:rPr>
                <w:rFonts w:ascii="Arial Narrow" w:hAnsi="Arial Narrow" w:cs="Arial"/>
                <w:snapToGrid w:val="0"/>
                <w:sz w:val="20"/>
                <w:szCs w:val="20"/>
              </w:rPr>
            </w:pPr>
          </w:p>
        </w:tc>
      </w:tr>
      <w:tr w:rsidR="00CE2C77" w:rsidRPr="00720E31" w:rsidTr="000F763D">
        <w:trPr>
          <w:cantSplit/>
        </w:trPr>
        <w:tc>
          <w:tcPr>
            <w:tcW w:w="618" w:type="pct"/>
            <w:tcBorders>
              <w:top w:val="nil"/>
              <w:bottom w:val="single" w:sz="4" w:space="0" w:color="auto"/>
            </w:tcBorders>
            <w:vAlign w:val="center"/>
          </w:tcPr>
          <w:p w:rsidR="00CE2C77" w:rsidRPr="00054B27" w:rsidRDefault="00CE2C77" w:rsidP="00AD362F">
            <w:pPr>
              <w:rPr>
                <w:rFonts w:ascii="Arial Narrow" w:hAnsi="Arial Narrow" w:cs="Arial"/>
                <w:snapToGrid w:val="0"/>
                <w:sz w:val="20"/>
                <w:szCs w:val="20"/>
              </w:rPr>
            </w:pPr>
          </w:p>
        </w:tc>
        <w:tc>
          <w:tcPr>
            <w:tcW w:w="3534" w:type="pct"/>
            <w:tcBorders>
              <w:top w:val="nil"/>
              <w:bottom w:val="single" w:sz="4" w:space="0" w:color="auto"/>
            </w:tcBorders>
            <w:vAlign w:val="center"/>
          </w:tcPr>
          <w:p w:rsidR="00CE2C77" w:rsidRPr="00054B27" w:rsidRDefault="00CE2C77" w:rsidP="00AD362F">
            <w:pPr>
              <w:spacing w:after="60"/>
              <w:rPr>
                <w:rFonts w:ascii="Arial Narrow" w:hAnsi="Arial Narrow"/>
                <w:sz w:val="20"/>
                <w:szCs w:val="20"/>
                <w:lang w:eastAsia="en-AU"/>
              </w:rPr>
            </w:pPr>
            <w:r w:rsidRPr="00054B27">
              <w:rPr>
                <w:rFonts w:ascii="Arial Narrow" w:hAnsi="Arial Narrow"/>
                <w:sz w:val="20"/>
                <w:szCs w:val="22"/>
                <w:lang w:eastAsia="en-AU"/>
              </w:rPr>
              <w:t xml:space="preserve">Jackson LA, Gurtman LA, van Cleeff A, </w:t>
            </w:r>
            <w:r w:rsidRPr="00054B27">
              <w:rPr>
                <w:rFonts w:ascii="Arial Narrow" w:hAnsi="Arial Narrow"/>
                <w:i/>
                <w:sz w:val="20"/>
                <w:szCs w:val="22"/>
                <w:lang w:eastAsia="en-AU"/>
              </w:rPr>
              <w:t>et al</w:t>
            </w:r>
            <w:r w:rsidRPr="00054B27">
              <w:rPr>
                <w:rFonts w:ascii="Arial Narrow" w:hAnsi="Arial Narrow"/>
                <w:sz w:val="20"/>
                <w:szCs w:val="22"/>
                <w:lang w:eastAsia="en-AU"/>
              </w:rPr>
              <w:t>. Immunogenicity and safety of a 13</w:t>
            </w:r>
            <w:r w:rsidRPr="00054B27">
              <w:rPr>
                <w:rFonts w:ascii="Arial Narrow" w:hAnsi="Arial Narrow"/>
                <w:sz w:val="20"/>
                <w:szCs w:val="22"/>
                <w:lang w:eastAsia="en-AU"/>
              </w:rPr>
              <w:noBreakHyphen/>
              <w:t>valent pneumococcal conjugate vaccine to a 23</w:t>
            </w:r>
            <w:r w:rsidRPr="00054B27">
              <w:rPr>
                <w:rFonts w:ascii="Arial Narrow" w:hAnsi="Arial Narrow"/>
                <w:sz w:val="20"/>
                <w:szCs w:val="22"/>
                <w:lang w:eastAsia="en-AU"/>
              </w:rPr>
              <w:noBreakHyphen/>
              <w:t>valent pneumococcal polysaccharide vaccine in pneumococcal vaccine</w:t>
            </w:r>
            <w:r w:rsidRPr="00054B27">
              <w:rPr>
                <w:rFonts w:ascii="Arial Narrow" w:hAnsi="Arial Narrow"/>
                <w:sz w:val="20"/>
                <w:szCs w:val="22"/>
                <w:lang w:eastAsia="en-AU"/>
              </w:rPr>
              <w:noBreakHyphen/>
              <w:t>naïve adults.</w:t>
            </w:r>
          </w:p>
        </w:tc>
        <w:tc>
          <w:tcPr>
            <w:tcW w:w="848" w:type="pct"/>
            <w:tcBorders>
              <w:top w:val="nil"/>
              <w:bottom w:val="single" w:sz="4" w:space="0" w:color="auto"/>
            </w:tcBorders>
          </w:tcPr>
          <w:p w:rsidR="00CE2C77" w:rsidRPr="00054B27" w:rsidRDefault="00CE2C77" w:rsidP="00AD362F">
            <w:pPr>
              <w:rPr>
                <w:rFonts w:ascii="Arial Narrow" w:hAnsi="Arial Narrow" w:cs="Arial"/>
                <w:snapToGrid w:val="0"/>
                <w:sz w:val="20"/>
                <w:szCs w:val="20"/>
              </w:rPr>
            </w:pPr>
            <w:r w:rsidRPr="00054B27">
              <w:rPr>
                <w:rFonts w:ascii="Arial Narrow" w:hAnsi="Arial Narrow" w:cs="Arial"/>
                <w:i/>
                <w:snapToGrid w:val="0"/>
                <w:sz w:val="20"/>
                <w:szCs w:val="20"/>
              </w:rPr>
              <w:t>Vaccine</w:t>
            </w:r>
            <w:r w:rsidRPr="00054B27">
              <w:rPr>
                <w:rFonts w:ascii="Arial Narrow" w:hAnsi="Arial Narrow" w:cs="Arial"/>
                <w:snapToGrid w:val="0"/>
                <w:sz w:val="20"/>
                <w:szCs w:val="20"/>
              </w:rPr>
              <w:t xml:space="preserve"> 2013; 31:3577</w:t>
            </w:r>
            <w:r w:rsidRPr="00054B27">
              <w:rPr>
                <w:rFonts w:ascii="Arial Narrow" w:hAnsi="Arial Narrow" w:cs="Arial"/>
                <w:snapToGrid w:val="0"/>
                <w:sz w:val="20"/>
                <w:szCs w:val="20"/>
              </w:rPr>
              <w:noBreakHyphen/>
              <w:t>584</w:t>
            </w:r>
          </w:p>
        </w:tc>
      </w:tr>
      <w:tr w:rsidR="00CE2C77" w:rsidRPr="00720E31" w:rsidTr="000F763D">
        <w:trPr>
          <w:cantSplit/>
        </w:trPr>
        <w:tc>
          <w:tcPr>
            <w:tcW w:w="618" w:type="pct"/>
            <w:tcBorders>
              <w:bottom w:val="nil"/>
            </w:tcBorders>
            <w:vAlign w:val="center"/>
          </w:tcPr>
          <w:p w:rsidR="00CE2C77" w:rsidRPr="00054B27" w:rsidRDefault="00CE2C77" w:rsidP="00AD362F">
            <w:pPr>
              <w:rPr>
                <w:rFonts w:ascii="Arial Narrow" w:hAnsi="Arial Narrow" w:cs="Arial"/>
                <w:snapToGrid w:val="0"/>
                <w:sz w:val="20"/>
                <w:szCs w:val="20"/>
              </w:rPr>
            </w:pPr>
            <w:r w:rsidRPr="00054B27">
              <w:rPr>
                <w:rFonts w:ascii="Arial Narrow" w:hAnsi="Arial Narrow" w:cs="Arial"/>
                <w:snapToGrid w:val="0"/>
                <w:sz w:val="20"/>
                <w:szCs w:val="20"/>
              </w:rPr>
              <w:t>3001</w:t>
            </w:r>
          </w:p>
        </w:tc>
        <w:tc>
          <w:tcPr>
            <w:tcW w:w="3534" w:type="pct"/>
            <w:tcBorders>
              <w:bottom w:val="nil"/>
            </w:tcBorders>
            <w:vAlign w:val="center"/>
          </w:tcPr>
          <w:p w:rsidR="00CE2C77" w:rsidRPr="00054B27" w:rsidRDefault="00CE2C77" w:rsidP="00AD362F">
            <w:pPr>
              <w:spacing w:after="60"/>
              <w:rPr>
                <w:rFonts w:ascii="Arial Narrow" w:hAnsi="Arial Narrow" w:cs="Arial"/>
                <w:sz w:val="20"/>
                <w:szCs w:val="20"/>
                <w:lang w:eastAsia="en-AU"/>
              </w:rPr>
            </w:pPr>
            <w:r w:rsidRPr="00054B27">
              <w:rPr>
                <w:rFonts w:ascii="Arial Narrow" w:hAnsi="Arial Narrow"/>
                <w:sz w:val="20"/>
                <w:szCs w:val="20"/>
                <w:lang w:eastAsia="en-AU"/>
              </w:rPr>
              <w:t>A phase 3, randomised double</w:t>
            </w:r>
            <w:r w:rsidRPr="00054B27">
              <w:rPr>
                <w:rFonts w:ascii="Arial Narrow" w:hAnsi="Arial Narrow"/>
                <w:sz w:val="20"/>
                <w:szCs w:val="20"/>
                <w:lang w:eastAsia="en-AU"/>
              </w:rPr>
              <w:noBreakHyphen/>
              <w:t>blind trial to evaluate the safety, tolerability and immunogenicity of a 13</w:t>
            </w:r>
            <w:r w:rsidRPr="00054B27">
              <w:rPr>
                <w:rFonts w:ascii="Arial Narrow" w:hAnsi="Arial Narrow"/>
                <w:sz w:val="20"/>
                <w:szCs w:val="20"/>
                <w:lang w:eastAsia="en-AU"/>
              </w:rPr>
              <w:noBreakHyphen/>
              <w:t>valent pneumococcal conjugate vaccine when administered concomitantly with trivalent inactivated influenza vaccine in health adults 50</w:t>
            </w:r>
            <w:r w:rsidRPr="00054B27">
              <w:rPr>
                <w:rFonts w:ascii="Arial Narrow" w:hAnsi="Arial Narrow"/>
                <w:sz w:val="20"/>
                <w:szCs w:val="20"/>
                <w:lang w:eastAsia="en-AU"/>
              </w:rPr>
              <w:noBreakHyphen/>
              <w:t>59 years of age who are naïve to 23</w:t>
            </w:r>
            <w:r w:rsidRPr="00054B27">
              <w:rPr>
                <w:rFonts w:ascii="Arial Narrow" w:hAnsi="Arial Narrow"/>
                <w:sz w:val="20"/>
                <w:szCs w:val="20"/>
                <w:lang w:eastAsia="en-AU"/>
              </w:rPr>
              <w:noBreakHyphen/>
              <w:t>valent pneumococcal polysaccharide vaccine and to evaluate the immune response of a second dose of 13vPCV administered 5 years after initial 13vPCV vaccination.</w:t>
            </w:r>
          </w:p>
        </w:tc>
        <w:tc>
          <w:tcPr>
            <w:tcW w:w="848" w:type="pct"/>
            <w:tcBorders>
              <w:bottom w:val="nil"/>
            </w:tcBorders>
          </w:tcPr>
          <w:p w:rsidR="00CE2C77" w:rsidRPr="00054B27" w:rsidRDefault="00CE2C77" w:rsidP="00AD362F">
            <w:pPr>
              <w:rPr>
                <w:rFonts w:ascii="Arial Narrow" w:hAnsi="Arial Narrow" w:cs="Arial"/>
                <w:snapToGrid w:val="0"/>
                <w:sz w:val="20"/>
                <w:szCs w:val="20"/>
              </w:rPr>
            </w:pPr>
            <w:r w:rsidRPr="00054B27">
              <w:rPr>
                <w:rFonts w:ascii="Arial Narrow" w:hAnsi="Arial Narrow" w:cs="Arial"/>
                <w:snapToGrid w:val="0"/>
                <w:sz w:val="20"/>
                <w:szCs w:val="20"/>
              </w:rPr>
              <w:t>November 2009</w:t>
            </w:r>
          </w:p>
          <w:p w:rsidR="00CE2C77" w:rsidRPr="00054B27" w:rsidRDefault="00CE2C77" w:rsidP="00AD362F">
            <w:pPr>
              <w:rPr>
                <w:rFonts w:ascii="Arial Narrow" w:hAnsi="Arial Narrow" w:cs="Arial"/>
                <w:snapToGrid w:val="0"/>
                <w:sz w:val="20"/>
                <w:szCs w:val="20"/>
              </w:rPr>
            </w:pPr>
          </w:p>
          <w:p w:rsidR="00CE2C77" w:rsidRPr="00054B27" w:rsidRDefault="00CE2C77" w:rsidP="00AD362F">
            <w:pPr>
              <w:rPr>
                <w:rFonts w:ascii="Arial Narrow" w:hAnsi="Arial Narrow" w:cs="Arial"/>
                <w:snapToGrid w:val="0"/>
                <w:sz w:val="20"/>
                <w:szCs w:val="20"/>
              </w:rPr>
            </w:pPr>
          </w:p>
          <w:p w:rsidR="00CE2C77" w:rsidRPr="00054B27" w:rsidRDefault="00CE2C77" w:rsidP="00AD362F">
            <w:pPr>
              <w:rPr>
                <w:rFonts w:ascii="Arial Narrow" w:hAnsi="Arial Narrow" w:cs="Arial"/>
                <w:snapToGrid w:val="0"/>
                <w:sz w:val="20"/>
                <w:szCs w:val="20"/>
              </w:rPr>
            </w:pPr>
          </w:p>
          <w:p w:rsidR="00CE2C77" w:rsidRPr="00054B27" w:rsidRDefault="00CE2C77" w:rsidP="00AD362F">
            <w:pPr>
              <w:rPr>
                <w:rFonts w:ascii="Arial Narrow" w:hAnsi="Arial Narrow" w:cs="Arial"/>
                <w:snapToGrid w:val="0"/>
                <w:sz w:val="20"/>
                <w:szCs w:val="20"/>
              </w:rPr>
            </w:pPr>
          </w:p>
          <w:p w:rsidR="00CE2C77" w:rsidRPr="00054B27" w:rsidRDefault="00CE2C77" w:rsidP="00AD362F">
            <w:pPr>
              <w:rPr>
                <w:rFonts w:ascii="Arial Narrow" w:hAnsi="Arial Narrow" w:cs="Arial"/>
                <w:snapToGrid w:val="0"/>
                <w:sz w:val="20"/>
                <w:szCs w:val="20"/>
              </w:rPr>
            </w:pPr>
          </w:p>
          <w:p w:rsidR="00CE2C77" w:rsidRPr="00054B27" w:rsidRDefault="00CE2C77" w:rsidP="00AD362F">
            <w:pPr>
              <w:rPr>
                <w:rFonts w:ascii="Arial Narrow" w:hAnsi="Arial Narrow" w:cs="Arial"/>
                <w:snapToGrid w:val="0"/>
                <w:sz w:val="20"/>
                <w:szCs w:val="20"/>
              </w:rPr>
            </w:pPr>
          </w:p>
          <w:p w:rsidR="00CE2C77" w:rsidRPr="00054B27" w:rsidRDefault="00CE2C77" w:rsidP="00AD362F">
            <w:pPr>
              <w:rPr>
                <w:rFonts w:ascii="Arial Narrow" w:hAnsi="Arial Narrow" w:cs="Arial"/>
                <w:snapToGrid w:val="0"/>
                <w:sz w:val="20"/>
                <w:szCs w:val="20"/>
              </w:rPr>
            </w:pPr>
          </w:p>
        </w:tc>
      </w:tr>
      <w:tr w:rsidR="00CE2C77" w:rsidRPr="00720E31" w:rsidTr="000F763D">
        <w:trPr>
          <w:cantSplit/>
        </w:trPr>
        <w:tc>
          <w:tcPr>
            <w:tcW w:w="618" w:type="pct"/>
            <w:tcBorders>
              <w:top w:val="nil"/>
            </w:tcBorders>
            <w:vAlign w:val="center"/>
          </w:tcPr>
          <w:p w:rsidR="00CE2C77" w:rsidRDefault="00720E31" w:rsidP="00AD362F">
            <w:pPr>
              <w:rPr>
                <w:rFonts w:ascii="Arial Narrow" w:hAnsi="Arial Narrow"/>
                <w:sz w:val="20"/>
                <w:szCs w:val="22"/>
                <w:lang w:eastAsia="en-AU"/>
              </w:rPr>
            </w:pPr>
            <w:r w:rsidRPr="0091553E">
              <w:rPr>
                <w:rFonts w:ascii="Arial Narrow" w:hAnsi="Arial Narrow"/>
                <w:sz w:val="20"/>
                <w:szCs w:val="22"/>
                <w:lang w:eastAsia="en-AU"/>
              </w:rPr>
              <w:t>Frenck</w:t>
            </w:r>
          </w:p>
          <w:p w:rsidR="00720E31" w:rsidRDefault="00720E31" w:rsidP="00AD362F">
            <w:pPr>
              <w:rPr>
                <w:rFonts w:ascii="Arial Narrow" w:hAnsi="Arial Narrow"/>
                <w:sz w:val="20"/>
                <w:szCs w:val="22"/>
                <w:lang w:eastAsia="en-AU"/>
              </w:rPr>
            </w:pPr>
          </w:p>
          <w:p w:rsidR="00720E31" w:rsidRPr="00054B27" w:rsidRDefault="00720E31" w:rsidP="00AD362F">
            <w:pPr>
              <w:rPr>
                <w:rFonts w:ascii="Arial Narrow" w:hAnsi="Arial Narrow" w:cs="Arial"/>
                <w:snapToGrid w:val="0"/>
                <w:sz w:val="20"/>
                <w:szCs w:val="20"/>
              </w:rPr>
            </w:pPr>
          </w:p>
        </w:tc>
        <w:tc>
          <w:tcPr>
            <w:tcW w:w="3534" w:type="pct"/>
            <w:tcBorders>
              <w:top w:val="nil"/>
            </w:tcBorders>
            <w:vAlign w:val="center"/>
          </w:tcPr>
          <w:p w:rsidR="00CE2C77" w:rsidRPr="00054B27" w:rsidRDefault="00CE2C77" w:rsidP="00AD362F">
            <w:pPr>
              <w:spacing w:after="60"/>
              <w:rPr>
                <w:rFonts w:ascii="Arial Narrow" w:hAnsi="Arial Narrow"/>
                <w:sz w:val="20"/>
                <w:szCs w:val="20"/>
                <w:lang w:eastAsia="en-AU"/>
              </w:rPr>
            </w:pPr>
            <w:r w:rsidRPr="00054B27">
              <w:rPr>
                <w:rFonts w:ascii="Arial Narrow" w:hAnsi="Arial Narrow"/>
                <w:sz w:val="20"/>
                <w:szCs w:val="22"/>
                <w:lang w:eastAsia="en-AU"/>
              </w:rPr>
              <w:t>Randomised, controlled trial of a 13</w:t>
            </w:r>
            <w:r w:rsidRPr="00054B27">
              <w:rPr>
                <w:rFonts w:ascii="Arial Narrow" w:hAnsi="Arial Narrow"/>
                <w:sz w:val="20"/>
                <w:szCs w:val="22"/>
                <w:lang w:eastAsia="en-AU"/>
              </w:rPr>
              <w:noBreakHyphen/>
              <w:t>valent pneumococcal conjugate vaccine administered concomitantly with an influenza vaccine in healthy adults.</w:t>
            </w:r>
          </w:p>
        </w:tc>
        <w:tc>
          <w:tcPr>
            <w:tcW w:w="848" w:type="pct"/>
            <w:tcBorders>
              <w:top w:val="nil"/>
            </w:tcBorders>
          </w:tcPr>
          <w:p w:rsidR="00CE2C77" w:rsidRPr="00054B27" w:rsidRDefault="00CE2C77" w:rsidP="00AD362F">
            <w:pPr>
              <w:rPr>
                <w:rFonts w:ascii="Arial Narrow" w:hAnsi="Arial Narrow" w:cs="Arial"/>
                <w:snapToGrid w:val="0"/>
                <w:sz w:val="20"/>
                <w:szCs w:val="20"/>
              </w:rPr>
            </w:pPr>
            <w:r w:rsidRPr="00054B27">
              <w:rPr>
                <w:rFonts w:ascii="Arial Narrow" w:hAnsi="Arial Narrow" w:cs="Arial"/>
                <w:i/>
                <w:snapToGrid w:val="0"/>
                <w:sz w:val="20"/>
                <w:szCs w:val="20"/>
              </w:rPr>
              <w:t>Clin Vaccine Immunol</w:t>
            </w:r>
            <w:r w:rsidRPr="00054B27">
              <w:rPr>
                <w:rFonts w:ascii="Arial Narrow" w:hAnsi="Arial Narrow" w:cs="Arial"/>
                <w:snapToGrid w:val="0"/>
                <w:sz w:val="20"/>
                <w:szCs w:val="20"/>
              </w:rPr>
              <w:t xml:space="preserve"> 2012; 19:1296</w:t>
            </w:r>
          </w:p>
        </w:tc>
      </w:tr>
      <w:tr w:rsidR="00CE2C77" w:rsidRPr="00720E31" w:rsidTr="000F763D">
        <w:trPr>
          <w:cantSplit/>
        </w:trPr>
        <w:tc>
          <w:tcPr>
            <w:tcW w:w="618" w:type="pct"/>
            <w:tcBorders>
              <w:bottom w:val="single" w:sz="4" w:space="0" w:color="auto"/>
            </w:tcBorders>
            <w:vAlign w:val="center"/>
          </w:tcPr>
          <w:p w:rsidR="00CE2C77" w:rsidRPr="00054B27" w:rsidRDefault="00CE2C77" w:rsidP="00AD362F">
            <w:pPr>
              <w:rPr>
                <w:rFonts w:ascii="Arial Narrow" w:hAnsi="Arial Narrow" w:cs="Arial"/>
                <w:snapToGrid w:val="0"/>
                <w:sz w:val="20"/>
                <w:szCs w:val="20"/>
              </w:rPr>
            </w:pPr>
            <w:r w:rsidRPr="00054B27">
              <w:rPr>
                <w:rFonts w:ascii="Arial Narrow" w:hAnsi="Arial Narrow" w:cs="Arial"/>
                <w:snapToGrid w:val="0"/>
                <w:sz w:val="20"/>
                <w:szCs w:val="20"/>
              </w:rPr>
              <w:t>3004</w:t>
            </w:r>
          </w:p>
        </w:tc>
        <w:tc>
          <w:tcPr>
            <w:tcW w:w="3534" w:type="pct"/>
            <w:tcBorders>
              <w:bottom w:val="single" w:sz="4" w:space="0" w:color="auto"/>
            </w:tcBorders>
            <w:vAlign w:val="center"/>
          </w:tcPr>
          <w:p w:rsidR="00CE2C77" w:rsidRPr="00054B27" w:rsidRDefault="00CE2C77" w:rsidP="00AD362F">
            <w:pPr>
              <w:rPr>
                <w:rFonts w:ascii="Arial Narrow" w:hAnsi="Arial Narrow" w:cs="Arial"/>
                <w:snapToGrid w:val="0"/>
                <w:sz w:val="20"/>
                <w:szCs w:val="20"/>
              </w:rPr>
            </w:pPr>
            <w:r w:rsidRPr="00054B27">
              <w:rPr>
                <w:rFonts w:ascii="Arial Narrow" w:hAnsi="Arial Narrow" w:cs="Arial"/>
                <w:snapToGrid w:val="0"/>
                <w:sz w:val="20"/>
                <w:szCs w:val="20"/>
              </w:rPr>
              <w:t>A phase 3, open</w:t>
            </w:r>
            <w:r w:rsidRPr="00054B27">
              <w:rPr>
                <w:rFonts w:ascii="Arial Narrow" w:hAnsi="Arial Narrow" w:cs="Arial"/>
                <w:snapToGrid w:val="0"/>
                <w:sz w:val="20"/>
                <w:szCs w:val="20"/>
              </w:rPr>
              <w:noBreakHyphen/>
              <w:t>label trial to evaluate the safety, tolerability, and immunogenicity of a 13</w:t>
            </w:r>
            <w:r w:rsidRPr="00054B27">
              <w:rPr>
                <w:rFonts w:ascii="Arial Narrow" w:hAnsi="Arial Narrow" w:cs="Arial"/>
                <w:snapToGrid w:val="0"/>
                <w:sz w:val="20"/>
                <w:szCs w:val="20"/>
              </w:rPr>
              <w:noBreakHyphen/>
              <w:t>valent pneumococcal conjugate vaccine when administered to healthy Japanese adults aged ≥65 years and 50 to 64 years in Japan who have not received a previous dose of 23</w:t>
            </w:r>
            <w:r w:rsidRPr="00054B27">
              <w:rPr>
                <w:rFonts w:ascii="Arial Narrow" w:hAnsi="Arial Narrow" w:cs="Arial"/>
                <w:snapToGrid w:val="0"/>
                <w:sz w:val="20"/>
                <w:szCs w:val="20"/>
              </w:rPr>
              <w:noBreakHyphen/>
              <w:t xml:space="preserve">valent pneumococcal polysaccharide vaccine. </w:t>
            </w:r>
          </w:p>
        </w:tc>
        <w:tc>
          <w:tcPr>
            <w:tcW w:w="848" w:type="pct"/>
            <w:tcBorders>
              <w:bottom w:val="single" w:sz="4" w:space="0" w:color="auto"/>
            </w:tcBorders>
          </w:tcPr>
          <w:p w:rsidR="00CE2C77" w:rsidRPr="00054B27" w:rsidRDefault="00CE2C77" w:rsidP="00AD362F">
            <w:pPr>
              <w:rPr>
                <w:rFonts w:ascii="Arial Narrow" w:hAnsi="Arial Narrow" w:cs="Arial"/>
                <w:snapToGrid w:val="0"/>
                <w:sz w:val="20"/>
                <w:szCs w:val="20"/>
              </w:rPr>
            </w:pPr>
            <w:r w:rsidRPr="00054B27">
              <w:rPr>
                <w:rFonts w:ascii="Arial Narrow" w:hAnsi="Arial Narrow" w:cs="Arial"/>
                <w:snapToGrid w:val="0"/>
                <w:sz w:val="20"/>
                <w:szCs w:val="20"/>
              </w:rPr>
              <w:t>July 2011</w:t>
            </w:r>
          </w:p>
        </w:tc>
      </w:tr>
      <w:tr w:rsidR="00CE2C77" w:rsidRPr="00720E31" w:rsidTr="000F763D">
        <w:trPr>
          <w:cantSplit/>
        </w:trPr>
        <w:tc>
          <w:tcPr>
            <w:tcW w:w="618" w:type="pct"/>
            <w:tcBorders>
              <w:bottom w:val="nil"/>
            </w:tcBorders>
            <w:vAlign w:val="center"/>
          </w:tcPr>
          <w:p w:rsidR="00CE2C77" w:rsidRPr="00054B27" w:rsidRDefault="00CE2C77" w:rsidP="00AD362F">
            <w:pPr>
              <w:rPr>
                <w:rFonts w:ascii="Arial Narrow" w:hAnsi="Arial Narrow" w:cs="Arial"/>
                <w:snapToGrid w:val="0"/>
                <w:sz w:val="20"/>
                <w:szCs w:val="20"/>
              </w:rPr>
            </w:pPr>
            <w:r w:rsidRPr="00054B27">
              <w:rPr>
                <w:rFonts w:ascii="Arial Narrow" w:hAnsi="Arial Narrow" w:cs="Arial"/>
                <w:snapToGrid w:val="0"/>
                <w:sz w:val="20"/>
                <w:szCs w:val="20"/>
              </w:rPr>
              <w:t>3008</w:t>
            </w:r>
          </w:p>
        </w:tc>
        <w:tc>
          <w:tcPr>
            <w:tcW w:w="3534" w:type="pct"/>
            <w:tcBorders>
              <w:bottom w:val="nil"/>
            </w:tcBorders>
            <w:vAlign w:val="center"/>
          </w:tcPr>
          <w:p w:rsidR="00CE2C77" w:rsidRPr="00054B27" w:rsidRDefault="00CE2C77" w:rsidP="00AD362F">
            <w:pPr>
              <w:spacing w:after="60"/>
              <w:rPr>
                <w:rFonts w:ascii="Arial Narrow" w:hAnsi="Arial Narrow" w:cs="Arial"/>
                <w:sz w:val="20"/>
                <w:szCs w:val="20"/>
                <w:lang w:eastAsia="en-AU"/>
              </w:rPr>
            </w:pPr>
            <w:r w:rsidRPr="00054B27">
              <w:rPr>
                <w:rFonts w:ascii="Arial Narrow" w:hAnsi="Arial Narrow"/>
                <w:sz w:val="20"/>
                <w:szCs w:val="20"/>
                <w:lang w:eastAsia="en-AU"/>
              </w:rPr>
              <w:t>A phase 3, randomised, double</w:t>
            </w:r>
            <w:r w:rsidRPr="00054B27">
              <w:rPr>
                <w:rFonts w:ascii="Arial Narrow" w:hAnsi="Arial Narrow"/>
                <w:sz w:val="20"/>
                <w:szCs w:val="20"/>
                <w:lang w:eastAsia="en-AU"/>
              </w:rPr>
              <w:noBreakHyphen/>
              <w:t>blind trial to evaluate the safety, tolerability and immunogenicity of a 13</w:t>
            </w:r>
            <w:r w:rsidRPr="00054B27">
              <w:rPr>
                <w:rFonts w:ascii="Arial Narrow" w:hAnsi="Arial Narrow"/>
                <w:sz w:val="20"/>
                <w:szCs w:val="20"/>
                <w:lang w:eastAsia="en-AU"/>
              </w:rPr>
              <w:noBreakHyphen/>
              <w:t>valent pneumococcal conjugate vaccine when administered concomitantly with trivalent inactivated influenza vaccine in healthy adults 65 years of age or older who are naïve to 23</w:t>
            </w:r>
            <w:r w:rsidRPr="00054B27">
              <w:rPr>
                <w:rFonts w:ascii="Arial Narrow" w:hAnsi="Arial Narrow"/>
                <w:sz w:val="20"/>
                <w:szCs w:val="20"/>
                <w:lang w:eastAsia="en-AU"/>
              </w:rPr>
              <w:noBreakHyphen/>
              <w:t xml:space="preserve">valent pneumococcal polysaccharide vaccine. </w:t>
            </w:r>
          </w:p>
        </w:tc>
        <w:tc>
          <w:tcPr>
            <w:tcW w:w="848" w:type="pct"/>
            <w:tcBorders>
              <w:bottom w:val="nil"/>
            </w:tcBorders>
          </w:tcPr>
          <w:p w:rsidR="00CE2C77" w:rsidRPr="00054B27" w:rsidRDefault="00CE2C77" w:rsidP="00AD362F">
            <w:pPr>
              <w:rPr>
                <w:rFonts w:ascii="Arial Narrow" w:hAnsi="Arial Narrow" w:cs="Arial"/>
                <w:snapToGrid w:val="0"/>
                <w:sz w:val="20"/>
                <w:szCs w:val="20"/>
              </w:rPr>
            </w:pPr>
            <w:r w:rsidRPr="00054B27">
              <w:rPr>
                <w:rFonts w:ascii="Arial Narrow" w:hAnsi="Arial Narrow" w:cs="Arial"/>
                <w:snapToGrid w:val="0"/>
                <w:sz w:val="20"/>
                <w:szCs w:val="20"/>
              </w:rPr>
              <w:t>August 2010</w:t>
            </w:r>
          </w:p>
          <w:p w:rsidR="00CE2C77" w:rsidRPr="00054B27" w:rsidRDefault="00CE2C77" w:rsidP="00AD362F">
            <w:pPr>
              <w:rPr>
                <w:rFonts w:ascii="Arial Narrow" w:hAnsi="Arial Narrow" w:cs="Arial"/>
                <w:snapToGrid w:val="0"/>
                <w:sz w:val="20"/>
                <w:szCs w:val="20"/>
              </w:rPr>
            </w:pPr>
          </w:p>
          <w:p w:rsidR="00CE2C77" w:rsidRPr="00054B27" w:rsidRDefault="00CE2C77" w:rsidP="00AD362F">
            <w:pPr>
              <w:rPr>
                <w:rFonts w:ascii="Arial Narrow" w:hAnsi="Arial Narrow" w:cs="Arial"/>
                <w:snapToGrid w:val="0"/>
                <w:sz w:val="20"/>
                <w:szCs w:val="20"/>
              </w:rPr>
            </w:pPr>
          </w:p>
          <w:p w:rsidR="00CE2C77" w:rsidRPr="00054B27" w:rsidRDefault="00CE2C77" w:rsidP="00AD362F">
            <w:pPr>
              <w:rPr>
                <w:rFonts w:ascii="Arial Narrow" w:hAnsi="Arial Narrow" w:cs="Arial"/>
                <w:snapToGrid w:val="0"/>
                <w:sz w:val="20"/>
                <w:szCs w:val="20"/>
              </w:rPr>
            </w:pPr>
          </w:p>
          <w:p w:rsidR="00CE2C77" w:rsidRPr="00054B27" w:rsidRDefault="00CE2C77" w:rsidP="00AD362F">
            <w:pPr>
              <w:rPr>
                <w:rFonts w:ascii="Arial Narrow" w:hAnsi="Arial Narrow" w:cs="Arial"/>
                <w:snapToGrid w:val="0"/>
                <w:sz w:val="20"/>
                <w:szCs w:val="20"/>
              </w:rPr>
            </w:pPr>
          </w:p>
        </w:tc>
      </w:tr>
      <w:tr w:rsidR="00CE2C77" w:rsidRPr="00720E31" w:rsidTr="000F763D">
        <w:trPr>
          <w:cantSplit/>
        </w:trPr>
        <w:tc>
          <w:tcPr>
            <w:tcW w:w="618" w:type="pct"/>
            <w:tcBorders>
              <w:top w:val="nil"/>
            </w:tcBorders>
            <w:vAlign w:val="center"/>
          </w:tcPr>
          <w:p w:rsidR="00CE2C77" w:rsidRDefault="00720E31" w:rsidP="00AD362F">
            <w:pPr>
              <w:rPr>
                <w:rFonts w:ascii="Arial Narrow" w:hAnsi="Arial Narrow"/>
                <w:sz w:val="20"/>
                <w:szCs w:val="22"/>
                <w:lang w:eastAsia="en-AU"/>
              </w:rPr>
            </w:pPr>
            <w:r w:rsidRPr="0091553E">
              <w:rPr>
                <w:rFonts w:ascii="Arial Narrow" w:hAnsi="Arial Narrow"/>
                <w:sz w:val="20"/>
                <w:szCs w:val="22"/>
                <w:lang w:eastAsia="en-AU"/>
              </w:rPr>
              <w:lastRenderedPageBreak/>
              <w:t>Schwartz</w:t>
            </w:r>
          </w:p>
          <w:p w:rsidR="00720E31" w:rsidRDefault="00720E31" w:rsidP="00AD362F">
            <w:pPr>
              <w:rPr>
                <w:rFonts w:ascii="Arial Narrow" w:hAnsi="Arial Narrow"/>
                <w:sz w:val="20"/>
                <w:szCs w:val="22"/>
                <w:lang w:eastAsia="en-AU"/>
              </w:rPr>
            </w:pPr>
          </w:p>
          <w:p w:rsidR="00720E31" w:rsidRPr="00054B27" w:rsidRDefault="00720E31" w:rsidP="00AD362F">
            <w:pPr>
              <w:rPr>
                <w:rFonts w:ascii="Arial Narrow" w:hAnsi="Arial Narrow" w:cs="Arial"/>
                <w:snapToGrid w:val="0"/>
                <w:sz w:val="20"/>
                <w:szCs w:val="20"/>
              </w:rPr>
            </w:pPr>
          </w:p>
        </w:tc>
        <w:tc>
          <w:tcPr>
            <w:tcW w:w="3534" w:type="pct"/>
            <w:tcBorders>
              <w:top w:val="nil"/>
            </w:tcBorders>
            <w:vAlign w:val="center"/>
          </w:tcPr>
          <w:p w:rsidR="00CE2C77" w:rsidRPr="00054B27" w:rsidRDefault="00CE2C77" w:rsidP="00AD362F">
            <w:pPr>
              <w:spacing w:after="60"/>
              <w:rPr>
                <w:rFonts w:ascii="Arial Narrow" w:hAnsi="Arial Narrow"/>
                <w:sz w:val="20"/>
                <w:szCs w:val="20"/>
                <w:lang w:eastAsia="en-AU"/>
              </w:rPr>
            </w:pPr>
            <w:r w:rsidRPr="00054B27">
              <w:rPr>
                <w:rFonts w:ascii="Arial Narrow" w:hAnsi="Arial Narrow"/>
                <w:sz w:val="20"/>
                <w:szCs w:val="22"/>
                <w:lang w:eastAsia="en-AU"/>
              </w:rPr>
              <w:t>A randomised, double</w:t>
            </w:r>
            <w:r w:rsidRPr="00054B27">
              <w:rPr>
                <w:rFonts w:ascii="Arial Narrow" w:hAnsi="Arial Narrow"/>
                <w:sz w:val="20"/>
                <w:szCs w:val="22"/>
                <w:lang w:eastAsia="en-AU"/>
              </w:rPr>
              <w:noBreakHyphen/>
              <w:t>blind trial to evaluate immunogenicity and safety of 13</w:t>
            </w:r>
            <w:r w:rsidRPr="00054B27">
              <w:rPr>
                <w:rFonts w:ascii="Arial Narrow" w:hAnsi="Arial Narrow"/>
                <w:sz w:val="20"/>
                <w:szCs w:val="22"/>
                <w:lang w:eastAsia="en-AU"/>
              </w:rPr>
              <w:noBreakHyphen/>
              <w:t>valent pneumococcal conjugate vaccine given concomitantly with trivalent influenza vaccine in adults aged ≥65 years.</w:t>
            </w:r>
          </w:p>
        </w:tc>
        <w:tc>
          <w:tcPr>
            <w:tcW w:w="848" w:type="pct"/>
            <w:tcBorders>
              <w:top w:val="nil"/>
            </w:tcBorders>
          </w:tcPr>
          <w:p w:rsidR="00CE2C77" w:rsidRPr="00054B27" w:rsidRDefault="00CE2C77" w:rsidP="00AD362F">
            <w:pPr>
              <w:rPr>
                <w:rFonts w:ascii="Arial Narrow" w:hAnsi="Arial Narrow" w:cs="Arial"/>
                <w:snapToGrid w:val="0"/>
                <w:sz w:val="20"/>
                <w:szCs w:val="20"/>
              </w:rPr>
            </w:pPr>
            <w:r w:rsidRPr="00054B27">
              <w:rPr>
                <w:rFonts w:ascii="Arial Narrow" w:hAnsi="Arial Narrow" w:cs="Arial"/>
                <w:i/>
                <w:snapToGrid w:val="0"/>
                <w:sz w:val="20"/>
                <w:szCs w:val="20"/>
              </w:rPr>
              <w:t>Vaccine</w:t>
            </w:r>
            <w:r w:rsidRPr="00054B27">
              <w:rPr>
                <w:rFonts w:ascii="Arial Narrow" w:hAnsi="Arial Narrow" w:cs="Arial"/>
                <w:snapToGrid w:val="0"/>
                <w:sz w:val="20"/>
                <w:szCs w:val="20"/>
              </w:rPr>
              <w:t xml:space="preserve"> 2011; 29:5195</w:t>
            </w:r>
            <w:r w:rsidRPr="00054B27">
              <w:rPr>
                <w:rFonts w:ascii="Arial Narrow" w:hAnsi="Arial Narrow" w:cs="Arial"/>
                <w:snapToGrid w:val="0"/>
                <w:sz w:val="20"/>
                <w:szCs w:val="20"/>
              </w:rPr>
              <w:noBreakHyphen/>
              <w:t>202</w:t>
            </w:r>
          </w:p>
        </w:tc>
      </w:tr>
      <w:tr w:rsidR="00CE2C77" w:rsidRPr="00720E31" w:rsidTr="000F763D">
        <w:trPr>
          <w:cantSplit/>
        </w:trPr>
        <w:tc>
          <w:tcPr>
            <w:tcW w:w="618" w:type="pct"/>
            <w:vAlign w:val="center"/>
          </w:tcPr>
          <w:p w:rsidR="00CE2C77" w:rsidRPr="00054B27" w:rsidRDefault="00CE2C77" w:rsidP="00AD362F">
            <w:pPr>
              <w:rPr>
                <w:rFonts w:ascii="Arial Narrow" w:hAnsi="Arial Narrow" w:cs="Arial"/>
                <w:snapToGrid w:val="0"/>
                <w:sz w:val="20"/>
                <w:szCs w:val="20"/>
              </w:rPr>
            </w:pPr>
            <w:r w:rsidRPr="00054B27">
              <w:rPr>
                <w:rFonts w:ascii="Arial Narrow" w:hAnsi="Arial Narrow" w:cs="Arial"/>
                <w:snapToGrid w:val="0"/>
                <w:sz w:val="20"/>
                <w:szCs w:val="20"/>
              </w:rPr>
              <w:t>3020</w:t>
            </w:r>
          </w:p>
        </w:tc>
        <w:tc>
          <w:tcPr>
            <w:tcW w:w="3534" w:type="pct"/>
            <w:vAlign w:val="center"/>
          </w:tcPr>
          <w:p w:rsidR="00CE2C77" w:rsidRPr="00054B27" w:rsidRDefault="00CE2C77" w:rsidP="00AD362F">
            <w:pPr>
              <w:rPr>
                <w:rFonts w:ascii="Arial Narrow" w:hAnsi="Arial Narrow" w:cs="Arial"/>
                <w:snapToGrid w:val="0"/>
                <w:sz w:val="20"/>
                <w:szCs w:val="20"/>
              </w:rPr>
            </w:pPr>
            <w:r w:rsidRPr="00054B27">
              <w:rPr>
                <w:rFonts w:ascii="Arial Narrow" w:hAnsi="Arial Narrow" w:cs="Arial"/>
                <w:snapToGrid w:val="0"/>
                <w:sz w:val="20"/>
                <w:szCs w:val="20"/>
              </w:rPr>
              <w:t>A phase 3, open label, single arm, multicentre, trial to assess the safety, tolerability and immunogenicity of 13</w:t>
            </w:r>
            <w:r w:rsidRPr="00054B27">
              <w:rPr>
                <w:rFonts w:ascii="Arial Narrow" w:hAnsi="Arial Narrow" w:cs="Arial"/>
                <w:snapToGrid w:val="0"/>
                <w:sz w:val="20"/>
                <w:szCs w:val="20"/>
              </w:rPr>
              <w:noBreakHyphen/>
              <w:t>valent pneumococcal conjugate vaccine in healthy adults aged ≥50 years of age who are naïve to 23</w:t>
            </w:r>
            <w:r w:rsidRPr="00054B27">
              <w:rPr>
                <w:rFonts w:ascii="Arial Narrow" w:hAnsi="Arial Narrow" w:cs="Arial"/>
                <w:snapToGrid w:val="0"/>
                <w:sz w:val="20"/>
                <w:szCs w:val="20"/>
              </w:rPr>
              <w:noBreakHyphen/>
              <w:t xml:space="preserve">valent pneumococcal polysaccharide vaccine in Mexico. </w:t>
            </w:r>
          </w:p>
        </w:tc>
        <w:tc>
          <w:tcPr>
            <w:tcW w:w="848" w:type="pct"/>
          </w:tcPr>
          <w:p w:rsidR="00CE2C77" w:rsidRPr="00054B27" w:rsidRDefault="00CE2C77" w:rsidP="00AD362F">
            <w:pPr>
              <w:rPr>
                <w:rFonts w:ascii="Arial Narrow" w:hAnsi="Arial Narrow" w:cs="Arial"/>
                <w:snapToGrid w:val="0"/>
                <w:sz w:val="20"/>
                <w:szCs w:val="20"/>
              </w:rPr>
            </w:pPr>
            <w:r w:rsidRPr="00054B27">
              <w:rPr>
                <w:rFonts w:ascii="Arial Narrow" w:hAnsi="Arial Narrow" w:cs="Arial"/>
                <w:snapToGrid w:val="0"/>
                <w:sz w:val="20"/>
                <w:szCs w:val="20"/>
              </w:rPr>
              <w:t>November 2010</w:t>
            </w:r>
          </w:p>
        </w:tc>
      </w:tr>
      <w:tr w:rsidR="00CE2C77" w:rsidRPr="00720E31" w:rsidTr="000F763D">
        <w:trPr>
          <w:cantSplit/>
        </w:trPr>
        <w:tc>
          <w:tcPr>
            <w:tcW w:w="618" w:type="pct"/>
            <w:vAlign w:val="center"/>
          </w:tcPr>
          <w:p w:rsidR="00CE2C77" w:rsidRPr="00054B27" w:rsidRDefault="00CE2C77" w:rsidP="00AD362F">
            <w:pPr>
              <w:rPr>
                <w:rFonts w:ascii="Arial Narrow" w:hAnsi="Arial Narrow" w:cs="Arial"/>
                <w:snapToGrid w:val="0"/>
                <w:sz w:val="20"/>
                <w:szCs w:val="20"/>
              </w:rPr>
            </w:pPr>
            <w:r w:rsidRPr="00054B27">
              <w:rPr>
                <w:rFonts w:ascii="Arial Narrow" w:hAnsi="Arial Narrow" w:cs="Arial"/>
                <w:snapToGrid w:val="0"/>
                <w:sz w:val="20"/>
                <w:szCs w:val="20"/>
              </w:rPr>
              <w:t>CAPiTA</w:t>
            </w:r>
          </w:p>
        </w:tc>
        <w:tc>
          <w:tcPr>
            <w:tcW w:w="3534" w:type="pct"/>
            <w:vAlign w:val="center"/>
          </w:tcPr>
          <w:p w:rsidR="00CE2C77" w:rsidRPr="00054B27" w:rsidRDefault="00CE2C77" w:rsidP="00AD362F">
            <w:pPr>
              <w:rPr>
                <w:rFonts w:ascii="Arial Narrow" w:hAnsi="Arial Narrow" w:cs="Arial"/>
                <w:snapToGrid w:val="0"/>
                <w:sz w:val="20"/>
                <w:szCs w:val="20"/>
              </w:rPr>
            </w:pPr>
            <w:r w:rsidRPr="00054B27">
              <w:rPr>
                <w:rFonts w:ascii="Arial Narrow" w:hAnsi="Arial Narrow" w:cs="Arial"/>
                <w:snapToGrid w:val="0"/>
                <w:sz w:val="20"/>
                <w:szCs w:val="20"/>
              </w:rPr>
              <w:t>Immunogenicity supplement to final report (Supplemental clinical study report 2): a phase 4, randomized, placebo</w:t>
            </w:r>
            <w:r w:rsidRPr="00054B27">
              <w:rPr>
                <w:rFonts w:ascii="Arial Narrow" w:hAnsi="Arial Narrow" w:cs="Arial"/>
                <w:snapToGrid w:val="0"/>
                <w:sz w:val="20"/>
                <w:szCs w:val="20"/>
              </w:rPr>
              <w:noBreakHyphen/>
              <w:t>controlled clinical trial of 13</w:t>
            </w:r>
            <w:r w:rsidRPr="00054B27">
              <w:rPr>
                <w:rFonts w:ascii="Arial Narrow" w:hAnsi="Arial Narrow" w:cs="Arial"/>
                <w:snapToGrid w:val="0"/>
                <w:sz w:val="20"/>
                <w:szCs w:val="20"/>
              </w:rPr>
              <w:noBreakHyphen/>
              <w:t>valent pneumococcal conjugate vaccine efficacy in prevention of vaccine</w:t>
            </w:r>
            <w:r w:rsidRPr="00054B27">
              <w:rPr>
                <w:rFonts w:ascii="Arial Narrow" w:hAnsi="Arial Narrow" w:cs="Arial"/>
                <w:snapToGrid w:val="0"/>
                <w:sz w:val="20"/>
                <w:szCs w:val="20"/>
              </w:rPr>
              <w:noBreakHyphen/>
              <w:t>serotype pneumococcal community</w:t>
            </w:r>
            <w:r w:rsidRPr="00054B27">
              <w:rPr>
                <w:rFonts w:ascii="Arial Narrow" w:hAnsi="Arial Narrow" w:cs="Arial"/>
                <w:snapToGrid w:val="0"/>
                <w:sz w:val="20"/>
                <w:szCs w:val="20"/>
              </w:rPr>
              <w:noBreakHyphen/>
              <w:t>acquired pneumonia and invasive pneumococcal disease.</w:t>
            </w:r>
          </w:p>
        </w:tc>
        <w:tc>
          <w:tcPr>
            <w:tcW w:w="848" w:type="pct"/>
          </w:tcPr>
          <w:p w:rsidR="00CE2C77" w:rsidRPr="00054B27" w:rsidRDefault="00CE2C77" w:rsidP="00AD362F">
            <w:pPr>
              <w:rPr>
                <w:rFonts w:ascii="Arial Narrow" w:hAnsi="Arial Narrow" w:cs="Arial"/>
                <w:snapToGrid w:val="0"/>
                <w:sz w:val="20"/>
                <w:szCs w:val="20"/>
              </w:rPr>
            </w:pPr>
            <w:r w:rsidRPr="00054B27">
              <w:rPr>
                <w:rFonts w:ascii="Arial Narrow" w:hAnsi="Arial Narrow" w:cs="Arial"/>
                <w:snapToGrid w:val="0"/>
                <w:sz w:val="20"/>
                <w:szCs w:val="20"/>
              </w:rPr>
              <w:t>October 2014</w:t>
            </w:r>
          </w:p>
        </w:tc>
      </w:tr>
      <w:tr w:rsidR="00CE2C77" w:rsidRPr="00720E31" w:rsidTr="000F763D">
        <w:trPr>
          <w:cantSplit/>
        </w:trPr>
        <w:tc>
          <w:tcPr>
            <w:tcW w:w="618" w:type="pct"/>
            <w:vAlign w:val="center"/>
          </w:tcPr>
          <w:p w:rsidR="00CE2C77" w:rsidRPr="00054B27" w:rsidRDefault="00CE2C77" w:rsidP="00AD362F">
            <w:pPr>
              <w:rPr>
                <w:rFonts w:ascii="Arial Narrow" w:hAnsi="Arial Narrow" w:cs="Arial"/>
                <w:snapToGrid w:val="0"/>
                <w:sz w:val="20"/>
                <w:szCs w:val="20"/>
              </w:rPr>
            </w:pPr>
            <w:r w:rsidRPr="00054B27">
              <w:rPr>
                <w:rFonts w:ascii="Arial Narrow" w:hAnsi="Arial Narrow" w:cs="Arial"/>
                <w:snapToGrid w:val="0"/>
                <w:sz w:val="20"/>
                <w:szCs w:val="20"/>
              </w:rPr>
              <w:t xml:space="preserve">Jackson </w:t>
            </w:r>
          </w:p>
        </w:tc>
        <w:tc>
          <w:tcPr>
            <w:tcW w:w="3534" w:type="pct"/>
            <w:vAlign w:val="center"/>
          </w:tcPr>
          <w:p w:rsidR="00CE2C77" w:rsidRPr="00054B27" w:rsidRDefault="00CE2C77" w:rsidP="00AD362F">
            <w:pPr>
              <w:rPr>
                <w:rFonts w:ascii="Arial Narrow" w:hAnsi="Arial Narrow" w:cs="Arial"/>
                <w:snapToGrid w:val="0"/>
                <w:sz w:val="20"/>
                <w:szCs w:val="20"/>
              </w:rPr>
            </w:pPr>
            <w:r w:rsidRPr="00054B27">
              <w:rPr>
                <w:rFonts w:ascii="Arial Narrow" w:hAnsi="Arial Narrow" w:cs="Arial"/>
                <w:snapToGrid w:val="0"/>
                <w:sz w:val="20"/>
                <w:szCs w:val="20"/>
              </w:rPr>
              <w:t>Influence of initial vaccination with 13</w:t>
            </w:r>
            <w:r w:rsidRPr="00054B27">
              <w:rPr>
                <w:rFonts w:ascii="Arial Narrow" w:hAnsi="Arial Narrow" w:cs="Arial"/>
                <w:snapToGrid w:val="0"/>
                <w:sz w:val="20"/>
                <w:szCs w:val="20"/>
              </w:rPr>
              <w:noBreakHyphen/>
              <w:t>valent pneumococcal conjugate vaccine or 23</w:t>
            </w:r>
            <w:r w:rsidRPr="00054B27">
              <w:rPr>
                <w:rFonts w:ascii="Arial Narrow" w:hAnsi="Arial Narrow" w:cs="Arial"/>
                <w:snapToGrid w:val="0"/>
                <w:sz w:val="20"/>
                <w:szCs w:val="20"/>
              </w:rPr>
              <w:noBreakHyphen/>
              <w:t>valent pneumococcal polysaccharide vaccine on anti</w:t>
            </w:r>
            <w:r w:rsidRPr="00054B27">
              <w:rPr>
                <w:rFonts w:ascii="Arial Narrow" w:hAnsi="Arial Narrow" w:cs="Arial"/>
                <w:snapToGrid w:val="0"/>
                <w:sz w:val="20"/>
                <w:szCs w:val="20"/>
              </w:rPr>
              <w:noBreakHyphen/>
              <w:t xml:space="preserve">pneumococcal responses following subsequent pneumococcal vaccination in adults 50 years and older. </w:t>
            </w:r>
          </w:p>
        </w:tc>
        <w:tc>
          <w:tcPr>
            <w:tcW w:w="848" w:type="pct"/>
          </w:tcPr>
          <w:p w:rsidR="00CE2C77" w:rsidRPr="00054B27" w:rsidRDefault="00CE2C77" w:rsidP="00AD362F">
            <w:pPr>
              <w:rPr>
                <w:rFonts w:ascii="Arial Narrow" w:hAnsi="Arial Narrow" w:cs="Arial"/>
                <w:snapToGrid w:val="0"/>
                <w:sz w:val="20"/>
                <w:szCs w:val="20"/>
              </w:rPr>
            </w:pPr>
            <w:r w:rsidRPr="00054B27">
              <w:rPr>
                <w:rFonts w:ascii="Arial Narrow" w:hAnsi="Arial Narrow" w:cs="Arial"/>
                <w:i/>
                <w:snapToGrid w:val="0"/>
                <w:sz w:val="20"/>
                <w:szCs w:val="20"/>
              </w:rPr>
              <w:t>Vaccine</w:t>
            </w:r>
            <w:r w:rsidRPr="00054B27">
              <w:rPr>
                <w:rFonts w:ascii="Arial Narrow" w:hAnsi="Arial Narrow" w:cs="Arial"/>
                <w:snapToGrid w:val="0"/>
                <w:sz w:val="20"/>
                <w:szCs w:val="20"/>
              </w:rPr>
              <w:t xml:space="preserve"> 2013; 31:3594</w:t>
            </w:r>
            <w:r w:rsidRPr="00054B27">
              <w:rPr>
                <w:rFonts w:ascii="Arial Narrow" w:hAnsi="Arial Narrow" w:cs="Arial"/>
                <w:snapToGrid w:val="0"/>
                <w:sz w:val="20"/>
                <w:szCs w:val="20"/>
              </w:rPr>
              <w:noBreakHyphen/>
              <w:t>602</w:t>
            </w:r>
          </w:p>
        </w:tc>
      </w:tr>
      <w:tr w:rsidR="00CE2C77" w:rsidRPr="00720E31" w:rsidTr="000F763D">
        <w:trPr>
          <w:cantSplit/>
        </w:trPr>
        <w:tc>
          <w:tcPr>
            <w:tcW w:w="618" w:type="pct"/>
            <w:tcBorders>
              <w:bottom w:val="single" w:sz="4" w:space="0" w:color="auto"/>
            </w:tcBorders>
            <w:vAlign w:val="center"/>
          </w:tcPr>
          <w:p w:rsidR="00CE2C77" w:rsidRPr="00054B27" w:rsidRDefault="00CE2C77" w:rsidP="00AD362F">
            <w:pPr>
              <w:rPr>
                <w:rFonts w:ascii="Arial Narrow" w:hAnsi="Arial Narrow" w:cs="Arial"/>
                <w:snapToGrid w:val="0"/>
                <w:sz w:val="20"/>
                <w:szCs w:val="20"/>
              </w:rPr>
            </w:pPr>
            <w:r w:rsidRPr="00054B27">
              <w:rPr>
                <w:rFonts w:ascii="Arial Narrow" w:hAnsi="Arial Narrow" w:cs="Arial"/>
                <w:snapToGrid w:val="0"/>
                <w:sz w:val="20"/>
                <w:szCs w:val="20"/>
              </w:rPr>
              <w:t xml:space="preserve">500 </w:t>
            </w:r>
          </w:p>
        </w:tc>
        <w:tc>
          <w:tcPr>
            <w:tcW w:w="3534" w:type="pct"/>
            <w:tcBorders>
              <w:bottom w:val="single" w:sz="4" w:space="0" w:color="auto"/>
            </w:tcBorders>
            <w:vAlign w:val="center"/>
          </w:tcPr>
          <w:p w:rsidR="00CE2C77" w:rsidRPr="00054B27" w:rsidRDefault="00CE2C77" w:rsidP="00AD362F">
            <w:pPr>
              <w:rPr>
                <w:rFonts w:ascii="Arial Narrow" w:hAnsi="Arial Narrow" w:cs="Arial"/>
                <w:snapToGrid w:val="0"/>
                <w:sz w:val="20"/>
                <w:szCs w:val="20"/>
              </w:rPr>
            </w:pPr>
            <w:r w:rsidRPr="00054B27">
              <w:rPr>
                <w:rFonts w:ascii="Arial Narrow" w:hAnsi="Arial Narrow" w:cs="Arial"/>
                <w:snapToGrid w:val="0"/>
                <w:sz w:val="20"/>
                <w:szCs w:val="20"/>
              </w:rPr>
              <w:t>A randomised, open</w:t>
            </w:r>
            <w:r w:rsidRPr="00054B27">
              <w:rPr>
                <w:rFonts w:ascii="Arial Narrow" w:hAnsi="Arial Narrow" w:cs="Arial"/>
                <w:snapToGrid w:val="0"/>
                <w:sz w:val="20"/>
                <w:szCs w:val="20"/>
              </w:rPr>
              <w:noBreakHyphen/>
              <w:t>label, controlled phase II study to evaluate the safety, tolerability and immunogenicity after two different 13</w:t>
            </w:r>
            <w:r w:rsidRPr="00054B27">
              <w:rPr>
                <w:rFonts w:ascii="Arial Narrow" w:hAnsi="Arial Narrow" w:cs="Arial"/>
                <w:snapToGrid w:val="0"/>
                <w:sz w:val="20"/>
                <w:szCs w:val="20"/>
              </w:rPr>
              <w:noBreakHyphen/>
              <w:t>valent pneumococcal conjugate vaccine formulations with or without aluminium phosphate as adjuvant, and after 23</w:t>
            </w:r>
            <w:r w:rsidRPr="00054B27">
              <w:rPr>
                <w:rFonts w:ascii="Arial Narrow" w:hAnsi="Arial Narrow" w:cs="Arial"/>
                <w:snapToGrid w:val="0"/>
                <w:sz w:val="20"/>
                <w:szCs w:val="20"/>
              </w:rPr>
              <w:noBreakHyphen/>
              <w:t xml:space="preserve">valent pneumococcal polysaccharide vaccine in ambulatory elderly persons aged 65 years and older who are naïve to previous 23vPPV immunisation. </w:t>
            </w:r>
          </w:p>
        </w:tc>
        <w:tc>
          <w:tcPr>
            <w:tcW w:w="848" w:type="pct"/>
            <w:tcBorders>
              <w:bottom w:val="single" w:sz="4" w:space="0" w:color="auto"/>
            </w:tcBorders>
          </w:tcPr>
          <w:p w:rsidR="00CE2C77" w:rsidRPr="00054B27" w:rsidRDefault="00CE2C77" w:rsidP="00AD362F">
            <w:pPr>
              <w:rPr>
                <w:rFonts w:ascii="Arial Narrow" w:hAnsi="Arial Narrow" w:cs="Arial"/>
                <w:snapToGrid w:val="0"/>
                <w:sz w:val="20"/>
                <w:szCs w:val="20"/>
              </w:rPr>
            </w:pPr>
            <w:r w:rsidRPr="00054B27">
              <w:rPr>
                <w:rFonts w:ascii="Arial Narrow" w:hAnsi="Arial Narrow" w:cs="Arial"/>
                <w:snapToGrid w:val="0"/>
                <w:sz w:val="20"/>
                <w:szCs w:val="20"/>
              </w:rPr>
              <w:t>October 2010</w:t>
            </w:r>
          </w:p>
        </w:tc>
      </w:tr>
      <w:tr w:rsidR="00CE2C77" w:rsidRPr="00720E31" w:rsidTr="000F763D">
        <w:trPr>
          <w:cantSplit/>
        </w:trPr>
        <w:tc>
          <w:tcPr>
            <w:tcW w:w="618" w:type="pct"/>
            <w:tcBorders>
              <w:bottom w:val="nil"/>
            </w:tcBorders>
            <w:vAlign w:val="center"/>
          </w:tcPr>
          <w:p w:rsidR="00CE2C77" w:rsidRPr="00054B27" w:rsidRDefault="00CE2C77" w:rsidP="00AD362F">
            <w:pPr>
              <w:rPr>
                <w:rFonts w:ascii="Arial Narrow" w:hAnsi="Arial Narrow" w:cs="Arial"/>
                <w:snapToGrid w:val="0"/>
                <w:sz w:val="20"/>
                <w:szCs w:val="20"/>
              </w:rPr>
            </w:pPr>
            <w:r w:rsidRPr="00054B27">
              <w:rPr>
                <w:rFonts w:ascii="Arial Narrow" w:hAnsi="Arial Narrow" w:cs="Arial"/>
                <w:snapToGrid w:val="0"/>
                <w:sz w:val="20"/>
                <w:szCs w:val="20"/>
              </w:rPr>
              <w:t>3005</w:t>
            </w:r>
          </w:p>
        </w:tc>
        <w:tc>
          <w:tcPr>
            <w:tcW w:w="3534" w:type="pct"/>
            <w:tcBorders>
              <w:bottom w:val="nil"/>
            </w:tcBorders>
            <w:vAlign w:val="center"/>
          </w:tcPr>
          <w:p w:rsidR="00CE2C77" w:rsidRPr="00054B27" w:rsidRDefault="00CE2C77" w:rsidP="00AD362F">
            <w:pPr>
              <w:spacing w:after="60"/>
              <w:rPr>
                <w:rFonts w:ascii="Arial Narrow" w:hAnsi="Arial Narrow"/>
                <w:sz w:val="20"/>
                <w:szCs w:val="20"/>
                <w:lang w:eastAsia="en-AU"/>
              </w:rPr>
            </w:pPr>
            <w:r w:rsidRPr="00054B27">
              <w:rPr>
                <w:rFonts w:ascii="Arial Narrow" w:hAnsi="Arial Narrow"/>
                <w:sz w:val="20"/>
                <w:szCs w:val="20"/>
                <w:lang w:eastAsia="en-AU"/>
              </w:rPr>
              <w:t>A phase 3, randomised, active</w:t>
            </w:r>
            <w:r w:rsidRPr="00054B27">
              <w:rPr>
                <w:rFonts w:ascii="Arial Narrow" w:hAnsi="Arial Narrow"/>
                <w:sz w:val="20"/>
                <w:szCs w:val="20"/>
                <w:lang w:eastAsia="en-AU"/>
              </w:rPr>
              <w:noBreakHyphen/>
              <w:t>controlled, modified double</w:t>
            </w:r>
            <w:r w:rsidRPr="00054B27">
              <w:rPr>
                <w:rFonts w:ascii="Arial Narrow" w:hAnsi="Arial Narrow"/>
                <w:sz w:val="20"/>
                <w:szCs w:val="20"/>
                <w:lang w:eastAsia="en-AU"/>
              </w:rPr>
              <w:noBreakHyphen/>
              <w:t>blind trial, evaluating the safety, tolerability and immunogenicity of a 13</w:t>
            </w:r>
            <w:r w:rsidRPr="00054B27">
              <w:rPr>
                <w:rFonts w:ascii="Arial Narrow" w:hAnsi="Arial Narrow"/>
                <w:sz w:val="20"/>
                <w:szCs w:val="20"/>
                <w:lang w:eastAsia="en-AU"/>
              </w:rPr>
              <w:noBreakHyphen/>
              <w:t>valent pneumococcal conjugate vaccine (13vPCV) compared to a 23</w:t>
            </w:r>
            <w:r w:rsidRPr="00054B27">
              <w:rPr>
                <w:rFonts w:ascii="Arial Narrow" w:hAnsi="Arial Narrow"/>
                <w:sz w:val="20"/>
                <w:szCs w:val="20"/>
                <w:lang w:eastAsia="en-AU"/>
              </w:rPr>
              <w:noBreakHyphen/>
              <w:t xml:space="preserve">valent pneumococcal polysaccharide (23vPPV) vaccine in ambulatory elderly individuals aged 70 years and older who received 1 dose of 23vPPV at least 5 years before study enrolment. </w:t>
            </w:r>
          </w:p>
        </w:tc>
        <w:tc>
          <w:tcPr>
            <w:tcW w:w="848" w:type="pct"/>
            <w:tcBorders>
              <w:bottom w:val="nil"/>
            </w:tcBorders>
          </w:tcPr>
          <w:p w:rsidR="00CE2C77" w:rsidRPr="00054B27" w:rsidRDefault="00CE2C77" w:rsidP="00AD362F">
            <w:pPr>
              <w:rPr>
                <w:rFonts w:ascii="Arial Narrow" w:hAnsi="Arial Narrow" w:cs="Arial"/>
                <w:snapToGrid w:val="0"/>
                <w:sz w:val="20"/>
                <w:szCs w:val="20"/>
              </w:rPr>
            </w:pPr>
            <w:r w:rsidRPr="00054B27">
              <w:rPr>
                <w:rFonts w:ascii="Arial Narrow" w:hAnsi="Arial Narrow" w:cs="Arial"/>
                <w:snapToGrid w:val="0"/>
                <w:sz w:val="20"/>
                <w:szCs w:val="20"/>
              </w:rPr>
              <w:t>October 2010</w:t>
            </w:r>
          </w:p>
          <w:p w:rsidR="00CE2C77" w:rsidRPr="00054B27" w:rsidRDefault="00CE2C77" w:rsidP="00AD362F">
            <w:pPr>
              <w:rPr>
                <w:rFonts w:ascii="Arial Narrow" w:hAnsi="Arial Narrow" w:cs="Arial"/>
                <w:snapToGrid w:val="0"/>
                <w:sz w:val="20"/>
                <w:szCs w:val="20"/>
              </w:rPr>
            </w:pPr>
          </w:p>
          <w:p w:rsidR="00CE2C77" w:rsidRPr="00054B27" w:rsidRDefault="00CE2C77" w:rsidP="00AD362F">
            <w:pPr>
              <w:rPr>
                <w:rFonts w:ascii="Arial Narrow" w:hAnsi="Arial Narrow" w:cs="Arial"/>
                <w:snapToGrid w:val="0"/>
                <w:sz w:val="20"/>
                <w:szCs w:val="20"/>
              </w:rPr>
            </w:pPr>
          </w:p>
          <w:p w:rsidR="00CE2C77" w:rsidRPr="00054B27" w:rsidRDefault="00CE2C77" w:rsidP="00AD362F">
            <w:pPr>
              <w:rPr>
                <w:rFonts w:ascii="Arial Narrow" w:hAnsi="Arial Narrow" w:cs="Arial"/>
                <w:snapToGrid w:val="0"/>
                <w:sz w:val="20"/>
                <w:szCs w:val="20"/>
              </w:rPr>
            </w:pPr>
          </w:p>
          <w:p w:rsidR="00CE2C77" w:rsidRPr="00054B27" w:rsidRDefault="00CE2C77" w:rsidP="00AD362F">
            <w:pPr>
              <w:rPr>
                <w:rFonts w:ascii="Arial Narrow" w:hAnsi="Arial Narrow" w:cs="Arial"/>
                <w:snapToGrid w:val="0"/>
                <w:sz w:val="20"/>
                <w:szCs w:val="20"/>
              </w:rPr>
            </w:pPr>
          </w:p>
        </w:tc>
      </w:tr>
      <w:tr w:rsidR="00CE2C77" w:rsidRPr="00720E31" w:rsidTr="000F763D">
        <w:trPr>
          <w:cantSplit/>
        </w:trPr>
        <w:tc>
          <w:tcPr>
            <w:tcW w:w="618" w:type="pct"/>
            <w:tcBorders>
              <w:top w:val="nil"/>
            </w:tcBorders>
            <w:vAlign w:val="center"/>
          </w:tcPr>
          <w:p w:rsidR="00CE2C77" w:rsidRDefault="00720E31" w:rsidP="00AD362F">
            <w:pPr>
              <w:rPr>
                <w:rFonts w:ascii="Arial Narrow" w:hAnsi="Arial Narrow"/>
                <w:sz w:val="20"/>
                <w:szCs w:val="22"/>
                <w:lang w:val="fr-FR" w:eastAsia="en-AU"/>
              </w:rPr>
            </w:pPr>
            <w:r w:rsidRPr="0091553E">
              <w:rPr>
                <w:rFonts w:ascii="Arial Narrow" w:hAnsi="Arial Narrow"/>
                <w:sz w:val="20"/>
                <w:szCs w:val="22"/>
                <w:lang w:val="fr-FR" w:eastAsia="en-AU"/>
              </w:rPr>
              <w:t>Jackson</w:t>
            </w:r>
          </w:p>
          <w:p w:rsidR="00720E31" w:rsidRDefault="00720E31" w:rsidP="00AD362F">
            <w:pPr>
              <w:rPr>
                <w:rFonts w:ascii="Arial Narrow" w:hAnsi="Arial Narrow"/>
                <w:sz w:val="20"/>
                <w:szCs w:val="22"/>
                <w:lang w:val="fr-FR" w:eastAsia="en-AU"/>
              </w:rPr>
            </w:pPr>
          </w:p>
          <w:p w:rsidR="00720E31" w:rsidRPr="00054B27" w:rsidRDefault="00720E31" w:rsidP="00AD362F">
            <w:pPr>
              <w:rPr>
                <w:rFonts w:ascii="Arial Narrow" w:hAnsi="Arial Narrow" w:cs="Arial"/>
                <w:snapToGrid w:val="0"/>
                <w:sz w:val="20"/>
                <w:szCs w:val="20"/>
              </w:rPr>
            </w:pPr>
          </w:p>
        </w:tc>
        <w:tc>
          <w:tcPr>
            <w:tcW w:w="3534" w:type="pct"/>
            <w:tcBorders>
              <w:top w:val="nil"/>
            </w:tcBorders>
            <w:vAlign w:val="center"/>
          </w:tcPr>
          <w:p w:rsidR="00CE2C77" w:rsidRPr="00054B27" w:rsidRDefault="00CE2C77" w:rsidP="00AD362F">
            <w:pPr>
              <w:spacing w:after="60"/>
              <w:rPr>
                <w:rFonts w:ascii="Arial Narrow" w:hAnsi="Arial Narrow"/>
                <w:sz w:val="20"/>
                <w:szCs w:val="20"/>
                <w:lang w:eastAsia="en-AU"/>
              </w:rPr>
            </w:pPr>
            <w:r w:rsidRPr="00054B27">
              <w:rPr>
                <w:rFonts w:ascii="Arial Narrow" w:hAnsi="Arial Narrow"/>
                <w:sz w:val="20"/>
                <w:szCs w:val="22"/>
                <w:lang w:eastAsia="en-AU"/>
              </w:rPr>
              <w:t>Immunogenicity and safety of a 13</w:t>
            </w:r>
            <w:r w:rsidRPr="00054B27">
              <w:rPr>
                <w:rFonts w:ascii="Arial Narrow" w:hAnsi="Arial Narrow"/>
                <w:sz w:val="20"/>
                <w:szCs w:val="22"/>
                <w:lang w:eastAsia="en-AU"/>
              </w:rPr>
              <w:noBreakHyphen/>
              <w:t>valent pneumococcal conjugate vaccine in adults 70 years of age and older previously vaccinated with 23</w:t>
            </w:r>
            <w:r w:rsidRPr="00054B27">
              <w:rPr>
                <w:rFonts w:ascii="Arial Narrow" w:hAnsi="Arial Narrow"/>
                <w:sz w:val="20"/>
                <w:szCs w:val="22"/>
                <w:lang w:eastAsia="en-AU"/>
              </w:rPr>
              <w:noBreakHyphen/>
              <w:t>valent pneumococcal polysaccharide vaccine.</w:t>
            </w:r>
          </w:p>
        </w:tc>
        <w:tc>
          <w:tcPr>
            <w:tcW w:w="848" w:type="pct"/>
            <w:tcBorders>
              <w:top w:val="nil"/>
            </w:tcBorders>
          </w:tcPr>
          <w:p w:rsidR="00CE2C77" w:rsidRPr="00054B27" w:rsidRDefault="00CE2C77" w:rsidP="00AD362F">
            <w:pPr>
              <w:rPr>
                <w:rFonts w:ascii="Arial Narrow" w:hAnsi="Arial Narrow" w:cs="Arial"/>
                <w:snapToGrid w:val="0"/>
                <w:sz w:val="20"/>
                <w:szCs w:val="20"/>
              </w:rPr>
            </w:pPr>
            <w:r w:rsidRPr="00054B27">
              <w:rPr>
                <w:rFonts w:ascii="Arial Narrow" w:hAnsi="Arial Narrow" w:cs="Arial"/>
                <w:i/>
                <w:snapToGrid w:val="0"/>
                <w:sz w:val="20"/>
                <w:szCs w:val="20"/>
              </w:rPr>
              <w:t>Vaccine</w:t>
            </w:r>
            <w:r w:rsidRPr="00054B27">
              <w:rPr>
                <w:rFonts w:ascii="Arial Narrow" w:hAnsi="Arial Narrow" w:cs="Arial"/>
                <w:snapToGrid w:val="0"/>
                <w:sz w:val="20"/>
                <w:szCs w:val="20"/>
              </w:rPr>
              <w:t xml:space="preserve"> 2013; 31:3585</w:t>
            </w:r>
            <w:r w:rsidRPr="00054B27">
              <w:rPr>
                <w:rFonts w:ascii="Arial Narrow" w:hAnsi="Arial Narrow" w:cs="Arial"/>
                <w:snapToGrid w:val="0"/>
                <w:sz w:val="20"/>
                <w:szCs w:val="20"/>
              </w:rPr>
              <w:noBreakHyphen/>
              <w:t>593</w:t>
            </w:r>
          </w:p>
        </w:tc>
      </w:tr>
      <w:tr w:rsidR="00CE2C77" w:rsidRPr="00720E31" w:rsidTr="000F763D">
        <w:trPr>
          <w:cantSplit/>
        </w:trPr>
        <w:tc>
          <w:tcPr>
            <w:tcW w:w="618" w:type="pct"/>
            <w:tcBorders>
              <w:bottom w:val="single" w:sz="4" w:space="0" w:color="auto"/>
            </w:tcBorders>
            <w:vAlign w:val="center"/>
          </w:tcPr>
          <w:p w:rsidR="00CE2C77" w:rsidRPr="00054B27" w:rsidRDefault="00CE2C77" w:rsidP="00AD362F">
            <w:pPr>
              <w:rPr>
                <w:rFonts w:ascii="Arial Narrow" w:hAnsi="Arial Narrow" w:cs="Arial"/>
                <w:snapToGrid w:val="0"/>
                <w:sz w:val="20"/>
                <w:szCs w:val="20"/>
              </w:rPr>
            </w:pPr>
            <w:r w:rsidRPr="00054B27">
              <w:rPr>
                <w:rFonts w:ascii="Arial Narrow" w:hAnsi="Arial Narrow" w:cs="Arial"/>
                <w:snapToGrid w:val="0"/>
                <w:sz w:val="20"/>
                <w:szCs w:val="20"/>
              </w:rPr>
              <w:t>3009</w:t>
            </w:r>
          </w:p>
        </w:tc>
        <w:tc>
          <w:tcPr>
            <w:tcW w:w="3534" w:type="pct"/>
            <w:tcBorders>
              <w:bottom w:val="single" w:sz="4" w:space="0" w:color="auto"/>
            </w:tcBorders>
            <w:vAlign w:val="center"/>
          </w:tcPr>
          <w:p w:rsidR="00CE2C77" w:rsidRPr="00054B27" w:rsidRDefault="00CE2C77" w:rsidP="00AD362F">
            <w:pPr>
              <w:rPr>
                <w:rFonts w:ascii="Arial Narrow" w:hAnsi="Arial Narrow" w:cs="Arial"/>
                <w:snapToGrid w:val="0"/>
                <w:sz w:val="20"/>
                <w:szCs w:val="20"/>
              </w:rPr>
            </w:pPr>
            <w:r w:rsidRPr="00054B27">
              <w:rPr>
                <w:rFonts w:ascii="Arial Narrow" w:hAnsi="Arial Narrow" w:cs="Arial"/>
                <w:snapToGrid w:val="0"/>
                <w:sz w:val="20"/>
                <w:szCs w:val="20"/>
              </w:rPr>
              <w:t>A phase 3, open</w:t>
            </w:r>
            <w:r w:rsidRPr="00054B27">
              <w:rPr>
                <w:rFonts w:ascii="Arial Narrow" w:hAnsi="Arial Narrow" w:cs="Arial"/>
                <w:snapToGrid w:val="0"/>
                <w:sz w:val="20"/>
                <w:szCs w:val="20"/>
              </w:rPr>
              <w:noBreakHyphen/>
              <w:t>label, single</w:t>
            </w:r>
            <w:r w:rsidRPr="00054B27">
              <w:rPr>
                <w:rFonts w:ascii="Arial Narrow" w:hAnsi="Arial Narrow" w:cs="Arial"/>
                <w:snapToGrid w:val="0"/>
                <w:sz w:val="20"/>
                <w:szCs w:val="20"/>
              </w:rPr>
              <w:noBreakHyphen/>
              <w:t>arm trial evaluating the safety, tolerability and immunogenicity of a subsequent dose of 13</w:t>
            </w:r>
            <w:r w:rsidRPr="00054B27">
              <w:rPr>
                <w:rFonts w:ascii="Arial Narrow" w:hAnsi="Arial Narrow" w:cs="Arial"/>
                <w:snapToGrid w:val="0"/>
                <w:sz w:val="20"/>
                <w:szCs w:val="20"/>
              </w:rPr>
              <w:noBreakHyphen/>
              <w:t>valent pneumococcal conjugate vaccine (13vPCV) administration to individuals who participated in study 6115A1</w:t>
            </w:r>
            <w:r w:rsidRPr="00054B27">
              <w:rPr>
                <w:rFonts w:ascii="Arial Narrow" w:hAnsi="Arial Narrow" w:cs="Arial"/>
                <w:snapToGrid w:val="0"/>
                <w:sz w:val="20"/>
                <w:szCs w:val="20"/>
              </w:rPr>
              <w:noBreakHyphen/>
              <w:t>500 and received in this study 13vPCV with aluminium phosphate followed by 23</w:t>
            </w:r>
            <w:r w:rsidRPr="00054B27">
              <w:rPr>
                <w:rFonts w:ascii="Arial Narrow" w:hAnsi="Arial Narrow" w:cs="Arial"/>
                <w:snapToGrid w:val="0"/>
                <w:sz w:val="20"/>
                <w:szCs w:val="20"/>
              </w:rPr>
              <w:noBreakHyphen/>
              <w:t xml:space="preserve">valent pneumococcal polysaccharide vaccine 1 year later. </w:t>
            </w:r>
          </w:p>
        </w:tc>
        <w:tc>
          <w:tcPr>
            <w:tcW w:w="848" w:type="pct"/>
            <w:tcBorders>
              <w:bottom w:val="single" w:sz="4" w:space="0" w:color="auto"/>
            </w:tcBorders>
          </w:tcPr>
          <w:p w:rsidR="00CE2C77" w:rsidRPr="00054B27" w:rsidRDefault="00CE2C77" w:rsidP="00AD362F">
            <w:pPr>
              <w:rPr>
                <w:rFonts w:ascii="Arial Narrow" w:hAnsi="Arial Narrow" w:cs="Arial"/>
                <w:snapToGrid w:val="0"/>
                <w:sz w:val="20"/>
                <w:szCs w:val="20"/>
              </w:rPr>
            </w:pPr>
            <w:r w:rsidRPr="00054B27">
              <w:rPr>
                <w:rFonts w:ascii="Arial Narrow" w:hAnsi="Arial Narrow" w:cs="Arial"/>
                <w:snapToGrid w:val="0"/>
                <w:sz w:val="20"/>
                <w:szCs w:val="20"/>
              </w:rPr>
              <w:t>August 2010</w:t>
            </w:r>
          </w:p>
        </w:tc>
      </w:tr>
      <w:tr w:rsidR="00CE2C77" w:rsidRPr="00720E31" w:rsidTr="000F763D">
        <w:tc>
          <w:tcPr>
            <w:tcW w:w="618" w:type="pct"/>
            <w:tcBorders>
              <w:bottom w:val="nil"/>
            </w:tcBorders>
            <w:vAlign w:val="center"/>
          </w:tcPr>
          <w:p w:rsidR="00CE2C77" w:rsidRPr="00054B27" w:rsidRDefault="00CE2C77" w:rsidP="00AD362F">
            <w:pPr>
              <w:rPr>
                <w:rFonts w:ascii="Arial Narrow" w:hAnsi="Arial Narrow" w:cs="Arial"/>
                <w:snapToGrid w:val="0"/>
                <w:sz w:val="20"/>
                <w:szCs w:val="20"/>
              </w:rPr>
            </w:pPr>
            <w:r w:rsidRPr="00054B27">
              <w:rPr>
                <w:rFonts w:ascii="Arial Narrow" w:hAnsi="Arial Narrow" w:cs="Arial"/>
                <w:snapToGrid w:val="0"/>
                <w:sz w:val="20"/>
                <w:szCs w:val="20"/>
              </w:rPr>
              <w:t>3010</w:t>
            </w:r>
          </w:p>
        </w:tc>
        <w:tc>
          <w:tcPr>
            <w:tcW w:w="3534" w:type="pct"/>
            <w:tcBorders>
              <w:bottom w:val="nil"/>
            </w:tcBorders>
            <w:vAlign w:val="center"/>
          </w:tcPr>
          <w:p w:rsidR="00CE2C77" w:rsidRPr="00054B27" w:rsidRDefault="00CE2C77" w:rsidP="00AD362F">
            <w:pPr>
              <w:spacing w:after="60"/>
              <w:rPr>
                <w:rFonts w:ascii="Arial Narrow" w:hAnsi="Arial Narrow"/>
                <w:sz w:val="20"/>
                <w:szCs w:val="20"/>
                <w:lang w:eastAsia="en-AU"/>
              </w:rPr>
            </w:pPr>
            <w:r w:rsidRPr="00054B27">
              <w:rPr>
                <w:rFonts w:ascii="Arial Narrow" w:hAnsi="Arial Narrow"/>
                <w:sz w:val="20"/>
                <w:szCs w:val="20"/>
                <w:lang w:eastAsia="en-AU"/>
              </w:rPr>
              <w:t>A phase 3, randomised, active</w:t>
            </w:r>
            <w:r w:rsidRPr="00054B27">
              <w:rPr>
                <w:rFonts w:ascii="Arial Narrow" w:hAnsi="Arial Narrow"/>
                <w:sz w:val="20"/>
                <w:szCs w:val="20"/>
                <w:lang w:eastAsia="en-AU"/>
              </w:rPr>
              <w:noBreakHyphen/>
              <w:t>controlled, modified, double</w:t>
            </w:r>
            <w:r w:rsidRPr="00054B27">
              <w:rPr>
                <w:rFonts w:ascii="Arial Narrow" w:hAnsi="Arial Narrow"/>
                <w:sz w:val="20"/>
                <w:szCs w:val="20"/>
                <w:lang w:eastAsia="en-AU"/>
              </w:rPr>
              <w:noBreakHyphen/>
              <w:t>blind trial to evaluate the safety, tolerability and immunogenicity of 13</w:t>
            </w:r>
            <w:r w:rsidRPr="00054B27">
              <w:rPr>
                <w:rFonts w:ascii="Arial Narrow" w:hAnsi="Arial Narrow"/>
                <w:sz w:val="20"/>
                <w:szCs w:val="20"/>
                <w:lang w:eastAsia="en-AU"/>
              </w:rPr>
              <w:noBreakHyphen/>
              <w:t>valent pneumococcal conjugate vaccine (13vPCV) when administered over 12 months either as a 2</w:t>
            </w:r>
            <w:r w:rsidRPr="00054B27">
              <w:rPr>
                <w:rFonts w:ascii="Arial Narrow" w:hAnsi="Arial Narrow"/>
                <w:sz w:val="20"/>
                <w:szCs w:val="20"/>
                <w:lang w:eastAsia="en-AU"/>
              </w:rPr>
              <w:noBreakHyphen/>
              <w:t>dose regimen or with 23</w:t>
            </w:r>
            <w:r w:rsidRPr="00054B27">
              <w:rPr>
                <w:rFonts w:ascii="Arial Narrow" w:hAnsi="Arial Narrow"/>
                <w:sz w:val="20"/>
                <w:szCs w:val="20"/>
                <w:lang w:eastAsia="en-AU"/>
              </w:rPr>
              <w:noBreakHyphen/>
              <w:t xml:space="preserve">valent pneumococcal polysaccharide (23vPPV) in healthy adults 60 to 64 years of age who are naïve to 23vPPV. </w:t>
            </w:r>
          </w:p>
        </w:tc>
        <w:tc>
          <w:tcPr>
            <w:tcW w:w="848" w:type="pct"/>
            <w:tcBorders>
              <w:bottom w:val="nil"/>
            </w:tcBorders>
          </w:tcPr>
          <w:p w:rsidR="00CE2C77" w:rsidRPr="00054B27" w:rsidRDefault="00CE2C77" w:rsidP="00AD362F">
            <w:pPr>
              <w:rPr>
                <w:rFonts w:ascii="Arial Narrow" w:hAnsi="Arial Narrow" w:cs="Arial"/>
                <w:snapToGrid w:val="0"/>
                <w:sz w:val="20"/>
                <w:szCs w:val="20"/>
              </w:rPr>
            </w:pPr>
            <w:r w:rsidRPr="00054B27">
              <w:rPr>
                <w:rFonts w:ascii="Arial Narrow" w:hAnsi="Arial Narrow" w:cs="Arial"/>
                <w:snapToGrid w:val="0"/>
                <w:sz w:val="20"/>
                <w:szCs w:val="20"/>
              </w:rPr>
              <w:t>August 2010</w:t>
            </w:r>
          </w:p>
          <w:p w:rsidR="00CE2C77" w:rsidRPr="00054B27" w:rsidRDefault="00CE2C77" w:rsidP="00AD362F">
            <w:pPr>
              <w:rPr>
                <w:rFonts w:ascii="Arial Narrow" w:hAnsi="Arial Narrow" w:cs="Arial"/>
                <w:snapToGrid w:val="0"/>
                <w:sz w:val="20"/>
                <w:szCs w:val="20"/>
              </w:rPr>
            </w:pPr>
          </w:p>
          <w:p w:rsidR="00CE2C77" w:rsidRPr="00054B27" w:rsidRDefault="00CE2C77" w:rsidP="00AD362F">
            <w:pPr>
              <w:rPr>
                <w:rFonts w:ascii="Arial Narrow" w:hAnsi="Arial Narrow" w:cs="Arial"/>
                <w:snapToGrid w:val="0"/>
                <w:sz w:val="20"/>
                <w:szCs w:val="20"/>
              </w:rPr>
            </w:pPr>
          </w:p>
          <w:p w:rsidR="00CE2C77" w:rsidRPr="00054B27" w:rsidRDefault="00CE2C77" w:rsidP="00AD362F">
            <w:pPr>
              <w:rPr>
                <w:rFonts w:ascii="Arial Narrow" w:hAnsi="Arial Narrow" w:cs="Arial"/>
                <w:snapToGrid w:val="0"/>
                <w:sz w:val="20"/>
                <w:szCs w:val="20"/>
              </w:rPr>
            </w:pPr>
          </w:p>
        </w:tc>
      </w:tr>
      <w:tr w:rsidR="00CE2C77" w:rsidRPr="00720E31" w:rsidTr="000F763D">
        <w:trPr>
          <w:cantSplit/>
        </w:trPr>
        <w:tc>
          <w:tcPr>
            <w:tcW w:w="618" w:type="pct"/>
            <w:tcBorders>
              <w:top w:val="nil"/>
            </w:tcBorders>
            <w:vAlign w:val="center"/>
          </w:tcPr>
          <w:p w:rsidR="00CE2C77" w:rsidRDefault="00720E31" w:rsidP="00AD362F">
            <w:pPr>
              <w:rPr>
                <w:rFonts w:ascii="Arial Narrow" w:hAnsi="Arial Narrow"/>
                <w:sz w:val="20"/>
                <w:szCs w:val="22"/>
                <w:lang w:eastAsia="en-AU"/>
              </w:rPr>
            </w:pPr>
            <w:r w:rsidRPr="0091553E">
              <w:rPr>
                <w:rFonts w:ascii="Arial Narrow" w:hAnsi="Arial Narrow"/>
                <w:sz w:val="20"/>
                <w:szCs w:val="22"/>
                <w:lang w:eastAsia="en-AU"/>
              </w:rPr>
              <w:t>Greenberg</w:t>
            </w:r>
          </w:p>
          <w:p w:rsidR="00720E31" w:rsidRDefault="00720E31" w:rsidP="00AD362F">
            <w:pPr>
              <w:rPr>
                <w:rFonts w:ascii="Arial Narrow" w:hAnsi="Arial Narrow"/>
                <w:sz w:val="20"/>
                <w:szCs w:val="22"/>
                <w:lang w:eastAsia="en-AU"/>
              </w:rPr>
            </w:pPr>
          </w:p>
          <w:p w:rsidR="00720E31" w:rsidRPr="00054B27" w:rsidRDefault="00720E31" w:rsidP="00AD362F">
            <w:pPr>
              <w:rPr>
                <w:rFonts w:ascii="Arial Narrow" w:hAnsi="Arial Narrow" w:cs="Arial"/>
                <w:snapToGrid w:val="0"/>
                <w:sz w:val="20"/>
                <w:szCs w:val="20"/>
              </w:rPr>
            </w:pPr>
          </w:p>
        </w:tc>
        <w:tc>
          <w:tcPr>
            <w:tcW w:w="3534" w:type="pct"/>
            <w:tcBorders>
              <w:top w:val="nil"/>
            </w:tcBorders>
            <w:vAlign w:val="center"/>
          </w:tcPr>
          <w:p w:rsidR="00CE2C77" w:rsidRPr="00054B27" w:rsidRDefault="00CE2C77" w:rsidP="00AD362F">
            <w:pPr>
              <w:spacing w:after="60"/>
              <w:rPr>
                <w:rFonts w:ascii="Arial Narrow" w:hAnsi="Arial Narrow"/>
                <w:sz w:val="20"/>
                <w:szCs w:val="20"/>
                <w:lang w:eastAsia="en-AU"/>
              </w:rPr>
            </w:pPr>
            <w:r w:rsidRPr="00054B27">
              <w:rPr>
                <w:rFonts w:ascii="Arial Narrow" w:hAnsi="Arial Narrow"/>
                <w:sz w:val="20"/>
                <w:szCs w:val="22"/>
                <w:lang w:eastAsia="en-AU"/>
              </w:rPr>
              <w:t>Sequential administration of 13</w:t>
            </w:r>
            <w:r w:rsidRPr="00054B27">
              <w:rPr>
                <w:rFonts w:ascii="Arial Narrow" w:hAnsi="Arial Narrow"/>
                <w:sz w:val="20"/>
                <w:szCs w:val="22"/>
                <w:lang w:eastAsia="en-AU"/>
              </w:rPr>
              <w:noBreakHyphen/>
              <w:t>valent pneumococcal conjugate vaccine and 23</w:t>
            </w:r>
            <w:r w:rsidRPr="00054B27">
              <w:rPr>
                <w:rFonts w:ascii="Arial Narrow" w:hAnsi="Arial Narrow"/>
                <w:sz w:val="20"/>
                <w:szCs w:val="22"/>
                <w:lang w:eastAsia="en-AU"/>
              </w:rPr>
              <w:noBreakHyphen/>
              <w:t>valent pneumococcal polysaccharide vaccine in pneumococcal vaccine</w:t>
            </w:r>
            <w:r w:rsidRPr="00054B27">
              <w:rPr>
                <w:rFonts w:ascii="Arial Narrow" w:hAnsi="Arial Narrow"/>
                <w:sz w:val="20"/>
                <w:szCs w:val="22"/>
                <w:lang w:eastAsia="en-AU"/>
              </w:rPr>
              <w:noBreakHyphen/>
              <w:t xml:space="preserve">naïve </w:t>
            </w:r>
            <w:r w:rsidR="00E544B6" w:rsidRPr="00054B27">
              <w:rPr>
                <w:rFonts w:ascii="Arial Narrow" w:hAnsi="Arial Narrow"/>
                <w:sz w:val="20"/>
                <w:szCs w:val="22"/>
                <w:lang w:eastAsia="en-AU"/>
              </w:rPr>
              <w:t>adult’s</w:t>
            </w:r>
            <w:r w:rsidRPr="00054B27">
              <w:rPr>
                <w:rFonts w:ascii="Arial Narrow" w:hAnsi="Arial Narrow"/>
                <w:sz w:val="20"/>
                <w:szCs w:val="22"/>
                <w:lang w:eastAsia="en-AU"/>
              </w:rPr>
              <w:t xml:space="preserve"> 60</w:t>
            </w:r>
            <w:r w:rsidRPr="00054B27">
              <w:rPr>
                <w:rFonts w:ascii="Arial Narrow" w:hAnsi="Arial Narrow"/>
                <w:sz w:val="20"/>
                <w:szCs w:val="22"/>
                <w:lang w:eastAsia="en-AU"/>
              </w:rPr>
              <w:noBreakHyphen/>
              <w:t>64 years of age.</w:t>
            </w:r>
          </w:p>
        </w:tc>
        <w:tc>
          <w:tcPr>
            <w:tcW w:w="848" w:type="pct"/>
            <w:tcBorders>
              <w:top w:val="nil"/>
            </w:tcBorders>
          </w:tcPr>
          <w:p w:rsidR="00CE2C77" w:rsidRPr="00054B27" w:rsidRDefault="00CE2C77" w:rsidP="00AD362F">
            <w:pPr>
              <w:rPr>
                <w:rFonts w:ascii="Arial Narrow" w:hAnsi="Arial Narrow" w:cs="Arial"/>
                <w:snapToGrid w:val="0"/>
                <w:sz w:val="20"/>
                <w:szCs w:val="20"/>
              </w:rPr>
            </w:pPr>
            <w:r w:rsidRPr="00054B27">
              <w:rPr>
                <w:rFonts w:ascii="Arial Narrow" w:hAnsi="Arial Narrow" w:cs="Arial"/>
                <w:i/>
                <w:snapToGrid w:val="0"/>
                <w:sz w:val="20"/>
                <w:szCs w:val="20"/>
              </w:rPr>
              <w:t>Vaccine</w:t>
            </w:r>
            <w:r w:rsidRPr="00054B27">
              <w:rPr>
                <w:rFonts w:ascii="Arial Narrow" w:hAnsi="Arial Narrow" w:cs="Arial"/>
                <w:snapToGrid w:val="0"/>
                <w:sz w:val="20"/>
                <w:szCs w:val="20"/>
              </w:rPr>
              <w:t xml:space="preserve"> 2014; 32:2364</w:t>
            </w:r>
            <w:r w:rsidRPr="00054B27">
              <w:rPr>
                <w:rFonts w:ascii="Arial Narrow" w:hAnsi="Arial Narrow" w:cs="Arial"/>
                <w:snapToGrid w:val="0"/>
                <w:sz w:val="20"/>
                <w:szCs w:val="20"/>
              </w:rPr>
              <w:noBreakHyphen/>
              <w:t>374</w:t>
            </w:r>
          </w:p>
        </w:tc>
      </w:tr>
      <w:tr w:rsidR="00CE2C77" w:rsidRPr="00720E31" w:rsidTr="000F763D">
        <w:trPr>
          <w:cantSplit/>
        </w:trPr>
        <w:tc>
          <w:tcPr>
            <w:tcW w:w="618" w:type="pct"/>
            <w:vAlign w:val="center"/>
          </w:tcPr>
          <w:p w:rsidR="00CE2C77" w:rsidRPr="00054B27" w:rsidRDefault="00CE2C77" w:rsidP="00AD362F">
            <w:pPr>
              <w:rPr>
                <w:rFonts w:ascii="Arial Narrow" w:hAnsi="Arial Narrow" w:cs="Arial"/>
                <w:snapToGrid w:val="0"/>
                <w:sz w:val="20"/>
                <w:szCs w:val="20"/>
              </w:rPr>
            </w:pPr>
            <w:r w:rsidRPr="00054B27">
              <w:rPr>
                <w:rFonts w:ascii="Arial Narrow" w:hAnsi="Arial Narrow" w:cs="Arial"/>
                <w:snapToGrid w:val="0"/>
                <w:sz w:val="20"/>
                <w:szCs w:val="20"/>
              </w:rPr>
              <w:t>3018</w:t>
            </w:r>
          </w:p>
        </w:tc>
        <w:tc>
          <w:tcPr>
            <w:tcW w:w="3534" w:type="pct"/>
            <w:vAlign w:val="center"/>
          </w:tcPr>
          <w:p w:rsidR="00CE2C77" w:rsidRPr="00054B27" w:rsidRDefault="00CE2C77" w:rsidP="00AD362F">
            <w:pPr>
              <w:rPr>
                <w:rFonts w:ascii="Arial Narrow" w:hAnsi="Arial Narrow" w:cs="Arial"/>
                <w:b/>
                <w:snapToGrid w:val="0"/>
                <w:sz w:val="20"/>
                <w:szCs w:val="20"/>
              </w:rPr>
            </w:pPr>
            <w:r w:rsidRPr="00054B27">
              <w:rPr>
                <w:rFonts w:ascii="Arial Narrow" w:hAnsi="Arial Narrow" w:cs="Arial"/>
                <w:snapToGrid w:val="0"/>
                <w:sz w:val="20"/>
                <w:szCs w:val="20"/>
              </w:rPr>
              <w:t>A study to evaluate the persistence of the antibody response elicited by 13</w:t>
            </w:r>
            <w:r w:rsidRPr="00054B27">
              <w:rPr>
                <w:rFonts w:ascii="Arial Narrow" w:hAnsi="Arial Narrow" w:cs="Arial"/>
                <w:snapToGrid w:val="0"/>
                <w:sz w:val="20"/>
                <w:szCs w:val="20"/>
              </w:rPr>
              <w:noBreakHyphen/>
              <w:t>valent pneumococcal conjugate vaccine (13vPCV) in healthy adults who have previously been vaccinated with either 2 doses of 13vPCV or 13vPCV and 23</w:t>
            </w:r>
            <w:r w:rsidRPr="00054B27">
              <w:rPr>
                <w:rFonts w:ascii="Arial Narrow" w:hAnsi="Arial Narrow" w:cs="Arial"/>
                <w:snapToGrid w:val="0"/>
                <w:sz w:val="20"/>
                <w:szCs w:val="20"/>
              </w:rPr>
              <w:noBreakHyphen/>
              <w:t>valent pneumococcal polysaccharide vaccine in different sequential order in study 6115A1</w:t>
            </w:r>
            <w:r w:rsidRPr="00054B27">
              <w:rPr>
                <w:rFonts w:ascii="Arial Narrow" w:hAnsi="Arial Narrow" w:cs="Arial"/>
                <w:snapToGrid w:val="0"/>
                <w:sz w:val="20"/>
                <w:szCs w:val="20"/>
              </w:rPr>
              <w:noBreakHyphen/>
              <w:t>3010 or 6115A1</w:t>
            </w:r>
            <w:r w:rsidRPr="00054B27">
              <w:rPr>
                <w:rFonts w:ascii="Arial Narrow" w:hAnsi="Arial Narrow" w:cs="Arial"/>
                <w:snapToGrid w:val="0"/>
                <w:sz w:val="20"/>
                <w:szCs w:val="20"/>
              </w:rPr>
              <w:noBreakHyphen/>
              <w:t xml:space="preserve">3005. </w:t>
            </w:r>
          </w:p>
        </w:tc>
        <w:tc>
          <w:tcPr>
            <w:tcW w:w="848" w:type="pct"/>
          </w:tcPr>
          <w:p w:rsidR="00CE2C77" w:rsidRPr="00054B27" w:rsidRDefault="00CE2C77" w:rsidP="00AD362F">
            <w:pPr>
              <w:rPr>
                <w:rFonts w:ascii="Arial Narrow" w:hAnsi="Arial Narrow" w:cs="Arial"/>
                <w:b/>
                <w:snapToGrid w:val="0"/>
                <w:sz w:val="20"/>
                <w:szCs w:val="20"/>
              </w:rPr>
            </w:pPr>
            <w:r w:rsidRPr="00054B27">
              <w:rPr>
                <w:rFonts w:ascii="Arial Narrow" w:hAnsi="Arial Narrow" w:cs="Arial"/>
                <w:snapToGrid w:val="0"/>
                <w:sz w:val="20"/>
                <w:szCs w:val="20"/>
              </w:rPr>
              <w:t>May 2012</w:t>
            </w:r>
          </w:p>
        </w:tc>
      </w:tr>
      <w:tr w:rsidR="00CE2C77" w:rsidRPr="00CE2C77" w:rsidTr="000F763D">
        <w:trPr>
          <w:cantSplit/>
        </w:trPr>
        <w:tc>
          <w:tcPr>
            <w:tcW w:w="618" w:type="pct"/>
            <w:vAlign w:val="center"/>
          </w:tcPr>
          <w:p w:rsidR="00CE2C77" w:rsidRPr="00054B27" w:rsidRDefault="00CE2C77" w:rsidP="00AD362F">
            <w:pPr>
              <w:rPr>
                <w:rFonts w:ascii="Arial Narrow" w:hAnsi="Arial Narrow" w:cs="Arial"/>
                <w:snapToGrid w:val="0"/>
                <w:sz w:val="20"/>
                <w:szCs w:val="20"/>
              </w:rPr>
            </w:pPr>
            <w:r w:rsidRPr="00054B27">
              <w:rPr>
                <w:rFonts w:ascii="Arial Narrow" w:hAnsi="Arial Narrow" w:cs="Arial"/>
                <w:snapToGrid w:val="0"/>
                <w:sz w:val="20"/>
                <w:szCs w:val="20"/>
              </w:rPr>
              <w:lastRenderedPageBreak/>
              <w:t>3000</w:t>
            </w:r>
          </w:p>
        </w:tc>
        <w:tc>
          <w:tcPr>
            <w:tcW w:w="3534" w:type="pct"/>
            <w:vAlign w:val="center"/>
          </w:tcPr>
          <w:p w:rsidR="00CE2C77" w:rsidRPr="00054B27" w:rsidRDefault="00CE2C77" w:rsidP="00AD362F">
            <w:pPr>
              <w:rPr>
                <w:rFonts w:ascii="Arial Narrow" w:hAnsi="Arial Narrow" w:cs="Arial"/>
                <w:b/>
                <w:snapToGrid w:val="0"/>
                <w:sz w:val="20"/>
                <w:szCs w:val="20"/>
              </w:rPr>
            </w:pPr>
            <w:r w:rsidRPr="00054B27">
              <w:rPr>
                <w:rFonts w:ascii="Arial Narrow" w:hAnsi="Arial Narrow" w:cs="Arial"/>
                <w:snapToGrid w:val="0"/>
                <w:sz w:val="20"/>
                <w:szCs w:val="20"/>
              </w:rPr>
              <w:t>A phase</w:t>
            </w:r>
            <w:r w:rsidRPr="00054B27">
              <w:rPr>
                <w:rFonts w:ascii="Arial Narrow" w:hAnsi="Arial Narrow" w:cs="Arial"/>
                <w:snapToGrid w:val="0"/>
                <w:sz w:val="20"/>
                <w:szCs w:val="20"/>
              </w:rPr>
              <w:noBreakHyphen/>
              <w:t>3, open</w:t>
            </w:r>
            <w:r w:rsidRPr="00054B27">
              <w:rPr>
                <w:rFonts w:ascii="Arial Narrow" w:hAnsi="Arial Narrow" w:cs="Arial"/>
                <w:snapToGrid w:val="0"/>
                <w:sz w:val="20"/>
                <w:szCs w:val="20"/>
              </w:rPr>
              <w:noBreakHyphen/>
              <w:t>label single</w:t>
            </w:r>
            <w:r w:rsidRPr="00054B27">
              <w:rPr>
                <w:rFonts w:ascii="Arial Narrow" w:hAnsi="Arial Narrow" w:cs="Arial"/>
                <w:snapToGrid w:val="0"/>
                <w:sz w:val="20"/>
                <w:szCs w:val="20"/>
              </w:rPr>
              <w:noBreakHyphen/>
              <w:t>arm trial evaluating the safety, tolerability and reactogenicity of a 13</w:t>
            </w:r>
            <w:r w:rsidRPr="00054B27">
              <w:rPr>
                <w:rFonts w:ascii="Arial Narrow" w:hAnsi="Arial Narrow" w:cs="Arial"/>
                <w:snapToGrid w:val="0"/>
                <w:sz w:val="20"/>
                <w:szCs w:val="20"/>
              </w:rPr>
              <w:noBreakHyphen/>
              <w:t>valent pneumococcal conjugate vaccine in ambulatory elderly adults aged 68 years and older who received one or more doses of 23</w:t>
            </w:r>
            <w:r w:rsidRPr="00054B27">
              <w:rPr>
                <w:rFonts w:ascii="Arial Narrow" w:hAnsi="Arial Narrow" w:cs="Arial"/>
                <w:snapToGrid w:val="0"/>
                <w:sz w:val="20"/>
                <w:szCs w:val="20"/>
              </w:rPr>
              <w:noBreakHyphen/>
              <w:t xml:space="preserve">valent pneumococcal polysaccharide vaccine at least 3 years prior to study enrolment. </w:t>
            </w:r>
          </w:p>
        </w:tc>
        <w:tc>
          <w:tcPr>
            <w:tcW w:w="848" w:type="pct"/>
          </w:tcPr>
          <w:p w:rsidR="00CE2C77" w:rsidRPr="00CE2C77" w:rsidRDefault="00CE2C77" w:rsidP="00AD362F">
            <w:pPr>
              <w:rPr>
                <w:rFonts w:ascii="Arial Narrow" w:hAnsi="Arial Narrow" w:cs="Arial"/>
                <w:b/>
                <w:snapToGrid w:val="0"/>
                <w:sz w:val="20"/>
                <w:szCs w:val="20"/>
              </w:rPr>
            </w:pPr>
            <w:r w:rsidRPr="00054B27">
              <w:rPr>
                <w:rFonts w:ascii="Arial Narrow" w:hAnsi="Arial Narrow" w:cs="Arial"/>
                <w:snapToGrid w:val="0"/>
                <w:sz w:val="20"/>
                <w:szCs w:val="20"/>
              </w:rPr>
              <w:t>February 2010</w:t>
            </w:r>
          </w:p>
        </w:tc>
      </w:tr>
    </w:tbl>
    <w:p w:rsidR="00CE2C77" w:rsidRPr="00CE2C77" w:rsidRDefault="00CE2C77" w:rsidP="00AD362F">
      <w:pPr>
        <w:ind w:firstLine="720"/>
        <w:jc w:val="both"/>
        <w:rPr>
          <w:rFonts w:ascii="Arial Narrow" w:hAnsi="Arial Narrow" w:cs="Arial"/>
          <w:snapToGrid w:val="0"/>
          <w:sz w:val="18"/>
          <w:szCs w:val="20"/>
        </w:rPr>
      </w:pPr>
      <w:r w:rsidRPr="000F763D">
        <w:rPr>
          <w:rFonts w:ascii="Arial Narrow" w:hAnsi="Arial Narrow" w:cs="Arial"/>
          <w:snapToGrid w:val="0"/>
          <w:sz w:val="18"/>
          <w:szCs w:val="20"/>
        </w:rPr>
        <w:t>Source: Table 5, p B.14; Table 17, pB.34; Table 30, B.55; Table 40, p B.73 of the submission</w:t>
      </w:r>
    </w:p>
    <w:p w:rsidR="00CE2C77" w:rsidRPr="00CE2C77" w:rsidRDefault="00CE2C77" w:rsidP="00AD362F">
      <w:pPr>
        <w:jc w:val="both"/>
        <w:rPr>
          <w:rFonts w:ascii="Arial" w:hAnsi="Arial" w:cs="Arial"/>
          <w:snapToGrid w:val="0"/>
          <w:sz w:val="22"/>
          <w:szCs w:val="22"/>
        </w:rPr>
      </w:pPr>
    </w:p>
    <w:p w:rsidR="00CE2C77" w:rsidRPr="00F573B9" w:rsidRDefault="00CE2C77" w:rsidP="00AD362F">
      <w:pPr>
        <w:numPr>
          <w:ilvl w:val="1"/>
          <w:numId w:val="3"/>
        </w:numPr>
        <w:contextualSpacing/>
        <w:jc w:val="both"/>
        <w:rPr>
          <w:rFonts w:ascii="Arial" w:hAnsi="Arial" w:cs="Arial"/>
          <w:i/>
          <w:snapToGrid w:val="0"/>
          <w:sz w:val="22"/>
          <w:szCs w:val="22"/>
        </w:rPr>
      </w:pPr>
      <w:r w:rsidRPr="00CE2C77">
        <w:rPr>
          <w:rFonts w:ascii="Arial" w:hAnsi="Arial" w:cs="Arial"/>
          <w:snapToGrid w:val="0"/>
          <w:sz w:val="22"/>
          <w:szCs w:val="22"/>
        </w:rPr>
        <w:t xml:space="preserve">The </w:t>
      </w:r>
      <w:r w:rsidRPr="00A15171">
        <w:rPr>
          <w:rFonts w:ascii="Arial" w:hAnsi="Arial" w:cs="Arial"/>
          <w:snapToGrid w:val="0"/>
          <w:sz w:val="22"/>
          <w:szCs w:val="22"/>
        </w:rPr>
        <w:t xml:space="preserve">key features of the 13vPCV and 23vPPV randomised efficacy trials, and the 23vPPV non-randomised study used in the economic evaluation, are summarised in the table below. </w:t>
      </w:r>
      <w:r w:rsidRPr="00A15171">
        <w:rPr>
          <w:rFonts w:ascii="Arial" w:hAnsi="Arial" w:cs="Arial"/>
          <w:snapToGrid w:val="0"/>
          <w:sz w:val="22"/>
          <w:szCs w:val="20"/>
        </w:rPr>
        <w:t xml:space="preserve">CAPiTA was designed to detect differences across treatment groups with respect to more specific outcomes </w:t>
      </w:r>
      <w:r w:rsidR="00F374DC">
        <w:rPr>
          <w:rFonts w:ascii="Arial" w:hAnsi="Arial" w:cs="Arial"/>
          <w:snapToGrid w:val="0"/>
          <w:sz w:val="22"/>
          <w:szCs w:val="20"/>
        </w:rPr>
        <w:t>(</w:t>
      </w:r>
      <w:r w:rsidR="00927E54">
        <w:rPr>
          <w:rFonts w:ascii="Arial" w:hAnsi="Arial" w:cs="Arial"/>
          <w:snapToGrid w:val="0"/>
          <w:sz w:val="22"/>
          <w:szCs w:val="20"/>
        </w:rPr>
        <w:t>vaccine type (</w:t>
      </w:r>
      <w:r w:rsidRPr="00A15171">
        <w:rPr>
          <w:rFonts w:ascii="Arial" w:hAnsi="Arial" w:cs="Arial"/>
          <w:snapToGrid w:val="0"/>
          <w:sz w:val="22"/>
          <w:szCs w:val="20"/>
        </w:rPr>
        <w:t>VT</w:t>
      </w:r>
      <w:r w:rsidR="00927E54">
        <w:rPr>
          <w:rFonts w:ascii="Arial" w:hAnsi="Arial" w:cs="Arial"/>
          <w:snapToGrid w:val="0"/>
          <w:sz w:val="22"/>
          <w:szCs w:val="20"/>
        </w:rPr>
        <w:t>)</w:t>
      </w:r>
      <w:r w:rsidRPr="00A15171">
        <w:rPr>
          <w:rFonts w:ascii="Arial" w:hAnsi="Arial" w:cs="Arial"/>
          <w:snapToGrid w:val="0"/>
          <w:sz w:val="22"/>
          <w:szCs w:val="20"/>
        </w:rPr>
        <w:t xml:space="preserve"> pneumonia and VT IPD) in a population with less risk factors for pneumonia. </w:t>
      </w:r>
      <w:r w:rsidR="008D0D43">
        <w:rPr>
          <w:rFonts w:ascii="Arial" w:hAnsi="Arial" w:cs="Arial"/>
          <w:snapToGrid w:val="0"/>
          <w:sz w:val="22"/>
          <w:szCs w:val="20"/>
        </w:rPr>
        <w:t>A</w:t>
      </w:r>
      <w:r w:rsidRPr="00A15171">
        <w:rPr>
          <w:rFonts w:ascii="Arial" w:hAnsi="Arial" w:cs="Arial"/>
          <w:snapToGrid w:val="0"/>
          <w:sz w:val="22"/>
          <w:szCs w:val="20"/>
        </w:rPr>
        <w:t xml:space="preserve">n indirect statistical comparison of 13vPCV and 23vPPV was not presented in the submission. This </w:t>
      </w:r>
      <w:r w:rsidR="002B7A73">
        <w:rPr>
          <w:rFonts w:ascii="Arial" w:hAnsi="Arial" w:cs="Arial"/>
          <w:snapToGrid w:val="0"/>
          <w:sz w:val="22"/>
          <w:szCs w:val="20"/>
        </w:rPr>
        <w:t>was</w:t>
      </w:r>
      <w:r w:rsidR="002B7A73" w:rsidRPr="00A15171">
        <w:rPr>
          <w:rFonts w:ascii="Arial" w:hAnsi="Arial" w:cs="Arial"/>
          <w:snapToGrid w:val="0"/>
          <w:sz w:val="22"/>
          <w:szCs w:val="20"/>
        </w:rPr>
        <w:t xml:space="preserve"> </w:t>
      </w:r>
      <w:r w:rsidRPr="00A15171">
        <w:rPr>
          <w:rFonts w:ascii="Arial" w:hAnsi="Arial" w:cs="Arial"/>
          <w:snapToGrid w:val="0"/>
          <w:sz w:val="22"/>
          <w:szCs w:val="20"/>
        </w:rPr>
        <w:t>reasonable given the substantial differences across the 13vPCV and 23vPPV trials with respect to inclusion criteria, incidence of pneumonia in the contr</w:t>
      </w:r>
      <w:r w:rsidR="00F10871">
        <w:rPr>
          <w:rFonts w:ascii="Arial" w:hAnsi="Arial" w:cs="Arial"/>
          <w:snapToGrid w:val="0"/>
          <w:sz w:val="22"/>
          <w:szCs w:val="20"/>
        </w:rPr>
        <w:t>ol groups and outcomes assessed. As</w:t>
      </w:r>
      <w:r w:rsidRPr="00A15171">
        <w:rPr>
          <w:rFonts w:ascii="Arial" w:hAnsi="Arial" w:cs="Arial"/>
          <w:snapToGrid w:val="0"/>
          <w:sz w:val="22"/>
          <w:szCs w:val="20"/>
        </w:rPr>
        <w:t xml:space="preserve"> a res</w:t>
      </w:r>
      <w:r w:rsidR="00F10871">
        <w:rPr>
          <w:rFonts w:ascii="Arial" w:hAnsi="Arial" w:cs="Arial"/>
          <w:snapToGrid w:val="0"/>
          <w:sz w:val="22"/>
          <w:szCs w:val="20"/>
        </w:rPr>
        <w:t xml:space="preserve">ult, however, </w:t>
      </w:r>
      <w:r w:rsidRPr="00A15171">
        <w:rPr>
          <w:rFonts w:ascii="Arial" w:hAnsi="Arial" w:cs="Arial"/>
          <w:snapToGrid w:val="0"/>
          <w:sz w:val="22"/>
          <w:szCs w:val="20"/>
        </w:rPr>
        <w:t>a reliable estima</w:t>
      </w:r>
      <w:r w:rsidR="00F374DC">
        <w:rPr>
          <w:rFonts w:ascii="Arial" w:hAnsi="Arial" w:cs="Arial"/>
          <w:snapToGrid w:val="0"/>
          <w:sz w:val="22"/>
          <w:szCs w:val="20"/>
        </w:rPr>
        <w:t>te of the incremental efficacy wa</w:t>
      </w:r>
      <w:r w:rsidRPr="00A15171">
        <w:rPr>
          <w:rFonts w:ascii="Arial" w:hAnsi="Arial" w:cs="Arial"/>
          <w:snapToGrid w:val="0"/>
          <w:sz w:val="22"/>
          <w:szCs w:val="20"/>
        </w:rPr>
        <w:t>s not available</w:t>
      </w:r>
      <w:r w:rsidR="00F374DC">
        <w:rPr>
          <w:rFonts w:ascii="Arial" w:hAnsi="Arial" w:cs="Arial"/>
          <w:snapToGrid w:val="0"/>
          <w:sz w:val="22"/>
          <w:szCs w:val="20"/>
        </w:rPr>
        <w:t>.</w:t>
      </w:r>
    </w:p>
    <w:p w:rsidR="00404F2C" w:rsidRPr="00F573B9" w:rsidRDefault="00404F2C" w:rsidP="00AD362F">
      <w:pPr>
        <w:ind w:left="720"/>
        <w:contextualSpacing/>
        <w:jc w:val="both"/>
        <w:rPr>
          <w:rFonts w:ascii="Arial" w:hAnsi="Arial" w:cs="Arial"/>
          <w:i/>
          <w:snapToGrid w:val="0"/>
          <w:sz w:val="22"/>
          <w:szCs w:val="22"/>
        </w:rPr>
      </w:pPr>
    </w:p>
    <w:p w:rsidR="00404F2C" w:rsidRPr="000F763D" w:rsidRDefault="00404F2C" w:rsidP="00AD362F">
      <w:pPr>
        <w:numPr>
          <w:ilvl w:val="1"/>
          <w:numId w:val="3"/>
        </w:numPr>
        <w:contextualSpacing/>
        <w:jc w:val="both"/>
        <w:rPr>
          <w:rFonts w:ascii="Arial" w:hAnsi="Arial" w:cs="Arial"/>
          <w:i/>
          <w:snapToGrid w:val="0"/>
          <w:sz w:val="22"/>
          <w:szCs w:val="22"/>
        </w:rPr>
      </w:pPr>
      <w:r w:rsidRPr="00404F2C">
        <w:rPr>
          <w:rFonts w:ascii="Arial" w:hAnsi="Arial" w:cs="Arial"/>
          <w:snapToGrid w:val="0"/>
          <w:sz w:val="22"/>
          <w:szCs w:val="20"/>
        </w:rPr>
        <w:t xml:space="preserve">CAPiTA excluded nursing home residents and immunocompromised subjects. For subjects who became immune deficient or suppressed during the CAPiTA follow-up period, 13vPCV </w:t>
      </w:r>
      <w:r w:rsidR="00454C00">
        <w:rPr>
          <w:rFonts w:ascii="Arial" w:hAnsi="Arial" w:cs="Arial"/>
          <w:snapToGrid w:val="0"/>
          <w:sz w:val="22"/>
          <w:szCs w:val="20"/>
        </w:rPr>
        <w:t>vaccine efficacy</w:t>
      </w:r>
      <w:r w:rsidR="00454C00" w:rsidRPr="00404F2C">
        <w:rPr>
          <w:rFonts w:ascii="Arial" w:hAnsi="Arial" w:cs="Arial"/>
          <w:snapToGrid w:val="0"/>
          <w:sz w:val="22"/>
          <w:szCs w:val="20"/>
        </w:rPr>
        <w:t xml:space="preserve"> </w:t>
      </w:r>
      <w:r w:rsidRPr="00404F2C">
        <w:rPr>
          <w:rFonts w:ascii="Arial" w:hAnsi="Arial" w:cs="Arial"/>
          <w:snapToGrid w:val="0"/>
          <w:sz w:val="22"/>
          <w:szCs w:val="20"/>
        </w:rPr>
        <w:t>estimates were lower. Thus the efficacy of 13vPCV may be reduced in the NIP population, which includes immunocompromised subjects, compared with the CAPiTA population</w:t>
      </w:r>
      <w:r>
        <w:rPr>
          <w:rFonts w:ascii="Arial" w:hAnsi="Arial" w:cs="Arial"/>
          <w:snapToGrid w:val="0"/>
          <w:sz w:val="22"/>
          <w:szCs w:val="20"/>
        </w:rPr>
        <w:t>.</w:t>
      </w:r>
    </w:p>
    <w:p w:rsidR="00404F2C" w:rsidRPr="00F573B9" w:rsidRDefault="00404F2C" w:rsidP="00AD362F">
      <w:pPr>
        <w:rPr>
          <w:rFonts w:ascii="Arial" w:hAnsi="Arial" w:cs="Arial"/>
          <w:i/>
          <w:snapToGrid w:val="0"/>
          <w:sz w:val="22"/>
          <w:szCs w:val="22"/>
        </w:rPr>
      </w:pPr>
    </w:p>
    <w:p w:rsidR="002428A7" w:rsidRPr="00517B6E" w:rsidRDefault="00404F2C" w:rsidP="00AD362F">
      <w:pPr>
        <w:numPr>
          <w:ilvl w:val="1"/>
          <w:numId w:val="3"/>
        </w:numPr>
        <w:contextualSpacing/>
        <w:jc w:val="both"/>
        <w:rPr>
          <w:rFonts w:ascii="Arial" w:hAnsi="Arial" w:cs="Arial"/>
          <w:snapToGrid w:val="0"/>
          <w:sz w:val="22"/>
          <w:szCs w:val="22"/>
        </w:rPr>
      </w:pPr>
      <w:r w:rsidRPr="00517B6E">
        <w:rPr>
          <w:rFonts w:ascii="Arial" w:hAnsi="Arial" w:cs="Arial"/>
          <w:snapToGrid w:val="0"/>
          <w:sz w:val="22"/>
          <w:szCs w:val="22"/>
        </w:rPr>
        <w:t>The ESC also noted that in the Netherlands, where the</w:t>
      </w:r>
      <w:r w:rsidR="00E2699D">
        <w:rPr>
          <w:rFonts w:ascii="Arial" w:hAnsi="Arial" w:cs="Arial"/>
          <w:snapToGrid w:val="0"/>
          <w:sz w:val="22"/>
          <w:szCs w:val="22"/>
        </w:rPr>
        <w:t xml:space="preserve"> CAPiTA</w:t>
      </w:r>
      <w:r w:rsidRPr="00517B6E">
        <w:rPr>
          <w:rFonts w:ascii="Arial" w:hAnsi="Arial" w:cs="Arial"/>
          <w:snapToGrid w:val="0"/>
          <w:sz w:val="22"/>
          <w:szCs w:val="22"/>
        </w:rPr>
        <w:t xml:space="preserve"> trial took place, 23vPPV </w:t>
      </w:r>
      <w:r w:rsidR="00F10871" w:rsidRPr="00517B6E">
        <w:rPr>
          <w:rFonts w:ascii="Arial" w:hAnsi="Arial" w:cs="Arial"/>
          <w:snapToGrid w:val="0"/>
          <w:sz w:val="22"/>
          <w:szCs w:val="22"/>
        </w:rPr>
        <w:t xml:space="preserve">is not </w:t>
      </w:r>
      <w:r w:rsidR="002428A7" w:rsidRPr="00517B6E">
        <w:rPr>
          <w:rFonts w:ascii="Arial" w:hAnsi="Arial" w:cs="Arial"/>
          <w:snapToGrid w:val="0"/>
          <w:sz w:val="22"/>
          <w:szCs w:val="22"/>
        </w:rPr>
        <w:t>routinely</w:t>
      </w:r>
      <w:r w:rsidRPr="00517B6E">
        <w:rPr>
          <w:rFonts w:ascii="Arial" w:hAnsi="Arial" w:cs="Arial"/>
          <w:snapToGrid w:val="0"/>
          <w:sz w:val="22"/>
          <w:szCs w:val="22"/>
        </w:rPr>
        <w:t xml:space="preserve"> administered in the older generations. Using a placebo in the control</w:t>
      </w:r>
      <w:r>
        <w:rPr>
          <w:rFonts w:ascii="Arial" w:hAnsi="Arial" w:cs="Arial"/>
          <w:i/>
          <w:snapToGrid w:val="0"/>
          <w:sz w:val="22"/>
          <w:szCs w:val="22"/>
        </w:rPr>
        <w:t xml:space="preserve"> </w:t>
      </w:r>
      <w:r w:rsidRPr="00517B6E">
        <w:rPr>
          <w:rFonts w:ascii="Arial" w:hAnsi="Arial" w:cs="Arial"/>
          <w:snapToGrid w:val="0"/>
          <w:sz w:val="22"/>
          <w:szCs w:val="22"/>
        </w:rPr>
        <w:t>group may not be appropriate</w:t>
      </w:r>
      <w:r w:rsidR="001D6CD1" w:rsidRPr="00517B6E">
        <w:rPr>
          <w:rFonts w:ascii="Arial" w:hAnsi="Arial" w:cs="Arial"/>
          <w:snapToGrid w:val="0"/>
          <w:sz w:val="22"/>
          <w:szCs w:val="22"/>
        </w:rPr>
        <w:t xml:space="preserve"> to compare to the</w:t>
      </w:r>
      <w:r w:rsidRPr="00517B6E">
        <w:rPr>
          <w:rFonts w:ascii="Arial" w:hAnsi="Arial" w:cs="Arial"/>
          <w:snapToGrid w:val="0"/>
          <w:sz w:val="22"/>
          <w:szCs w:val="22"/>
        </w:rPr>
        <w:t xml:space="preserve"> Australia</w:t>
      </w:r>
      <w:r w:rsidR="001D6CD1" w:rsidRPr="00517B6E">
        <w:rPr>
          <w:rFonts w:ascii="Arial" w:hAnsi="Arial" w:cs="Arial"/>
          <w:snapToGrid w:val="0"/>
          <w:sz w:val="22"/>
          <w:szCs w:val="22"/>
        </w:rPr>
        <w:t>n population</w:t>
      </w:r>
      <w:r w:rsidRPr="00517B6E">
        <w:rPr>
          <w:rFonts w:ascii="Arial" w:hAnsi="Arial" w:cs="Arial"/>
          <w:snapToGrid w:val="0"/>
          <w:sz w:val="22"/>
          <w:szCs w:val="22"/>
        </w:rPr>
        <w:t xml:space="preserve"> due to the current use of 23vPPV.</w:t>
      </w:r>
    </w:p>
    <w:p w:rsidR="002428A7" w:rsidRPr="00517B6E" w:rsidRDefault="002428A7" w:rsidP="00AD362F">
      <w:pPr>
        <w:pStyle w:val="ListParagraph"/>
        <w:rPr>
          <w:rFonts w:ascii="Arial" w:hAnsi="Arial" w:cs="Arial"/>
          <w:snapToGrid w:val="0"/>
          <w:sz w:val="22"/>
          <w:szCs w:val="22"/>
        </w:rPr>
      </w:pPr>
    </w:p>
    <w:p w:rsidR="00404F2C" w:rsidRPr="00517B6E" w:rsidRDefault="002428A7" w:rsidP="00AD362F">
      <w:pPr>
        <w:numPr>
          <w:ilvl w:val="1"/>
          <w:numId w:val="3"/>
        </w:numPr>
        <w:contextualSpacing/>
        <w:jc w:val="both"/>
        <w:rPr>
          <w:rFonts w:ascii="Arial" w:hAnsi="Arial" w:cs="Arial"/>
          <w:snapToGrid w:val="0"/>
          <w:sz w:val="22"/>
          <w:szCs w:val="22"/>
        </w:rPr>
      </w:pPr>
      <w:r w:rsidRPr="00517B6E">
        <w:rPr>
          <w:rFonts w:ascii="Arial" w:hAnsi="Arial" w:cs="Arial"/>
          <w:snapToGrid w:val="0"/>
          <w:sz w:val="22"/>
          <w:szCs w:val="22"/>
        </w:rPr>
        <w:t xml:space="preserve">As CAPiTA was hospital based, patients in the trial may have been at the severe end of the disease spectrum. Results </w:t>
      </w:r>
      <w:r w:rsidR="00465741" w:rsidRPr="00517B6E">
        <w:rPr>
          <w:rFonts w:ascii="Arial" w:hAnsi="Arial" w:cs="Arial"/>
          <w:snapToGrid w:val="0"/>
          <w:sz w:val="22"/>
          <w:szCs w:val="22"/>
        </w:rPr>
        <w:t xml:space="preserve">from CAPiTA </w:t>
      </w:r>
      <w:r w:rsidRPr="00517B6E">
        <w:rPr>
          <w:rFonts w:ascii="Arial" w:hAnsi="Arial" w:cs="Arial"/>
          <w:snapToGrid w:val="0"/>
          <w:sz w:val="22"/>
          <w:szCs w:val="22"/>
        </w:rPr>
        <w:t>may therefore appear more effective than they would in the</w:t>
      </w:r>
      <w:r w:rsidR="00465741" w:rsidRPr="00517B6E">
        <w:rPr>
          <w:rFonts w:ascii="Arial" w:hAnsi="Arial" w:cs="Arial"/>
          <w:snapToGrid w:val="0"/>
          <w:sz w:val="22"/>
          <w:szCs w:val="22"/>
        </w:rPr>
        <w:t xml:space="preserve"> Australian</w:t>
      </w:r>
      <w:r w:rsidRPr="00517B6E">
        <w:rPr>
          <w:rFonts w:ascii="Arial" w:hAnsi="Arial" w:cs="Arial"/>
          <w:snapToGrid w:val="0"/>
          <w:sz w:val="22"/>
          <w:szCs w:val="22"/>
        </w:rPr>
        <w:t xml:space="preserve"> target population.</w:t>
      </w:r>
    </w:p>
    <w:p w:rsidR="00CE2C77" w:rsidRPr="00CE2C77" w:rsidRDefault="00CE2C77" w:rsidP="00AD362F">
      <w:pPr>
        <w:jc w:val="both"/>
        <w:rPr>
          <w:rFonts w:ascii="Arial" w:hAnsi="Arial" w:cs="Arial"/>
          <w:snapToGrid w:val="0"/>
          <w:sz w:val="22"/>
          <w:szCs w:val="20"/>
        </w:rPr>
      </w:pPr>
    </w:p>
    <w:p w:rsidR="00CE2C77" w:rsidRPr="00CE2C77" w:rsidRDefault="00CE2C77" w:rsidP="00AD362F">
      <w:pPr>
        <w:keepNext/>
        <w:ind w:firstLine="720"/>
        <w:jc w:val="both"/>
        <w:rPr>
          <w:rFonts w:ascii="Arial Narrow" w:hAnsi="Arial Narrow" w:cs="Arial"/>
          <w:b/>
          <w:snapToGrid w:val="0"/>
          <w:sz w:val="20"/>
          <w:szCs w:val="16"/>
        </w:rPr>
      </w:pPr>
      <w:r w:rsidRPr="00CE2C77">
        <w:rPr>
          <w:rFonts w:ascii="Arial Narrow" w:hAnsi="Arial Narrow" w:cs="Arial"/>
          <w:b/>
          <w:snapToGrid w:val="0"/>
          <w:sz w:val="20"/>
          <w:szCs w:val="16"/>
        </w:rPr>
        <w:lastRenderedPageBreak/>
        <w:t>Key features of the included evidence – indirect comparison</w:t>
      </w:r>
    </w:p>
    <w:tbl>
      <w:tblPr>
        <w:tblW w:w="4669"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Key features of the included evidence – indirect comparison"/>
      </w:tblPr>
      <w:tblGrid>
        <w:gridCol w:w="1135"/>
        <w:gridCol w:w="568"/>
        <w:gridCol w:w="850"/>
        <w:gridCol w:w="850"/>
        <w:gridCol w:w="2411"/>
        <w:gridCol w:w="1559"/>
        <w:gridCol w:w="1109"/>
      </w:tblGrid>
      <w:tr w:rsidR="00CE2C77" w:rsidRPr="00CE2C77" w:rsidTr="00CE2C77">
        <w:trPr>
          <w:cantSplit/>
          <w:tblHeader/>
        </w:trPr>
        <w:tc>
          <w:tcPr>
            <w:tcW w:w="669" w:type="pct"/>
            <w:shd w:val="clear" w:color="auto" w:fill="auto"/>
            <w:vAlign w:val="center"/>
          </w:tcPr>
          <w:p w:rsidR="00CE2C77" w:rsidRPr="00CE2C77" w:rsidRDefault="00CE2C77" w:rsidP="00AD362F">
            <w:pPr>
              <w:keepNext/>
              <w:rPr>
                <w:rFonts w:ascii="Arial Narrow" w:hAnsi="Arial Narrow" w:cs="Arial"/>
                <w:b/>
                <w:snapToGrid w:val="0"/>
                <w:sz w:val="20"/>
                <w:szCs w:val="16"/>
                <w:lang w:val="en-US"/>
              </w:rPr>
            </w:pPr>
            <w:r w:rsidRPr="00CE2C77">
              <w:rPr>
                <w:rFonts w:ascii="Arial Narrow" w:hAnsi="Arial Narrow" w:cs="Arial"/>
                <w:b/>
                <w:snapToGrid w:val="0"/>
                <w:sz w:val="20"/>
                <w:szCs w:val="16"/>
                <w:lang w:val="en-US"/>
              </w:rPr>
              <w:t>Trial</w:t>
            </w:r>
          </w:p>
        </w:tc>
        <w:tc>
          <w:tcPr>
            <w:tcW w:w="335" w:type="pct"/>
            <w:shd w:val="clear" w:color="auto" w:fill="auto"/>
            <w:vAlign w:val="center"/>
          </w:tcPr>
          <w:p w:rsidR="00CE2C77" w:rsidRPr="00CE2C77" w:rsidRDefault="00CE2C77" w:rsidP="00AD362F">
            <w:pPr>
              <w:keepNext/>
              <w:jc w:val="center"/>
              <w:rPr>
                <w:rFonts w:ascii="Arial Narrow" w:hAnsi="Arial Narrow" w:cs="Arial"/>
                <w:b/>
                <w:snapToGrid w:val="0"/>
                <w:sz w:val="20"/>
                <w:szCs w:val="16"/>
                <w:lang w:val="en-US"/>
              </w:rPr>
            </w:pPr>
            <w:r w:rsidRPr="00CE2C77">
              <w:rPr>
                <w:rFonts w:ascii="Arial Narrow" w:hAnsi="Arial Narrow" w:cs="Arial"/>
                <w:b/>
                <w:snapToGrid w:val="0"/>
                <w:sz w:val="20"/>
                <w:szCs w:val="16"/>
                <w:lang w:val="en-US"/>
              </w:rPr>
              <w:t>N</w:t>
            </w:r>
          </w:p>
        </w:tc>
        <w:tc>
          <w:tcPr>
            <w:tcW w:w="501" w:type="pct"/>
            <w:shd w:val="clear" w:color="auto" w:fill="auto"/>
            <w:vAlign w:val="center"/>
          </w:tcPr>
          <w:p w:rsidR="00CE2C77" w:rsidRPr="00CE2C77" w:rsidRDefault="00CE2C77" w:rsidP="00AD362F">
            <w:pPr>
              <w:keepNext/>
              <w:jc w:val="center"/>
              <w:rPr>
                <w:rFonts w:ascii="Arial Narrow" w:hAnsi="Arial Narrow" w:cs="Arial"/>
                <w:b/>
                <w:snapToGrid w:val="0"/>
                <w:sz w:val="20"/>
                <w:szCs w:val="16"/>
                <w:lang w:val="en-US"/>
              </w:rPr>
            </w:pPr>
            <w:r w:rsidRPr="00CE2C77">
              <w:rPr>
                <w:rFonts w:ascii="Arial Narrow" w:hAnsi="Arial Narrow" w:cs="Arial"/>
                <w:b/>
                <w:snapToGrid w:val="0"/>
                <w:sz w:val="20"/>
                <w:szCs w:val="16"/>
                <w:lang w:val="en-US"/>
              </w:rPr>
              <w:t>Design/ duration</w:t>
            </w:r>
          </w:p>
        </w:tc>
        <w:tc>
          <w:tcPr>
            <w:tcW w:w="501" w:type="pct"/>
            <w:shd w:val="clear" w:color="auto" w:fill="auto"/>
            <w:vAlign w:val="center"/>
          </w:tcPr>
          <w:p w:rsidR="00CE2C77" w:rsidRPr="00CE2C77" w:rsidRDefault="00CE2C77" w:rsidP="00AD362F">
            <w:pPr>
              <w:keepNext/>
              <w:jc w:val="center"/>
              <w:rPr>
                <w:rFonts w:ascii="Arial Narrow" w:hAnsi="Arial Narrow" w:cs="Arial"/>
                <w:b/>
                <w:snapToGrid w:val="0"/>
                <w:sz w:val="20"/>
                <w:szCs w:val="16"/>
                <w:lang w:val="en-US"/>
              </w:rPr>
            </w:pPr>
            <w:r w:rsidRPr="00CE2C77">
              <w:rPr>
                <w:rFonts w:ascii="Arial Narrow" w:hAnsi="Arial Narrow" w:cs="Arial"/>
                <w:b/>
                <w:snapToGrid w:val="0"/>
                <w:sz w:val="20"/>
                <w:szCs w:val="16"/>
                <w:lang w:val="en-US"/>
              </w:rPr>
              <w:t>Risk of bias</w:t>
            </w:r>
          </w:p>
        </w:tc>
        <w:tc>
          <w:tcPr>
            <w:tcW w:w="1421" w:type="pct"/>
            <w:shd w:val="clear" w:color="auto" w:fill="auto"/>
            <w:vAlign w:val="center"/>
          </w:tcPr>
          <w:p w:rsidR="00CE2C77" w:rsidRPr="00CE2C77" w:rsidRDefault="00CE2C77" w:rsidP="00AD362F">
            <w:pPr>
              <w:keepNext/>
              <w:jc w:val="center"/>
              <w:rPr>
                <w:rFonts w:ascii="Arial Narrow" w:hAnsi="Arial Narrow" w:cs="Arial"/>
                <w:b/>
                <w:snapToGrid w:val="0"/>
                <w:sz w:val="20"/>
                <w:szCs w:val="16"/>
                <w:lang w:val="en-US"/>
              </w:rPr>
            </w:pPr>
            <w:r w:rsidRPr="00CE2C77">
              <w:rPr>
                <w:rFonts w:ascii="Arial Narrow" w:hAnsi="Arial Narrow" w:cs="Arial"/>
                <w:b/>
                <w:snapToGrid w:val="0"/>
                <w:sz w:val="20"/>
                <w:szCs w:val="16"/>
                <w:lang w:val="en-US"/>
              </w:rPr>
              <w:t>Patient population</w:t>
            </w:r>
          </w:p>
        </w:tc>
        <w:tc>
          <w:tcPr>
            <w:tcW w:w="919" w:type="pct"/>
            <w:shd w:val="clear" w:color="auto" w:fill="auto"/>
            <w:vAlign w:val="center"/>
          </w:tcPr>
          <w:p w:rsidR="00CE2C77" w:rsidRPr="00CE2C77" w:rsidRDefault="00CE2C77" w:rsidP="00AD362F">
            <w:pPr>
              <w:keepNext/>
              <w:jc w:val="center"/>
              <w:rPr>
                <w:rFonts w:ascii="Arial Narrow" w:hAnsi="Arial Narrow" w:cs="Arial"/>
                <w:b/>
                <w:snapToGrid w:val="0"/>
                <w:sz w:val="20"/>
                <w:szCs w:val="16"/>
                <w:lang w:val="en-US"/>
              </w:rPr>
            </w:pPr>
            <w:r w:rsidRPr="00CE2C77">
              <w:rPr>
                <w:rFonts w:ascii="Arial Narrow" w:hAnsi="Arial Narrow" w:cs="Arial"/>
                <w:b/>
                <w:snapToGrid w:val="0"/>
                <w:sz w:val="20"/>
                <w:szCs w:val="16"/>
                <w:lang w:val="en-US"/>
              </w:rPr>
              <w:t>Primary outcome</w:t>
            </w:r>
          </w:p>
        </w:tc>
        <w:tc>
          <w:tcPr>
            <w:tcW w:w="654" w:type="pct"/>
            <w:shd w:val="clear" w:color="auto" w:fill="auto"/>
            <w:vAlign w:val="center"/>
          </w:tcPr>
          <w:p w:rsidR="00CE2C77" w:rsidRPr="00CE2C77" w:rsidRDefault="00CE2C77" w:rsidP="00AD362F">
            <w:pPr>
              <w:keepNext/>
              <w:jc w:val="center"/>
              <w:rPr>
                <w:rFonts w:ascii="Arial Narrow" w:hAnsi="Arial Narrow" w:cs="Arial"/>
                <w:b/>
                <w:snapToGrid w:val="0"/>
                <w:sz w:val="20"/>
                <w:szCs w:val="16"/>
                <w:lang w:val="en-US"/>
              </w:rPr>
            </w:pPr>
            <w:r w:rsidRPr="00CE2C77">
              <w:rPr>
                <w:rFonts w:ascii="Arial Narrow" w:hAnsi="Arial Narrow" w:cs="Arial"/>
                <w:b/>
                <w:snapToGrid w:val="0"/>
                <w:sz w:val="20"/>
                <w:szCs w:val="16"/>
                <w:lang w:val="en-US"/>
              </w:rPr>
              <w:t>Use in modelled evaluation</w:t>
            </w:r>
          </w:p>
        </w:tc>
      </w:tr>
      <w:tr w:rsidR="00CE2C77" w:rsidRPr="00CE2C77" w:rsidTr="00CE2C77">
        <w:trPr>
          <w:cantSplit/>
        </w:trPr>
        <w:tc>
          <w:tcPr>
            <w:tcW w:w="5000" w:type="pct"/>
            <w:gridSpan w:val="7"/>
            <w:shd w:val="clear" w:color="auto" w:fill="auto"/>
            <w:vAlign w:val="center"/>
          </w:tcPr>
          <w:p w:rsidR="00CE2C77" w:rsidRPr="00CE2C77" w:rsidRDefault="00CE2C77" w:rsidP="00AD362F">
            <w:pPr>
              <w:keepNext/>
              <w:rPr>
                <w:rFonts w:ascii="Arial Narrow" w:hAnsi="Arial Narrow" w:cs="Arial"/>
                <w:b/>
                <w:snapToGrid w:val="0"/>
                <w:sz w:val="20"/>
                <w:szCs w:val="16"/>
                <w:lang w:val="en-US"/>
              </w:rPr>
            </w:pPr>
            <w:r w:rsidRPr="00CE2C77">
              <w:rPr>
                <w:rFonts w:ascii="Arial Narrow" w:hAnsi="Arial Narrow" w:cs="Arial"/>
                <w:b/>
                <w:snapToGrid w:val="0"/>
                <w:sz w:val="20"/>
                <w:szCs w:val="16"/>
                <w:lang w:val="en-US"/>
              </w:rPr>
              <w:t>13vPCV vs placebo</w:t>
            </w:r>
          </w:p>
        </w:tc>
      </w:tr>
      <w:tr w:rsidR="00CE2C77" w:rsidRPr="00CE2C77" w:rsidTr="00CE2C77">
        <w:trPr>
          <w:cantSplit/>
        </w:trPr>
        <w:tc>
          <w:tcPr>
            <w:tcW w:w="669" w:type="pct"/>
            <w:shd w:val="clear" w:color="auto" w:fill="auto"/>
            <w:vAlign w:val="center"/>
          </w:tcPr>
          <w:p w:rsidR="00CE2C77" w:rsidRPr="00CE2C77" w:rsidRDefault="00CE2C77" w:rsidP="00AD362F">
            <w:pPr>
              <w:keepNext/>
              <w:rPr>
                <w:rFonts w:ascii="Arial Narrow" w:hAnsi="Arial Narrow" w:cs="Arial"/>
                <w:snapToGrid w:val="0"/>
                <w:sz w:val="20"/>
                <w:szCs w:val="16"/>
                <w:lang w:val="en-US"/>
              </w:rPr>
            </w:pPr>
            <w:r w:rsidRPr="00CE2C77">
              <w:rPr>
                <w:rFonts w:ascii="Arial Narrow" w:hAnsi="Arial Narrow" w:cs="Arial"/>
                <w:snapToGrid w:val="0"/>
                <w:sz w:val="20"/>
                <w:szCs w:val="16"/>
                <w:lang w:val="en-US"/>
              </w:rPr>
              <w:t>CAPiTA</w:t>
            </w:r>
          </w:p>
        </w:tc>
        <w:tc>
          <w:tcPr>
            <w:tcW w:w="335" w:type="pct"/>
            <w:shd w:val="clear" w:color="auto" w:fill="auto"/>
            <w:vAlign w:val="center"/>
          </w:tcPr>
          <w:p w:rsidR="00CE2C77" w:rsidRPr="00CE2C77" w:rsidRDefault="00CE2C77" w:rsidP="00AD362F">
            <w:pPr>
              <w:keepNext/>
              <w:jc w:val="center"/>
              <w:rPr>
                <w:rFonts w:ascii="Arial Narrow" w:hAnsi="Arial Narrow" w:cs="Arial"/>
                <w:snapToGrid w:val="0"/>
                <w:sz w:val="20"/>
                <w:szCs w:val="16"/>
                <w:lang w:val="en-US"/>
              </w:rPr>
            </w:pPr>
            <w:r w:rsidRPr="00CE2C77">
              <w:rPr>
                <w:rFonts w:ascii="Arial Narrow" w:hAnsi="Arial Narrow" w:cs="Arial"/>
                <w:snapToGrid w:val="0"/>
                <w:sz w:val="20"/>
                <w:szCs w:val="16"/>
                <w:lang w:val="en-US"/>
              </w:rPr>
              <w:t>84,496</w:t>
            </w:r>
          </w:p>
        </w:tc>
        <w:tc>
          <w:tcPr>
            <w:tcW w:w="501" w:type="pct"/>
            <w:shd w:val="clear" w:color="auto" w:fill="auto"/>
            <w:vAlign w:val="center"/>
          </w:tcPr>
          <w:p w:rsidR="00CE2C77" w:rsidRPr="00CE2C77" w:rsidRDefault="00CE2C77" w:rsidP="00AD362F">
            <w:pPr>
              <w:keepNext/>
              <w:jc w:val="center"/>
              <w:rPr>
                <w:rFonts w:ascii="Arial Narrow" w:hAnsi="Arial Narrow" w:cs="Arial"/>
                <w:snapToGrid w:val="0"/>
                <w:sz w:val="20"/>
                <w:szCs w:val="16"/>
                <w:lang w:val="en-US"/>
              </w:rPr>
            </w:pPr>
            <w:r w:rsidRPr="00CE2C77">
              <w:rPr>
                <w:rFonts w:ascii="Arial Narrow" w:hAnsi="Arial Narrow" w:cs="Arial"/>
                <w:snapToGrid w:val="0"/>
                <w:sz w:val="20"/>
                <w:szCs w:val="16"/>
                <w:lang w:val="en-US"/>
              </w:rPr>
              <w:t>R, BD</w:t>
            </w:r>
          </w:p>
          <w:p w:rsidR="00CE2C77" w:rsidRPr="00CE2C77" w:rsidRDefault="00CE2C77" w:rsidP="00AD362F">
            <w:pPr>
              <w:keepNext/>
              <w:jc w:val="center"/>
              <w:rPr>
                <w:rFonts w:ascii="Arial Narrow" w:hAnsi="Arial Narrow" w:cs="Arial"/>
                <w:snapToGrid w:val="0"/>
                <w:sz w:val="20"/>
                <w:szCs w:val="16"/>
                <w:lang w:val="en-US"/>
              </w:rPr>
            </w:pPr>
            <w:r w:rsidRPr="00CE2C77">
              <w:rPr>
                <w:rFonts w:ascii="Arial Narrow" w:hAnsi="Arial Narrow" w:cs="Arial"/>
                <w:snapToGrid w:val="0"/>
                <w:sz w:val="20"/>
                <w:szCs w:val="16"/>
                <w:lang w:val="en-US"/>
              </w:rPr>
              <w:t>4 years</w:t>
            </w:r>
          </w:p>
        </w:tc>
        <w:tc>
          <w:tcPr>
            <w:tcW w:w="501" w:type="pct"/>
            <w:shd w:val="clear" w:color="auto" w:fill="auto"/>
            <w:vAlign w:val="center"/>
          </w:tcPr>
          <w:p w:rsidR="00CE2C77" w:rsidRPr="00CE2C77" w:rsidRDefault="00CE2C77" w:rsidP="00AD362F">
            <w:pPr>
              <w:keepNext/>
              <w:jc w:val="center"/>
              <w:rPr>
                <w:rFonts w:ascii="Arial Narrow" w:hAnsi="Arial Narrow" w:cs="Arial"/>
                <w:snapToGrid w:val="0"/>
                <w:sz w:val="20"/>
                <w:szCs w:val="16"/>
                <w:lang w:val="en-US"/>
              </w:rPr>
            </w:pPr>
            <w:r w:rsidRPr="00CE2C77">
              <w:rPr>
                <w:rFonts w:ascii="Arial Narrow" w:hAnsi="Arial Narrow" w:cs="Arial"/>
                <w:snapToGrid w:val="0"/>
                <w:sz w:val="20"/>
                <w:szCs w:val="16"/>
                <w:lang w:val="en-US"/>
              </w:rPr>
              <w:t>Low</w:t>
            </w:r>
          </w:p>
        </w:tc>
        <w:tc>
          <w:tcPr>
            <w:tcW w:w="1421" w:type="pct"/>
            <w:shd w:val="clear" w:color="auto" w:fill="auto"/>
            <w:vAlign w:val="center"/>
          </w:tcPr>
          <w:p w:rsidR="00CE2C77" w:rsidRPr="00CE2C77" w:rsidRDefault="00CE2C77" w:rsidP="00AD362F">
            <w:pPr>
              <w:keepNext/>
              <w:jc w:val="center"/>
              <w:rPr>
                <w:rFonts w:ascii="Arial Narrow" w:hAnsi="Arial Narrow" w:cs="Arial"/>
                <w:snapToGrid w:val="0"/>
                <w:sz w:val="20"/>
                <w:szCs w:val="16"/>
                <w:lang w:val="en-US"/>
              </w:rPr>
            </w:pPr>
            <w:r w:rsidRPr="00CE2C77">
              <w:rPr>
                <w:rFonts w:ascii="Arial Narrow" w:hAnsi="Arial Narrow" w:cs="Arial"/>
                <w:snapToGrid w:val="0"/>
                <w:sz w:val="20"/>
                <w:szCs w:val="16"/>
                <w:lang w:val="en-US"/>
              </w:rPr>
              <w:t>Aged ≥65 years</w:t>
            </w:r>
          </w:p>
        </w:tc>
        <w:tc>
          <w:tcPr>
            <w:tcW w:w="919" w:type="pct"/>
            <w:shd w:val="clear" w:color="auto" w:fill="auto"/>
            <w:vAlign w:val="center"/>
          </w:tcPr>
          <w:p w:rsidR="00CE2C77" w:rsidRPr="00CE2C77" w:rsidRDefault="00CE2C77" w:rsidP="00AD362F">
            <w:pPr>
              <w:keepNext/>
              <w:jc w:val="center"/>
              <w:rPr>
                <w:rFonts w:ascii="Arial Narrow" w:hAnsi="Arial Narrow" w:cs="Arial"/>
                <w:snapToGrid w:val="0"/>
                <w:sz w:val="20"/>
                <w:szCs w:val="16"/>
                <w:lang w:val="en-US"/>
              </w:rPr>
            </w:pPr>
            <w:r w:rsidRPr="00CE2C77">
              <w:rPr>
                <w:rFonts w:ascii="Arial Narrow" w:hAnsi="Arial Narrow" w:cs="Arial"/>
                <w:snapToGrid w:val="0"/>
                <w:sz w:val="20"/>
                <w:szCs w:val="16"/>
                <w:lang w:val="en-US"/>
              </w:rPr>
              <w:t>VT CAP (VT pneumonia in mITT population)</w:t>
            </w:r>
          </w:p>
        </w:tc>
        <w:tc>
          <w:tcPr>
            <w:tcW w:w="654" w:type="pct"/>
            <w:shd w:val="clear" w:color="auto" w:fill="auto"/>
            <w:vAlign w:val="center"/>
          </w:tcPr>
          <w:p w:rsidR="00CE2C77" w:rsidRPr="00CE2C77" w:rsidRDefault="00CE2C77" w:rsidP="00AD362F">
            <w:pPr>
              <w:keepNext/>
              <w:jc w:val="center"/>
              <w:rPr>
                <w:rFonts w:ascii="Arial Narrow" w:hAnsi="Arial Narrow" w:cs="Arial"/>
                <w:snapToGrid w:val="0"/>
                <w:sz w:val="20"/>
                <w:szCs w:val="16"/>
                <w:lang w:val="en-US"/>
              </w:rPr>
            </w:pPr>
            <w:r w:rsidRPr="00CE2C77">
              <w:rPr>
                <w:rFonts w:ascii="Arial Narrow" w:hAnsi="Arial Narrow" w:cs="Arial"/>
                <w:snapToGrid w:val="0"/>
                <w:sz w:val="20"/>
                <w:szCs w:val="16"/>
                <w:lang w:val="en-US"/>
              </w:rPr>
              <w:t>VE for VT pneumonia and VT IPD</w:t>
            </w:r>
          </w:p>
        </w:tc>
      </w:tr>
      <w:tr w:rsidR="00CE2C77" w:rsidRPr="00CE2C77" w:rsidTr="00CE2C77">
        <w:trPr>
          <w:cantSplit/>
        </w:trPr>
        <w:tc>
          <w:tcPr>
            <w:tcW w:w="5000" w:type="pct"/>
            <w:gridSpan w:val="7"/>
            <w:shd w:val="clear" w:color="auto" w:fill="auto"/>
            <w:vAlign w:val="center"/>
          </w:tcPr>
          <w:p w:rsidR="00CE2C77" w:rsidRPr="00CE2C77" w:rsidRDefault="00CE2C77" w:rsidP="00AD362F">
            <w:pPr>
              <w:keepNext/>
              <w:rPr>
                <w:rFonts w:ascii="Arial Narrow" w:hAnsi="Arial Narrow" w:cs="Arial"/>
                <w:b/>
                <w:snapToGrid w:val="0"/>
                <w:sz w:val="20"/>
                <w:szCs w:val="16"/>
                <w:lang w:val="en-US"/>
              </w:rPr>
            </w:pPr>
            <w:r w:rsidRPr="00CE2C77">
              <w:rPr>
                <w:rFonts w:ascii="Arial Narrow" w:hAnsi="Arial Narrow" w:cs="Arial"/>
                <w:b/>
                <w:snapToGrid w:val="0"/>
                <w:sz w:val="20"/>
                <w:szCs w:val="16"/>
                <w:lang w:val="en-US"/>
              </w:rPr>
              <w:t>23vPPV vs placebo or no vaccine</w:t>
            </w:r>
          </w:p>
        </w:tc>
      </w:tr>
      <w:tr w:rsidR="00CE2C77" w:rsidRPr="00CE2C77" w:rsidTr="00CE2C77">
        <w:trPr>
          <w:cantSplit/>
        </w:trPr>
        <w:tc>
          <w:tcPr>
            <w:tcW w:w="669" w:type="pct"/>
            <w:shd w:val="clear" w:color="auto" w:fill="auto"/>
            <w:vAlign w:val="center"/>
          </w:tcPr>
          <w:p w:rsidR="00CE2C77" w:rsidRPr="00CE2C77" w:rsidRDefault="00CE2C77" w:rsidP="00AD362F">
            <w:pPr>
              <w:keepNext/>
              <w:rPr>
                <w:rFonts w:ascii="Arial Narrow" w:hAnsi="Arial Narrow" w:cs="Arial"/>
                <w:snapToGrid w:val="0"/>
                <w:sz w:val="20"/>
                <w:szCs w:val="16"/>
                <w:lang w:val="en-US"/>
              </w:rPr>
            </w:pPr>
            <w:r w:rsidRPr="00CE2C77">
              <w:rPr>
                <w:rFonts w:ascii="Arial Narrow" w:hAnsi="Arial Narrow" w:cs="Arial"/>
                <w:snapToGrid w:val="0"/>
                <w:sz w:val="20"/>
                <w:szCs w:val="16"/>
                <w:lang w:val="en-US"/>
              </w:rPr>
              <w:t>Alfageme 2006</w:t>
            </w:r>
          </w:p>
        </w:tc>
        <w:tc>
          <w:tcPr>
            <w:tcW w:w="335" w:type="pct"/>
            <w:shd w:val="clear" w:color="auto" w:fill="auto"/>
            <w:vAlign w:val="center"/>
          </w:tcPr>
          <w:p w:rsidR="00CE2C77" w:rsidRPr="00CE2C77" w:rsidRDefault="00CE2C77" w:rsidP="00AD362F">
            <w:pPr>
              <w:keepNext/>
              <w:jc w:val="center"/>
              <w:rPr>
                <w:rFonts w:ascii="Arial Narrow" w:hAnsi="Arial Narrow" w:cs="Arial"/>
                <w:snapToGrid w:val="0"/>
                <w:sz w:val="20"/>
                <w:szCs w:val="16"/>
                <w:lang w:val="en-US"/>
              </w:rPr>
            </w:pPr>
            <w:r w:rsidRPr="00CE2C77">
              <w:rPr>
                <w:rFonts w:ascii="Arial Narrow" w:hAnsi="Arial Narrow" w:cs="Arial"/>
                <w:snapToGrid w:val="0"/>
                <w:sz w:val="20"/>
                <w:szCs w:val="16"/>
                <w:lang w:val="en-US"/>
              </w:rPr>
              <w:t>600</w:t>
            </w:r>
          </w:p>
        </w:tc>
        <w:tc>
          <w:tcPr>
            <w:tcW w:w="501" w:type="pct"/>
            <w:shd w:val="clear" w:color="auto" w:fill="auto"/>
            <w:vAlign w:val="center"/>
          </w:tcPr>
          <w:p w:rsidR="00CE2C77" w:rsidRPr="00CE2C77" w:rsidRDefault="00CE2C77" w:rsidP="00AD362F">
            <w:pPr>
              <w:keepNext/>
              <w:jc w:val="center"/>
              <w:rPr>
                <w:rFonts w:ascii="Arial Narrow" w:hAnsi="Arial Narrow" w:cs="Arial"/>
                <w:snapToGrid w:val="0"/>
                <w:sz w:val="20"/>
                <w:szCs w:val="16"/>
                <w:lang w:val="en-US"/>
              </w:rPr>
            </w:pPr>
            <w:r w:rsidRPr="00CE2C77">
              <w:rPr>
                <w:rFonts w:ascii="Arial Narrow" w:hAnsi="Arial Narrow" w:cs="Arial"/>
                <w:snapToGrid w:val="0"/>
                <w:sz w:val="20"/>
                <w:szCs w:val="16"/>
                <w:lang w:val="en-US"/>
              </w:rPr>
              <w:t>R, OL</w:t>
            </w:r>
          </w:p>
          <w:p w:rsidR="00CE2C77" w:rsidRPr="00CE2C77" w:rsidRDefault="00CE2C77" w:rsidP="00AD362F">
            <w:pPr>
              <w:keepNext/>
              <w:jc w:val="center"/>
              <w:rPr>
                <w:rFonts w:ascii="Arial Narrow" w:hAnsi="Arial Narrow" w:cs="Arial"/>
                <w:snapToGrid w:val="0"/>
                <w:sz w:val="20"/>
                <w:szCs w:val="16"/>
                <w:lang w:val="en-US"/>
              </w:rPr>
            </w:pPr>
            <w:r w:rsidRPr="00CE2C77">
              <w:rPr>
                <w:rFonts w:ascii="Arial Narrow" w:hAnsi="Arial Narrow" w:cs="Arial"/>
                <w:snapToGrid w:val="0"/>
                <w:sz w:val="20"/>
                <w:szCs w:val="16"/>
                <w:lang w:val="en-US"/>
              </w:rPr>
              <w:t>2.7 years</w:t>
            </w:r>
          </w:p>
        </w:tc>
        <w:tc>
          <w:tcPr>
            <w:tcW w:w="501" w:type="pct"/>
            <w:shd w:val="clear" w:color="auto" w:fill="auto"/>
            <w:vAlign w:val="center"/>
          </w:tcPr>
          <w:p w:rsidR="00CE2C77" w:rsidRPr="00CE2C77" w:rsidRDefault="00CE2C77" w:rsidP="00AD362F">
            <w:pPr>
              <w:keepNext/>
              <w:jc w:val="center"/>
              <w:rPr>
                <w:rFonts w:ascii="Arial Narrow" w:hAnsi="Arial Narrow" w:cs="Arial"/>
                <w:snapToGrid w:val="0"/>
                <w:sz w:val="20"/>
                <w:szCs w:val="16"/>
                <w:lang w:val="en-US"/>
              </w:rPr>
            </w:pPr>
            <w:r w:rsidRPr="00CE2C77">
              <w:rPr>
                <w:rFonts w:ascii="Arial Narrow" w:hAnsi="Arial Narrow" w:cs="Arial"/>
                <w:snapToGrid w:val="0"/>
                <w:sz w:val="20"/>
                <w:szCs w:val="16"/>
                <w:lang w:val="en-US"/>
              </w:rPr>
              <w:t>Moderate</w:t>
            </w:r>
          </w:p>
        </w:tc>
        <w:tc>
          <w:tcPr>
            <w:tcW w:w="1421" w:type="pct"/>
            <w:shd w:val="clear" w:color="auto" w:fill="auto"/>
            <w:vAlign w:val="center"/>
          </w:tcPr>
          <w:p w:rsidR="00CE2C77" w:rsidRPr="00CE2C77" w:rsidRDefault="00CE2C77" w:rsidP="00AD362F">
            <w:pPr>
              <w:keepNext/>
              <w:jc w:val="center"/>
              <w:rPr>
                <w:rFonts w:ascii="Arial Narrow" w:hAnsi="Arial Narrow" w:cs="Arial"/>
                <w:snapToGrid w:val="0"/>
                <w:sz w:val="20"/>
                <w:szCs w:val="16"/>
                <w:lang w:val="en-US"/>
              </w:rPr>
            </w:pPr>
            <w:r w:rsidRPr="00CE2C77">
              <w:rPr>
                <w:rFonts w:ascii="Arial Narrow" w:hAnsi="Arial Narrow" w:cs="Arial"/>
                <w:snapToGrid w:val="0"/>
                <w:sz w:val="20"/>
                <w:szCs w:val="16"/>
                <w:lang w:val="en-US"/>
              </w:rPr>
              <w:t>Mean age 68 years</w:t>
            </w:r>
          </w:p>
          <w:p w:rsidR="00CE2C77" w:rsidRPr="00CE2C77" w:rsidRDefault="00CE2C77" w:rsidP="00AD362F">
            <w:pPr>
              <w:keepNext/>
              <w:jc w:val="center"/>
              <w:rPr>
                <w:rFonts w:ascii="Arial Narrow" w:hAnsi="Arial Narrow" w:cs="Arial"/>
                <w:snapToGrid w:val="0"/>
                <w:sz w:val="20"/>
                <w:szCs w:val="16"/>
                <w:lang w:val="en-US"/>
              </w:rPr>
            </w:pPr>
            <w:r w:rsidRPr="00CE2C77">
              <w:rPr>
                <w:rFonts w:ascii="Arial Narrow" w:hAnsi="Arial Narrow" w:cs="Arial"/>
                <w:snapToGrid w:val="0"/>
                <w:sz w:val="20"/>
                <w:szCs w:val="16"/>
                <w:lang w:val="en-US"/>
              </w:rPr>
              <w:t>COPD</w:t>
            </w:r>
          </w:p>
        </w:tc>
        <w:tc>
          <w:tcPr>
            <w:tcW w:w="919" w:type="pct"/>
            <w:shd w:val="clear" w:color="auto" w:fill="auto"/>
            <w:vAlign w:val="center"/>
          </w:tcPr>
          <w:p w:rsidR="00CE2C77" w:rsidRPr="00CE2C77" w:rsidRDefault="00CE2C77" w:rsidP="00AD362F">
            <w:pPr>
              <w:keepNext/>
              <w:jc w:val="center"/>
              <w:rPr>
                <w:rFonts w:ascii="Arial Narrow" w:hAnsi="Arial Narrow" w:cs="Arial"/>
                <w:snapToGrid w:val="0"/>
                <w:sz w:val="20"/>
                <w:szCs w:val="16"/>
                <w:lang w:val="en-US"/>
              </w:rPr>
            </w:pPr>
            <w:r w:rsidRPr="00CE2C77">
              <w:rPr>
                <w:rFonts w:ascii="Arial Narrow" w:hAnsi="Arial Narrow" w:cs="Arial"/>
                <w:snapToGrid w:val="0"/>
                <w:sz w:val="20"/>
                <w:szCs w:val="16"/>
                <w:lang w:val="en-US"/>
              </w:rPr>
              <w:t xml:space="preserve">CAP </w:t>
            </w:r>
            <w:r w:rsidRPr="00CE2C77">
              <w:rPr>
                <w:rFonts w:ascii="Arial Narrow" w:hAnsi="Arial Narrow" w:cs="Arial"/>
                <w:snapToGrid w:val="0"/>
                <w:sz w:val="20"/>
                <w:szCs w:val="20"/>
              </w:rPr>
              <w:t>of pneumococcal or unknown aetiology</w:t>
            </w:r>
          </w:p>
        </w:tc>
        <w:tc>
          <w:tcPr>
            <w:tcW w:w="654" w:type="pct"/>
            <w:shd w:val="clear" w:color="auto" w:fill="auto"/>
            <w:vAlign w:val="center"/>
          </w:tcPr>
          <w:p w:rsidR="00CE2C77" w:rsidRPr="00CE2C77" w:rsidRDefault="00CE2C77" w:rsidP="00AD362F">
            <w:pPr>
              <w:keepNext/>
              <w:jc w:val="center"/>
              <w:rPr>
                <w:rFonts w:ascii="Arial Narrow" w:hAnsi="Arial Narrow" w:cs="Arial"/>
                <w:snapToGrid w:val="0"/>
                <w:sz w:val="20"/>
                <w:szCs w:val="16"/>
                <w:lang w:val="en-US"/>
              </w:rPr>
            </w:pPr>
            <w:r w:rsidRPr="00CE2C77">
              <w:rPr>
                <w:rFonts w:ascii="Arial Narrow" w:hAnsi="Arial Narrow" w:cs="Arial"/>
                <w:snapToGrid w:val="0"/>
                <w:sz w:val="20"/>
                <w:szCs w:val="16"/>
                <w:lang w:val="en-US"/>
              </w:rPr>
              <w:t>VE for VT pneumonia</w:t>
            </w:r>
          </w:p>
        </w:tc>
      </w:tr>
      <w:tr w:rsidR="00CE2C77" w:rsidRPr="00CE2C77" w:rsidTr="00CE2C77">
        <w:trPr>
          <w:cantSplit/>
        </w:trPr>
        <w:tc>
          <w:tcPr>
            <w:tcW w:w="669" w:type="pct"/>
            <w:shd w:val="clear" w:color="auto" w:fill="auto"/>
            <w:vAlign w:val="center"/>
          </w:tcPr>
          <w:p w:rsidR="00CE2C77" w:rsidRPr="00CE2C77" w:rsidRDefault="00CE2C77" w:rsidP="00AD362F">
            <w:pPr>
              <w:keepNext/>
              <w:rPr>
                <w:rFonts w:ascii="Arial Narrow" w:hAnsi="Arial Narrow" w:cs="Arial"/>
                <w:snapToGrid w:val="0"/>
                <w:sz w:val="20"/>
                <w:szCs w:val="16"/>
                <w:lang w:val="en-US"/>
              </w:rPr>
            </w:pPr>
            <w:r w:rsidRPr="00CE2C77">
              <w:rPr>
                <w:rFonts w:ascii="Arial Narrow" w:hAnsi="Arial Narrow" w:cs="Arial"/>
                <w:snapToGrid w:val="0"/>
                <w:sz w:val="20"/>
                <w:szCs w:val="16"/>
                <w:lang w:val="en-US"/>
              </w:rPr>
              <w:t>Furumoto 2008</w:t>
            </w:r>
          </w:p>
        </w:tc>
        <w:tc>
          <w:tcPr>
            <w:tcW w:w="335" w:type="pct"/>
            <w:shd w:val="clear" w:color="auto" w:fill="auto"/>
            <w:vAlign w:val="center"/>
          </w:tcPr>
          <w:p w:rsidR="00CE2C77" w:rsidRPr="00CE2C77" w:rsidRDefault="00CE2C77" w:rsidP="00AD362F">
            <w:pPr>
              <w:keepNext/>
              <w:jc w:val="center"/>
              <w:rPr>
                <w:rFonts w:ascii="Arial Narrow" w:hAnsi="Arial Narrow" w:cs="Arial"/>
                <w:snapToGrid w:val="0"/>
                <w:sz w:val="20"/>
                <w:szCs w:val="16"/>
                <w:lang w:val="en-US"/>
              </w:rPr>
            </w:pPr>
            <w:r w:rsidRPr="00CE2C77">
              <w:rPr>
                <w:rFonts w:ascii="Arial Narrow" w:hAnsi="Arial Narrow" w:cs="Arial"/>
                <w:snapToGrid w:val="0"/>
                <w:sz w:val="20"/>
                <w:szCs w:val="16"/>
                <w:lang w:val="en-US"/>
              </w:rPr>
              <w:t>191</w:t>
            </w:r>
          </w:p>
        </w:tc>
        <w:tc>
          <w:tcPr>
            <w:tcW w:w="501" w:type="pct"/>
            <w:shd w:val="clear" w:color="auto" w:fill="auto"/>
            <w:vAlign w:val="center"/>
          </w:tcPr>
          <w:p w:rsidR="00CE2C77" w:rsidRPr="00CE2C77" w:rsidRDefault="00CE2C77" w:rsidP="00AD362F">
            <w:pPr>
              <w:keepNext/>
              <w:jc w:val="center"/>
              <w:rPr>
                <w:rFonts w:ascii="Arial Narrow" w:hAnsi="Arial Narrow" w:cs="Arial"/>
                <w:snapToGrid w:val="0"/>
                <w:sz w:val="20"/>
                <w:szCs w:val="16"/>
                <w:lang w:val="en-US"/>
              </w:rPr>
            </w:pPr>
            <w:r w:rsidRPr="00CE2C77">
              <w:rPr>
                <w:rFonts w:ascii="Arial Narrow" w:hAnsi="Arial Narrow" w:cs="Arial"/>
                <w:snapToGrid w:val="0"/>
                <w:sz w:val="20"/>
                <w:szCs w:val="16"/>
                <w:lang w:val="en-US"/>
              </w:rPr>
              <w:t>R, OL</w:t>
            </w:r>
          </w:p>
          <w:p w:rsidR="00CE2C77" w:rsidRPr="00CE2C77" w:rsidRDefault="00CE2C77" w:rsidP="00AD362F">
            <w:pPr>
              <w:keepNext/>
              <w:jc w:val="center"/>
              <w:rPr>
                <w:rFonts w:ascii="Arial Narrow" w:hAnsi="Arial Narrow" w:cs="Arial"/>
                <w:snapToGrid w:val="0"/>
                <w:sz w:val="20"/>
                <w:szCs w:val="16"/>
                <w:lang w:val="en-US"/>
              </w:rPr>
            </w:pPr>
            <w:r w:rsidRPr="00CE2C77">
              <w:rPr>
                <w:rFonts w:ascii="Arial Narrow" w:hAnsi="Arial Narrow" w:cs="Arial"/>
                <w:snapToGrid w:val="0"/>
                <w:sz w:val="20"/>
                <w:szCs w:val="16"/>
                <w:lang w:val="en-US"/>
              </w:rPr>
              <w:t>2 years</w:t>
            </w:r>
          </w:p>
        </w:tc>
        <w:tc>
          <w:tcPr>
            <w:tcW w:w="501" w:type="pct"/>
            <w:shd w:val="clear" w:color="auto" w:fill="auto"/>
            <w:vAlign w:val="center"/>
          </w:tcPr>
          <w:p w:rsidR="00CE2C77" w:rsidRPr="00CE2C77" w:rsidRDefault="00CE2C77" w:rsidP="00AD362F">
            <w:pPr>
              <w:keepNext/>
              <w:jc w:val="center"/>
              <w:rPr>
                <w:rFonts w:ascii="Arial Narrow" w:hAnsi="Arial Narrow" w:cs="Arial"/>
                <w:snapToGrid w:val="0"/>
                <w:sz w:val="20"/>
                <w:szCs w:val="16"/>
                <w:lang w:val="en-US"/>
              </w:rPr>
            </w:pPr>
            <w:r w:rsidRPr="00CE2C77">
              <w:rPr>
                <w:rFonts w:ascii="Arial Narrow" w:hAnsi="Arial Narrow" w:cs="Arial"/>
                <w:snapToGrid w:val="0"/>
                <w:sz w:val="20"/>
                <w:szCs w:val="16"/>
                <w:lang w:val="en-US"/>
              </w:rPr>
              <w:t>Moderate</w:t>
            </w:r>
          </w:p>
        </w:tc>
        <w:tc>
          <w:tcPr>
            <w:tcW w:w="1421" w:type="pct"/>
            <w:shd w:val="clear" w:color="auto" w:fill="auto"/>
            <w:vAlign w:val="center"/>
          </w:tcPr>
          <w:p w:rsidR="00CE2C77" w:rsidRPr="00CE2C77" w:rsidRDefault="00CE2C77" w:rsidP="00AD362F">
            <w:pPr>
              <w:keepNext/>
              <w:jc w:val="center"/>
              <w:rPr>
                <w:rFonts w:ascii="Arial Narrow" w:hAnsi="Arial Narrow" w:cs="Arial"/>
                <w:snapToGrid w:val="0"/>
                <w:sz w:val="20"/>
                <w:szCs w:val="16"/>
                <w:lang w:val="en-US"/>
              </w:rPr>
            </w:pPr>
            <w:r w:rsidRPr="00CE2C77">
              <w:rPr>
                <w:rFonts w:ascii="Arial Narrow" w:hAnsi="Arial Narrow" w:cs="Arial"/>
                <w:snapToGrid w:val="0"/>
                <w:sz w:val="20"/>
                <w:szCs w:val="16"/>
                <w:lang w:val="en-US"/>
              </w:rPr>
              <w:t>Aged 40-80 years</w:t>
            </w:r>
          </w:p>
          <w:p w:rsidR="00CE2C77" w:rsidRPr="00CE2C77" w:rsidRDefault="00CE2C77" w:rsidP="00AD362F">
            <w:pPr>
              <w:keepNext/>
              <w:jc w:val="center"/>
              <w:rPr>
                <w:rFonts w:ascii="Arial Narrow" w:hAnsi="Arial Narrow" w:cs="Arial"/>
                <w:snapToGrid w:val="0"/>
                <w:sz w:val="20"/>
                <w:szCs w:val="16"/>
                <w:lang w:val="en-US"/>
              </w:rPr>
            </w:pPr>
            <w:r w:rsidRPr="00CE2C77">
              <w:rPr>
                <w:rFonts w:ascii="Arial Narrow" w:hAnsi="Arial Narrow" w:cs="Arial"/>
                <w:snapToGrid w:val="0"/>
                <w:sz w:val="20"/>
                <w:szCs w:val="16"/>
                <w:lang w:val="en-US"/>
              </w:rPr>
              <w:t>Chronic lung disease</w:t>
            </w:r>
          </w:p>
        </w:tc>
        <w:tc>
          <w:tcPr>
            <w:tcW w:w="919" w:type="pct"/>
            <w:shd w:val="clear" w:color="auto" w:fill="auto"/>
            <w:vAlign w:val="center"/>
          </w:tcPr>
          <w:p w:rsidR="00CE2C77" w:rsidRPr="00CE2C77" w:rsidRDefault="00CE2C77" w:rsidP="00AD362F">
            <w:pPr>
              <w:keepNext/>
              <w:jc w:val="center"/>
              <w:rPr>
                <w:rFonts w:ascii="Arial Narrow" w:hAnsi="Arial Narrow" w:cs="Arial"/>
                <w:snapToGrid w:val="0"/>
                <w:sz w:val="20"/>
                <w:szCs w:val="16"/>
                <w:lang w:val="en-US"/>
              </w:rPr>
            </w:pPr>
            <w:r w:rsidRPr="00CE2C77">
              <w:rPr>
                <w:rFonts w:ascii="Arial Narrow" w:hAnsi="Arial Narrow" w:cs="Arial"/>
                <w:snapToGrid w:val="0"/>
                <w:sz w:val="20"/>
                <w:szCs w:val="16"/>
                <w:lang w:val="en-US"/>
              </w:rPr>
              <w:t>Pneumonia (all-cause)</w:t>
            </w:r>
          </w:p>
        </w:tc>
        <w:tc>
          <w:tcPr>
            <w:tcW w:w="654" w:type="pct"/>
            <w:shd w:val="clear" w:color="auto" w:fill="auto"/>
            <w:vAlign w:val="center"/>
          </w:tcPr>
          <w:p w:rsidR="00CE2C77" w:rsidRPr="00CE2C77" w:rsidRDefault="00CE2C77" w:rsidP="00AD362F">
            <w:pPr>
              <w:keepNext/>
              <w:jc w:val="center"/>
              <w:rPr>
                <w:rFonts w:ascii="Arial Narrow" w:hAnsi="Arial Narrow" w:cs="Arial"/>
                <w:snapToGrid w:val="0"/>
                <w:sz w:val="20"/>
                <w:szCs w:val="16"/>
                <w:lang w:val="en-US"/>
              </w:rPr>
            </w:pPr>
            <w:r w:rsidRPr="00CE2C77">
              <w:rPr>
                <w:rFonts w:ascii="Arial Narrow" w:hAnsi="Arial Narrow" w:cs="Arial"/>
                <w:snapToGrid w:val="0"/>
                <w:sz w:val="20"/>
                <w:szCs w:val="16"/>
                <w:lang w:val="en-US"/>
              </w:rPr>
              <w:t>VE for VT pneumonia</w:t>
            </w:r>
          </w:p>
        </w:tc>
      </w:tr>
      <w:tr w:rsidR="00CE2C77" w:rsidRPr="00CE2C77" w:rsidTr="00CE2C77">
        <w:trPr>
          <w:cantSplit/>
        </w:trPr>
        <w:tc>
          <w:tcPr>
            <w:tcW w:w="669" w:type="pct"/>
            <w:shd w:val="clear" w:color="auto" w:fill="auto"/>
            <w:vAlign w:val="center"/>
          </w:tcPr>
          <w:p w:rsidR="00CE2C77" w:rsidRPr="00CE2C77" w:rsidRDefault="00CE2C77" w:rsidP="00AD362F">
            <w:pPr>
              <w:keepNext/>
              <w:rPr>
                <w:rFonts w:ascii="Arial Narrow" w:hAnsi="Arial Narrow" w:cs="Arial"/>
                <w:snapToGrid w:val="0"/>
                <w:sz w:val="20"/>
                <w:szCs w:val="16"/>
                <w:lang w:val="en-US"/>
              </w:rPr>
            </w:pPr>
            <w:r w:rsidRPr="00CE2C77">
              <w:rPr>
                <w:rFonts w:ascii="Arial Narrow" w:hAnsi="Arial Narrow" w:cs="Arial"/>
                <w:snapToGrid w:val="0"/>
                <w:sz w:val="20"/>
                <w:szCs w:val="16"/>
                <w:lang w:val="en-US"/>
              </w:rPr>
              <w:t>Kawakami 2010</w:t>
            </w:r>
          </w:p>
        </w:tc>
        <w:tc>
          <w:tcPr>
            <w:tcW w:w="335" w:type="pct"/>
            <w:shd w:val="clear" w:color="auto" w:fill="auto"/>
            <w:vAlign w:val="center"/>
          </w:tcPr>
          <w:p w:rsidR="00CE2C77" w:rsidRPr="00CE2C77" w:rsidRDefault="00CE2C77" w:rsidP="00AD362F">
            <w:pPr>
              <w:keepNext/>
              <w:jc w:val="center"/>
              <w:rPr>
                <w:rFonts w:ascii="Arial Narrow" w:hAnsi="Arial Narrow" w:cs="Arial"/>
                <w:snapToGrid w:val="0"/>
                <w:sz w:val="20"/>
                <w:szCs w:val="16"/>
                <w:lang w:val="en-US"/>
              </w:rPr>
            </w:pPr>
            <w:r w:rsidRPr="00CE2C77">
              <w:rPr>
                <w:rFonts w:ascii="Arial Narrow" w:hAnsi="Arial Narrow" w:cs="Arial"/>
                <w:snapToGrid w:val="0"/>
                <w:sz w:val="20"/>
                <w:szCs w:val="16"/>
                <w:lang w:val="en-US"/>
              </w:rPr>
              <w:t>786</w:t>
            </w:r>
          </w:p>
        </w:tc>
        <w:tc>
          <w:tcPr>
            <w:tcW w:w="501" w:type="pct"/>
            <w:shd w:val="clear" w:color="auto" w:fill="auto"/>
            <w:vAlign w:val="center"/>
          </w:tcPr>
          <w:p w:rsidR="00CE2C77" w:rsidRPr="00CE2C77" w:rsidRDefault="00CE2C77" w:rsidP="00AD362F">
            <w:pPr>
              <w:keepNext/>
              <w:jc w:val="center"/>
              <w:rPr>
                <w:rFonts w:ascii="Arial Narrow" w:hAnsi="Arial Narrow" w:cs="Arial"/>
                <w:snapToGrid w:val="0"/>
                <w:sz w:val="20"/>
                <w:szCs w:val="16"/>
                <w:lang w:val="en-US"/>
              </w:rPr>
            </w:pPr>
            <w:r w:rsidRPr="00CE2C77">
              <w:rPr>
                <w:rFonts w:ascii="Arial Narrow" w:hAnsi="Arial Narrow" w:cs="Arial"/>
                <w:snapToGrid w:val="0"/>
                <w:sz w:val="20"/>
                <w:szCs w:val="16"/>
                <w:lang w:val="en-US"/>
              </w:rPr>
              <w:t>R, OL</w:t>
            </w:r>
          </w:p>
          <w:p w:rsidR="00CE2C77" w:rsidRPr="00CE2C77" w:rsidRDefault="00CE2C77" w:rsidP="00AD362F">
            <w:pPr>
              <w:keepNext/>
              <w:jc w:val="center"/>
              <w:rPr>
                <w:rFonts w:ascii="Arial Narrow" w:hAnsi="Arial Narrow" w:cs="Arial"/>
                <w:snapToGrid w:val="0"/>
                <w:sz w:val="20"/>
                <w:szCs w:val="16"/>
                <w:lang w:val="en-US"/>
              </w:rPr>
            </w:pPr>
            <w:r w:rsidRPr="00CE2C77">
              <w:rPr>
                <w:rFonts w:ascii="Arial Narrow" w:hAnsi="Arial Narrow" w:cs="Arial"/>
                <w:snapToGrid w:val="0"/>
                <w:sz w:val="20"/>
                <w:szCs w:val="16"/>
                <w:lang w:val="en-US"/>
              </w:rPr>
              <w:t>2 years</w:t>
            </w:r>
          </w:p>
        </w:tc>
        <w:tc>
          <w:tcPr>
            <w:tcW w:w="501" w:type="pct"/>
            <w:shd w:val="clear" w:color="auto" w:fill="auto"/>
            <w:vAlign w:val="center"/>
          </w:tcPr>
          <w:p w:rsidR="00CE2C77" w:rsidRPr="00CE2C77" w:rsidRDefault="00CE2C77" w:rsidP="00AD362F">
            <w:pPr>
              <w:keepNext/>
              <w:jc w:val="center"/>
              <w:rPr>
                <w:rFonts w:ascii="Arial Narrow" w:hAnsi="Arial Narrow" w:cs="Arial"/>
                <w:snapToGrid w:val="0"/>
                <w:sz w:val="20"/>
                <w:szCs w:val="16"/>
                <w:lang w:val="en-US"/>
              </w:rPr>
            </w:pPr>
            <w:r w:rsidRPr="00CE2C77">
              <w:rPr>
                <w:rFonts w:ascii="Arial Narrow" w:hAnsi="Arial Narrow" w:cs="Arial"/>
                <w:snapToGrid w:val="0"/>
                <w:sz w:val="20"/>
                <w:szCs w:val="16"/>
                <w:lang w:val="en-US"/>
              </w:rPr>
              <w:t>Moderate</w:t>
            </w:r>
          </w:p>
        </w:tc>
        <w:tc>
          <w:tcPr>
            <w:tcW w:w="1421" w:type="pct"/>
            <w:shd w:val="clear" w:color="auto" w:fill="auto"/>
            <w:vAlign w:val="center"/>
          </w:tcPr>
          <w:p w:rsidR="00CE2C77" w:rsidRPr="00CE2C77" w:rsidRDefault="00CE2C77" w:rsidP="00AD362F">
            <w:pPr>
              <w:keepNext/>
              <w:jc w:val="center"/>
              <w:rPr>
                <w:rFonts w:ascii="Arial Narrow" w:hAnsi="Arial Narrow" w:cs="Arial"/>
                <w:snapToGrid w:val="0"/>
                <w:sz w:val="20"/>
                <w:szCs w:val="16"/>
                <w:lang w:val="en-US"/>
              </w:rPr>
            </w:pPr>
            <w:r w:rsidRPr="00CE2C77">
              <w:rPr>
                <w:rFonts w:ascii="Arial Narrow" w:hAnsi="Arial Narrow" w:cs="Arial"/>
                <w:snapToGrid w:val="0"/>
                <w:sz w:val="20"/>
                <w:szCs w:val="16"/>
                <w:lang w:val="en-US"/>
              </w:rPr>
              <w:t>Aged ≥65 years</w:t>
            </w:r>
          </w:p>
          <w:p w:rsidR="00CE2C77" w:rsidRPr="00CE2C77" w:rsidRDefault="00CE2C77" w:rsidP="00AD362F">
            <w:pPr>
              <w:keepNext/>
              <w:jc w:val="center"/>
              <w:rPr>
                <w:rFonts w:ascii="Arial Narrow" w:hAnsi="Arial Narrow" w:cs="Arial"/>
                <w:snapToGrid w:val="0"/>
                <w:sz w:val="20"/>
                <w:szCs w:val="16"/>
                <w:lang w:val="en-US"/>
              </w:rPr>
            </w:pPr>
            <w:r w:rsidRPr="00CE2C77">
              <w:rPr>
                <w:rFonts w:ascii="Arial Narrow" w:hAnsi="Arial Narrow" w:cs="Arial"/>
                <w:snapToGrid w:val="0"/>
                <w:sz w:val="20"/>
                <w:szCs w:val="16"/>
                <w:lang w:val="en-US"/>
              </w:rPr>
              <w:t>Immunised against influenza</w:t>
            </w:r>
          </w:p>
          <w:p w:rsidR="00CE2C77" w:rsidRPr="00CE2C77" w:rsidRDefault="00CE2C77" w:rsidP="00AD362F">
            <w:pPr>
              <w:keepNext/>
              <w:jc w:val="center"/>
              <w:rPr>
                <w:rFonts w:ascii="Arial Narrow" w:hAnsi="Arial Narrow" w:cs="Arial"/>
                <w:snapToGrid w:val="0"/>
                <w:sz w:val="20"/>
                <w:szCs w:val="16"/>
                <w:lang w:val="en-US"/>
              </w:rPr>
            </w:pPr>
            <w:r w:rsidRPr="00CE2C77">
              <w:rPr>
                <w:rFonts w:ascii="Arial Narrow" w:hAnsi="Arial Narrow" w:cs="Arial"/>
                <w:snapToGrid w:val="0"/>
                <w:sz w:val="20"/>
                <w:szCs w:val="16"/>
                <w:lang w:val="en-US"/>
              </w:rPr>
              <w:t>Treated by pulmonary physician</w:t>
            </w:r>
          </w:p>
        </w:tc>
        <w:tc>
          <w:tcPr>
            <w:tcW w:w="919" w:type="pct"/>
            <w:shd w:val="clear" w:color="auto" w:fill="auto"/>
            <w:vAlign w:val="center"/>
          </w:tcPr>
          <w:p w:rsidR="00CE2C77" w:rsidRPr="00CE2C77" w:rsidRDefault="00CE2C77" w:rsidP="00AD362F">
            <w:pPr>
              <w:keepNext/>
              <w:jc w:val="center"/>
              <w:rPr>
                <w:rFonts w:ascii="Arial Narrow" w:hAnsi="Arial Narrow" w:cs="Arial"/>
                <w:snapToGrid w:val="0"/>
                <w:sz w:val="20"/>
                <w:szCs w:val="16"/>
                <w:lang w:val="en-US"/>
              </w:rPr>
            </w:pPr>
            <w:r w:rsidRPr="00CE2C77">
              <w:rPr>
                <w:rFonts w:ascii="Arial Narrow" w:hAnsi="Arial Narrow" w:cs="Arial"/>
                <w:snapToGrid w:val="0"/>
                <w:sz w:val="20"/>
                <w:szCs w:val="16"/>
                <w:lang w:val="en-US"/>
              </w:rPr>
              <w:t>Pneumonia (all-cause)</w:t>
            </w:r>
          </w:p>
        </w:tc>
        <w:tc>
          <w:tcPr>
            <w:tcW w:w="654" w:type="pct"/>
            <w:shd w:val="clear" w:color="auto" w:fill="auto"/>
            <w:vAlign w:val="center"/>
          </w:tcPr>
          <w:p w:rsidR="00CE2C77" w:rsidRPr="00CE2C77" w:rsidRDefault="00CE2C77" w:rsidP="00AD362F">
            <w:pPr>
              <w:keepNext/>
              <w:jc w:val="center"/>
              <w:rPr>
                <w:rFonts w:ascii="Arial Narrow" w:hAnsi="Arial Narrow" w:cs="Arial"/>
                <w:snapToGrid w:val="0"/>
                <w:sz w:val="20"/>
                <w:szCs w:val="16"/>
                <w:lang w:val="en-US"/>
              </w:rPr>
            </w:pPr>
            <w:r w:rsidRPr="00CE2C77">
              <w:rPr>
                <w:rFonts w:ascii="Arial Narrow" w:hAnsi="Arial Narrow" w:cs="Arial"/>
                <w:snapToGrid w:val="0"/>
                <w:sz w:val="20"/>
                <w:szCs w:val="16"/>
                <w:lang w:val="en-US"/>
              </w:rPr>
              <w:t>VE for VT pneumonia</w:t>
            </w:r>
          </w:p>
        </w:tc>
      </w:tr>
      <w:tr w:rsidR="00CE2C77" w:rsidRPr="00CE2C77" w:rsidTr="00CE2C77">
        <w:trPr>
          <w:cantSplit/>
        </w:trPr>
        <w:tc>
          <w:tcPr>
            <w:tcW w:w="669" w:type="pct"/>
            <w:shd w:val="clear" w:color="auto" w:fill="auto"/>
            <w:vAlign w:val="center"/>
          </w:tcPr>
          <w:p w:rsidR="00CE2C77" w:rsidRPr="00CE2C77" w:rsidRDefault="00CE2C77" w:rsidP="00AD362F">
            <w:pPr>
              <w:keepNext/>
              <w:rPr>
                <w:rFonts w:ascii="Arial Narrow" w:hAnsi="Arial Narrow" w:cs="Arial"/>
                <w:snapToGrid w:val="0"/>
                <w:sz w:val="20"/>
                <w:szCs w:val="16"/>
                <w:lang w:val="en-US"/>
              </w:rPr>
            </w:pPr>
            <w:r w:rsidRPr="00CE2C77">
              <w:rPr>
                <w:rFonts w:ascii="Arial Narrow" w:hAnsi="Arial Narrow" w:cs="Arial"/>
                <w:snapToGrid w:val="0"/>
                <w:sz w:val="20"/>
                <w:szCs w:val="16"/>
                <w:lang w:val="en-US"/>
              </w:rPr>
              <w:t>Maruyama 2010</w:t>
            </w:r>
          </w:p>
        </w:tc>
        <w:tc>
          <w:tcPr>
            <w:tcW w:w="335" w:type="pct"/>
            <w:shd w:val="clear" w:color="auto" w:fill="auto"/>
            <w:vAlign w:val="center"/>
          </w:tcPr>
          <w:p w:rsidR="00CE2C77" w:rsidRPr="00CE2C77" w:rsidRDefault="00CE2C77" w:rsidP="00AD362F">
            <w:pPr>
              <w:keepNext/>
              <w:jc w:val="center"/>
              <w:rPr>
                <w:rFonts w:ascii="Arial Narrow" w:hAnsi="Arial Narrow" w:cs="Arial"/>
                <w:snapToGrid w:val="0"/>
                <w:sz w:val="20"/>
                <w:szCs w:val="16"/>
                <w:lang w:val="en-US"/>
              </w:rPr>
            </w:pPr>
            <w:r w:rsidRPr="00CE2C77">
              <w:rPr>
                <w:rFonts w:ascii="Arial Narrow" w:hAnsi="Arial Narrow" w:cs="Arial"/>
                <w:snapToGrid w:val="0"/>
                <w:sz w:val="20"/>
                <w:szCs w:val="16"/>
                <w:lang w:val="en-US"/>
              </w:rPr>
              <w:t>1,006</w:t>
            </w:r>
          </w:p>
        </w:tc>
        <w:tc>
          <w:tcPr>
            <w:tcW w:w="501" w:type="pct"/>
            <w:shd w:val="clear" w:color="auto" w:fill="auto"/>
            <w:vAlign w:val="center"/>
          </w:tcPr>
          <w:p w:rsidR="00CE2C77" w:rsidRPr="00CE2C77" w:rsidRDefault="00CE2C77" w:rsidP="00AD362F">
            <w:pPr>
              <w:keepNext/>
              <w:jc w:val="center"/>
              <w:rPr>
                <w:rFonts w:ascii="Arial Narrow" w:hAnsi="Arial Narrow" w:cs="Arial"/>
                <w:snapToGrid w:val="0"/>
                <w:sz w:val="20"/>
                <w:szCs w:val="16"/>
                <w:lang w:val="en-US"/>
              </w:rPr>
            </w:pPr>
            <w:r w:rsidRPr="00CE2C77">
              <w:rPr>
                <w:rFonts w:ascii="Arial Narrow" w:hAnsi="Arial Narrow" w:cs="Arial"/>
                <w:snapToGrid w:val="0"/>
                <w:sz w:val="20"/>
                <w:szCs w:val="16"/>
                <w:lang w:val="en-US"/>
              </w:rPr>
              <w:t>R, DB</w:t>
            </w:r>
          </w:p>
          <w:p w:rsidR="00CE2C77" w:rsidRPr="00CE2C77" w:rsidRDefault="00CE2C77" w:rsidP="00AD362F">
            <w:pPr>
              <w:keepNext/>
              <w:jc w:val="center"/>
              <w:rPr>
                <w:rFonts w:ascii="Arial Narrow" w:hAnsi="Arial Narrow" w:cs="Arial"/>
                <w:snapToGrid w:val="0"/>
                <w:sz w:val="20"/>
                <w:szCs w:val="16"/>
                <w:lang w:val="en-US"/>
              </w:rPr>
            </w:pPr>
            <w:r w:rsidRPr="00CE2C77">
              <w:rPr>
                <w:rFonts w:ascii="Arial Narrow" w:hAnsi="Arial Narrow" w:cs="Arial"/>
                <w:snapToGrid w:val="0"/>
                <w:sz w:val="20"/>
                <w:szCs w:val="16"/>
                <w:lang w:val="en-US"/>
              </w:rPr>
              <w:t>2.3 years</w:t>
            </w:r>
          </w:p>
        </w:tc>
        <w:tc>
          <w:tcPr>
            <w:tcW w:w="501" w:type="pct"/>
            <w:shd w:val="clear" w:color="auto" w:fill="auto"/>
            <w:vAlign w:val="center"/>
          </w:tcPr>
          <w:p w:rsidR="00CE2C77" w:rsidRPr="00CE2C77" w:rsidRDefault="00CE2C77" w:rsidP="00AD362F">
            <w:pPr>
              <w:keepNext/>
              <w:jc w:val="center"/>
              <w:rPr>
                <w:rFonts w:ascii="Arial Narrow" w:hAnsi="Arial Narrow" w:cs="Arial"/>
                <w:snapToGrid w:val="0"/>
                <w:sz w:val="20"/>
                <w:szCs w:val="16"/>
                <w:lang w:val="en-US"/>
              </w:rPr>
            </w:pPr>
            <w:r w:rsidRPr="00CE2C77">
              <w:rPr>
                <w:rFonts w:ascii="Arial Narrow" w:hAnsi="Arial Narrow" w:cs="Arial"/>
                <w:snapToGrid w:val="0"/>
                <w:sz w:val="20"/>
                <w:szCs w:val="16"/>
                <w:lang w:val="en-US"/>
              </w:rPr>
              <w:t>Low</w:t>
            </w:r>
          </w:p>
        </w:tc>
        <w:tc>
          <w:tcPr>
            <w:tcW w:w="1421" w:type="pct"/>
            <w:shd w:val="clear" w:color="auto" w:fill="auto"/>
            <w:vAlign w:val="center"/>
          </w:tcPr>
          <w:p w:rsidR="00CE2C77" w:rsidRPr="00CE2C77" w:rsidRDefault="00CE2C77" w:rsidP="00AD362F">
            <w:pPr>
              <w:keepNext/>
              <w:jc w:val="center"/>
              <w:rPr>
                <w:rFonts w:ascii="Arial Narrow" w:hAnsi="Arial Narrow" w:cs="Arial"/>
                <w:snapToGrid w:val="0"/>
                <w:sz w:val="20"/>
                <w:szCs w:val="16"/>
                <w:lang w:val="en-US"/>
              </w:rPr>
            </w:pPr>
            <w:r w:rsidRPr="00CE2C77">
              <w:rPr>
                <w:rFonts w:ascii="Arial Narrow" w:hAnsi="Arial Narrow" w:cs="Arial"/>
                <w:snapToGrid w:val="0"/>
                <w:sz w:val="20"/>
                <w:szCs w:val="16"/>
                <w:lang w:val="en-US"/>
              </w:rPr>
              <w:t>Mean age 85 years</w:t>
            </w:r>
          </w:p>
          <w:p w:rsidR="00CE2C77" w:rsidRPr="00CE2C77" w:rsidRDefault="00CE2C77" w:rsidP="00AD362F">
            <w:pPr>
              <w:keepNext/>
              <w:jc w:val="center"/>
              <w:rPr>
                <w:rFonts w:ascii="Arial Narrow" w:hAnsi="Arial Narrow" w:cs="Arial"/>
                <w:snapToGrid w:val="0"/>
                <w:sz w:val="20"/>
                <w:szCs w:val="16"/>
                <w:lang w:val="en-US"/>
              </w:rPr>
            </w:pPr>
            <w:r w:rsidRPr="00CE2C77">
              <w:rPr>
                <w:rFonts w:ascii="Arial Narrow" w:hAnsi="Arial Narrow" w:cs="Arial"/>
                <w:snapToGrid w:val="0"/>
                <w:sz w:val="20"/>
                <w:szCs w:val="16"/>
                <w:lang w:val="en-US"/>
              </w:rPr>
              <w:t>Nursing home residents</w:t>
            </w:r>
          </w:p>
        </w:tc>
        <w:tc>
          <w:tcPr>
            <w:tcW w:w="919" w:type="pct"/>
            <w:shd w:val="clear" w:color="auto" w:fill="auto"/>
            <w:vAlign w:val="center"/>
          </w:tcPr>
          <w:p w:rsidR="00CE2C77" w:rsidRPr="00CE2C77" w:rsidRDefault="00CE2C77" w:rsidP="00AD362F">
            <w:pPr>
              <w:keepNext/>
              <w:jc w:val="center"/>
              <w:rPr>
                <w:rFonts w:ascii="Arial Narrow" w:hAnsi="Arial Narrow" w:cs="Arial"/>
                <w:snapToGrid w:val="0"/>
                <w:sz w:val="20"/>
                <w:szCs w:val="16"/>
                <w:lang w:val="en-US"/>
              </w:rPr>
            </w:pPr>
            <w:r w:rsidRPr="00CE2C77">
              <w:rPr>
                <w:rFonts w:ascii="Arial Narrow" w:hAnsi="Arial Narrow" w:cs="Arial"/>
                <w:snapToGrid w:val="0"/>
                <w:sz w:val="20"/>
                <w:szCs w:val="16"/>
                <w:lang w:val="en-US"/>
              </w:rPr>
              <w:t>Pneumococcal pneumonia</w:t>
            </w:r>
          </w:p>
        </w:tc>
        <w:tc>
          <w:tcPr>
            <w:tcW w:w="654" w:type="pct"/>
            <w:shd w:val="clear" w:color="auto" w:fill="auto"/>
            <w:vAlign w:val="center"/>
          </w:tcPr>
          <w:p w:rsidR="00CE2C77" w:rsidRPr="00CE2C77" w:rsidRDefault="00CE2C77" w:rsidP="00AD362F">
            <w:pPr>
              <w:keepNext/>
              <w:jc w:val="center"/>
              <w:rPr>
                <w:rFonts w:ascii="Arial Narrow" w:hAnsi="Arial Narrow" w:cs="Arial"/>
                <w:snapToGrid w:val="0"/>
                <w:sz w:val="20"/>
                <w:szCs w:val="16"/>
                <w:lang w:val="en-US"/>
              </w:rPr>
            </w:pPr>
            <w:r w:rsidRPr="00CE2C77">
              <w:rPr>
                <w:rFonts w:ascii="Arial Narrow" w:hAnsi="Arial Narrow" w:cs="Arial"/>
                <w:snapToGrid w:val="0"/>
                <w:sz w:val="20"/>
                <w:szCs w:val="16"/>
                <w:lang w:val="en-US"/>
              </w:rPr>
              <w:t>VE for VT pneumonia</w:t>
            </w:r>
          </w:p>
        </w:tc>
      </w:tr>
      <w:tr w:rsidR="00CE2C77" w:rsidRPr="00CE2C77" w:rsidTr="00CE2C77">
        <w:trPr>
          <w:cantSplit/>
        </w:trPr>
        <w:tc>
          <w:tcPr>
            <w:tcW w:w="669" w:type="pct"/>
            <w:shd w:val="clear" w:color="auto" w:fill="auto"/>
            <w:vAlign w:val="center"/>
          </w:tcPr>
          <w:p w:rsidR="00CE2C77" w:rsidRPr="00CE2C77" w:rsidRDefault="00CE2C77" w:rsidP="00AD362F">
            <w:pPr>
              <w:keepNext/>
              <w:rPr>
                <w:rFonts w:ascii="Arial Narrow" w:hAnsi="Arial Narrow" w:cs="Arial"/>
                <w:snapToGrid w:val="0"/>
                <w:sz w:val="20"/>
                <w:szCs w:val="16"/>
                <w:lang w:val="en-US"/>
              </w:rPr>
            </w:pPr>
            <w:r w:rsidRPr="00CE2C77">
              <w:rPr>
                <w:rFonts w:ascii="Arial Narrow" w:hAnsi="Arial Narrow" w:cs="Arial"/>
                <w:snapToGrid w:val="0"/>
                <w:sz w:val="20"/>
                <w:szCs w:val="20"/>
              </w:rPr>
              <w:t>Ö</w:t>
            </w:r>
            <w:r w:rsidRPr="00CE2C77">
              <w:rPr>
                <w:rFonts w:ascii="Arial Narrow" w:hAnsi="Arial Narrow" w:cs="Arial"/>
                <w:snapToGrid w:val="0"/>
                <w:sz w:val="20"/>
                <w:szCs w:val="16"/>
                <w:lang w:val="en-US"/>
              </w:rPr>
              <w:t>rtqvist 1998</w:t>
            </w:r>
          </w:p>
        </w:tc>
        <w:tc>
          <w:tcPr>
            <w:tcW w:w="335" w:type="pct"/>
            <w:shd w:val="clear" w:color="auto" w:fill="auto"/>
            <w:vAlign w:val="center"/>
          </w:tcPr>
          <w:p w:rsidR="00CE2C77" w:rsidRPr="00CE2C77" w:rsidRDefault="00CE2C77" w:rsidP="00AD362F">
            <w:pPr>
              <w:keepNext/>
              <w:jc w:val="center"/>
              <w:rPr>
                <w:rFonts w:ascii="Arial Narrow" w:hAnsi="Arial Narrow" w:cs="Arial"/>
                <w:snapToGrid w:val="0"/>
                <w:sz w:val="20"/>
                <w:szCs w:val="16"/>
                <w:lang w:val="en-US"/>
              </w:rPr>
            </w:pPr>
            <w:r w:rsidRPr="00CE2C77">
              <w:rPr>
                <w:rFonts w:ascii="Arial Narrow" w:hAnsi="Arial Narrow" w:cs="Arial"/>
                <w:snapToGrid w:val="0"/>
                <w:sz w:val="20"/>
                <w:szCs w:val="16"/>
                <w:lang w:val="en-US"/>
              </w:rPr>
              <w:t>693</w:t>
            </w:r>
          </w:p>
        </w:tc>
        <w:tc>
          <w:tcPr>
            <w:tcW w:w="501" w:type="pct"/>
            <w:shd w:val="clear" w:color="auto" w:fill="auto"/>
            <w:vAlign w:val="center"/>
          </w:tcPr>
          <w:p w:rsidR="00CE2C77" w:rsidRPr="00CE2C77" w:rsidRDefault="00CE2C77" w:rsidP="00AD362F">
            <w:pPr>
              <w:keepNext/>
              <w:jc w:val="center"/>
              <w:rPr>
                <w:rFonts w:ascii="Arial Narrow" w:hAnsi="Arial Narrow" w:cs="Arial"/>
                <w:snapToGrid w:val="0"/>
                <w:sz w:val="20"/>
                <w:szCs w:val="16"/>
                <w:lang w:val="en-US"/>
              </w:rPr>
            </w:pPr>
            <w:r w:rsidRPr="00CE2C77">
              <w:rPr>
                <w:rFonts w:ascii="Arial Narrow" w:hAnsi="Arial Narrow" w:cs="Arial"/>
                <w:snapToGrid w:val="0"/>
                <w:sz w:val="20"/>
                <w:szCs w:val="16"/>
                <w:lang w:val="en-US"/>
              </w:rPr>
              <w:t>R, DB</w:t>
            </w:r>
          </w:p>
          <w:p w:rsidR="00CE2C77" w:rsidRPr="00CE2C77" w:rsidRDefault="00CE2C77" w:rsidP="00AD362F">
            <w:pPr>
              <w:keepNext/>
              <w:jc w:val="center"/>
              <w:rPr>
                <w:rFonts w:ascii="Arial Narrow" w:hAnsi="Arial Narrow" w:cs="Arial"/>
                <w:snapToGrid w:val="0"/>
                <w:sz w:val="20"/>
                <w:szCs w:val="16"/>
                <w:lang w:val="en-US"/>
              </w:rPr>
            </w:pPr>
            <w:r w:rsidRPr="00CE2C77">
              <w:rPr>
                <w:rFonts w:ascii="Arial Narrow" w:hAnsi="Arial Narrow" w:cs="Arial"/>
                <w:snapToGrid w:val="0"/>
                <w:sz w:val="20"/>
                <w:szCs w:val="16"/>
                <w:lang w:val="en-US"/>
              </w:rPr>
              <w:t>2.5 years</w:t>
            </w:r>
          </w:p>
        </w:tc>
        <w:tc>
          <w:tcPr>
            <w:tcW w:w="501" w:type="pct"/>
            <w:shd w:val="clear" w:color="auto" w:fill="auto"/>
            <w:vAlign w:val="center"/>
          </w:tcPr>
          <w:p w:rsidR="00CE2C77" w:rsidRPr="00CE2C77" w:rsidRDefault="00CE2C77" w:rsidP="00AD362F">
            <w:pPr>
              <w:keepNext/>
              <w:jc w:val="center"/>
              <w:rPr>
                <w:rFonts w:ascii="Arial Narrow" w:hAnsi="Arial Narrow" w:cs="Arial"/>
                <w:snapToGrid w:val="0"/>
                <w:sz w:val="20"/>
                <w:szCs w:val="16"/>
                <w:lang w:val="en-US"/>
              </w:rPr>
            </w:pPr>
            <w:r w:rsidRPr="00CE2C77">
              <w:rPr>
                <w:rFonts w:ascii="Arial Narrow" w:hAnsi="Arial Narrow" w:cs="Arial"/>
                <w:snapToGrid w:val="0"/>
                <w:sz w:val="20"/>
                <w:szCs w:val="16"/>
                <w:lang w:val="en-US"/>
              </w:rPr>
              <w:t>Low</w:t>
            </w:r>
          </w:p>
        </w:tc>
        <w:tc>
          <w:tcPr>
            <w:tcW w:w="1421" w:type="pct"/>
            <w:shd w:val="clear" w:color="auto" w:fill="auto"/>
            <w:vAlign w:val="center"/>
          </w:tcPr>
          <w:p w:rsidR="00CE2C77" w:rsidRPr="00CE2C77" w:rsidRDefault="00CE2C77" w:rsidP="00AD362F">
            <w:pPr>
              <w:keepNext/>
              <w:jc w:val="center"/>
              <w:rPr>
                <w:rFonts w:ascii="Arial Narrow" w:hAnsi="Arial Narrow" w:cs="Arial"/>
                <w:snapToGrid w:val="0"/>
                <w:sz w:val="20"/>
                <w:szCs w:val="16"/>
                <w:lang w:val="en-US"/>
              </w:rPr>
            </w:pPr>
            <w:r w:rsidRPr="00CE2C77">
              <w:rPr>
                <w:rFonts w:ascii="Arial Narrow" w:hAnsi="Arial Narrow" w:cs="Arial"/>
                <w:snapToGrid w:val="0"/>
                <w:sz w:val="20"/>
                <w:szCs w:val="16"/>
                <w:lang w:val="en-US"/>
              </w:rPr>
              <w:t>Aged 50-85 years</w:t>
            </w:r>
          </w:p>
          <w:p w:rsidR="00CE2C77" w:rsidRPr="00CE2C77" w:rsidRDefault="00CE2C77" w:rsidP="00AD362F">
            <w:pPr>
              <w:keepNext/>
              <w:jc w:val="center"/>
              <w:rPr>
                <w:rFonts w:ascii="Arial Narrow" w:hAnsi="Arial Narrow" w:cs="Arial"/>
                <w:snapToGrid w:val="0"/>
                <w:sz w:val="20"/>
                <w:szCs w:val="16"/>
                <w:lang w:val="en-US"/>
              </w:rPr>
            </w:pPr>
            <w:r w:rsidRPr="00CE2C77">
              <w:rPr>
                <w:rFonts w:ascii="Arial Narrow" w:hAnsi="Arial Narrow" w:cs="Arial"/>
                <w:snapToGrid w:val="0"/>
                <w:sz w:val="20"/>
                <w:szCs w:val="16"/>
                <w:lang w:val="en-US"/>
              </w:rPr>
              <w:t>Previously treated as inpatient for CAP</w:t>
            </w:r>
          </w:p>
        </w:tc>
        <w:tc>
          <w:tcPr>
            <w:tcW w:w="919" w:type="pct"/>
            <w:shd w:val="clear" w:color="auto" w:fill="auto"/>
            <w:vAlign w:val="center"/>
          </w:tcPr>
          <w:p w:rsidR="00CE2C77" w:rsidRPr="00CE2C77" w:rsidRDefault="00CE2C77" w:rsidP="00AD362F">
            <w:pPr>
              <w:keepNext/>
              <w:jc w:val="center"/>
              <w:rPr>
                <w:rFonts w:ascii="Arial Narrow" w:hAnsi="Arial Narrow" w:cs="Arial"/>
                <w:snapToGrid w:val="0"/>
                <w:sz w:val="20"/>
                <w:szCs w:val="16"/>
                <w:lang w:val="en-US"/>
              </w:rPr>
            </w:pPr>
            <w:r w:rsidRPr="00CE2C77">
              <w:rPr>
                <w:rFonts w:ascii="Arial Narrow" w:hAnsi="Arial Narrow" w:cs="Arial"/>
                <w:snapToGrid w:val="0"/>
                <w:sz w:val="20"/>
                <w:szCs w:val="16"/>
                <w:lang w:val="en-US"/>
              </w:rPr>
              <w:t>Pneumococcal pneumonia</w:t>
            </w:r>
          </w:p>
        </w:tc>
        <w:tc>
          <w:tcPr>
            <w:tcW w:w="654" w:type="pct"/>
            <w:shd w:val="clear" w:color="auto" w:fill="auto"/>
            <w:vAlign w:val="center"/>
          </w:tcPr>
          <w:p w:rsidR="00CE2C77" w:rsidRPr="00CE2C77" w:rsidRDefault="00CE2C77" w:rsidP="00AD362F">
            <w:pPr>
              <w:keepNext/>
              <w:jc w:val="center"/>
              <w:rPr>
                <w:rFonts w:ascii="Arial Narrow" w:hAnsi="Arial Narrow" w:cs="Arial"/>
                <w:snapToGrid w:val="0"/>
                <w:sz w:val="20"/>
                <w:szCs w:val="16"/>
                <w:lang w:val="en-US"/>
              </w:rPr>
            </w:pPr>
            <w:r w:rsidRPr="00CE2C77">
              <w:rPr>
                <w:rFonts w:ascii="Arial Narrow" w:hAnsi="Arial Narrow" w:cs="Arial"/>
                <w:snapToGrid w:val="0"/>
                <w:sz w:val="20"/>
                <w:szCs w:val="16"/>
                <w:lang w:val="en-US"/>
              </w:rPr>
              <w:t>VE for VT pneumonia</w:t>
            </w:r>
          </w:p>
        </w:tc>
      </w:tr>
      <w:tr w:rsidR="00CE2C77" w:rsidRPr="00CE2C77" w:rsidTr="00CE2C77">
        <w:trPr>
          <w:cantSplit/>
        </w:trPr>
        <w:tc>
          <w:tcPr>
            <w:tcW w:w="669" w:type="pct"/>
            <w:shd w:val="clear" w:color="auto" w:fill="auto"/>
            <w:vAlign w:val="center"/>
          </w:tcPr>
          <w:p w:rsidR="00CE2C77" w:rsidRPr="00CE2C77" w:rsidRDefault="00CE2C77" w:rsidP="00AD362F">
            <w:pPr>
              <w:keepNext/>
              <w:rPr>
                <w:rFonts w:ascii="Arial Narrow" w:hAnsi="Arial Narrow" w:cs="Arial"/>
                <w:snapToGrid w:val="0"/>
                <w:sz w:val="20"/>
                <w:szCs w:val="16"/>
                <w:lang w:val="en-US"/>
              </w:rPr>
            </w:pPr>
            <w:r w:rsidRPr="00CE2C77">
              <w:rPr>
                <w:rFonts w:ascii="Arial Narrow" w:hAnsi="Arial Narrow" w:cs="Arial"/>
                <w:snapToGrid w:val="0"/>
                <w:sz w:val="20"/>
                <w:szCs w:val="16"/>
                <w:lang w:val="en-US"/>
              </w:rPr>
              <w:t>Teramoto 2007 (abstract only)</w:t>
            </w:r>
          </w:p>
        </w:tc>
        <w:tc>
          <w:tcPr>
            <w:tcW w:w="335" w:type="pct"/>
            <w:shd w:val="clear" w:color="auto" w:fill="auto"/>
            <w:vAlign w:val="center"/>
          </w:tcPr>
          <w:p w:rsidR="00CE2C77" w:rsidRPr="00CE2C77" w:rsidRDefault="00CE2C77" w:rsidP="00AD362F">
            <w:pPr>
              <w:keepNext/>
              <w:jc w:val="center"/>
              <w:rPr>
                <w:rFonts w:ascii="Arial Narrow" w:hAnsi="Arial Narrow" w:cs="Arial"/>
                <w:snapToGrid w:val="0"/>
                <w:sz w:val="20"/>
                <w:szCs w:val="16"/>
                <w:lang w:val="en-US"/>
              </w:rPr>
            </w:pPr>
            <w:r w:rsidRPr="00CE2C77">
              <w:rPr>
                <w:rFonts w:ascii="Arial Narrow" w:hAnsi="Arial Narrow" w:cs="Arial"/>
                <w:snapToGrid w:val="0"/>
                <w:sz w:val="20"/>
                <w:szCs w:val="16"/>
                <w:lang w:val="en-US"/>
              </w:rPr>
              <w:t>196</w:t>
            </w:r>
          </w:p>
        </w:tc>
        <w:tc>
          <w:tcPr>
            <w:tcW w:w="501" w:type="pct"/>
            <w:shd w:val="clear" w:color="auto" w:fill="auto"/>
            <w:vAlign w:val="center"/>
          </w:tcPr>
          <w:p w:rsidR="00CE2C77" w:rsidRPr="00CE2C77" w:rsidRDefault="00CE2C77" w:rsidP="00AD362F">
            <w:pPr>
              <w:keepNext/>
              <w:jc w:val="center"/>
              <w:rPr>
                <w:rFonts w:ascii="Arial Narrow" w:hAnsi="Arial Narrow" w:cs="Arial"/>
                <w:snapToGrid w:val="0"/>
                <w:sz w:val="20"/>
                <w:szCs w:val="16"/>
                <w:lang w:val="en-US"/>
              </w:rPr>
            </w:pPr>
            <w:r w:rsidRPr="00CE2C77">
              <w:rPr>
                <w:rFonts w:ascii="Arial Narrow" w:hAnsi="Arial Narrow" w:cs="Arial"/>
                <w:snapToGrid w:val="0"/>
                <w:sz w:val="20"/>
                <w:szCs w:val="16"/>
                <w:lang w:val="en-US"/>
              </w:rPr>
              <w:t>R, OL</w:t>
            </w:r>
          </w:p>
          <w:p w:rsidR="00CE2C77" w:rsidRPr="00CE2C77" w:rsidRDefault="00CE2C77" w:rsidP="00AD362F">
            <w:pPr>
              <w:keepNext/>
              <w:jc w:val="center"/>
              <w:rPr>
                <w:rFonts w:ascii="Arial Narrow" w:hAnsi="Arial Narrow" w:cs="Arial"/>
                <w:snapToGrid w:val="0"/>
                <w:sz w:val="20"/>
                <w:szCs w:val="16"/>
                <w:lang w:val="en-US"/>
              </w:rPr>
            </w:pPr>
            <w:r w:rsidRPr="00CE2C77">
              <w:rPr>
                <w:rFonts w:ascii="Arial Narrow" w:hAnsi="Arial Narrow" w:cs="Arial"/>
                <w:snapToGrid w:val="0"/>
                <w:sz w:val="20"/>
                <w:szCs w:val="16"/>
                <w:lang w:val="en-US"/>
              </w:rPr>
              <w:t>Not reported</w:t>
            </w:r>
          </w:p>
        </w:tc>
        <w:tc>
          <w:tcPr>
            <w:tcW w:w="501" w:type="pct"/>
            <w:shd w:val="clear" w:color="auto" w:fill="auto"/>
            <w:vAlign w:val="center"/>
          </w:tcPr>
          <w:p w:rsidR="00CE2C77" w:rsidRPr="00CE2C77" w:rsidRDefault="00CE2C77" w:rsidP="00AD362F">
            <w:pPr>
              <w:keepNext/>
              <w:jc w:val="center"/>
              <w:rPr>
                <w:rFonts w:ascii="Arial Narrow" w:hAnsi="Arial Narrow" w:cs="Arial"/>
                <w:snapToGrid w:val="0"/>
                <w:sz w:val="20"/>
                <w:szCs w:val="16"/>
                <w:lang w:val="en-US"/>
              </w:rPr>
            </w:pPr>
            <w:r w:rsidRPr="00CE2C77">
              <w:rPr>
                <w:rFonts w:ascii="Arial Narrow" w:hAnsi="Arial Narrow" w:cs="Arial"/>
                <w:snapToGrid w:val="0"/>
                <w:sz w:val="20"/>
                <w:szCs w:val="16"/>
                <w:lang w:val="en-US"/>
              </w:rPr>
              <w:t>Unclear</w:t>
            </w:r>
          </w:p>
        </w:tc>
        <w:tc>
          <w:tcPr>
            <w:tcW w:w="1421" w:type="pct"/>
            <w:shd w:val="clear" w:color="auto" w:fill="auto"/>
            <w:vAlign w:val="center"/>
          </w:tcPr>
          <w:p w:rsidR="00CE2C77" w:rsidRPr="00CE2C77" w:rsidRDefault="00CE2C77" w:rsidP="00AD362F">
            <w:pPr>
              <w:keepNext/>
              <w:jc w:val="center"/>
              <w:rPr>
                <w:rFonts w:ascii="Arial Narrow" w:hAnsi="Arial Narrow" w:cs="Arial"/>
                <w:snapToGrid w:val="0"/>
                <w:sz w:val="20"/>
                <w:szCs w:val="16"/>
                <w:lang w:val="en-US"/>
              </w:rPr>
            </w:pPr>
            <w:r w:rsidRPr="00CE2C77">
              <w:rPr>
                <w:rFonts w:ascii="Arial Narrow" w:hAnsi="Arial Narrow" w:cs="Arial"/>
                <w:snapToGrid w:val="0"/>
                <w:sz w:val="20"/>
                <w:szCs w:val="16"/>
                <w:lang w:val="en-US"/>
              </w:rPr>
              <w:t>COPD</w:t>
            </w:r>
          </w:p>
        </w:tc>
        <w:tc>
          <w:tcPr>
            <w:tcW w:w="919" w:type="pct"/>
            <w:shd w:val="clear" w:color="auto" w:fill="auto"/>
            <w:vAlign w:val="center"/>
          </w:tcPr>
          <w:p w:rsidR="00CE2C77" w:rsidRPr="00CE2C77" w:rsidRDefault="00CE2C77" w:rsidP="00AD362F">
            <w:pPr>
              <w:keepNext/>
              <w:jc w:val="center"/>
              <w:rPr>
                <w:rFonts w:ascii="Arial Narrow" w:hAnsi="Arial Narrow" w:cs="Arial"/>
                <w:snapToGrid w:val="0"/>
                <w:sz w:val="20"/>
                <w:szCs w:val="16"/>
                <w:lang w:val="en-US"/>
              </w:rPr>
            </w:pPr>
            <w:r w:rsidRPr="00CE2C77">
              <w:rPr>
                <w:rFonts w:ascii="Arial Narrow" w:hAnsi="Arial Narrow" w:cs="Arial"/>
                <w:snapToGrid w:val="0"/>
                <w:sz w:val="20"/>
                <w:szCs w:val="16"/>
                <w:lang w:val="en-US"/>
              </w:rPr>
              <w:t xml:space="preserve">CAP </w:t>
            </w:r>
            <w:r w:rsidRPr="00CE2C77">
              <w:rPr>
                <w:rFonts w:ascii="Arial Narrow" w:hAnsi="Arial Narrow" w:cs="Arial"/>
                <w:snapToGrid w:val="0"/>
                <w:sz w:val="20"/>
                <w:szCs w:val="20"/>
              </w:rPr>
              <w:t>of pneumococcal or unknown aetiology</w:t>
            </w:r>
          </w:p>
        </w:tc>
        <w:tc>
          <w:tcPr>
            <w:tcW w:w="654" w:type="pct"/>
            <w:shd w:val="clear" w:color="auto" w:fill="auto"/>
            <w:vAlign w:val="center"/>
          </w:tcPr>
          <w:p w:rsidR="00CE2C77" w:rsidRPr="00CE2C77" w:rsidRDefault="00CE2C77" w:rsidP="00AD362F">
            <w:pPr>
              <w:keepNext/>
              <w:jc w:val="center"/>
              <w:rPr>
                <w:rFonts w:ascii="Arial Narrow" w:hAnsi="Arial Narrow" w:cs="Arial"/>
                <w:snapToGrid w:val="0"/>
                <w:sz w:val="20"/>
                <w:szCs w:val="16"/>
                <w:lang w:val="en-US"/>
              </w:rPr>
            </w:pPr>
            <w:r w:rsidRPr="00CE2C77">
              <w:rPr>
                <w:rFonts w:ascii="Arial Narrow" w:hAnsi="Arial Narrow" w:cs="Arial"/>
                <w:snapToGrid w:val="0"/>
                <w:sz w:val="20"/>
                <w:szCs w:val="16"/>
                <w:lang w:val="en-US"/>
              </w:rPr>
              <w:t>VE for VT pneumonia</w:t>
            </w:r>
          </w:p>
        </w:tc>
      </w:tr>
      <w:tr w:rsidR="00CE2C77" w:rsidRPr="00CE2C77" w:rsidTr="00CE2C77">
        <w:trPr>
          <w:cantSplit/>
        </w:trPr>
        <w:tc>
          <w:tcPr>
            <w:tcW w:w="669" w:type="pct"/>
            <w:shd w:val="clear" w:color="auto" w:fill="auto"/>
            <w:vAlign w:val="center"/>
          </w:tcPr>
          <w:p w:rsidR="00CE2C77" w:rsidRPr="00CE2C77" w:rsidRDefault="00CE2C77" w:rsidP="00AD362F">
            <w:pPr>
              <w:keepNext/>
              <w:rPr>
                <w:rFonts w:ascii="Arial Narrow" w:hAnsi="Arial Narrow" w:cs="Arial"/>
                <w:snapToGrid w:val="0"/>
                <w:sz w:val="20"/>
                <w:szCs w:val="16"/>
                <w:lang w:val="en-US"/>
              </w:rPr>
            </w:pPr>
            <w:r w:rsidRPr="00CE2C77">
              <w:rPr>
                <w:rFonts w:ascii="Arial Narrow" w:hAnsi="Arial Narrow" w:cs="Arial"/>
                <w:snapToGrid w:val="0"/>
                <w:sz w:val="20"/>
                <w:szCs w:val="16"/>
                <w:lang w:val="en-US"/>
              </w:rPr>
              <w:t>Meta-analyses</w:t>
            </w:r>
          </w:p>
        </w:tc>
        <w:tc>
          <w:tcPr>
            <w:tcW w:w="335" w:type="pct"/>
            <w:shd w:val="clear" w:color="auto" w:fill="auto"/>
            <w:vAlign w:val="center"/>
          </w:tcPr>
          <w:p w:rsidR="00CE2C77" w:rsidRPr="00CE2C77" w:rsidRDefault="00CE2C77" w:rsidP="00AD362F">
            <w:pPr>
              <w:keepNext/>
              <w:jc w:val="center"/>
              <w:rPr>
                <w:rFonts w:ascii="Arial Narrow" w:hAnsi="Arial Narrow" w:cs="Arial"/>
                <w:snapToGrid w:val="0"/>
                <w:sz w:val="20"/>
                <w:szCs w:val="16"/>
                <w:lang w:val="en-US"/>
              </w:rPr>
            </w:pPr>
            <w:r w:rsidRPr="00CE2C77">
              <w:rPr>
                <w:rFonts w:ascii="Arial Narrow" w:hAnsi="Arial Narrow" w:cs="Arial"/>
                <w:snapToGrid w:val="0"/>
                <w:sz w:val="20"/>
                <w:szCs w:val="16"/>
                <w:lang w:val="en-US"/>
              </w:rPr>
              <w:t>2,293-3,246</w:t>
            </w:r>
          </w:p>
        </w:tc>
        <w:tc>
          <w:tcPr>
            <w:tcW w:w="3342" w:type="pct"/>
            <w:gridSpan w:val="4"/>
            <w:shd w:val="clear" w:color="auto" w:fill="auto"/>
            <w:vAlign w:val="center"/>
          </w:tcPr>
          <w:p w:rsidR="00CE2C77" w:rsidRPr="00CE2C77" w:rsidRDefault="00CE2C77" w:rsidP="00AD362F">
            <w:pPr>
              <w:keepNext/>
              <w:jc w:val="center"/>
              <w:rPr>
                <w:rFonts w:ascii="Arial Narrow" w:hAnsi="Arial Narrow" w:cs="Arial"/>
                <w:snapToGrid w:val="0"/>
                <w:sz w:val="20"/>
                <w:szCs w:val="16"/>
                <w:lang w:val="en-US"/>
              </w:rPr>
            </w:pPr>
            <w:r w:rsidRPr="00CE2C77">
              <w:rPr>
                <w:rFonts w:ascii="Arial Narrow" w:hAnsi="Arial Narrow" w:cs="Arial"/>
                <w:snapToGrid w:val="0"/>
                <w:sz w:val="20"/>
                <w:szCs w:val="16"/>
                <w:lang w:val="en-US"/>
              </w:rPr>
              <w:t>Included all studies except Teramoto; assessed pneumonia (all-cause), pneumococcal pneumonia, bacteraemic pneumococcal pneumonia</w:t>
            </w:r>
          </w:p>
        </w:tc>
        <w:tc>
          <w:tcPr>
            <w:tcW w:w="654" w:type="pct"/>
            <w:shd w:val="clear" w:color="auto" w:fill="auto"/>
            <w:vAlign w:val="center"/>
          </w:tcPr>
          <w:p w:rsidR="00CE2C77" w:rsidRPr="00CE2C77" w:rsidRDefault="00CE2C77" w:rsidP="00AD362F">
            <w:pPr>
              <w:keepNext/>
              <w:jc w:val="center"/>
              <w:rPr>
                <w:rFonts w:ascii="Arial Narrow" w:hAnsi="Arial Narrow" w:cs="Arial"/>
                <w:snapToGrid w:val="0"/>
                <w:sz w:val="20"/>
                <w:szCs w:val="16"/>
                <w:lang w:val="en-US"/>
              </w:rPr>
            </w:pPr>
            <w:r w:rsidRPr="00CE2C77">
              <w:rPr>
                <w:rFonts w:ascii="Arial Narrow" w:hAnsi="Arial Narrow" w:cs="Arial"/>
                <w:snapToGrid w:val="0"/>
                <w:sz w:val="20"/>
                <w:szCs w:val="16"/>
                <w:lang w:val="en-US"/>
              </w:rPr>
              <w:t>VE for VT pneumonia</w:t>
            </w:r>
          </w:p>
        </w:tc>
      </w:tr>
      <w:tr w:rsidR="00CE2C77" w:rsidRPr="00CE2C77" w:rsidTr="00CE2C77">
        <w:trPr>
          <w:cantSplit/>
        </w:trPr>
        <w:tc>
          <w:tcPr>
            <w:tcW w:w="5000" w:type="pct"/>
            <w:gridSpan w:val="7"/>
            <w:shd w:val="clear" w:color="auto" w:fill="auto"/>
            <w:vAlign w:val="center"/>
          </w:tcPr>
          <w:p w:rsidR="00CE2C77" w:rsidRPr="00CE2C77" w:rsidRDefault="00CE2C77" w:rsidP="00AD362F">
            <w:pPr>
              <w:keepNext/>
              <w:rPr>
                <w:rFonts w:ascii="Arial Narrow" w:hAnsi="Arial Narrow" w:cs="Arial"/>
                <w:b/>
                <w:snapToGrid w:val="0"/>
                <w:sz w:val="20"/>
                <w:szCs w:val="16"/>
                <w:lang w:val="en-US"/>
              </w:rPr>
            </w:pPr>
            <w:r w:rsidRPr="00CE2C77">
              <w:rPr>
                <w:rFonts w:ascii="Arial Narrow" w:hAnsi="Arial Narrow" w:cs="Arial"/>
                <w:b/>
                <w:snapToGrid w:val="0"/>
                <w:sz w:val="20"/>
                <w:szCs w:val="16"/>
                <w:lang w:val="en-US"/>
              </w:rPr>
              <w:t>23vPPV non-randomised study used in the economic evaluations</w:t>
            </w:r>
          </w:p>
        </w:tc>
      </w:tr>
      <w:tr w:rsidR="00CE2C77" w:rsidRPr="00CE2C77" w:rsidTr="00CE2C77">
        <w:trPr>
          <w:cantSplit/>
        </w:trPr>
        <w:tc>
          <w:tcPr>
            <w:tcW w:w="669" w:type="pct"/>
            <w:shd w:val="clear" w:color="auto" w:fill="auto"/>
            <w:vAlign w:val="center"/>
          </w:tcPr>
          <w:p w:rsidR="00CE2C77" w:rsidRPr="00CE2C77" w:rsidRDefault="00CE2C77" w:rsidP="00AD362F">
            <w:pPr>
              <w:keepNext/>
              <w:rPr>
                <w:rFonts w:ascii="Arial Narrow" w:hAnsi="Arial Narrow" w:cs="Arial"/>
                <w:snapToGrid w:val="0"/>
                <w:sz w:val="20"/>
                <w:szCs w:val="16"/>
                <w:lang w:val="en-US"/>
              </w:rPr>
            </w:pPr>
            <w:r w:rsidRPr="00CE2C77">
              <w:rPr>
                <w:rFonts w:ascii="Arial Narrow" w:hAnsi="Arial Narrow" w:cs="Arial"/>
                <w:snapToGrid w:val="0"/>
                <w:sz w:val="20"/>
                <w:szCs w:val="16"/>
                <w:lang w:val="en-US"/>
              </w:rPr>
              <w:t>Menzies 2014</w:t>
            </w:r>
          </w:p>
        </w:tc>
        <w:tc>
          <w:tcPr>
            <w:tcW w:w="335" w:type="pct"/>
            <w:shd w:val="clear" w:color="auto" w:fill="auto"/>
            <w:vAlign w:val="center"/>
          </w:tcPr>
          <w:p w:rsidR="00CE2C77" w:rsidRPr="00CE2C77" w:rsidRDefault="00CE2C77" w:rsidP="00AD362F">
            <w:pPr>
              <w:keepNext/>
              <w:jc w:val="center"/>
              <w:rPr>
                <w:rFonts w:ascii="Arial Narrow" w:hAnsi="Arial Narrow" w:cs="Arial"/>
                <w:snapToGrid w:val="0"/>
                <w:sz w:val="20"/>
                <w:szCs w:val="16"/>
                <w:lang w:val="en-US"/>
              </w:rPr>
            </w:pPr>
            <w:r w:rsidRPr="00CE2C77">
              <w:rPr>
                <w:rFonts w:ascii="Arial Narrow" w:hAnsi="Arial Narrow" w:cs="Arial"/>
                <w:snapToGrid w:val="0"/>
                <w:sz w:val="20"/>
                <w:szCs w:val="16"/>
                <w:lang w:val="en-US"/>
              </w:rPr>
              <w:t>900 IPD cases</w:t>
            </w:r>
          </w:p>
        </w:tc>
        <w:tc>
          <w:tcPr>
            <w:tcW w:w="501" w:type="pct"/>
            <w:shd w:val="clear" w:color="auto" w:fill="auto"/>
            <w:vAlign w:val="center"/>
          </w:tcPr>
          <w:p w:rsidR="00CE2C77" w:rsidRPr="00CE2C77" w:rsidRDefault="00CE2C77" w:rsidP="00AD362F">
            <w:pPr>
              <w:keepNext/>
              <w:jc w:val="center"/>
              <w:rPr>
                <w:rFonts w:ascii="Arial Narrow" w:hAnsi="Arial Narrow" w:cs="Arial"/>
                <w:snapToGrid w:val="0"/>
                <w:sz w:val="20"/>
                <w:szCs w:val="16"/>
                <w:lang w:val="en-US"/>
              </w:rPr>
            </w:pPr>
            <w:r w:rsidRPr="00CE2C77">
              <w:rPr>
                <w:rFonts w:ascii="Arial Narrow" w:hAnsi="Arial Narrow" w:cs="Arial"/>
                <w:snapToGrid w:val="0"/>
                <w:sz w:val="20"/>
                <w:szCs w:val="16"/>
                <w:lang w:val="en-US"/>
              </w:rPr>
              <w:t>Used screening method</w:t>
            </w:r>
          </w:p>
        </w:tc>
        <w:tc>
          <w:tcPr>
            <w:tcW w:w="501" w:type="pct"/>
            <w:shd w:val="clear" w:color="auto" w:fill="auto"/>
            <w:vAlign w:val="center"/>
          </w:tcPr>
          <w:p w:rsidR="00CE2C77" w:rsidRPr="00CE2C77" w:rsidRDefault="00CE2C77" w:rsidP="00AD362F">
            <w:pPr>
              <w:keepNext/>
              <w:jc w:val="center"/>
              <w:rPr>
                <w:rFonts w:ascii="Arial Narrow" w:hAnsi="Arial Narrow" w:cs="Arial"/>
                <w:snapToGrid w:val="0"/>
                <w:sz w:val="20"/>
                <w:szCs w:val="16"/>
                <w:lang w:val="en-US"/>
              </w:rPr>
            </w:pPr>
            <w:r w:rsidRPr="00CE2C77">
              <w:rPr>
                <w:rFonts w:ascii="Arial Narrow" w:hAnsi="Arial Narrow" w:cs="Arial"/>
                <w:snapToGrid w:val="0"/>
                <w:sz w:val="20"/>
                <w:szCs w:val="16"/>
                <w:lang w:val="en-US"/>
              </w:rPr>
              <w:t>High</w:t>
            </w:r>
          </w:p>
        </w:tc>
        <w:tc>
          <w:tcPr>
            <w:tcW w:w="1421" w:type="pct"/>
            <w:shd w:val="clear" w:color="auto" w:fill="auto"/>
            <w:vAlign w:val="center"/>
          </w:tcPr>
          <w:p w:rsidR="00CE2C77" w:rsidRPr="00CE2C77" w:rsidRDefault="00CE2C77" w:rsidP="00AD362F">
            <w:pPr>
              <w:keepNext/>
              <w:jc w:val="center"/>
              <w:rPr>
                <w:rFonts w:ascii="Arial Narrow" w:hAnsi="Arial Narrow" w:cs="Arial"/>
                <w:snapToGrid w:val="0"/>
                <w:sz w:val="20"/>
                <w:szCs w:val="16"/>
                <w:lang w:val="en-US"/>
              </w:rPr>
            </w:pPr>
            <w:r w:rsidRPr="00CE2C77">
              <w:rPr>
                <w:rFonts w:ascii="Arial Narrow" w:hAnsi="Arial Narrow" w:cs="Arial"/>
                <w:snapToGrid w:val="0"/>
                <w:sz w:val="20"/>
                <w:szCs w:val="16"/>
                <w:lang w:val="en-US"/>
              </w:rPr>
              <w:t>IPD cases from NNDSS in adults ≥65 years</w:t>
            </w:r>
          </w:p>
        </w:tc>
        <w:tc>
          <w:tcPr>
            <w:tcW w:w="919" w:type="pct"/>
            <w:shd w:val="clear" w:color="auto" w:fill="auto"/>
            <w:vAlign w:val="center"/>
          </w:tcPr>
          <w:p w:rsidR="00CE2C77" w:rsidRPr="00CE2C77" w:rsidRDefault="00CE2C77" w:rsidP="00AD362F">
            <w:pPr>
              <w:keepNext/>
              <w:jc w:val="center"/>
              <w:rPr>
                <w:rFonts w:ascii="Arial Narrow" w:hAnsi="Arial Narrow" w:cs="Arial"/>
                <w:snapToGrid w:val="0"/>
                <w:sz w:val="20"/>
                <w:szCs w:val="16"/>
                <w:lang w:val="en-US"/>
              </w:rPr>
            </w:pPr>
            <w:r w:rsidRPr="00CE2C77">
              <w:rPr>
                <w:rFonts w:ascii="Arial Narrow" w:hAnsi="Arial Narrow" w:cs="Arial"/>
                <w:snapToGrid w:val="0"/>
                <w:sz w:val="20"/>
                <w:szCs w:val="16"/>
                <w:lang w:val="en-US"/>
              </w:rPr>
              <w:t>VT IPD</w:t>
            </w:r>
          </w:p>
        </w:tc>
        <w:tc>
          <w:tcPr>
            <w:tcW w:w="654" w:type="pct"/>
            <w:shd w:val="clear" w:color="auto" w:fill="auto"/>
            <w:vAlign w:val="center"/>
          </w:tcPr>
          <w:p w:rsidR="00CE2C77" w:rsidRPr="00CE2C77" w:rsidRDefault="00CE2C77" w:rsidP="00AD362F">
            <w:pPr>
              <w:keepNext/>
              <w:jc w:val="center"/>
              <w:rPr>
                <w:rFonts w:ascii="Arial Narrow" w:hAnsi="Arial Narrow" w:cs="Arial"/>
                <w:snapToGrid w:val="0"/>
                <w:sz w:val="20"/>
                <w:szCs w:val="16"/>
                <w:lang w:val="en-US"/>
              </w:rPr>
            </w:pPr>
            <w:r w:rsidRPr="00CE2C77">
              <w:rPr>
                <w:rFonts w:ascii="Arial Narrow" w:hAnsi="Arial Narrow" w:cs="Arial"/>
                <w:snapToGrid w:val="0"/>
                <w:sz w:val="20"/>
                <w:szCs w:val="16"/>
                <w:lang w:val="en-US"/>
              </w:rPr>
              <w:t>VE for VT IPD</w:t>
            </w:r>
          </w:p>
        </w:tc>
      </w:tr>
    </w:tbl>
    <w:p w:rsidR="00CE2C77" w:rsidRPr="00CE2C77" w:rsidRDefault="00CE2C77" w:rsidP="00AD362F">
      <w:pPr>
        <w:keepNext/>
        <w:ind w:left="709" w:firstLine="11"/>
        <w:jc w:val="both"/>
        <w:rPr>
          <w:rFonts w:ascii="Arial Narrow" w:hAnsi="Arial Narrow" w:cs="Arial"/>
          <w:snapToGrid w:val="0"/>
          <w:sz w:val="18"/>
          <w:szCs w:val="20"/>
        </w:rPr>
      </w:pPr>
      <w:r w:rsidRPr="00CE2C77">
        <w:rPr>
          <w:rFonts w:ascii="Arial Narrow" w:hAnsi="Arial Narrow" w:cs="Arial"/>
          <w:snapToGrid w:val="0"/>
          <w:sz w:val="18"/>
          <w:szCs w:val="20"/>
        </w:rPr>
        <w:t>CAP=community acquired pneumonia; COPD=chronic obstructive pulmonary disease; DB=double blind; IPD=invasive pneumococcal disease; OL=open label; mITT=modified intent to treat; NNDSS=National Notifiable Diseases Surveillance System; R=randomised; VE=vaccine efficacy; VT=vaccine type</w:t>
      </w:r>
    </w:p>
    <w:p w:rsidR="00CE2C77" w:rsidRPr="00CE2C77" w:rsidRDefault="00CE2C77" w:rsidP="00AD362F">
      <w:pPr>
        <w:ind w:firstLine="720"/>
        <w:jc w:val="both"/>
        <w:rPr>
          <w:rFonts w:ascii="Arial Narrow" w:hAnsi="Arial Narrow" w:cs="Arial"/>
          <w:snapToGrid w:val="0"/>
          <w:sz w:val="18"/>
          <w:szCs w:val="18"/>
        </w:rPr>
      </w:pPr>
      <w:r w:rsidRPr="00CE2C77">
        <w:rPr>
          <w:rFonts w:ascii="Arial Narrow" w:hAnsi="Arial Narrow" w:cs="Arial"/>
          <w:snapToGrid w:val="0"/>
          <w:sz w:val="18"/>
          <w:szCs w:val="18"/>
        </w:rPr>
        <w:t>Source: compiled during the evaluation</w:t>
      </w:r>
    </w:p>
    <w:p w:rsidR="00CE2C77" w:rsidRDefault="00CE2C77" w:rsidP="00AD362F">
      <w:pPr>
        <w:jc w:val="both"/>
        <w:rPr>
          <w:rFonts w:ascii="Arial" w:hAnsi="Arial" w:cs="Arial"/>
          <w:snapToGrid w:val="0"/>
          <w:sz w:val="22"/>
          <w:szCs w:val="22"/>
        </w:rPr>
      </w:pPr>
    </w:p>
    <w:p w:rsidR="00EF2AFE" w:rsidRPr="00EF2AFE" w:rsidRDefault="00EF2AFE" w:rsidP="005E67AE">
      <w:pPr>
        <w:ind w:left="709"/>
        <w:contextualSpacing/>
        <w:jc w:val="both"/>
        <w:rPr>
          <w:rFonts w:ascii="Arial" w:hAnsi="Arial" w:cs="Arial"/>
          <w:i/>
          <w:snapToGrid w:val="0"/>
          <w:sz w:val="22"/>
          <w:szCs w:val="22"/>
        </w:rPr>
      </w:pPr>
      <w:r w:rsidRPr="00EF2AFE">
        <w:rPr>
          <w:rFonts w:ascii="Arial" w:hAnsi="Arial" w:cs="Arial"/>
          <w:i/>
          <w:snapToGrid w:val="0"/>
          <w:sz w:val="22"/>
          <w:szCs w:val="22"/>
        </w:rPr>
        <w:t>For more detail on PBAC’s view, see section 7 “PBAC outcome”</w:t>
      </w:r>
    </w:p>
    <w:p w:rsidR="00EF2AFE" w:rsidRPr="00CE2C77" w:rsidRDefault="00EF2AFE" w:rsidP="00AD362F">
      <w:pPr>
        <w:jc w:val="both"/>
        <w:rPr>
          <w:rFonts w:ascii="Arial" w:hAnsi="Arial" w:cs="Arial"/>
          <w:snapToGrid w:val="0"/>
          <w:sz w:val="22"/>
          <w:szCs w:val="22"/>
        </w:rPr>
      </w:pPr>
    </w:p>
    <w:p w:rsidR="00CE2C77" w:rsidRPr="00947361" w:rsidRDefault="00CE2C77" w:rsidP="00AD362F">
      <w:pPr>
        <w:keepNext/>
        <w:jc w:val="both"/>
        <w:outlineLvl w:val="1"/>
        <w:rPr>
          <w:rFonts w:ascii="Arial" w:hAnsi="Arial" w:cs="Arial"/>
          <w:b/>
          <w:snapToGrid w:val="0"/>
          <w:sz w:val="22"/>
          <w:szCs w:val="20"/>
        </w:rPr>
      </w:pPr>
      <w:bookmarkStart w:id="8" w:name="_Toc409513706"/>
      <w:r w:rsidRPr="00947361">
        <w:rPr>
          <w:rFonts w:ascii="Arial" w:hAnsi="Arial" w:cs="Arial"/>
          <w:b/>
          <w:snapToGrid w:val="0"/>
          <w:sz w:val="22"/>
          <w:szCs w:val="20"/>
        </w:rPr>
        <w:t>Comparative effectiveness</w:t>
      </w:r>
      <w:bookmarkEnd w:id="8"/>
    </w:p>
    <w:p w:rsidR="00CE2C77" w:rsidRPr="00CE2C77" w:rsidRDefault="00CE2C77" w:rsidP="00AD362F">
      <w:pPr>
        <w:keepNext/>
        <w:jc w:val="both"/>
        <w:rPr>
          <w:rFonts w:ascii="Arial" w:hAnsi="Arial" w:cs="Arial"/>
          <w:snapToGrid w:val="0"/>
          <w:sz w:val="22"/>
          <w:szCs w:val="22"/>
        </w:rPr>
      </w:pPr>
    </w:p>
    <w:p w:rsidR="00465741" w:rsidRPr="00F573B9" w:rsidRDefault="00CE2C77" w:rsidP="00AD362F">
      <w:pPr>
        <w:numPr>
          <w:ilvl w:val="1"/>
          <w:numId w:val="3"/>
        </w:numPr>
        <w:contextualSpacing/>
        <w:jc w:val="both"/>
        <w:rPr>
          <w:rFonts w:ascii="Arial" w:hAnsi="Arial" w:cs="Arial"/>
          <w:snapToGrid w:val="0"/>
          <w:sz w:val="22"/>
          <w:szCs w:val="22"/>
        </w:rPr>
      </w:pPr>
      <w:r w:rsidRPr="00CE2C77">
        <w:rPr>
          <w:rFonts w:ascii="Arial" w:hAnsi="Arial" w:cs="Arial"/>
          <w:snapToGrid w:val="0"/>
          <w:sz w:val="22"/>
          <w:szCs w:val="22"/>
        </w:rPr>
        <w:t xml:space="preserve">The results for the primary and key secondary outcomes for CAPiTA for the modified </w:t>
      </w:r>
      <w:r w:rsidR="001C1415">
        <w:rPr>
          <w:rFonts w:ascii="Arial" w:hAnsi="Arial" w:cs="Arial"/>
          <w:snapToGrid w:val="0"/>
          <w:sz w:val="22"/>
          <w:szCs w:val="22"/>
        </w:rPr>
        <w:t>intention to treat</w:t>
      </w:r>
      <w:r w:rsidR="001C1415" w:rsidRPr="00CE2C77">
        <w:rPr>
          <w:rFonts w:ascii="Arial" w:hAnsi="Arial" w:cs="Arial"/>
          <w:snapToGrid w:val="0"/>
          <w:sz w:val="22"/>
          <w:szCs w:val="22"/>
        </w:rPr>
        <w:t xml:space="preserve"> </w:t>
      </w:r>
      <w:r w:rsidRPr="00CE2C77">
        <w:rPr>
          <w:rFonts w:ascii="Arial" w:hAnsi="Arial" w:cs="Arial"/>
          <w:snapToGrid w:val="0"/>
          <w:sz w:val="22"/>
          <w:szCs w:val="22"/>
        </w:rPr>
        <w:t>(mITT) case population are presented in the table below.</w:t>
      </w:r>
      <w:r w:rsidRPr="00CE2C77">
        <w:rPr>
          <w:rFonts w:ascii="Arial" w:hAnsi="Arial" w:cs="Arial"/>
          <w:snapToGrid w:val="0"/>
          <w:sz w:val="22"/>
          <w:szCs w:val="20"/>
        </w:rPr>
        <w:t xml:space="preserve"> </w:t>
      </w:r>
      <w:r w:rsidRPr="00517B6E">
        <w:rPr>
          <w:rFonts w:ascii="Arial" w:hAnsi="Arial" w:cs="Arial"/>
          <w:snapToGrid w:val="0"/>
          <w:sz w:val="22"/>
          <w:szCs w:val="20"/>
        </w:rPr>
        <w:t>CAPiTA was not powered to detect serotype-specific vaccine efficacy.</w:t>
      </w:r>
    </w:p>
    <w:p w:rsidR="00CE2C77" w:rsidRPr="00CE2C77" w:rsidRDefault="00CE2C77" w:rsidP="00AD362F">
      <w:pPr>
        <w:contextualSpacing/>
        <w:jc w:val="both"/>
        <w:rPr>
          <w:rFonts w:ascii="Arial" w:hAnsi="Arial" w:cs="Arial"/>
          <w:snapToGrid w:val="0"/>
          <w:sz w:val="22"/>
          <w:szCs w:val="22"/>
        </w:rPr>
      </w:pPr>
    </w:p>
    <w:p w:rsidR="00CE2C77" w:rsidRPr="00CE2C77" w:rsidRDefault="00CE2C77" w:rsidP="00AD362F">
      <w:pPr>
        <w:keepNext/>
        <w:ind w:firstLine="720"/>
        <w:jc w:val="both"/>
        <w:rPr>
          <w:rFonts w:ascii="Arial Narrow" w:hAnsi="Arial Narrow" w:cs="Arial"/>
          <w:b/>
          <w:snapToGrid w:val="0"/>
          <w:sz w:val="20"/>
          <w:szCs w:val="16"/>
        </w:rPr>
      </w:pPr>
      <w:r w:rsidRPr="00CE2C77">
        <w:rPr>
          <w:rFonts w:ascii="Arial Narrow" w:hAnsi="Arial Narrow" w:cs="Arial"/>
          <w:b/>
          <w:snapToGrid w:val="0"/>
          <w:sz w:val="20"/>
          <w:szCs w:val="16"/>
        </w:rPr>
        <w:lastRenderedPageBreak/>
        <w:t xml:space="preserve">Results of VT pneumonia and IPD outcome in CAPiTA (mITT population) </w:t>
      </w:r>
    </w:p>
    <w:tbl>
      <w:tblPr>
        <w:tblW w:w="4682"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Comparative effectiveness"/>
      </w:tblPr>
      <w:tblGrid>
        <w:gridCol w:w="1702"/>
        <w:gridCol w:w="1557"/>
        <w:gridCol w:w="1562"/>
        <w:gridCol w:w="1556"/>
        <w:gridCol w:w="1556"/>
        <w:gridCol w:w="572"/>
      </w:tblGrid>
      <w:tr w:rsidR="00CE2C77" w:rsidRPr="00CE2C77" w:rsidTr="00CE2C77">
        <w:tc>
          <w:tcPr>
            <w:tcW w:w="1000" w:type="pct"/>
            <w:shd w:val="clear" w:color="auto" w:fill="auto"/>
            <w:vAlign w:val="center"/>
          </w:tcPr>
          <w:p w:rsidR="00CE2C77" w:rsidRPr="00CE2C77" w:rsidRDefault="00CE2C77" w:rsidP="00AD362F">
            <w:pPr>
              <w:keepNext/>
              <w:rPr>
                <w:rFonts w:ascii="Arial Narrow" w:hAnsi="Arial Narrow" w:cs="Arial"/>
                <w:b/>
                <w:snapToGrid w:val="0"/>
                <w:sz w:val="20"/>
                <w:szCs w:val="20"/>
                <w:lang w:val="en-US"/>
              </w:rPr>
            </w:pPr>
            <w:r w:rsidRPr="00CE2C77">
              <w:rPr>
                <w:rFonts w:ascii="Arial Narrow" w:hAnsi="Arial Narrow" w:cs="Arial"/>
                <w:b/>
                <w:snapToGrid w:val="0"/>
                <w:sz w:val="20"/>
                <w:szCs w:val="20"/>
                <w:lang w:val="en-US"/>
              </w:rPr>
              <w:t>Outcome</w:t>
            </w:r>
          </w:p>
        </w:tc>
        <w:tc>
          <w:tcPr>
            <w:tcW w:w="915" w:type="pct"/>
            <w:shd w:val="clear" w:color="auto" w:fill="auto"/>
            <w:vAlign w:val="center"/>
          </w:tcPr>
          <w:p w:rsidR="00CE2C77" w:rsidRPr="00CE2C77" w:rsidRDefault="00CE2C77" w:rsidP="00AD362F">
            <w:pPr>
              <w:keepNext/>
              <w:jc w:val="center"/>
              <w:rPr>
                <w:rFonts w:ascii="Arial Narrow" w:hAnsi="Arial Narrow" w:cs="Arial"/>
                <w:b/>
                <w:snapToGrid w:val="0"/>
                <w:sz w:val="20"/>
                <w:szCs w:val="20"/>
                <w:lang w:val="en-US"/>
              </w:rPr>
            </w:pPr>
            <w:r w:rsidRPr="00CE2C77">
              <w:rPr>
                <w:rFonts w:ascii="Arial Narrow" w:hAnsi="Arial Narrow" w:cs="Arial"/>
                <w:b/>
                <w:snapToGrid w:val="0"/>
                <w:sz w:val="20"/>
                <w:szCs w:val="20"/>
                <w:lang w:val="en-US"/>
              </w:rPr>
              <w:t>13vPCV</w:t>
            </w:r>
          </w:p>
          <w:p w:rsidR="00CE2C77" w:rsidRPr="00CE2C77" w:rsidRDefault="00CE2C77" w:rsidP="00AD362F">
            <w:pPr>
              <w:keepNext/>
              <w:jc w:val="center"/>
              <w:rPr>
                <w:rFonts w:ascii="Arial Narrow" w:hAnsi="Arial Narrow" w:cs="Arial"/>
                <w:b/>
                <w:snapToGrid w:val="0"/>
                <w:sz w:val="20"/>
                <w:szCs w:val="20"/>
                <w:lang w:val="en-US"/>
              </w:rPr>
            </w:pPr>
            <w:r w:rsidRPr="00CE2C77">
              <w:rPr>
                <w:rFonts w:ascii="Arial Narrow" w:hAnsi="Arial Narrow" w:cs="Arial"/>
                <w:b/>
                <w:snapToGrid w:val="0"/>
                <w:sz w:val="20"/>
                <w:szCs w:val="20"/>
                <w:lang w:val="en-US"/>
              </w:rPr>
              <w:t xml:space="preserve">n with event/N (%) </w:t>
            </w:r>
          </w:p>
        </w:tc>
        <w:tc>
          <w:tcPr>
            <w:tcW w:w="918" w:type="pct"/>
            <w:shd w:val="clear" w:color="auto" w:fill="auto"/>
            <w:vAlign w:val="center"/>
          </w:tcPr>
          <w:p w:rsidR="00CE2C77" w:rsidRPr="00CE2C77" w:rsidRDefault="00CE2C77" w:rsidP="00AD362F">
            <w:pPr>
              <w:keepNext/>
              <w:jc w:val="center"/>
              <w:rPr>
                <w:rFonts w:ascii="Arial Narrow" w:hAnsi="Arial Narrow" w:cs="Arial"/>
                <w:b/>
                <w:snapToGrid w:val="0"/>
                <w:sz w:val="20"/>
                <w:szCs w:val="20"/>
                <w:lang w:val="en-US"/>
              </w:rPr>
            </w:pPr>
            <w:r w:rsidRPr="00CE2C77">
              <w:rPr>
                <w:rFonts w:ascii="Arial Narrow" w:hAnsi="Arial Narrow" w:cs="Arial"/>
                <w:b/>
                <w:snapToGrid w:val="0"/>
                <w:sz w:val="20"/>
                <w:szCs w:val="20"/>
                <w:lang w:val="en-US"/>
              </w:rPr>
              <w:t>PBO</w:t>
            </w:r>
          </w:p>
          <w:p w:rsidR="00CE2C77" w:rsidRPr="00CE2C77" w:rsidRDefault="00CE2C77" w:rsidP="00AD362F">
            <w:pPr>
              <w:keepNext/>
              <w:jc w:val="center"/>
              <w:rPr>
                <w:rFonts w:ascii="Arial Narrow" w:hAnsi="Arial Narrow" w:cs="Arial"/>
                <w:b/>
                <w:snapToGrid w:val="0"/>
                <w:sz w:val="20"/>
                <w:szCs w:val="20"/>
                <w:lang w:val="en-US"/>
              </w:rPr>
            </w:pPr>
            <w:r w:rsidRPr="00CE2C77">
              <w:rPr>
                <w:rFonts w:ascii="Arial Narrow" w:hAnsi="Arial Narrow" w:cs="Arial"/>
                <w:b/>
                <w:snapToGrid w:val="0"/>
                <w:sz w:val="20"/>
                <w:szCs w:val="20"/>
                <w:lang w:val="en-US"/>
              </w:rPr>
              <w:t>n with event/N (%)</w:t>
            </w:r>
          </w:p>
        </w:tc>
        <w:tc>
          <w:tcPr>
            <w:tcW w:w="915" w:type="pct"/>
            <w:shd w:val="clear" w:color="auto" w:fill="auto"/>
            <w:vAlign w:val="center"/>
          </w:tcPr>
          <w:p w:rsidR="00CE2C77" w:rsidRPr="00CE2C77" w:rsidRDefault="00CE2C77" w:rsidP="00AD362F">
            <w:pPr>
              <w:keepNext/>
              <w:jc w:val="center"/>
              <w:rPr>
                <w:rFonts w:ascii="Arial Narrow" w:hAnsi="Arial Narrow" w:cs="Arial"/>
                <w:b/>
                <w:snapToGrid w:val="0"/>
                <w:sz w:val="20"/>
                <w:szCs w:val="20"/>
                <w:lang w:val="en-US"/>
              </w:rPr>
            </w:pPr>
            <w:r w:rsidRPr="00CE2C77">
              <w:rPr>
                <w:rFonts w:ascii="Arial Narrow" w:hAnsi="Arial Narrow" w:cs="Arial"/>
                <w:b/>
                <w:snapToGrid w:val="0"/>
                <w:sz w:val="20"/>
                <w:szCs w:val="20"/>
                <w:lang w:val="en-US"/>
              </w:rPr>
              <w:t>RD (%) (95% CI)</w:t>
            </w:r>
          </w:p>
        </w:tc>
        <w:tc>
          <w:tcPr>
            <w:tcW w:w="915" w:type="pct"/>
            <w:shd w:val="clear" w:color="auto" w:fill="auto"/>
            <w:vAlign w:val="center"/>
          </w:tcPr>
          <w:p w:rsidR="00CE2C77" w:rsidRPr="00CE2C77" w:rsidRDefault="00CE2C77" w:rsidP="00AD362F">
            <w:pPr>
              <w:keepNext/>
              <w:jc w:val="center"/>
              <w:rPr>
                <w:rFonts w:ascii="Arial Narrow" w:hAnsi="Arial Narrow" w:cs="Arial"/>
                <w:b/>
                <w:snapToGrid w:val="0"/>
                <w:sz w:val="20"/>
                <w:szCs w:val="20"/>
                <w:lang w:val="en-US"/>
              </w:rPr>
            </w:pPr>
            <w:r w:rsidRPr="00CE2C77">
              <w:rPr>
                <w:rFonts w:ascii="Arial Narrow" w:hAnsi="Arial Narrow" w:cs="Arial"/>
                <w:b/>
                <w:snapToGrid w:val="0"/>
                <w:sz w:val="20"/>
                <w:szCs w:val="20"/>
                <w:lang w:val="en-US"/>
              </w:rPr>
              <w:t>VE</w:t>
            </w:r>
            <w:r w:rsidRPr="00CE2C77">
              <w:rPr>
                <w:rFonts w:ascii="Arial Narrow" w:hAnsi="Arial Narrow" w:cs="Arial"/>
                <w:b/>
                <w:snapToGrid w:val="0"/>
                <w:sz w:val="20"/>
                <w:szCs w:val="20"/>
                <w:vertAlign w:val="superscript"/>
                <w:lang w:val="en-US"/>
              </w:rPr>
              <w:t>a</w:t>
            </w:r>
            <w:r w:rsidRPr="00CE2C77">
              <w:rPr>
                <w:rFonts w:ascii="Arial Narrow" w:hAnsi="Arial Narrow" w:cs="Arial"/>
                <w:b/>
                <w:snapToGrid w:val="0"/>
                <w:sz w:val="20"/>
                <w:szCs w:val="20"/>
                <w:lang w:val="en-US"/>
              </w:rPr>
              <w:t xml:space="preserve"> (%) (95.2% CI</w:t>
            </w:r>
            <w:r w:rsidRPr="00CE2C77">
              <w:rPr>
                <w:rFonts w:ascii="Arial Narrow" w:hAnsi="Arial Narrow" w:cs="Arial"/>
                <w:b/>
                <w:snapToGrid w:val="0"/>
                <w:sz w:val="20"/>
                <w:szCs w:val="20"/>
                <w:vertAlign w:val="superscript"/>
                <w:lang w:val="en-US"/>
              </w:rPr>
              <w:t>b</w:t>
            </w:r>
            <w:r w:rsidRPr="00CE2C77">
              <w:rPr>
                <w:rFonts w:ascii="Arial Narrow" w:hAnsi="Arial Narrow" w:cs="Arial"/>
                <w:b/>
                <w:snapToGrid w:val="0"/>
                <w:sz w:val="20"/>
                <w:szCs w:val="20"/>
                <w:lang w:val="en-US"/>
              </w:rPr>
              <w:t>)</w:t>
            </w:r>
          </w:p>
        </w:tc>
        <w:tc>
          <w:tcPr>
            <w:tcW w:w="336" w:type="pct"/>
            <w:shd w:val="clear" w:color="auto" w:fill="auto"/>
            <w:vAlign w:val="center"/>
          </w:tcPr>
          <w:p w:rsidR="00CE2C77" w:rsidRPr="00CE2C77" w:rsidRDefault="00CE2C77" w:rsidP="00AD362F">
            <w:pPr>
              <w:keepNext/>
              <w:jc w:val="center"/>
              <w:rPr>
                <w:rFonts w:ascii="Arial Narrow" w:hAnsi="Arial Narrow" w:cs="Arial"/>
                <w:b/>
                <w:snapToGrid w:val="0"/>
                <w:sz w:val="20"/>
                <w:szCs w:val="20"/>
                <w:lang w:val="en-US"/>
              </w:rPr>
            </w:pPr>
            <w:r w:rsidRPr="00CE2C77">
              <w:rPr>
                <w:rFonts w:ascii="Arial Narrow" w:hAnsi="Arial Narrow" w:cs="Arial"/>
                <w:b/>
                <w:snapToGrid w:val="0"/>
                <w:sz w:val="20"/>
                <w:szCs w:val="20"/>
                <w:lang w:val="en-US"/>
              </w:rPr>
              <w:t>NNV</w:t>
            </w:r>
            <w:r w:rsidRPr="00CE2C77">
              <w:rPr>
                <w:rFonts w:ascii="Arial Narrow" w:hAnsi="Arial Narrow" w:cs="Arial"/>
                <w:b/>
                <w:snapToGrid w:val="0"/>
                <w:sz w:val="20"/>
                <w:szCs w:val="20"/>
                <w:vertAlign w:val="superscript"/>
                <w:lang w:val="en-US"/>
              </w:rPr>
              <w:t>c</w:t>
            </w:r>
          </w:p>
        </w:tc>
      </w:tr>
      <w:tr w:rsidR="00CE2C77" w:rsidRPr="00CE2C77" w:rsidTr="00CE2C77">
        <w:tc>
          <w:tcPr>
            <w:tcW w:w="1000" w:type="pct"/>
            <w:shd w:val="clear" w:color="auto" w:fill="auto"/>
            <w:vAlign w:val="center"/>
          </w:tcPr>
          <w:p w:rsidR="00CE2C77" w:rsidRPr="00CE2C77" w:rsidRDefault="00CE2C77" w:rsidP="00AD362F">
            <w:pPr>
              <w:keepNext/>
              <w:rPr>
                <w:rFonts w:ascii="Arial Narrow" w:hAnsi="Arial Narrow" w:cs="Arial"/>
                <w:snapToGrid w:val="0"/>
                <w:sz w:val="20"/>
                <w:szCs w:val="20"/>
                <w:lang w:val="en-US"/>
              </w:rPr>
            </w:pPr>
            <w:r w:rsidRPr="00CE2C77">
              <w:rPr>
                <w:rFonts w:ascii="Arial Narrow" w:hAnsi="Arial Narrow" w:cs="Arial"/>
                <w:snapToGrid w:val="0"/>
                <w:sz w:val="20"/>
                <w:szCs w:val="20"/>
              </w:rPr>
              <w:t>VT pneumonia</w:t>
            </w:r>
          </w:p>
        </w:tc>
        <w:tc>
          <w:tcPr>
            <w:tcW w:w="915" w:type="pct"/>
            <w:shd w:val="clear" w:color="auto" w:fill="auto"/>
            <w:vAlign w:val="center"/>
          </w:tcPr>
          <w:p w:rsidR="00CE2C77" w:rsidRPr="00CE2C77" w:rsidRDefault="00CE2C77" w:rsidP="00AD362F">
            <w:pPr>
              <w:keepNext/>
              <w:jc w:val="center"/>
              <w:rPr>
                <w:rFonts w:ascii="Arial Narrow" w:hAnsi="Arial Narrow" w:cs="Arial"/>
                <w:snapToGrid w:val="0"/>
                <w:sz w:val="20"/>
                <w:szCs w:val="20"/>
              </w:rPr>
            </w:pPr>
            <w:r w:rsidRPr="00CE2C77">
              <w:rPr>
                <w:rFonts w:ascii="Arial Narrow" w:hAnsi="Arial Narrow" w:cs="Arial"/>
                <w:snapToGrid w:val="0"/>
                <w:sz w:val="20"/>
                <w:szCs w:val="20"/>
              </w:rPr>
              <w:t>66/42,240 (0.156)</w:t>
            </w:r>
          </w:p>
        </w:tc>
        <w:tc>
          <w:tcPr>
            <w:tcW w:w="918" w:type="pct"/>
            <w:shd w:val="clear" w:color="auto" w:fill="auto"/>
            <w:vAlign w:val="center"/>
          </w:tcPr>
          <w:p w:rsidR="00CE2C77" w:rsidRPr="00CE2C77" w:rsidRDefault="00CE2C77" w:rsidP="00AD362F">
            <w:pPr>
              <w:keepNext/>
              <w:jc w:val="center"/>
              <w:rPr>
                <w:rFonts w:ascii="Arial Narrow" w:hAnsi="Arial Narrow" w:cs="Arial"/>
                <w:snapToGrid w:val="0"/>
                <w:sz w:val="20"/>
                <w:szCs w:val="20"/>
              </w:rPr>
            </w:pPr>
            <w:r w:rsidRPr="00CE2C77">
              <w:rPr>
                <w:rFonts w:ascii="Arial Narrow" w:hAnsi="Arial Narrow" w:cs="Arial"/>
                <w:snapToGrid w:val="0"/>
                <w:sz w:val="20"/>
                <w:szCs w:val="20"/>
              </w:rPr>
              <w:t>106/42,256 (0.251)</w:t>
            </w:r>
          </w:p>
        </w:tc>
        <w:tc>
          <w:tcPr>
            <w:tcW w:w="915" w:type="pct"/>
            <w:shd w:val="clear" w:color="auto" w:fill="auto"/>
            <w:vAlign w:val="center"/>
          </w:tcPr>
          <w:p w:rsidR="00CE2C77" w:rsidRPr="00CE2C77" w:rsidRDefault="00CE2C77" w:rsidP="00AD362F">
            <w:pPr>
              <w:keepNext/>
              <w:jc w:val="center"/>
              <w:rPr>
                <w:rFonts w:ascii="Arial Narrow" w:hAnsi="Arial Narrow" w:cs="Arial"/>
                <w:snapToGrid w:val="0"/>
                <w:sz w:val="20"/>
                <w:szCs w:val="20"/>
                <w:lang w:val="en-US"/>
              </w:rPr>
            </w:pPr>
            <w:r w:rsidRPr="00CE2C77">
              <w:rPr>
                <w:rFonts w:ascii="Arial Narrow" w:hAnsi="Arial Narrow" w:cs="Arial"/>
                <w:i/>
                <w:snapToGrid w:val="0"/>
                <w:sz w:val="20"/>
                <w:szCs w:val="20"/>
              </w:rPr>
              <w:t>-0.09 (-0.16, -0.03)</w:t>
            </w:r>
          </w:p>
        </w:tc>
        <w:tc>
          <w:tcPr>
            <w:tcW w:w="915" w:type="pct"/>
            <w:shd w:val="clear" w:color="auto" w:fill="auto"/>
            <w:vAlign w:val="center"/>
          </w:tcPr>
          <w:p w:rsidR="00CE2C77" w:rsidRPr="00CE2C77" w:rsidRDefault="00CE2C77" w:rsidP="00AD362F">
            <w:pPr>
              <w:keepNext/>
              <w:jc w:val="center"/>
              <w:rPr>
                <w:rFonts w:ascii="Arial Narrow" w:hAnsi="Arial Narrow" w:cs="Arial"/>
                <w:snapToGrid w:val="0"/>
                <w:sz w:val="20"/>
                <w:szCs w:val="20"/>
                <w:lang w:val="en-US"/>
              </w:rPr>
            </w:pPr>
            <w:r w:rsidRPr="00CE2C77">
              <w:rPr>
                <w:rFonts w:ascii="Arial Narrow" w:hAnsi="Arial Narrow" w:cs="Arial"/>
                <w:snapToGrid w:val="0"/>
                <w:sz w:val="20"/>
                <w:szCs w:val="20"/>
              </w:rPr>
              <w:t>37.7 (14.3, 55.1)</w:t>
            </w:r>
          </w:p>
        </w:tc>
        <w:tc>
          <w:tcPr>
            <w:tcW w:w="336" w:type="pct"/>
            <w:shd w:val="clear" w:color="auto" w:fill="auto"/>
            <w:vAlign w:val="center"/>
          </w:tcPr>
          <w:p w:rsidR="00CE2C77" w:rsidRPr="00CE2C77" w:rsidRDefault="00CE2C77" w:rsidP="00AD362F">
            <w:pPr>
              <w:keepNext/>
              <w:jc w:val="center"/>
              <w:rPr>
                <w:rFonts w:ascii="Arial Narrow" w:hAnsi="Arial Narrow" w:cs="Arial"/>
                <w:snapToGrid w:val="0"/>
                <w:sz w:val="20"/>
                <w:szCs w:val="20"/>
                <w:lang w:val="en-US"/>
              </w:rPr>
            </w:pPr>
            <w:r w:rsidRPr="00CE2C77">
              <w:rPr>
                <w:rFonts w:ascii="Arial Narrow" w:hAnsi="Arial Narrow" w:cs="Arial"/>
                <w:i/>
                <w:snapToGrid w:val="0"/>
                <w:sz w:val="20"/>
                <w:szCs w:val="20"/>
              </w:rPr>
              <w:t>1,057</w:t>
            </w:r>
          </w:p>
        </w:tc>
      </w:tr>
      <w:tr w:rsidR="00CE2C77" w:rsidRPr="00CE2C77" w:rsidTr="00CE2C77">
        <w:tc>
          <w:tcPr>
            <w:tcW w:w="1000" w:type="pct"/>
            <w:shd w:val="clear" w:color="auto" w:fill="auto"/>
            <w:vAlign w:val="center"/>
          </w:tcPr>
          <w:p w:rsidR="00CE2C77" w:rsidRPr="00CE2C77" w:rsidRDefault="00CE2C77" w:rsidP="00AD362F">
            <w:pPr>
              <w:keepNext/>
              <w:rPr>
                <w:rFonts w:ascii="Arial Narrow" w:hAnsi="Arial Narrow" w:cs="Arial"/>
                <w:snapToGrid w:val="0"/>
                <w:sz w:val="20"/>
                <w:szCs w:val="20"/>
                <w:lang w:val="en-US"/>
              </w:rPr>
            </w:pPr>
            <w:r w:rsidRPr="00CE2C77">
              <w:rPr>
                <w:rFonts w:ascii="Arial Narrow" w:hAnsi="Arial Narrow" w:cs="Arial"/>
                <w:snapToGrid w:val="0"/>
                <w:sz w:val="20"/>
                <w:szCs w:val="20"/>
              </w:rPr>
              <w:t>NB/NI VT pneumonia</w:t>
            </w:r>
          </w:p>
        </w:tc>
        <w:tc>
          <w:tcPr>
            <w:tcW w:w="915" w:type="pct"/>
            <w:shd w:val="clear" w:color="auto" w:fill="auto"/>
            <w:vAlign w:val="center"/>
          </w:tcPr>
          <w:p w:rsidR="00CE2C77" w:rsidRPr="00CE2C77" w:rsidRDefault="00CE2C77" w:rsidP="00AD362F">
            <w:pPr>
              <w:keepNext/>
              <w:jc w:val="center"/>
              <w:rPr>
                <w:rFonts w:ascii="Arial Narrow" w:hAnsi="Arial Narrow" w:cs="Arial"/>
                <w:snapToGrid w:val="0"/>
                <w:sz w:val="20"/>
                <w:szCs w:val="20"/>
              </w:rPr>
            </w:pPr>
            <w:r w:rsidRPr="00CE2C77">
              <w:rPr>
                <w:rFonts w:ascii="Arial Narrow" w:hAnsi="Arial Narrow" w:cs="Arial"/>
                <w:snapToGrid w:val="0"/>
                <w:sz w:val="20"/>
                <w:szCs w:val="20"/>
              </w:rPr>
              <w:t>43/42,240 (0.102)</w:t>
            </w:r>
          </w:p>
        </w:tc>
        <w:tc>
          <w:tcPr>
            <w:tcW w:w="918" w:type="pct"/>
            <w:shd w:val="clear" w:color="auto" w:fill="auto"/>
            <w:vAlign w:val="center"/>
          </w:tcPr>
          <w:p w:rsidR="00CE2C77" w:rsidRPr="00CE2C77" w:rsidRDefault="00CE2C77" w:rsidP="00AD362F">
            <w:pPr>
              <w:keepNext/>
              <w:jc w:val="center"/>
              <w:rPr>
                <w:rFonts w:ascii="Arial Narrow" w:hAnsi="Arial Narrow" w:cs="Arial"/>
                <w:snapToGrid w:val="0"/>
                <w:sz w:val="20"/>
                <w:szCs w:val="20"/>
              </w:rPr>
            </w:pPr>
            <w:r w:rsidRPr="00CE2C77">
              <w:rPr>
                <w:rFonts w:ascii="Arial Narrow" w:hAnsi="Arial Narrow" w:cs="Arial"/>
                <w:snapToGrid w:val="0"/>
                <w:sz w:val="20"/>
                <w:szCs w:val="20"/>
              </w:rPr>
              <w:t>73/42,256 (0.173)</w:t>
            </w:r>
          </w:p>
        </w:tc>
        <w:tc>
          <w:tcPr>
            <w:tcW w:w="915" w:type="pct"/>
            <w:shd w:val="clear" w:color="auto" w:fill="auto"/>
            <w:vAlign w:val="center"/>
          </w:tcPr>
          <w:p w:rsidR="00CE2C77" w:rsidRPr="00CE2C77" w:rsidRDefault="00CE2C77" w:rsidP="00AD362F">
            <w:pPr>
              <w:keepNext/>
              <w:jc w:val="center"/>
              <w:rPr>
                <w:rFonts w:ascii="Arial Narrow" w:hAnsi="Arial Narrow" w:cs="Arial"/>
                <w:snapToGrid w:val="0"/>
                <w:sz w:val="20"/>
                <w:szCs w:val="20"/>
                <w:lang w:val="en-US"/>
              </w:rPr>
            </w:pPr>
            <w:r w:rsidRPr="00CE2C77">
              <w:rPr>
                <w:rFonts w:ascii="Arial Narrow" w:hAnsi="Arial Narrow" w:cs="Arial"/>
                <w:i/>
                <w:snapToGrid w:val="0"/>
                <w:sz w:val="20"/>
                <w:szCs w:val="20"/>
              </w:rPr>
              <w:t>-0.07 (-0.12, -0.02)</w:t>
            </w:r>
          </w:p>
        </w:tc>
        <w:tc>
          <w:tcPr>
            <w:tcW w:w="915" w:type="pct"/>
            <w:shd w:val="clear" w:color="auto" w:fill="auto"/>
            <w:vAlign w:val="center"/>
          </w:tcPr>
          <w:p w:rsidR="00CE2C77" w:rsidRPr="00CE2C77" w:rsidRDefault="00CE2C77" w:rsidP="00AD362F">
            <w:pPr>
              <w:keepNext/>
              <w:jc w:val="center"/>
              <w:rPr>
                <w:rFonts w:ascii="Arial Narrow" w:hAnsi="Arial Narrow" w:cs="Arial"/>
                <w:snapToGrid w:val="0"/>
                <w:sz w:val="20"/>
                <w:szCs w:val="20"/>
                <w:lang w:val="en-US"/>
              </w:rPr>
            </w:pPr>
            <w:r w:rsidRPr="00CE2C77">
              <w:rPr>
                <w:rFonts w:ascii="Arial Narrow" w:hAnsi="Arial Narrow" w:cs="Arial"/>
                <w:snapToGrid w:val="0"/>
                <w:sz w:val="20"/>
                <w:szCs w:val="20"/>
              </w:rPr>
              <w:t>41.1 (12.7, 60.7)</w:t>
            </w:r>
          </w:p>
        </w:tc>
        <w:tc>
          <w:tcPr>
            <w:tcW w:w="336" w:type="pct"/>
            <w:shd w:val="clear" w:color="auto" w:fill="auto"/>
            <w:vAlign w:val="center"/>
          </w:tcPr>
          <w:p w:rsidR="00CE2C77" w:rsidRPr="00CE2C77" w:rsidRDefault="00CE2C77" w:rsidP="00AD362F">
            <w:pPr>
              <w:keepNext/>
              <w:jc w:val="center"/>
              <w:rPr>
                <w:rFonts w:ascii="Arial Narrow" w:hAnsi="Arial Narrow" w:cs="Arial"/>
                <w:snapToGrid w:val="0"/>
                <w:sz w:val="20"/>
                <w:szCs w:val="20"/>
                <w:lang w:val="en-US"/>
              </w:rPr>
            </w:pPr>
            <w:r w:rsidRPr="00CE2C77">
              <w:rPr>
                <w:rFonts w:ascii="Arial Narrow" w:hAnsi="Arial Narrow" w:cs="Arial"/>
                <w:i/>
                <w:snapToGrid w:val="0"/>
                <w:sz w:val="20"/>
                <w:szCs w:val="20"/>
              </w:rPr>
              <w:t>1,409</w:t>
            </w:r>
          </w:p>
        </w:tc>
      </w:tr>
      <w:tr w:rsidR="00CE2C77" w:rsidRPr="00CE2C77" w:rsidTr="00CE2C77">
        <w:tc>
          <w:tcPr>
            <w:tcW w:w="1000" w:type="pct"/>
            <w:shd w:val="clear" w:color="auto" w:fill="auto"/>
            <w:vAlign w:val="center"/>
          </w:tcPr>
          <w:p w:rsidR="00CE2C77" w:rsidRPr="00CE2C77" w:rsidRDefault="00CE2C77" w:rsidP="00AD362F">
            <w:pPr>
              <w:keepNext/>
              <w:rPr>
                <w:rFonts w:ascii="Arial Narrow" w:hAnsi="Arial Narrow" w:cs="Arial"/>
                <w:snapToGrid w:val="0"/>
                <w:sz w:val="20"/>
                <w:szCs w:val="20"/>
                <w:lang w:val="en-US"/>
              </w:rPr>
            </w:pPr>
            <w:r w:rsidRPr="00CE2C77">
              <w:rPr>
                <w:rFonts w:ascii="Arial Narrow" w:hAnsi="Arial Narrow" w:cs="Arial"/>
                <w:snapToGrid w:val="0"/>
                <w:sz w:val="20"/>
                <w:szCs w:val="20"/>
                <w:lang w:val="en-US"/>
              </w:rPr>
              <w:t>VT IPD</w:t>
            </w:r>
          </w:p>
        </w:tc>
        <w:tc>
          <w:tcPr>
            <w:tcW w:w="915" w:type="pct"/>
            <w:shd w:val="clear" w:color="auto" w:fill="auto"/>
            <w:vAlign w:val="center"/>
          </w:tcPr>
          <w:p w:rsidR="00CE2C77" w:rsidRPr="00CE2C77" w:rsidRDefault="00CE2C77" w:rsidP="00AD362F">
            <w:pPr>
              <w:keepNext/>
              <w:jc w:val="center"/>
              <w:rPr>
                <w:rFonts w:ascii="Arial Narrow" w:hAnsi="Arial Narrow" w:cs="Arial"/>
                <w:snapToGrid w:val="0"/>
                <w:sz w:val="20"/>
                <w:szCs w:val="20"/>
              </w:rPr>
            </w:pPr>
            <w:r w:rsidRPr="00CE2C77">
              <w:rPr>
                <w:rFonts w:ascii="Arial Narrow" w:hAnsi="Arial Narrow" w:cs="Arial"/>
                <w:snapToGrid w:val="0"/>
                <w:sz w:val="20"/>
                <w:szCs w:val="20"/>
              </w:rPr>
              <w:t>8/42,240 (0.019)</w:t>
            </w:r>
          </w:p>
        </w:tc>
        <w:tc>
          <w:tcPr>
            <w:tcW w:w="918" w:type="pct"/>
            <w:shd w:val="clear" w:color="auto" w:fill="auto"/>
            <w:vAlign w:val="center"/>
          </w:tcPr>
          <w:p w:rsidR="00CE2C77" w:rsidRPr="00CE2C77" w:rsidRDefault="00CE2C77" w:rsidP="00AD362F">
            <w:pPr>
              <w:keepNext/>
              <w:jc w:val="center"/>
              <w:rPr>
                <w:rFonts w:ascii="Arial Narrow" w:hAnsi="Arial Narrow" w:cs="Arial"/>
                <w:snapToGrid w:val="0"/>
                <w:sz w:val="20"/>
                <w:szCs w:val="20"/>
              </w:rPr>
            </w:pPr>
            <w:r w:rsidRPr="00CE2C77">
              <w:rPr>
                <w:rFonts w:ascii="Arial Narrow" w:hAnsi="Arial Narrow" w:cs="Arial"/>
                <w:snapToGrid w:val="0"/>
                <w:sz w:val="20"/>
                <w:szCs w:val="20"/>
              </w:rPr>
              <w:t>33/42,256 (0.078)</w:t>
            </w:r>
          </w:p>
        </w:tc>
        <w:tc>
          <w:tcPr>
            <w:tcW w:w="915" w:type="pct"/>
            <w:shd w:val="clear" w:color="auto" w:fill="auto"/>
            <w:vAlign w:val="center"/>
          </w:tcPr>
          <w:p w:rsidR="00CE2C77" w:rsidRPr="00CE2C77" w:rsidRDefault="00CE2C77" w:rsidP="00AD362F">
            <w:pPr>
              <w:keepNext/>
              <w:jc w:val="center"/>
              <w:rPr>
                <w:rFonts w:ascii="Arial Narrow" w:hAnsi="Arial Narrow" w:cs="Arial"/>
                <w:snapToGrid w:val="0"/>
                <w:sz w:val="20"/>
                <w:szCs w:val="20"/>
                <w:lang w:val="en-US"/>
              </w:rPr>
            </w:pPr>
            <w:r w:rsidRPr="00CE2C77">
              <w:rPr>
                <w:rFonts w:ascii="Arial Narrow" w:hAnsi="Arial Narrow" w:cs="Arial"/>
                <w:i/>
                <w:snapToGrid w:val="0"/>
                <w:sz w:val="20"/>
                <w:szCs w:val="20"/>
              </w:rPr>
              <w:t>-0.06 (-0.09, -0.03)</w:t>
            </w:r>
          </w:p>
        </w:tc>
        <w:tc>
          <w:tcPr>
            <w:tcW w:w="915" w:type="pct"/>
            <w:shd w:val="clear" w:color="auto" w:fill="auto"/>
            <w:vAlign w:val="center"/>
          </w:tcPr>
          <w:p w:rsidR="00CE2C77" w:rsidRPr="00CE2C77" w:rsidRDefault="00CE2C77" w:rsidP="00AD362F">
            <w:pPr>
              <w:keepNext/>
              <w:jc w:val="center"/>
              <w:rPr>
                <w:rFonts w:ascii="Arial Narrow" w:hAnsi="Arial Narrow" w:cs="Arial"/>
                <w:snapToGrid w:val="0"/>
                <w:sz w:val="20"/>
                <w:szCs w:val="20"/>
                <w:lang w:val="en-US"/>
              </w:rPr>
            </w:pPr>
            <w:r w:rsidRPr="00CE2C77">
              <w:rPr>
                <w:rFonts w:ascii="Arial Narrow" w:hAnsi="Arial Narrow" w:cs="Arial"/>
                <w:snapToGrid w:val="0"/>
                <w:sz w:val="20"/>
                <w:szCs w:val="20"/>
              </w:rPr>
              <w:t>75.8 (46.5, 90.3)</w:t>
            </w:r>
          </w:p>
        </w:tc>
        <w:tc>
          <w:tcPr>
            <w:tcW w:w="336" w:type="pct"/>
            <w:shd w:val="clear" w:color="auto" w:fill="auto"/>
            <w:vAlign w:val="center"/>
          </w:tcPr>
          <w:p w:rsidR="00CE2C77" w:rsidRPr="00CE2C77" w:rsidRDefault="00CE2C77" w:rsidP="00AD362F">
            <w:pPr>
              <w:keepNext/>
              <w:jc w:val="center"/>
              <w:rPr>
                <w:rFonts w:ascii="Arial Narrow" w:hAnsi="Arial Narrow" w:cs="Arial"/>
                <w:snapToGrid w:val="0"/>
                <w:sz w:val="20"/>
                <w:szCs w:val="20"/>
                <w:lang w:val="en-US"/>
              </w:rPr>
            </w:pPr>
            <w:r w:rsidRPr="00CE2C77">
              <w:rPr>
                <w:rFonts w:ascii="Arial Narrow" w:hAnsi="Arial Narrow" w:cs="Arial"/>
                <w:i/>
                <w:snapToGrid w:val="0"/>
                <w:sz w:val="20"/>
                <w:szCs w:val="20"/>
              </w:rPr>
              <w:t>1,690</w:t>
            </w:r>
          </w:p>
        </w:tc>
      </w:tr>
    </w:tbl>
    <w:p w:rsidR="00CE2C77" w:rsidRPr="00CE2C77" w:rsidRDefault="00CE2C77" w:rsidP="00AD362F">
      <w:pPr>
        <w:keepNext/>
        <w:ind w:firstLine="720"/>
        <w:jc w:val="both"/>
        <w:rPr>
          <w:rFonts w:ascii="Arial Narrow" w:hAnsi="Arial Narrow" w:cs="Arial"/>
          <w:i/>
          <w:snapToGrid w:val="0"/>
          <w:sz w:val="18"/>
          <w:szCs w:val="20"/>
        </w:rPr>
      </w:pPr>
      <w:r w:rsidRPr="000F763D">
        <w:rPr>
          <w:rFonts w:ascii="Arial Narrow" w:hAnsi="Arial Narrow" w:cs="Arial"/>
          <w:snapToGrid w:val="0"/>
          <w:sz w:val="18"/>
          <w:szCs w:val="20"/>
        </w:rPr>
        <w:t xml:space="preserve">Source: Table 10, p B.25; Table 11, p B.26 of the submission; </w:t>
      </w:r>
      <w:r w:rsidRPr="000F763D">
        <w:rPr>
          <w:rFonts w:ascii="Arial Narrow" w:hAnsi="Arial Narrow" w:cs="Arial"/>
          <w:i/>
          <w:snapToGrid w:val="0"/>
          <w:sz w:val="18"/>
          <w:szCs w:val="20"/>
        </w:rPr>
        <w:t>values in italics calculated during evaluation</w:t>
      </w:r>
    </w:p>
    <w:p w:rsidR="00CE2C77" w:rsidRPr="00CE2C77" w:rsidRDefault="00CE2C77" w:rsidP="00AD362F">
      <w:pPr>
        <w:keepNext/>
        <w:ind w:left="709" w:firstLine="11"/>
        <w:jc w:val="both"/>
        <w:rPr>
          <w:rFonts w:ascii="Arial Narrow" w:hAnsi="Arial Narrow" w:cs="Arial"/>
          <w:snapToGrid w:val="0"/>
          <w:sz w:val="18"/>
          <w:szCs w:val="20"/>
        </w:rPr>
      </w:pPr>
      <w:r w:rsidRPr="00CE2C77">
        <w:rPr>
          <w:rFonts w:ascii="Arial Narrow" w:hAnsi="Arial Narrow" w:cs="Arial"/>
          <w:snapToGrid w:val="0"/>
          <w:sz w:val="18"/>
          <w:szCs w:val="20"/>
        </w:rPr>
        <w:t>PBO=placebo; IPD=invasive pneumococcal disease; NB/NI=non-bacteraemic/non-invasive; NNV=number needed to vaccinate; RD=risk difference; VE=vaccine efficacy; VT=vaccine type</w:t>
      </w:r>
    </w:p>
    <w:p w:rsidR="00CE2C77" w:rsidRPr="00CE2C77" w:rsidRDefault="00CE2C77" w:rsidP="00AD362F">
      <w:pPr>
        <w:keepNext/>
        <w:ind w:firstLine="720"/>
        <w:jc w:val="both"/>
        <w:rPr>
          <w:rFonts w:ascii="Arial Narrow" w:hAnsi="Arial Narrow" w:cs="Arial"/>
          <w:snapToGrid w:val="0"/>
          <w:sz w:val="18"/>
          <w:szCs w:val="20"/>
        </w:rPr>
      </w:pPr>
      <w:r w:rsidRPr="00CE2C77">
        <w:rPr>
          <w:rFonts w:ascii="Arial Narrow" w:hAnsi="Arial Narrow" w:cs="Arial"/>
          <w:snapToGrid w:val="0"/>
          <w:sz w:val="18"/>
          <w:szCs w:val="20"/>
        </w:rPr>
        <w:t>a VE = (1-RR) x 100</w:t>
      </w:r>
    </w:p>
    <w:p w:rsidR="00CE2C77" w:rsidRPr="00CE2C77" w:rsidRDefault="00CE2C77" w:rsidP="00AD362F">
      <w:pPr>
        <w:keepNext/>
        <w:ind w:firstLine="720"/>
        <w:jc w:val="both"/>
        <w:rPr>
          <w:rFonts w:ascii="Arial Narrow" w:hAnsi="Arial Narrow" w:cs="Arial"/>
          <w:snapToGrid w:val="0"/>
          <w:sz w:val="18"/>
          <w:szCs w:val="20"/>
        </w:rPr>
      </w:pPr>
      <w:r w:rsidRPr="00CE2C77">
        <w:rPr>
          <w:rFonts w:ascii="Arial Narrow" w:hAnsi="Arial Narrow" w:cs="Arial"/>
          <w:snapToGrid w:val="0"/>
          <w:sz w:val="18"/>
          <w:szCs w:val="20"/>
        </w:rPr>
        <w:t>b O’Brien-Fleming adjustment for 1 interim analysis</w:t>
      </w:r>
    </w:p>
    <w:p w:rsidR="00CE2C77" w:rsidRPr="00CE2C77" w:rsidRDefault="00CE2C77" w:rsidP="00AD362F">
      <w:pPr>
        <w:ind w:firstLine="720"/>
        <w:jc w:val="both"/>
        <w:rPr>
          <w:rFonts w:ascii="Arial Narrow" w:hAnsi="Arial Narrow" w:cs="Arial"/>
          <w:snapToGrid w:val="0"/>
          <w:sz w:val="18"/>
          <w:szCs w:val="20"/>
        </w:rPr>
      </w:pPr>
      <w:r w:rsidRPr="00CE2C77">
        <w:rPr>
          <w:rFonts w:ascii="Arial Narrow" w:hAnsi="Arial Narrow" w:cs="Arial"/>
          <w:snapToGrid w:val="0"/>
          <w:sz w:val="18"/>
          <w:szCs w:val="20"/>
        </w:rPr>
        <w:t>c number needed to vaccinate = 1/RD</w:t>
      </w:r>
    </w:p>
    <w:p w:rsidR="00CE2C77" w:rsidRPr="00CE2C77" w:rsidRDefault="00CE2C77" w:rsidP="00AD362F">
      <w:pPr>
        <w:ind w:firstLine="720"/>
        <w:jc w:val="both"/>
        <w:rPr>
          <w:rFonts w:ascii="Arial Narrow" w:hAnsi="Arial Narrow" w:cs="Arial"/>
          <w:snapToGrid w:val="0"/>
          <w:sz w:val="18"/>
          <w:szCs w:val="20"/>
        </w:rPr>
      </w:pPr>
    </w:p>
    <w:p w:rsidR="00F10871" w:rsidRPr="00517B6E" w:rsidRDefault="00F10871" w:rsidP="00AD362F">
      <w:pPr>
        <w:numPr>
          <w:ilvl w:val="1"/>
          <w:numId w:val="3"/>
        </w:numPr>
        <w:contextualSpacing/>
        <w:jc w:val="both"/>
        <w:rPr>
          <w:rFonts w:ascii="Arial" w:hAnsi="Arial" w:cs="Arial"/>
          <w:snapToGrid w:val="0"/>
          <w:sz w:val="22"/>
          <w:szCs w:val="22"/>
        </w:rPr>
      </w:pPr>
      <w:r w:rsidRPr="00517B6E">
        <w:rPr>
          <w:rFonts w:ascii="Arial" w:hAnsi="Arial" w:cs="Arial"/>
          <w:snapToGrid w:val="0"/>
          <w:sz w:val="22"/>
          <w:szCs w:val="20"/>
        </w:rPr>
        <w:t>The ESC noted that although the CAPiTA trial was a well conducted trial, comparative effectiveness and cost effectiveness was difficult to establish against 23vPPV.</w:t>
      </w:r>
    </w:p>
    <w:p w:rsidR="00F10871" w:rsidRPr="00CE2C77" w:rsidRDefault="00F10871" w:rsidP="00AD362F">
      <w:pPr>
        <w:ind w:left="720"/>
        <w:contextualSpacing/>
        <w:jc w:val="both"/>
        <w:rPr>
          <w:rFonts w:ascii="Arial" w:hAnsi="Arial" w:cs="Arial"/>
          <w:snapToGrid w:val="0"/>
          <w:sz w:val="22"/>
          <w:szCs w:val="22"/>
        </w:rPr>
      </w:pPr>
    </w:p>
    <w:p w:rsidR="00CE2C77" w:rsidRPr="00CE2C77" w:rsidRDefault="00CE2C77" w:rsidP="00AD362F">
      <w:pPr>
        <w:numPr>
          <w:ilvl w:val="1"/>
          <w:numId w:val="3"/>
        </w:numPr>
        <w:contextualSpacing/>
        <w:jc w:val="both"/>
        <w:rPr>
          <w:rFonts w:ascii="Arial" w:hAnsi="Arial" w:cs="Arial"/>
          <w:snapToGrid w:val="0"/>
          <w:sz w:val="22"/>
          <w:szCs w:val="22"/>
        </w:rPr>
      </w:pPr>
      <w:r w:rsidRPr="00CE2C77">
        <w:rPr>
          <w:rFonts w:ascii="Arial" w:hAnsi="Arial" w:cs="Arial"/>
          <w:snapToGrid w:val="0"/>
          <w:sz w:val="22"/>
          <w:szCs w:val="22"/>
        </w:rPr>
        <w:t xml:space="preserve">The pooled results for the 23vPPV randomised efficacy trials, and the matching exploratory outcomes from CAPiTA, are presented in </w:t>
      </w:r>
      <w:r w:rsidR="00667350">
        <w:rPr>
          <w:rFonts w:ascii="Arial" w:hAnsi="Arial" w:cs="Arial"/>
          <w:snapToGrid w:val="0"/>
          <w:sz w:val="22"/>
          <w:szCs w:val="22"/>
        </w:rPr>
        <w:t xml:space="preserve">the table of </w:t>
      </w:r>
      <w:r w:rsidR="00667350" w:rsidRPr="00667350">
        <w:rPr>
          <w:rFonts w:ascii="Arial" w:hAnsi="Arial" w:cs="Arial"/>
          <w:snapToGrid w:val="0"/>
          <w:sz w:val="22"/>
          <w:szCs w:val="22"/>
        </w:rPr>
        <w:t>comparative benefits and harms</w:t>
      </w:r>
      <w:r w:rsidRPr="00CE2C77">
        <w:rPr>
          <w:rFonts w:ascii="Arial" w:hAnsi="Arial" w:cs="Arial"/>
          <w:snapToGrid w:val="0"/>
          <w:sz w:val="22"/>
          <w:szCs w:val="22"/>
        </w:rPr>
        <w:t xml:space="preserve">. </w:t>
      </w:r>
    </w:p>
    <w:p w:rsidR="00CE2C77" w:rsidRPr="00CE2C77" w:rsidRDefault="00CE2C77" w:rsidP="00AD362F">
      <w:pPr>
        <w:ind w:left="720"/>
        <w:contextualSpacing/>
        <w:jc w:val="both"/>
        <w:rPr>
          <w:rFonts w:ascii="Arial" w:hAnsi="Arial" w:cs="Arial"/>
          <w:snapToGrid w:val="0"/>
          <w:sz w:val="22"/>
          <w:szCs w:val="22"/>
        </w:rPr>
      </w:pPr>
    </w:p>
    <w:p w:rsidR="00CE2C77" w:rsidRPr="00EE3042" w:rsidRDefault="00CE2C77" w:rsidP="00AD362F">
      <w:pPr>
        <w:numPr>
          <w:ilvl w:val="1"/>
          <w:numId w:val="3"/>
        </w:numPr>
        <w:contextualSpacing/>
        <w:jc w:val="both"/>
        <w:rPr>
          <w:rFonts w:ascii="Arial" w:hAnsi="Arial" w:cs="Arial"/>
          <w:snapToGrid w:val="0"/>
          <w:sz w:val="22"/>
          <w:szCs w:val="22"/>
        </w:rPr>
      </w:pPr>
      <w:r w:rsidRPr="00A15171">
        <w:rPr>
          <w:rFonts w:ascii="Arial" w:hAnsi="Arial" w:cs="Arial"/>
          <w:snapToGrid w:val="0"/>
          <w:sz w:val="22"/>
          <w:szCs w:val="22"/>
        </w:rPr>
        <w:t>Nine of the 17 non-randomised studies included in the submission met the submissi</w:t>
      </w:r>
      <w:r w:rsidR="00F10871">
        <w:rPr>
          <w:rFonts w:ascii="Arial" w:hAnsi="Arial" w:cs="Arial"/>
          <w:snapToGrid w:val="0"/>
          <w:sz w:val="22"/>
          <w:szCs w:val="22"/>
        </w:rPr>
        <w:t>on’s selection criteria. These nine</w:t>
      </w:r>
      <w:r w:rsidRPr="00A15171">
        <w:rPr>
          <w:rFonts w:ascii="Arial" w:hAnsi="Arial" w:cs="Arial"/>
          <w:snapToGrid w:val="0"/>
          <w:sz w:val="22"/>
          <w:szCs w:val="22"/>
        </w:rPr>
        <w:t xml:space="preserve"> studies are likely to be subject to less bias. The economic evaluation used the results of Menzies 2014 only. </w:t>
      </w:r>
      <w:r w:rsidRPr="00A15171">
        <w:rPr>
          <w:rFonts w:ascii="Arial" w:hAnsi="Arial" w:cs="Arial"/>
          <w:snapToGrid w:val="0"/>
          <w:sz w:val="22"/>
          <w:szCs w:val="20"/>
        </w:rPr>
        <w:t>Menzies</w:t>
      </w:r>
      <w:r w:rsidRPr="00CE2C77">
        <w:rPr>
          <w:rFonts w:ascii="Arial" w:hAnsi="Arial" w:cs="Arial"/>
          <w:snapToGrid w:val="0"/>
          <w:sz w:val="22"/>
          <w:szCs w:val="20"/>
        </w:rPr>
        <w:t xml:space="preserve"> 2014 estimated </w:t>
      </w:r>
      <w:r w:rsidR="00454C00">
        <w:rPr>
          <w:rFonts w:ascii="Arial" w:hAnsi="Arial" w:cs="Arial"/>
          <w:snapToGrid w:val="0"/>
          <w:sz w:val="22"/>
          <w:szCs w:val="20"/>
        </w:rPr>
        <w:t xml:space="preserve">vaccine </w:t>
      </w:r>
      <w:r w:rsidR="002914D3">
        <w:rPr>
          <w:rFonts w:ascii="Arial" w:hAnsi="Arial" w:cs="Arial"/>
          <w:snapToGrid w:val="0"/>
          <w:sz w:val="22"/>
          <w:szCs w:val="20"/>
        </w:rPr>
        <w:t>efficacy</w:t>
      </w:r>
      <w:r w:rsidR="00454C00" w:rsidRPr="00CE2C77">
        <w:rPr>
          <w:rFonts w:ascii="Arial" w:hAnsi="Arial" w:cs="Arial"/>
          <w:snapToGrid w:val="0"/>
          <w:sz w:val="22"/>
          <w:szCs w:val="20"/>
        </w:rPr>
        <w:t xml:space="preserve"> </w:t>
      </w:r>
      <w:r w:rsidRPr="00CE2C77">
        <w:rPr>
          <w:rFonts w:ascii="Arial" w:hAnsi="Arial" w:cs="Arial"/>
          <w:snapToGrid w:val="0"/>
          <w:sz w:val="22"/>
          <w:szCs w:val="20"/>
        </w:rPr>
        <w:t xml:space="preserve">for VT IPD using the screening method. Of 900 IPD cases in the Australian National Notifiable Diseases Surveillance System </w:t>
      </w:r>
      <w:r w:rsidRPr="00CE2C77">
        <w:rPr>
          <w:rFonts w:ascii="Arial" w:hAnsi="Arial" w:cs="Arial"/>
          <w:i/>
          <w:snapToGrid w:val="0"/>
          <w:sz w:val="22"/>
          <w:szCs w:val="20"/>
        </w:rPr>
        <w:t>(</w:t>
      </w:r>
      <w:r w:rsidRPr="00CE2C77">
        <w:rPr>
          <w:rFonts w:ascii="Arial" w:hAnsi="Arial" w:cs="Arial"/>
          <w:snapToGrid w:val="0"/>
          <w:sz w:val="22"/>
          <w:szCs w:val="20"/>
        </w:rPr>
        <w:t xml:space="preserve">NNDSS) for the years 2004, 2006 and 2009, 328 (36.4%) were in individuals vaccinated with 23vPPV in the previous 5 years. The proportion of the population vaccinated ranged from 51.1% to 62.2%, and the </w:t>
      </w:r>
      <w:r w:rsidR="00454C00">
        <w:rPr>
          <w:rFonts w:ascii="Arial" w:hAnsi="Arial" w:cs="Arial"/>
          <w:snapToGrid w:val="0"/>
          <w:sz w:val="22"/>
          <w:szCs w:val="20"/>
        </w:rPr>
        <w:t>vaccine efficacy</w:t>
      </w:r>
      <w:r w:rsidR="00454C00" w:rsidRPr="00CE2C77">
        <w:rPr>
          <w:rFonts w:ascii="Arial" w:hAnsi="Arial" w:cs="Arial"/>
          <w:snapToGrid w:val="0"/>
          <w:sz w:val="22"/>
          <w:szCs w:val="20"/>
        </w:rPr>
        <w:t xml:space="preserve"> </w:t>
      </w:r>
      <w:r w:rsidRPr="00CE2C77">
        <w:rPr>
          <w:rFonts w:ascii="Arial" w:hAnsi="Arial" w:cs="Arial"/>
          <w:snapToGrid w:val="0"/>
          <w:sz w:val="22"/>
          <w:szCs w:val="20"/>
        </w:rPr>
        <w:t>was calculated to be 61.1% (95% CI 55.1, 66.9).</w:t>
      </w:r>
    </w:p>
    <w:p w:rsidR="00CE2C77" w:rsidRDefault="00CE2C77" w:rsidP="00AD362F">
      <w:pPr>
        <w:jc w:val="both"/>
        <w:rPr>
          <w:rFonts w:ascii="Arial" w:hAnsi="Arial" w:cs="Arial"/>
          <w:snapToGrid w:val="0"/>
          <w:sz w:val="22"/>
          <w:szCs w:val="22"/>
        </w:rPr>
      </w:pPr>
    </w:p>
    <w:p w:rsidR="00EF2AFE" w:rsidRPr="00EF2AFE" w:rsidRDefault="00EF2AFE" w:rsidP="005E67AE">
      <w:pPr>
        <w:ind w:left="709"/>
        <w:contextualSpacing/>
        <w:jc w:val="both"/>
        <w:rPr>
          <w:rFonts w:ascii="Arial" w:hAnsi="Arial" w:cs="Arial"/>
          <w:i/>
          <w:snapToGrid w:val="0"/>
          <w:sz w:val="22"/>
          <w:szCs w:val="22"/>
        </w:rPr>
      </w:pPr>
      <w:r w:rsidRPr="00EF2AFE">
        <w:rPr>
          <w:rFonts w:ascii="Arial" w:hAnsi="Arial" w:cs="Arial"/>
          <w:i/>
          <w:snapToGrid w:val="0"/>
          <w:sz w:val="22"/>
          <w:szCs w:val="22"/>
        </w:rPr>
        <w:t>For more detail on PBAC’s view, see section 7 “PBAC outcome”</w:t>
      </w:r>
    </w:p>
    <w:p w:rsidR="00EF2AFE" w:rsidRPr="00CE2C77" w:rsidRDefault="00EF2AFE" w:rsidP="00AD362F">
      <w:pPr>
        <w:jc w:val="both"/>
        <w:rPr>
          <w:rFonts w:ascii="Arial" w:hAnsi="Arial" w:cs="Arial"/>
          <w:snapToGrid w:val="0"/>
          <w:sz w:val="22"/>
          <w:szCs w:val="22"/>
        </w:rPr>
      </w:pPr>
    </w:p>
    <w:p w:rsidR="00CE2C77" w:rsidRPr="00947361" w:rsidRDefault="00CE2C77" w:rsidP="00AD362F">
      <w:pPr>
        <w:jc w:val="both"/>
        <w:outlineLvl w:val="1"/>
        <w:rPr>
          <w:rFonts w:ascii="Arial" w:hAnsi="Arial" w:cs="Arial"/>
          <w:b/>
          <w:snapToGrid w:val="0"/>
          <w:sz w:val="22"/>
          <w:szCs w:val="20"/>
        </w:rPr>
      </w:pPr>
      <w:bookmarkStart w:id="9" w:name="_Toc409513707"/>
      <w:r w:rsidRPr="00947361">
        <w:rPr>
          <w:rFonts w:ascii="Arial" w:hAnsi="Arial" w:cs="Arial"/>
          <w:b/>
          <w:snapToGrid w:val="0"/>
          <w:sz w:val="22"/>
          <w:szCs w:val="20"/>
        </w:rPr>
        <w:t>Comparative harms</w:t>
      </w:r>
      <w:bookmarkEnd w:id="9"/>
    </w:p>
    <w:p w:rsidR="00CE2C77" w:rsidRPr="00CE2C77" w:rsidRDefault="00CE2C77" w:rsidP="00AD362F">
      <w:pPr>
        <w:ind w:left="720" w:hanging="720"/>
        <w:jc w:val="both"/>
        <w:rPr>
          <w:rFonts w:ascii="Arial" w:hAnsi="Arial" w:cs="Arial"/>
          <w:snapToGrid w:val="0"/>
          <w:sz w:val="22"/>
          <w:szCs w:val="22"/>
        </w:rPr>
      </w:pPr>
    </w:p>
    <w:p w:rsidR="00CE2C77" w:rsidRPr="00CE2C77" w:rsidRDefault="00CE2C77" w:rsidP="00AD362F">
      <w:pPr>
        <w:numPr>
          <w:ilvl w:val="1"/>
          <w:numId w:val="3"/>
        </w:numPr>
        <w:contextualSpacing/>
        <w:jc w:val="both"/>
        <w:rPr>
          <w:rFonts w:ascii="Arial" w:hAnsi="Arial" w:cs="Arial"/>
          <w:snapToGrid w:val="0"/>
          <w:sz w:val="22"/>
          <w:szCs w:val="22"/>
        </w:rPr>
      </w:pPr>
      <w:r w:rsidRPr="00CE2C77">
        <w:rPr>
          <w:rFonts w:ascii="Arial" w:hAnsi="Arial" w:cs="Arial"/>
          <w:snapToGrid w:val="0"/>
          <w:sz w:val="22"/>
          <w:szCs w:val="22"/>
        </w:rPr>
        <w:t>Three immunogenicity RCTs provided comparative safety data for 13vPCV an</w:t>
      </w:r>
      <w:r w:rsidR="00F10871">
        <w:rPr>
          <w:rFonts w:ascii="Arial" w:hAnsi="Arial" w:cs="Arial"/>
          <w:snapToGrid w:val="0"/>
          <w:sz w:val="22"/>
          <w:szCs w:val="22"/>
        </w:rPr>
        <w:t>d 23vPPV. In these three</w:t>
      </w:r>
      <w:r w:rsidRPr="00CE2C77">
        <w:rPr>
          <w:rFonts w:ascii="Arial" w:hAnsi="Arial" w:cs="Arial"/>
          <w:snapToGrid w:val="0"/>
          <w:sz w:val="22"/>
          <w:szCs w:val="22"/>
        </w:rPr>
        <w:t xml:space="preserve"> studies there were no significant differences between the 13vPCV and 23vPPV groups in the incidence of unsolic</w:t>
      </w:r>
      <w:r w:rsidR="00F374DC">
        <w:rPr>
          <w:rFonts w:ascii="Arial" w:hAnsi="Arial" w:cs="Arial"/>
          <w:snapToGrid w:val="0"/>
          <w:sz w:val="22"/>
          <w:szCs w:val="22"/>
        </w:rPr>
        <w:t>ited adverse events or serious adverse event</w:t>
      </w:r>
      <w:r w:rsidR="00F10871">
        <w:rPr>
          <w:rFonts w:ascii="Arial" w:hAnsi="Arial" w:cs="Arial"/>
          <w:snapToGrid w:val="0"/>
          <w:sz w:val="22"/>
          <w:szCs w:val="22"/>
        </w:rPr>
        <w:t>s within one</w:t>
      </w:r>
      <w:r w:rsidRPr="00CE2C77">
        <w:rPr>
          <w:rFonts w:ascii="Arial" w:hAnsi="Arial" w:cs="Arial"/>
          <w:snapToGrid w:val="0"/>
          <w:sz w:val="22"/>
          <w:szCs w:val="22"/>
        </w:rPr>
        <w:t xml:space="preserve"> or </w:t>
      </w:r>
      <w:r w:rsidR="00F10871">
        <w:rPr>
          <w:rFonts w:ascii="Arial" w:hAnsi="Arial" w:cs="Arial"/>
          <w:snapToGrid w:val="0"/>
          <w:sz w:val="22"/>
          <w:szCs w:val="22"/>
        </w:rPr>
        <w:t>six</w:t>
      </w:r>
      <w:r w:rsidR="001C1415">
        <w:rPr>
          <w:rFonts w:ascii="Arial" w:hAnsi="Arial" w:cs="Arial"/>
          <w:snapToGrid w:val="0"/>
          <w:sz w:val="22"/>
          <w:szCs w:val="22"/>
        </w:rPr>
        <w:t> </w:t>
      </w:r>
      <w:r w:rsidRPr="00CE2C77">
        <w:rPr>
          <w:rFonts w:ascii="Arial" w:hAnsi="Arial" w:cs="Arial"/>
          <w:snapToGrid w:val="0"/>
          <w:sz w:val="22"/>
          <w:szCs w:val="22"/>
        </w:rPr>
        <w:t>months of vaccination.</w:t>
      </w:r>
      <w:r w:rsidRPr="00CE2C77">
        <w:rPr>
          <w:rFonts w:ascii="Arial" w:hAnsi="Arial" w:cs="Arial"/>
          <w:snapToGrid w:val="0"/>
          <w:sz w:val="22"/>
          <w:szCs w:val="20"/>
        </w:rPr>
        <w:t xml:space="preserve"> Pain was more frequent after 13vPCV compared with 23vPPV in </w:t>
      </w:r>
      <w:r w:rsidR="00B52ED6">
        <w:rPr>
          <w:rFonts w:ascii="Arial" w:hAnsi="Arial" w:cs="Arial"/>
          <w:snapToGrid w:val="0"/>
          <w:sz w:val="22"/>
          <w:szCs w:val="20"/>
        </w:rPr>
        <w:t>subject</w:t>
      </w:r>
      <w:r w:rsidR="00E544B6" w:rsidRPr="00CE2C77">
        <w:rPr>
          <w:rFonts w:ascii="Arial" w:hAnsi="Arial" w:cs="Arial"/>
          <w:snapToGrid w:val="0"/>
          <w:sz w:val="22"/>
          <w:szCs w:val="20"/>
        </w:rPr>
        <w:t>s</w:t>
      </w:r>
      <w:r w:rsidRPr="00CE2C77">
        <w:rPr>
          <w:rFonts w:ascii="Arial" w:hAnsi="Arial" w:cs="Arial"/>
          <w:snapToGrid w:val="0"/>
          <w:sz w:val="22"/>
          <w:szCs w:val="20"/>
        </w:rPr>
        <w:t xml:space="preserve"> naïve to 23vPPV (Study 004: 80.1% vs 73.4%; Study 3010: 69.2% vs 58.3%). Redness (10.8% vs 22.2%), swelling (10.4% vs 23.1%), pain (51.7% vs 58.5%) and limitation of arm movement (10.5% vs 27.6%) were more frequent after 23vPPV compared with 13vPCV in subjects wh</w:t>
      </w:r>
      <w:r w:rsidR="00780900">
        <w:rPr>
          <w:rFonts w:ascii="Arial" w:hAnsi="Arial" w:cs="Arial"/>
          <w:snapToGrid w:val="0"/>
          <w:sz w:val="22"/>
          <w:szCs w:val="20"/>
        </w:rPr>
        <w:t>o had received 23vPPV at least five</w:t>
      </w:r>
      <w:r w:rsidR="001C1415">
        <w:rPr>
          <w:rFonts w:ascii="Arial" w:hAnsi="Arial" w:cs="Arial"/>
          <w:snapToGrid w:val="0"/>
          <w:sz w:val="22"/>
          <w:szCs w:val="20"/>
        </w:rPr>
        <w:t> </w:t>
      </w:r>
      <w:r w:rsidRPr="00CE2C77">
        <w:rPr>
          <w:rFonts w:ascii="Arial" w:hAnsi="Arial" w:cs="Arial"/>
          <w:snapToGrid w:val="0"/>
          <w:sz w:val="22"/>
          <w:szCs w:val="20"/>
        </w:rPr>
        <w:t xml:space="preserve">years previously (Study 3005). </w:t>
      </w:r>
    </w:p>
    <w:p w:rsidR="00CE2C77" w:rsidRPr="00CE2C77" w:rsidRDefault="00CE2C77" w:rsidP="00AD362F">
      <w:pPr>
        <w:ind w:left="720"/>
        <w:contextualSpacing/>
        <w:jc w:val="both"/>
        <w:rPr>
          <w:rFonts w:ascii="Arial" w:hAnsi="Arial" w:cs="Arial"/>
          <w:snapToGrid w:val="0"/>
          <w:sz w:val="22"/>
          <w:szCs w:val="22"/>
        </w:rPr>
      </w:pPr>
    </w:p>
    <w:p w:rsidR="00200415" w:rsidRPr="00200415" w:rsidRDefault="00CE2C77" w:rsidP="00AD362F">
      <w:pPr>
        <w:numPr>
          <w:ilvl w:val="1"/>
          <w:numId w:val="3"/>
        </w:numPr>
        <w:contextualSpacing/>
        <w:jc w:val="both"/>
        <w:rPr>
          <w:rFonts w:ascii="Arial" w:hAnsi="Arial" w:cs="Arial"/>
          <w:snapToGrid w:val="0"/>
          <w:sz w:val="22"/>
          <w:szCs w:val="22"/>
        </w:rPr>
      </w:pPr>
      <w:r w:rsidRPr="00CE2C77">
        <w:rPr>
          <w:rFonts w:ascii="Arial" w:hAnsi="Arial" w:cs="Arial"/>
          <w:snapToGrid w:val="0"/>
          <w:sz w:val="22"/>
          <w:szCs w:val="20"/>
        </w:rPr>
        <w:t>In CAPiTA</w:t>
      </w:r>
      <w:r w:rsidR="00F10871">
        <w:rPr>
          <w:rFonts w:ascii="Arial" w:hAnsi="Arial" w:cs="Arial"/>
          <w:snapToGrid w:val="0"/>
          <w:sz w:val="22"/>
          <w:szCs w:val="20"/>
        </w:rPr>
        <w:t>,</w:t>
      </w:r>
      <w:r w:rsidRPr="00CE2C77">
        <w:rPr>
          <w:rFonts w:ascii="Arial" w:hAnsi="Arial" w:cs="Arial"/>
          <w:snapToGrid w:val="0"/>
          <w:sz w:val="22"/>
          <w:szCs w:val="20"/>
        </w:rPr>
        <w:t xml:space="preserve"> no serious </w:t>
      </w:r>
      <w:r w:rsidR="00F374DC">
        <w:rPr>
          <w:rFonts w:ascii="Arial" w:hAnsi="Arial" w:cs="Arial"/>
          <w:snapToGrid w:val="0"/>
          <w:sz w:val="22"/>
          <w:szCs w:val="22"/>
        </w:rPr>
        <w:t>adverse events</w:t>
      </w:r>
      <w:r w:rsidRPr="00CE2C77">
        <w:rPr>
          <w:rFonts w:ascii="Arial" w:hAnsi="Arial" w:cs="Arial"/>
          <w:snapToGrid w:val="0"/>
          <w:sz w:val="22"/>
          <w:szCs w:val="20"/>
        </w:rPr>
        <w:t xml:space="preserve"> occurred in </w:t>
      </w:r>
      <w:r w:rsidRPr="00CE2C77">
        <w:rPr>
          <w:rFonts w:ascii="Arial" w:hAnsi="Arial" w:cs="Arial"/>
          <w:snapToGrid w:val="0"/>
          <w:sz w:val="22"/>
          <w:szCs w:val="20"/>
        </w:rPr>
        <w:sym w:font="Symbol" w:char="F0B3"/>
      </w:r>
      <w:r w:rsidRPr="00CE2C77">
        <w:rPr>
          <w:rFonts w:ascii="Arial" w:hAnsi="Arial" w:cs="Arial"/>
          <w:snapToGrid w:val="0"/>
          <w:sz w:val="22"/>
          <w:szCs w:val="20"/>
        </w:rPr>
        <w:t xml:space="preserve">1% of subjects in either the 13vPCV or placebo group. The incidence of general disorders and administration site conditions was significantly higher for the 13vPCV group compared with the placebo group (23/42,237 [0.1%] vs 7/42,255 [&lt;0.1%]). Of the 30 subjects who had these serious </w:t>
      </w:r>
      <w:r w:rsidR="00F374DC">
        <w:rPr>
          <w:rFonts w:ascii="Arial" w:hAnsi="Arial" w:cs="Arial"/>
          <w:snapToGrid w:val="0"/>
          <w:sz w:val="22"/>
          <w:szCs w:val="22"/>
        </w:rPr>
        <w:t>adverse events</w:t>
      </w:r>
      <w:r w:rsidRPr="00CE2C77">
        <w:rPr>
          <w:rFonts w:ascii="Arial" w:hAnsi="Arial" w:cs="Arial"/>
          <w:snapToGrid w:val="0"/>
          <w:sz w:val="22"/>
          <w:szCs w:val="20"/>
        </w:rPr>
        <w:t>, 14 had events of non</w:t>
      </w:r>
      <w:r w:rsidR="00F10871">
        <w:rPr>
          <w:rFonts w:ascii="Arial" w:hAnsi="Arial" w:cs="Arial"/>
          <w:snapToGrid w:val="0"/>
          <w:sz w:val="22"/>
          <w:szCs w:val="20"/>
        </w:rPr>
        <w:t>-</w:t>
      </w:r>
      <w:r w:rsidRPr="00CE2C77">
        <w:rPr>
          <w:rFonts w:ascii="Arial" w:hAnsi="Arial" w:cs="Arial"/>
          <w:snapToGrid w:val="0"/>
          <w:sz w:val="22"/>
          <w:szCs w:val="20"/>
        </w:rPr>
        <w:t>cardiac chest p</w:t>
      </w:r>
      <w:r w:rsidR="00F10871">
        <w:rPr>
          <w:rFonts w:ascii="Arial" w:hAnsi="Arial" w:cs="Arial"/>
          <w:snapToGrid w:val="0"/>
          <w:sz w:val="22"/>
          <w:szCs w:val="20"/>
        </w:rPr>
        <w:t>ain (12 in the 13vPCV group vs two</w:t>
      </w:r>
      <w:r w:rsidRPr="00CE2C77">
        <w:rPr>
          <w:rFonts w:ascii="Arial" w:hAnsi="Arial" w:cs="Arial"/>
          <w:snapToGrid w:val="0"/>
          <w:sz w:val="22"/>
          <w:szCs w:val="20"/>
        </w:rPr>
        <w:t xml:space="preserve"> in the placebo group), and 6 had events of chest pain (5 vs 1). </w:t>
      </w:r>
    </w:p>
    <w:p w:rsidR="00CE2C77" w:rsidRPr="00CE2C77" w:rsidRDefault="00CE2C77" w:rsidP="00CB6171">
      <w:pPr>
        <w:numPr>
          <w:ilvl w:val="1"/>
          <w:numId w:val="3"/>
        </w:numPr>
        <w:contextualSpacing/>
        <w:jc w:val="both"/>
        <w:rPr>
          <w:rFonts w:ascii="Arial" w:hAnsi="Arial" w:cs="Arial"/>
          <w:snapToGrid w:val="0"/>
          <w:sz w:val="22"/>
          <w:szCs w:val="22"/>
        </w:rPr>
      </w:pPr>
      <w:r w:rsidRPr="00CE2C77">
        <w:rPr>
          <w:rFonts w:ascii="Arial" w:hAnsi="Arial" w:cs="Arial"/>
          <w:snapToGrid w:val="0"/>
          <w:sz w:val="22"/>
          <w:szCs w:val="20"/>
        </w:rPr>
        <w:lastRenderedPageBreak/>
        <w:t>None o</w:t>
      </w:r>
      <w:r w:rsidR="00F10871">
        <w:rPr>
          <w:rFonts w:ascii="Arial" w:hAnsi="Arial" w:cs="Arial"/>
          <w:snapToGrid w:val="0"/>
          <w:sz w:val="22"/>
          <w:szCs w:val="20"/>
        </w:rPr>
        <w:t>f these events occurred within two</w:t>
      </w:r>
      <w:r w:rsidRPr="00CE2C77">
        <w:rPr>
          <w:rFonts w:ascii="Arial" w:hAnsi="Arial" w:cs="Arial"/>
          <w:snapToGrid w:val="0"/>
          <w:sz w:val="22"/>
          <w:szCs w:val="20"/>
        </w:rPr>
        <w:t xml:space="preserve"> days after vaccination. Mild and moderate, but not severe, local reactions were significantly more frequent in the 13vPCV group than in the placebo group.</w:t>
      </w:r>
    </w:p>
    <w:p w:rsidR="00CE2C77" w:rsidRPr="00CE2C77" w:rsidRDefault="00CE2C77" w:rsidP="00AD362F">
      <w:pPr>
        <w:ind w:left="720"/>
        <w:contextualSpacing/>
        <w:jc w:val="both"/>
        <w:rPr>
          <w:rFonts w:ascii="Arial" w:hAnsi="Arial" w:cs="Arial"/>
          <w:snapToGrid w:val="0"/>
          <w:sz w:val="22"/>
          <w:szCs w:val="22"/>
        </w:rPr>
      </w:pPr>
    </w:p>
    <w:p w:rsidR="00CE2C77" w:rsidRPr="00CE2C77" w:rsidRDefault="00CE2C77" w:rsidP="00AD362F">
      <w:pPr>
        <w:numPr>
          <w:ilvl w:val="1"/>
          <w:numId w:val="3"/>
        </w:numPr>
        <w:contextualSpacing/>
        <w:jc w:val="both"/>
        <w:rPr>
          <w:rFonts w:ascii="Arial" w:hAnsi="Arial" w:cs="Arial"/>
          <w:snapToGrid w:val="0"/>
          <w:sz w:val="22"/>
          <w:szCs w:val="22"/>
        </w:rPr>
      </w:pPr>
      <w:r w:rsidRPr="00CE2C77">
        <w:rPr>
          <w:rFonts w:ascii="Arial" w:hAnsi="Arial" w:cs="Arial"/>
          <w:snapToGrid w:val="0"/>
          <w:sz w:val="22"/>
          <w:szCs w:val="20"/>
        </w:rPr>
        <w:t xml:space="preserve">In 2011, the increase in </w:t>
      </w:r>
      <w:r w:rsidR="00F374DC">
        <w:rPr>
          <w:rFonts w:ascii="Arial" w:hAnsi="Arial" w:cs="Arial"/>
          <w:snapToGrid w:val="0"/>
          <w:sz w:val="22"/>
          <w:szCs w:val="22"/>
        </w:rPr>
        <w:t>adverse events</w:t>
      </w:r>
      <w:r w:rsidRPr="00CE2C77">
        <w:rPr>
          <w:rFonts w:ascii="Arial" w:hAnsi="Arial" w:cs="Arial"/>
          <w:snapToGrid w:val="0"/>
          <w:sz w:val="22"/>
          <w:szCs w:val="20"/>
        </w:rPr>
        <w:t xml:space="preserve"> with a second dose of 23vPPV led to ATAGI recommending a single dose in adults without risk factors. ATAGI noted that for subjects pre-immunised with 23vPPV, vaccination with 13vPCV had a better safety profile than revaccination with 23vPPV (ATAGI </w:t>
      </w:r>
      <w:r w:rsidR="00F10871">
        <w:rPr>
          <w:rFonts w:ascii="Arial" w:hAnsi="Arial" w:cs="Arial"/>
          <w:snapToGrid w:val="0"/>
          <w:sz w:val="22"/>
          <w:szCs w:val="20"/>
        </w:rPr>
        <w:t xml:space="preserve">Pre-Submission </w:t>
      </w:r>
      <w:r w:rsidRPr="00A15171">
        <w:rPr>
          <w:rFonts w:ascii="Arial" w:hAnsi="Arial" w:cs="Arial"/>
          <w:snapToGrid w:val="0"/>
          <w:sz w:val="22"/>
          <w:szCs w:val="20"/>
        </w:rPr>
        <w:t>Advice). The proposed listing is for 13vPCV to replace the initial dose of 23vPPV, and therefore the majority of subjects should be naïve to 23vPPV.</w:t>
      </w:r>
    </w:p>
    <w:p w:rsidR="00CE2C77" w:rsidRDefault="00CE2C77" w:rsidP="00AD362F">
      <w:pPr>
        <w:contextualSpacing/>
        <w:jc w:val="both"/>
        <w:rPr>
          <w:rFonts w:ascii="Arial" w:hAnsi="Arial" w:cs="Arial"/>
          <w:snapToGrid w:val="0"/>
          <w:sz w:val="22"/>
          <w:szCs w:val="22"/>
        </w:rPr>
      </w:pPr>
    </w:p>
    <w:p w:rsidR="00EF2AFE" w:rsidRPr="00EF2AFE" w:rsidRDefault="00EF2AFE" w:rsidP="005E67AE">
      <w:pPr>
        <w:ind w:left="709"/>
        <w:contextualSpacing/>
        <w:jc w:val="both"/>
        <w:rPr>
          <w:rFonts w:ascii="Arial" w:hAnsi="Arial" w:cs="Arial"/>
          <w:i/>
          <w:snapToGrid w:val="0"/>
          <w:sz w:val="22"/>
          <w:szCs w:val="22"/>
        </w:rPr>
      </w:pPr>
      <w:r w:rsidRPr="00EF2AFE">
        <w:rPr>
          <w:rFonts w:ascii="Arial" w:hAnsi="Arial" w:cs="Arial"/>
          <w:i/>
          <w:snapToGrid w:val="0"/>
          <w:sz w:val="22"/>
          <w:szCs w:val="22"/>
        </w:rPr>
        <w:t>For more detail on PBAC’s view, see section 7 “PBAC outcome”</w:t>
      </w:r>
    </w:p>
    <w:p w:rsidR="00EF2AFE" w:rsidRPr="00CE2C77" w:rsidRDefault="00EF2AFE" w:rsidP="00AD362F">
      <w:pPr>
        <w:contextualSpacing/>
        <w:jc w:val="both"/>
        <w:rPr>
          <w:rFonts w:ascii="Arial" w:hAnsi="Arial" w:cs="Arial"/>
          <w:snapToGrid w:val="0"/>
          <w:sz w:val="22"/>
          <w:szCs w:val="22"/>
        </w:rPr>
      </w:pPr>
    </w:p>
    <w:p w:rsidR="00CE2C77" w:rsidRPr="00947361" w:rsidRDefault="00CE2C77" w:rsidP="00AD362F">
      <w:pPr>
        <w:jc w:val="both"/>
        <w:outlineLvl w:val="1"/>
        <w:rPr>
          <w:rFonts w:ascii="Arial" w:hAnsi="Arial" w:cs="Arial"/>
          <w:b/>
          <w:snapToGrid w:val="0"/>
          <w:sz w:val="22"/>
          <w:szCs w:val="22"/>
        </w:rPr>
      </w:pPr>
      <w:bookmarkStart w:id="10" w:name="_Toc409513708"/>
      <w:r w:rsidRPr="00947361">
        <w:rPr>
          <w:rFonts w:ascii="Arial" w:hAnsi="Arial" w:cs="Arial"/>
          <w:b/>
          <w:snapToGrid w:val="0"/>
          <w:sz w:val="22"/>
          <w:szCs w:val="20"/>
        </w:rPr>
        <w:t>Benefits/harms</w:t>
      </w:r>
      <w:bookmarkEnd w:id="10"/>
    </w:p>
    <w:p w:rsidR="00CE2C77" w:rsidRPr="00CE2C77" w:rsidRDefault="00CE2C77" w:rsidP="00AD362F">
      <w:pPr>
        <w:contextualSpacing/>
        <w:jc w:val="both"/>
        <w:rPr>
          <w:rFonts w:ascii="Arial" w:hAnsi="Arial" w:cs="Arial"/>
          <w:snapToGrid w:val="0"/>
          <w:sz w:val="22"/>
          <w:szCs w:val="22"/>
        </w:rPr>
      </w:pPr>
    </w:p>
    <w:p w:rsidR="00CE2C77" w:rsidRPr="00CE2C77" w:rsidRDefault="00CE2C77" w:rsidP="00AD362F">
      <w:pPr>
        <w:numPr>
          <w:ilvl w:val="1"/>
          <w:numId w:val="3"/>
        </w:numPr>
        <w:contextualSpacing/>
        <w:jc w:val="both"/>
        <w:rPr>
          <w:rFonts w:ascii="Arial" w:hAnsi="Arial" w:cs="Arial"/>
          <w:snapToGrid w:val="0"/>
          <w:sz w:val="22"/>
          <w:szCs w:val="22"/>
        </w:rPr>
      </w:pPr>
      <w:r w:rsidRPr="00CE2C77">
        <w:rPr>
          <w:rFonts w:ascii="Arial" w:hAnsi="Arial" w:cs="Arial"/>
          <w:snapToGrid w:val="0"/>
          <w:sz w:val="22"/>
          <w:szCs w:val="22"/>
        </w:rPr>
        <w:t xml:space="preserve">A summary of the comparative benefits and harms for 13vPCV versus 23vPPV is presented in the </w:t>
      </w:r>
      <w:r w:rsidR="00586714">
        <w:rPr>
          <w:rFonts w:ascii="Arial" w:hAnsi="Arial" w:cs="Arial"/>
          <w:snapToGrid w:val="0"/>
          <w:sz w:val="22"/>
          <w:szCs w:val="22"/>
        </w:rPr>
        <w:t xml:space="preserve">following </w:t>
      </w:r>
      <w:r w:rsidRPr="00CE2C77">
        <w:rPr>
          <w:rFonts w:ascii="Arial" w:hAnsi="Arial" w:cs="Arial"/>
          <w:snapToGrid w:val="0"/>
          <w:sz w:val="22"/>
          <w:szCs w:val="22"/>
        </w:rPr>
        <w:t>table</w:t>
      </w:r>
      <w:r w:rsidRPr="00A15171">
        <w:rPr>
          <w:rFonts w:ascii="Arial" w:hAnsi="Arial" w:cs="Arial"/>
          <w:snapToGrid w:val="0"/>
          <w:sz w:val="22"/>
          <w:szCs w:val="22"/>
        </w:rPr>
        <w:t xml:space="preserve">. </w:t>
      </w:r>
      <w:r w:rsidRPr="00A15171">
        <w:rPr>
          <w:rFonts w:ascii="Arial" w:hAnsi="Arial" w:cs="Arial"/>
          <w:snapToGrid w:val="0"/>
          <w:sz w:val="22"/>
          <w:szCs w:val="20"/>
        </w:rPr>
        <w:t>The sample size for CAPiTA was substantially larger than for the 23vPPV trials, even when pooled. The 23vPPV trials aimed to assess the impact of the vaccine on broad outcomes (e.g. all-cause pneumonia) in high risk patients. With the broad outcomes the effect of the vaccine is diluted as the vaccine is effective against only a proportion of the events (based on the placebo arm of CAPiTA, only 13% (106/787) of pneumonia cases were due to VT pneumonia). The</w:t>
      </w:r>
      <w:r w:rsidRPr="00CE2C77">
        <w:rPr>
          <w:rFonts w:ascii="Arial" w:hAnsi="Arial" w:cs="Arial"/>
          <w:i/>
          <w:snapToGrid w:val="0"/>
          <w:sz w:val="22"/>
          <w:szCs w:val="20"/>
        </w:rPr>
        <w:t xml:space="preserve"> </w:t>
      </w:r>
      <w:r w:rsidRPr="00A15171">
        <w:rPr>
          <w:rFonts w:ascii="Arial" w:hAnsi="Arial" w:cs="Arial"/>
          <w:snapToGrid w:val="0"/>
          <w:sz w:val="22"/>
          <w:szCs w:val="20"/>
        </w:rPr>
        <w:t xml:space="preserve">23vPPV trials were substantially underpowered to detect differences in specific outcomes for which the vaccine would be expected to be effective against. On the basis of a statistically significant reduction in pneumonia outcomes not being observed in the 23vPPV randomised trials, it is assumed in the economic evaluation that 23vPPV is ineffective against VT non-bacteraemic pneumonia. Assuming a zero </w:t>
      </w:r>
      <w:r w:rsidRPr="00517B6E">
        <w:rPr>
          <w:rFonts w:ascii="Arial" w:hAnsi="Arial" w:cs="Arial"/>
          <w:snapToGrid w:val="0"/>
          <w:sz w:val="22"/>
          <w:szCs w:val="20"/>
        </w:rPr>
        <w:t>protective benefit with 23vPPV results in the incremental benefit with 13vPCV being maximised.</w:t>
      </w:r>
      <w:r w:rsidR="00A12380" w:rsidRPr="00517B6E">
        <w:t xml:space="preserve"> </w:t>
      </w:r>
      <w:r w:rsidR="000A421A" w:rsidRPr="00517B6E">
        <w:rPr>
          <w:rFonts w:ascii="Arial" w:hAnsi="Arial" w:cs="Arial"/>
          <w:snapToGrid w:val="0"/>
          <w:sz w:val="22"/>
          <w:szCs w:val="20"/>
        </w:rPr>
        <w:t>T</w:t>
      </w:r>
      <w:r w:rsidR="00A12380" w:rsidRPr="00517B6E">
        <w:rPr>
          <w:rFonts w:ascii="Arial" w:hAnsi="Arial" w:cs="Arial"/>
          <w:snapToGrid w:val="0"/>
          <w:sz w:val="22"/>
          <w:szCs w:val="20"/>
        </w:rPr>
        <w:t>he ESC noted that the</w:t>
      </w:r>
      <w:r w:rsidR="001C1415" w:rsidRPr="00517B6E">
        <w:rPr>
          <w:rFonts w:ascii="Arial" w:hAnsi="Arial" w:cs="Arial"/>
          <w:snapToGrid w:val="0"/>
          <w:sz w:val="22"/>
          <w:szCs w:val="20"/>
        </w:rPr>
        <w:t xml:space="preserve"> </w:t>
      </w:r>
      <w:r w:rsidR="00A12380" w:rsidRPr="00517B6E">
        <w:rPr>
          <w:rFonts w:ascii="Arial" w:hAnsi="Arial" w:cs="Arial"/>
          <w:snapToGrid w:val="0"/>
          <w:sz w:val="22"/>
          <w:szCs w:val="20"/>
        </w:rPr>
        <w:t xml:space="preserve">ATAGI </w:t>
      </w:r>
      <w:r w:rsidR="006E717C">
        <w:rPr>
          <w:rFonts w:ascii="Arial" w:hAnsi="Arial" w:cs="Arial"/>
          <w:snapToGrid w:val="0"/>
          <w:sz w:val="22"/>
          <w:szCs w:val="20"/>
        </w:rPr>
        <w:t>p</w:t>
      </w:r>
      <w:r w:rsidR="00586714" w:rsidRPr="00517B6E">
        <w:rPr>
          <w:rFonts w:ascii="Arial" w:hAnsi="Arial" w:cs="Arial"/>
          <w:snapToGrid w:val="0"/>
          <w:sz w:val="22"/>
          <w:szCs w:val="20"/>
        </w:rPr>
        <w:t>re</w:t>
      </w:r>
      <w:r w:rsidR="00A12380" w:rsidRPr="00517B6E">
        <w:rPr>
          <w:rFonts w:ascii="Arial" w:hAnsi="Arial" w:cs="Arial"/>
          <w:snapToGrid w:val="0"/>
          <w:sz w:val="22"/>
          <w:szCs w:val="20"/>
        </w:rPr>
        <w:t>-</w:t>
      </w:r>
      <w:r w:rsidR="00586714" w:rsidRPr="00517B6E">
        <w:rPr>
          <w:rFonts w:ascii="Arial" w:hAnsi="Arial" w:cs="Arial"/>
          <w:snapToGrid w:val="0"/>
          <w:sz w:val="22"/>
          <w:szCs w:val="20"/>
        </w:rPr>
        <w:t xml:space="preserve">PBAC </w:t>
      </w:r>
      <w:r w:rsidR="006E717C">
        <w:rPr>
          <w:rFonts w:ascii="Arial" w:hAnsi="Arial" w:cs="Arial"/>
          <w:snapToGrid w:val="0"/>
          <w:sz w:val="22"/>
          <w:szCs w:val="20"/>
        </w:rPr>
        <w:t>s</w:t>
      </w:r>
      <w:r w:rsidR="00A12380" w:rsidRPr="00517B6E">
        <w:rPr>
          <w:rFonts w:ascii="Arial" w:hAnsi="Arial" w:cs="Arial"/>
          <w:snapToGrid w:val="0"/>
          <w:sz w:val="22"/>
          <w:szCs w:val="20"/>
        </w:rPr>
        <w:t xml:space="preserve">ubmission advice stated that ‘...ATAGI accepts the sponsor’s proposal of using zero as the base case for vaccine effectiveness of 23vPPV against CAP due to </w:t>
      </w:r>
      <w:r w:rsidR="00E67B2F" w:rsidRPr="00517B6E">
        <w:rPr>
          <w:rFonts w:ascii="Arial" w:hAnsi="Arial" w:cs="Arial"/>
          <w:snapToGrid w:val="0"/>
          <w:sz w:val="22"/>
          <w:szCs w:val="20"/>
        </w:rPr>
        <w:t>pneumococci</w:t>
      </w:r>
      <w:r w:rsidR="00A12380" w:rsidRPr="00517B6E">
        <w:rPr>
          <w:rFonts w:ascii="Arial" w:hAnsi="Arial" w:cs="Arial"/>
          <w:snapToGrid w:val="0"/>
          <w:sz w:val="22"/>
          <w:szCs w:val="20"/>
        </w:rPr>
        <w:t>.’</w:t>
      </w:r>
    </w:p>
    <w:p w:rsidR="00CE2C77" w:rsidRPr="00CE2C77" w:rsidRDefault="00CE2C77" w:rsidP="00AD362F">
      <w:pPr>
        <w:jc w:val="both"/>
        <w:rPr>
          <w:rFonts w:ascii="Arial" w:hAnsi="Arial" w:cs="Arial"/>
          <w:snapToGrid w:val="0"/>
          <w:sz w:val="22"/>
          <w:szCs w:val="20"/>
        </w:rPr>
      </w:pPr>
    </w:p>
    <w:p w:rsidR="00CE2C77" w:rsidRPr="00CE2C77" w:rsidRDefault="00CE2C77" w:rsidP="00AD362F">
      <w:pPr>
        <w:keepNext/>
        <w:ind w:firstLine="720"/>
        <w:rPr>
          <w:rFonts w:ascii="Arial Narrow" w:hAnsi="Arial Narrow" w:cs="Arial"/>
          <w:b/>
          <w:snapToGrid w:val="0"/>
          <w:sz w:val="20"/>
          <w:szCs w:val="16"/>
        </w:rPr>
      </w:pPr>
      <w:r w:rsidRPr="00CE2C77">
        <w:rPr>
          <w:rFonts w:ascii="Arial Narrow" w:hAnsi="Arial Narrow" w:cs="Arial"/>
          <w:b/>
          <w:snapToGrid w:val="0"/>
          <w:sz w:val="20"/>
          <w:szCs w:val="16"/>
        </w:rPr>
        <w:lastRenderedPageBreak/>
        <w:t xml:space="preserve">Summary of comparative benefits and harms for 13vPCV and 23vPPV </w:t>
      </w:r>
    </w:p>
    <w:tbl>
      <w:tblPr>
        <w:tblStyle w:val="TableGrid"/>
        <w:tblW w:w="4700" w:type="pct"/>
        <w:tblInd w:w="705" w:type="dxa"/>
        <w:tblLayout w:type="fixed"/>
        <w:tblCellMar>
          <w:left w:w="28" w:type="dxa"/>
          <w:right w:w="28" w:type="dxa"/>
        </w:tblCellMar>
        <w:tblLook w:val="04A0" w:firstRow="1" w:lastRow="0" w:firstColumn="1" w:lastColumn="0" w:noHBand="0" w:noVBand="1"/>
        <w:tblCaption w:val="Comparative benefits and harms"/>
      </w:tblPr>
      <w:tblGrid>
        <w:gridCol w:w="1157"/>
        <w:gridCol w:w="709"/>
        <w:gridCol w:w="709"/>
        <w:gridCol w:w="714"/>
        <w:gridCol w:w="1279"/>
        <w:gridCol w:w="714"/>
        <w:gridCol w:w="709"/>
        <w:gridCol w:w="821"/>
        <w:gridCol w:w="14"/>
        <w:gridCol w:w="15"/>
        <w:gridCol w:w="1697"/>
      </w:tblGrid>
      <w:tr w:rsidR="00CE2C77" w:rsidRPr="00CE2C77" w:rsidTr="00CE2C77">
        <w:trPr>
          <w:trHeight w:val="150"/>
        </w:trPr>
        <w:tc>
          <w:tcPr>
            <w:tcW w:w="678" w:type="pct"/>
            <w:vMerge w:val="restart"/>
            <w:shd w:val="clear" w:color="auto" w:fill="auto"/>
            <w:vAlign w:val="center"/>
          </w:tcPr>
          <w:p w:rsidR="00CE2C77" w:rsidRPr="00CE2C77" w:rsidRDefault="00CE2C77" w:rsidP="00AD362F">
            <w:pPr>
              <w:keepNext/>
              <w:jc w:val="both"/>
              <w:rPr>
                <w:rFonts w:ascii="Arial Narrow" w:hAnsi="Arial Narrow" w:cs="Arial"/>
                <w:b/>
                <w:snapToGrid w:val="0"/>
                <w:color w:val="000000"/>
                <w:sz w:val="20"/>
                <w:szCs w:val="18"/>
              </w:rPr>
            </w:pPr>
            <w:r w:rsidRPr="00CE2C77">
              <w:rPr>
                <w:rFonts w:ascii="Arial Narrow" w:hAnsi="Arial Narrow" w:cs="Arial"/>
                <w:b/>
                <w:snapToGrid w:val="0"/>
                <w:color w:val="000000"/>
                <w:sz w:val="20"/>
                <w:szCs w:val="18"/>
              </w:rPr>
              <w:t>Trial</w:t>
            </w:r>
          </w:p>
        </w:tc>
        <w:tc>
          <w:tcPr>
            <w:tcW w:w="415" w:type="pct"/>
            <w:vMerge w:val="restart"/>
            <w:vAlign w:val="center"/>
          </w:tcPr>
          <w:p w:rsidR="00CE2C77" w:rsidRPr="00CE2C77" w:rsidRDefault="00CE2C77" w:rsidP="00AD362F">
            <w:pPr>
              <w:keepNext/>
              <w:jc w:val="center"/>
              <w:rPr>
                <w:rFonts w:ascii="Arial Narrow" w:hAnsi="Arial Narrow" w:cs="Arial"/>
                <w:b/>
                <w:snapToGrid w:val="0"/>
                <w:color w:val="000000"/>
                <w:sz w:val="20"/>
                <w:szCs w:val="18"/>
              </w:rPr>
            </w:pPr>
            <w:r w:rsidRPr="00CE2C77">
              <w:rPr>
                <w:rFonts w:ascii="Arial Narrow" w:hAnsi="Arial Narrow" w:cs="Arial"/>
                <w:b/>
                <w:snapToGrid w:val="0"/>
                <w:color w:val="000000"/>
                <w:sz w:val="20"/>
                <w:szCs w:val="18"/>
              </w:rPr>
              <w:t>13vPCV</w:t>
            </w:r>
          </w:p>
        </w:tc>
        <w:tc>
          <w:tcPr>
            <w:tcW w:w="833" w:type="pct"/>
            <w:gridSpan w:val="2"/>
            <w:vMerge w:val="restart"/>
            <w:vAlign w:val="center"/>
          </w:tcPr>
          <w:p w:rsidR="00CE2C77" w:rsidRPr="00CE2C77" w:rsidRDefault="00CE2C77" w:rsidP="00AD362F">
            <w:pPr>
              <w:keepNext/>
              <w:jc w:val="center"/>
              <w:rPr>
                <w:rFonts w:ascii="Arial Narrow" w:hAnsi="Arial Narrow" w:cs="Arial"/>
                <w:b/>
                <w:snapToGrid w:val="0"/>
                <w:color w:val="000000"/>
                <w:sz w:val="20"/>
                <w:szCs w:val="18"/>
              </w:rPr>
            </w:pPr>
            <w:r w:rsidRPr="00CE2C77">
              <w:rPr>
                <w:rFonts w:ascii="Arial Narrow" w:hAnsi="Arial Narrow" w:cs="Arial"/>
                <w:b/>
                <w:snapToGrid w:val="0"/>
                <w:color w:val="000000"/>
                <w:sz w:val="20"/>
                <w:szCs w:val="18"/>
              </w:rPr>
              <w:t>23vPPV/PBO</w:t>
            </w:r>
          </w:p>
        </w:tc>
        <w:tc>
          <w:tcPr>
            <w:tcW w:w="749" w:type="pct"/>
            <w:vMerge w:val="restart"/>
            <w:vAlign w:val="center"/>
          </w:tcPr>
          <w:p w:rsidR="00CE2C77" w:rsidRPr="00CE2C77" w:rsidRDefault="00CE2C77" w:rsidP="00AD362F">
            <w:pPr>
              <w:keepNext/>
              <w:jc w:val="center"/>
              <w:rPr>
                <w:rFonts w:ascii="Arial Narrow" w:hAnsi="Arial Narrow" w:cs="Arial"/>
                <w:b/>
                <w:snapToGrid w:val="0"/>
                <w:color w:val="000000"/>
                <w:sz w:val="20"/>
                <w:szCs w:val="18"/>
              </w:rPr>
            </w:pPr>
            <w:r w:rsidRPr="00CE2C77">
              <w:rPr>
                <w:rFonts w:ascii="Arial Narrow" w:hAnsi="Arial Narrow" w:cs="Arial"/>
                <w:b/>
                <w:snapToGrid w:val="0"/>
                <w:color w:val="000000"/>
                <w:sz w:val="20"/>
                <w:szCs w:val="18"/>
              </w:rPr>
              <w:t>RR</w:t>
            </w:r>
          </w:p>
          <w:p w:rsidR="00CE2C77" w:rsidRPr="00CE2C77" w:rsidRDefault="00CE2C77" w:rsidP="00AD362F">
            <w:pPr>
              <w:keepNext/>
              <w:jc w:val="center"/>
              <w:rPr>
                <w:rFonts w:ascii="Arial Narrow" w:hAnsi="Arial Narrow" w:cs="Arial"/>
                <w:b/>
                <w:snapToGrid w:val="0"/>
                <w:color w:val="000000"/>
                <w:sz w:val="20"/>
                <w:szCs w:val="18"/>
              </w:rPr>
            </w:pPr>
            <w:r w:rsidRPr="00CE2C77">
              <w:rPr>
                <w:rFonts w:ascii="Arial Narrow" w:hAnsi="Arial Narrow" w:cs="Arial"/>
                <w:b/>
                <w:snapToGrid w:val="0"/>
                <w:color w:val="000000"/>
                <w:sz w:val="20"/>
                <w:szCs w:val="18"/>
              </w:rPr>
              <w:t>(95% CI)</w:t>
            </w:r>
          </w:p>
        </w:tc>
        <w:tc>
          <w:tcPr>
            <w:tcW w:w="1331" w:type="pct"/>
            <w:gridSpan w:val="5"/>
            <w:vAlign w:val="center"/>
          </w:tcPr>
          <w:p w:rsidR="00CE2C77" w:rsidRPr="00CE2C77" w:rsidRDefault="00CE2C77" w:rsidP="00AD362F">
            <w:pPr>
              <w:keepNext/>
              <w:jc w:val="center"/>
              <w:rPr>
                <w:rFonts w:ascii="Arial Narrow" w:hAnsi="Arial Narrow" w:cs="Arial"/>
                <w:b/>
                <w:snapToGrid w:val="0"/>
                <w:color w:val="000000"/>
                <w:sz w:val="20"/>
                <w:szCs w:val="18"/>
              </w:rPr>
            </w:pPr>
            <w:r w:rsidRPr="00CE2C77">
              <w:rPr>
                <w:rFonts w:ascii="Arial Narrow" w:hAnsi="Arial Narrow" w:cs="Arial"/>
                <w:b/>
                <w:snapToGrid w:val="0"/>
                <w:color w:val="000000"/>
                <w:sz w:val="20"/>
                <w:szCs w:val="18"/>
              </w:rPr>
              <w:t xml:space="preserve">Event rate/100 patients* </w:t>
            </w:r>
          </w:p>
        </w:tc>
        <w:tc>
          <w:tcPr>
            <w:tcW w:w="994" w:type="pct"/>
            <w:vMerge w:val="restart"/>
            <w:vAlign w:val="center"/>
          </w:tcPr>
          <w:p w:rsidR="00CE2C77" w:rsidRPr="00CE2C77" w:rsidRDefault="00CE2C77" w:rsidP="00AD362F">
            <w:pPr>
              <w:keepNext/>
              <w:jc w:val="center"/>
              <w:rPr>
                <w:rFonts w:ascii="Arial Narrow" w:hAnsi="Arial Narrow" w:cs="Arial"/>
                <w:b/>
                <w:snapToGrid w:val="0"/>
                <w:color w:val="000000"/>
                <w:sz w:val="20"/>
                <w:szCs w:val="18"/>
              </w:rPr>
            </w:pPr>
            <w:r w:rsidRPr="00CE2C77">
              <w:rPr>
                <w:rFonts w:ascii="Arial Narrow" w:hAnsi="Arial Narrow" w:cs="Arial"/>
                <w:b/>
                <w:snapToGrid w:val="0"/>
                <w:color w:val="000000"/>
                <w:sz w:val="20"/>
                <w:szCs w:val="18"/>
              </w:rPr>
              <w:t>RD</w:t>
            </w:r>
          </w:p>
          <w:p w:rsidR="00CE2C77" w:rsidRPr="00CE2C77" w:rsidRDefault="00CE2C77" w:rsidP="00AD362F">
            <w:pPr>
              <w:keepNext/>
              <w:jc w:val="center"/>
              <w:rPr>
                <w:rFonts w:ascii="Arial Narrow" w:hAnsi="Arial Narrow" w:cs="Arial"/>
                <w:b/>
                <w:snapToGrid w:val="0"/>
                <w:color w:val="000000"/>
                <w:sz w:val="20"/>
                <w:szCs w:val="18"/>
              </w:rPr>
            </w:pPr>
            <w:r w:rsidRPr="00CE2C77">
              <w:rPr>
                <w:rFonts w:ascii="Arial Narrow" w:hAnsi="Arial Narrow" w:cs="Arial"/>
                <w:b/>
                <w:snapToGrid w:val="0"/>
                <w:color w:val="000000"/>
                <w:sz w:val="20"/>
                <w:szCs w:val="18"/>
              </w:rPr>
              <w:t>(95% CI)</w:t>
            </w:r>
          </w:p>
        </w:tc>
      </w:tr>
      <w:tr w:rsidR="00CE2C77" w:rsidRPr="00CE2C77" w:rsidTr="00CE2C77">
        <w:trPr>
          <w:trHeight w:val="146"/>
        </w:trPr>
        <w:tc>
          <w:tcPr>
            <w:tcW w:w="678" w:type="pct"/>
            <w:vMerge/>
            <w:shd w:val="clear" w:color="auto" w:fill="auto"/>
            <w:vAlign w:val="center"/>
          </w:tcPr>
          <w:p w:rsidR="00CE2C77" w:rsidRPr="00CE2C77" w:rsidRDefault="00CE2C77" w:rsidP="00AD362F">
            <w:pPr>
              <w:keepNext/>
              <w:jc w:val="both"/>
              <w:rPr>
                <w:rFonts w:ascii="Arial Narrow" w:hAnsi="Arial Narrow" w:cs="Arial"/>
                <w:b/>
                <w:snapToGrid w:val="0"/>
                <w:color w:val="000000"/>
                <w:sz w:val="20"/>
                <w:szCs w:val="18"/>
              </w:rPr>
            </w:pPr>
          </w:p>
        </w:tc>
        <w:tc>
          <w:tcPr>
            <w:tcW w:w="415" w:type="pct"/>
            <w:vMerge/>
            <w:vAlign w:val="center"/>
          </w:tcPr>
          <w:p w:rsidR="00CE2C77" w:rsidRPr="00CE2C77" w:rsidRDefault="00CE2C77" w:rsidP="00AD362F">
            <w:pPr>
              <w:keepNext/>
              <w:jc w:val="center"/>
              <w:rPr>
                <w:rFonts w:ascii="Arial Narrow" w:hAnsi="Arial Narrow" w:cs="Arial"/>
                <w:b/>
                <w:snapToGrid w:val="0"/>
                <w:color w:val="000000"/>
                <w:sz w:val="20"/>
                <w:szCs w:val="18"/>
              </w:rPr>
            </w:pPr>
          </w:p>
        </w:tc>
        <w:tc>
          <w:tcPr>
            <w:tcW w:w="833" w:type="pct"/>
            <w:gridSpan w:val="2"/>
            <w:vMerge/>
            <w:vAlign w:val="center"/>
          </w:tcPr>
          <w:p w:rsidR="00CE2C77" w:rsidRPr="00CE2C77" w:rsidRDefault="00CE2C77" w:rsidP="00AD362F">
            <w:pPr>
              <w:keepNext/>
              <w:jc w:val="center"/>
              <w:rPr>
                <w:rFonts w:ascii="Arial Narrow" w:hAnsi="Arial Narrow" w:cs="Arial"/>
                <w:b/>
                <w:snapToGrid w:val="0"/>
                <w:color w:val="000000"/>
                <w:sz w:val="20"/>
                <w:szCs w:val="18"/>
              </w:rPr>
            </w:pPr>
          </w:p>
        </w:tc>
        <w:tc>
          <w:tcPr>
            <w:tcW w:w="749" w:type="pct"/>
            <w:vMerge/>
            <w:vAlign w:val="center"/>
          </w:tcPr>
          <w:p w:rsidR="00CE2C77" w:rsidRPr="00CE2C77" w:rsidRDefault="00CE2C77" w:rsidP="00AD362F">
            <w:pPr>
              <w:keepNext/>
              <w:jc w:val="center"/>
              <w:rPr>
                <w:rFonts w:ascii="Arial Narrow" w:hAnsi="Arial Narrow" w:cs="Arial"/>
                <w:b/>
                <w:snapToGrid w:val="0"/>
                <w:color w:val="000000"/>
                <w:sz w:val="20"/>
                <w:szCs w:val="18"/>
              </w:rPr>
            </w:pPr>
          </w:p>
        </w:tc>
        <w:tc>
          <w:tcPr>
            <w:tcW w:w="418" w:type="pct"/>
            <w:vAlign w:val="center"/>
          </w:tcPr>
          <w:p w:rsidR="00CE2C77" w:rsidRPr="00CE2C77" w:rsidRDefault="00CE2C77" w:rsidP="00AD362F">
            <w:pPr>
              <w:keepNext/>
              <w:jc w:val="center"/>
              <w:rPr>
                <w:rFonts w:ascii="Arial Narrow" w:hAnsi="Arial Narrow" w:cs="Arial"/>
                <w:b/>
                <w:snapToGrid w:val="0"/>
                <w:color w:val="000000"/>
                <w:sz w:val="20"/>
                <w:szCs w:val="18"/>
              </w:rPr>
            </w:pPr>
            <w:r w:rsidRPr="00CE2C77">
              <w:rPr>
                <w:rFonts w:ascii="Arial Narrow" w:hAnsi="Arial Narrow" w:cs="Arial"/>
                <w:b/>
                <w:snapToGrid w:val="0"/>
                <w:color w:val="000000"/>
                <w:sz w:val="20"/>
                <w:szCs w:val="18"/>
              </w:rPr>
              <w:t>13vPCV</w:t>
            </w:r>
          </w:p>
        </w:tc>
        <w:tc>
          <w:tcPr>
            <w:tcW w:w="913" w:type="pct"/>
            <w:gridSpan w:val="4"/>
            <w:vAlign w:val="center"/>
          </w:tcPr>
          <w:p w:rsidR="00CE2C77" w:rsidRPr="00CE2C77" w:rsidRDefault="00CE2C77" w:rsidP="00AD362F">
            <w:pPr>
              <w:keepNext/>
              <w:jc w:val="center"/>
              <w:rPr>
                <w:rFonts w:ascii="Arial Narrow" w:hAnsi="Arial Narrow" w:cs="Arial"/>
                <w:b/>
                <w:snapToGrid w:val="0"/>
                <w:color w:val="000000"/>
                <w:sz w:val="20"/>
                <w:szCs w:val="18"/>
              </w:rPr>
            </w:pPr>
            <w:r w:rsidRPr="00CE2C77">
              <w:rPr>
                <w:rFonts w:ascii="Arial Narrow" w:hAnsi="Arial Narrow" w:cs="Arial"/>
                <w:b/>
                <w:snapToGrid w:val="0"/>
                <w:color w:val="000000"/>
                <w:sz w:val="20"/>
                <w:szCs w:val="18"/>
              </w:rPr>
              <w:t>23vPPV/PBO</w:t>
            </w:r>
          </w:p>
        </w:tc>
        <w:tc>
          <w:tcPr>
            <w:tcW w:w="994" w:type="pct"/>
            <w:vMerge/>
            <w:vAlign w:val="center"/>
          </w:tcPr>
          <w:p w:rsidR="00CE2C77" w:rsidRPr="00CE2C77" w:rsidRDefault="00CE2C77" w:rsidP="00AD362F">
            <w:pPr>
              <w:keepNext/>
              <w:jc w:val="center"/>
              <w:rPr>
                <w:rFonts w:ascii="Arial Narrow" w:hAnsi="Arial Narrow" w:cs="Arial"/>
                <w:b/>
                <w:snapToGrid w:val="0"/>
                <w:color w:val="000000"/>
                <w:sz w:val="20"/>
                <w:szCs w:val="18"/>
              </w:rPr>
            </w:pPr>
          </w:p>
        </w:tc>
      </w:tr>
      <w:tr w:rsidR="00CE2C77" w:rsidRPr="00CE2C77" w:rsidTr="00CE2C77">
        <w:tc>
          <w:tcPr>
            <w:tcW w:w="5000" w:type="pct"/>
            <w:gridSpan w:val="11"/>
            <w:shd w:val="clear" w:color="auto" w:fill="auto"/>
            <w:vAlign w:val="center"/>
          </w:tcPr>
          <w:p w:rsidR="00CE2C77" w:rsidRPr="00CE2C77" w:rsidRDefault="00CE2C77" w:rsidP="00AD362F">
            <w:pPr>
              <w:keepNext/>
              <w:jc w:val="both"/>
              <w:rPr>
                <w:rFonts w:ascii="Arial Narrow" w:hAnsi="Arial Narrow" w:cs="Arial"/>
                <w:b/>
                <w:snapToGrid w:val="0"/>
                <w:color w:val="000000"/>
                <w:sz w:val="20"/>
                <w:szCs w:val="18"/>
              </w:rPr>
            </w:pPr>
            <w:r w:rsidRPr="00CE2C77">
              <w:rPr>
                <w:rFonts w:ascii="Arial Narrow" w:hAnsi="Arial Narrow" w:cs="Arial"/>
                <w:b/>
                <w:snapToGrid w:val="0"/>
                <w:color w:val="000000"/>
                <w:sz w:val="20"/>
                <w:szCs w:val="18"/>
              </w:rPr>
              <w:t>Benefits</w:t>
            </w:r>
          </w:p>
        </w:tc>
      </w:tr>
      <w:tr w:rsidR="00CE2C77" w:rsidRPr="00CE2C77" w:rsidTr="00CE2C77">
        <w:tc>
          <w:tcPr>
            <w:tcW w:w="5000" w:type="pct"/>
            <w:gridSpan w:val="11"/>
            <w:tcBorders>
              <w:top w:val="double" w:sz="4" w:space="0" w:color="auto"/>
            </w:tcBorders>
            <w:shd w:val="clear" w:color="auto" w:fill="auto"/>
            <w:vAlign w:val="center"/>
          </w:tcPr>
          <w:p w:rsidR="00CE2C77" w:rsidRPr="00CE2C77" w:rsidRDefault="00CE2C77" w:rsidP="00AD362F">
            <w:pPr>
              <w:keepNext/>
              <w:jc w:val="both"/>
              <w:rPr>
                <w:rFonts w:ascii="Arial Narrow" w:hAnsi="Arial Narrow" w:cs="Arial"/>
                <w:b/>
                <w:snapToGrid w:val="0"/>
                <w:color w:val="000000"/>
                <w:sz w:val="20"/>
                <w:szCs w:val="18"/>
              </w:rPr>
            </w:pPr>
            <w:r w:rsidRPr="00CE2C77">
              <w:rPr>
                <w:rFonts w:ascii="Arial Narrow" w:hAnsi="Arial Narrow" w:cs="Arial"/>
                <w:b/>
                <w:snapToGrid w:val="0"/>
                <w:color w:val="000000"/>
                <w:sz w:val="20"/>
                <w:szCs w:val="18"/>
              </w:rPr>
              <w:t>VT pneumococcal pneumonia</w:t>
            </w:r>
          </w:p>
        </w:tc>
      </w:tr>
      <w:tr w:rsidR="00CE2C77" w:rsidRPr="00CE2C77" w:rsidTr="00CE2C77">
        <w:trPr>
          <w:trHeight w:val="105"/>
        </w:trPr>
        <w:tc>
          <w:tcPr>
            <w:tcW w:w="678" w:type="pct"/>
            <w:vMerge w:val="restart"/>
            <w:shd w:val="clear" w:color="auto" w:fill="auto"/>
            <w:vAlign w:val="center"/>
          </w:tcPr>
          <w:p w:rsidR="00CE2C77" w:rsidRPr="00CE2C77" w:rsidRDefault="00CE2C77" w:rsidP="00AD362F">
            <w:pPr>
              <w:keepNext/>
              <w:jc w:val="both"/>
              <w:rPr>
                <w:rFonts w:ascii="Arial Narrow" w:hAnsi="Arial Narrow" w:cs="Arial"/>
                <w:snapToGrid w:val="0"/>
                <w:color w:val="000000"/>
                <w:sz w:val="20"/>
                <w:szCs w:val="18"/>
              </w:rPr>
            </w:pPr>
          </w:p>
        </w:tc>
        <w:tc>
          <w:tcPr>
            <w:tcW w:w="415" w:type="pct"/>
            <w:vMerge w:val="restart"/>
            <w:vAlign w:val="center"/>
          </w:tcPr>
          <w:p w:rsidR="00CE2C77" w:rsidRPr="00CE2C77" w:rsidRDefault="00CE2C77" w:rsidP="00AD362F">
            <w:pPr>
              <w:keepNext/>
              <w:jc w:val="center"/>
              <w:rPr>
                <w:rFonts w:ascii="Arial Narrow" w:hAnsi="Arial Narrow" w:cs="Arial"/>
                <w:b/>
                <w:snapToGrid w:val="0"/>
                <w:color w:val="000000"/>
                <w:sz w:val="20"/>
                <w:szCs w:val="18"/>
              </w:rPr>
            </w:pPr>
            <w:r w:rsidRPr="00CE2C77">
              <w:rPr>
                <w:rFonts w:ascii="Arial Narrow" w:hAnsi="Arial Narrow" w:cs="Arial"/>
                <w:b/>
                <w:snapToGrid w:val="0"/>
                <w:color w:val="000000"/>
                <w:sz w:val="20"/>
                <w:szCs w:val="18"/>
              </w:rPr>
              <w:t>13vPCV</w:t>
            </w:r>
          </w:p>
        </w:tc>
        <w:tc>
          <w:tcPr>
            <w:tcW w:w="415" w:type="pct"/>
            <w:vMerge w:val="restart"/>
            <w:vAlign w:val="center"/>
          </w:tcPr>
          <w:p w:rsidR="00CE2C77" w:rsidRPr="00CE2C77" w:rsidRDefault="00CE2C77" w:rsidP="00AD362F">
            <w:pPr>
              <w:keepNext/>
              <w:jc w:val="center"/>
              <w:rPr>
                <w:rFonts w:ascii="Arial Narrow" w:hAnsi="Arial Narrow" w:cs="Arial"/>
                <w:b/>
                <w:snapToGrid w:val="0"/>
                <w:color w:val="000000"/>
                <w:sz w:val="20"/>
                <w:szCs w:val="18"/>
              </w:rPr>
            </w:pPr>
            <w:r w:rsidRPr="00CE2C77">
              <w:rPr>
                <w:rFonts w:ascii="Arial Narrow" w:hAnsi="Arial Narrow" w:cs="Arial"/>
                <w:b/>
                <w:snapToGrid w:val="0"/>
                <w:color w:val="000000"/>
                <w:sz w:val="20"/>
                <w:szCs w:val="18"/>
              </w:rPr>
              <w:t>PBO</w:t>
            </w:r>
            <w:r w:rsidRPr="00CE2C77">
              <w:rPr>
                <w:rFonts w:ascii="Arial Narrow" w:hAnsi="Arial Narrow" w:cs="Arial"/>
                <w:b/>
                <w:snapToGrid w:val="0"/>
                <w:color w:val="000000"/>
                <w:sz w:val="20"/>
                <w:szCs w:val="18"/>
                <w:vertAlign w:val="superscript"/>
              </w:rPr>
              <w:t>a</w:t>
            </w:r>
          </w:p>
        </w:tc>
        <w:tc>
          <w:tcPr>
            <w:tcW w:w="418" w:type="pct"/>
            <w:vMerge w:val="restart"/>
            <w:vAlign w:val="center"/>
          </w:tcPr>
          <w:p w:rsidR="00CE2C77" w:rsidRPr="00CE2C77" w:rsidRDefault="00CE2C77" w:rsidP="00AD362F">
            <w:pPr>
              <w:keepNext/>
              <w:jc w:val="center"/>
              <w:rPr>
                <w:rFonts w:ascii="Arial Narrow" w:hAnsi="Arial Narrow" w:cs="Arial"/>
                <w:b/>
                <w:snapToGrid w:val="0"/>
                <w:color w:val="000000"/>
                <w:sz w:val="20"/>
                <w:szCs w:val="18"/>
              </w:rPr>
            </w:pPr>
            <w:r w:rsidRPr="00CE2C77">
              <w:rPr>
                <w:rFonts w:ascii="Arial Narrow" w:hAnsi="Arial Narrow" w:cs="Arial"/>
                <w:b/>
                <w:snapToGrid w:val="0"/>
                <w:color w:val="000000"/>
                <w:sz w:val="20"/>
                <w:szCs w:val="18"/>
              </w:rPr>
              <w:t>23vPPV</w:t>
            </w:r>
          </w:p>
        </w:tc>
        <w:tc>
          <w:tcPr>
            <w:tcW w:w="749" w:type="pct"/>
            <w:vMerge w:val="restart"/>
            <w:vAlign w:val="center"/>
          </w:tcPr>
          <w:p w:rsidR="00CE2C77" w:rsidRPr="00CE2C77" w:rsidRDefault="00CE2C77" w:rsidP="00AD362F">
            <w:pPr>
              <w:keepNext/>
              <w:jc w:val="center"/>
              <w:rPr>
                <w:rFonts w:ascii="Arial Narrow" w:hAnsi="Arial Narrow" w:cs="Arial"/>
                <w:b/>
                <w:snapToGrid w:val="0"/>
                <w:color w:val="000000"/>
                <w:sz w:val="20"/>
                <w:szCs w:val="18"/>
              </w:rPr>
            </w:pPr>
            <w:r w:rsidRPr="00CE2C77">
              <w:rPr>
                <w:rFonts w:ascii="Arial Narrow" w:hAnsi="Arial Narrow" w:cs="Arial"/>
                <w:b/>
                <w:snapToGrid w:val="0"/>
                <w:color w:val="000000"/>
                <w:sz w:val="20"/>
                <w:szCs w:val="18"/>
              </w:rPr>
              <w:t>RR</w:t>
            </w:r>
          </w:p>
          <w:p w:rsidR="00CE2C77" w:rsidRPr="00CE2C77" w:rsidRDefault="00CE2C77" w:rsidP="00AD362F">
            <w:pPr>
              <w:keepNext/>
              <w:jc w:val="center"/>
              <w:rPr>
                <w:rFonts w:ascii="Arial Narrow" w:hAnsi="Arial Narrow" w:cs="Arial"/>
                <w:snapToGrid w:val="0"/>
                <w:color w:val="000000"/>
                <w:sz w:val="20"/>
                <w:szCs w:val="18"/>
              </w:rPr>
            </w:pPr>
            <w:r w:rsidRPr="00CE2C77">
              <w:rPr>
                <w:rFonts w:ascii="Arial Narrow" w:hAnsi="Arial Narrow" w:cs="Arial"/>
                <w:b/>
                <w:snapToGrid w:val="0"/>
                <w:color w:val="000000"/>
                <w:sz w:val="20"/>
                <w:szCs w:val="18"/>
              </w:rPr>
              <w:t>(95% CI)</w:t>
            </w:r>
          </w:p>
        </w:tc>
        <w:tc>
          <w:tcPr>
            <w:tcW w:w="1331" w:type="pct"/>
            <w:gridSpan w:val="5"/>
            <w:vAlign w:val="center"/>
          </w:tcPr>
          <w:p w:rsidR="00CE2C77" w:rsidRPr="00CE2C77" w:rsidRDefault="00CE2C77" w:rsidP="00AD362F">
            <w:pPr>
              <w:keepNext/>
              <w:jc w:val="center"/>
              <w:rPr>
                <w:rFonts w:ascii="Arial Narrow" w:hAnsi="Arial Narrow" w:cs="Arial"/>
                <w:b/>
                <w:snapToGrid w:val="0"/>
                <w:color w:val="000000"/>
                <w:sz w:val="20"/>
                <w:szCs w:val="18"/>
              </w:rPr>
            </w:pPr>
            <w:r w:rsidRPr="00CE2C77">
              <w:rPr>
                <w:rFonts w:ascii="Arial Narrow" w:hAnsi="Arial Narrow" w:cs="Arial"/>
                <w:b/>
                <w:snapToGrid w:val="0"/>
                <w:color w:val="000000"/>
                <w:sz w:val="20"/>
                <w:szCs w:val="18"/>
              </w:rPr>
              <w:t xml:space="preserve">Event rate/100 patients* </w:t>
            </w:r>
          </w:p>
        </w:tc>
        <w:tc>
          <w:tcPr>
            <w:tcW w:w="994" w:type="pct"/>
            <w:vMerge w:val="restart"/>
            <w:vAlign w:val="center"/>
          </w:tcPr>
          <w:p w:rsidR="00CE2C77" w:rsidRPr="00CE2C77" w:rsidRDefault="00CE2C77" w:rsidP="00AD362F">
            <w:pPr>
              <w:keepNext/>
              <w:jc w:val="center"/>
              <w:rPr>
                <w:rFonts w:ascii="Arial Narrow" w:hAnsi="Arial Narrow" w:cs="Arial"/>
                <w:b/>
                <w:snapToGrid w:val="0"/>
                <w:color w:val="000000"/>
                <w:sz w:val="20"/>
                <w:szCs w:val="18"/>
              </w:rPr>
            </w:pPr>
            <w:r w:rsidRPr="00CE2C77">
              <w:rPr>
                <w:rFonts w:ascii="Arial Narrow" w:hAnsi="Arial Narrow" w:cs="Arial"/>
                <w:b/>
                <w:snapToGrid w:val="0"/>
                <w:color w:val="000000"/>
                <w:sz w:val="20"/>
                <w:szCs w:val="18"/>
              </w:rPr>
              <w:t>RD</w:t>
            </w:r>
          </w:p>
          <w:p w:rsidR="00CE2C77" w:rsidRPr="00CE2C77" w:rsidRDefault="00CE2C77" w:rsidP="00AD362F">
            <w:pPr>
              <w:keepNext/>
              <w:jc w:val="center"/>
              <w:rPr>
                <w:rFonts w:ascii="Arial Narrow" w:hAnsi="Arial Narrow" w:cs="Arial"/>
                <w:snapToGrid w:val="0"/>
                <w:color w:val="000000"/>
                <w:sz w:val="20"/>
                <w:szCs w:val="18"/>
              </w:rPr>
            </w:pPr>
            <w:r w:rsidRPr="00CE2C77">
              <w:rPr>
                <w:rFonts w:ascii="Arial Narrow" w:hAnsi="Arial Narrow" w:cs="Arial"/>
                <w:b/>
                <w:snapToGrid w:val="0"/>
                <w:color w:val="000000"/>
                <w:sz w:val="20"/>
                <w:szCs w:val="18"/>
              </w:rPr>
              <w:t>(95% CI)</w:t>
            </w:r>
          </w:p>
        </w:tc>
      </w:tr>
      <w:tr w:rsidR="00CE2C77" w:rsidRPr="00CE2C77" w:rsidTr="00CE2C77">
        <w:trPr>
          <w:trHeight w:val="70"/>
        </w:trPr>
        <w:tc>
          <w:tcPr>
            <w:tcW w:w="678" w:type="pct"/>
            <w:vMerge/>
            <w:shd w:val="clear" w:color="auto" w:fill="auto"/>
            <w:vAlign w:val="center"/>
          </w:tcPr>
          <w:p w:rsidR="00CE2C77" w:rsidRPr="00CE2C77" w:rsidRDefault="00CE2C77" w:rsidP="00AD362F">
            <w:pPr>
              <w:keepNext/>
              <w:jc w:val="both"/>
              <w:rPr>
                <w:rFonts w:ascii="Arial Narrow" w:hAnsi="Arial Narrow" w:cs="Arial"/>
                <w:snapToGrid w:val="0"/>
                <w:color w:val="000000"/>
                <w:sz w:val="20"/>
                <w:szCs w:val="18"/>
              </w:rPr>
            </w:pPr>
          </w:p>
        </w:tc>
        <w:tc>
          <w:tcPr>
            <w:tcW w:w="415" w:type="pct"/>
            <w:vMerge/>
            <w:vAlign w:val="center"/>
          </w:tcPr>
          <w:p w:rsidR="00CE2C77" w:rsidRPr="00CE2C77" w:rsidRDefault="00CE2C77" w:rsidP="00AD362F">
            <w:pPr>
              <w:keepNext/>
              <w:jc w:val="center"/>
              <w:rPr>
                <w:rFonts w:ascii="Arial Narrow" w:hAnsi="Arial Narrow" w:cs="Arial"/>
                <w:b/>
                <w:snapToGrid w:val="0"/>
                <w:color w:val="000000"/>
                <w:sz w:val="20"/>
                <w:szCs w:val="18"/>
              </w:rPr>
            </w:pPr>
          </w:p>
        </w:tc>
        <w:tc>
          <w:tcPr>
            <w:tcW w:w="415" w:type="pct"/>
            <w:vMerge/>
            <w:vAlign w:val="center"/>
          </w:tcPr>
          <w:p w:rsidR="00CE2C77" w:rsidRPr="00CE2C77" w:rsidRDefault="00CE2C77" w:rsidP="00AD362F">
            <w:pPr>
              <w:keepNext/>
              <w:jc w:val="center"/>
              <w:rPr>
                <w:rFonts w:ascii="Arial Narrow" w:hAnsi="Arial Narrow" w:cs="Arial"/>
                <w:b/>
                <w:snapToGrid w:val="0"/>
                <w:color w:val="000000"/>
                <w:sz w:val="20"/>
                <w:szCs w:val="18"/>
              </w:rPr>
            </w:pPr>
          </w:p>
        </w:tc>
        <w:tc>
          <w:tcPr>
            <w:tcW w:w="418" w:type="pct"/>
            <w:vMerge/>
            <w:vAlign w:val="center"/>
          </w:tcPr>
          <w:p w:rsidR="00CE2C77" w:rsidRPr="00CE2C77" w:rsidRDefault="00CE2C77" w:rsidP="00AD362F">
            <w:pPr>
              <w:keepNext/>
              <w:jc w:val="center"/>
              <w:rPr>
                <w:rFonts w:ascii="Arial Narrow" w:hAnsi="Arial Narrow" w:cs="Arial"/>
                <w:b/>
                <w:snapToGrid w:val="0"/>
                <w:color w:val="000000"/>
                <w:sz w:val="20"/>
                <w:szCs w:val="18"/>
              </w:rPr>
            </w:pPr>
          </w:p>
        </w:tc>
        <w:tc>
          <w:tcPr>
            <w:tcW w:w="749" w:type="pct"/>
            <w:vMerge/>
            <w:vAlign w:val="center"/>
          </w:tcPr>
          <w:p w:rsidR="00CE2C77" w:rsidRPr="00CE2C77" w:rsidRDefault="00CE2C77" w:rsidP="00AD362F">
            <w:pPr>
              <w:keepNext/>
              <w:jc w:val="center"/>
              <w:rPr>
                <w:rFonts w:ascii="Arial Narrow" w:hAnsi="Arial Narrow" w:cs="Arial"/>
                <w:b/>
                <w:snapToGrid w:val="0"/>
                <w:color w:val="000000"/>
                <w:sz w:val="20"/>
                <w:szCs w:val="18"/>
              </w:rPr>
            </w:pPr>
          </w:p>
        </w:tc>
        <w:tc>
          <w:tcPr>
            <w:tcW w:w="418" w:type="pct"/>
            <w:vAlign w:val="center"/>
          </w:tcPr>
          <w:p w:rsidR="00CE2C77" w:rsidRPr="00CE2C77" w:rsidRDefault="00CE2C77" w:rsidP="00AD362F">
            <w:pPr>
              <w:keepNext/>
              <w:jc w:val="center"/>
              <w:rPr>
                <w:rFonts w:ascii="Arial Narrow" w:hAnsi="Arial Narrow" w:cs="Arial"/>
                <w:b/>
                <w:snapToGrid w:val="0"/>
                <w:color w:val="000000"/>
                <w:sz w:val="20"/>
                <w:szCs w:val="18"/>
              </w:rPr>
            </w:pPr>
            <w:r w:rsidRPr="00CE2C77">
              <w:rPr>
                <w:rFonts w:ascii="Arial Narrow" w:hAnsi="Arial Narrow" w:cs="Arial"/>
                <w:b/>
                <w:snapToGrid w:val="0"/>
                <w:color w:val="000000"/>
                <w:sz w:val="20"/>
                <w:szCs w:val="18"/>
              </w:rPr>
              <w:t>13vPCV</w:t>
            </w:r>
          </w:p>
        </w:tc>
        <w:tc>
          <w:tcPr>
            <w:tcW w:w="415" w:type="pct"/>
            <w:vAlign w:val="center"/>
          </w:tcPr>
          <w:p w:rsidR="00CE2C77" w:rsidRPr="00CE2C77" w:rsidRDefault="00CE2C77" w:rsidP="00AD362F">
            <w:pPr>
              <w:keepNext/>
              <w:jc w:val="center"/>
              <w:rPr>
                <w:rFonts w:ascii="Arial Narrow" w:hAnsi="Arial Narrow" w:cs="Arial"/>
                <w:b/>
                <w:snapToGrid w:val="0"/>
                <w:color w:val="000000"/>
                <w:sz w:val="20"/>
                <w:szCs w:val="18"/>
              </w:rPr>
            </w:pPr>
            <w:r w:rsidRPr="00CE2C77">
              <w:rPr>
                <w:rFonts w:ascii="Arial Narrow" w:hAnsi="Arial Narrow" w:cs="Arial"/>
                <w:b/>
                <w:snapToGrid w:val="0"/>
                <w:color w:val="000000"/>
                <w:sz w:val="20"/>
                <w:szCs w:val="18"/>
              </w:rPr>
              <w:t>PBO</w:t>
            </w:r>
            <w:r w:rsidRPr="00CE2C77">
              <w:rPr>
                <w:rFonts w:ascii="Arial Narrow" w:hAnsi="Arial Narrow" w:cs="Arial"/>
                <w:b/>
                <w:snapToGrid w:val="0"/>
                <w:color w:val="000000"/>
                <w:sz w:val="20"/>
                <w:szCs w:val="18"/>
                <w:vertAlign w:val="superscript"/>
              </w:rPr>
              <w:t>a</w:t>
            </w:r>
          </w:p>
        </w:tc>
        <w:tc>
          <w:tcPr>
            <w:tcW w:w="498" w:type="pct"/>
            <w:gridSpan w:val="3"/>
            <w:vAlign w:val="center"/>
          </w:tcPr>
          <w:p w:rsidR="00CE2C77" w:rsidRPr="00CE2C77" w:rsidRDefault="00CE2C77" w:rsidP="00AD362F">
            <w:pPr>
              <w:keepNext/>
              <w:jc w:val="center"/>
              <w:rPr>
                <w:rFonts w:ascii="Arial Narrow" w:hAnsi="Arial Narrow" w:cs="Arial"/>
                <w:b/>
                <w:snapToGrid w:val="0"/>
                <w:color w:val="000000"/>
                <w:sz w:val="20"/>
                <w:szCs w:val="18"/>
              </w:rPr>
            </w:pPr>
            <w:r w:rsidRPr="00CE2C77">
              <w:rPr>
                <w:rFonts w:ascii="Arial Narrow" w:hAnsi="Arial Narrow" w:cs="Arial"/>
                <w:b/>
                <w:snapToGrid w:val="0"/>
                <w:color w:val="000000"/>
                <w:sz w:val="20"/>
                <w:szCs w:val="18"/>
              </w:rPr>
              <w:t>23vPPV</w:t>
            </w:r>
          </w:p>
        </w:tc>
        <w:tc>
          <w:tcPr>
            <w:tcW w:w="994" w:type="pct"/>
            <w:vMerge/>
            <w:vAlign w:val="center"/>
          </w:tcPr>
          <w:p w:rsidR="00CE2C77" w:rsidRPr="00CE2C77" w:rsidRDefault="00CE2C77" w:rsidP="00AD362F">
            <w:pPr>
              <w:keepNext/>
              <w:jc w:val="center"/>
              <w:rPr>
                <w:rFonts w:ascii="Arial Narrow" w:hAnsi="Arial Narrow" w:cs="Arial"/>
                <w:b/>
                <w:snapToGrid w:val="0"/>
                <w:color w:val="000000"/>
                <w:sz w:val="20"/>
                <w:szCs w:val="18"/>
              </w:rPr>
            </w:pPr>
          </w:p>
        </w:tc>
      </w:tr>
      <w:tr w:rsidR="00CE2C77" w:rsidRPr="00CE2C77" w:rsidTr="00CE2C77">
        <w:tc>
          <w:tcPr>
            <w:tcW w:w="678" w:type="pct"/>
            <w:shd w:val="clear" w:color="auto" w:fill="auto"/>
            <w:vAlign w:val="center"/>
          </w:tcPr>
          <w:p w:rsidR="00CE2C77" w:rsidRPr="00CE2C77" w:rsidRDefault="00CE2C77" w:rsidP="00AD362F">
            <w:pPr>
              <w:keepNext/>
              <w:jc w:val="both"/>
              <w:rPr>
                <w:rFonts w:ascii="Arial Narrow" w:hAnsi="Arial Narrow" w:cs="Arial"/>
                <w:snapToGrid w:val="0"/>
                <w:color w:val="000000"/>
                <w:sz w:val="20"/>
                <w:szCs w:val="18"/>
              </w:rPr>
            </w:pPr>
            <w:r w:rsidRPr="00CE2C77">
              <w:rPr>
                <w:rFonts w:ascii="Arial Narrow" w:hAnsi="Arial Narrow" w:cs="Arial"/>
                <w:snapToGrid w:val="0"/>
                <w:color w:val="000000"/>
                <w:sz w:val="20"/>
                <w:szCs w:val="18"/>
              </w:rPr>
              <w:t>CAPiTA</w:t>
            </w:r>
          </w:p>
        </w:tc>
        <w:tc>
          <w:tcPr>
            <w:tcW w:w="415" w:type="pct"/>
            <w:vAlign w:val="center"/>
          </w:tcPr>
          <w:p w:rsidR="00CE2C77" w:rsidRPr="00CE2C77" w:rsidRDefault="00CE2C77" w:rsidP="00AD362F">
            <w:pPr>
              <w:keepNext/>
              <w:jc w:val="center"/>
              <w:rPr>
                <w:rFonts w:ascii="Arial Narrow" w:hAnsi="Arial Narrow" w:cs="Arial"/>
                <w:snapToGrid w:val="0"/>
                <w:sz w:val="20"/>
                <w:szCs w:val="20"/>
              </w:rPr>
            </w:pPr>
            <w:r w:rsidRPr="00CE2C77">
              <w:rPr>
                <w:rFonts w:ascii="Arial Narrow" w:hAnsi="Arial Narrow" w:cs="Arial"/>
                <w:snapToGrid w:val="0"/>
                <w:sz w:val="20"/>
                <w:szCs w:val="20"/>
              </w:rPr>
              <w:t>66/ 42,240</w:t>
            </w:r>
          </w:p>
        </w:tc>
        <w:tc>
          <w:tcPr>
            <w:tcW w:w="415" w:type="pct"/>
            <w:vAlign w:val="center"/>
          </w:tcPr>
          <w:p w:rsidR="00CE2C77" w:rsidRPr="00CE2C77" w:rsidRDefault="00CE2C77" w:rsidP="00AD362F">
            <w:pPr>
              <w:keepNext/>
              <w:jc w:val="center"/>
              <w:rPr>
                <w:rFonts w:ascii="Arial Narrow" w:hAnsi="Arial Narrow" w:cs="Arial"/>
                <w:snapToGrid w:val="0"/>
                <w:sz w:val="20"/>
                <w:szCs w:val="20"/>
              </w:rPr>
            </w:pPr>
            <w:r w:rsidRPr="00CE2C77">
              <w:rPr>
                <w:rFonts w:ascii="Arial Narrow" w:hAnsi="Arial Narrow" w:cs="Arial"/>
                <w:snapToGrid w:val="0"/>
                <w:sz w:val="20"/>
                <w:szCs w:val="20"/>
              </w:rPr>
              <w:t>106/ 42,256</w:t>
            </w:r>
          </w:p>
        </w:tc>
        <w:tc>
          <w:tcPr>
            <w:tcW w:w="418" w:type="pct"/>
            <w:vAlign w:val="center"/>
          </w:tcPr>
          <w:p w:rsidR="00CE2C77" w:rsidRPr="00CE2C77" w:rsidRDefault="00CE2C77" w:rsidP="00AD362F">
            <w:pPr>
              <w:keepNext/>
              <w:jc w:val="center"/>
              <w:rPr>
                <w:rFonts w:ascii="Arial Narrow" w:hAnsi="Arial Narrow" w:cs="Arial"/>
                <w:snapToGrid w:val="0"/>
                <w:color w:val="000000"/>
                <w:sz w:val="20"/>
                <w:szCs w:val="18"/>
              </w:rPr>
            </w:pPr>
            <w:r w:rsidRPr="00CE2C77">
              <w:rPr>
                <w:rFonts w:ascii="Arial Narrow" w:hAnsi="Arial Narrow" w:cs="Arial"/>
                <w:snapToGrid w:val="0"/>
                <w:color w:val="000000"/>
                <w:sz w:val="20"/>
                <w:szCs w:val="18"/>
              </w:rPr>
              <w:t>-</w:t>
            </w:r>
          </w:p>
        </w:tc>
        <w:tc>
          <w:tcPr>
            <w:tcW w:w="749" w:type="pct"/>
            <w:vAlign w:val="center"/>
          </w:tcPr>
          <w:p w:rsidR="00CE2C77" w:rsidRPr="00CE2C77" w:rsidRDefault="00CE2C77" w:rsidP="00AD362F">
            <w:pPr>
              <w:keepNext/>
              <w:jc w:val="center"/>
              <w:rPr>
                <w:rFonts w:ascii="Arial Narrow" w:hAnsi="Arial Narrow" w:cs="Arial"/>
                <w:i/>
                <w:snapToGrid w:val="0"/>
                <w:sz w:val="20"/>
                <w:szCs w:val="20"/>
              </w:rPr>
            </w:pPr>
            <w:r w:rsidRPr="00CE2C77">
              <w:rPr>
                <w:rFonts w:ascii="Arial Narrow" w:hAnsi="Arial Narrow" w:cs="Arial"/>
                <w:i/>
                <w:snapToGrid w:val="0"/>
                <w:sz w:val="20"/>
                <w:szCs w:val="20"/>
              </w:rPr>
              <w:t>0.62</w:t>
            </w:r>
          </w:p>
          <w:p w:rsidR="00CE2C77" w:rsidRPr="00CE2C77" w:rsidRDefault="00CE2C77" w:rsidP="00AD362F">
            <w:pPr>
              <w:keepNext/>
              <w:jc w:val="center"/>
              <w:rPr>
                <w:rFonts w:ascii="Arial Narrow" w:hAnsi="Arial Narrow" w:cs="Arial"/>
                <w:i/>
                <w:snapToGrid w:val="0"/>
                <w:sz w:val="20"/>
                <w:szCs w:val="18"/>
              </w:rPr>
            </w:pPr>
            <w:r w:rsidRPr="00CE2C77">
              <w:rPr>
                <w:rFonts w:ascii="Arial Narrow" w:hAnsi="Arial Narrow" w:cs="Arial"/>
                <w:i/>
                <w:snapToGrid w:val="0"/>
                <w:sz w:val="20"/>
                <w:szCs w:val="20"/>
              </w:rPr>
              <w:t>(0.45, 0.86)</w:t>
            </w:r>
          </w:p>
        </w:tc>
        <w:tc>
          <w:tcPr>
            <w:tcW w:w="418" w:type="pct"/>
            <w:vAlign w:val="center"/>
          </w:tcPr>
          <w:p w:rsidR="00CE2C77" w:rsidRPr="00CE2C77" w:rsidRDefault="00CE2C77" w:rsidP="00AD362F">
            <w:pPr>
              <w:keepNext/>
              <w:jc w:val="center"/>
              <w:rPr>
                <w:rFonts w:ascii="Arial Narrow" w:hAnsi="Arial Narrow" w:cs="Arial"/>
                <w:snapToGrid w:val="0"/>
                <w:color w:val="000000"/>
                <w:sz w:val="20"/>
                <w:szCs w:val="18"/>
              </w:rPr>
            </w:pPr>
            <w:r w:rsidRPr="00CE2C77">
              <w:rPr>
                <w:rFonts w:ascii="Arial Narrow" w:hAnsi="Arial Narrow" w:cs="Arial"/>
                <w:snapToGrid w:val="0"/>
                <w:color w:val="000000"/>
                <w:sz w:val="20"/>
                <w:szCs w:val="18"/>
              </w:rPr>
              <w:t>0.16</w:t>
            </w:r>
          </w:p>
        </w:tc>
        <w:tc>
          <w:tcPr>
            <w:tcW w:w="415" w:type="pct"/>
            <w:vAlign w:val="center"/>
          </w:tcPr>
          <w:p w:rsidR="00CE2C77" w:rsidRPr="00CE2C77" w:rsidRDefault="00CE2C77" w:rsidP="00AD362F">
            <w:pPr>
              <w:keepNext/>
              <w:jc w:val="center"/>
              <w:rPr>
                <w:rFonts w:ascii="Arial Narrow" w:hAnsi="Arial Narrow" w:cs="Arial"/>
                <w:snapToGrid w:val="0"/>
                <w:color w:val="000000"/>
                <w:sz w:val="20"/>
                <w:szCs w:val="18"/>
              </w:rPr>
            </w:pPr>
            <w:r w:rsidRPr="00CE2C77">
              <w:rPr>
                <w:rFonts w:ascii="Arial Narrow" w:hAnsi="Arial Narrow" w:cs="Arial"/>
                <w:snapToGrid w:val="0"/>
                <w:color w:val="000000"/>
                <w:sz w:val="20"/>
                <w:szCs w:val="18"/>
              </w:rPr>
              <w:t>0.25</w:t>
            </w:r>
          </w:p>
        </w:tc>
        <w:tc>
          <w:tcPr>
            <w:tcW w:w="498" w:type="pct"/>
            <w:gridSpan w:val="3"/>
            <w:vAlign w:val="center"/>
          </w:tcPr>
          <w:p w:rsidR="00CE2C77" w:rsidRPr="00CE2C77" w:rsidRDefault="00CE2C77" w:rsidP="00AD362F">
            <w:pPr>
              <w:keepNext/>
              <w:jc w:val="center"/>
              <w:rPr>
                <w:rFonts w:ascii="Arial Narrow" w:hAnsi="Arial Narrow" w:cs="Arial"/>
                <w:snapToGrid w:val="0"/>
                <w:color w:val="000000"/>
                <w:sz w:val="20"/>
                <w:szCs w:val="18"/>
              </w:rPr>
            </w:pPr>
            <w:r w:rsidRPr="00CE2C77">
              <w:rPr>
                <w:rFonts w:ascii="Arial Narrow" w:hAnsi="Arial Narrow" w:cs="Arial"/>
                <w:snapToGrid w:val="0"/>
                <w:color w:val="000000"/>
                <w:sz w:val="20"/>
                <w:szCs w:val="18"/>
              </w:rPr>
              <w:t>-</w:t>
            </w:r>
          </w:p>
        </w:tc>
        <w:tc>
          <w:tcPr>
            <w:tcW w:w="994" w:type="pct"/>
            <w:vAlign w:val="center"/>
          </w:tcPr>
          <w:p w:rsidR="00CE2C77" w:rsidRPr="00CE2C77" w:rsidRDefault="00CE2C77" w:rsidP="00AD362F">
            <w:pPr>
              <w:keepNext/>
              <w:jc w:val="center"/>
              <w:rPr>
                <w:rFonts w:ascii="Arial Narrow" w:hAnsi="Arial Narrow" w:cs="Arial"/>
                <w:i/>
                <w:snapToGrid w:val="0"/>
                <w:sz w:val="20"/>
                <w:szCs w:val="20"/>
              </w:rPr>
            </w:pPr>
            <w:r w:rsidRPr="00CE2C77">
              <w:rPr>
                <w:rFonts w:ascii="Arial Narrow" w:hAnsi="Arial Narrow" w:cs="Arial"/>
                <w:i/>
                <w:snapToGrid w:val="0"/>
                <w:sz w:val="20"/>
                <w:szCs w:val="20"/>
              </w:rPr>
              <w:t xml:space="preserve">-0.0009 </w:t>
            </w:r>
          </w:p>
          <w:p w:rsidR="00CE2C77" w:rsidRPr="00CE2C77" w:rsidRDefault="00CE2C77" w:rsidP="00AD362F">
            <w:pPr>
              <w:keepNext/>
              <w:jc w:val="center"/>
              <w:rPr>
                <w:rFonts w:ascii="Arial Narrow" w:hAnsi="Arial Narrow" w:cs="Arial"/>
                <w:snapToGrid w:val="0"/>
                <w:color w:val="000000"/>
                <w:sz w:val="20"/>
                <w:szCs w:val="18"/>
              </w:rPr>
            </w:pPr>
            <w:r w:rsidRPr="00CE2C77">
              <w:rPr>
                <w:rFonts w:ascii="Arial Narrow" w:hAnsi="Arial Narrow" w:cs="Arial"/>
                <w:i/>
                <w:snapToGrid w:val="0"/>
                <w:sz w:val="20"/>
                <w:szCs w:val="20"/>
              </w:rPr>
              <w:t>(-0.00</w:t>
            </w:r>
            <w:r w:rsidR="00421C5F">
              <w:rPr>
                <w:rFonts w:ascii="Arial Narrow" w:hAnsi="Arial Narrow" w:cs="Arial"/>
                <w:i/>
                <w:snapToGrid w:val="0"/>
                <w:sz w:val="20"/>
                <w:szCs w:val="20"/>
              </w:rPr>
              <w:t>16</w:t>
            </w:r>
            <w:r w:rsidRPr="00CE2C77">
              <w:rPr>
                <w:rFonts w:ascii="Arial Narrow" w:hAnsi="Arial Narrow" w:cs="Arial"/>
                <w:i/>
                <w:snapToGrid w:val="0"/>
                <w:sz w:val="20"/>
                <w:szCs w:val="20"/>
              </w:rPr>
              <w:t>, -0.00</w:t>
            </w:r>
            <w:r w:rsidR="00421C5F">
              <w:rPr>
                <w:rFonts w:ascii="Arial Narrow" w:hAnsi="Arial Narrow" w:cs="Arial"/>
                <w:i/>
                <w:snapToGrid w:val="0"/>
                <w:sz w:val="20"/>
                <w:szCs w:val="20"/>
              </w:rPr>
              <w:t>03</w:t>
            </w:r>
            <w:r w:rsidRPr="00CE2C77">
              <w:rPr>
                <w:rFonts w:ascii="Arial Narrow" w:hAnsi="Arial Narrow" w:cs="Arial"/>
                <w:i/>
                <w:snapToGrid w:val="0"/>
                <w:sz w:val="20"/>
                <w:szCs w:val="20"/>
              </w:rPr>
              <w:t>)</w:t>
            </w:r>
          </w:p>
        </w:tc>
      </w:tr>
      <w:tr w:rsidR="00CE2C77" w:rsidRPr="00CE2C77" w:rsidTr="00CE2C77">
        <w:tc>
          <w:tcPr>
            <w:tcW w:w="678" w:type="pct"/>
            <w:shd w:val="clear" w:color="auto" w:fill="auto"/>
            <w:vAlign w:val="center"/>
          </w:tcPr>
          <w:p w:rsidR="00CE2C77" w:rsidRPr="00CE2C77" w:rsidRDefault="00CE2C77" w:rsidP="00AD362F">
            <w:pPr>
              <w:keepNext/>
              <w:rPr>
                <w:rFonts w:ascii="Arial Narrow" w:hAnsi="Arial Narrow" w:cs="Arial"/>
                <w:sz w:val="20"/>
                <w:szCs w:val="20"/>
              </w:rPr>
            </w:pPr>
            <w:r w:rsidRPr="00CE2C77">
              <w:rPr>
                <w:rFonts w:ascii="Arial Narrow" w:hAnsi="Arial Narrow" w:cs="Arial Narrow"/>
                <w:color w:val="000000"/>
                <w:sz w:val="20"/>
                <w:szCs w:val="18"/>
              </w:rPr>
              <w:t xml:space="preserve">23vPPV </w:t>
            </w:r>
          </w:p>
        </w:tc>
        <w:tc>
          <w:tcPr>
            <w:tcW w:w="4322" w:type="pct"/>
            <w:gridSpan w:val="10"/>
            <w:vAlign w:val="center"/>
          </w:tcPr>
          <w:p w:rsidR="00CE2C77" w:rsidRPr="00CE2C77" w:rsidRDefault="00CE2C77" w:rsidP="00AD362F">
            <w:pPr>
              <w:keepNext/>
              <w:jc w:val="center"/>
              <w:rPr>
                <w:rFonts w:ascii="Arial Narrow" w:hAnsi="Arial Narrow" w:cs="Arial Narrow"/>
                <w:color w:val="000000"/>
                <w:sz w:val="20"/>
                <w:szCs w:val="18"/>
              </w:rPr>
            </w:pPr>
            <w:r w:rsidRPr="00CE2C77">
              <w:rPr>
                <w:rFonts w:ascii="Arial Narrow" w:hAnsi="Arial Narrow" w:cs="Arial Narrow"/>
                <w:color w:val="000000"/>
                <w:sz w:val="20"/>
                <w:szCs w:val="18"/>
              </w:rPr>
              <w:t>No 23vPPV studies available assessing VT pneumonia</w:t>
            </w:r>
          </w:p>
        </w:tc>
      </w:tr>
      <w:tr w:rsidR="00CE2C77" w:rsidRPr="00CE2C77" w:rsidTr="00CE2C77">
        <w:tc>
          <w:tcPr>
            <w:tcW w:w="5000" w:type="pct"/>
            <w:gridSpan w:val="11"/>
            <w:tcBorders>
              <w:top w:val="double" w:sz="4" w:space="0" w:color="auto"/>
            </w:tcBorders>
            <w:shd w:val="clear" w:color="auto" w:fill="auto"/>
            <w:vAlign w:val="center"/>
          </w:tcPr>
          <w:p w:rsidR="00CE2C77" w:rsidRPr="00CE2C77" w:rsidRDefault="00CE2C77" w:rsidP="00AD362F">
            <w:pPr>
              <w:keepNext/>
              <w:jc w:val="both"/>
              <w:rPr>
                <w:rFonts w:ascii="Arial Narrow" w:hAnsi="Arial Narrow" w:cs="Arial"/>
                <w:b/>
                <w:snapToGrid w:val="0"/>
                <w:color w:val="000000"/>
                <w:sz w:val="20"/>
                <w:szCs w:val="18"/>
              </w:rPr>
            </w:pPr>
            <w:r w:rsidRPr="00CE2C77">
              <w:rPr>
                <w:rFonts w:ascii="Arial Narrow" w:hAnsi="Arial Narrow" w:cs="Arial"/>
                <w:b/>
                <w:snapToGrid w:val="0"/>
                <w:color w:val="000000"/>
                <w:sz w:val="20"/>
                <w:szCs w:val="18"/>
              </w:rPr>
              <w:t>Pneumococcal pneumonia</w:t>
            </w:r>
          </w:p>
        </w:tc>
      </w:tr>
      <w:tr w:rsidR="00CE2C77" w:rsidRPr="00CE2C77" w:rsidTr="00CE2C77">
        <w:trPr>
          <w:trHeight w:val="105"/>
        </w:trPr>
        <w:tc>
          <w:tcPr>
            <w:tcW w:w="678" w:type="pct"/>
            <w:vMerge w:val="restart"/>
            <w:shd w:val="clear" w:color="auto" w:fill="auto"/>
            <w:vAlign w:val="center"/>
          </w:tcPr>
          <w:p w:rsidR="00CE2C77" w:rsidRPr="00CE2C77" w:rsidRDefault="00CE2C77" w:rsidP="00AD362F">
            <w:pPr>
              <w:keepNext/>
              <w:jc w:val="both"/>
              <w:rPr>
                <w:rFonts w:ascii="Arial Narrow" w:hAnsi="Arial Narrow" w:cs="Arial"/>
                <w:snapToGrid w:val="0"/>
                <w:color w:val="000000"/>
                <w:sz w:val="20"/>
                <w:szCs w:val="18"/>
              </w:rPr>
            </w:pPr>
          </w:p>
        </w:tc>
        <w:tc>
          <w:tcPr>
            <w:tcW w:w="415" w:type="pct"/>
            <w:vMerge w:val="restart"/>
            <w:vAlign w:val="center"/>
          </w:tcPr>
          <w:p w:rsidR="00CE2C77" w:rsidRPr="00CE2C77" w:rsidRDefault="00CE2C77" w:rsidP="00AD362F">
            <w:pPr>
              <w:keepNext/>
              <w:jc w:val="center"/>
              <w:rPr>
                <w:rFonts w:ascii="Arial Narrow" w:hAnsi="Arial Narrow" w:cs="Arial"/>
                <w:b/>
                <w:snapToGrid w:val="0"/>
                <w:color w:val="000000"/>
                <w:sz w:val="20"/>
                <w:szCs w:val="18"/>
              </w:rPr>
            </w:pPr>
            <w:r w:rsidRPr="00CE2C77">
              <w:rPr>
                <w:rFonts w:ascii="Arial Narrow" w:hAnsi="Arial Narrow" w:cs="Arial"/>
                <w:b/>
                <w:snapToGrid w:val="0"/>
                <w:color w:val="000000"/>
                <w:sz w:val="20"/>
                <w:szCs w:val="18"/>
              </w:rPr>
              <w:t>13vPCV</w:t>
            </w:r>
          </w:p>
        </w:tc>
        <w:tc>
          <w:tcPr>
            <w:tcW w:w="415" w:type="pct"/>
            <w:vMerge w:val="restart"/>
            <w:vAlign w:val="center"/>
          </w:tcPr>
          <w:p w:rsidR="00CE2C77" w:rsidRPr="00CE2C77" w:rsidRDefault="00CE2C77" w:rsidP="00AD362F">
            <w:pPr>
              <w:keepNext/>
              <w:jc w:val="center"/>
              <w:rPr>
                <w:rFonts w:ascii="Arial Narrow" w:hAnsi="Arial Narrow" w:cs="Arial"/>
                <w:b/>
                <w:snapToGrid w:val="0"/>
                <w:color w:val="000000"/>
                <w:sz w:val="20"/>
                <w:szCs w:val="18"/>
              </w:rPr>
            </w:pPr>
            <w:r w:rsidRPr="00CE2C77">
              <w:rPr>
                <w:rFonts w:ascii="Arial Narrow" w:hAnsi="Arial Narrow" w:cs="Arial"/>
                <w:b/>
                <w:snapToGrid w:val="0"/>
                <w:color w:val="000000"/>
                <w:sz w:val="20"/>
                <w:szCs w:val="18"/>
              </w:rPr>
              <w:t>PBO</w:t>
            </w:r>
            <w:r w:rsidRPr="00CE2C77">
              <w:rPr>
                <w:rFonts w:ascii="Arial Narrow" w:hAnsi="Arial Narrow" w:cs="Arial"/>
                <w:b/>
                <w:snapToGrid w:val="0"/>
                <w:color w:val="000000"/>
                <w:sz w:val="20"/>
                <w:szCs w:val="18"/>
                <w:vertAlign w:val="superscript"/>
              </w:rPr>
              <w:t>a</w:t>
            </w:r>
          </w:p>
        </w:tc>
        <w:tc>
          <w:tcPr>
            <w:tcW w:w="418" w:type="pct"/>
            <w:vMerge w:val="restart"/>
            <w:vAlign w:val="center"/>
          </w:tcPr>
          <w:p w:rsidR="00CE2C77" w:rsidRPr="00CE2C77" w:rsidRDefault="00CE2C77" w:rsidP="00AD362F">
            <w:pPr>
              <w:keepNext/>
              <w:jc w:val="center"/>
              <w:rPr>
                <w:rFonts w:ascii="Arial Narrow" w:hAnsi="Arial Narrow" w:cs="Arial"/>
                <w:b/>
                <w:snapToGrid w:val="0"/>
                <w:color w:val="000000"/>
                <w:sz w:val="20"/>
                <w:szCs w:val="18"/>
              </w:rPr>
            </w:pPr>
            <w:r w:rsidRPr="00CE2C77">
              <w:rPr>
                <w:rFonts w:ascii="Arial Narrow" w:hAnsi="Arial Narrow" w:cs="Arial"/>
                <w:b/>
                <w:snapToGrid w:val="0"/>
                <w:color w:val="000000"/>
                <w:sz w:val="20"/>
                <w:szCs w:val="18"/>
              </w:rPr>
              <w:t>23vPPV</w:t>
            </w:r>
          </w:p>
        </w:tc>
        <w:tc>
          <w:tcPr>
            <w:tcW w:w="749" w:type="pct"/>
            <w:vMerge w:val="restart"/>
            <w:vAlign w:val="center"/>
          </w:tcPr>
          <w:p w:rsidR="00CE2C77" w:rsidRPr="00CE2C77" w:rsidRDefault="00CE2C77" w:rsidP="00AD362F">
            <w:pPr>
              <w:keepNext/>
              <w:jc w:val="center"/>
              <w:rPr>
                <w:rFonts w:ascii="Arial Narrow" w:hAnsi="Arial Narrow" w:cs="Arial"/>
                <w:b/>
                <w:snapToGrid w:val="0"/>
                <w:color w:val="000000"/>
                <w:sz w:val="20"/>
                <w:szCs w:val="18"/>
              </w:rPr>
            </w:pPr>
            <w:r w:rsidRPr="00CE2C77">
              <w:rPr>
                <w:rFonts w:ascii="Arial Narrow" w:hAnsi="Arial Narrow" w:cs="Arial"/>
                <w:b/>
                <w:snapToGrid w:val="0"/>
                <w:color w:val="000000"/>
                <w:sz w:val="20"/>
                <w:szCs w:val="18"/>
              </w:rPr>
              <w:t>RR</w:t>
            </w:r>
          </w:p>
          <w:p w:rsidR="00CE2C77" w:rsidRPr="00CE2C77" w:rsidRDefault="00CE2C77" w:rsidP="00AD362F">
            <w:pPr>
              <w:keepNext/>
              <w:jc w:val="center"/>
              <w:rPr>
                <w:rFonts w:ascii="Arial Narrow" w:hAnsi="Arial Narrow" w:cs="Arial"/>
                <w:snapToGrid w:val="0"/>
                <w:color w:val="000000"/>
                <w:sz w:val="20"/>
                <w:szCs w:val="18"/>
              </w:rPr>
            </w:pPr>
            <w:r w:rsidRPr="00CE2C77">
              <w:rPr>
                <w:rFonts w:ascii="Arial Narrow" w:hAnsi="Arial Narrow" w:cs="Arial"/>
                <w:b/>
                <w:snapToGrid w:val="0"/>
                <w:color w:val="000000"/>
                <w:sz w:val="20"/>
                <w:szCs w:val="18"/>
              </w:rPr>
              <w:t>(95% CI)</w:t>
            </w:r>
          </w:p>
        </w:tc>
        <w:tc>
          <w:tcPr>
            <w:tcW w:w="1331" w:type="pct"/>
            <w:gridSpan w:val="5"/>
            <w:vAlign w:val="center"/>
          </w:tcPr>
          <w:p w:rsidR="00CE2C77" w:rsidRPr="00CE2C77" w:rsidRDefault="00CE2C77" w:rsidP="00AD362F">
            <w:pPr>
              <w:keepNext/>
              <w:jc w:val="center"/>
              <w:rPr>
                <w:rFonts w:ascii="Arial Narrow" w:hAnsi="Arial Narrow" w:cs="Arial"/>
                <w:b/>
                <w:snapToGrid w:val="0"/>
                <w:color w:val="000000"/>
                <w:sz w:val="20"/>
                <w:szCs w:val="18"/>
              </w:rPr>
            </w:pPr>
            <w:r w:rsidRPr="00CE2C77">
              <w:rPr>
                <w:rFonts w:ascii="Arial Narrow" w:hAnsi="Arial Narrow" w:cs="Arial"/>
                <w:b/>
                <w:snapToGrid w:val="0"/>
                <w:color w:val="000000"/>
                <w:sz w:val="20"/>
                <w:szCs w:val="18"/>
              </w:rPr>
              <w:t xml:space="preserve">Event rate/100 patients* </w:t>
            </w:r>
          </w:p>
        </w:tc>
        <w:tc>
          <w:tcPr>
            <w:tcW w:w="994" w:type="pct"/>
            <w:vMerge w:val="restart"/>
            <w:vAlign w:val="center"/>
          </w:tcPr>
          <w:p w:rsidR="00CE2C77" w:rsidRPr="00CE2C77" w:rsidRDefault="00CE2C77" w:rsidP="00AD362F">
            <w:pPr>
              <w:keepNext/>
              <w:jc w:val="center"/>
              <w:rPr>
                <w:rFonts w:ascii="Arial Narrow" w:hAnsi="Arial Narrow" w:cs="Arial"/>
                <w:b/>
                <w:snapToGrid w:val="0"/>
                <w:color w:val="000000"/>
                <w:sz w:val="20"/>
                <w:szCs w:val="18"/>
              </w:rPr>
            </w:pPr>
            <w:r w:rsidRPr="00CE2C77">
              <w:rPr>
                <w:rFonts w:ascii="Arial Narrow" w:hAnsi="Arial Narrow" w:cs="Arial"/>
                <w:b/>
                <w:snapToGrid w:val="0"/>
                <w:color w:val="000000"/>
                <w:sz w:val="20"/>
                <w:szCs w:val="18"/>
              </w:rPr>
              <w:t>RD</w:t>
            </w:r>
          </w:p>
          <w:p w:rsidR="00CE2C77" w:rsidRPr="00CE2C77" w:rsidRDefault="00CE2C77" w:rsidP="00AD362F">
            <w:pPr>
              <w:keepNext/>
              <w:jc w:val="center"/>
              <w:rPr>
                <w:rFonts w:ascii="Arial Narrow" w:hAnsi="Arial Narrow" w:cs="Arial"/>
                <w:snapToGrid w:val="0"/>
                <w:color w:val="000000"/>
                <w:sz w:val="20"/>
                <w:szCs w:val="18"/>
              </w:rPr>
            </w:pPr>
            <w:r w:rsidRPr="00CE2C77">
              <w:rPr>
                <w:rFonts w:ascii="Arial Narrow" w:hAnsi="Arial Narrow" w:cs="Arial"/>
                <w:b/>
                <w:snapToGrid w:val="0"/>
                <w:color w:val="000000"/>
                <w:sz w:val="20"/>
                <w:szCs w:val="18"/>
              </w:rPr>
              <w:t>(95% CI)</w:t>
            </w:r>
          </w:p>
        </w:tc>
      </w:tr>
      <w:tr w:rsidR="00CE2C77" w:rsidRPr="00CE2C77" w:rsidTr="00CE2C77">
        <w:trPr>
          <w:trHeight w:val="70"/>
        </w:trPr>
        <w:tc>
          <w:tcPr>
            <w:tcW w:w="678" w:type="pct"/>
            <w:vMerge/>
            <w:shd w:val="clear" w:color="auto" w:fill="auto"/>
            <w:vAlign w:val="center"/>
          </w:tcPr>
          <w:p w:rsidR="00CE2C77" w:rsidRPr="00CE2C77" w:rsidRDefault="00CE2C77" w:rsidP="00AD362F">
            <w:pPr>
              <w:keepNext/>
              <w:jc w:val="both"/>
              <w:rPr>
                <w:rFonts w:ascii="Arial Narrow" w:hAnsi="Arial Narrow" w:cs="Arial"/>
                <w:snapToGrid w:val="0"/>
                <w:color w:val="000000"/>
                <w:sz w:val="20"/>
                <w:szCs w:val="18"/>
              </w:rPr>
            </w:pPr>
          </w:p>
        </w:tc>
        <w:tc>
          <w:tcPr>
            <w:tcW w:w="415" w:type="pct"/>
            <w:vMerge/>
            <w:vAlign w:val="center"/>
          </w:tcPr>
          <w:p w:rsidR="00CE2C77" w:rsidRPr="00CE2C77" w:rsidRDefault="00CE2C77" w:rsidP="00AD362F">
            <w:pPr>
              <w:keepNext/>
              <w:jc w:val="center"/>
              <w:rPr>
                <w:rFonts w:ascii="Arial Narrow" w:hAnsi="Arial Narrow" w:cs="Arial"/>
                <w:b/>
                <w:snapToGrid w:val="0"/>
                <w:color w:val="000000"/>
                <w:sz w:val="20"/>
                <w:szCs w:val="18"/>
              </w:rPr>
            </w:pPr>
          </w:p>
        </w:tc>
        <w:tc>
          <w:tcPr>
            <w:tcW w:w="415" w:type="pct"/>
            <w:vMerge/>
            <w:vAlign w:val="center"/>
          </w:tcPr>
          <w:p w:rsidR="00CE2C77" w:rsidRPr="00CE2C77" w:rsidRDefault="00CE2C77" w:rsidP="00AD362F">
            <w:pPr>
              <w:keepNext/>
              <w:jc w:val="center"/>
              <w:rPr>
                <w:rFonts w:ascii="Arial Narrow" w:hAnsi="Arial Narrow" w:cs="Arial"/>
                <w:b/>
                <w:snapToGrid w:val="0"/>
                <w:color w:val="000000"/>
                <w:sz w:val="20"/>
                <w:szCs w:val="18"/>
              </w:rPr>
            </w:pPr>
          </w:p>
        </w:tc>
        <w:tc>
          <w:tcPr>
            <w:tcW w:w="418" w:type="pct"/>
            <w:vMerge/>
            <w:vAlign w:val="center"/>
          </w:tcPr>
          <w:p w:rsidR="00CE2C77" w:rsidRPr="00CE2C77" w:rsidRDefault="00CE2C77" w:rsidP="00AD362F">
            <w:pPr>
              <w:keepNext/>
              <w:jc w:val="center"/>
              <w:rPr>
                <w:rFonts w:ascii="Arial Narrow" w:hAnsi="Arial Narrow" w:cs="Arial"/>
                <w:b/>
                <w:snapToGrid w:val="0"/>
                <w:color w:val="000000"/>
                <w:sz w:val="20"/>
                <w:szCs w:val="18"/>
              </w:rPr>
            </w:pPr>
          </w:p>
        </w:tc>
        <w:tc>
          <w:tcPr>
            <w:tcW w:w="749" w:type="pct"/>
            <w:vMerge/>
            <w:vAlign w:val="center"/>
          </w:tcPr>
          <w:p w:rsidR="00CE2C77" w:rsidRPr="00CE2C77" w:rsidRDefault="00CE2C77" w:rsidP="00AD362F">
            <w:pPr>
              <w:keepNext/>
              <w:jc w:val="center"/>
              <w:rPr>
                <w:rFonts w:ascii="Arial Narrow" w:hAnsi="Arial Narrow" w:cs="Arial"/>
                <w:b/>
                <w:snapToGrid w:val="0"/>
                <w:color w:val="000000"/>
                <w:sz w:val="20"/>
                <w:szCs w:val="18"/>
              </w:rPr>
            </w:pPr>
          </w:p>
        </w:tc>
        <w:tc>
          <w:tcPr>
            <w:tcW w:w="418" w:type="pct"/>
            <w:vAlign w:val="center"/>
          </w:tcPr>
          <w:p w:rsidR="00CE2C77" w:rsidRPr="00CE2C77" w:rsidRDefault="00CE2C77" w:rsidP="00AD362F">
            <w:pPr>
              <w:keepNext/>
              <w:jc w:val="center"/>
              <w:rPr>
                <w:rFonts w:ascii="Arial Narrow" w:hAnsi="Arial Narrow" w:cs="Arial"/>
                <w:b/>
                <w:snapToGrid w:val="0"/>
                <w:color w:val="000000"/>
                <w:sz w:val="20"/>
                <w:szCs w:val="18"/>
              </w:rPr>
            </w:pPr>
            <w:r w:rsidRPr="00CE2C77">
              <w:rPr>
                <w:rFonts w:ascii="Arial Narrow" w:hAnsi="Arial Narrow" w:cs="Arial"/>
                <w:b/>
                <w:snapToGrid w:val="0"/>
                <w:color w:val="000000"/>
                <w:sz w:val="20"/>
                <w:szCs w:val="18"/>
              </w:rPr>
              <w:t>13vPCV</w:t>
            </w:r>
          </w:p>
        </w:tc>
        <w:tc>
          <w:tcPr>
            <w:tcW w:w="415" w:type="pct"/>
            <w:vAlign w:val="center"/>
          </w:tcPr>
          <w:p w:rsidR="00CE2C77" w:rsidRPr="00CE2C77" w:rsidRDefault="00CE2C77" w:rsidP="00AD362F">
            <w:pPr>
              <w:keepNext/>
              <w:jc w:val="center"/>
              <w:rPr>
                <w:rFonts w:ascii="Arial Narrow" w:hAnsi="Arial Narrow" w:cs="Arial"/>
                <w:b/>
                <w:snapToGrid w:val="0"/>
                <w:color w:val="000000"/>
                <w:sz w:val="20"/>
                <w:szCs w:val="18"/>
              </w:rPr>
            </w:pPr>
            <w:r w:rsidRPr="00CE2C77">
              <w:rPr>
                <w:rFonts w:ascii="Arial Narrow" w:hAnsi="Arial Narrow" w:cs="Arial"/>
                <w:b/>
                <w:snapToGrid w:val="0"/>
                <w:color w:val="000000"/>
                <w:sz w:val="20"/>
                <w:szCs w:val="18"/>
              </w:rPr>
              <w:t>PBO</w:t>
            </w:r>
            <w:r w:rsidRPr="00CE2C77">
              <w:rPr>
                <w:rFonts w:ascii="Arial Narrow" w:hAnsi="Arial Narrow" w:cs="Arial"/>
                <w:b/>
                <w:snapToGrid w:val="0"/>
                <w:color w:val="000000"/>
                <w:sz w:val="20"/>
                <w:szCs w:val="18"/>
                <w:vertAlign w:val="superscript"/>
              </w:rPr>
              <w:t>a</w:t>
            </w:r>
          </w:p>
        </w:tc>
        <w:tc>
          <w:tcPr>
            <w:tcW w:w="498" w:type="pct"/>
            <w:gridSpan w:val="3"/>
            <w:vAlign w:val="center"/>
          </w:tcPr>
          <w:p w:rsidR="00CE2C77" w:rsidRPr="00CE2C77" w:rsidRDefault="00CE2C77" w:rsidP="00AD362F">
            <w:pPr>
              <w:keepNext/>
              <w:jc w:val="center"/>
              <w:rPr>
                <w:rFonts w:ascii="Arial Narrow" w:hAnsi="Arial Narrow" w:cs="Arial"/>
                <w:b/>
                <w:snapToGrid w:val="0"/>
                <w:color w:val="000000"/>
                <w:sz w:val="20"/>
                <w:szCs w:val="18"/>
              </w:rPr>
            </w:pPr>
            <w:r w:rsidRPr="00CE2C77">
              <w:rPr>
                <w:rFonts w:ascii="Arial Narrow" w:hAnsi="Arial Narrow" w:cs="Arial"/>
                <w:b/>
                <w:snapToGrid w:val="0"/>
                <w:color w:val="000000"/>
                <w:sz w:val="20"/>
                <w:szCs w:val="18"/>
              </w:rPr>
              <w:t>23vPPV</w:t>
            </w:r>
          </w:p>
        </w:tc>
        <w:tc>
          <w:tcPr>
            <w:tcW w:w="994" w:type="pct"/>
            <w:vMerge/>
            <w:vAlign w:val="center"/>
          </w:tcPr>
          <w:p w:rsidR="00CE2C77" w:rsidRPr="00CE2C77" w:rsidRDefault="00CE2C77" w:rsidP="00AD362F">
            <w:pPr>
              <w:keepNext/>
              <w:jc w:val="center"/>
              <w:rPr>
                <w:rFonts w:ascii="Arial Narrow" w:hAnsi="Arial Narrow" w:cs="Arial"/>
                <w:b/>
                <w:snapToGrid w:val="0"/>
                <w:color w:val="000000"/>
                <w:sz w:val="20"/>
                <w:szCs w:val="18"/>
              </w:rPr>
            </w:pPr>
          </w:p>
        </w:tc>
      </w:tr>
      <w:tr w:rsidR="00CE2C77" w:rsidRPr="00CE2C77" w:rsidTr="00CE2C77">
        <w:tc>
          <w:tcPr>
            <w:tcW w:w="678" w:type="pct"/>
            <w:shd w:val="clear" w:color="auto" w:fill="auto"/>
            <w:vAlign w:val="center"/>
          </w:tcPr>
          <w:p w:rsidR="00CE2C77" w:rsidRPr="00CE2C77" w:rsidRDefault="00CE2C77" w:rsidP="00AD362F">
            <w:pPr>
              <w:keepNext/>
              <w:jc w:val="both"/>
              <w:rPr>
                <w:rFonts w:ascii="Arial Narrow" w:hAnsi="Arial Narrow" w:cs="Arial"/>
                <w:snapToGrid w:val="0"/>
                <w:color w:val="000000"/>
                <w:sz w:val="20"/>
                <w:szCs w:val="18"/>
              </w:rPr>
            </w:pPr>
            <w:r w:rsidRPr="00CE2C77">
              <w:rPr>
                <w:rFonts w:ascii="Arial Narrow" w:hAnsi="Arial Narrow" w:cs="Arial"/>
                <w:snapToGrid w:val="0"/>
                <w:color w:val="000000"/>
                <w:sz w:val="20"/>
                <w:szCs w:val="18"/>
              </w:rPr>
              <w:t>CAPiTA</w:t>
            </w:r>
          </w:p>
        </w:tc>
        <w:tc>
          <w:tcPr>
            <w:tcW w:w="415" w:type="pct"/>
            <w:vAlign w:val="center"/>
          </w:tcPr>
          <w:p w:rsidR="00CE2C77" w:rsidRPr="00CE2C77" w:rsidRDefault="00CE2C77" w:rsidP="00AD362F">
            <w:pPr>
              <w:keepNext/>
              <w:jc w:val="center"/>
              <w:rPr>
                <w:rFonts w:ascii="Arial Narrow" w:hAnsi="Arial Narrow" w:cs="Arial"/>
                <w:i/>
                <w:sz w:val="20"/>
                <w:szCs w:val="20"/>
              </w:rPr>
            </w:pPr>
            <w:r w:rsidRPr="00CE2C77">
              <w:rPr>
                <w:rFonts w:ascii="Arial Narrow" w:hAnsi="Arial Narrow" w:cs="Arial"/>
                <w:i/>
                <w:sz w:val="20"/>
                <w:szCs w:val="20"/>
              </w:rPr>
              <w:t>135/</w:t>
            </w:r>
          </w:p>
          <w:p w:rsidR="00CE2C77" w:rsidRPr="00CE2C77" w:rsidRDefault="00CE2C77" w:rsidP="00AD362F">
            <w:pPr>
              <w:keepNext/>
              <w:jc w:val="center"/>
              <w:rPr>
                <w:rFonts w:ascii="Arial Narrow" w:hAnsi="Arial Narrow" w:cs="Arial"/>
                <w:i/>
                <w:sz w:val="20"/>
                <w:szCs w:val="20"/>
              </w:rPr>
            </w:pPr>
            <w:r w:rsidRPr="00CE2C77">
              <w:rPr>
                <w:rFonts w:ascii="Arial Narrow" w:hAnsi="Arial Narrow" w:cs="Arial"/>
                <w:i/>
                <w:sz w:val="20"/>
                <w:szCs w:val="20"/>
              </w:rPr>
              <w:t>42,240</w:t>
            </w:r>
          </w:p>
        </w:tc>
        <w:tc>
          <w:tcPr>
            <w:tcW w:w="415" w:type="pct"/>
            <w:vAlign w:val="center"/>
          </w:tcPr>
          <w:p w:rsidR="00CE2C77" w:rsidRPr="00CE2C77" w:rsidRDefault="00CE2C77" w:rsidP="00AD362F">
            <w:pPr>
              <w:keepNext/>
              <w:jc w:val="center"/>
              <w:rPr>
                <w:rFonts w:ascii="Arial Narrow" w:hAnsi="Arial Narrow" w:cs="Arial"/>
                <w:i/>
                <w:sz w:val="20"/>
                <w:szCs w:val="20"/>
              </w:rPr>
            </w:pPr>
            <w:r w:rsidRPr="00CE2C77">
              <w:rPr>
                <w:rFonts w:ascii="Arial Narrow" w:hAnsi="Arial Narrow" w:cs="Arial"/>
                <w:i/>
                <w:sz w:val="20"/>
                <w:szCs w:val="20"/>
              </w:rPr>
              <w:t>174/</w:t>
            </w:r>
          </w:p>
          <w:p w:rsidR="00CE2C77" w:rsidRPr="00CE2C77" w:rsidRDefault="00CE2C77" w:rsidP="00AD362F">
            <w:pPr>
              <w:keepNext/>
              <w:jc w:val="center"/>
              <w:rPr>
                <w:rFonts w:ascii="Arial Narrow" w:hAnsi="Arial Narrow" w:cs="Arial"/>
                <w:i/>
                <w:sz w:val="20"/>
                <w:szCs w:val="20"/>
              </w:rPr>
            </w:pPr>
            <w:r w:rsidRPr="00CE2C77">
              <w:rPr>
                <w:rFonts w:ascii="Arial Narrow" w:hAnsi="Arial Narrow" w:cs="Arial"/>
                <w:i/>
                <w:sz w:val="20"/>
                <w:szCs w:val="20"/>
              </w:rPr>
              <w:t>42,256</w:t>
            </w:r>
          </w:p>
        </w:tc>
        <w:tc>
          <w:tcPr>
            <w:tcW w:w="418" w:type="pct"/>
            <w:vAlign w:val="center"/>
          </w:tcPr>
          <w:p w:rsidR="00CE2C77" w:rsidRPr="00CE2C77" w:rsidRDefault="00CE2C77" w:rsidP="00AD362F">
            <w:pPr>
              <w:keepNext/>
              <w:jc w:val="center"/>
              <w:rPr>
                <w:rFonts w:ascii="Arial Narrow" w:hAnsi="Arial Narrow" w:cs="Arial"/>
                <w:snapToGrid w:val="0"/>
                <w:color w:val="000000"/>
                <w:sz w:val="20"/>
                <w:szCs w:val="18"/>
              </w:rPr>
            </w:pPr>
            <w:r w:rsidRPr="00CE2C77">
              <w:rPr>
                <w:rFonts w:ascii="Arial Narrow" w:hAnsi="Arial Narrow" w:cs="Arial"/>
                <w:snapToGrid w:val="0"/>
                <w:color w:val="000000"/>
                <w:sz w:val="20"/>
                <w:szCs w:val="18"/>
              </w:rPr>
              <w:t>-</w:t>
            </w:r>
          </w:p>
        </w:tc>
        <w:tc>
          <w:tcPr>
            <w:tcW w:w="749" w:type="pct"/>
            <w:vAlign w:val="center"/>
          </w:tcPr>
          <w:p w:rsidR="00CE2C77" w:rsidRPr="00CE2C77" w:rsidRDefault="00CE2C77" w:rsidP="00AD362F">
            <w:pPr>
              <w:keepNext/>
              <w:jc w:val="center"/>
              <w:rPr>
                <w:rFonts w:ascii="Arial Narrow" w:hAnsi="Arial Narrow" w:cs="Arial"/>
                <w:i/>
                <w:sz w:val="20"/>
                <w:szCs w:val="20"/>
              </w:rPr>
            </w:pPr>
            <w:r w:rsidRPr="00CE2C77">
              <w:rPr>
                <w:rFonts w:ascii="Arial Narrow" w:hAnsi="Arial Narrow" w:cs="Arial"/>
                <w:i/>
                <w:sz w:val="20"/>
                <w:szCs w:val="20"/>
              </w:rPr>
              <w:t>0.78</w:t>
            </w:r>
          </w:p>
          <w:p w:rsidR="00CE2C77" w:rsidRPr="00CE2C77" w:rsidRDefault="00CE2C77" w:rsidP="00AD362F">
            <w:pPr>
              <w:keepNext/>
              <w:jc w:val="center"/>
              <w:rPr>
                <w:rFonts w:ascii="Arial Narrow" w:hAnsi="Arial Narrow" w:cs="Arial Narrow"/>
                <w:sz w:val="20"/>
                <w:szCs w:val="18"/>
              </w:rPr>
            </w:pPr>
            <w:r w:rsidRPr="00CE2C77">
              <w:rPr>
                <w:rFonts w:ascii="Arial Narrow" w:hAnsi="Arial Narrow" w:cs="Arial"/>
                <w:i/>
                <w:sz w:val="20"/>
                <w:szCs w:val="20"/>
              </w:rPr>
              <w:t>(0.62, 0.98)</w:t>
            </w:r>
          </w:p>
        </w:tc>
        <w:tc>
          <w:tcPr>
            <w:tcW w:w="418" w:type="pct"/>
            <w:vAlign w:val="center"/>
          </w:tcPr>
          <w:p w:rsidR="00CE2C77" w:rsidRPr="00CE2C77" w:rsidRDefault="00CE2C77" w:rsidP="00AD362F">
            <w:pPr>
              <w:keepNext/>
              <w:jc w:val="center"/>
              <w:rPr>
                <w:rFonts w:ascii="Arial Narrow" w:hAnsi="Arial Narrow" w:cs="Arial"/>
                <w:i/>
                <w:snapToGrid w:val="0"/>
                <w:color w:val="000000"/>
                <w:sz w:val="20"/>
                <w:szCs w:val="18"/>
              </w:rPr>
            </w:pPr>
            <w:r w:rsidRPr="00CE2C77">
              <w:rPr>
                <w:rFonts w:ascii="Arial Narrow" w:hAnsi="Arial Narrow" w:cs="Arial"/>
                <w:i/>
                <w:snapToGrid w:val="0"/>
                <w:color w:val="000000"/>
                <w:sz w:val="20"/>
                <w:szCs w:val="18"/>
              </w:rPr>
              <w:t>0.3</w:t>
            </w:r>
          </w:p>
        </w:tc>
        <w:tc>
          <w:tcPr>
            <w:tcW w:w="415" w:type="pct"/>
            <w:vAlign w:val="center"/>
          </w:tcPr>
          <w:p w:rsidR="00CE2C77" w:rsidRPr="00CE2C77" w:rsidRDefault="00CE2C77" w:rsidP="00AD362F">
            <w:pPr>
              <w:keepNext/>
              <w:jc w:val="center"/>
              <w:rPr>
                <w:rFonts w:ascii="Arial Narrow" w:hAnsi="Arial Narrow" w:cs="Arial"/>
                <w:i/>
                <w:snapToGrid w:val="0"/>
                <w:color w:val="000000"/>
                <w:sz w:val="20"/>
                <w:szCs w:val="18"/>
              </w:rPr>
            </w:pPr>
            <w:r w:rsidRPr="00CE2C77">
              <w:rPr>
                <w:rFonts w:ascii="Arial Narrow" w:hAnsi="Arial Narrow" w:cs="Arial"/>
                <w:i/>
                <w:snapToGrid w:val="0"/>
                <w:color w:val="000000"/>
                <w:sz w:val="20"/>
                <w:szCs w:val="18"/>
              </w:rPr>
              <w:t>0.4</w:t>
            </w:r>
          </w:p>
        </w:tc>
        <w:tc>
          <w:tcPr>
            <w:tcW w:w="498" w:type="pct"/>
            <w:gridSpan w:val="3"/>
            <w:vAlign w:val="center"/>
          </w:tcPr>
          <w:p w:rsidR="00CE2C77" w:rsidRPr="00CE2C77" w:rsidRDefault="00CE2C77" w:rsidP="00AD362F">
            <w:pPr>
              <w:keepNext/>
              <w:jc w:val="center"/>
              <w:rPr>
                <w:rFonts w:ascii="Arial Narrow" w:hAnsi="Arial Narrow" w:cs="Arial"/>
                <w:i/>
                <w:snapToGrid w:val="0"/>
                <w:color w:val="000000"/>
                <w:sz w:val="20"/>
                <w:szCs w:val="18"/>
              </w:rPr>
            </w:pPr>
            <w:r w:rsidRPr="00CE2C77">
              <w:rPr>
                <w:rFonts w:ascii="Arial Narrow" w:hAnsi="Arial Narrow" w:cs="Arial"/>
                <w:i/>
                <w:snapToGrid w:val="0"/>
                <w:color w:val="000000"/>
                <w:sz w:val="20"/>
                <w:szCs w:val="18"/>
              </w:rPr>
              <w:t>-</w:t>
            </w:r>
          </w:p>
        </w:tc>
        <w:tc>
          <w:tcPr>
            <w:tcW w:w="994" w:type="pct"/>
            <w:vAlign w:val="center"/>
          </w:tcPr>
          <w:p w:rsidR="00CE2C77" w:rsidRPr="00CE2C77" w:rsidRDefault="00CE2C77" w:rsidP="00AD362F">
            <w:pPr>
              <w:keepNext/>
              <w:jc w:val="center"/>
              <w:rPr>
                <w:rFonts w:ascii="Arial Narrow" w:hAnsi="Arial Narrow" w:cs="Arial"/>
                <w:i/>
                <w:snapToGrid w:val="0"/>
                <w:color w:val="000000"/>
                <w:sz w:val="20"/>
                <w:szCs w:val="18"/>
              </w:rPr>
            </w:pPr>
            <w:r w:rsidRPr="00CE2C77">
              <w:rPr>
                <w:rFonts w:ascii="Arial Narrow" w:hAnsi="Arial Narrow" w:cs="Arial"/>
                <w:i/>
                <w:snapToGrid w:val="0"/>
                <w:color w:val="000000"/>
                <w:sz w:val="20"/>
                <w:szCs w:val="18"/>
              </w:rPr>
              <w:t>-0.0009</w:t>
            </w:r>
          </w:p>
          <w:p w:rsidR="00CE2C77" w:rsidRPr="00CE2C77" w:rsidRDefault="00CE2C77" w:rsidP="00AD362F">
            <w:pPr>
              <w:keepNext/>
              <w:jc w:val="center"/>
              <w:rPr>
                <w:rFonts w:ascii="Arial Narrow" w:hAnsi="Arial Narrow" w:cs="Arial"/>
                <w:i/>
                <w:snapToGrid w:val="0"/>
                <w:color w:val="000000"/>
                <w:sz w:val="20"/>
                <w:szCs w:val="18"/>
              </w:rPr>
            </w:pPr>
            <w:r w:rsidRPr="00CE2C77">
              <w:rPr>
                <w:rFonts w:ascii="Arial Narrow" w:hAnsi="Arial Narrow" w:cs="Arial"/>
                <w:i/>
                <w:snapToGrid w:val="0"/>
                <w:color w:val="000000"/>
                <w:sz w:val="20"/>
                <w:szCs w:val="18"/>
              </w:rPr>
              <w:t>(-0.00</w:t>
            </w:r>
            <w:r w:rsidR="00421C5F">
              <w:rPr>
                <w:rFonts w:ascii="Arial Narrow" w:hAnsi="Arial Narrow" w:cs="Arial"/>
                <w:i/>
                <w:snapToGrid w:val="0"/>
                <w:color w:val="000000"/>
                <w:sz w:val="20"/>
                <w:szCs w:val="18"/>
              </w:rPr>
              <w:t>17</w:t>
            </w:r>
            <w:r w:rsidRPr="00CE2C77">
              <w:rPr>
                <w:rFonts w:ascii="Arial Narrow" w:hAnsi="Arial Narrow" w:cs="Arial"/>
                <w:i/>
                <w:snapToGrid w:val="0"/>
                <w:color w:val="000000"/>
                <w:sz w:val="20"/>
                <w:szCs w:val="18"/>
              </w:rPr>
              <w:t>, -0.00</w:t>
            </w:r>
            <w:r w:rsidR="00421C5F">
              <w:rPr>
                <w:rFonts w:ascii="Arial Narrow" w:hAnsi="Arial Narrow" w:cs="Arial"/>
                <w:i/>
                <w:snapToGrid w:val="0"/>
                <w:color w:val="000000"/>
                <w:sz w:val="20"/>
                <w:szCs w:val="18"/>
              </w:rPr>
              <w:t>01</w:t>
            </w:r>
            <w:r w:rsidRPr="00CE2C77">
              <w:rPr>
                <w:rFonts w:ascii="Arial Narrow" w:hAnsi="Arial Narrow" w:cs="Arial"/>
                <w:i/>
                <w:snapToGrid w:val="0"/>
                <w:color w:val="000000"/>
                <w:sz w:val="20"/>
                <w:szCs w:val="18"/>
              </w:rPr>
              <w:t>)</w:t>
            </w:r>
          </w:p>
        </w:tc>
      </w:tr>
      <w:tr w:rsidR="00CE2C77" w:rsidRPr="00CE2C77" w:rsidTr="00CE2C77">
        <w:tc>
          <w:tcPr>
            <w:tcW w:w="678" w:type="pct"/>
            <w:shd w:val="clear" w:color="auto" w:fill="auto"/>
            <w:vAlign w:val="center"/>
          </w:tcPr>
          <w:p w:rsidR="00CE2C77" w:rsidRPr="00CE2C77" w:rsidRDefault="00CE2C77" w:rsidP="00AD362F">
            <w:pPr>
              <w:keepNext/>
              <w:rPr>
                <w:rFonts w:ascii="Arial Narrow" w:hAnsi="Arial Narrow" w:cs="Arial"/>
                <w:sz w:val="20"/>
                <w:szCs w:val="20"/>
              </w:rPr>
            </w:pPr>
            <w:r w:rsidRPr="00CE2C77">
              <w:rPr>
                <w:rFonts w:ascii="Arial Narrow" w:hAnsi="Arial Narrow" w:cs="Arial Narrow"/>
                <w:color w:val="000000"/>
                <w:sz w:val="20"/>
                <w:szCs w:val="18"/>
              </w:rPr>
              <w:t>23vPPV RCTs pooled, 3 trials</w:t>
            </w:r>
          </w:p>
        </w:tc>
        <w:tc>
          <w:tcPr>
            <w:tcW w:w="415" w:type="pct"/>
            <w:vAlign w:val="center"/>
          </w:tcPr>
          <w:p w:rsidR="00CE2C77" w:rsidRPr="00CE2C77" w:rsidRDefault="00CE2C77" w:rsidP="00AD362F">
            <w:pPr>
              <w:jc w:val="center"/>
              <w:rPr>
                <w:rFonts w:ascii="Arial Narrow" w:hAnsi="Arial Narrow" w:cs="Arial"/>
                <w:snapToGrid w:val="0"/>
                <w:color w:val="000000"/>
                <w:sz w:val="20"/>
                <w:szCs w:val="18"/>
              </w:rPr>
            </w:pPr>
            <w:r w:rsidRPr="00CE2C77">
              <w:rPr>
                <w:rFonts w:ascii="Arial Narrow" w:hAnsi="Arial Narrow" w:cs="Arial"/>
                <w:snapToGrid w:val="0"/>
                <w:color w:val="000000"/>
                <w:sz w:val="20"/>
                <w:szCs w:val="18"/>
              </w:rPr>
              <w:t>-</w:t>
            </w:r>
          </w:p>
        </w:tc>
        <w:tc>
          <w:tcPr>
            <w:tcW w:w="415" w:type="pct"/>
            <w:vAlign w:val="center"/>
          </w:tcPr>
          <w:p w:rsidR="00CE2C77" w:rsidRPr="00CE2C77" w:rsidRDefault="00CE2C77" w:rsidP="00AD362F">
            <w:pPr>
              <w:keepNext/>
              <w:jc w:val="center"/>
              <w:rPr>
                <w:rFonts w:ascii="Arial Narrow" w:hAnsi="Arial Narrow" w:cs="Arial"/>
                <w:sz w:val="20"/>
                <w:szCs w:val="20"/>
              </w:rPr>
            </w:pPr>
            <w:r w:rsidRPr="00CE2C77">
              <w:rPr>
                <w:rFonts w:ascii="Arial Narrow" w:hAnsi="Arial Narrow" w:cs="Arial"/>
                <w:sz w:val="20"/>
                <w:szCs w:val="20"/>
              </w:rPr>
              <w:t>58/</w:t>
            </w:r>
          </w:p>
          <w:p w:rsidR="00CE2C77" w:rsidRPr="00CE2C77" w:rsidRDefault="00CE2C77" w:rsidP="00AD362F">
            <w:pPr>
              <w:keepNext/>
              <w:jc w:val="center"/>
              <w:rPr>
                <w:rFonts w:ascii="Arial Narrow" w:hAnsi="Arial Narrow" w:cs="Arial"/>
                <w:sz w:val="20"/>
                <w:szCs w:val="20"/>
              </w:rPr>
            </w:pPr>
            <w:r w:rsidRPr="00CE2C77">
              <w:rPr>
                <w:rFonts w:ascii="Arial Narrow" w:hAnsi="Arial Narrow" w:cs="Arial"/>
                <w:sz w:val="20"/>
                <w:szCs w:val="20"/>
              </w:rPr>
              <w:t>1,154</w:t>
            </w:r>
          </w:p>
        </w:tc>
        <w:tc>
          <w:tcPr>
            <w:tcW w:w="418" w:type="pct"/>
            <w:vAlign w:val="center"/>
          </w:tcPr>
          <w:p w:rsidR="00CE2C77" w:rsidRPr="00CE2C77" w:rsidRDefault="00CE2C77" w:rsidP="00AD362F">
            <w:pPr>
              <w:keepNext/>
              <w:jc w:val="center"/>
              <w:rPr>
                <w:rFonts w:ascii="Arial Narrow" w:hAnsi="Arial Narrow" w:cs="Arial"/>
                <w:sz w:val="20"/>
                <w:szCs w:val="20"/>
              </w:rPr>
            </w:pPr>
            <w:r w:rsidRPr="00CE2C77">
              <w:rPr>
                <w:rFonts w:ascii="Arial Narrow" w:hAnsi="Arial Narrow" w:cs="Arial"/>
                <w:sz w:val="20"/>
                <w:szCs w:val="20"/>
              </w:rPr>
              <w:t>33/</w:t>
            </w:r>
          </w:p>
          <w:p w:rsidR="00CE2C77" w:rsidRPr="00CE2C77" w:rsidRDefault="00CE2C77" w:rsidP="00AD362F">
            <w:pPr>
              <w:keepNext/>
              <w:jc w:val="center"/>
              <w:rPr>
                <w:rFonts w:ascii="Arial Narrow" w:hAnsi="Arial Narrow" w:cs="Arial"/>
                <w:sz w:val="20"/>
                <w:szCs w:val="20"/>
              </w:rPr>
            </w:pPr>
            <w:r w:rsidRPr="00CE2C77">
              <w:rPr>
                <w:rFonts w:ascii="Arial Narrow" w:hAnsi="Arial Narrow" w:cs="Arial"/>
                <w:sz w:val="20"/>
                <w:szCs w:val="20"/>
              </w:rPr>
              <w:t>1,139</w:t>
            </w:r>
          </w:p>
        </w:tc>
        <w:tc>
          <w:tcPr>
            <w:tcW w:w="749" w:type="pct"/>
          </w:tcPr>
          <w:p w:rsidR="00CE2C77" w:rsidRPr="00CE2C77" w:rsidRDefault="00CE2C77" w:rsidP="00AD362F">
            <w:pPr>
              <w:keepNext/>
              <w:jc w:val="center"/>
              <w:rPr>
                <w:rFonts w:ascii="Arial Narrow" w:hAnsi="Arial Narrow" w:cs="Arial Narrow"/>
                <w:sz w:val="20"/>
                <w:szCs w:val="20"/>
              </w:rPr>
            </w:pPr>
            <w:r w:rsidRPr="00CE2C77">
              <w:rPr>
                <w:rFonts w:ascii="Arial Narrow" w:hAnsi="Arial Narrow" w:cs="Arial Narrow"/>
                <w:sz w:val="20"/>
                <w:szCs w:val="20"/>
              </w:rPr>
              <w:t>0.54 (0.18, 1.65)</w:t>
            </w:r>
          </w:p>
          <w:p w:rsidR="00CE2C77" w:rsidRPr="00CE2C77" w:rsidRDefault="00CE2C77" w:rsidP="00AD362F">
            <w:pPr>
              <w:keepNext/>
              <w:jc w:val="center"/>
              <w:rPr>
                <w:rFonts w:ascii="Arial Narrow" w:hAnsi="Arial Narrow" w:cs="Arial"/>
                <w:sz w:val="20"/>
                <w:szCs w:val="20"/>
                <w:highlight w:val="yellow"/>
              </w:rPr>
            </w:pPr>
            <w:r w:rsidRPr="00CE2C77">
              <w:rPr>
                <w:rFonts w:ascii="Arial Narrow" w:hAnsi="Arial Narrow" w:cs="Arial"/>
                <w:sz w:val="20"/>
                <w:szCs w:val="20"/>
              </w:rPr>
              <w:t>Heterogeneity p-value=0.01</w:t>
            </w:r>
          </w:p>
        </w:tc>
        <w:tc>
          <w:tcPr>
            <w:tcW w:w="418" w:type="pct"/>
            <w:vAlign w:val="center"/>
          </w:tcPr>
          <w:p w:rsidR="00CE2C77" w:rsidRPr="00CE2C77" w:rsidRDefault="00CE2C77" w:rsidP="00AD362F">
            <w:pPr>
              <w:jc w:val="center"/>
              <w:rPr>
                <w:rFonts w:ascii="Arial Narrow" w:hAnsi="Arial Narrow" w:cs="Arial"/>
                <w:snapToGrid w:val="0"/>
                <w:color w:val="000000"/>
                <w:sz w:val="20"/>
                <w:szCs w:val="18"/>
              </w:rPr>
            </w:pPr>
            <w:r w:rsidRPr="00CE2C77">
              <w:rPr>
                <w:rFonts w:ascii="Arial Narrow" w:hAnsi="Arial Narrow" w:cs="Arial"/>
                <w:snapToGrid w:val="0"/>
                <w:color w:val="000000"/>
                <w:sz w:val="20"/>
                <w:szCs w:val="18"/>
              </w:rPr>
              <w:t>-</w:t>
            </w:r>
          </w:p>
        </w:tc>
        <w:tc>
          <w:tcPr>
            <w:tcW w:w="415" w:type="pct"/>
            <w:vAlign w:val="center"/>
          </w:tcPr>
          <w:p w:rsidR="00CE2C77" w:rsidRPr="00CE2C77" w:rsidRDefault="00CE2C77" w:rsidP="00AD362F">
            <w:pPr>
              <w:jc w:val="center"/>
              <w:rPr>
                <w:rFonts w:ascii="Arial Narrow" w:hAnsi="Arial Narrow" w:cs="Arial"/>
                <w:snapToGrid w:val="0"/>
                <w:color w:val="000000"/>
                <w:sz w:val="20"/>
                <w:szCs w:val="18"/>
              </w:rPr>
            </w:pPr>
            <w:r w:rsidRPr="00CE2C77">
              <w:rPr>
                <w:rFonts w:ascii="Arial Narrow" w:hAnsi="Arial Narrow" w:cs="Arial"/>
                <w:snapToGrid w:val="0"/>
                <w:color w:val="000000"/>
                <w:sz w:val="20"/>
                <w:szCs w:val="18"/>
              </w:rPr>
              <w:t>5.0</w:t>
            </w:r>
          </w:p>
        </w:tc>
        <w:tc>
          <w:tcPr>
            <w:tcW w:w="498" w:type="pct"/>
            <w:gridSpan w:val="3"/>
            <w:vAlign w:val="center"/>
          </w:tcPr>
          <w:p w:rsidR="00CE2C77" w:rsidRPr="00CE2C77" w:rsidRDefault="00CE2C77" w:rsidP="00AD362F">
            <w:pPr>
              <w:jc w:val="center"/>
              <w:rPr>
                <w:rFonts w:ascii="Arial Narrow" w:hAnsi="Arial Narrow" w:cs="Arial"/>
                <w:snapToGrid w:val="0"/>
                <w:color w:val="000000"/>
                <w:sz w:val="20"/>
                <w:szCs w:val="18"/>
              </w:rPr>
            </w:pPr>
            <w:r w:rsidRPr="00CE2C77">
              <w:rPr>
                <w:rFonts w:ascii="Arial Narrow" w:hAnsi="Arial Narrow" w:cs="Arial"/>
                <w:snapToGrid w:val="0"/>
                <w:color w:val="000000"/>
                <w:sz w:val="20"/>
                <w:szCs w:val="18"/>
              </w:rPr>
              <w:t>2.9</w:t>
            </w:r>
          </w:p>
        </w:tc>
        <w:tc>
          <w:tcPr>
            <w:tcW w:w="994" w:type="pct"/>
            <w:vAlign w:val="center"/>
          </w:tcPr>
          <w:p w:rsidR="00CE2C77" w:rsidRPr="00CE2C77" w:rsidRDefault="00CE2C77" w:rsidP="00AD362F">
            <w:pPr>
              <w:jc w:val="center"/>
              <w:rPr>
                <w:rFonts w:ascii="Arial Narrow" w:hAnsi="Arial Narrow" w:cs="Arial"/>
                <w:snapToGrid w:val="0"/>
                <w:color w:val="000000"/>
                <w:sz w:val="20"/>
                <w:szCs w:val="18"/>
              </w:rPr>
            </w:pPr>
            <w:r w:rsidRPr="00CE2C77">
              <w:rPr>
                <w:rFonts w:ascii="Arial Narrow" w:hAnsi="Arial Narrow" w:cs="Arial"/>
                <w:snapToGrid w:val="0"/>
                <w:color w:val="000000"/>
                <w:sz w:val="20"/>
                <w:szCs w:val="18"/>
              </w:rPr>
              <w:t>-0.02 (-0.05, 0.01)</w:t>
            </w:r>
          </w:p>
          <w:p w:rsidR="00CE2C77" w:rsidRPr="00CE2C77" w:rsidRDefault="00CE2C77" w:rsidP="00AD362F">
            <w:pPr>
              <w:jc w:val="center"/>
              <w:rPr>
                <w:rFonts w:ascii="Arial Narrow" w:hAnsi="Arial Narrow" w:cs="Arial"/>
                <w:snapToGrid w:val="0"/>
                <w:color w:val="000000"/>
                <w:sz w:val="20"/>
                <w:szCs w:val="18"/>
              </w:rPr>
            </w:pPr>
            <w:r w:rsidRPr="00CE2C77">
              <w:rPr>
                <w:rFonts w:ascii="Arial Narrow" w:hAnsi="Arial Narrow" w:cs="Arial"/>
                <w:snapToGrid w:val="0"/>
                <w:color w:val="000000"/>
                <w:sz w:val="20"/>
                <w:szCs w:val="18"/>
              </w:rPr>
              <w:t>Heterogeneity p-value=0.03</w:t>
            </w:r>
          </w:p>
        </w:tc>
      </w:tr>
      <w:tr w:rsidR="00CE2C77" w:rsidRPr="00CE2C77" w:rsidTr="00CE2C77">
        <w:tc>
          <w:tcPr>
            <w:tcW w:w="5000" w:type="pct"/>
            <w:gridSpan w:val="11"/>
            <w:tcBorders>
              <w:top w:val="double" w:sz="4" w:space="0" w:color="auto"/>
            </w:tcBorders>
            <w:shd w:val="clear" w:color="auto" w:fill="auto"/>
            <w:vAlign w:val="center"/>
          </w:tcPr>
          <w:p w:rsidR="00CE2C77" w:rsidRPr="00CE2C77" w:rsidRDefault="00CE2C77" w:rsidP="00AD362F">
            <w:pPr>
              <w:keepNext/>
              <w:jc w:val="both"/>
              <w:rPr>
                <w:rFonts w:ascii="Arial Narrow" w:hAnsi="Arial Narrow" w:cs="Arial"/>
                <w:b/>
                <w:snapToGrid w:val="0"/>
                <w:color w:val="000000"/>
                <w:sz w:val="20"/>
                <w:szCs w:val="18"/>
              </w:rPr>
            </w:pPr>
            <w:r w:rsidRPr="00CE2C77">
              <w:rPr>
                <w:rFonts w:ascii="Arial Narrow" w:hAnsi="Arial Narrow" w:cs="Arial"/>
                <w:b/>
                <w:snapToGrid w:val="0"/>
                <w:color w:val="000000"/>
                <w:sz w:val="20"/>
                <w:szCs w:val="18"/>
              </w:rPr>
              <w:t>Pneumonia (all-cause)</w:t>
            </w:r>
          </w:p>
        </w:tc>
      </w:tr>
      <w:tr w:rsidR="00CE2C77" w:rsidRPr="00CE2C77" w:rsidTr="00CE2C77">
        <w:trPr>
          <w:trHeight w:val="105"/>
        </w:trPr>
        <w:tc>
          <w:tcPr>
            <w:tcW w:w="678" w:type="pct"/>
            <w:vMerge w:val="restart"/>
            <w:shd w:val="clear" w:color="auto" w:fill="auto"/>
            <w:vAlign w:val="center"/>
          </w:tcPr>
          <w:p w:rsidR="00CE2C77" w:rsidRPr="00CE2C77" w:rsidRDefault="00CE2C77" w:rsidP="00AD362F">
            <w:pPr>
              <w:keepNext/>
              <w:jc w:val="both"/>
              <w:rPr>
                <w:rFonts w:ascii="Arial Narrow" w:hAnsi="Arial Narrow" w:cs="Arial"/>
                <w:snapToGrid w:val="0"/>
                <w:color w:val="000000"/>
                <w:sz w:val="20"/>
                <w:szCs w:val="18"/>
              </w:rPr>
            </w:pPr>
          </w:p>
        </w:tc>
        <w:tc>
          <w:tcPr>
            <w:tcW w:w="415" w:type="pct"/>
            <w:vMerge w:val="restart"/>
            <w:vAlign w:val="center"/>
          </w:tcPr>
          <w:p w:rsidR="00CE2C77" w:rsidRPr="00CE2C77" w:rsidRDefault="00CE2C77" w:rsidP="00AD362F">
            <w:pPr>
              <w:keepNext/>
              <w:jc w:val="center"/>
              <w:rPr>
                <w:rFonts w:ascii="Arial Narrow" w:hAnsi="Arial Narrow" w:cs="Arial"/>
                <w:b/>
                <w:snapToGrid w:val="0"/>
                <w:color w:val="000000"/>
                <w:sz w:val="20"/>
                <w:szCs w:val="18"/>
              </w:rPr>
            </w:pPr>
            <w:r w:rsidRPr="00CE2C77">
              <w:rPr>
                <w:rFonts w:ascii="Arial Narrow" w:hAnsi="Arial Narrow" w:cs="Arial"/>
                <w:b/>
                <w:snapToGrid w:val="0"/>
                <w:color w:val="000000"/>
                <w:sz w:val="20"/>
                <w:szCs w:val="18"/>
              </w:rPr>
              <w:t>13vPCV</w:t>
            </w:r>
          </w:p>
        </w:tc>
        <w:tc>
          <w:tcPr>
            <w:tcW w:w="415" w:type="pct"/>
            <w:vMerge w:val="restart"/>
            <w:vAlign w:val="center"/>
          </w:tcPr>
          <w:p w:rsidR="00CE2C77" w:rsidRPr="00CE2C77" w:rsidRDefault="00CE2C77" w:rsidP="00AD362F">
            <w:pPr>
              <w:keepNext/>
              <w:jc w:val="center"/>
              <w:rPr>
                <w:rFonts w:ascii="Arial Narrow" w:hAnsi="Arial Narrow" w:cs="Arial"/>
                <w:b/>
                <w:snapToGrid w:val="0"/>
                <w:color w:val="000000"/>
                <w:sz w:val="20"/>
                <w:szCs w:val="18"/>
              </w:rPr>
            </w:pPr>
            <w:r w:rsidRPr="00CE2C77">
              <w:rPr>
                <w:rFonts w:ascii="Arial Narrow" w:hAnsi="Arial Narrow" w:cs="Arial"/>
                <w:b/>
                <w:snapToGrid w:val="0"/>
                <w:color w:val="000000"/>
                <w:sz w:val="20"/>
                <w:szCs w:val="18"/>
              </w:rPr>
              <w:t>PBO</w:t>
            </w:r>
            <w:r w:rsidRPr="00CE2C77">
              <w:rPr>
                <w:rFonts w:ascii="Arial Narrow" w:hAnsi="Arial Narrow" w:cs="Arial"/>
                <w:b/>
                <w:snapToGrid w:val="0"/>
                <w:color w:val="000000"/>
                <w:sz w:val="20"/>
                <w:szCs w:val="18"/>
                <w:vertAlign w:val="superscript"/>
              </w:rPr>
              <w:t>a</w:t>
            </w:r>
          </w:p>
        </w:tc>
        <w:tc>
          <w:tcPr>
            <w:tcW w:w="418" w:type="pct"/>
            <w:vMerge w:val="restart"/>
            <w:vAlign w:val="center"/>
          </w:tcPr>
          <w:p w:rsidR="00CE2C77" w:rsidRPr="00CE2C77" w:rsidRDefault="00CE2C77" w:rsidP="00AD362F">
            <w:pPr>
              <w:keepNext/>
              <w:jc w:val="center"/>
              <w:rPr>
                <w:rFonts w:ascii="Arial Narrow" w:hAnsi="Arial Narrow" w:cs="Arial"/>
                <w:b/>
                <w:snapToGrid w:val="0"/>
                <w:color w:val="000000"/>
                <w:sz w:val="20"/>
                <w:szCs w:val="18"/>
              </w:rPr>
            </w:pPr>
            <w:r w:rsidRPr="00CE2C77">
              <w:rPr>
                <w:rFonts w:ascii="Arial Narrow" w:hAnsi="Arial Narrow" w:cs="Arial"/>
                <w:b/>
                <w:snapToGrid w:val="0"/>
                <w:color w:val="000000"/>
                <w:sz w:val="20"/>
                <w:szCs w:val="18"/>
              </w:rPr>
              <w:t>23vPPV</w:t>
            </w:r>
          </w:p>
        </w:tc>
        <w:tc>
          <w:tcPr>
            <w:tcW w:w="749" w:type="pct"/>
            <w:vMerge w:val="restart"/>
            <w:vAlign w:val="center"/>
          </w:tcPr>
          <w:p w:rsidR="00CE2C77" w:rsidRPr="00CE2C77" w:rsidRDefault="00CE2C77" w:rsidP="00AD362F">
            <w:pPr>
              <w:keepNext/>
              <w:jc w:val="center"/>
              <w:rPr>
                <w:rFonts w:ascii="Arial Narrow" w:hAnsi="Arial Narrow" w:cs="Arial"/>
                <w:b/>
                <w:snapToGrid w:val="0"/>
                <w:color w:val="000000"/>
                <w:sz w:val="20"/>
                <w:szCs w:val="18"/>
              </w:rPr>
            </w:pPr>
            <w:r w:rsidRPr="00CE2C77">
              <w:rPr>
                <w:rFonts w:ascii="Arial Narrow" w:hAnsi="Arial Narrow" w:cs="Arial"/>
                <w:b/>
                <w:snapToGrid w:val="0"/>
                <w:color w:val="000000"/>
                <w:sz w:val="20"/>
                <w:szCs w:val="18"/>
              </w:rPr>
              <w:t>RR</w:t>
            </w:r>
          </w:p>
          <w:p w:rsidR="00CE2C77" w:rsidRPr="00CE2C77" w:rsidRDefault="00CE2C77" w:rsidP="00AD362F">
            <w:pPr>
              <w:keepNext/>
              <w:jc w:val="center"/>
              <w:rPr>
                <w:rFonts w:ascii="Arial Narrow" w:hAnsi="Arial Narrow" w:cs="Arial"/>
                <w:snapToGrid w:val="0"/>
                <w:color w:val="000000"/>
                <w:sz w:val="20"/>
                <w:szCs w:val="18"/>
              </w:rPr>
            </w:pPr>
            <w:r w:rsidRPr="00CE2C77">
              <w:rPr>
                <w:rFonts w:ascii="Arial Narrow" w:hAnsi="Arial Narrow" w:cs="Arial"/>
                <w:b/>
                <w:snapToGrid w:val="0"/>
                <w:color w:val="000000"/>
                <w:sz w:val="20"/>
                <w:szCs w:val="18"/>
              </w:rPr>
              <w:t>(95% CI)</w:t>
            </w:r>
          </w:p>
        </w:tc>
        <w:tc>
          <w:tcPr>
            <w:tcW w:w="1331" w:type="pct"/>
            <w:gridSpan w:val="5"/>
            <w:vAlign w:val="center"/>
          </w:tcPr>
          <w:p w:rsidR="00CE2C77" w:rsidRPr="00CE2C77" w:rsidRDefault="00CE2C77" w:rsidP="00AD362F">
            <w:pPr>
              <w:keepNext/>
              <w:jc w:val="center"/>
              <w:rPr>
                <w:rFonts w:ascii="Arial Narrow" w:hAnsi="Arial Narrow" w:cs="Arial"/>
                <w:b/>
                <w:snapToGrid w:val="0"/>
                <w:color w:val="000000"/>
                <w:sz w:val="20"/>
                <w:szCs w:val="18"/>
              </w:rPr>
            </w:pPr>
            <w:r w:rsidRPr="00CE2C77">
              <w:rPr>
                <w:rFonts w:ascii="Arial Narrow" w:hAnsi="Arial Narrow" w:cs="Arial"/>
                <w:b/>
                <w:snapToGrid w:val="0"/>
                <w:color w:val="000000"/>
                <w:sz w:val="20"/>
                <w:szCs w:val="18"/>
              </w:rPr>
              <w:t xml:space="preserve">Event rate/100 patients* </w:t>
            </w:r>
          </w:p>
        </w:tc>
        <w:tc>
          <w:tcPr>
            <w:tcW w:w="994" w:type="pct"/>
            <w:vMerge w:val="restart"/>
            <w:vAlign w:val="center"/>
          </w:tcPr>
          <w:p w:rsidR="00CE2C77" w:rsidRPr="00CE2C77" w:rsidRDefault="00CE2C77" w:rsidP="00AD362F">
            <w:pPr>
              <w:keepNext/>
              <w:jc w:val="center"/>
              <w:rPr>
                <w:rFonts w:ascii="Arial Narrow" w:hAnsi="Arial Narrow" w:cs="Arial"/>
                <w:b/>
                <w:snapToGrid w:val="0"/>
                <w:color w:val="000000"/>
                <w:sz w:val="20"/>
                <w:szCs w:val="18"/>
              </w:rPr>
            </w:pPr>
            <w:r w:rsidRPr="00CE2C77">
              <w:rPr>
                <w:rFonts w:ascii="Arial Narrow" w:hAnsi="Arial Narrow" w:cs="Arial"/>
                <w:b/>
                <w:snapToGrid w:val="0"/>
                <w:color w:val="000000"/>
                <w:sz w:val="20"/>
                <w:szCs w:val="18"/>
              </w:rPr>
              <w:t>RD</w:t>
            </w:r>
          </w:p>
          <w:p w:rsidR="00CE2C77" w:rsidRPr="00CE2C77" w:rsidRDefault="00CE2C77" w:rsidP="00AD362F">
            <w:pPr>
              <w:keepNext/>
              <w:jc w:val="center"/>
              <w:rPr>
                <w:rFonts w:ascii="Arial Narrow" w:hAnsi="Arial Narrow" w:cs="Arial"/>
                <w:snapToGrid w:val="0"/>
                <w:color w:val="000000"/>
                <w:sz w:val="20"/>
                <w:szCs w:val="18"/>
              </w:rPr>
            </w:pPr>
            <w:r w:rsidRPr="00CE2C77">
              <w:rPr>
                <w:rFonts w:ascii="Arial Narrow" w:hAnsi="Arial Narrow" w:cs="Arial"/>
                <w:b/>
                <w:snapToGrid w:val="0"/>
                <w:color w:val="000000"/>
                <w:sz w:val="20"/>
                <w:szCs w:val="18"/>
              </w:rPr>
              <w:t>(95% CI)</w:t>
            </w:r>
          </w:p>
        </w:tc>
      </w:tr>
      <w:tr w:rsidR="00CE2C77" w:rsidRPr="00CE2C77" w:rsidTr="00CE2C77">
        <w:trPr>
          <w:trHeight w:val="70"/>
        </w:trPr>
        <w:tc>
          <w:tcPr>
            <w:tcW w:w="678" w:type="pct"/>
            <w:vMerge/>
            <w:shd w:val="clear" w:color="auto" w:fill="auto"/>
            <w:vAlign w:val="center"/>
          </w:tcPr>
          <w:p w:rsidR="00CE2C77" w:rsidRPr="00CE2C77" w:rsidRDefault="00CE2C77" w:rsidP="00AD362F">
            <w:pPr>
              <w:keepNext/>
              <w:jc w:val="both"/>
              <w:rPr>
                <w:rFonts w:ascii="Arial Narrow" w:hAnsi="Arial Narrow" w:cs="Arial"/>
                <w:snapToGrid w:val="0"/>
                <w:color w:val="000000"/>
                <w:sz w:val="20"/>
                <w:szCs w:val="18"/>
              </w:rPr>
            </w:pPr>
          </w:p>
        </w:tc>
        <w:tc>
          <w:tcPr>
            <w:tcW w:w="415" w:type="pct"/>
            <w:vMerge/>
            <w:vAlign w:val="center"/>
          </w:tcPr>
          <w:p w:rsidR="00CE2C77" w:rsidRPr="00CE2C77" w:rsidRDefault="00CE2C77" w:rsidP="00AD362F">
            <w:pPr>
              <w:keepNext/>
              <w:jc w:val="center"/>
              <w:rPr>
                <w:rFonts w:ascii="Arial Narrow" w:hAnsi="Arial Narrow" w:cs="Arial"/>
                <w:b/>
                <w:snapToGrid w:val="0"/>
                <w:color w:val="000000"/>
                <w:sz w:val="20"/>
                <w:szCs w:val="18"/>
              </w:rPr>
            </w:pPr>
          </w:p>
        </w:tc>
        <w:tc>
          <w:tcPr>
            <w:tcW w:w="415" w:type="pct"/>
            <w:vMerge/>
            <w:vAlign w:val="center"/>
          </w:tcPr>
          <w:p w:rsidR="00CE2C77" w:rsidRPr="00CE2C77" w:rsidRDefault="00CE2C77" w:rsidP="00AD362F">
            <w:pPr>
              <w:keepNext/>
              <w:jc w:val="center"/>
              <w:rPr>
                <w:rFonts w:ascii="Arial Narrow" w:hAnsi="Arial Narrow" w:cs="Arial"/>
                <w:b/>
                <w:snapToGrid w:val="0"/>
                <w:color w:val="000000"/>
                <w:sz w:val="20"/>
                <w:szCs w:val="18"/>
              </w:rPr>
            </w:pPr>
          </w:p>
        </w:tc>
        <w:tc>
          <w:tcPr>
            <w:tcW w:w="418" w:type="pct"/>
            <w:vMerge/>
            <w:vAlign w:val="center"/>
          </w:tcPr>
          <w:p w:rsidR="00CE2C77" w:rsidRPr="00CE2C77" w:rsidRDefault="00CE2C77" w:rsidP="00AD362F">
            <w:pPr>
              <w:keepNext/>
              <w:jc w:val="center"/>
              <w:rPr>
                <w:rFonts w:ascii="Arial Narrow" w:hAnsi="Arial Narrow" w:cs="Arial"/>
                <w:b/>
                <w:snapToGrid w:val="0"/>
                <w:color w:val="000000"/>
                <w:sz w:val="20"/>
                <w:szCs w:val="18"/>
              </w:rPr>
            </w:pPr>
          </w:p>
        </w:tc>
        <w:tc>
          <w:tcPr>
            <w:tcW w:w="749" w:type="pct"/>
            <w:vMerge/>
            <w:vAlign w:val="center"/>
          </w:tcPr>
          <w:p w:rsidR="00CE2C77" w:rsidRPr="00CE2C77" w:rsidRDefault="00CE2C77" w:rsidP="00AD362F">
            <w:pPr>
              <w:keepNext/>
              <w:jc w:val="center"/>
              <w:rPr>
                <w:rFonts w:ascii="Arial Narrow" w:hAnsi="Arial Narrow" w:cs="Arial"/>
                <w:b/>
                <w:snapToGrid w:val="0"/>
                <w:color w:val="000000"/>
                <w:sz w:val="20"/>
                <w:szCs w:val="18"/>
              </w:rPr>
            </w:pPr>
          </w:p>
        </w:tc>
        <w:tc>
          <w:tcPr>
            <w:tcW w:w="418" w:type="pct"/>
            <w:vAlign w:val="center"/>
          </w:tcPr>
          <w:p w:rsidR="00CE2C77" w:rsidRPr="00CE2C77" w:rsidRDefault="00CE2C77" w:rsidP="00AD362F">
            <w:pPr>
              <w:keepNext/>
              <w:jc w:val="center"/>
              <w:rPr>
                <w:rFonts w:ascii="Arial Narrow" w:hAnsi="Arial Narrow" w:cs="Arial"/>
                <w:b/>
                <w:snapToGrid w:val="0"/>
                <w:color w:val="000000"/>
                <w:sz w:val="20"/>
                <w:szCs w:val="18"/>
              </w:rPr>
            </w:pPr>
            <w:r w:rsidRPr="00CE2C77">
              <w:rPr>
                <w:rFonts w:ascii="Arial Narrow" w:hAnsi="Arial Narrow" w:cs="Arial"/>
                <w:b/>
                <w:snapToGrid w:val="0"/>
                <w:color w:val="000000"/>
                <w:sz w:val="20"/>
                <w:szCs w:val="18"/>
              </w:rPr>
              <w:t>13vPCV</w:t>
            </w:r>
          </w:p>
        </w:tc>
        <w:tc>
          <w:tcPr>
            <w:tcW w:w="415" w:type="pct"/>
            <w:vAlign w:val="center"/>
          </w:tcPr>
          <w:p w:rsidR="00CE2C77" w:rsidRPr="00CE2C77" w:rsidRDefault="00CE2C77" w:rsidP="00AD362F">
            <w:pPr>
              <w:keepNext/>
              <w:jc w:val="center"/>
              <w:rPr>
                <w:rFonts w:ascii="Arial Narrow" w:hAnsi="Arial Narrow" w:cs="Arial"/>
                <w:b/>
                <w:snapToGrid w:val="0"/>
                <w:color w:val="000000"/>
                <w:sz w:val="20"/>
                <w:szCs w:val="18"/>
              </w:rPr>
            </w:pPr>
            <w:r w:rsidRPr="00CE2C77">
              <w:rPr>
                <w:rFonts w:ascii="Arial Narrow" w:hAnsi="Arial Narrow" w:cs="Arial"/>
                <w:b/>
                <w:snapToGrid w:val="0"/>
                <w:color w:val="000000"/>
                <w:sz w:val="20"/>
                <w:szCs w:val="18"/>
              </w:rPr>
              <w:t>PBO</w:t>
            </w:r>
            <w:r w:rsidRPr="00CE2C77">
              <w:rPr>
                <w:rFonts w:ascii="Arial Narrow" w:hAnsi="Arial Narrow" w:cs="Arial"/>
                <w:b/>
                <w:snapToGrid w:val="0"/>
                <w:color w:val="000000"/>
                <w:sz w:val="20"/>
                <w:szCs w:val="18"/>
                <w:vertAlign w:val="superscript"/>
              </w:rPr>
              <w:t>a</w:t>
            </w:r>
          </w:p>
        </w:tc>
        <w:tc>
          <w:tcPr>
            <w:tcW w:w="498" w:type="pct"/>
            <w:gridSpan w:val="3"/>
            <w:vAlign w:val="center"/>
          </w:tcPr>
          <w:p w:rsidR="00CE2C77" w:rsidRPr="00CE2C77" w:rsidRDefault="00CE2C77" w:rsidP="00AD362F">
            <w:pPr>
              <w:keepNext/>
              <w:jc w:val="center"/>
              <w:rPr>
                <w:rFonts w:ascii="Arial Narrow" w:hAnsi="Arial Narrow" w:cs="Arial"/>
                <w:b/>
                <w:snapToGrid w:val="0"/>
                <w:color w:val="000000"/>
                <w:sz w:val="20"/>
                <w:szCs w:val="18"/>
              </w:rPr>
            </w:pPr>
            <w:r w:rsidRPr="00CE2C77">
              <w:rPr>
                <w:rFonts w:ascii="Arial Narrow" w:hAnsi="Arial Narrow" w:cs="Arial"/>
                <w:b/>
                <w:snapToGrid w:val="0"/>
                <w:color w:val="000000"/>
                <w:sz w:val="20"/>
                <w:szCs w:val="18"/>
              </w:rPr>
              <w:t>23vPPV</w:t>
            </w:r>
          </w:p>
        </w:tc>
        <w:tc>
          <w:tcPr>
            <w:tcW w:w="994" w:type="pct"/>
            <w:vMerge/>
            <w:vAlign w:val="center"/>
          </w:tcPr>
          <w:p w:rsidR="00CE2C77" w:rsidRPr="00CE2C77" w:rsidRDefault="00CE2C77" w:rsidP="00AD362F">
            <w:pPr>
              <w:keepNext/>
              <w:jc w:val="center"/>
              <w:rPr>
                <w:rFonts w:ascii="Arial Narrow" w:hAnsi="Arial Narrow" w:cs="Arial"/>
                <w:b/>
                <w:snapToGrid w:val="0"/>
                <w:color w:val="000000"/>
                <w:sz w:val="20"/>
                <w:szCs w:val="18"/>
              </w:rPr>
            </w:pPr>
          </w:p>
        </w:tc>
      </w:tr>
      <w:tr w:rsidR="00CE2C77" w:rsidRPr="00CE2C77" w:rsidTr="00CE2C77">
        <w:tc>
          <w:tcPr>
            <w:tcW w:w="678" w:type="pct"/>
            <w:shd w:val="clear" w:color="auto" w:fill="auto"/>
            <w:vAlign w:val="center"/>
          </w:tcPr>
          <w:p w:rsidR="00CE2C77" w:rsidRPr="00CE2C77" w:rsidRDefault="00CE2C77" w:rsidP="00AD362F">
            <w:pPr>
              <w:keepNext/>
              <w:jc w:val="both"/>
              <w:rPr>
                <w:rFonts w:ascii="Arial Narrow" w:hAnsi="Arial Narrow" w:cs="Arial"/>
                <w:snapToGrid w:val="0"/>
                <w:color w:val="000000"/>
                <w:sz w:val="20"/>
                <w:szCs w:val="18"/>
              </w:rPr>
            </w:pPr>
            <w:r w:rsidRPr="00CE2C77">
              <w:rPr>
                <w:rFonts w:ascii="Arial Narrow" w:hAnsi="Arial Narrow" w:cs="Arial"/>
                <w:snapToGrid w:val="0"/>
                <w:color w:val="000000"/>
                <w:sz w:val="20"/>
                <w:szCs w:val="18"/>
              </w:rPr>
              <w:t>CAPiTA</w:t>
            </w:r>
          </w:p>
        </w:tc>
        <w:tc>
          <w:tcPr>
            <w:tcW w:w="415" w:type="pct"/>
            <w:vAlign w:val="center"/>
          </w:tcPr>
          <w:p w:rsidR="00CE2C77" w:rsidRPr="00CE2C77" w:rsidRDefault="00CE2C77" w:rsidP="00AD362F">
            <w:pPr>
              <w:keepNext/>
              <w:jc w:val="center"/>
              <w:rPr>
                <w:rFonts w:ascii="Arial Narrow" w:hAnsi="Arial Narrow" w:cs="Arial"/>
                <w:i/>
                <w:sz w:val="20"/>
                <w:szCs w:val="20"/>
              </w:rPr>
            </w:pPr>
            <w:r w:rsidRPr="00CE2C77">
              <w:rPr>
                <w:rFonts w:ascii="Arial Narrow" w:hAnsi="Arial Narrow" w:cs="Arial"/>
                <w:i/>
                <w:sz w:val="20"/>
                <w:szCs w:val="20"/>
              </w:rPr>
              <w:t>747/ 42,240</w:t>
            </w:r>
          </w:p>
        </w:tc>
        <w:tc>
          <w:tcPr>
            <w:tcW w:w="415" w:type="pct"/>
            <w:vAlign w:val="center"/>
          </w:tcPr>
          <w:p w:rsidR="00CE2C77" w:rsidRPr="00CE2C77" w:rsidRDefault="00CE2C77" w:rsidP="00AD362F">
            <w:pPr>
              <w:keepNext/>
              <w:jc w:val="center"/>
              <w:rPr>
                <w:rFonts w:ascii="Arial Narrow" w:hAnsi="Arial Narrow" w:cs="Arial"/>
                <w:i/>
                <w:sz w:val="20"/>
                <w:szCs w:val="20"/>
              </w:rPr>
            </w:pPr>
            <w:r w:rsidRPr="00CE2C77">
              <w:rPr>
                <w:rFonts w:ascii="Arial Narrow" w:hAnsi="Arial Narrow" w:cs="Arial"/>
                <w:i/>
                <w:sz w:val="20"/>
                <w:szCs w:val="20"/>
              </w:rPr>
              <w:t>787/ 42,256</w:t>
            </w:r>
          </w:p>
        </w:tc>
        <w:tc>
          <w:tcPr>
            <w:tcW w:w="418" w:type="pct"/>
            <w:vAlign w:val="center"/>
          </w:tcPr>
          <w:p w:rsidR="00CE2C77" w:rsidRPr="00CE2C77" w:rsidRDefault="00CE2C77" w:rsidP="00AD362F">
            <w:pPr>
              <w:keepNext/>
              <w:jc w:val="center"/>
              <w:rPr>
                <w:rFonts w:ascii="Arial Narrow" w:hAnsi="Arial Narrow" w:cs="Arial"/>
                <w:snapToGrid w:val="0"/>
                <w:color w:val="000000"/>
                <w:sz w:val="20"/>
                <w:szCs w:val="18"/>
              </w:rPr>
            </w:pPr>
            <w:r w:rsidRPr="00CE2C77">
              <w:rPr>
                <w:rFonts w:ascii="Arial Narrow" w:hAnsi="Arial Narrow" w:cs="Arial"/>
                <w:snapToGrid w:val="0"/>
                <w:color w:val="000000"/>
                <w:sz w:val="20"/>
                <w:szCs w:val="18"/>
              </w:rPr>
              <w:t>-</w:t>
            </w:r>
          </w:p>
        </w:tc>
        <w:tc>
          <w:tcPr>
            <w:tcW w:w="749" w:type="pct"/>
            <w:vAlign w:val="center"/>
          </w:tcPr>
          <w:p w:rsidR="00CE2C77" w:rsidRPr="00CE2C77" w:rsidRDefault="00CE2C77" w:rsidP="00AD362F">
            <w:pPr>
              <w:keepNext/>
              <w:jc w:val="center"/>
              <w:rPr>
                <w:rFonts w:ascii="Arial Narrow" w:hAnsi="Arial Narrow" w:cs="Arial"/>
                <w:i/>
                <w:snapToGrid w:val="0"/>
                <w:sz w:val="20"/>
                <w:szCs w:val="18"/>
              </w:rPr>
            </w:pPr>
            <w:r w:rsidRPr="00CE2C77">
              <w:rPr>
                <w:rFonts w:ascii="Arial Narrow" w:hAnsi="Arial Narrow" w:cs="Arial"/>
                <w:i/>
                <w:snapToGrid w:val="0"/>
                <w:sz w:val="20"/>
                <w:szCs w:val="18"/>
              </w:rPr>
              <w:t>0.95</w:t>
            </w:r>
          </w:p>
          <w:p w:rsidR="00CE2C77" w:rsidRPr="00CE2C77" w:rsidRDefault="00CE2C77" w:rsidP="00AD362F">
            <w:pPr>
              <w:keepNext/>
              <w:jc w:val="center"/>
              <w:rPr>
                <w:rFonts w:ascii="Arial Narrow" w:hAnsi="Arial Narrow" w:cs="Arial"/>
                <w:i/>
                <w:snapToGrid w:val="0"/>
                <w:sz w:val="20"/>
                <w:szCs w:val="18"/>
              </w:rPr>
            </w:pPr>
            <w:r w:rsidRPr="00CE2C77">
              <w:rPr>
                <w:rFonts w:ascii="Arial Narrow" w:hAnsi="Arial Narrow" w:cs="Arial"/>
                <w:i/>
                <w:snapToGrid w:val="0"/>
                <w:sz w:val="20"/>
                <w:szCs w:val="18"/>
              </w:rPr>
              <w:t>(0.86, 1.05)</w:t>
            </w:r>
          </w:p>
        </w:tc>
        <w:tc>
          <w:tcPr>
            <w:tcW w:w="418" w:type="pct"/>
            <w:vAlign w:val="center"/>
          </w:tcPr>
          <w:p w:rsidR="00CE2C77" w:rsidRPr="00CE2C77" w:rsidRDefault="00CE2C77" w:rsidP="00AD362F">
            <w:pPr>
              <w:keepNext/>
              <w:jc w:val="center"/>
              <w:rPr>
                <w:rFonts w:ascii="Arial Narrow" w:hAnsi="Arial Narrow" w:cs="Arial"/>
                <w:i/>
                <w:snapToGrid w:val="0"/>
                <w:color w:val="000000"/>
                <w:sz w:val="20"/>
                <w:szCs w:val="18"/>
              </w:rPr>
            </w:pPr>
            <w:r w:rsidRPr="00CE2C77">
              <w:rPr>
                <w:rFonts w:ascii="Arial Narrow" w:hAnsi="Arial Narrow" w:cs="Arial"/>
                <w:i/>
                <w:snapToGrid w:val="0"/>
                <w:color w:val="000000"/>
                <w:sz w:val="20"/>
                <w:szCs w:val="18"/>
              </w:rPr>
              <w:t>1.8</w:t>
            </w:r>
          </w:p>
        </w:tc>
        <w:tc>
          <w:tcPr>
            <w:tcW w:w="415" w:type="pct"/>
            <w:vAlign w:val="center"/>
          </w:tcPr>
          <w:p w:rsidR="00CE2C77" w:rsidRPr="00CE2C77" w:rsidRDefault="00CE2C77" w:rsidP="00AD362F">
            <w:pPr>
              <w:keepNext/>
              <w:jc w:val="center"/>
              <w:rPr>
                <w:rFonts w:ascii="Arial Narrow" w:hAnsi="Arial Narrow" w:cs="Arial"/>
                <w:i/>
                <w:snapToGrid w:val="0"/>
                <w:color w:val="000000"/>
                <w:sz w:val="20"/>
                <w:szCs w:val="18"/>
              </w:rPr>
            </w:pPr>
            <w:r w:rsidRPr="00CE2C77">
              <w:rPr>
                <w:rFonts w:ascii="Arial Narrow" w:hAnsi="Arial Narrow" w:cs="Arial"/>
                <w:i/>
                <w:snapToGrid w:val="0"/>
                <w:color w:val="000000"/>
                <w:sz w:val="20"/>
                <w:szCs w:val="18"/>
              </w:rPr>
              <w:t>1.9</w:t>
            </w:r>
          </w:p>
        </w:tc>
        <w:tc>
          <w:tcPr>
            <w:tcW w:w="498" w:type="pct"/>
            <w:gridSpan w:val="3"/>
            <w:vAlign w:val="center"/>
          </w:tcPr>
          <w:p w:rsidR="00CE2C77" w:rsidRPr="00CE2C77" w:rsidRDefault="00CE2C77" w:rsidP="00AD362F">
            <w:pPr>
              <w:keepNext/>
              <w:jc w:val="center"/>
              <w:rPr>
                <w:rFonts w:ascii="Arial Narrow" w:hAnsi="Arial Narrow" w:cs="Arial"/>
                <w:snapToGrid w:val="0"/>
                <w:color w:val="000000"/>
                <w:sz w:val="20"/>
                <w:szCs w:val="18"/>
              </w:rPr>
            </w:pPr>
            <w:r w:rsidRPr="00CE2C77">
              <w:rPr>
                <w:rFonts w:ascii="Arial Narrow" w:hAnsi="Arial Narrow" w:cs="Arial"/>
                <w:snapToGrid w:val="0"/>
                <w:color w:val="000000"/>
                <w:sz w:val="20"/>
                <w:szCs w:val="18"/>
              </w:rPr>
              <w:t>-</w:t>
            </w:r>
          </w:p>
        </w:tc>
        <w:tc>
          <w:tcPr>
            <w:tcW w:w="994" w:type="pct"/>
            <w:vAlign w:val="center"/>
          </w:tcPr>
          <w:p w:rsidR="00CE2C77" w:rsidRPr="00CE2C77" w:rsidRDefault="00CE2C77" w:rsidP="00AD362F">
            <w:pPr>
              <w:keepNext/>
              <w:jc w:val="center"/>
              <w:rPr>
                <w:rFonts w:ascii="Arial Narrow" w:hAnsi="Arial Narrow" w:cs="Arial"/>
                <w:i/>
                <w:snapToGrid w:val="0"/>
                <w:color w:val="000000"/>
                <w:sz w:val="20"/>
                <w:szCs w:val="18"/>
              </w:rPr>
            </w:pPr>
            <w:r w:rsidRPr="00CE2C77">
              <w:rPr>
                <w:rFonts w:ascii="Arial Narrow" w:hAnsi="Arial Narrow" w:cs="Arial"/>
                <w:i/>
                <w:snapToGrid w:val="0"/>
                <w:color w:val="000000"/>
                <w:sz w:val="20"/>
                <w:szCs w:val="18"/>
              </w:rPr>
              <w:t>-0.0009</w:t>
            </w:r>
          </w:p>
          <w:p w:rsidR="00CE2C77" w:rsidRPr="00CE2C77" w:rsidRDefault="00CE2C77" w:rsidP="00AD362F">
            <w:pPr>
              <w:keepNext/>
              <w:jc w:val="center"/>
              <w:rPr>
                <w:rFonts w:ascii="Arial Narrow" w:hAnsi="Arial Narrow" w:cs="Arial"/>
                <w:snapToGrid w:val="0"/>
                <w:color w:val="000000"/>
                <w:sz w:val="20"/>
                <w:szCs w:val="18"/>
              </w:rPr>
            </w:pPr>
            <w:r w:rsidRPr="00CE2C77">
              <w:rPr>
                <w:rFonts w:ascii="Arial Narrow" w:hAnsi="Arial Narrow" w:cs="Arial"/>
                <w:i/>
                <w:snapToGrid w:val="0"/>
                <w:color w:val="000000"/>
                <w:sz w:val="20"/>
                <w:szCs w:val="18"/>
              </w:rPr>
              <w:t>(-0.00</w:t>
            </w:r>
            <w:r w:rsidR="00421C5F">
              <w:rPr>
                <w:rFonts w:ascii="Arial Narrow" w:hAnsi="Arial Narrow" w:cs="Arial"/>
                <w:i/>
                <w:snapToGrid w:val="0"/>
                <w:color w:val="000000"/>
                <w:sz w:val="20"/>
                <w:szCs w:val="18"/>
              </w:rPr>
              <w:t>27</w:t>
            </w:r>
            <w:r w:rsidRPr="00CE2C77">
              <w:rPr>
                <w:rFonts w:ascii="Arial Narrow" w:hAnsi="Arial Narrow" w:cs="Arial"/>
                <w:i/>
                <w:snapToGrid w:val="0"/>
                <w:color w:val="000000"/>
                <w:sz w:val="20"/>
                <w:szCs w:val="18"/>
              </w:rPr>
              <w:t>, 0.00</w:t>
            </w:r>
            <w:r w:rsidR="00421C5F">
              <w:rPr>
                <w:rFonts w:ascii="Arial Narrow" w:hAnsi="Arial Narrow" w:cs="Arial"/>
                <w:i/>
                <w:snapToGrid w:val="0"/>
                <w:color w:val="000000"/>
                <w:sz w:val="20"/>
                <w:szCs w:val="18"/>
              </w:rPr>
              <w:t>09</w:t>
            </w:r>
            <w:r w:rsidRPr="00CE2C77">
              <w:rPr>
                <w:rFonts w:ascii="Arial Narrow" w:hAnsi="Arial Narrow" w:cs="Arial"/>
                <w:i/>
                <w:snapToGrid w:val="0"/>
                <w:color w:val="000000"/>
                <w:sz w:val="20"/>
                <w:szCs w:val="18"/>
              </w:rPr>
              <w:t>)</w:t>
            </w:r>
          </w:p>
        </w:tc>
      </w:tr>
      <w:tr w:rsidR="00CE2C77" w:rsidRPr="00CE2C77" w:rsidTr="00CE2C77">
        <w:tc>
          <w:tcPr>
            <w:tcW w:w="678" w:type="pct"/>
            <w:shd w:val="clear" w:color="auto" w:fill="auto"/>
            <w:vAlign w:val="center"/>
          </w:tcPr>
          <w:p w:rsidR="00CE2C77" w:rsidRPr="00CE2C77" w:rsidRDefault="00CE2C77" w:rsidP="00AD362F">
            <w:pPr>
              <w:keepNext/>
              <w:rPr>
                <w:rFonts w:ascii="Arial Narrow" w:hAnsi="Arial Narrow" w:cs="Arial"/>
                <w:sz w:val="20"/>
                <w:szCs w:val="20"/>
              </w:rPr>
            </w:pPr>
            <w:r w:rsidRPr="00CE2C77">
              <w:rPr>
                <w:rFonts w:ascii="Arial Narrow" w:hAnsi="Arial Narrow" w:cs="Arial Narrow"/>
                <w:color w:val="000000"/>
                <w:sz w:val="20"/>
                <w:szCs w:val="18"/>
              </w:rPr>
              <w:t>23vPPV RCTs pooled, 5 trials</w:t>
            </w:r>
          </w:p>
        </w:tc>
        <w:tc>
          <w:tcPr>
            <w:tcW w:w="415" w:type="pct"/>
            <w:vAlign w:val="center"/>
          </w:tcPr>
          <w:p w:rsidR="00CE2C77" w:rsidRPr="00CE2C77" w:rsidRDefault="00CE2C77" w:rsidP="00AD362F">
            <w:pPr>
              <w:jc w:val="center"/>
              <w:rPr>
                <w:rFonts w:ascii="Arial Narrow" w:hAnsi="Arial Narrow" w:cs="Arial"/>
                <w:snapToGrid w:val="0"/>
                <w:color w:val="000000"/>
                <w:sz w:val="20"/>
                <w:szCs w:val="18"/>
              </w:rPr>
            </w:pPr>
            <w:r w:rsidRPr="00CE2C77">
              <w:rPr>
                <w:rFonts w:ascii="Arial Narrow" w:hAnsi="Arial Narrow" w:cs="Arial"/>
                <w:snapToGrid w:val="0"/>
                <w:color w:val="000000"/>
                <w:sz w:val="20"/>
                <w:szCs w:val="18"/>
              </w:rPr>
              <w:t>-</w:t>
            </w:r>
          </w:p>
        </w:tc>
        <w:tc>
          <w:tcPr>
            <w:tcW w:w="415" w:type="pct"/>
            <w:vAlign w:val="center"/>
          </w:tcPr>
          <w:p w:rsidR="00CE2C77" w:rsidRPr="00CE2C77" w:rsidRDefault="00CE2C77" w:rsidP="00AD362F">
            <w:pPr>
              <w:keepNext/>
              <w:jc w:val="center"/>
              <w:rPr>
                <w:rFonts w:ascii="Arial Narrow" w:hAnsi="Arial Narrow" w:cs="Arial"/>
                <w:sz w:val="20"/>
                <w:szCs w:val="20"/>
              </w:rPr>
            </w:pPr>
            <w:r w:rsidRPr="00CE2C77">
              <w:rPr>
                <w:rFonts w:ascii="Arial Narrow" w:hAnsi="Arial Narrow" w:cs="Arial"/>
                <w:sz w:val="20"/>
                <w:szCs w:val="20"/>
              </w:rPr>
              <w:t>260/ 1,626</w:t>
            </w:r>
          </w:p>
        </w:tc>
        <w:tc>
          <w:tcPr>
            <w:tcW w:w="418" w:type="pct"/>
            <w:vAlign w:val="center"/>
          </w:tcPr>
          <w:p w:rsidR="00CE2C77" w:rsidRPr="00CE2C77" w:rsidRDefault="00CE2C77" w:rsidP="00AD362F">
            <w:pPr>
              <w:keepNext/>
              <w:jc w:val="center"/>
              <w:rPr>
                <w:rFonts w:ascii="Arial Narrow" w:hAnsi="Arial Narrow" w:cs="Arial"/>
                <w:sz w:val="20"/>
                <w:szCs w:val="20"/>
              </w:rPr>
            </w:pPr>
            <w:r w:rsidRPr="00CE2C77">
              <w:rPr>
                <w:rFonts w:ascii="Arial Narrow" w:hAnsi="Arial Narrow" w:cs="Arial"/>
                <w:sz w:val="20"/>
                <w:szCs w:val="20"/>
              </w:rPr>
              <w:t>226/ 1,620</w:t>
            </w:r>
          </w:p>
        </w:tc>
        <w:tc>
          <w:tcPr>
            <w:tcW w:w="749" w:type="pct"/>
            <w:vAlign w:val="center"/>
          </w:tcPr>
          <w:p w:rsidR="00CE2C77" w:rsidRPr="00CE2C77" w:rsidRDefault="00CE2C77" w:rsidP="00AD362F">
            <w:pPr>
              <w:keepNext/>
              <w:jc w:val="center"/>
              <w:rPr>
                <w:rFonts w:ascii="Arial Narrow" w:hAnsi="Arial Narrow" w:cs="Arial"/>
                <w:sz w:val="20"/>
                <w:szCs w:val="20"/>
              </w:rPr>
            </w:pPr>
            <w:r w:rsidRPr="00CE2C77">
              <w:rPr>
                <w:rFonts w:ascii="Arial Narrow" w:hAnsi="Arial Narrow" w:cs="Arial"/>
                <w:sz w:val="20"/>
                <w:szCs w:val="20"/>
              </w:rPr>
              <w:t>0.91 (0.69, 1.20)</w:t>
            </w:r>
          </w:p>
          <w:p w:rsidR="00CE2C77" w:rsidRPr="00CE2C77" w:rsidRDefault="00CE2C77" w:rsidP="00AD362F">
            <w:pPr>
              <w:keepNext/>
              <w:jc w:val="center"/>
              <w:rPr>
                <w:rFonts w:ascii="Arial Narrow" w:hAnsi="Arial Narrow" w:cs="Arial"/>
                <w:sz w:val="20"/>
                <w:szCs w:val="20"/>
              </w:rPr>
            </w:pPr>
            <w:r w:rsidRPr="00CE2C77">
              <w:rPr>
                <w:rFonts w:ascii="Arial Narrow" w:hAnsi="Arial Narrow" w:cs="Arial"/>
                <w:sz w:val="20"/>
                <w:szCs w:val="20"/>
              </w:rPr>
              <w:t>Heterogeneity p-value=0.04</w:t>
            </w:r>
          </w:p>
        </w:tc>
        <w:tc>
          <w:tcPr>
            <w:tcW w:w="418" w:type="pct"/>
            <w:vAlign w:val="center"/>
          </w:tcPr>
          <w:p w:rsidR="00CE2C77" w:rsidRPr="00CE2C77" w:rsidRDefault="00CE2C77" w:rsidP="00AD362F">
            <w:pPr>
              <w:jc w:val="center"/>
              <w:rPr>
                <w:rFonts w:ascii="Arial Narrow" w:hAnsi="Arial Narrow" w:cs="Arial"/>
                <w:snapToGrid w:val="0"/>
                <w:color w:val="000000"/>
                <w:sz w:val="20"/>
                <w:szCs w:val="18"/>
              </w:rPr>
            </w:pPr>
            <w:r w:rsidRPr="00CE2C77">
              <w:rPr>
                <w:rFonts w:ascii="Arial Narrow" w:hAnsi="Arial Narrow" w:cs="Arial"/>
                <w:snapToGrid w:val="0"/>
                <w:color w:val="000000"/>
                <w:sz w:val="20"/>
                <w:szCs w:val="18"/>
              </w:rPr>
              <w:t>-</w:t>
            </w:r>
          </w:p>
        </w:tc>
        <w:tc>
          <w:tcPr>
            <w:tcW w:w="415" w:type="pct"/>
            <w:vAlign w:val="center"/>
          </w:tcPr>
          <w:p w:rsidR="00CE2C77" w:rsidRPr="00CE2C77" w:rsidRDefault="00CE2C77" w:rsidP="00AD362F">
            <w:pPr>
              <w:jc w:val="center"/>
              <w:rPr>
                <w:rFonts w:ascii="Arial Narrow" w:hAnsi="Arial Narrow" w:cs="Arial"/>
                <w:snapToGrid w:val="0"/>
                <w:color w:val="000000"/>
                <w:sz w:val="20"/>
                <w:szCs w:val="18"/>
              </w:rPr>
            </w:pPr>
            <w:r w:rsidRPr="00CE2C77">
              <w:rPr>
                <w:rFonts w:ascii="Arial Narrow" w:hAnsi="Arial Narrow" w:cs="Arial"/>
                <w:snapToGrid w:val="0"/>
                <w:color w:val="000000"/>
                <w:sz w:val="20"/>
                <w:szCs w:val="18"/>
              </w:rPr>
              <w:t>16.0</w:t>
            </w:r>
          </w:p>
        </w:tc>
        <w:tc>
          <w:tcPr>
            <w:tcW w:w="498" w:type="pct"/>
            <w:gridSpan w:val="3"/>
            <w:vAlign w:val="center"/>
          </w:tcPr>
          <w:p w:rsidR="00CE2C77" w:rsidRPr="00CE2C77" w:rsidRDefault="00CE2C77" w:rsidP="00AD362F">
            <w:pPr>
              <w:jc w:val="center"/>
              <w:rPr>
                <w:rFonts w:ascii="Arial Narrow" w:hAnsi="Arial Narrow" w:cs="Arial"/>
                <w:snapToGrid w:val="0"/>
                <w:color w:val="000000"/>
                <w:sz w:val="20"/>
                <w:szCs w:val="18"/>
              </w:rPr>
            </w:pPr>
            <w:r w:rsidRPr="00CE2C77">
              <w:rPr>
                <w:rFonts w:ascii="Arial Narrow" w:hAnsi="Arial Narrow" w:cs="Arial"/>
                <w:snapToGrid w:val="0"/>
                <w:color w:val="000000"/>
                <w:sz w:val="20"/>
                <w:szCs w:val="18"/>
              </w:rPr>
              <w:t>14.0</w:t>
            </w:r>
          </w:p>
        </w:tc>
        <w:tc>
          <w:tcPr>
            <w:tcW w:w="994" w:type="pct"/>
            <w:vAlign w:val="center"/>
          </w:tcPr>
          <w:p w:rsidR="00CE2C77" w:rsidRPr="00CE2C77" w:rsidRDefault="00CE2C77" w:rsidP="00AD362F">
            <w:pPr>
              <w:jc w:val="center"/>
              <w:rPr>
                <w:rFonts w:ascii="Arial Narrow" w:hAnsi="Arial Narrow" w:cs="Arial"/>
                <w:snapToGrid w:val="0"/>
                <w:color w:val="000000"/>
                <w:sz w:val="20"/>
                <w:szCs w:val="18"/>
              </w:rPr>
            </w:pPr>
            <w:r w:rsidRPr="00CE2C77">
              <w:rPr>
                <w:rFonts w:ascii="Arial Narrow" w:hAnsi="Arial Narrow" w:cs="Arial"/>
                <w:snapToGrid w:val="0"/>
                <w:color w:val="000000"/>
                <w:sz w:val="20"/>
                <w:szCs w:val="18"/>
              </w:rPr>
              <w:t>-0.01 (-0.06, 0.03)</w:t>
            </w:r>
          </w:p>
          <w:p w:rsidR="00CE2C77" w:rsidRPr="00CE2C77" w:rsidRDefault="00CE2C77" w:rsidP="00AD362F">
            <w:pPr>
              <w:keepNext/>
              <w:jc w:val="center"/>
              <w:rPr>
                <w:rFonts w:ascii="Arial Narrow" w:hAnsi="Arial Narrow" w:cs="Arial Narrow"/>
                <w:color w:val="000000"/>
                <w:sz w:val="20"/>
                <w:szCs w:val="18"/>
              </w:rPr>
            </w:pPr>
            <w:r w:rsidRPr="00CE2C77">
              <w:rPr>
                <w:rFonts w:ascii="Arial Narrow" w:hAnsi="Arial Narrow" w:cs="Arial"/>
                <w:sz w:val="20"/>
                <w:szCs w:val="20"/>
              </w:rPr>
              <w:t>Heterogeneity p-value=0.03</w:t>
            </w:r>
          </w:p>
        </w:tc>
      </w:tr>
      <w:tr w:rsidR="00CE2C77" w:rsidRPr="00CE2C77" w:rsidTr="00CE2C77">
        <w:tc>
          <w:tcPr>
            <w:tcW w:w="5000" w:type="pct"/>
            <w:gridSpan w:val="11"/>
            <w:tcBorders>
              <w:top w:val="double" w:sz="4" w:space="0" w:color="auto"/>
            </w:tcBorders>
            <w:shd w:val="clear" w:color="auto" w:fill="auto"/>
            <w:vAlign w:val="center"/>
          </w:tcPr>
          <w:p w:rsidR="00CE2C77" w:rsidRPr="00CE2C77" w:rsidRDefault="00CE2C77" w:rsidP="00AD362F">
            <w:pPr>
              <w:keepNext/>
              <w:jc w:val="both"/>
              <w:rPr>
                <w:rFonts w:ascii="Arial Narrow" w:hAnsi="Arial Narrow" w:cs="Arial"/>
                <w:b/>
                <w:snapToGrid w:val="0"/>
                <w:color w:val="000000"/>
                <w:sz w:val="20"/>
                <w:szCs w:val="18"/>
              </w:rPr>
            </w:pPr>
            <w:r w:rsidRPr="00CE2C77">
              <w:rPr>
                <w:rFonts w:ascii="Arial Narrow" w:hAnsi="Arial Narrow" w:cs="Arial"/>
                <w:b/>
                <w:snapToGrid w:val="0"/>
                <w:color w:val="000000"/>
                <w:sz w:val="20"/>
                <w:szCs w:val="18"/>
              </w:rPr>
              <w:t>VT IPD</w:t>
            </w:r>
          </w:p>
        </w:tc>
      </w:tr>
      <w:tr w:rsidR="00CE2C77" w:rsidRPr="00CE2C77" w:rsidTr="00CE2C77">
        <w:trPr>
          <w:trHeight w:val="105"/>
        </w:trPr>
        <w:tc>
          <w:tcPr>
            <w:tcW w:w="678" w:type="pct"/>
            <w:vMerge w:val="restart"/>
            <w:shd w:val="clear" w:color="auto" w:fill="auto"/>
            <w:vAlign w:val="center"/>
          </w:tcPr>
          <w:p w:rsidR="00CE2C77" w:rsidRPr="00CE2C77" w:rsidRDefault="00CE2C77" w:rsidP="00AD362F">
            <w:pPr>
              <w:keepNext/>
              <w:jc w:val="both"/>
              <w:rPr>
                <w:rFonts w:ascii="Arial Narrow" w:hAnsi="Arial Narrow" w:cs="Arial"/>
                <w:snapToGrid w:val="0"/>
                <w:color w:val="000000"/>
                <w:sz w:val="20"/>
                <w:szCs w:val="18"/>
              </w:rPr>
            </w:pPr>
          </w:p>
        </w:tc>
        <w:tc>
          <w:tcPr>
            <w:tcW w:w="415" w:type="pct"/>
            <w:vMerge w:val="restart"/>
            <w:vAlign w:val="center"/>
          </w:tcPr>
          <w:p w:rsidR="00CE2C77" w:rsidRPr="00CE2C77" w:rsidRDefault="00CE2C77" w:rsidP="00AD362F">
            <w:pPr>
              <w:keepNext/>
              <w:jc w:val="center"/>
              <w:rPr>
                <w:rFonts w:ascii="Arial Narrow" w:hAnsi="Arial Narrow" w:cs="Arial"/>
                <w:b/>
                <w:snapToGrid w:val="0"/>
                <w:color w:val="000000"/>
                <w:sz w:val="20"/>
                <w:szCs w:val="18"/>
              </w:rPr>
            </w:pPr>
            <w:r w:rsidRPr="00CE2C77">
              <w:rPr>
                <w:rFonts w:ascii="Arial Narrow" w:hAnsi="Arial Narrow" w:cs="Arial"/>
                <w:b/>
                <w:snapToGrid w:val="0"/>
                <w:color w:val="000000"/>
                <w:sz w:val="20"/>
                <w:szCs w:val="18"/>
              </w:rPr>
              <w:t>13vPCV</w:t>
            </w:r>
          </w:p>
        </w:tc>
        <w:tc>
          <w:tcPr>
            <w:tcW w:w="415" w:type="pct"/>
            <w:vMerge w:val="restart"/>
            <w:vAlign w:val="center"/>
          </w:tcPr>
          <w:p w:rsidR="00CE2C77" w:rsidRPr="00CE2C77" w:rsidRDefault="00CE2C77" w:rsidP="00AD362F">
            <w:pPr>
              <w:keepNext/>
              <w:jc w:val="center"/>
              <w:rPr>
                <w:rFonts w:ascii="Arial Narrow" w:hAnsi="Arial Narrow" w:cs="Arial"/>
                <w:b/>
                <w:snapToGrid w:val="0"/>
                <w:color w:val="000000"/>
                <w:sz w:val="20"/>
                <w:szCs w:val="18"/>
              </w:rPr>
            </w:pPr>
            <w:r w:rsidRPr="00CE2C77">
              <w:rPr>
                <w:rFonts w:ascii="Arial Narrow" w:hAnsi="Arial Narrow" w:cs="Arial"/>
                <w:b/>
                <w:snapToGrid w:val="0"/>
                <w:color w:val="000000"/>
                <w:sz w:val="20"/>
                <w:szCs w:val="18"/>
              </w:rPr>
              <w:t>PBO</w:t>
            </w:r>
            <w:r w:rsidRPr="00CE2C77">
              <w:rPr>
                <w:rFonts w:ascii="Arial Narrow" w:hAnsi="Arial Narrow" w:cs="Arial"/>
                <w:b/>
                <w:snapToGrid w:val="0"/>
                <w:color w:val="000000"/>
                <w:sz w:val="20"/>
                <w:szCs w:val="18"/>
                <w:vertAlign w:val="superscript"/>
              </w:rPr>
              <w:t>a</w:t>
            </w:r>
          </w:p>
        </w:tc>
        <w:tc>
          <w:tcPr>
            <w:tcW w:w="418" w:type="pct"/>
            <w:vMerge w:val="restart"/>
            <w:vAlign w:val="center"/>
          </w:tcPr>
          <w:p w:rsidR="00CE2C77" w:rsidRPr="00CE2C77" w:rsidRDefault="00CE2C77" w:rsidP="00AD362F">
            <w:pPr>
              <w:keepNext/>
              <w:jc w:val="center"/>
              <w:rPr>
                <w:rFonts w:ascii="Arial Narrow" w:hAnsi="Arial Narrow" w:cs="Arial"/>
                <w:b/>
                <w:snapToGrid w:val="0"/>
                <w:color w:val="000000"/>
                <w:sz w:val="20"/>
                <w:szCs w:val="18"/>
              </w:rPr>
            </w:pPr>
            <w:r w:rsidRPr="00CE2C77">
              <w:rPr>
                <w:rFonts w:ascii="Arial Narrow" w:hAnsi="Arial Narrow" w:cs="Arial"/>
                <w:b/>
                <w:snapToGrid w:val="0"/>
                <w:color w:val="000000"/>
                <w:sz w:val="20"/>
                <w:szCs w:val="18"/>
              </w:rPr>
              <w:t>23vPPV</w:t>
            </w:r>
          </w:p>
        </w:tc>
        <w:tc>
          <w:tcPr>
            <w:tcW w:w="749" w:type="pct"/>
            <w:vMerge w:val="restart"/>
            <w:vAlign w:val="center"/>
          </w:tcPr>
          <w:p w:rsidR="00CE2C77" w:rsidRPr="00CE2C77" w:rsidRDefault="00CE2C77" w:rsidP="00AD362F">
            <w:pPr>
              <w:keepNext/>
              <w:jc w:val="center"/>
              <w:rPr>
                <w:rFonts w:ascii="Arial Narrow" w:hAnsi="Arial Narrow" w:cs="Arial"/>
                <w:b/>
                <w:snapToGrid w:val="0"/>
                <w:color w:val="000000"/>
                <w:sz w:val="20"/>
                <w:szCs w:val="18"/>
              </w:rPr>
            </w:pPr>
            <w:r w:rsidRPr="00CE2C77">
              <w:rPr>
                <w:rFonts w:ascii="Arial Narrow" w:hAnsi="Arial Narrow" w:cs="Arial"/>
                <w:b/>
                <w:snapToGrid w:val="0"/>
                <w:color w:val="000000"/>
                <w:sz w:val="20"/>
                <w:szCs w:val="18"/>
              </w:rPr>
              <w:t>RR</w:t>
            </w:r>
          </w:p>
          <w:p w:rsidR="00CE2C77" w:rsidRPr="00CE2C77" w:rsidRDefault="00CE2C77" w:rsidP="00AD362F">
            <w:pPr>
              <w:keepNext/>
              <w:jc w:val="center"/>
              <w:rPr>
                <w:rFonts w:ascii="Arial Narrow" w:hAnsi="Arial Narrow" w:cs="Arial"/>
                <w:snapToGrid w:val="0"/>
                <w:color w:val="000000"/>
                <w:sz w:val="20"/>
                <w:szCs w:val="18"/>
              </w:rPr>
            </w:pPr>
            <w:r w:rsidRPr="00CE2C77">
              <w:rPr>
                <w:rFonts w:ascii="Arial Narrow" w:hAnsi="Arial Narrow" w:cs="Arial"/>
                <w:b/>
                <w:snapToGrid w:val="0"/>
                <w:color w:val="000000"/>
                <w:sz w:val="20"/>
                <w:szCs w:val="18"/>
              </w:rPr>
              <w:t>(95% CI)</w:t>
            </w:r>
          </w:p>
        </w:tc>
        <w:tc>
          <w:tcPr>
            <w:tcW w:w="1331" w:type="pct"/>
            <w:gridSpan w:val="5"/>
            <w:vAlign w:val="center"/>
          </w:tcPr>
          <w:p w:rsidR="00CE2C77" w:rsidRPr="00CE2C77" w:rsidRDefault="00CE2C77" w:rsidP="00AD362F">
            <w:pPr>
              <w:keepNext/>
              <w:jc w:val="center"/>
              <w:rPr>
                <w:rFonts w:ascii="Arial Narrow" w:hAnsi="Arial Narrow" w:cs="Arial"/>
                <w:b/>
                <w:snapToGrid w:val="0"/>
                <w:color w:val="000000"/>
                <w:sz w:val="20"/>
                <w:szCs w:val="18"/>
              </w:rPr>
            </w:pPr>
            <w:r w:rsidRPr="00CE2C77">
              <w:rPr>
                <w:rFonts w:ascii="Arial Narrow" w:hAnsi="Arial Narrow" w:cs="Arial"/>
                <w:b/>
                <w:snapToGrid w:val="0"/>
                <w:color w:val="000000"/>
                <w:sz w:val="20"/>
                <w:szCs w:val="18"/>
              </w:rPr>
              <w:t xml:space="preserve">Event rate/100 patients* </w:t>
            </w:r>
          </w:p>
        </w:tc>
        <w:tc>
          <w:tcPr>
            <w:tcW w:w="994" w:type="pct"/>
            <w:vMerge w:val="restart"/>
            <w:vAlign w:val="center"/>
          </w:tcPr>
          <w:p w:rsidR="00CE2C77" w:rsidRPr="00CE2C77" w:rsidRDefault="00CE2C77" w:rsidP="00AD362F">
            <w:pPr>
              <w:keepNext/>
              <w:jc w:val="center"/>
              <w:rPr>
                <w:rFonts w:ascii="Arial Narrow" w:hAnsi="Arial Narrow" w:cs="Arial"/>
                <w:b/>
                <w:snapToGrid w:val="0"/>
                <w:color w:val="000000"/>
                <w:sz w:val="20"/>
                <w:szCs w:val="18"/>
              </w:rPr>
            </w:pPr>
            <w:r w:rsidRPr="00CE2C77">
              <w:rPr>
                <w:rFonts w:ascii="Arial Narrow" w:hAnsi="Arial Narrow" w:cs="Arial"/>
                <w:b/>
                <w:snapToGrid w:val="0"/>
                <w:color w:val="000000"/>
                <w:sz w:val="20"/>
                <w:szCs w:val="18"/>
              </w:rPr>
              <w:t>RD</w:t>
            </w:r>
          </w:p>
          <w:p w:rsidR="00CE2C77" w:rsidRPr="00CE2C77" w:rsidRDefault="00CE2C77" w:rsidP="00AD362F">
            <w:pPr>
              <w:keepNext/>
              <w:jc w:val="center"/>
              <w:rPr>
                <w:rFonts w:ascii="Arial Narrow" w:hAnsi="Arial Narrow" w:cs="Arial"/>
                <w:snapToGrid w:val="0"/>
                <w:color w:val="000000"/>
                <w:sz w:val="20"/>
                <w:szCs w:val="18"/>
              </w:rPr>
            </w:pPr>
            <w:r w:rsidRPr="00CE2C77">
              <w:rPr>
                <w:rFonts w:ascii="Arial Narrow" w:hAnsi="Arial Narrow" w:cs="Arial"/>
                <w:b/>
                <w:snapToGrid w:val="0"/>
                <w:color w:val="000000"/>
                <w:sz w:val="20"/>
                <w:szCs w:val="18"/>
              </w:rPr>
              <w:t>(95% CI)</w:t>
            </w:r>
          </w:p>
        </w:tc>
      </w:tr>
      <w:tr w:rsidR="00CE2C77" w:rsidRPr="00CE2C77" w:rsidTr="00CE2C77">
        <w:trPr>
          <w:trHeight w:val="70"/>
        </w:trPr>
        <w:tc>
          <w:tcPr>
            <w:tcW w:w="678" w:type="pct"/>
            <w:vMerge/>
            <w:shd w:val="clear" w:color="auto" w:fill="auto"/>
            <w:vAlign w:val="center"/>
          </w:tcPr>
          <w:p w:rsidR="00CE2C77" w:rsidRPr="00CE2C77" w:rsidRDefault="00CE2C77" w:rsidP="00AD362F">
            <w:pPr>
              <w:keepNext/>
              <w:jc w:val="both"/>
              <w:rPr>
                <w:rFonts w:ascii="Arial Narrow" w:hAnsi="Arial Narrow" w:cs="Arial"/>
                <w:snapToGrid w:val="0"/>
                <w:color w:val="000000"/>
                <w:sz w:val="20"/>
                <w:szCs w:val="18"/>
              </w:rPr>
            </w:pPr>
          </w:p>
        </w:tc>
        <w:tc>
          <w:tcPr>
            <w:tcW w:w="415" w:type="pct"/>
            <w:vMerge/>
            <w:vAlign w:val="center"/>
          </w:tcPr>
          <w:p w:rsidR="00CE2C77" w:rsidRPr="00CE2C77" w:rsidRDefault="00CE2C77" w:rsidP="00AD362F">
            <w:pPr>
              <w:keepNext/>
              <w:jc w:val="center"/>
              <w:rPr>
                <w:rFonts w:ascii="Arial Narrow" w:hAnsi="Arial Narrow" w:cs="Arial"/>
                <w:b/>
                <w:snapToGrid w:val="0"/>
                <w:color w:val="000000"/>
                <w:sz w:val="20"/>
                <w:szCs w:val="18"/>
              </w:rPr>
            </w:pPr>
          </w:p>
        </w:tc>
        <w:tc>
          <w:tcPr>
            <w:tcW w:w="415" w:type="pct"/>
            <w:vMerge/>
            <w:vAlign w:val="center"/>
          </w:tcPr>
          <w:p w:rsidR="00CE2C77" w:rsidRPr="00CE2C77" w:rsidRDefault="00CE2C77" w:rsidP="00AD362F">
            <w:pPr>
              <w:keepNext/>
              <w:jc w:val="center"/>
              <w:rPr>
                <w:rFonts w:ascii="Arial Narrow" w:hAnsi="Arial Narrow" w:cs="Arial"/>
                <w:b/>
                <w:snapToGrid w:val="0"/>
                <w:color w:val="000000"/>
                <w:sz w:val="20"/>
                <w:szCs w:val="18"/>
              </w:rPr>
            </w:pPr>
          </w:p>
        </w:tc>
        <w:tc>
          <w:tcPr>
            <w:tcW w:w="418" w:type="pct"/>
            <w:vMerge/>
            <w:vAlign w:val="center"/>
          </w:tcPr>
          <w:p w:rsidR="00CE2C77" w:rsidRPr="00CE2C77" w:rsidRDefault="00CE2C77" w:rsidP="00AD362F">
            <w:pPr>
              <w:keepNext/>
              <w:jc w:val="center"/>
              <w:rPr>
                <w:rFonts w:ascii="Arial Narrow" w:hAnsi="Arial Narrow" w:cs="Arial"/>
                <w:b/>
                <w:snapToGrid w:val="0"/>
                <w:color w:val="000000"/>
                <w:sz w:val="20"/>
                <w:szCs w:val="18"/>
              </w:rPr>
            </w:pPr>
          </w:p>
        </w:tc>
        <w:tc>
          <w:tcPr>
            <w:tcW w:w="749" w:type="pct"/>
            <w:vMerge/>
            <w:vAlign w:val="center"/>
          </w:tcPr>
          <w:p w:rsidR="00CE2C77" w:rsidRPr="00CE2C77" w:rsidRDefault="00CE2C77" w:rsidP="00AD362F">
            <w:pPr>
              <w:keepNext/>
              <w:jc w:val="center"/>
              <w:rPr>
                <w:rFonts w:ascii="Arial Narrow" w:hAnsi="Arial Narrow" w:cs="Arial"/>
                <w:b/>
                <w:snapToGrid w:val="0"/>
                <w:color w:val="000000"/>
                <w:sz w:val="20"/>
                <w:szCs w:val="18"/>
              </w:rPr>
            </w:pPr>
          </w:p>
        </w:tc>
        <w:tc>
          <w:tcPr>
            <w:tcW w:w="418" w:type="pct"/>
            <w:vAlign w:val="center"/>
          </w:tcPr>
          <w:p w:rsidR="00CE2C77" w:rsidRPr="00CE2C77" w:rsidRDefault="00CE2C77" w:rsidP="00AD362F">
            <w:pPr>
              <w:keepNext/>
              <w:jc w:val="center"/>
              <w:rPr>
                <w:rFonts w:ascii="Arial Narrow" w:hAnsi="Arial Narrow" w:cs="Arial"/>
                <w:b/>
                <w:snapToGrid w:val="0"/>
                <w:color w:val="000000"/>
                <w:sz w:val="20"/>
                <w:szCs w:val="18"/>
              </w:rPr>
            </w:pPr>
            <w:r w:rsidRPr="00CE2C77">
              <w:rPr>
                <w:rFonts w:ascii="Arial Narrow" w:hAnsi="Arial Narrow" w:cs="Arial"/>
                <w:b/>
                <w:snapToGrid w:val="0"/>
                <w:color w:val="000000"/>
                <w:sz w:val="20"/>
                <w:szCs w:val="18"/>
              </w:rPr>
              <w:t>13vPCV</w:t>
            </w:r>
          </w:p>
        </w:tc>
        <w:tc>
          <w:tcPr>
            <w:tcW w:w="415" w:type="pct"/>
            <w:vAlign w:val="center"/>
          </w:tcPr>
          <w:p w:rsidR="00CE2C77" w:rsidRPr="00CE2C77" w:rsidRDefault="00CE2C77" w:rsidP="00AD362F">
            <w:pPr>
              <w:keepNext/>
              <w:jc w:val="center"/>
              <w:rPr>
                <w:rFonts w:ascii="Arial Narrow" w:hAnsi="Arial Narrow" w:cs="Arial"/>
                <w:b/>
                <w:snapToGrid w:val="0"/>
                <w:color w:val="000000"/>
                <w:sz w:val="20"/>
                <w:szCs w:val="18"/>
              </w:rPr>
            </w:pPr>
            <w:r w:rsidRPr="00CE2C77">
              <w:rPr>
                <w:rFonts w:ascii="Arial Narrow" w:hAnsi="Arial Narrow" w:cs="Arial"/>
                <w:b/>
                <w:snapToGrid w:val="0"/>
                <w:color w:val="000000"/>
                <w:sz w:val="20"/>
                <w:szCs w:val="18"/>
              </w:rPr>
              <w:t>PBO</w:t>
            </w:r>
            <w:r w:rsidRPr="00CE2C77">
              <w:rPr>
                <w:rFonts w:ascii="Arial Narrow" w:hAnsi="Arial Narrow" w:cs="Arial"/>
                <w:b/>
                <w:snapToGrid w:val="0"/>
                <w:color w:val="000000"/>
                <w:sz w:val="20"/>
                <w:szCs w:val="18"/>
                <w:vertAlign w:val="superscript"/>
              </w:rPr>
              <w:t>a</w:t>
            </w:r>
          </w:p>
        </w:tc>
        <w:tc>
          <w:tcPr>
            <w:tcW w:w="498" w:type="pct"/>
            <w:gridSpan w:val="3"/>
            <w:vAlign w:val="center"/>
          </w:tcPr>
          <w:p w:rsidR="00CE2C77" w:rsidRPr="00CE2C77" w:rsidRDefault="00CE2C77" w:rsidP="00AD362F">
            <w:pPr>
              <w:keepNext/>
              <w:jc w:val="center"/>
              <w:rPr>
                <w:rFonts w:ascii="Arial Narrow" w:hAnsi="Arial Narrow" w:cs="Arial"/>
                <w:b/>
                <w:snapToGrid w:val="0"/>
                <w:color w:val="000000"/>
                <w:sz w:val="20"/>
                <w:szCs w:val="18"/>
              </w:rPr>
            </w:pPr>
            <w:r w:rsidRPr="00CE2C77">
              <w:rPr>
                <w:rFonts w:ascii="Arial Narrow" w:hAnsi="Arial Narrow" w:cs="Arial"/>
                <w:b/>
                <w:snapToGrid w:val="0"/>
                <w:color w:val="000000"/>
                <w:sz w:val="20"/>
                <w:szCs w:val="18"/>
              </w:rPr>
              <w:t>23vPPV</w:t>
            </w:r>
          </w:p>
        </w:tc>
        <w:tc>
          <w:tcPr>
            <w:tcW w:w="994" w:type="pct"/>
            <w:vMerge/>
            <w:vAlign w:val="center"/>
          </w:tcPr>
          <w:p w:rsidR="00CE2C77" w:rsidRPr="00CE2C77" w:rsidRDefault="00CE2C77" w:rsidP="00AD362F">
            <w:pPr>
              <w:keepNext/>
              <w:jc w:val="center"/>
              <w:rPr>
                <w:rFonts w:ascii="Arial Narrow" w:hAnsi="Arial Narrow" w:cs="Arial"/>
                <w:b/>
                <w:snapToGrid w:val="0"/>
                <w:color w:val="000000"/>
                <w:sz w:val="20"/>
                <w:szCs w:val="18"/>
              </w:rPr>
            </w:pPr>
          </w:p>
        </w:tc>
      </w:tr>
      <w:tr w:rsidR="00CE2C77" w:rsidRPr="00CE2C77" w:rsidTr="00CE2C77">
        <w:tc>
          <w:tcPr>
            <w:tcW w:w="678" w:type="pct"/>
            <w:shd w:val="clear" w:color="auto" w:fill="auto"/>
            <w:vAlign w:val="center"/>
          </w:tcPr>
          <w:p w:rsidR="00CE2C77" w:rsidRPr="00CE2C77" w:rsidRDefault="00CE2C77" w:rsidP="00AD362F">
            <w:pPr>
              <w:keepNext/>
              <w:jc w:val="both"/>
              <w:rPr>
                <w:rFonts w:ascii="Arial Narrow" w:hAnsi="Arial Narrow" w:cs="Arial"/>
                <w:snapToGrid w:val="0"/>
                <w:color w:val="000000"/>
                <w:sz w:val="20"/>
                <w:szCs w:val="18"/>
              </w:rPr>
            </w:pPr>
            <w:r w:rsidRPr="00CE2C77">
              <w:rPr>
                <w:rFonts w:ascii="Arial Narrow" w:hAnsi="Arial Narrow" w:cs="Arial"/>
                <w:snapToGrid w:val="0"/>
                <w:color w:val="000000"/>
                <w:sz w:val="20"/>
                <w:szCs w:val="18"/>
              </w:rPr>
              <w:t>CAPiTA</w:t>
            </w:r>
          </w:p>
        </w:tc>
        <w:tc>
          <w:tcPr>
            <w:tcW w:w="415" w:type="pct"/>
            <w:vAlign w:val="center"/>
          </w:tcPr>
          <w:p w:rsidR="00CE2C77" w:rsidRPr="00CE2C77" w:rsidRDefault="00CE2C77" w:rsidP="00AD362F">
            <w:pPr>
              <w:keepNext/>
              <w:jc w:val="center"/>
              <w:rPr>
                <w:rFonts w:ascii="Arial Narrow" w:hAnsi="Arial Narrow" w:cs="Arial"/>
                <w:snapToGrid w:val="0"/>
                <w:sz w:val="20"/>
                <w:szCs w:val="20"/>
              </w:rPr>
            </w:pPr>
            <w:r w:rsidRPr="00CE2C77">
              <w:rPr>
                <w:rFonts w:ascii="Arial Narrow" w:hAnsi="Arial Narrow" w:cs="Arial"/>
                <w:snapToGrid w:val="0"/>
                <w:sz w:val="20"/>
                <w:szCs w:val="20"/>
              </w:rPr>
              <w:t xml:space="preserve">8/ </w:t>
            </w:r>
          </w:p>
          <w:p w:rsidR="00CE2C77" w:rsidRPr="00CE2C77" w:rsidRDefault="00CE2C77" w:rsidP="00AD362F">
            <w:pPr>
              <w:keepNext/>
              <w:jc w:val="center"/>
              <w:rPr>
                <w:rFonts w:ascii="Arial Narrow" w:hAnsi="Arial Narrow" w:cs="Arial"/>
                <w:snapToGrid w:val="0"/>
                <w:sz w:val="20"/>
                <w:szCs w:val="20"/>
              </w:rPr>
            </w:pPr>
            <w:r w:rsidRPr="00CE2C77">
              <w:rPr>
                <w:rFonts w:ascii="Arial Narrow" w:hAnsi="Arial Narrow" w:cs="Arial"/>
                <w:snapToGrid w:val="0"/>
                <w:sz w:val="20"/>
                <w:szCs w:val="20"/>
              </w:rPr>
              <w:t>42,240</w:t>
            </w:r>
          </w:p>
        </w:tc>
        <w:tc>
          <w:tcPr>
            <w:tcW w:w="415" w:type="pct"/>
            <w:vAlign w:val="center"/>
          </w:tcPr>
          <w:p w:rsidR="00CE2C77" w:rsidRPr="00CE2C77" w:rsidRDefault="00CE2C77" w:rsidP="00AD362F">
            <w:pPr>
              <w:keepNext/>
              <w:jc w:val="center"/>
              <w:rPr>
                <w:rFonts w:ascii="Arial Narrow" w:hAnsi="Arial Narrow" w:cs="Arial"/>
                <w:snapToGrid w:val="0"/>
                <w:sz w:val="20"/>
                <w:szCs w:val="20"/>
              </w:rPr>
            </w:pPr>
            <w:r w:rsidRPr="00CE2C77">
              <w:rPr>
                <w:rFonts w:ascii="Arial Narrow" w:hAnsi="Arial Narrow" w:cs="Arial"/>
                <w:snapToGrid w:val="0"/>
                <w:sz w:val="20"/>
                <w:szCs w:val="20"/>
              </w:rPr>
              <w:t xml:space="preserve">33/ 42,256 </w:t>
            </w:r>
          </w:p>
        </w:tc>
        <w:tc>
          <w:tcPr>
            <w:tcW w:w="418" w:type="pct"/>
            <w:vAlign w:val="center"/>
          </w:tcPr>
          <w:p w:rsidR="00CE2C77" w:rsidRPr="00CE2C77" w:rsidRDefault="00CE2C77" w:rsidP="00AD362F">
            <w:pPr>
              <w:keepNext/>
              <w:jc w:val="center"/>
              <w:rPr>
                <w:rFonts w:ascii="Arial Narrow" w:hAnsi="Arial Narrow" w:cs="Arial"/>
                <w:snapToGrid w:val="0"/>
                <w:color w:val="000000"/>
                <w:sz w:val="20"/>
                <w:szCs w:val="18"/>
              </w:rPr>
            </w:pPr>
            <w:r w:rsidRPr="00CE2C77">
              <w:rPr>
                <w:rFonts w:ascii="Arial Narrow" w:hAnsi="Arial Narrow" w:cs="Arial"/>
                <w:snapToGrid w:val="0"/>
                <w:color w:val="000000"/>
                <w:sz w:val="20"/>
                <w:szCs w:val="18"/>
              </w:rPr>
              <w:t>-</w:t>
            </w:r>
          </w:p>
        </w:tc>
        <w:tc>
          <w:tcPr>
            <w:tcW w:w="749" w:type="pct"/>
            <w:vAlign w:val="center"/>
          </w:tcPr>
          <w:p w:rsidR="00CE2C77" w:rsidRPr="00CE2C77" w:rsidRDefault="00CE2C77" w:rsidP="00AD362F">
            <w:pPr>
              <w:keepNext/>
              <w:jc w:val="center"/>
              <w:rPr>
                <w:rFonts w:ascii="Arial Narrow" w:hAnsi="Arial Narrow" w:cs="Arial Narrow"/>
                <w:sz w:val="20"/>
                <w:szCs w:val="20"/>
              </w:rPr>
            </w:pPr>
            <w:r w:rsidRPr="00CE2C77">
              <w:rPr>
                <w:rFonts w:ascii="Arial Narrow" w:hAnsi="Arial Narrow" w:cs="Arial Narrow"/>
                <w:sz w:val="20"/>
                <w:szCs w:val="20"/>
              </w:rPr>
              <w:t>0.24</w:t>
            </w:r>
          </w:p>
          <w:p w:rsidR="00CE2C77" w:rsidRPr="00CE2C77" w:rsidRDefault="00CE2C77" w:rsidP="00AD362F">
            <w:pPr>
              <w:keepNext/>
              <w:jc w:val="center"/>
              <w:rPr>
                <w:rFonts w:ascii="Arial Narrow" w:hAnsi="Arial Narrow" w:cs="Arial Narrow"/>
                <w:sz w:val="20"/>
                <w:szCs w:val="18"/>
              </w:rPr>
            </w:pPr>
            <w:r w:rsidRPr="00CE2C77">
              <w:rPr>
                <w:rFonts w:ascii="Arial Narrow" w:hAnsi="Arial Narrow" w:cs="Arial Narrow"/>
                <w:sz w:val="20"/>
                <w:szCs w:val="20"/>
              </w:rPr>
              <w:t>(0.10, 0.54)</w:t>
            </w:r>
          </w:p>
        </w:tc>
        <w:tc>
          <w:tcPr>
            <w:tcW w:w="418" w:type="pct"/>
            <w:vAlign w:val="center"/>
          </w:tcPr>
          <w:p w:rsidR="00CE2C77" w:rsidRPr="00CE2C77" w:rsidRDefault="00CE2C77" w:rsidP="00AD362F">
            <w:pPr>
              <w:keepNext/>
              <w:jc w:val="center"/>
              <w:rPr>
                <w:rFonts w:ascii="Arial Narrow" w:hAnsi="Arial Narrow" w:cs="Arial"/>
                <w:i/>
                <w:snapToGrid w:val="0"/>
                <w:color w:val="000000"/>
                <w:sz w:val="20"/>
                <w:szCs w:val="18"/>
              </w:rPr>
            </w:pPr>
            <w:r w:rsidRPr="00CE2C77">
              <w:rPr>
                <w:rFonts w:ascii="Arial Narrow" w:hAnsi="Arial Narrow" w:cs="Arial"/>
                <w:i/>
                <w:snapToGrid w:val="0"/>
                <w:color w:val="000000"/>
                <w:sz w:val="20"/>
                <w:szCs w:val="18"/>
              </w:rPr>
              <w:t>0.019</w:t>
            </w:r>
          </w:p>
        </w:tc>
        <w:tc>
          <w:tcPr>
            <w:tcW w:w="415" w:type="pct"/>
            <w:vAlign w:val="center"/>
          </w:tcPr>
          <w:p w:rsidR="00CE2C77" w:rsidRPr="00CE2C77" w:rsidRDefault="00CE2C77" w:rsidP="00AD362F">
            <w:pPr>
              <w:keepNext/>
              <w:jc w:val="center"/>
              <w:rPr>
                <w:rFonts w:ascii="Arial Narrow" w:hAnsi="Arial Narrow" w:cs="Arial"/>
                <w:i/>
                <w:snapToGrid w:val="0"/>
                <w:color w:val="000000"/>
                <w:sz w:val="20"/>
                <w:szCs w:val="18"/>
              </w:rPr>
            </w:pPr>
            <w:r w:rsidRPr="00CE2C77">
              <w:rPr>
                <w:rFonts w:ascii="Arial Narrow" w:hAnsi="Arial Narrow" w:cs="Arial"/>
                <w:i/>
                <w:snapToGrid w:val="0"/>
                <w:color w:val="000000"/>
                <w:sz w:val="20"/>
                <w:szCs w:val="18"/>
              </w:rPr>
              <w:t>0.078</w:t>
            </w:r>
          </w:p>
        </w:tc>
        <w:tc>
          <w:tcPr>
            <w:tcW w:w="498" w:type="pct"/>
            <w:gridSpan w:val="3"/>
            <w:vAlign w:val="center"/>
          </w:tcPr>
          <w:p w:rsidR="00CE2C77" w:rsidRPr="00CE2C77" w:rsidRDefault="00CE2C77" w:rsidP="00AD362F">
            <w:pPr>
              <w:keepNext/>
              <w:jc w:val="center"/>
              <w:rPr>
                <w:rFonts w:ascii="Arial Narrow" w:hAnsi="Arial Narrow" w:cs="Arial"/>
                <w:i/>
                <w:snapToGrid w:val="0"/>
                <w:color w:val="000000"/>
                <w:sz w:val="20"/>
                <w:szCs w:val="18"/>
              </w:rPr>
            </w:pPr>
            <w:r w:rsidRPr="00CE2C77">
              <w:rPr>
                <w:rFonts w:ascii="Arial Narrow" w:hAnsi="Arial Narrow" w:cs="Arial"/>
                <w:i/>
                <w:snapToGrid w:val="0"/>
                <w:color w:val="000000"/>
                <w:sz w:val="20"/>
                <w:szCs w:val="18"/>
              </w:rPr>
              <w:t>-</w:t>
            </w:r>
          </w:p>
        </w:tc>
        <w:tc>
          <w:tcPr>
            <w:tcW w:w="994" w:type="pct"/>
            <w:vAlign w:val="center"/>
          </w:tcPr>
          <w:p w:rsidR="00CE2C77" w:rsidRPr="00CE2C77" w:rsidRDefault="00CE2C77" w:rsidP="00AD362F">
            <w:pPr>
              <w:keepNext/>
              <w:jc w:val="center"/>
              <w:rPr>
                <w:rFonts w:ascii="Arial Narrow" w:hAnsi="Arial Narrow" w:cs="Arial"/>
                <w:i/>
                <w:snapToGrid w:val="0"/>
                <w:sz w:val="20"/>
                <w:szCs w:val="20"/>
              </w:rPr>
            </w:pPr>
            <w:r w:rsidRPr="00CE2C77">
              <w:rPr>
                <w:rFonts w:ascii="Arial Narrow" w:hAnsi="Arial Narrow" w:cs="Arial"/>
                <w:i/>
                <w:snapToGrid w:val="0"/>
                <w:sz w:val="20"/>
                <w:szCs w:val="20"/>
              </w:rPr>
              <w:t>-0.0006</w:t>
            </w:r>
          </w:p>
          <w:p w:rsidR="00CE2C77" w:rsidRPr="00CE2C77" w:rsidRDefault="00CE2C77" w:rsidP="00AD362F">
            <w:pPr>
              <w:keepNext/>
              <w:jc w:val="center"/>
              <w:rPr>
                <w:rFonts w:ascii="Arial Narrow" w:hAnsi="Arial Narrow" w:cs="Arial"/>
                <w:i/>
                <w:snapToGrid w:val="0"/>
                <w:color w:val="000000"/>
                <w:sz w:val="20"/>
                <w:szCs w:val="18"/>
              </w:rPr>
            </w:pPr>
            <w:r w:rsidRPr="00CE2C77">
              <w:rPr>
                <w:rFonts w:ascii="Arial Narrow" w:hAnsi="Arial Narrow" w:cs="Arial"/>
                <w:i/>
                <w:snapToGrid w:val="0"/>
                <w:sz w:val="20"/>
                <w:szCs w:val="20"/>
              </w:rPr>
              <w:t>(-0.00</w:t>
            </w:r>
            <w:r w:rsidR="00421C5F">
              <w:rPr>
                <w:rFonts w:ascii="Arial Narrow" w:hAnsi="Arial Narrow" w:cs="Arial"/>
                <w:i/>
                <w:snapToGrid w:val="0"/>
                <w:sz w:val="20"/>
                <w:szCs w:val="20"/>
              </w:rPr>
              <w:t>09</w:t>
            </w:r>
            <w:r w:rsidRPr="00CE2C77">
              <w:rPr>
                <w:rFonts w:ascii="Arial Narrow" w:hAnsi="Arial Narrow" w:cs="Arial"/>
                <w:i/>
                <w:snapToGrid w:val="0"/>
                <w:sz w:val="20"/>
                <w:szCs w:val="20"/>
              </w:rPr>
              <w:t>, -0.00</w:t>
            </w:r>
            <w:r w:rsidR="00421C5F">
              <w:rPr>
                <w:rFonts w:ascii="Arial Narrow" w:hAnsi="Arial Narrow" w:cs="Arial"/>
                <w:i/>
                <w:snapToGrid w:val="0"/>
                <w:sz w:val="20"/>
                <w:szCs w:val="20"/>
              </w:rPr>
              <w:t>03</w:t>
            </w:r>
            <w:r w:rsidRPr="00CE2C77">
              <w:rPr>
                <w:rFonts w:ascii="Arial Narrow" w:hAnsi="Arial Narrow" w:cs="Arial"/>
                <w:i/>
                <w:snapToGrid w:val="0"/>
                <w:sz w:val="20"/>
                <w:szCs w:val="20"/>
              </w:rPr>
              <w:t>)</w:t>
            </w:r>
          </w:p>
        </w:tc>
      </w:tr>
      <w:tr w:rsidR="00CE2C77" w:rsidRPr="00CE2C77" w:rsidTr="00CE2C77">
        <w:tc>
          <w:tcPr>
            <w:tcW w:w="678" w:type="pct"/>
            <w:shd w:val="clear" w:color="auto" w:fill="auto"/>
            <w:vAlign w:val="center"/>
          </w:tcPr>
          <w:p w:rsidR="00CE2C77" w:rsidRPr="00CE2C77" w:rsidRDefault="00CE2C77" w:rsidP="00AD362F">
            <w:pPr>
              <w:keepNext/>
              <w:rPr>
                <w:rFonts w:ascii="Arial Narrow" w:hAnsi="Arial Narrow" w:cs="Arial"/>
                <w:sz w:val="20"/>
                <w:szCs w:val="20"/>
              </w:rPr>
            </w:pPr>
            <w:r w:rsidRPr="00CE2C77">
              <w:rPr>
                <w:rFonts w:ascii="Arial Narrow" w:hAnsi="Arial Narrow" w:cs="Arial"/>
                <w:sz w:val="20"/>
                <w:szCs w:val="20"/>
              </w:rPr>
              <w:t>Menzies 2014</w:t>
            </w:r>
          </w:p>
        </w:tc>
        <w:tc>
          <w:tcPr>
            <w:tcW w:w="4322" w:type="pct"/>
            <w:gridSpan w:val="10"/>
            <w:vAlign w:val="center"/>
          </w:tcPr>
          <w:p w:rsidR="00CE2C77" w:rsidRPr="00CE2C77" w:rsidRDefault="00CE2C77" w:rsidP="00AD362F">
            <w:pPr>
              <w:jc w:val="center"/>
              <w:rPr>
                <w:rFonts w:ascii="Arial Narrow" w:hAnsi="Arial Narrow" w:cs="Arial"/>
                <w:snapToGrid w:val="0"/>
                <w:color w:val="000000"/>
                <w:sz w:val="20"/>
                <w:szCs w:val="18"/>
              </w:rPr>
            </w:pPr>
            <w:r w:rsidRPr="00CE2C77">
              <w:rPr>
                <w:rFonts w:ascii="Arial Narrow" w:hAnsi="Arial Narrow" w:cs="Arial"/>
                <w:snapToGrid w:val="0"/>
                <w:color w:val="000000"/>
                <w:sz w:val="20"/>
                <w:szCs w:val="18"/>
              </w:rPr>
              <w:t xml:space="preserve">Non-randomised study using screening method, </w:t>
            </w:r>
            <w:r w:rsidRPr="00CE2C77">
              <w:rPr>
                <w:rFonts w:ascii="Arial Narrow" w:hAnsi="Arial Narrow" w:cs="Arial"/>
                <w:i/>
                <w:snapToGrid w:val="0"/>
                <w:color w:val="000000"/>
                <w:sz w:val="20"/>
                <w:szCs w:val="18"/>
              </w:rPr>
              <w:t>RR=0.39 (0.33, 0.45)</w:t>
            </w:r>
          </w:p>
        </w:tc>
      </w:tr>
      <w:tr w:rsidR="00CE2C77" w:rsidRPr="00CE2C77" w:rsidTr="00CE2C77">
        <w:tc>
          <w:tcPr>
            <w:tcW w:w="5000" w:type="pct"/>
            <w:gridSpan w:val="11"/>
            <w:tcBorders>
              <w:top w:val="double" w:sz="4" w:space="0" w:color="auto"/>
            </w:tcBorders>
            <w:shd w:val="clear" w:color="auto" w:fill="auto"/>
            <w:vAlign w:val="center"/>
          </w:tcPr>
          <w:p w:rsidR="00CE2C77" w:rsidRPr="00CE2C77" w:rsidRDefault="00CE2C77" w:rsidP="00AD362F">
            <w:pPr>
              <w:keepNext/>
              <w:jc w:val="both"/>
              <w:rPr>
                <w:rFonts w:ascii="Arial Narrow" w:hAnsi="Arial Narrow" w:cs="Arial"/>
                <w:b/>
                <w:snapToGrid w:val="0"/>
                <w:color w:val="000000"/>
                <w:sz w:val="20"/>
                <w:szCs w:val="18"/>
              </w:rPr>
            </w:pPr>
            <w:r w:rsidRPr="00CE2C77">
              <w:rPr>
                <w:rFonts w:ascii="Arial Narrow" w:hAnsi="Arial Narrow" w:cs="Arial"/>
                <w:b/>
                <w:snapToGrid w:val="0"/>
                <w:color w:val="000000"/>
                <w:sz w:val="20"/>
                <w:szCs w:val="18"/>
              </w:rPr>
              <w:t>Bacteraemic pneumococcal pneumonia</w:t>
            </w:r>
          </w:p>
        </w:tc>
      </w:tr>
      <w:tr w:rsidR="00CE2C77" w:rsidRPr="00CE2C77" w:rsidTr="00CE2C77">
        <w:trPr>
          <w:trHeight w:val="105"/>
        </w:trPr>
        <w:tc>
          <w:tcPr>
            <w:tcW w:w="678" w:type="pct"/>
            <w:vMerge w:val="restart"/>
            <w:shd w:val="clear" w:color="auto" w:fill="auto"/>
            <w:vAlign w:val="center"/>
          </w:tcPr>
          <w:p w:rsidR="00CE2C77" w:rsidRPr="00CE2C77" w:rsidRDefault="00CE2C77" w:rsidP="00AD362F">
            <w:pPr>
              <w:keepNext/>
              <w:jc w:val="both"/>
              <w:rPr>
                <w:rFonts w:ascii="Arial Narrow" w:hAnsi="Arial Narrow" w:cs="Arial"/>
                <w:snapToGrid w:val="0"/>
                <w:color w:val="000000"/>
                <w:sz w:val="20"/>
                <w:szCs w:val="18"/>
              </w:rPr>
            </w:pPr>
          </w:p>
        </w:tc>
        <w:tc>
          <w:tcPr>
            <w:tcW w:w="415" w:type="pct"/>
            <w:vMerge w:val="restart"/>
            <w:vAlign w:val="center"/>
          </w:tcPr>
          <w:p w:rsidR="00CE2C77" w:rsidRPr="00CE2C77" w:rsidRDefault="00CE2C77" w:rsidP="00AD362F">
            <w:pPr>
              <w:keepNext/>
              <w:jc w:val="center"/>
              <w:rPr>
                <w:rFonts w:ascii="Arial Narrow" w:hAnsi="Arial Narrow" w:cs="Arial"/>
                <w:b/>
                <w:snapToGrid w:val="0"/>
                <w:color w:val="000000"/>
                <w:sz w:val="20"/>
                <w:szCs w:val="18"/>
              </w:rPr>
            </w:pPr>
            <w:r w:rsidRPr="00CE2C77">
              <w:rPr>
                <w:rFonts w:ascii="Arial Narrow" w:hAnsi="Arial Narrow" w:cs="Arial"/>
                <w:b/>
                <w:snapToGrid w:val="0"/>
                <w:color w:val="000000"/>
                <w:sz w:val="20"/>
                <w:szCs w:val="18"/>
              </w:rPr>
              <w:t>13vPCV</w:t>
            </w:r>
          </w:p>
        </w:tc>
        <w:tc>
          <w:tcPr>
            <w:tcW w:w="415" w:type="pct"/>
            <w:vMerge w:val="restart"/>
            <w:vAlign w:val="center"/>
          </w:tcPr>
          <w:p w:rsidR="00CE2C77" w:rsidRPr="00CE2C77" w:rsidRDefault="00CE2C77" w:rsidP="00AD362F">
            <w:pPr>
              <w:keepNext/>
              <w:jc w:val="center"/>
              <w:rPr>
                <w:rFonts w:ascii="Arial Narrow" w:hAnsi="Arial Narrow" w:cs="Arial"/>
                <w:b/>
                <w:snapToGrid w:val="0"/>
                <w:color w:val="000000"/>
                <w:sz w:val="20"/>
                <w:szCs w:val="18"/>
              </w:rPr>
            </w:pPr>
            <w:r w:rsidRPr="00CE2C77">
              <w:rPr>
                <w:rFonts w:ascii="Arial Narrow" w:hAnsi="Arial Narrow" w:cs="Arial"/>
                <w:b/>
                <w:snapToGrid w:val="0"/>
                <w:color w:val="000000"/>
                <w:sz w:val="20"/>
                <w:szCs w:val="18"/>
              </w:rPr>
              <w:t>PBO</w:t>
            </w:r>
            <w:r w:rsidRPr="00CE2C77">
              <w:rPr>
                <w:rFonts w:ascii="Arial Narrow" w:hAnsi="Arial Narrow" w:cs="Arial"/>
                <w:b/>
                <w:snapToGrid w:val="0"/>
                <w:color w:val="000000"/>
                <w:sz w:val="20"/>
                <w:szCs w:val="18"/>
                <w:vertAlign w:val="superscript"/>
              </w:rPr>
              <w:t>a</w:t>
            </w:r>
          </w:p>
        </w:tc>
        <w:tc>
          <w:tcPr>
            <w:tcW w:w="418" w:type="pct"/>
            <w:vMerge w:val="restart"/>
            <w:vAlign w:val="center"/>
          </w:tcPr>
          <w:p w:rsidR="00CE2C77" w:rsidRPr="00CE2C77" w:rsidRDefault="00CE2C77" w:rsidP="00AD362F">
            <w:pPr>
              <w:keepNext/>
              <w:jc w:val="center"/>
              <w:rPr>
                <w:rFonts w:ascii="Arial Narrow" w:hAnsi="Arial Narrow" w:cs="Arial"/>
                <w:b/>
                <w:snapToGrid w:val="0"/>
                <w:color w:val="000000"/>
                <w:sz w:val="20"/>
                <w:szCs w:val="18"/>
              </w:rPr>
            </w:pPr>
            <w:r w:rsidRPr="00CE2C77">
              <w:rPr>
                <w:rFonts w:ascii="Arial Narrow" w:hAnsi="Arial Narrow" w:cs="Arial"/>
                <w:b/>
                <w:snapToGrid w:val="0"/>
                <w:color w:val="000000"/>
                <w:sz w:val="20"/>
                <w:szCs w:val="18"/>
              </w:rPr>
              <w:t>23vPPV</w:t>
            </w:r>
          </w:p>
        </w:tc>
        <w:tc>
          <w:tcPr>
            <w:tcW w:w="749" w:type="pct"/>
            <w:vMerge w:val="restart"/>
            <w:vAlign w:val="center"/>
          </w:tcPr>
          <w:p w:rsidR="00CE2C77" w:rsidRPr="00CE2C77" w:rsidRDefault="00CE2C77" w:rsidP="00AD362F">
            <w:pPr>
              <w:keepNext/>
              <w:jc w:val="center"/>
              <w:rPr>
                <w:rFonts w:ascii="Arial Narrow" w:hAnsi="Arial Narrow" w:cs="Arial"/>
                <w:b/>
                <w:snapToGrid w:val="0"/>
                <w:color w:val="000000"/>
                <w:sz w:val="20"/>
                <w:szCs w:val="18"/>
              </w:rPr>
            </w:pPr>
            <w:r w:rsidRPr="00CE2C77">
              <w:rPr>
                <w:rFonts w:ascii="Arial Narrow" w:hAnsi="Arial Narrow" w:cs="Arial"/>
                <w:b/>
                <w:snapToGrid w:val="0"/>
                <w:color w:val="000000"/>
                <w:sz w:val="20"/>
                <w:szCs w:val="18"/>
              </w:rPr>
              <w:t>RR</w:t>
            </w:r>
          </w:p>
          <w:p w:rsidR="00CE2C77" w:rsidRPr="00CE2C77" w:rsidRDefault="00CE2C77" w:rsidP="00AD362F">
            <w:pPr>
              <w:keepNext/>
              <w:jc w:val="center"/>
              <w:rPr>
                <w:rFonts w:ascii="Arial Narrow" w:hAnsi="Arial Narrow" w:cs="Arial"/>
                <w:snapToGrid w:val="0"/>
                <w:color w:val="000000"/>
                <w:sz w:val="20"/>
                <w:szCs w:val="18"/>
              </w:rPr>
            </w:pPr>
            <w:r w:rsidRPr="00CE2C77">
              <w:rPr>
                <w:rFonts w:ascii="Arial Narrow" w:hAnsi="Arial Narrow" w:cs="Arial"/>
                <w:b/>
                <w:snapToGrid w:val="0"/>
                <w:color w:val="000000"/>
                <w:sz w:val="20"/>
                <w:szCs w:val="18"/>
              </w:rPr>
              <w:t>(95% CI)</w:t>
            </w:r>
          </w:p>
        </w:tc>
        <w:tc>
          <w:tcPr>
            <w:tcW w:w="1331" w:type="pct"/>
            <w:gridSpan w:val="5"/>
            <w:vAlign w:val="center"/>
          </w:tcPr>
          <w:p w:rsidR="00CE2C77" w:rsidRPr="00CE2C77" w:rsidRDefault="00CE2C77" w:rsidP="00AD362F">
            <w:pPr>
              <w:keepNext/>
              <w:jc w:val="center"/>
              <w:rPr>
                <w:rFonts w:ascii="Arial Narrow" w:hAnsi="Arial Narrow" w:cs="Arial"/>
                <w:b/>
                <w:snapToGrid w:val="0"/>
                <w:color w:val="000000"/>
                <w:sz w:val="20"/>
                <w:szCs w:val="18"/>
              </w:rPr>
            </w:pPr>
            <w:r w:rsidRPr="00CE2C77">
              <w:rPr>
                <w:rFonts w:ascii="Arial Narrow" w:hAnsi="Arial Narrow" w:cs="Arial"/>
                <w:b/>
                <w:snapToGrid w:val="0"/>
                <w:color w:val="000000"/>
                <w:sz w:val="20"/>
                <w:szCs w:val="18"/>
              </w:rPr>
              <w:t xml:space="preserve">Event rate/100 patients* </w:t>
            </w:r>
          </w:p>
        </w:tc>
        <w:tc>
          <w:tcPr>
            <w:tcW w:w="994" w:type="pct"/>
            <w:vMerge w:val="restart"/>
            <w:vAlign w:val="center"/>
          </w:tcPr>
          <w:p w:rsidR="00CE2C77" w:rsidRPr="00CE2C77" w:rsidRDefault="00CE2C77" w:rsidP="00AD362F">
            <w:pPr>
              <w:keepNext/>
              <w:jc w:val="center"/>
              <w:rPr>
                <w:rFonts w:ascii="Arial Narrow" w:hAnsi="Arial Narrow" w:cs="Arial"/>
                <w:b/>
                <w:snapToGrid w:val="0"/>
                <w:color w:val="000000"/>
                <w:sz w:val="20"/>
                <w:szCs w:val="18"/>
              </w:rPr>
            </w:pPr>
            <w:r w:rsidRPr="00CE2C77">
              <w:rPr>
                <w:rFonts w:ascii="Arial Narrow" w:hAnsi="Arial Narrow" w:cs="Arial"/>
                <w:b/>
                <w:snapToGrid w:val="0"/>
                <w:color w:val="000000"/>
                <w:sz w:val="20"/>
                <w:szCs w:val="18"/>
              </w:rPr>
              <w:t>RD</w:t>
            </w:r>
          </w:p>
          <w:p w:rsidR="00CE2C77" w:rsidRPr="00CE2C77" w:rsidRDefault="00CE2C77" w:rsidP="00AD362F">
            <w:pPr>
              <w:keepNext/>
              <w:jc w:val="center"/>
              <w:rPr>
                <w:rFonts w:ascii="Arial Narrow" w:hAnsi="Arial Narrow" w:cs="Arial"/>
                <w:snapToGrid w:val="0"/>
                <w:color w:val="000000"/>
                <w:sz w:val="20"/>
                <w:szCs w:val="18"/>
              </w:rPr>
            </w:pPr>
            <w:r w:rsidRPr="00CE2C77">
              <w:rPr>
                <w:rFonts w:ascii="Arial Narrow" w:hAnsi="Arial Narrow" w:cs="Arial"/>
                <w:b/>
                <w:snapToGrid w:val="0"/>
                <w:color w:val="000000"/>
                <w:sz w:val="20"/>
                <w:szCs w:val="18"/>
              </w:rPr>
              <w:t>(95% CI)</w:t>
            </w:r>
          </w:p>
        </w:tc>
      </w:tr>
      <w:tr w:rsidR="00CE2C77" w:rsidRPr="00CE2C77" w:rsidTr="00CE2C77">
        <w:trPr>
          <w:trHeight w:val="70"/>
        </w:trPr>
        <w:tc>
          <w:tcPr>
            <w:tcW w:w="678" w:type="pct"/>
            <w:vMerge/>
            <w:shd w:val="clear" w:color="auto" w:fill="auto"/>
            <w:vAlign w:val="center"/>
          </w:tcPr>
          <w:p w:rsidR="00CE2C77" w:rsidRPr="00CE2C77" w:rsidRDefault="00CE2C77" w:rsidP="00AD362F">
            <w:pPr>
              <w:keepNext/>
              <w:jc w:val="both"/>
              <w:rPr>
                <w:rFonts w:ascii="Arial Narrow" w:hAnsi="Arial Narrow" w:cs="Arial"/>
                <w:snapToGrid w:val="0"/>
                <w:color w:val="000000"/>
                <w:sz w:val="20"/>
                <w:szCs w:val="18"/>
              </w:rPr>
            </w:pPr>
          </w:p>
        </w:tc>
        <w:tc>
          <w:tcPr>
            <w:tcW w:w="415" w:type="pct"/>
            <w:vMerge/>
            <w:vAlign w:val="center"/>
          </w:tcPr>
          <w:p w:rsidR="00CE2C77" w:rsidRPr="00CE2C77" w:rsidRDefault="00CE2C77" w:rsidP="00AD362F">
            <w:pPr>
              <w:keepNext/>
              <w:jc w:val="center"/>
              <w:rPr>
                <w:rFonts w:ascii="Arial Narrow" w:hAnsi="Arial Narrow" w:cs="Arial"/>
                <w:b/>
                <w:snapToGrid w:val="0"/>
                <w:color w:val="000000"/>
                <w:sz w:val="20"/>
                <w:szCs w:val="18"/>
              </w:rPr>
            </w:pPr>
          </w:p>
        </w:tc>
        <w:tc>
          <w:tcPr>
            <w:tcW w:w="415" w:type="pct"/>
            <w:vMerge/>
            <w:vAlign w:val="center"/>
          </w:tcPr>
          <w:p w:rsidR="00CE2C77" w:rsidRPr="00CE2C77" w:rsidRDefault="00CE2C77" w:rsidP="00AD362F">
            <w:pPr>
              <w:keepNext/>
              <w:jc w:val="center"/>
              <w:rPr>
                <w:rFonts w:ascii="Arial Narrow" w:hAnsi="Arial Narrow" w:cs="Arial"/>
                <w:b/>
                <w:snapToGrid w:val="0"/>
                <w:color w:val="000000"/>
                <w:sz w:val="20"/>
                <w:szCs w:val="18"/>
              </w:rPr>
            </w:pPr>
          </w:p>
        </w:tc>
        <w:tc>
          <w:tcPr>
            <w:tcW w:w="418" w:type="pct"/>
            <w:vMerge/>
            <w:vAlign w:val="center"/>
          </w:tcPr>
          <w:p w:rsidR="00CE2C77" w:rsidRPr="00CE2C77" w:rsidRDefault="00CE2C77" w:rsidP="00AD362F">
            <w:pPr>
              <w:keepNext/>
              <w:jc w:val="center"/>
              <w:rPr>
                <w:rFonts w:ascii="Arial Narrow" w:hAnsi="Arial Narrow" w:cs="Arial"/>
                <w:b/>
                <w:snapToGrid w:val="0"/>
                <w:color w:val="000000"/>
                <w:sz w:val="20"/>
                <w:szCs w:val="18"/>
              </w:rPr>
            </w:pPr>
          </w:p>
        </w:tc>
        <w:tc>
          <w:tcPr>
            <w:tcW w:w="749" w:type="pct"/>
            <w:vMerge/>
            <w:vAlign w:val="center"/>
          </w:tcPr>
          <w:p w:rsidR="00CE2C77" w:rsidRPr="00CE2C77" w:rsidRDefault="00CE2C77" w:rsidP="00AD362F">
            <w:pPr>
              <w:keepNext/>
              <w:jc w:val="center"/>
              <w:rPr>
                <w:rFonts w:ascii="Arial Narrow" w:hAnsi="Arial Narrow" w:cs="Arial"/>
                <w:b/>
                <w:snapToGrid w:val="0"/>
                <w:color w:val="000000"/>
                <w:sz w:val="20"/>
                <w:szCs w:val="18"/>
              </w:rPr>
            </w:pPr>
          </w:p>
        </w:tc>
        <w:tc>
          <w:tcPr>
            <w:tcW w:w="418" w:type="pct"/>
            <w:vAlign w:val="center"/>
          </w:tcPr>
          <w:p w:rsidR="00CE2C77" w:rsidRPr="00CE2C77" w:rsidRDefault="00CE2C77" w:rsidP="00AD362F">
            <w:pPr>
              <w:keepNext/>
              <w:jc w:val="center"/>
              <w:rPr>
                <w:rFonts w:ascii="Arial Narrow" w:hAnsi="Arial Narrow" w:cs="Arial"/>
                <w:b/>
                <w:snapToGrid w:val="0"/>
                <w:color w:val="000000"/>
                <w:sz w:val="20"/>
                <w:szCs w:val="18"/>
              </w:rPr>
            </w:pPr>
            <w:r w:rsidRPr="00CE2C77">
              <w:rPr>
                <w:rFonts w:ascii="Arial Narrow" w:hAnsi="Arial Narrow" w:cs="Arial"/>
                <w:b/>
                <w:snapToGrid w:val="0"/>
                <w:color w:val="000000"/>
                <w:sz w:val="20"/>
                <w:szCs w:val="18"/>
              </w:rPr>
              <w:t>13vPCV</w:t>
            </w:r>
          </w:p>
        </w:tc>
        <w:tc>
          <w:tcPr>
            <w:tcW w:w="415" w:type="pct"/>
            <w:vAlign w:val="center"/>
          </w:tcPr>
          <w:p w:rsidR="00CE2C77" w:rsidRPr="00CE2C77" w:rsidRDefault="00CE2C77" w:rsidP="00AD362F">
            <w:pPr>
              <w:keepNext/>
              <w:jc w:val="center"/>
              <w:rPr>
                <w:rFonts w:ascii="Arial Narrow" w:hAnsi="Arial Narrow" w:cs="Arial"/>
                <w:b/>
                <w:snapToGrid w:val="0"/>
                <w:color w:val="000000"/>
                <w:sz w:val="20"/>
                <w:szCs w:val="18"/>
              </w:rPr>
            </w:pPr>
            <w:r w:rsidRPr="00CE2C77">
              <w:rPr>
                <w:rFonts w:ascii="Arial Narrow" w:hAnsi="Arial Narrow" w:cs="Arial"/>
                <w:b/>
                <w:snapToGrid w:val="0"/>
                <w:color w:val="000000"/>
                <w:sz w:val="20"/>
                <w:szCs w:val="18"/>
              </w:rPr>
              <w:t>PBO</w:t>
            </w:r>
            <w:r w:rsidRPr="00CE2C77">
              <w:rPr>
                <w:rFonts w:ascii="Arial Narrow" w:hAnsi="Arial Narrow" w:cs="Arial"/>
                <w:b/>
                <w:snapToGrid w:val="0"/>
                <w:color w:val="000000"/>
                <w:sz w:val="20"/>
                <w:szCs w:val="18"/>
                <w:vertAlign w:val="superscript"/>
              </w:rPr>
              <w:t>a</w:t>
            </w:r>
          </w:p>
        </w:tc>
        <w:tc>
          <w:tcPr>
            <w:tcW w:w="498" w:type="pct"/>
            <w:gridSpan w:val="3"/>
            <w:vAlign w:val="center"/>
          </w:tcPr>
          <w:p w:rsidR="00CE2C77" w:rsidRPr="00CE2C77" w:rsidRDefault="00CE2C77" w:rsidP="00AD362F">
            <w:pPr>
              <w:keepNext/>
              <w:jc w:val="center"/>
              <w:rPr>
                <w:rFonts w:ascii="Arial Narrow" w:hAnsi="Arial Narrow" w:cs="Arial"/>
                <w:b/>
                <w:snapToGrid w:val="0"/>
                <w:color w:val="000000"/>
                <w:sz w:val="20"/>
                <w:szCs w:val="18"/>
              </w:rPr>
            </w:pPr>
            <w:r w:rsidRPr="00CE2C77">
              <w:rPr>
                <w:rFonts w:ascii="Arial Narrow" w:hAnsi="Arial Narrow" w:cs="Arial"/>
                <w:b/>
                <w:snapToGrid w:val="0"/>
                <w:color w:val="000000"/>
                <w:sz w:val="20"/>
                <w:szCs w:val="18"/>
              </w:rPr>
              <w:t>23vPPV</w:t>
            </w:r>
          </w:p>
        </w:tc>
        <w:tc>
          <w:tcPr>
            <w:tcW w:w="994" w:type="pct"/>
            <w:vMerge/>
            <w:vAlign w:val="center"/>
          </w:tcPr>
          <w:p w:rsidR="00CE2C77" w:rsidRPr="00CE2C77" w:rsidRDefault="00CE2C77" w:rsidP="00AD362F">
            <w:pPr>
              <w:keepNext/>
              <w:jc w:val="center"/>
              <w:rPr>
                <w:rFonts w:ascii="Arial Narrow" w:hAnsi="Arial Narrow" w:cs="Arial"/>
                <w:b/>
                <w:snapToGrid w:val="0"/>
                <w:color w:val="000000"/>
                <w:sz w:val="20"/>
                <w:szCs w:val="18"/>
              </w:rPr>
            </w:pPr>
          </w:p>
        </w:tc>
      </w:tr>
      <w:tr w:rsidR="00CE2C77" w:rsidRPr="00CE2C77" w:rsidTr="00CE2C77">
        <w:tc>
          <w:tcPr>
            <w:tcW w:w="678" w:type="pct"/>
            <w:shd w:val="clear" w:color="auto" w:fill="auto"/>
            <w:vAlign w:val="center"/>
          </w:tcPr>
          <w:p w:rsidR="00CE2C77" w:rsidRPr="00CE2C77" w:rsidRDefault="00CE2C77" w:rsidP="00AD362F">
            <w:pPr>
              <w:keepNext/>
              <w:jc w:val="both"/>
              <w:rPr>
                <w:rFonts w:ascii="Arial Narrow" w:hAnsi="Arial Narrow" w:cs="Arial"/>
                <w:snapToGrid w:val="0"/>
                <w:color w:val="000000"/>
                <w:sz w:val="20"/>
                <w:szCs w:val="18"/>
              </w:rPr>
            </w:pPr>
            <w:r w:rsidRPr="00CE2C77">
              <w:rPr>
                <w:rFonts w:ascii="Arial Narrow" w:hAnsi="Arial Narrow" w:cs="Arial"/>
                <w:snapToGrid w:val="0"/>
                <w:color w:val="000000"/>
                <w:sz w:val="20"/>
                <w:szCs w:val="18"/>
              </w:rPr>
              <w:t>CAPiTA</w:t>
            </w:r>
          </w:p>
        </w:tc>
        <w:tc>
          <w:tcPr>
            <w:tcW w:w="415" w:type="pct"/>
            <w:vAlign w:val="center"/>
          </w:tcPr>
          <w:p w:rsidR="00CE2C77" w:rsidRPr="00CE2C77" w:rsidRDefault="00CE2C77" w:rsidP="00AD362F">
            <w:pPr>
              <w:keepNext/>
              <w:jc w:val="center"/>
              <w:rPr>
                <w:rFonts w:ascii="Arial Narrow" w:hAnsi="Arial Narrow" w:cs="Arial"/>
                <w:i/>
                <w:sz w:val="20"/>
                <w:szCs w:val="20"/>
              </w:rPr>
            </w:pPr>
            <w:r w:rsidRPr="00CE2C77">
              <w:rPr>
                <w:rFonts w:ascii="Arial Narrow" w:hAnsi="Arial Narrow" w:cs="Arial"/>
                <w:i/>
                <w:sz w:val="20"/>
                <w:szCs w:val="20"/>
              </w:rPr>
              <w:t xml:space="preserve">34/ </w:t>
            </w:r>
          </w:p>
          <w:p w:rsidR="00CE2C77" w:rsidRPr="00CE2C77" w:rsidRDefault="00CE2C77" w:rsidP="00AD362F">
            <w:pPr>
              <w:keepNext/>
              <w:jc w:val="center"/>
              <w:rPr>
                <w:rFonts w:ascii="Arial Narrow" w:hAnsi="Arial Narrow" w:cs="Arial"/>
                <w:i/>
                <w:sz w:val="20"/>
                <w:szCs w:val="20"/>
              </w:rPr>
            </w:pPr>
            <w:r w:rsidRPr="00CE2C77">
              <w:rPr>
                <w:rFonts w:ascii="Arial Narrow" w:hAnsi="Arial Narrow" w:cs="Arial"/>
                <w:i/>
                <w:sz w:val="20"/>
                <w:szCs w:val="20"/>
              </w:rPr>
              <w:t>42,240</w:t>
            </w:r>
          </w:p>
        </w:tc>
        <w:tc>
          <w:tcPr>
            <w:tcW w:w="415" w:type="pct"/>
            <w:vAlign w:val="center"/>
          </w:tcPr>
          <w:p w:rsidR="00CE2C77" w:rsidRPr="00CE2C77" w:rsidRDefault="00CE2C77" w:rsidP="00AD362F">
            <w:pPr>
              <w:keepNext/>
              <w:jc w:val="center"/>
              <w:rPr>
                <w:rFonts w:ascii="Arial Narrow" w:hAnsi="Arial Narrow" w:cs="Arial"/>
                <w:i/>
                <w:sz w:val="20"/>
                <w:szCs w:val="20"/>
              </w:rPr>
            </w:pPr>
            <w:r w:rsidRPr="00CE2C77">
              <w:rPr>
                <w:rFonts w:ascii="Arial Narrow" w:hAnsi="Arial Narrow" w:cs="Arial"/>
                <w:i/>
                <w:sz w:val="20"/>
                <w:szCs w:val="20"/>
              </w:rPr>
              <w:t>66/ 42,256</w:t>
            </w:r>
          </w:p>
        </w:tc>
        <w:tc>
          <w:tcPr>
            <w:tcW w:w="418" w:type="pct"/>
            <w:vAlign w:val="center"/>
          </w:tcPr>
          <w:p w:rsidR="00CE2C77" w:rsidRPr="00CE2C77" w:rsidRDefault="00CE2C77" w:rsidP="00AD362F">
            <w:pPr>
              <w:keepNext/>
              <w:jc w:val="center"/>
              <w:rPr>
                <w:rFonts w:ascii="Arial Narrow" w:hAnsi="Arial Narrow" w:cs="Arial"/>
                <w:snapToGrid w:val="0"/>
                <w:color w:val="000000"/>
                <w:sz w:val="20"/>
                <w:szCs w:val="18"/>
              </w:rPr>
            </w:pPr>
            <w:r w:rsidRPr="00CE2C77">
              <w:rPr>
                <w:rFonts w:ascii="Arial Narrow" w:hAnsi="Arial Narrow" w:cs="Arial"/>
                <w:snapToGrid w:val="0"/>
                <w:color w:val="000000"/>
                <w:sz w:val="20"/>
                <w:szCs w:val="18"/>
              </w:rPr>
              <w:t>-</w:t>
            </w:r>
          </w:p>
        </w:tc>
        <w:tc>
          <w:tcPr>
            <w:tcW w:w="749" w:type="pct"/>
            <w:vAlign w:val="center"/>
          </w:tcPr>
          <w:p w:rsidR="00CE2C77" w:rsidRPr="00CE2C77" w:rsidRDefault="00CE2C77" w:rsidP="00AD362F">
            <w:pPr>
              <w:keepNext/>
              <w:jc w:val="center"/>
              <w:rPr>
                <w:rFonts w:ascii="Arial Narrow" w:hAnsi="Arial Narrow" w:cs="Arial"/>
                <w:i/>
                <w:sz w:val="20"/>
                <w:szCs w:val="20"/>
              </w:rPr>
            </w:pPr>
            <w:r w:rsidRPr="00CE2C77">
              <w:rPr>
                <w:rFonts w:ascii="Arial Narrow" w:hAnsi="Arial Narrow" w:cs="Arial"/>
                <w:i/>
                <w:sz w:val="20"/>
                <w:szCs w:val="20"/>
              </w:rPr>
              <w:t>0.51</w:t>
            </w:r>
          </w:p>
          <w:p w:rsidR="00CE2C77" w:rsidRPr="00CE2C77" w:rsidRDefault="00CE2C77" w:rsidP="00AD362F">
            <w:pPr>
              <w:keepNext/>
              <w:jc w:val="center"/>
              <w:rPr>
                <w:rFonts w:ascii="Arial Narrow" w:hAnsi="Arial Narrow" w:cs="Arial Narrow"/>
                <w:sz w:val="20"/>
                <w:szCs w:val="18"/>
              </w:rPr>
            </w:pPr>
            <w:r w:rsidRPr="00CE2C77">
              <w:rPr>
                <w:rFonts w:ascii="Arial Narrow" w:hAnsi="Arial Narrow" w:cs="Arial"/>
                <w:i/>
                <w:sz w:val="20"/>
                <w:szCs w:val="20"/>
              </w:rPr>
              <w:t>(0.33, 0.79)</w:t>
            </w:r>
          </w:p>
        </w:tc>
        <w:tc>
          <w:tcPr>
            <w:tcW w:w="418" w:type="pct"/>
            <w:vAlign w:val="center"/>
          </w:tcPr>
          <w:p w:rsidR="00CE2C77" w:rsidRPr="00CE2C77" w:rsidRDefault="00CE2C77" w:rsidP="00AD362F">
            <w:pPr>
              <w:keepNext/>
              <w:jc w:val="center"/>
              <w:rPr>
                <w:rFonts w:ascii="Arial Narrow" w:hAnsi="Arial Narrow" w:cs="Arial"/>
                <w:i/>
                <w:snapToGrid w:val="0"/>
                <w:color w:val="000000"/>
                <w:sz w:val="20"/>
                <w:szCs w:val="18"/>
              </w:rPr>
            </w:pPr>
            <w:r w:rsidRPr="00CE2C77">
              <w:rPr>
                <w:rFonts w:ascii="Arial Narrow" w:hAnsi="Arial Narrow" w:cs="Arial"/>
                <w:i/>
                <w:snapToGrid w:val="0"/>
                <w:color w:val="000000"/>
                <w:sz w:val="20"/>
                <w:szCs w:val="18"/>
              </w:rPr>
              <w:t>0.08</w:t>
            </w:r>
          </w:p>
        </w:tc>
        <w:tc>
          <w:tcPr>
            <w:tcW w:w="415" w:type="pct"/>
            <w:vAlign w:val="center"/>
          </w:tcPr>
          <w:p w:rsidR="00CE2C77" w:rsidRPr="00CE2C77" w:rsidRDefault="00CE2C77" w:rsidP="00AD362F">
            <w:pPr>
              <w:keepNext/>
              <w:jc w:val="center"/>
              <w:rPr>
                <w:rFonts w:ascii="Arial Narrow" w:hAnsi="Arial Narrow" w:cs="Arial"/>
                <w:i/>
                <w:snapToGrid w:val="0"/>
                <w:color w:val="000000"/>
                <w:sz w:val="20"/>
                <w:szCs w:val="18"/>
              </w:rPr>
            </w:pPr>
            <w:r w:rsidRPr="00CE2C77">
              <w:rPr>
                <w:rFonts w:ascii="Arial Narrow" w:hAnsi="Arial Narrow" w:cs="Arial"/>
                <w:i/>
                <w:snapToGrid w:val="0"/>
                <w:color w:val="000000"/>
                <w:sz w:val="20"/>
                <w:szCs w:val="18"/>
              </w:rPr>
              <w:t>0.16</w:t>
            </w:r>
          </w:p>
        </w:tc>
        <w:tc>
          <w:tcPr>
            <w:tcW w:w="498" w:type="pct"/>
            <w:gridSpan w:val="3"/>
            <w:vAlign w:val="center"/>
          </w:tcPr>
          <w:p w:rsidR="00CE2C77" w:rsidRPr="00CE2C77" w:rsidRDefault="00CE2C77" w:rsidP="00AD362F">
            <w:pPr>
              <w:keepNext/>
              <w:jc w:val="center"/>
              <w:rPr>
                <w:rFonts w:ascii="Arial Narrow" w:hAnsi="Arial Narrow" w:cs="Arial"/>
                <w:i/>
                <w:snapToGrid w:val="0"/>
                <w:color w:val="000000"/>
                <w:sz w:val="20"/>
                <w:szCs w:val="18"/>
              </w:rPr>
            </w:pPr>
            <w:r w:rsidRPr="00CE2C77">
              <w:rPr>
                <w:rFonts w:ascii="Arial Narrow" w:hAnsi="Arial Narrow" w:cs="Arial"/>
                <w:i/>
                <w:snapToGrid w:val="0"/>
                <w:color w:val="000000"/>
                <w:sz w:val="20"/>
                <w:szCs w:val="18"/>
              </w:rPr>
              <w:t>-</w:t>
            </w:r>
          </w:p>
        </w:tc>
        <w:tc>
          <w:tcPr>
            <w:tcW w:w="994" w:type="pct"/>
            <w:vAlign w:val="center"/>
          </w:tcPr>
          <w:p w:rsidR="00CE2C77" w:rsidRPr="00CE2C77" w:rsidRDefault="00CE2C77" w:rsidP="00AD362F">
            <w:pPr>
              <w:keepNext/>
              <w:jc w:val="center"/>
              <w:rPr>
                <w:rFonts w:ascii="Arial Narrow" w:hAnsi="Arial Narrow" w:cs="Arial"/>
                <w:i/>
                <w:snapToGrid w:val="0"/>
                <w:color w:val="000000"/>
                <w:sz w:val="20"/>
                <w:szCs w:val="18"/>
              </w:rPr>
            </w:pPr>
            <w:r w:rsidRPr="00CE2C77">
              <w:rPr>
                <w:rFonts w:ascii="Arial Narrow" w:hAnsi="Arial Narrow" w:cs="Arial"/>
                <w:i/>
                <w:snapToGrid w:val="0"/>
                <w:color w:val="000000"/>
                <w:sz w:val="20"/>
                <w:szCs w:val="18"/>
              </w:rPr>
              <w:t>-0.0008</w:t>
            </w:r>
          </w:p>
          <w:p w:rsidR="00CE2C77" w:rsidRPr="00CE2C77" w:rsidRDefault="00CE2C77" w:rsidP="00AD362F">
            <w:pPr>
              <w:keepNext/>
              <w:jc w:val="center"/>
              <w:rPr>
                <w:rFonts w:ascii="Arial Narrow" w:hAnsi="Arial Narrow" w:cs="Arial"/>
                <w:i/>
                <w:snapToGrid w:val="0"/>
                <w:color w:val="000000"/>
                <w:sz w:val="20"/>
                <w:szCs w:val="18"/>
              </w:rPr>
            </w:pPr>
            <w:r w:rsidRPr="00CE2C77">
              <w:rPr>
                <w:rFonts w:ascii="Arial Narrow" w:hAnsi="Arial Narrow" w:cs="Arial"/>
                <w:i/>
                <w:snapToGrid w:val="0"/>
                <w:color w:val="000000"/>
                <w:sz w:val="20"/>
                <w:szCs w:val="18"/>
              </w:rPr>
              <w:t>(-0.00</w:t>
            </w:r>
            <w:r w:rsidR="00421C5F">
              <w:rPr>
                <w:rFonts w:ascii="Arial Narrow" w:hAnsi="Arial Narrow" w:cs="Arial"/>
                <w:i/>
                <w:snapToGrid w:val="0"/>
                <w:color w:val="000000"/>
                <w:sz w:val="20"/>
                <w:szCs w:val="18"/>
              </w:rPr>
              <w:t>12</w:t>
            </w:r>
            <w:r w:rsidRPr="00CE2C77">
              <w:rPr>
                <w:rFonts w:ascii="Arial Narrow" w:hAnsi="Arial Narrow" w:cs="Arial"/>
                <w:i/>
                <w:snapToGrid w:val="0"/>
                <w:color w:val="000000"/>
                <w:sz w:val="20"/>
                <w:szCs w:val="18"/>
              </w:rPr>
              <w:t>, -0.00</w:t>
            </w:r>
            <w:r w:rsidR="00421C5F">
              <w:rPr>
                <w:rFonts w:ascii="Arial Narrow" w:hAnsi="Arial Narrow" w:cs="Arial"/>
                <w:i/>
                <w:snapToGrid w:val="0"/>
                <w:color w:val="000000"/>
                <w:sz w:val="20"/>
                <w:szCs w:val="18"/>
              </w:rPr>
              <w:t>03</w:t>
            </w:r>
            <w:r w:rsidRPr="00CE2C77">
              <w:rPr>
                <w:rFonts w:ascii="Arial Narrow" w:hAnsi="Arial Narrow" w:cs="Arial"/>
                <w:i/>
                <w:snapToGrid w:val="0"/>
                <w:color w:val="000000"/>
                <w:sz w:val="20"/>
                <w:szCs w:val="18"/>
              </w:rPr>
              <w:t>)</w:t>
            </w:r>
          </w:p>
        </w:tc>
      </w:tr>
      <w:tr w:rsidR="00CE2C77" w:rsidRPr="00CE2C77" w:rsidTr="00CE2C77">
        <w:tc>
          <w:tcPr>
            <w:tcW w:w="678" w:type="pct"/>
            <w:shd w:val="clear" w:color="auto" w:fill="auto"/>
            <w:vAlign w:val="center"/>
          </w:tcPr>
          <w:p w:rsidR="00CE2C77" w:rsidRPr="00CE2C77" w:rsidRDefault="00CE2C77" w:rsidP="00AD362F">
            <w:pPr>
              <w:rPr>
                <w:rFonts w:ascii="Arial Narrow" w:hAnsi="Arial Narrow" w:cs="Arial Narrow"/>
                <w:color w:val="000000"/>
                <w:sz w:val="20"/>
                <w:szCs w:val="18"/>
              </w:rPr>
            </w:pPr>
            <w:r w:rsidRPr="00CE2C77">
              <w:rPr>
                <w:rFonts w:ascii="Arial Narrow" w:hAnsi="Arial Narrow" w:cs="Arial Narrow"/>
                <w:color w:val="000000"/>
                <w:sz w:val="20"/>
                <w:szCs w:val="18"/>
              </w:rPr>
              <w:t>23vPPV RCTs pooled, 3 trials</w:t>
            </w:r>
          </w:p>
        </w:tc>
        <w:tc>
          <w:tcPr>
            <w:tcW w:w="415" w:type="pct"/>
            <w:vAlign w:val="center"/>
          </w:tcPr>
          <w:p w:rsidR="00CE2C77" w:rsidRPr="00CE2C77" w:rsidRDefault="00CE2C77" w:rsidP="00AD362F">
            <w:pPr>
              <w:jc w:val="center"/>
              <w:rPr>
                <w:rFonts w:ascii="Arial Narrow" w:hAnsi="Arial Narrow" w:cs="Arial"/>
                <w:snapToGrid w:val="0"/>
                <w:color w:val="000000"/>
                <w:sz w:val="20"/>
                <w:szCs w:val="18"/>
              </w:rPr>
            </w:pPr>
            <w:r w:rsidRPr="00CE2C77">
              <w:rPr>
                <w:rFonts w:ascii="Arial Narrow" w:hAnsi="Arial Narrow" w:cs="Arial"/>
                <w:snapToGrid w:val="0"/>
                <w:color w:val="000000"/>
                <w:sz w:val="20"/>
                <w:szCs w:val="18"/>
              </w:rPr>
              <w:t>-</w:t>
            </w:r>
          </w:p>
        </w:tc>
        <w:tc>
          <w:tcPr>
            <w:tcW w:w="415" w:type="pct"/>
            <w:vAlign w:val="center"/>
          </w:tcPr>
          <w:p w:rsidR="00CE2C77" w:rsidRPr="00CE2C77" w:rsidRDefault="00CE2C77" w:rsidP="00AD362F">
            <w:pPr>
              <w:jc w:val="center"/>
              <w:rPr>
                <w:rFonts w:ascii="Arial Narrow" w:hAnsi="Arial Narrow" w:cs="Arial"/>
                <w:sz w:val="20"/>
                <w:szCs w:val="20"/>
              </w:rPr>
            </w:pPr>
            <w:r w:rsidRPr="00CE2C77">
              <w:rPr>
                <w:rFonts w:ascii="Arial Narrow" w:hAnsi="Arial Narrow" w:cs="Arial"/>
                <w:sz w:val="20"/>
                <w:szCs w:val="20"/>
              </w:rPr>
              <w:t xml:space="preserve">1/ </w:t>
            </w:r>
          </w:p>
          <w:p w:rsidR="00CE2C77" w:rsidRPr="00CE2C77" w:rsidRDefault="00CE2C77" w:rsidP="00AD362F">
            <w:pPr>
              <w:jc w:val="center"/>
              <w:rPr>
                <w:rFonts w:ascii="Arial Narrow" w:hAnsi="Arial Narrow" w:cs="Arial"/>
                <w:sz w:val="20"/>
                <w:szCs w:val="20"/>
              </w:rPr>
            </w:pPr>
            <w:r w:rsidRPr="00CE2C77">
              <w:rPr>
                <w:rFonts w:ascii="Arial Narrow" w:hAnsi="Arial Narrow" w:cs="Arial"/>
                <w:sz w:val="20"/>
                <w:szCs w:val="20"/>
              </w:rPr>
              <w:t>1,048</w:t>
            </w:r>
          </w:p>
        </w:tc>
        <w:tc>
          <w:tcPr>
            <w:tcW w:w="418" w:type="pct"/>
            <w:vAlign w:val="center"/>
          </w:tcPr>
          <w:p w:rsidR="00CE2C77" w:rsidRPr="00CE2C77" w:rsidRDefault="00CE2C77" w:rsidP="00AD362F">
            <w:pPr>
              <w:jc w:val="center"/>
              <w:rPr>
                <w:rFonts w:ascii="Arial Narrow" w:hAnsi="Arial Narrow" w:cs="Arial"/>
                <w:sz w:val="20"/>
                <w:szCs w:val="20"/>
              </w:rPr>
            </w:pPr>
            <w:r w:rsidRPr="00CE2C77">
              <w:rPr>
                <w:rFonts w:ascii="Arial Narrow" w:hAnsi="Arial Narrow" w:cs="Arial"/>
                <w:sz w:val="20"/>
                <w:szCs w:val="20"/>
              </w:rPr>
              <w:t>8/</w:t>
            </w:r>
          </w:p>
          <w:p w:rsidR="00CE2C77" w:rsidRPr="00CE2C77" w:rsidRDefault="00CE2C77" w:rsidP="00AD362F">
            <w:pPr>
              <w:jc w:val="center"/>
              <w:rPr>
                <w:rFonts w:ascii="Arial Narrow" w:hAnsi="Arial Narrow" w:cs="Arial"/>
                <w:sz w:val="20"/>
                <w:szCs w:val="20"/>
              </w:rPr>
            </w:pPr>
            <w:r w:rsidRPr="00CE2C77">
              <w:rPr>
                <w:rFonts w:ascii="Arial Narrow" w:hAnsi="Arial Narrow" w:cs="Arial"/>
                <w:sz w:val="20"/>
                <w:szCs w:val="20"/>
              </w:rPr>
              <w:t>1,038</w:t>
            </w:r>
          </w:p>
        </w:tc>
        <w:tc>
          <w:tcPr>
            <w:tcW w:w="749" w:type="pct"/>
            <w:vAlign w:val="center"/>
          </w:tcPr>
          <w:p w:rsidR="00CE2C77" w:rsidRPr="00CE2C77" w:rsidRDefault="00CE2C77" w:rsidP="00AD362F">
            <w:pPr>
              <w:jc w:val="center"/>
              <w:rPr>
                <w:rFonts w:ascii="Arial Narrow" w:hAnsi="Arial Narrow" w:cs="Arial"/>
                <w:sz w:val="20"/>
                <w:szCs w:val="20"/>
              </w:rPr>
            </w:pPr>
            <w:r w:rsidRPr="00CE2C77">
              <w:rPr>
                <w:rFonts w:ascii="Arial Narrow" w:hAnsi="Arial Narrow" w:cs="Arial"/>
                <w:sz w:val="20"/>
                <w:szCs w:val="20"/>
              </w:rPr>
              <w:t>0.18 (0.03, 1.03)</w:t>
            </w:r>
          </w:p>
          <w:p w:rsidR="00CE2C77" w:rsidRPr="00CE2C77" w:rsidRDefault="00CE2C77" w:rsidP="00AD362F">
            <w:pPr>
              <w:jc w:val="center"/>
              <w:rPr>
                <w:rFonts w:ascii="Arial Narrow" w:hAnsi="Arial Narrow" w:cs="Arial"/>
                <w:sz w:val="20"/>
                <w:szCs w:val="20"/>
                <w:highlight w:val="yellow"/>
              </w:rPr>
            </w:pPr>
            <w:r w:rsidRPr="00CE2C77">
              <w:rPr>
                <w:rFonts w:ascii="Arial Narrow" w:hAnsi="Arial Narrow" w:cs="Arial"/>
                <w:sz w:val="20"/>
                <w:szCs w:val="20"/>
              </w:rPr>
              <w:t>Heterogeneity p-value=0.85</w:t>
            </w:r>
          </w:p>
        </w:tc>
        <w:tc>
          <w:tcPr>
            <w:tcW w:w="418" w:type="pct"/>
            <w:vAlign w:val="center"/>
          </w:tcPr>
          <w:p w:rsidR="00CE2C77" w:rsidRPr="00CE2C77" w:rsidRDefault="00CE2C77" w:rsidP="00AD362F">
            <w:pPr>
              <w:jc w:val="center"/>
              <w:rPr>
                <w:rFonts w:ascii="Arial Narrow" w:hAnsi="Arial Narrow" w:cs="Arial"/>
                <w:snapToGrid w:val="0"/>
                <w:color w:val="000000"/>
                <w:sz w:val="20"/>
                <w:szCs w:val="18"/>
              </w:rPr>
            </w:pPr>
            <w:r w:rsidRPr="00CE2C77">
              <w:rPr>
                <w:rFonts w:ascii="Arial Narrow" w:hAnsi="Arial Narrow" w:cs="Arial"/>
                <w:snapToGrid w:val="0"/>
                <w:color w:val="000000"/>
                <w:sz w:val="20"/>
                <w:szCs w:val="18"/>
              </w:rPr>
              <w:t>-</w:t>
            </w:r>
          </w:p>
        </w:tc>
        <w:tc>
          <w:tcPr>
            <w:tcW w:w="415" w:type="pct"/>
            <w:vAlign w:val="center"/>
          </w:tcPr>
          <w:p w:rsidR="00CE2C77" w:rsidRPr="00CE2C77" w:rsidRDefault="00CE2C77" w:rsidP="00AD362F">
            <w:pPr>
              <w:jc w:val="center"/>
              <w:rPr>
                <w:rFonts w:ascii="Arial Narrow" w:hAnsi="Arial Narrow" w:cs="Arial"/>
                <w:snapToGrid w:val="0"/>
                <w:color w:val="000000"/>
                <w:sz w:val="20"/>
                <w:szCs w:val="18"/>
              </w:rPr>
            </w:pPr>
            <w:r w:rsidRPr="00CE2C77">
              <w:rPr>
                <w:rFonts w:ascii="Arial Narrow" w:hAnsi="Arial Narrow" w:cs="Arial"/>
                <w:snapToGrid w:val="0"/>
                <w:color w:val="000000"/>
                <w:sz w:val="20"/>
                <w:szCs w:val="18"/>
              </w:rPr>
              <w:t>0.10</w:t>
            </w:r>
          </w:p>
        </w:tc>
        <w:tc>
          <w:tcPr>
            <w:tcW w:w="498" w:type="pct"/>
            <w:gridSpan w:val="3"/>
            <w:vAlign w:val="center"/>
          </w:tcPr>
          <w:p w:rsidR="00CE2C77" w:rsidRPr="00CE2C77" w:rsidRDefault="00CE2C77" w:rsidP="00AD362F">
            <w:pPr>
              <w:jc w:val="center"/>
              <w:rPr>
                <w:rFonts w:ascii="Arial Narrow" w:hAnsi="Arial Narrow" w:cs="Arial"/>
                <w:snapToGrid w:val="0"/>
                <w:color w:val="000000"/>
                <w:sz w:val="20"/>
                <w:szCs w:val="18"/>
              </w:rPr>
            </w:pPr>
            <w:r w:rsidRPr="00CE2C77">
              <w:rPr>
                <w:rFonts w:ascii="Arial Narrow" w:hAnsi="Arial Narrow" w:cs="Arial"/>
                <w:snapToGrid w:val="0"/>
                <w:color w:val="000000"/>
                <w:sz w:val="20"/>
                <w:szCs w:val="18"/>
              </w:rPr>
              <w:t>0.77</w:t>
            </w:r>
          </w:p>
        </w:tc>
        <w:tc>
          <w:tcPr>
            <w:tcW w:w="994" w:type="pct"/>
            <w:vAlign w:val="center"/>
          </w:tcPr>
          <w:p w:rsidR="00CE2C77" w:rsidRPr="00CE2C77" w:rsidRDefault="00CE2C77" w:rsidP="00AD362F">
            <w:pPr>
              <w:jc w:val="center"/>
              <w:rPr>
                <w:rFonts w:ascii="Arial Narrow" w:hAnsi="Arial Narrow" w:cs="Arial"/>
                <w:snapToGrid w:val="0"/>
                <w:color w:val="000000"/>
                <w:sz w:val="20"/>
                <w:szCs w:val="18"/>
              </w:rPr>
            </w:pPr>
            <w:r w:rsidRPr="00CE2C77">
              <w:rPr>
                <w:rFonts w:ascii="Arial Narrow" w:hAnsi="Arial Narrow" w:cs="Arial"/>
                <w:snapToGrid w:val="0"/>
                <w:color w:val="000000"/>
                <w:sz w:val="20"/>
                <w:szCs w:val="18"/>
              </w:rPr>
              <w:t>Not reported</w:t>
            </w:r>
          </w:p>
        </w:tc>
      </w:tr>
      <w:tr w:rsidR="00CE2C77" w:rsidRPr="00CE2C77" w:rsidTr="00CE2C77">
        <w:tc>
          <w:tcPr>
            <w:tcW w:w="5000" w:type="pct"/>
            <w:gridSpan w:val="11"/>
            <w:tcBorders>
              <w:top w:val="double" w:sz="4" w:space="0" w:color="auto"/>
            </w:tcBorders>
            <w:shd w:val="clear" w:color="auto" w:fill="auto"/>
            <w:vAlign w:val="center"/>
          </w:tcPr>
          <w:p w:rsidR="00CE2C77" w:rsidRPr="00CE2C77" w:rsidRDefault="00CE2C77" w:rsidP="00AD362F">
            <w:pPr>
              <w:keepNext/>
              <w:jc w:val="both"/>
              <w:rPr>
                <w:rFonts w:ascii="Arial Narrow" w:hAnsi="Arial Narrow" w:cs="Arial"/>
                <w:b/>
                <w:snapToGrid w:val="0"/>
                <w:color w:val="000000"/>
                <w:sz w:val="20"/>
                <w:szCs w:val="18"/>
              </w:rPr>
            </w:pPr>
            <w:r w:rsidRPr="00CE2C77">
              <w:rPr>
                <w:rFonts w:ascii="Arial Narrow" w:hAnsi="Arial Narrow" w:cs="Arial"/>
                <w:b/>
                <w:snapToGrid w:val="0"/>
                <w:color w:val="000000"/>
                <w:sz w:val="20"/>
                <w:szCs w:val="18"/>
              </w:rPr>
              <w:t>Non-bacteraemic pneumococcal pneumonia (included in ATAGI Advice but not submission)</w:t>
            </w:r>
          </w:p>
        </w:tc>
      </w:tr>
      <w:tr w:rsidR="00CE2C77" w:rsidRPr="00CE2C77" w:rsidTr="00CE2C77">
        <w:trPr>
          <w:trHeight w:val="105"/>
        </w:trPr>
        <w:tc>
          <w:tcPr>
            <w:tcW w:w="678" w:type="pct"/>
            <w:vMerge w:val="restart"/>
            <w:shd w:val="clear" w:color="auto" w:fill="auto"/>
            <w:vAlign w:val="center"/>
          </w:tcPr>
          <w:p w:rsidR="00CE2C77" w:rsidRPr="00CE2C77" w:rsidRDefault="00CE2C77" w:rsidP="00AD362F">
            <w:pPr>
              <w:keepNext/>
              <w:jc w:val="both"/>
              <w:rPr>
                <w:rFonts w:ascii="Arial Narrow" w:hAnsi="Arial Narrow" w:cs="Arial"/>
                <w:snapToGrid w:val="0"/>
                <w:color w:val="000000"/>
                <w:sz w:val="20"/>
                <w:szCs w:val="18"/>
              </w:rPr>
            </w:pPr>
          </w:p>
        </w:tc>
        <w:tc>
          <w:tcPr>
            <w:tcW w:w="415" w:type="pct"/>
            <w:vMerge w:val="restart"/>
            <w:vAlign w:val="center"/>
          </w:tcPr>
          <w:p w:rsidR="00CE2C77" w:rsidRPr="00CE2C77" w:rsidRDefault="00CE2C77" w:rsidP="00AD362F">
            <w:pPr>
              <w:keepNext/>
              <w:jc w:val="center"/>
              <w:rPr>
                <w:rFonts w:ascii="Arial Narrow" w:hAnsi="Arial Narrow" w:cs="Arial"/>
                <w:b/>
                <w:snapToGrid w:val="0"/>
                <w:color w:val="000000"/>
                <w:sz w:val="20"/>
                <w:szCs w:val="18"/>
              </w:rPr>
            </w:pPr>
            <w:r w:rsidRPr="00CE2C77">
              <w:rPr>
                <w:rFonts w:ascii="Arial Narrow" w:hAnsi="Arial Narrow" w:cs="Arial"/>
                <w:b/>
                <w:snapToGrid w:val="0"/>
                <w:color w:val="000000"/>
                <w:sz w:val="20"/>
                <w:szCs w:val="18"/>
              </w:rPr>
              <w:t>13vPCV</w:t>
            </w:r>
          </w:p>
        </w:tc>
        <w:tc>
          <w:tcPr>
            <w:tcW w:w="415" w:type="pct"/>
            <w:vMerge w:val="restart"/>
            <w:vAlign w:val="center"/>
          </w:tcPr>
          <w:p w:rsidR="00CE2C77" w:rsidRPr="00CE2C77" w:rsidRDefault="00CE2C77" w:rsidP="00AD362F">
            <w:pPr>
              <w:keepNext/>
              <w:jc w:val="center"/>
              <w:rPr>
                <w:rFonts w:ascii="Arial Narrow" w:hAnsi="Arial Narrow" w:cs="Arial"/>
                <w:b/>
                <w:snapToGrid w:val="0"/>
                <w:color w:val="000000"/>
                <w:sz w:val="20"/>
                <w:szCs w:val="18"/>
              </w:rPr>
            </w:pPr>
            <w:r w:rsidRPr="00CE2C77">
              <w:rPr>
                <w:rFonts w:ascii="Arial Narrow" w:hAnsi="Arial Narrow" w:cs="Arial"/>
                <w:b/>
                <w:snapToGrid w:val="0"/>
                <w:color w:val="000000"/>
                <w:sz w:val="20"/>
                <w:szCs w:val="18"/>
              </w:rPr>
              <w:t>PBO</w:t>
            </w:r>
            <w:r w:rsidRPr="00CE2C77">
              <w:rPr>
                <w:rFonts w:ascii="Arial Narrow" w:hAnsi="Arial Narrow" w:cs="Arial"/>
                <w:b/>
                <w:snapToGrid w:val="0"/>
                <w:color w:val="000000"/>
                <w:sz w:val="20"/>
                <w:szCs w:val="18"/>
                <w:vertAlign w:val="superscript"/>
              </w:rPr>
              <w:t>a</w:t>
            </w:r>
          </w:p>
        </w:tc>
        <w:tc>
          <w:tcPr>
            <w:tcW w:w="418" w:type="pct"/>
            <w:vMerge w:val="restart"/>
            <w:vAlign w:val="center"/>
          </w:tcPr>
          <w:p w:rsidR="00CE2C77" w:rsidRPr="00CE2C77" w:rsidRDefault="00CE2C77" w:rsidP="00AD362F">
            <w:pPr>
              <w:keepNext/>
              <w:jc w:val="center"/>
              <w:rPr>
                <w:rFonts w:ascii="Arial Narrow" w:hAnsi="Arial Narrow" w:cs="Arial"/>
                <w:b/>
                <w:snapToGrid w:val="0"/>
                <w:color w:val="000000"/>
                <w:sz w:val="20"/>
                <w:szCs w:val="18"/>
              </w:rPr>
            </w:pPr>
            <w:r w:rsidRPr="00CE2C77">
              <w:rPr>
                <w:rFonts w:ascii="Arial Narrow" w:hAnsi="Arial Narrow" w:cs="Arial"/>
                <w:b/>
                <w:snapToGrid w:val="0"/>
                <w:color w:val="000000"/>
                <w:sz w:val="20"/>
                <w:szCs w:val="18"/>
              </w:rPr>
              <w:t>23vPPV</w:t>
            </w:r>
          </w:p>
        </w:tc>
        <w:tc>
          <w:tcPr>
            <w:tcW w:w="749" w:type="pct"/>
            <w:vMerge w:val="restart"/>
            <w:vAlign w:val="center"/>
          </w:tcPr>
          <w:p w:rsidR="00CE2C77" w:rsidRPr="00CE2C77" w:rsidRDefault="00CE2C77" w:rsidP="00AD362F">
            <w:pPr>
              <w:keepNext/>
              <w:jc w:val="center"/>
              <w:rPr>
                <w:rFonts w:ascii="Arial Narrow" w:hAnsi="Arial Narrow" w:cs="Arial"/>
                <w:b/>
                <w:snapToGrid w:val="0"/>
                <w:color w:val="000000"/>
                <w:sz w:val="20"/>
                <w:szCs w:val="18"/>
              </w:rPr>
            </w:pPr>
            <w:r w:rsidRPr="00CE2C77">
              <w:rPr>
                <w:rFonts w:ascii="Arial Narrow" w:hAnsi="Arial Narrow" w:cs="Arial"/>
                <w:b/>
                <w:snapToGrid w:val="0"/>
                <w:color w:val="000000"/>
                <w:sz w:val="20"/>
                <w:szCs w:val="18"/>
              </w:rPr>
              <w:t>RR</w:t>
            </w:r>
          </w:p>
          <w:p w:rsidR="00CE2C77" w:rsidRPr="00CE2C77" w:rsidRDefault="00CE2C77" w:rsidP="00AD362F">
            <w:pPr>
              <w:keepNext/>
              <w:jc w:val="center"/>
              <w:rPr>
                <w:rFonts w:ascii="Arial Narrow" w:hAnsi="Arial Narrow" w:cs="Arial"/>
                <w:snapToGrid w:val="0"/>
                <w:color w:val="000000"/>
                <w:sz w:val="20"/>
                <w:szCs w:val="18"/>
              </w:rPr>
            </w:pPr>
            <w:r w:rsidRPr="00CE2C77">
              <w:rPr>
                <w:rFonts w:ascii="Arial Narrow" w:hAnsi="Arial Narrow" w:cs="Arial"/>
                <w:b/>
                <w:snapToGrid w:val="0"/>
                <w:color w:val="000000"/>
                <w:sz w:val="20"/>
                <w:szCs w:val="18"/>
              </w:rPr>
              <w:t>(95% CI)</w:t>
            </w:r>
          </w:p>
        </w:tc>
        <w:tc>
          <w:tcPr>
            <w:tcW w:w="1331" w:type="pct"/>
            <w:gridSpan w:val="5"/>
            <w:vAlign w:val="center"/>
          </w:tcPr>
          <w:p w:rsidR="00CE2C77" w:rsidRPr="00CE2C77" w:rsidRDefault="00CE2C77" w:rsidP="00AD362F">
            <w:pPr>
              <w:keepNext/>
              <w:jc w:val="center"/>
              <w:rPr>
                <w:rFonts w:ascii="Arial Narrow" w:hAnsi="Arial Narrow" w:cs="Arial"/>
                <w:b/>
                <w:snapToGrid w:val="0"/>
                <w:color w:val="000000"/>
                <w:sz w:val="20"/>
                <w:szCs w:val="18"/>
              </w:rPr>
            </w:pPr>
            <w:r w:rsidRPr="00CE2C77">
              <w:rPr>
                <w:rFonts w:ascii="Arial Narrow" w:hAnsi="Arial Narrow" w:cs="Arial"/>
                <w:b/>
                <w:snapToGrid w:val="0"/>
                <w:color w:val="000000"/>
                <w:sz w:val="20"/>
                <w:szCs w:val="18"/>
              </w:rPr>
              <w:t xml:space="preserve">Event rate/100 patients* </w:t>
            </w:r>
          </w:p>
        </w:tc>
        <w:tc>
          <w:tcPr>
            <w:tcW w:w="994" w:type="pct"/>
            <w:vMerge w:val="restart"/>
            <w:vAlign w:val="center"/>
          </w:tcPr>
          <w:p w:rsidR="00CE2C77" w:rsidRPr="00CE2C77" w:rsidRDefault="00CE2C77" w:rsidP="00AD362F">
            <w:pPr>
              <w:keepNext/>
              <w:jc w:val="center"/>
              <w:rPr>
                <w:rFonts w:ascii="Arial Narrow" w:hAnsi="Arial Narrow" w:cs="Arial"/>
                <w:b/>
                <w:snapToGrid w:val="0"/>
                <w:color w:val="000000"/>
                <w:sz w:val="20"/>
                <w:szCs w:val="18"/>
              </w:rPr>
            </w:pPr>
            <w:r w:rsidRPr="00CE2C77">
              <w:rPr>
                <w:rFonts w:ascii="Arial Narrow" w:hAnsi="Arial Narrow" w:cs="Arial"/>
                <w:b/>
                <w:snapToGrid w:val="0"/>
                <w:color w:val="000000"/>
                <w:sz w:val="20"/>
                <w:szCs w:val="18"/>
              </w:rPr>
              <w:t>RD</w:t>
            </w:r>
          </w:p>
          <w:p w:rsidR="00CE2C77" w:rsidRPr="00CE2C77" w:rsidRDefault="00CE2C77" w:rsidP="00AD362F">
            <w:pPr>
              <w:keepNext/>
              <w:jc w:val="center"/>
              <w:rPr>
                <w:rFonts w:ascii="Arial Narrow" w:hAnsi="Arial Narrow" w:cs="Arial"/>
                <w:snapToGrid w:val="0"/>
                <w:color w:val="000000"/>
                <w:sz w:val="20"/>
                <w:szCs w:val="18"/>
              </w:rPr>
            </w:pPr>
            <w:r w:rsidRPr="00CE2C77">
              <w:rPr>
                <w:rFonts w:ascii="Arial Narrow" w:hAnsi="Arial Narrow" w:cs="Arial"/>
                <w:b/>
                <w:snapToGrid w:val="0"/>
                <w:color w:val="000000"/>
                <w:sz w:val="20"/>
                <w:szCs w:val="18"/>
              </w:rPr>
              <w:t>(95% CI)</w:t>
            </w:r>
          </w:p>
        </w:tc>
      </w:tr>
      <w:tr w:rsidR="00CE2C77" w:rsidRPr="00CE2C77" w:rsidTr="00CE2C77">
        <w:trPr>
          <w:trHeight w:val="70"/>
        </w:trPr>
        <w:tc>
          <w:tcPr>
            <w:tcW w:w="678" w:type="pct"/>
            <w:vMerge/>
            <w:shd w:val="clear" w:color="auto" w:fill="auto"/>
            <w:vAlign w:val="center"/>
          </w:tcPr>
          <w:p w:rsidR="00CE2C77" w:rsidRPr="00CE2C77" w:rsidRDefault="00CE2C77" w:rsidP="00AD362F">
            <w:pPr>
              <w:keepNext/>
              <w:jc w:val="both"/>
              <w:rPr>
                <w:rFonts w:ascii="Arial Narrow" w:hAnsi="Arial Narrow" w:cs="Arial"/>
                <w:snapToGrid w:val="0"/>
                <w:color w:val="000000"/>
                <w:sz w:val="20"/>
                <w:szCs w:val="18"/>
              </w:rPr>
            </w:pPr>
          </w:p>
        </w:tc>
        <w:tc>
          <w:tcPr>
            <w:tcW w:w="415" w:type="pct"/>
            <w:vMerge/>
            <w:vAlign w:val="center"/>
          </w:tcPr>
          <w:p w:rsidR="00CE2C77" w:rsidRPr="00CE2C77" w:rsidRDefault="00CE2C77" w:rsidP="00AD362F">
            <w:pPr>
              <w:keepNext/>
              <w:jc w:val="center"/>
              <w:rPr>
                <w:rFonts w:ascii="Arial Narrow" w:hAnsi="Arial Narrow" w:cs="Arial"/>
                <w:b/>
                <w:snapToGrid w:val="0"/>
                <w:color w:val="000000"/>
                <w:sz w:val="20"/>
                <w:szCs w:val="18"/>
              </w:rPr>
            </w:pPr>
          </w:p>
        </w:tc>
        <w:tc>
          <w:tcPr>
            <w:tcW w:w="415" w:type="pct"/>
            <w:vMerge/>
            <w:vAlign w:val="center"/>
          </w:tcPr>
          <w:p w:rsidR="00CE2C77" w:rsidRPr="00CE2C77" w:rsidRDefault="00CE2C77" w:rsidP="00AD362F">
            <w:pPr>
              <w:keepNext/>
              <w:jc w:val="center"/>
              <w:rPr>
                <w:rFonts w:ascii="Arial Narrow" w:hAnsi="Arial Narrow" w:cs="Arial"/>
                <w:b/>
                <w:snapToGrid w:val="0"/>
                <w:color w:val="000000"/>
                <w:sz w:val="20"/>
                <w:szCs w:val="18"/>
              </w:rPr>
            </w:pPr>
          </w:p>
        </w:tc>
        <w:tc>
          <w:tcPr>
            <w:tcW w:w="418" w:type="pct"/>
            <w:vMerge/>
            <w:vAlign w:val="center"/>
          </w:tcPr>
          <w:p w:rsidR="00CE2C77" w:rsidRPr="00CE2C77" w:rsidRDefault="00CE2C77" w:rsidP="00AD362F">
            <w:pPr>
              <w:keepNext/>
              <w:jc w:val="center"/>
              <w:rPr>
                <w:rFonts w:ascii="Arial Narrow" w:hAnsi="Arial Narrow" w:cs="Arial"/>
                <w:b/>
                <w:snapToGrid w:val="0"/>
                <w:color w:val="000000"/>
                <w:sz w:val="20"/>
                <w:szCs w:val="18"/>
              </w:rPr>
            </w:pPr>
          </w:p>
        </w:tc>
        <w:tc>
          <w:tcPr>
            <w:tcW w:w="749" w:type="pct"/>
            <w:vMerge/>
            <w:vAlign w:val="center"/>
          </w:tcPr>
          <w:p w:rsidR="00CE2C77" w:rsidRPr="00CE2C77" w:rsidRDefault="00CE2C77" w:rsidP="00AD362F">
            <w:pPr>
              <w:keepNext/>
              <w:jc w:val="center"/>
              <w:rPr>
                <w:rFonts w:ascii="Arial Narrow" w:hAnsi="Arial Narrow" w:cs="Arial"/>
                <w:b/>
                <w:snapToGrid w:val="0"/>
                <w:color w:val="000000"/>
                <w:sz w:val="20"/>
                <w:szCs w:val="18"/>
              </w:rPr>
            </w:pPr>
          </w:p>
        </w:tc>
        <w:tc>
          <w:tcPr>
            <w:tcW w:w="418" w:type="pct"/>
            <w:vAlign w:val="center"/>
          </w:tcPr>
          <w:p w:rsidR="00CE2C77" w:rsidRPr="00CE2C77" w:rsidRDefault="00CE2C77" w:rsidP="00AD362F">
            <w:pPr>
              <w:keepNext/>
              <w:jc w:val="center"/>
              <w:rPr>
                <w:rFonts w:ascii="Arial Narrow" w:hAnsi="Arial Narrow" w:cs="Arial"/>
                <w:b/>
                <w:snapToGrid w:val="0"/>
                <w:color w:val="000000"/>
                <w:sz w:val="20"/>
                <w:szCs w:val="18"/>
              </w:rPr>
            </w:pPr>
            <w:r w:rsidRPr="00CE2C77">
              <w:rPr>
                <w:rFonts w:ascii="Arial Narrow" w:hAnsi="Arial Narrow" w:cs="Arial"/>
                <w:b/>
                <w:snapToGrid w:val="0"/>
                <w:color w:val="000000"/>
                <w:sz w:val="20"/>
                <w:szCs w:val="18"/>
              </w:rPr>
              <w:t>13vPCV</w:t>
            </w:r>
          </w:p>
        </w:tc>
        <w:tc>
          <w:tcPr>
            <w:tcW w:w="415" w:type="pct"/>
            <w:vAlign w:val="center"/>
          </w:tcPr>
          <w:p w:rsidR="00CE2C77" w:rsidRPr="00CE2C77" w:rsidRDefault="00CE2C77" w:rsidP="00AD362F">
            <w:pPr>
              <w:keepNext/>
              <w:jc w:val="center"/>
              <w:rPr>
                <w:rFonts w:ascii="Arial Narrow" w:hAnsi="Arial Narrow" w:cs="Arial"/>
                <w:b/>
                <w:snapToGrid w:val="0"/>
                <w:color w:val="000000"/>
                <w:sz w:val="20"/>
                <w:szCs w:val="18"/>
              </w:rPr>
            </w:pPr>
            <w:r w:rsidRPr="00CE2C77">
              <w:rPr>
                <w:rFonts w:ascii="Arial Narrow" w:hAnsi="Arial Narrow" w:cs="Arial"/>
                <w:b/>
                <w:snapToGrid w:val="0"/>
                <w:color w:val="000000"/>
                <w:sz w:val="20"/>
                <w:szCs w:val="18"/>
              </w:rPr>
              <w:t>PBO</w:t>
            </w:r>
            <w:r w:rsidRPr="00CE2C77">
              <w:rPr>
                <w:rFonts w:ascii="Arial Narrow" w:hAnsi="Arial Narrow" w:cs="Arial"/>
                <w:b/>
                <w:snapToGrid w:val="0"/>
                <w:color w:val="000000"/>
                <w:sz w:val="20"/>
                <w:szCs w:val="18"/>
                <w:vertAlign w:val="superscript"/>
              </w:rPr>
              <w:t>a</w:t>
            </w:r>
          </w:p>
        </w:tc>
        <w:tc>
          <w:tcPr>
            <w:tcW w:w="498" w:type="pct"/>
            <w:gridSpan w:val="3"/>
            <w:vAlign w:val="center"/>
          </w:tcPr>
          <w:p w:rsidR="00CE2C77" w:rsidRPr="00CE2C77" w:rsidRDefault="00CE2C77" w:rsidP="00AD362F">
            <w:pPr>
              <w:keepNext/>
              <w:jc w:val="center"/>
              <w:rPr>
                <w:rFonts w:ascii="Arial Narrow" w:hAnsi="Arial Narrow" w:cs="Arial"/>
                <w:b/>
                <w:snapToGrid w:val="0"/>
                <w:color w:val="000000"/>
                <w:sz w:val="20"/>
                <w:szCs w:val="18"/>
              </w:rPr>
            </w:pPr>
            <w:r w:rsidRPr="00CE2C77">
              <w:rPr>
                <w:rFonts w:ascii="Arial Narrow" w:hAnsi="Arial Narrow" w:cs="Arial"/>
                <w:b/>
                <w:snapToGrid w:val="0"/>
                <w:color w:val="000000"/>
                <w:sz w:val="20"/>
                <w:szCs w:val="18"/>
              </w:rPr>
              <w:t>23vPPV</w:t>
            </w:r>
          </w:p>
        </w:tc>
        <w:tc>
          <w:tcPr>
            <w:tcW w:w="994" w:type="pct"/>
            <w:vMerge/>
            <w:vAlign w:val="center"/>
          </w:tcPr>
          <w:p w:rsidR="00CE2C77" w:rsidRPr="00CE2C77" w:rsidRDefault="00CE2C77" w:rsidP="00AD362F">
            <w:pPr>
              <w:keepNext/>
              <w:jc w:val="center"/>
              <w:rPr>
                <w:rFonts w:ascii="Arial Narrow" w:hAnsi="Arial Narrow" w:cs="Arial"/>
                <w:b/>
                <w:snapToGrid w:val="0"/>
                <w:color w:val="000000"/>
                <w:sz w:val="20"/>
                <w:szCs w:val="18"/>
              </w:rPr>
            </w:pPr>
          </w:p>
        </w:tc>
      </w:tr>
      <w:tr w:rsidR="00CE2C77" w:rsidRPr="00CE2C77" w:rsidTr="00CE2C77">
        <w:tc>
          <w:tcPr>
            <w:tcW w:w="678" w:type="pct"/>
            <w:shd w:val="clear" w:color="auto" w:fill="auto"/>
            <w:vAlign w:val="center"/>
          </w:tcPr>
          <w:p w:rsidR="00CE2C77" w:rsidRPr="00CE2C77" w:rsidRDefault="00CE2C77" w:rsidP="00AD362F">
            <w:pPr>
              <w:keepNext/>
              <w:jc w:val="both"/>
              <w:rPr>
                <w:rFonts w:ascii="Arial Narrow" w:hAnsi="Arial Narrow" w:cs="Arial"/>
                <w:snapToGrid w:val="0"/>
                <w:color w:val="000000"/>
                <w:sz w:val="20"/>
                <w:szCs w:val="18"/>
              </w:rPr>
            </w:pPr>
            <w:r w:rsidRPr="00CE2C77">
              <w:rPr>
                <w:rFonts w:ascii="Arial Narrow" w:hAnsi="Arial Narrow" w:cs="Arial"/>
                <w:snapToGrid w:val="0"/>
                <w:color w:val="000000"/>
                <w:sz w:val="20"/>
                <w:szCs w:val="18"/>
              </w:rPr>
              <w:t>CAPiTA</w:t>
            </w:r>
          </w:p>
        </w:tc>
        <w:tc>
          <w:tcPr>
            <w:tcW w:w="415" w:type="pct"/>
            <w:vAlign w:val="center"/>
          </w:tcPr>
          <w:p w:rsidR="00CE2C77" w:rsidRPr="00CE2C77" w:rsidRDefault="00CE2C77" w:rsidP="00AD362F">
            <w:pPr>
              <w:keepNext/>
              <w:jc w:val="center"/>
              <w:rPr>
                <w:rFonts w:ascii="Arial Narrow" w:hAnsi="Arial Narrow" w:cs="Arial"/>
                <w:i/>
                <w:sz w:val="20"/>
                <w:szCs w:val="20"/>
              </w:rPr>
            </w:pPr>
            <w:r w:rsidRPr="00CE2C77">
              <w:rPr>
                <w:rFonts w:ascii="Arial Narrow" w:hAnsi="Arial Narrow" w:cs="Arial"/>
                <w:i/>
                <w:sz w:val="20"/>
                <w:szCs w:val="20"/>
              </w:rPr>
              <w:t>90/ 42,240</w:t>
            </w:r>
          </w:p>
        </w:tc>
        <w:tc>
          <w:tcPr>
            <w:tcW w:w="415" w:type="pct"/>
            <w:vAlign w:val="center"/>
          </w:tcPr>
          <w:p w:rsidR="00CE2C77" w:rsidRPr="00CE2C77" w:rsidRDefault="00CE2C77" w:rsidP="00AD362F">
            <w:pPr>
              <w:keepNext/>
              <w:jc w:val="center"/>
              <w:rPr>
                <w:rFonts w:ascii="Arial Narrow" w:hAnsi="Arial Narrow" w:cs="Arial"/>
                <w:i/>
                <w:sz w:val="20"/>
                <w:szCs w:val="20"/>
              </w:rPr>
            </w:pPr>
            <w:r w:rsidRPr="00CE2C77">
              <w:rPr>
                <w:rFonts w:ascii="Arial Narrow" w:hAnsi="Arial Narrow" w:cs="Arial"/>
                <w:i/>
                <w:sz w:val="20"/>
                <w:szCs w:val="20"/>
              </w:rPr>
              <w:t>109/ 42,256</w:t>
            </w:r>
          </w:p>
        </w:tc>
        <w:tc>
          <w:tcPr>
            <w:tcW w:w="418" w:type="pct"/>
            <w:vAlign w:val="center"/>
          </w:tcPr>
          <w:p w:rsidR="00CE2C77" w:rsidRPr="00CE2C77" w:rsidRDefault="00CE2C77" w:rsidP="00AD362F">
            <w:pPr>
              <w:keepNext/>
              <w:jc w:val="center"/>
              <w:rPr>
                <w:rFonts w:ascii="Arial Narrow" w:hAnsi="Arial Narrow" w:cs="Arial"/>
                <w:snapToGrid w:val="0"/>
                <w:color w:val="000000"/>
                <w:sz w:val="20"/>
                <w:szCs w:val="18"/>
              </w:rPr>
            </w:pPr>
            <w:r w:rsidRPr="00CE2C77">
              <w:rPr>
                <w:rFonts w:ascii="Arial Narrow" w:hAnsi="Arial Narrow" w:cs="Arial"/>
                <w:snapToGrid w:val="0"/>
                <w:color w:val="000000"/>
                <w:sz w:val="20"/>
                <w:szCs w:val="18"/>
              </w:rPr>
              <w:t>-</w:t>
            </w:r>
          </w:p>
        </w:tc>
        <w:tc>
          <w:tcPr>
            <w:tcW w:w="749" w:type="pct"/>
            <w:vAlign w:val="center"/>
          </w:tcPr>
          <w:p w:rsidR="00CE2C77" w:rsidRPr="00CE2C77" w:rsidRDefault="00CE2C77" w:rsidP="00AD362F">
            <w:pPr>
              <w:keepNext/>
              <w:jc w:val="center"/>
              <w:rPr>
                <w:rFonts w:ascii="Arial Narrow" w:hAnsi="Arial Narrow" w:cs="Arial Narrow"/>
                <w:i/>
                <w:sz w:val="20"/>
                <w:szCs w:val="18"/>
              </w:rPr>
            </w:pPr>
            <w:r w:rsidRPr="00CE2C77">
              <w:rPr>
                <w:rFonts w:ascii="Arial Narrow" w:hAnsi="Arial Narrow" w:cs="Arial Narrow"/>
                <w:i/>
                <w:sz w:val="20"/>
                <w:szCs w:val="18"/>
              </w:rPr>
              <w:t>0.83</w:t>
            </w:r>
          </w:p>
          <w:p w:rsidR="00CE2C77" w:rsidRPr="00CE2C77" w:rsidRDefault="00CE2C77" w:rsidP="00AD362F">
            <w:pPr>
              <w:keepNext/>
              <w:jc w:val="center"/>
              <w:rPr>
                <w:rFonts w:ascii="Arial Narrow" w:hAnsi="Arial Narrow" w:cs="Arial Narrow"/>
                <w:sz w:val="20"/>
                <w:szCs w:val="18"/>
              </w:rPr>
            </w:pPr>
            <w:r w:rsidRPr="00CE2C77">
              <w:rPr>
                <w:rFonts w:ascii="Arial Narrow" w:hAnsi="Arial Narrow" w:cs="Arial Narrow"/>
                <w:i/>
                <w:sz w:val="20"/>
                <w:szCs w:val="18"/>
              </w:rPr>
              <w:t>(0.62, 1.10)</w:t>
            </w:r>
          </w:p>
        </w:tc>
        <w:tc>
          <w:tcPr>
            <w:tcW w:w="418" w:type="pct"/>
            <w:vAlign w:val="center"/>
          </w:tcPr>
          <w:p w:rsidR="00CE2C77" w:rsidRPr="00CE2C77" w:rsidRDefault="00CE2C77" w:rsidP="00AD362F">
            <w:pPr>
              <w:keepNext/>
              <w:jc w:val="center"/>
              <w:rPr>
                <w:rFonts w:ascii="Arial Narrow" w:hAnsi="Arial Narrow" w:cs="Arial"/>
                <w:i/>
                <w:snapToGrid w:val="0"/>
                <w:color w:val="000000"/>
                <w:sz w:val="20"/>
                <w:szCs w:val="18"/>
              </w:rPr>
            </w:pPr>
            <w:r w:rsidRPr="00CE2C77">
              <w:rPr>
                <w:rFonts w:ascii="Arial Narrow" w:hAnsi="Arial Narrow" w:cs="Arial"/>
                <w:i/>
                <w:snapToGrid w:val="0"/>
                <w:color w:val="000000"/>
                <w:sz w:val="20"/>
                <w:szCs w:val="18"/>
              </w:rPr>
              <w:t>0.21</w:t>
            </w:r>
          </w:p>
        </w:tc>
        <w:tc>
          <w:tcPr>
            <w:tcW w:w="415" w:type="pct"/>
            <w:vAlign w:val="center"/>
          </w:tcPr>
          <w:p w:rsidR="00CE2C77" w:rsidRPr="00CE2C77" w:rsidRDefault="00CE2C77" w:rsidP="00AD362F">
            <w:pPr>
              <w:keepNext/>
              <w:jc w:val="center"/>
              <w:rPr>
                <w:rFonts w:ascii="Arial Narrow" w:hAnsi="Arial Narrow" w:cs="Arial"/>
                <w:i/>
                <w:snapToGrid w:val="0"/>
                <w:color w:val="000000"/>
                <w:sz w:val="20"/>
                <w:szCs w:val="18"/>
              </w:rPr>
            </w:pPr>
            <w:r w:rsidRPr="00CE2C77">
              <w:rPr>
                <w:rFonts w:ascii="Arial Narrow" w:hAnsi="Arial Narrow" w:cs="Arial"/>
                <w:i/>
                <w:snapToGrid w:val="0"/>
                <w:color w:val="000000"/>
                <w:sz w:val="20"/>
                <w:szCs w:val="18"/>
              </w:rPr>
              <w:t>0.26</w:t>
            </w:r>
          </w:p>
        </w:tc>
        <w:tc>
          <w:tcPr>
            <w:tcW w:w="498" w:type="pct"/>
            <w:gridSpan w:val="3"/>
            <w:vAlign w:val="center"/>
          </w:tcPr>
          <w:p w:rsidR="00CE2C77" w:rsidRPr="00CE2C77" w:rsidRDefault="00CE2C77" w:rsidP="00AD362F">
            <w:pPr>
              <w:keepNext/>
              <w:jc w:val="center"/>
              <w:rPr>
                <w:rFonts w:ascii="Arial Narrow" w:hAnsi="Arial Narrow" w:cs="Arial"/>
                <w:i/>
                <w:snapToGrid w:val="0"/>
                <w:color w:val="000000"/>
                <w:sz w:val="20"/>
                <w:szCs w:val="18"/>
              </w:rPr>
            </w:pPr>
            <w:r w:rsidRPr="00CE2C77">
              <w:rPr>
                <w:rFonts w:ascii="Arial Narrow" w:hAnsi="Arial Narrow" w:cs="Arial"/>
                <w:i/>
                <w:snapToGrid w:val="0"/>
                <w:color w:val="000000"/>
                <w:sz w:val="20"/>
                <w:szCs w:val="18"/>
              </w:rPr>
              <w:t>-</w:t>
            </w:r>
          </w:p>
        </w:tc>
        <w:tc>
          <w:tcPr>
            <w:tcW w:w="994" w:type="pct"/>
            <w:vAlign w:val="center"/>
          </w:tcPr>
          <w:p w:rsidR="00CE2C77" w:rsidRPr="00CE2C77" w:rsidRDefault="00CE2C77" w:rsidP="00AD362F">
            <w:pPr>
              <w:keepNext/>
              <w:jc w:val="center"/>
              <w:rPr>
                <w:rFonts w:ascii="Arial Narrow" w:hAnsi="Arial Narrow" w:cs="Arial"/>
                <w:i/>
                <w:snapToGrid w:val="0"/>
                <w:color w:val="000000"/>
                <w:sz w:val="20"/>
                <w:szCs w:val="18"/>
              </w:rPr>
            </w:pPr>
            <w:r w:rsidRPr="00CE2C77">
              <w:rPr>
                <w:rFonts w:ascii="Arial Narrow" w:hAnsi="Arial Narrow" w:cs="Arial"/>
                <w:i/>
                <w:snapToGrid w:val="0"/>
                <w:color w:val="000000"/>
                <w:sz w:val="20"/>
                <w:szCs w:val="18"/>
              </w:rPr>
              <w:t>-0.0004</w:t>
            </w:r>
          </w:p>
          <w:p w:rsidR="00CE2C77" w:rsidRPr="00CE2C77" w:rsidRDefault="00CE2C77" w:rsidP="00AD362F">
            <w:pPr>
              <w:keepNext/>
              <w:jc w:val="center"/>
              <w:rPr>
                <w:rFonts w:ascii="Arial Narrow" w:hAnsi="Arial Narrow" w:cs="Arial"/>
                <w:i/>
                <w:snapToGrid w:val="0"/>
                <w:color w:val="000000"/>
                <w:sz w:val="20"/>
                <w:szCs w:val="18"/>
              </w:rPr>
            </w:pPr>
            <w:r w:rsidRPr="00CE2C77">
              <w:rPr>
                <w:rFonts w:ascii="Arial Narrow" w:hAnsi="Arial Narrow" w:cs="Arial"/>
                <w:i/>
                <w:snapToGrid w:val="0"/>
                <w:color w:val="000000"/>
                <w:sz w:val="20"/>
                <w:szCs w:val="18"/>
              </w:rPr>
              <w:t>(-0.00</w:t>
            </w:r>
            <w:r w:rsidR="00421C5F">
              <w:rPr>
                <w:rFonts w:ascii="Arial Narrow" w:hAnsi="Arial Narrow" w:cs="Arial"/>
                <w:i/>
                <w:snapToGrid w:val="0"/>
                <w:color w:val="000000"/>
                <w:sz w:val="20"/>
                <w:szCs w:val="18"/>
              </w:rPr>
              <w:t>11</w:t>
            </w:r>
            <w:r w:rsidRPr="00CE2C77">
              <w:rPr>
                <w:rFonts w:ascii="Arial Narrow" w:hAnsi="Arial Narrow" w:cs="Arial"/>
                <w:i/>
                <w:snapToGrid w:val="0"/>
                <w:color w:val="000000"/>
                <w:sz w:val="20"/>
                <w:szCs w:val="18"/>
              </w:rPr>
              <w:t>, 0.00</w:t>
            </w:r>
            <w:r w:rsidR="00421C5F">
              <w:rPr>
                <w:rFonts w:ascii="Arial Narrow" w:hAnsi="Arial Narrow" w:cs="Arial"/>
                <w:i/>
                <w:snapToGrid w:val="0"/>
                <w:color w:val="000000"/>
                <w:sz w:val="20"/>
                <w:szCs w:val="18"/>
              </w:rPr>
              <w:t>02</w:t>
            </w:r>
            <w:r w:rsidRPr="00CE2C77">
              <w:rPr>
                <w:rFonts w:ascii="Arial Narrow" w:hAnsi="Arial Narrow" w:cs="Arial"/>
                <w:i/>
                <w:snapToGrid w:val="0"/>
                <w:color w:val="000000"/>
                <w:sz w:val="20"/>
                <w:szCs w:val="18"/>
              </w:rPr>
              <w:t>)</w:t>
            </w:r>
          </w:p>
        </w:tc>
      </w:tr>
      <w:tr w:rsidR="00CE2C77" w:rsidRPr="00CE2C77" w:rsidTr="00CE2C77">
        <w:tc>
          <w:tcPr>
            <w:tcW w:w="678" w:type="pct"/>
            <w:shd w:val="clear" w:color="auto" w:fill="auto"/>
            <w:vAlign w:val="center"/>
          </w:tcPr>
          <w:p w:rsidR="00CE2C77" w:rsidRPr="00CE2C77" w:rsidRDefault="00CE2C77" w:rsidP="00AD362F">
            <w:pPr>
              <w:rPr>
                <w:rFonts w:ascii="Arial Narrow" w:hAnsi="Arial Narrow" w:cs="Arial Narrow"/>
                <w:i/>
                <w:color w:val="000000"/>
                <w:sz w:val="20"/>
                <w:szCs w:val="18"/>
              </w:rPr>
            </w:pPr>
            <w:r w:rsidRPr="00CE2C77">
              <w:rPr>
                <w:rFonts w:ascii="Arial Narrow" w:hAnsi="Arial Narrow" w:cs="Arial Narrow"/>
                <w:i/>
                <w:color w:val="000000"/>
                <w:sz w:val="20"/>
                <w:szCs w:val="18"/>
              </w:rPr>
              <w:t>23vPPV RCTs pooled, 3 trials</w:t>
            </w:r>
          </w:p>
        </w:tc>
        <w:tc>
          <w:tcPr>
            <w:tcW w:w="415" w:type="pct"/>
            <w:vAlign w:val="center"/>
          </w:tcPr>
          <w:p w:rsidR="00CE2C77" w:rsidRPr="00CE2C77" w:rsidRDefault="00CE2C77" w:rsidP="00AD362F">
            <w:pPr>
              <w:jc w:val="center"/>
              <w:rPr>
                <w:rFonts w:ascii="Arial Narrow" w:hAnsi="Arial Narrow" w:cs="Arial"/>
                <w:i/>
                <w:snapToGrid w:val="0"/>
                <w:color w:val="000000"/>
                <w:sz w:val="20"/>
                <w:szCs w:val="18"/>
              </w:rPr>
            </w:pPr>
            <w:r w:rsidRPr="00CE2C77">
              <w:rPr>
                <w:rFonts w:ascii="Arial Narrow" w:hAnsi="Arial Narrow" w:cs="Arial"/>
                <w:i/>
                <w:snapToGrid w:val="0"/>
                <w:color w:val="000000"/>
                <w:sz w:val="20"/>
                <w:szCs w:val="18"/>
              </w:rPr>
              <w:t>-</w:t>
            </w:r>
          </w:p>
        </w:tc>
        <w:tc>
          <w:tcPr>
            <w:tcW w:w="415" w:type="pct"/>
            <w:vAlign w:val="center"/>
          </w:tcPr>
          <w:p w:rsidR="00CE2C77" w:rsidRPr="00CE2C77" w:rsidRDefault="00CE2C77" w:rsidP="00AD362F">
            <w:pPr>
              <w:jc w:val="center"/>
              <w:rPr>
                <w:rFonts w:ascii="Arial Narrow" w:hAnsi="Arial Narrow" w:cs="Arial"/>
                <w:i/>
                <w:sz w:val="20"/>
                <w:szCs w:val="20"/>
              </w:rPr>
            </w:pPr>
            <w:r w:rsidRPr="00CE2C77">
              <w:rPr>
                <w:rFonts w:ascii="Arial Narrow" w:hAnsi="Arial Narrow" w:cs="Arial"/>
                <w:i/>
                <w:sz w:val="20"/>
                <w:szCs w:val="20"/>
              </w:rPr>
              <w:t>50/ 1,154</w:t>
            </w:r>
          </w:p>
        </w:tc>
        <w:tc>
          <w:tcPr>
            <w:tcW w:w="418" w:type="pct"/>
            <w:vAlign w:val="center"/>
          </w:tcPr>
          <w:p w:rsidR="00CE2C77" w:rsidRPr="00CE2C77" w:rsidRDefault="00CE2C77" w:rsidP="00AD362F">
            <w:pPr>
              <w:jc w:val="center"/>
              <w:rPr>
                <w:rFonts w:ascii="Arial Narrow" w:hAnsi="Arial Narrow" w:cs="Arial"/>
                <w:i/>
                <w:sz w:val="20"/>
                <w:szCs w:val="20"/>
              </w:rPr>
            </w:pPr>
            <w:r w:rsidRPr="00CE2C77">
              <w:rPr>
                <w:rFonts w:ascii="Arial Narrow" w:hAnsi="Arial Narrow" w:cs="Arial"/>
                <w:i/>
                <w:sz w:val="20"/>
                <w:szCs w:val="20"/>
              </w:rPr>
              <w:t>32/ 1,139</w:t>
            </w:r>
          </w:p>
        </w:tc>
        <w:tc>
          <w:tcPr>
            <w:tcW w:w="749" w:type="pct"/>
            <w:vAlign w:val="center"/>
          </w:tcPr>
          <w:p w:rsidR="00CE2C77" w:rsidRPr="00CE2C77" w:rsidRDefault="00CE2C77" w:rsidP="00AD362F">
            <w:pPr>
              <w:jc w:val="center"/>
              <w:rPr>
                <w:rFonts w:ascii="Arial Narrow" w:hAnsi="Arial Narrow" w:cs="Arial"/>
                <w:i/>
                <w:sz w:val="20"/>
                <w:szCs w:val="20"/>
              </w:rPr>
            </w:pPr>
            <w:r w:rsidRPr="00CE2C77">
              <w:rPr>
                <w:rFonts w:ascii="Arial Narrow" w:hAnsi="Arial Narrow" w:cs="Arial"/>
                <w:i/>
                <w:sz w:val="20"/>
                <w:szCs w:val="20"/>
              </w:rPr>
              <w:t>0.60 (0.16, 2.23)</w:t>
            </w:r>
          </w:p>
          <w:p w:rsidR="00CE2C77" w:rsidRPr="00CE2C77" w:rsidRDefault="00CE2C77" w:rsidP="00AD362F">
            <w:pPr>
              <w:jc w:val="center"/>
              <w:rPr>
                <w:rFonts w:ascii="Arial Narrow" w:hAnsi="Arial Narrow" w:cs="Arial"/>
                <w:i/>
                <w:sz w:val="20"/>
                <w:szCs w:val="20"/>
                <w:highlight w:val="yellow"/>
              </w:rPr>
            </w:pPr>
            <w:r w:rsidRPr="00CE2C77">
              <w:rPr>
                <w:rFonts w:ascii="Arial Narrow" w:hAnsi="Arial Narrow" w:cs="Arial"/>
                <w:sz w:val="20"/>
                <w:szCs w:val="20"/>
              </w:rPr>
              <w:t>Heterogeneity p-value=0.005</w:t>
            </w:r>
          </w:p>
        </w:tc>
        <w:tc>
          <w:tcPr>
            <w:tcW w:w="418" w:type="pct"/>
            <w:vAlign w:val="center"/>
          </w:tcPr>
          <w:p w:rsidR="00CE2C77" w:rsidRPr="00CE2C77" w:rsidRDefault="00CE2C77" w:rsidP="00AD362F">
            <w:pPr>
              <w:jc w:val="center"/>
              <w:rPr>
                <w:rFonts w:ascii="Arial Narrow" w:hAnsi="Arial Narrow" w:cs="Arial"/>
                <w:i/>
                <w:snapToGrid w:val="0"/>
                <w:color w:val="000000"/>
                <w:sz w:val="20"/>
                <w:szCs w:val="18"/>
              </w:rPr>
            </w:pPr>
            <w:r w:rsidRPr="00CE2C77">
              <w:rPr>
                <w:rFonts w:ascii="Arial Narrow" w:hAnsi="Arial Narrow" w:cs="Arial"/>
                <w:i/>
                <w:snapToGrid w:val="0"/>
                <w:color w:val="000000"/>
                <w:sz w:val="20"/>
                <w:szCs w:val="18"/>
              </w:rPr>
              <w:t>-</w:t>
            </w:r>
          </w:p>
        </w:tc>
        <w:tc>
          <w:tcPr>
            <w:tcW w:w="415" w:type="pct"/>
            <w:vAlign w:val="center"/>
          </w:tcPr>
          <w:p w:rsidR="00CE2C77" w:rsidRPr="00CE2C77" w:rsidRDefault="00CE2C77" w:rsidP="00AD362F">
            <w:pPr>
              <w:jc w:val="center"/>
              <w:rPr>
                <w:rFonts w:ascii="Arial Narrow" w:hAnsi="Arial Narrow" w:cs="Arial"/>
                <w:i/>
                <w:snapToGrid w:val="0"/>
                <w:color w:val="000000"/>
                <w:sz w:val="20"/>
                <w:szCs w:val="18"/>
              </w:rPr>
            </w:pPr>
            <w:r w:rsidRPr="00CE2C77">
              <w:rPr>
                <w:rFonts w:ascii="Arial Narrow" w:hAnsi="Arial Narrow" w:cs="Arial"/>
                <w:i/>
                <w:snapToGrid w:val="0"/>
                <w:color w:val="000000"/>
                <w:sz w:val="20"/>
                <w:szCs w:val="18"/>
              </w:rPr>
              <w:t>4.33</w:t>
            </w:r>
          </w:p>
        </w:tc>
        <w:tc>
          <w:tcPr>
            <w:tcW w:w="498" w:type="pct"/>
            <w:gridSpan w:val="3"/>
            <w:vAlign w:val="center"/>
          </w:tcPr>
          <w:p w:rsidR="00CE2C77" w:rsidRPr="00CE2C77" w:rsidRDefault="00CE2C77" w:rsidP="00AD362F">
            <w:pPr>
              <w:jc w:val="center"/>
              <w:rPr>
                <w:rFonts w:ascii="Arial Narrow" w:hAnsi="Arial Narrow" w:cs="Arial"/>
                <w:i/>
                <w:snapToGrid w:val="0"/>
                <w:color w:val="000000"/>
                <w:sz w:val="20"/>
                <w:szCs w:val="18"/>
              </w:rPr>
            </w:pPr>
            <w:r w:rsidRPr="00CE2C77">
              <w:rPr>
                <w:rFonts w:ascii="Arial Narrow" w:hAnsi="Arial Narrow" w:cs="Arial"/>
                <w:i/>
                <w:snapToGrid w:val="0"/>
                <w:color w:val="000000"/>
                <w:sz w:val="20"/>
                <w:szCs w:val="18"/>
              </w:rPr>
              <w:t>2.81</w:t>
            </w:r>
          </w:p>
        </w:tc>
        <w:tc>
          <w:tcPr>
            <w:tcW w:w="994" w:type="pct"/>
            <w:vAlign w:val="center"/>
          </w:tcPr>
          <w:p w:rsidR="00CE2C77" w:rsidRPr="00CE2C77" w:rsidRDefault="00CE2C77" w:rsidP="00AD362F">
            <w:pPr>
              <w:jc w:val="center"/>
              <w:rPr>
                <w:rFonts w:ascii="Arial Narrow" w:hAnsi="Arial Narrow" w:cs="Arial"/>
                <w:i/>
                <w:snapToGrid w:val="0"/>
                <w:color w:val="000000"/>
                <w:sz w:val="20"/>
                <w:szCs w:val="18"/>
              </w:rPr>
            </w:pPr>
            <w:r w:rsidRPr="00CE2C77">
              <w:rPr>
                <w:rFonts w:ascii="Arial Narrow" w:hAnsi="Arial Narrow" w:cs="Arial"/>
                <w:i/>
                <w:snapToGrid w:val="0"/>
                <w:color w:val="000000"/>
                <w:sz w:val="20"/>
                <w:szCs w:val="18"/>
              </w:rPr>
              <w:t>Not reported</w:t>
            </w:r>
          </w:p>
        </w:tc>
      </w:tr>
      <w:tr w:rsidR="00CE2C77" w:rsidRPr="00CE2C77" w:rsidTr="00CE2C77">
        <w:tc>
          <w:tcPr>
            <w:tcW w:w="5000" w:type="pct"/>
            <w:gridSpan w:val="11"/>
            <w:tcBorders>
              <w:top w:val="double" w:sz="4" w:space="0" w:color="auto"/>
            </w:tcBorders>
            <w:shd w:val="clear" w:color="auto" w:fill="auto"/>
            <w:vAlign w:val="center"/>
          </w:tcPr>
          <w:p w:rsidR="00CE2C77" w:rsidRPr="00CE2C77" w:rsidRDefault="00CE2C77" w:rsidP="00AD362F">
            <w:pPr>
              <w:keepNext/>
              <w:jc w:val="both"/>
              <w:rPr>
                <w:rFonts w:ascii="Arial Narrow" w:hAnsi="Arial Narrow" w:cs="Arial"/>
                <w:b/>
                <w:snapToGrid w:val="0"/>
                <w:color w:val="000000"/>
                <w:sz w:val="20"/>
                <w:szCs w:val="18"/>
              </w:rPr>
            </w:pPr>
            <w:r w:rsidRPr="00CE2C77">
              <w:rPr>
                <w:rFonts w:ascii="Arial Narrow" w:hAnsi="Arial Narrow" w:cs="Arial"/>
                <w:b/>
                <w:snapToGrid w:val="0"/>
                <w:color w:val="000000"/>
                <w:sz w:val="20"/>
                <w:szCs w:val="18"/>
              </w:rPr>
              <w:lastRenderedPageBreak/>
              <w:t xml:space="preserve">Harms </w:t>
            </w:r>
          </w:p>
        </w:tc>
      </w:tr>
      <w:tr w:rsidR="00CE2C77" w:rsidRPr="00CE2C77" w:rsidTr="00CE2C77">
        <w:trPr>
          <w:trHeight w:val="70"/>
        </w:trPr>
        <w:tc>
          <w:tcPr>
            <w:tcW w:w="678" w:type="pct"/>
            <w:vMerge w:val="restart"/>
            <w:shd w:val="clear" w:color="auto" w:fill="auto"/>
            <w:vAlign w:val="center"/>
          </w:tcPr>
          <w:p w:rsidR="00CE2C77" w:rsidRPr="00CE2C77" w:rsidRDefault="00CE2C77" w:rsidP="00AD362F">
            <w:pPr>
              <w:keepNext/>
              <w:jc w:val="both"/>
              <w:rPr>
                <w:rFonts w:ascii="Arial Narrow" w:hAnsi="Arial Narrow" w:cs="Arial"/>
                <w:b/>
                <w:snapToGrid w:val="0"/>
                <w:color w:val="000000"/>
                <w:sz w:val="20"/>
                <w:szCs w:val="18"/>
              </w:rPr>
            </w:pPr>
          </w:p>
        </w:tc>
        <w:tc>
          <w:tcPr>
            <w:tcW w:w="415" w:type="pct"/>
            <w:vMerge w:val="restart"/>
            <w:vAlign w:val="center"/>
          </w:tcPr>
          <w:p w:rsidR="00CE2C77" w:rsidRPr="00CE2C77" w:rsidRDefault="00CE2C77" w:rsidP="00AD362F">
            <w:pPr>
              <w:keepNext/>
              <w:jc w:val="center"/>
              <w:rPr>
                <w:rFonts w:ascii="Arial Narrow" w:hAnsi="Arial Narrow" w:cs="Arial"/>
                <w:b/>
                <w:snapToGrid w:val="0"/>
                <w:color w:val="000000"/>
                <w:sz w:val="20"/>
                <w:szCs w:val="18"/>
              </w:rPr>
            </w:pPr>
            <w:r w:rsidRPr="00CE2C77">
              <w:rPr>
                <w:rFonts w:ascii="Arial Narrow" w:hAnsi="Arial Narrow" w:cs="Arial"/>
                <w:b/>
                <w:snapToGrid w:val="0"/>
                <w:color w:val="000000"/>
                <w:sz w:val="20"/>
                <w:szCs w:val="18"/>
              </w:rPr>
              <w:t>13vPCV</w:t>
            </w:r>
          </w:p>
        </w:tc>
        <w:tc>
          <w:tcPr>
            <w:tcW w:w="833" w:type="pct"/>
            <w:gridSpan w:val="2"/>
            <w:vMerge w:val="restart"/>
            <w:vAlign w:val="center"/>
          </w:tcPr>
          <w:p w:rsidR="00CE2C77" w:rsidRPr="00CE2C77" w:rsidRDefault="00CE2C77" w:rsidP="00AD362F">
            <w:pPr>
              <w:keepNext/>
              <w:jc w:val="center"/>
              <w:rPr>
                <w:rFonts w:ascii="Arial Narrow" w:hAnsi="Arial Narrow" w:cs="Arial"/>
                <w:b/>
                <w:snapToGrid w:val="0"/>
                <w:color w:val="000000"/>
                <w:sz w:val="20"/>
                <w:szCs w:val="18"/>
              </w:rPr>
            </w:pPr>
            <w:r w:rsidRPr="00CE2C77">
              <w:rPr>
                <w:rFonts w:ascii="Arial Narrow" w:hAnsi="Arial Narrow" w:cs="Arial"/>
                <w:b/>
                <w:snapToGrid w:val="0"/>
                <w:color w:val="000000"/>
                <w:sz w:val="20"/>
                <w:szCs w:val="18"/>
              </w:rPr>
              <w:t>23vPPV</w:t>
            </w:r>
          </w:p>
        </w:tc>
        <w:tc>
          <w:tcPr>
            <w:tcW w:w="749" w:type="pct"/>
            <w:vMerge w:val="restart"/>
            <w:vAlign w:val="center"/>
          </w:tcPr>
          <w:p w:rsidR="00CE2C77" w:rsidRPr="00CE2C77" w:rsidRDefault="00CE2C77" w:rsidP="00AD362F">
            <w:pPr>
              <w:keepNext/>
              <w:jc w:val="center"/>
              <w:rPr>
                <w:rFonts w:ascii="Arial Narrow" w:hAnsi="Arial Narrow" w:cs="Arial"/>
                <w:b/>
                <w:snapToGrid w:val="0"/>
                <w:color w:val="000000"/>
                <w:sz w:val="20"/>
                <w:szCs w:val="18"/>
              </w:rPr>
            </w:pPr>
            <w:r w:rsidRPr="00CE2C77">
              <w:rPr>
                <w:rFonts w:ascii="Arial Narrow" w:hAnsi="Arial Narrow" w:cs="Arial"/>
                <w:b/>
                <w:snapToGrid w:val="0"/>
                <w:color w:val="000000"/>
                <w:sz w:val="20"/>
                <w:szCs w:val="18"/>
              </w:rPr>
              <w:t>RR</w:t>
            </w:r>
          </w:p>
          <w:p w:rsidR="00CE2C77" w:rsidRPr="00CE2C77" w:rsidRDefault="00CE2C77" w:rsidP="00AD362F">
            <w:pPr>
              <w:keepNext/>
              <w:jc w:val="center"/>
              <w:rPr>
                <w:rFonts w:ascii="Arial Narrow" w:hAnsi="Arial Narrow" w:cs="Arial"/>
                <w:b/>
                <w:snapToGrid w:val="0"/>
                <w:color w:val="000000"/>
                <w:sz w:val="20"/>
                <w:szCs w:val="18"/>
              </w:rPr>
            </w:pPr>
            <w:r w:rsidRPr="00CE2C77">
              <w:rPr>
                <w:rFonts w:ascii="Arial Narrow" w:hAnsi="Arial Narrow" w:cs="Arial"/>
                <w:b/>
                <w:snapToGrid w:val="0"/>
                <w:color w:val="000000"/>
                <w:sz w:val="20"/>
                <w:szCs w:val="18"/>
              </w:rPr>
              <w:t>(95% CI)</w:t>
            </w:r>
          </w:p>
        </w:tc>
        <w:tc>
          <w:tcPr>
            <w:tcW w:w="1322" w:type="pct"/>
            <w:gridSpan w:val="4"/>
            <w:vAlign w:val="center"/>
          </w:tcPr>
          <w:p w:rsidR="00CE2C77" w:rsidRPr="00CE2C77" w:rsidRDefault="00CE2C77" w:rsidP="00AD362F">
            <w:pPr>
              <w:keepNext/>
              <w:jc w:val="center"/>
              <w:rPr>
                <w:rFonts w:ascii="Arial Narrow" w:hAnsi="Arial Narrow" w:cs="Arial"/>
                <w:b/>
                <w:snapToGrid w:val="0"/>
                <w:color w:val="000000"/>
                <w:sz w:val="20"/>
                <w:szCs w:val="18"/>
              </w:rPr>
            </w:pPr>
            <w:r w:rsidRPr="00CE2C77">
              <w:rPr>
                <w:rFonts w:ascii="Arial Narrow" w:hAnsi="Arial Narrow" w:cs="Arial"/>
                <w:b/>
                <w:snapToGrid w:val="0"/>
                <w:color w:val="000000"/>
                <w:sz w:val="20"/>
                <w:szCs w:val="18"/>
              </w:rPr>
              <w:t xml:space="preserve">Event rate/100 patients* </w:t>
            </w:r>
          </w:p>
        </w:tc>
        <w:tc>
          <w:tcPr>
            <w:tcW w:w="1003" w:type="pct"/>
            <w:gridSpan w:val="2"/>
            <w:vMerge w:val="restart"/>
            <w:vAlign w:val="center"/>
          </w:tcPr>
          <w:p w:rsidR="00CE2C77" w:rsidRPr="00CE2C77" w:rsidRDefault="00CE2C77" w:rsidP="00AD362F">
            <w:pPr>
              <w:keepNext/>
              <w:jc w:val="center"/>
              <w:rPr>
                <w:rFonts w:ascii="Arial Narrow" w:hAnsi="Arial Narrow" w:cs="Arial"/>
                <w:b/>
                <w:snapToGrid w:val="0"/>
                <w:color w:val="000000"/>
                <w:sz w:val="20"/>
                <w:szCs w:val="18"/>
              </w:rPr>
            </w:pPr>
            <w:r w:rsidRPr="00CE2C77">
              <w:rPr>
                <w:rFonts w:ascii="Arial Narrow" w:hAnsi="Arial Narrow" w:cs="Arial"/>
                <w:b/>
                <w:snapToGrid w:val="0"/>
                <w:color w:val="000000"/>
                <w:sz w:val="20"/>
                <w:szCs w:val="18"/>
              </w:rPr>
              <w:t>RD</w:t>
            </w:r>
          </w:p>
          <w:p w:rsidR="00CE2C77" w:rsidRPr="00CE2C77" w:rsidRDefault="00CE2C77" w:rsidP="00AD362F">
            <w:pPr>
              <w:keepNext/>
              <w:jc w:val="center"/>
              <w:rPr>
                <w:rFonts w:ascii="Arial Narrow" w:hAnsi="Arial Narrow" w:cs="Arial"/>
                <w:b/>
                <w:snapToGrid w:val="0"/>
                <w:color w:val="000000"/>
                <w:sz w:val="20"/>
                <w:szCs w:val="18"/>
              </w:rPr>
            </w:pPr>
            <w:r w:rsidRPr="00CE2C77">
              <w:rPr>
                <w:rFonts w:ascii="Arial Narrow" w:hAnsi="Arial Narrow" w:cs="Arial"/>
                <w:b/>
                <w:snapToGrid w:val="0"/>
                <w:color w:val="000000"/>
                <w:sz w:val="20"/>
                <w:szCs w:val="18"/>
              </w:rPr>
              <w:t>(95% CI)</w:t>
            </w:r>
          </w:p>
        </w:tc>
      </w:tr>
      <w:tr w:rsidR="00CE2C77" w:rsidRPr="00CE2C77" w:rsidTr="00CE2C77">
        <w:trPr>
          <w:trHeight w:val="118"/>
        </w:trPr>
        <w:tc>
          <w:tcPr>
            <w:tcW w:w="678" w:type="pct"/>
            <w:vMerge/>
            <w:shd w:val="clear" w:color="auto" w:fill="auto"/>
            <w:vAlign w:val="center"/>
          </w:tcPr>
          <w:p w:rsidR="00CE2C77" w:rsidRPr="00CE2C77" w:rsidRDefault="00CE2C77" w:rsidP="00AD362F">
            <w:pPr>
              <w:keepNext/>
              <w:jc w:val="both"/>
              <w:rPr>
                <w:rFonts w:ascii="Arial Narrow" w:hAnsi="Arial Narrow" w:cs="Arial"/>
                <w:b/>
                <w:snapToGrid w:val="0"/>
                <w:color w:val="000000"/>
                <w:sz w:val="20"/>
                <w:szCs w:val="18"/>
              </w:rPr>
            </w:pPr>
          </w:p>
        </w:tc>
        <w:tc>
          <w:tcPr>
            <w:tcW w:w="415" w:type="pct"/>
            <w:vMerge/>
            <w:vAlign w:val="center"/>
          </w:tcPr>
          <w:p w:rsidR="00CE2C77" w:rsidRPr="00CE2C77" w:rsidRDefault="00CE2C77" w:rsidP="00AD362F">
            <w:pPr>
              <w:keepNext/>
              <w:jc w:val="center"/>
              <w:rPr>
                <w:rFonts w:ascii="Arial Narrow" w:hAnsi="Arial Narrow" w:cs="Arial"/>
                <w:b/>
                <w:snapToGrid w:val="0"/>
                <w:color w:val="000000"/>
                <w:sz w:val="20"/>
                <w:szCs w:val="18"/>
              </w:rPr>
            </w:pPr>
          </w:p>
        </w:tc>
        <w:tc>
          <w:tcPr>
            <w:tcW w:w="833" w:type="pct"/>
            <w:gridSpan w:val="2"/>
            <w:vMerge/>
            <w:vAlign w:val="center"/>
          </w:tcPr>
          <w:p w:rsidR="00CE2C77" w:rsidRPr="00CE2C77" w:rsidRDefault="00CE2C77" w:rsidP="00AD362F">
            <w:pPr>
              <w:keepNext/>
              <w:jc w:val="center"/>
              <w:rPr>
                <w:rFonts w:ascii="Arial Narrow" w:hAnsi="Arial Narrow" w:cs="Arial"/>
                <w:b/>
                <w:snapToGrid w:val="0"/>
                <w:color w:val="000000"/>
                <w:sz w:val="20"/>
                <w:szCs w:val="18"/>
              </w:rPr>
            </w:pPr>
          </w:p>
        </w:tc>
        <w:tc>
          <w:tcPr>
            <w:tcW w:w="749" w:type="pct"/>
            <w:vMerge/>
            <w:vAlign w:val="center"/>
          </w:tcPr>
          <w:p w:rsidR="00CE2C77" w:rsidRPr="00CE2C77" w:rsidRDefault="00CE2C77" w:rsidP="00AD362F">
            <w:pPr>
              <w:keepNext/>
              <w:jc w:val="center"/>
              <w:rPr>
                <w:rFonts w:ascii="Arial Narrow" w:hAnsi="Arial Narrow" w:cs="Arial"/>
                <w:b/>
                <w:snapToGrid w:val="0"/>
                <w:color w:val="000000"/>
                <w:sz w:val="20"/>
                <w:szCs w:val="18"/>
              </w:rPr>
            </w:pPr>
          </w:p>
        </w:tc>
        <w:tc>
          <w:tcPr>
            <w:tcW w:w="418" w:type="pct"/>
            <w:vAlign w:val="center"/>
          </w:tcPr>
          <w:p w:rsidR="00CE2C77" w:rsidRPr="00CE2C77" w:rsidRDefault="00CE2C77" w:rsidP="00AD362F">
            <w:pPr>
              <w:keepNext/>
              <w:jc w:val="center"/>
              <w:rPr>
                <w:rFonts w:ascii="Arial Narrow" w:hAnsi="Arial Narrow" w:cs="Arial"/>
                <w:b/>
                <w:snapToGrid w:val="0"/>
                <w:color w:val="000000"/>
                <w:sz w:val="20"/>
                <w:szCs w:val="18"/>
              </w:rPr>
            </w:pPr>
            <w:r w:rsidRPr="00CE2C77">
              <w:rPr>
                <w:rFonts w:ascii="Arial Narrow" w:hAnsi="Arial Narrow" w:cs="Arial"/>
                <w:b/>
                <w:snapToGrid w:val="0"/>
                <w:color w:val="000000"/>
                <w:sz w:val="20"/>
                <w:szCs w:val="18"/>
              </w:rPr>
              <w:t>13vPCV</w:t>
            </w:r>
          </w:p>
        </w:tc>
        <w:tc>
          <w:tcPr>
            <w:tcW w:w="904" w:type="pct"/>
            <w:gridSpan w:val="3"/>
            <w:vAlign w:val="center"/>
          </w:tcPr>
          <w:p w:rsidR="00CE2C77" w:rsidRPr="00CE2C77" w:rsidRDefault="00CE2C77" w:rsidP="00AD362F">
            <w:pPr>
              <w:keepNext/>
              <w:jc w:val="center"/>
              <w:rPr>
                <w:rFonts w:ascii="Arial Narrow" w:hAnsi="Arial Narrow" w:cs="Arial"/>
                <w:b/>
                <w:snapToGrid w:val="0"/>
                <w:color w:val="000000"/>
                <w:sz w:val="20"/>
                <w:szCs w:val="18"/>
              </w:rPr>
            </w:pPr>
            <w:r w:rsidRPr="00CE2C77">
              <w:rPr>
                <w:rFonts w:ascii="Arial Narrow" w:hAnsi="Arial Narrow" w:cs="Arial"/>
                <w:b/>
                <w:snapToGrid w:val="0"/>
                <w:color w:val="000000"/>
                <w:sz w:val="20"/>
                <w:szCs w:val="18"/>
              </w:rPr>
              <w:t>23vPPV</w:t>
            </w:r>
          </w:p>
        </w:tc>
        <w:tc>
          <w:tcPr>
            <w:tcW w:w="1003" w:type="pct"/>
            <w:gridSpan w:val="2"/>
            <w:vMerge/>
            <w:vAlign w:val="center"/>
          </w:tcPr>
          <w:p w:rsidR="00CE2C77" w:rsidRPr="00CE2C77" w:rsidRDefault="00CE2C77" w:rsidP="00AD362F">
            <w:pPr>
              <w:keepNext/>
              <w:jc w:val="center"/>
              <w:rPr>
                <w:rFonts w:ascii="Arial Narrow" w:hAnsi="Arial Narrow" w:cs="Arial"/>
                <w:b/>
                <w:snapToGrid w:val="0"/>
                <w:color w:val="000000"/>
                <w:sz w:val="20"/>
                <w:szCs w:val="18"/>
              </w:rPr>
            </w:pPr>
          </w:p>
        </w:tc>
      </w:tr>
      <w:tr w:rsidR="00CE2C77" w:rsidRPr="00CE2C77" w:rsidTr="00CE2C77">
        <w:tc>
          <w:tcPr>
            <w:tcW w:w="5000" w:type="pct"/>
            <w:gridSpan w:val="11"/>
            <w:shd w:val="clear" w:color="auto" w:fill="auto"/>
            <w:vAlign w:val="center"/>
          </w:tcPr>
          <w:p w:rsidR="00CE2C77" w:rsidRPr="00CE2C77" w:rsidRDefault="00CE2C77" w:rsidP="00AD362F">
            <w:pPr>
              <w:keepNext/>
              <w:jc w:val="both"/>
              <w:rPr>
                <w:rFonts w:ascii="Arial Narrow" w:hAnsi="Arial Narrow" w:cs="Arial"/>
                <w:snapToGrid w:val="0"/>
                <w:color w:val="000000"/>
                <w:sz w:val="20"/>
                <w:szCs w:val="18"/>
              </w:rPr>
            </w:pPr>
            <w:r w:rsidRPr="00CE2C77">
              <w:rPr>
                <w:rFonts w:ascii="Arial Narrow" w:hAnsi="Arial Narrow" w:cs="Arial"/>
                <w:b/>
                <w:snapToGrid w:val="0"/>
                <w:color w:val="000000"/>
                <w:sz w:val="20"/>
                <w:szCs w:val="18"/>
              </w:rPr>
              <w:t>Pain at injection site</w:t>
            </w:r>
          </w:p>
        </w:tc>
      </w:tr>
      <w:tr w:rsidR="00CE2C77" w:rsidRPr="00CE2C77" w:rsidTr="00CE2C77">
        <w:tc>
          <w:tcPr>
            <w:tcW w:w="678" w:type="pct"/>
            <w:shd w:val="clear" w:color="auto" w:fill="auto"/>
            <w:vAlign w:val="center"/>
          </w:tcPr>
          <w:p w:rsidR="00CE2C77" w:rsidRPr="00CE2C77" w:rsidRDefault="00CE2C77" w:rsidP="00AD362F">
            <w:pPr>
              <w:keepNext/>
              <w:jc w:val="both"/>
              <w:rPr>
                <w:rFonts w:ascii="Arial Narrow" w:hAnsi="Arial Narrow" w:cs="Arial"/>
                <w:snapToGrid w:val="0"/>
                <w:color w:val="000000"/>
                <w:sz w:val="20"/>
                <w:szCs w:val="18"/>
              </w:rPr>
            </w:pPr>
            <w:r w:rsidRPr="00CE2C77">
              <w:rPr>
                <w:rFonts w:ascii="Arial Narrow" w:hAnsi="Arial Narrow" w:cs="Arial"/>
                <w:snapToGrid w:val="0"/>
                <w:color w:val="000000"/>
                <w:sz w:val="20"/>
                <w:szCs w:val="18"/>
              </w:rPr>
              <w:t>004</w:t>
            </w:r>
          </w:p>
        </w:tc>
        <w:tc>
          <w:tcPr>
            <w:tcW w:w="415" w:type="pct"/>
            <w:vAlign w:val="center"/>
          </w:tcPr>
          <w:p w:rsidR="00CE2C77" w:rsidRPr="00CE2C77" w:rsidRDefault="00CE2C77" w:rsidP="00AD362F">
            <w:pPr>
              <w:keepNext/>
              <w:jc w:val="center"/>
              <w:rPr>
                <w:rFonts w:ascii="Arial Narrow" w:hAnsi="Arial Narrow" w:cs="Arial"/>
                <w:snapToGrid w:val="0"/>
                <w:color w:val="000000"/>
                <w:sz w:val="20"/>
                <w:szCs w:val="18"/>
              </w:rPr>
            </w:pPr>
            <w:r w:rsidRPr="00CE2C77">
              <w:rPr>
                <w:rFonts w:ascii="Arial Narrow" w:hAnsi="Arial Narrow" w:cs="Arial"/>
                <w:snapToGrid w:val="0"/>
                <w:color w:val="000000"/>
                <w:sz w:val="20"/>
                <w:szCs w:val="18"/>
              </w:rPr>
              <w:t>265/331</w:t>
            </w:r>
          </w:p>
        </w:tc>
        <w:tc>
          <w:tcPr>
            <w:tcW w:w="833" w:type="pct"/>
            <w:gridSpan w:val="2"/>
            <w:vAlign w:val="center"/>
          </w:tcPr>
          <w:p w:rsidR="00CE2C77" w:rsidRPr="00CE2C77" w:rsidRDefault="00CE2C77" w:rsidP="00AD362F">
            <w:pPr>
              <w:keepNext/>
              <w:jc w:val="center"/>
              <w:rPr>
                <w:rFonts w:ascii="Arial Narrow" w:hAnsi="Arial Narrow" w:cs="Arial"/>
                <w:snapToGrid w:val="0"/>
                <w:color w:val="000000"/>
                <w:sz w:val="20"/>
                <w:szCs w:val="18"/>
              </w:rPr>
            </w:pPr>
            <w:r w:rsidRPr="00CE2C77">
              <w:rPr>
                <w:rFonts w:ascii="Arial Narrow" w:hAnsi="Arial Narrow" w:cs="Arial"/>
                <w:snapToGrid w:val="0"/>
                <w:color w:val="000000"/>
                <w:sz w:val="20"/>
                <w:szCs w:val="18"/>
              </w:rPr>
              <w:t>221/301</w:t>
            </w:r>
          </w:p>
        </w:tc>
        <w:tc>
          <w:tcPr>
            <w:tcW w:w="749" w:type="pct"/>
            <w:vAlign w:val="center"/>
          </w:tcPr>
          <w:p w:rsidR="00CE2C77" w:rsidRPr="00CE2C77" w:rsidRDefault="00CE2C77" w:rsidP="00AD362F">
            <w:pPr>
              <w:keepNext/>
              <w:jc w:val="center"/>
              <w:rPr>
                <w:rFonts w:ascii="Arial Narrow" w:hAnsi="Arial Narrow" w:cs="Arial"/>
                <w:i/>
                <w:snapToGrid w:val="0"/>
                <w:color w:val="000000"/>
                <w:sz w:val="20"/>
                <w:szCs w:val="18"/>
              </w:rPr>
            </w:pPr>
            <w:r w:rsidRPr="00CE2C77">
              <w:rPr>
                <w:rFonts w:ascii="Arial Narrow" w:hAnsi="Arial Narrow" w:cs="Arial"/>
                <w:i/>
                <w:snapToGrid w:val="0"/>
                <w:color w:val="000000"/>
                <w:sz w:val="20"/>
                <w:szCs w:val="18"/>
              </w:rPr>
              <w:t>0.92 (0.84, 1.00)</w:t>
            </w:r>
          </w:p>
        </w:tc>
        <w:tc>
          <w:tcPr>
            <w:tcW w:w="418" w:type="pct"/>
            <w:vAlign w:val="center"/>
          </w:tcPr>
          <w:p w:rsidR="00CE2C77" w:rsidRPr="00CE2C77" w:rsidRDefault="00CE2C77" w:rsidP="00AD362F">
            <w:pPr>
              <w:keepNext/>
              <w:jc w:val="center"/>
              <w:rPr>
                <w:rFonts w:ascii="Arial Narrow" w:hAnsi="Arial Narrow" w:cs="Arial"/>
                <w:snapToGrid w:val="0"/>
                <w:color w:val="000000"/>
                <w:sz w:val="20"/>
                <w:szCs w:val="18"/>
              </w:rPr>
            </w:pPr>
            <w:r w:rsidRPr="00CE2C77">
              <w:rPr>
                <w:rFonts w:ascii="Arial Narrow" w:hAnsi="Arial Narrow" w:cs="Arial"/>
                <w:snapToGrid w:val="0"/>
                <w:color w:val="000000"/>
                <w:sz w:val="20"/>
                <w:szCs w:val="18"/>
              </w:rPr>
              <w:t>80.1</w:t>
            </w:r>
          </w:p>
        </w:tc>
        <w:tc>
          <w:tcPr>
            <w:tcW w:w="896" w:type="pct"/>
            <w:gridSpan w:val="2"/>
            <w:vAlign w:val="center"/>
          </w:tcPr>
          <w:p w:rsidR="00CE2C77" w:rsidRPr="00CE2C77" w:rsidRDefault="00CE2C77" w:rsidP="00AD362F">
            <w:pPr>
              <w:keepNext/>
              <w:jc w:val="center"/>
              <w:rPr>
                <w:rFonts w:ascii="Arial Narrow" w:hAnsi="Arial Narrow" w:cs="Arial"/>
                <w:snapToGrid w:val="0"/>
                <w:color w:val="000000"/>
                <w:sz w:val="20"/>
                <w:szCs w:val="18"/>
              </w:rPr>
            </w:pPr>
            <w:r w:rsidRPr="00CE2C77">
              <w:rPr>
                <w:rFonts w:ascii="Arial Narrow" w:hAnsi="Arial Narrow" w:cs="Arial"/>
                <w:snapToGrid w:val="0"/>
                <w:color w:val="000000"/>
                <w:sz w:val="20"/>
                <w:szCs w:val="18"/>
              </w:rPr>
              <w:t>73.4</w:t>
            </w:r>
          </w:p>
        </w:tc>
        <w:tc>
          <w:tcPr>
            <w:tcW w:w="1011" w:type="pct"/>
            <w:gridSpan w:val="3"/>
            <w:vAlign w:val="center"/>
          </w:tcPr>
          <w:p w:rsidR="00CE2C77" w:rsidRPr="00CE2C77" w:rsidRDefault="00CE2C77" w:rsidP="00AD362F">
            <w:pPr>
              <w:keepNext/>
              <w:jc w:val="center"/>
              <w:rPr>
                <w:rFonts w:ascii="Arial Narrow" w:hAnsi="Arial Narrow" w:cs="Arial"/>
                <w:snapToGrid w:val="0"/>
                <w:color w:val="000000"/>
                <w:sz w:val="20"/>
                <w:szCs w:val="18"/>
              </w:rPr>
            </w:pPr>
            <w:r w:rsidRPr="00CE2C77">
              <w:rPr>
                <w:rFonts w:ascii="Arial Narrow" w:hAnsi="Arial Narrow" w:cs="Arial"/>
                <w:snapToGrid w:val="0"/>
                <w:color w:val="000000"/>
                <w:sz w:val="20"/>
                <w:szCs w:val="18"/>
              </w:rPr>
              <w:t>0.066 (-0.00, 0.13)</w:t>
            </w:r>
          </w:p>
        </w:tc>
      </w:tr>
      <w:tr w:rsidR="00CE2C77" w:rsidRPr="00CE2C77" w:rsidTr="00CE2C77">
        <w:tc>
          <w:tcPr>
            <w:tcW w:w="678" w:type="pct"/>
            <w:shd w:val="clear" w:color="auto" w:fill="auto"/>
            <w:vAlign w:val="center"/>
          </w:tcPr>
          <w:p w:rsidR="00CE2C77" w:rsidRPr="00CE2C77" w:rsidRDefault="00CE2C77" w:rsidP="00AD362F">
            <w:pPr>
              <w:jc w:val="both"/>
              <w:rPr>
                <w:rFonts w:ascii="Arial Narrow" w:hAnsi="Arial Narrow" w:cs="Arial"/>
                <w:snapToGrid w:val="0"/>
                <w:color w:val="000000"/>
                <w:sz w:val="20"/>
                <w:szCs w:val="18"/>
              </w:rPr>
            </w:pPr>
            <w:r w:rsidRPr="00CE2C77">
              <w:rPr>
                <w:rFonts w:ascii="Arial Narrow" w:hAnsi="Arial Narrow" w:cs="Arial"/>
                <w:snapToGrid w:val="0"/>
                <w:color w:val="000000"/>
                <w:sz w:val="20"/>
                <w:szCs w:val="18"/>
              </w:rPr>
              <w:t>3010</w:t>
            </w:r>
          </w:p>
        </w:tc>
        <w:tc>
          <w:tcPr>
            <w:tcW w:w="415" w:type="pct"/>
            <w:vAlign w:val="center"/>
          </w:tcPr>
          <w:p w:rsidR="00CE2C77" w:rsidRPr="00CE2C77" w:rsidRDefault="00CE2C77" w:rsidP="00AD362F">
            <w:pPr>
              <w:jc w:val="center"/>
              <w:rPr>
                <w:rFonts w:ascii="Arial Narrow" w:hAnsi="Arial Narrow" w:cs="Arial"/>
                <w:snapToGrid w:val="0"/>
                <w:color w:val="000000"/>
                <w:sz w:val="20"/>
                <w:szCs w:val="18"/>
              </w:rPr>
            </w:pPr>
            <w:r w:rsidRPr="00CE2C77">
              <w:rPr>
                <w:rFonts w:ascii="Arial Narrow" w:hAnsi="Arial Narrow" w:cs="Arial"/>
                <w:snapToGrid w:val="0"/>
                <w:color w:val="000000"/>
                <w:sz w:val="20"/>
                <w:szCs w:val="18"/>
              </w:rPr>
              <w:t>256/370</w:t>
            </w:r>
          </w:p>
        </w:tc>
        <w:tc>
          <w:tcPr>
            <w:tcW w:w="833" w:type="pct"/>
            <w:gridSpan w:val="2"/>
            <w:vAlign w:val="center"/>
          </w:tcPr>
          <w:p w:rsidR="00CE2C77" w:rsidRPr="00CE2C77" w:rsidRDefault="00CE2C77" w:rsidP="00AD362F">
            <w:pPr>
              <w:jc w:val="center"/>
              <w:rPr>
                <w:rFonts w:ascii="Arial Narrow" w:hAnsi="Arial Narrow" w:cs="Arial"/>
                <w:snapToGrid w:val="0"/>
                <w:color w:val="000000"/>
                <w:sz w:val="20"/>
                <w:szCs w:val="18"/>
              </w:rPr>
            </w:pPr>
            <w:r w:rsidRPr="00CE2C77">
              <w:rPr>
                <w:rFonts w:ascii="Arial Narrow" w:hAnsi="Arial Narrow" w:cs="Arial"/>
                <w:snapToGrid w:val="0"/>
                <w:color w:val="000000"/>
                <w:sz w:val="20"/>
                <w:szCs w:val="18"/>
              </w:rPr>
              <w:t>102/175</w:t>
            </w:r>
          </w:p>
        </w:tc>
        <w:tc>
          <w:tcPr>
            <w:tcW w:w="749" w:type="pct"/>
            <w:vAlign w:val="center"/>
          </w:tcPr>
          <w:p w:rsidR="00CE2C77" w:rsidRPr="00CE2C77" w:rsidRDefault="00CE2C77" w:rsidP="00AD362F">
            <w:pPr>
              <w:jc w:val="center"/>
              <w:rPr>
                <w:rFonts w:ascii="Arial Narrow" w:hAnsi="Arial Narrow" w:cs="Arial"/>
                <w:i/>
                <w:snapToGrid w:val="0"/>
                <w:color w:val="000000"/>
                <w:sz w:val="20"/>
                <w:szCs w:val="18"/>
              </w:rPr>
            </w:pPr>
            <w:r w:rsidRPr="00CE2C77">
              <w:rPr>
                <w:rFonts w:ascii="Arial Narrow" w:hAnsi="Arial Narrow" w:cs="Arial"/>
                <w:i/>
                <w:snapToGrid w:val="0"/>
                <w:color w:val="000000"/>
                <w:sz w:val="20"/>
                <w:szCs w:val="18"/>
              </w:rPr>
              <w:t>0.84 (0.73, 0.97)</w:t>
            </w:r>
          </w:p>
        </w:tc>
        <w:tc>
          <w:tcPr>
            <w:tcW w:w="418" w:type="pct"/>
            <w:vAlign w:val="center"/>
          </w:tcPr>
          <w:p w:rsidR="00CE2C77" w:rsidRPr="00CE2C77" w:rsidRDefault="00CE2C77" w:rsidP="00AD362F">
            <w:pPr>
              <w:jc w:val="center"/>
              <w:rPr>
                <w:rFonts w:ascii="Arial Narrow" w:hAnsi="Arial Narrow" w:cs="Arial"/>
                <w:snapToGrid w:val="0"/>
                <w:color w:val="000000"/>
                <w:sz w:val="20"/>
                <w:szCs w:val="18"/>
              </w:rPr>
            </w:pPr>
            <w:r w:rsidRPr="00CE2C77">
              <w:rPr>
                <w:rFonts w:ascii="Arial Narrow" w:hAnsi="Arial Narrow" w:cs="Arial"/>
                <w:snapToGrid w:val="0"/>
                <w:color w:val="000000"/>
                <w:sz w:val="20"/>
                <w:szCs w:val="18"/>
              </w:rPr>
              <w:t>69.2</w:t>
            </w:r>
          </w:p>
        </w:tc>
        <w:tc>
          <w:tcPr>
            <w:tcW w:w="896" w:type="pct"/>
            <w:gridSpan w:val="2"/>
            <w:vAlign w:val="center"/>
          </w:tcPr>
          <w:p w:rsidR="00CE2C77" w:rsidRPr="00CE2C77" w:rsidRDefault="00CE2C77" w:rsidP="00AD362F">
            <w:pPr>
              <w:jc w:val="center"/>
              <w:rPr>
                <w:rFonts w:ascii="Arial Narrow" w:hAnsi="Arial Narrow" w:cs="Arial"/>
                <w:snapToGrid w:val="0"/>
                <w:color w:val="000000"/>
                <w:sz w:val="20"/>
                <w:szCs w:val="18"/>
              </w:rPr>
            </w:pPr>
            <w:r w:rsidRPr="00CE2C77">
              <w:rPr>
                <w:rFonts w:ascii="Arial Narrow" w:hAnsi="Arial Narrow" w:cs="Arial"/>
                <w:snapToGrid w:val="0"/>
                <w:color w:val="000000"/>
                <w:sz w:val="20"/>
                <w:szCs w:val="18"/>
              </w:rPr>
              <w:t>58.3</w:t>
            </w:r>
          </w:p>
        </w:tc>
        <w:tc>
          <w:tcPr>
            <w:tcW w:w="1011" w:type="pct"/>
            <w:gridSpan w:val="3"/>
            <w:vAlign w:val="center"/>
          </w:tcPr>
          <w:p w:rsidR="00CE2C77" w:rsidRPr="00CE2C77" w:rsidRDefault="00CE2C77" w:rsidP="00AD362F">
            <w:pPr>
              <w:jc w:val="center"/>
              <w:rPr>
                <w:rFonts w:ascii="Arial Narrow" w:hAnsi="Arial Narrow" w:cs="Arial"/>
                <w:snapToGrid w:val="0"/>
                <w:color w:val="000000"/>
                <w:sz w:val="20"/>
                <w:szCs w:val="18"/>
              </w:rPr>
            </w:pPr>
            <w:r w:rsidRPr="00CE2C77">
              <w:rPr>
                <w:rFonts w:ascii="Arial Narrow" w:hAnsi="Arial Narrow" w:cs="Arial"/>
                <w:snapToGrid w:val="0"/>
                <w:color w:val="000000"/>
                <w:sz w:val="20"/>
                <w:szCs w:val="18"/>
              </w:rPr>
              <w:t>0.109 (0.02, 0.20)</w:t>
            </w:r>
          </w:p>
        </w:tc>
      </w:tr>
    </w:tbl>
    <w:p w:rsidR="00CE2C77" w:rsidRPr="00CE2C77" w:rsidRDefault="00CE2C77" w:rsidP="00AD362F">
      <w:pPr>
        <w:ind w:left="720"/>
        <w:jc w:val="both"/>
        <w:rPr>
          <w:rFonts w:ascii="Arial Narrow" w:hAnsi="Arial Narrow" w:cs="Arial"/>
          <w:snapToGrid w:val="0"/>
          <w:sz w:val="18"/>
          <w:szCs w:val="20"/>
        </w:rPr>
      </w:pPr>
      <w:r w:rsidRPr="00CE2C77">
        <w:rPr>
          <w:rFonts w:ascii="Arial Narrow" w:hAnsi="Arial Narrow" w:cs="Arial"/>
          <w:snapToGrid w:val="0"/>
          <w:sz w:val="18"/>
          <w:szCs w:val="20"/>
        </w:rPr>
        <w:t>* Mean duration of follow-up: CAPiTA=3.97 years; Alfageme 2006=2.7 years; Furumoto 2008=2 years; Kawakami 2010=2 years; Maruyama 2010=2.28 years; Ortqvist 1998=2.4 years; 004=14 days; 3010=14 days</w:t>
      </w:r>
    </w:p>
    <w:p w:rsidR="00CE2C77" w:rsidRPr="00CE2C77" w:rsidRDefault="00CE2C77" w:rsidP="00AD362F">
      <w:pPr>
        <w:ind w:firstLine="720"/>
        <w:jc w:val="both"/>
        <w:rPr>
          <w:rFonts w:ascii="Arial Narrow" w:hAnsi="Arial Narrow" w:cs="Arial"/>
          <w:snapToGrid w:val="0"/>
          <w:sz w:val="18"/>
          <w:szCs w:val="20"/>
        </w:rPr>
      </w:pPr>
      <w:r w:rsidRPr="00CE2C77">
        <w:rPr>
          <w:rFonts w:ascii="Arial Narrow" w:hAnsi="Arial Narrow" w:cs="Arial"/>
          <w:snapToGrid w:val="0"/>
          <w:sz w:val="18"/>
          <w:szCs w:val="20"/>
        </w:rPr>
        <w:t>a No vaccine for Alfageme 2006, Furumoto 2008, Kawakami 2010</w:t>
      </w:r>
    </w:p>
    <w:p w:rsidR="00CE2C77" w:rsidRPr="00CE2C77" w:rsidRDefault="00CE2C77" w:rsidP="00AD362F">
      <w:pPr>
        <w:ind w:firstLine="720"/>
        <w:jc w:val="both"/>
        <w:rPr>
          <w:rFonts w:ascii="Arial Narrow" w:hAnsi="Arial Narrow" w:cs="Arial"/>
          <w:snapToGrid w:val="0"/>
          <w:sz w:val="18"/>
          <w:szCs w:val="20"/>
        </w:rPr>
      </w:pPr>
      <w:r w:rsidRPr="00CE2C77">
        <w:rPr>
          <w:rFonts w:ascii="Arial Narrow" w:hAnsi="Arial Narrow" w:cs="Arial"/>
          <w:snapToGrid w:val="0"/>
          <w:sz w:val="18"/>
          <w:szCs w:val="20"/>
        </w:rPr>
        <w:t>Abbreviations: PBO = placebo; RD = risk difference; RR = risk ratio</w:t>
      </w:r>
    </w:p>
    <w:p w:rsidR="00CE2C77" w:rsidRPr="00CE2C77" w:rsidRDefault="00CE2C77" w:rsidP="00AD362F">
      <w:pPr>
        <w:ind w:left="709" w:firstLine="11"/>
        <w:jc w:val="both"/>
        <w:rPr>
          <w:rFonts w:ascii="Arial Narrow" w:hAnsi="Arial Narrow" w:cs="Arial"/>
          <w:i/>
          <w:snapToGrid w:val="0"/>
          <w:sz w:val="18"/>
          <w:szCs w:val="20"/>
        </w:rPr>
      </w:pPr>
      <w:r w:rsidRPr="000F763D">
        <w:rPr>
          <w:rFonts w:ascii="Arial Narrow" w:hAnsi="Arial Narrow" w:cs="Arial"/>
          <w:snapToGrid w:val="0"/>
          <w:sz w:val="18"/>
          <w:szCs w:val="20"/>
        </w:rPr>
        <w:t>Source: Table B(i).6.2 of the Commentary; Table 28, p B.50 of the submission</w:t>
      </w:r>
      <w:r w:rsidRPr="00CE2C77">
        <w:rPr>
          <w:rFonts w:ascii="Arial Narrow" w:hAnsi="Arial Narrow" w:cs="Arial"/>
          <w:snapToGrid w:val="0"/>
          <w:sz w:val="18"/>
          <w:szCs w:val="20"/>
        </w:rPr>
        <w:t xml:space="preserve">; CAPiTA CSR Table 47; </w:t>
      </w:r>
      <w:r w:rsidRPr="00CE2C77">
        <w:rPr>
          <w:rFonts w:ascii="Arial Narrow" w:hAnsi="Arial Narrow" w:cs="Arial"/>
          <w:i/>
          <w:snapToGrid w:val="0"/>
          <w:sz w:val="18"/>
          <w:szCs w:val="20"/>
        </w:rPr>
        <w:t>values in italics added during the evaluation</w:t>
      </w:r>
    </w:p>
    <w:p w:rsidR="00CE2C77" w:rsidRPr="00CE2C77" w:rsidRDefault="00CE2C77" w:rsidP="00AD362F">
      <w:pPr>
        <w:jc w:val="both"/>
        <w:rPr>
          <w:rFonts w:ascii="Arial" w:hAnsi="Arial" w:cs="Arial"/>
          <w:snapToGrid w:val="0"/>
          <w:sz w:val="22"/>
          <w:szCs w:val="20"/>
        </w:rPr>
      </w:pPr>
    </w:p>
    <w:p w:rsidR="00CE2C77" w:rsidRPr="00CE2C77" w:rsidRDefault="00CE2C77" w:rsidP="00AD362F">
      <w:pPr>
        <w:numPr>
          <w:ilvl w:val="1"/>
          <w:numId w:val="3"/>
        </w:numPr>
        <w:contextualSpacing/>
        <w:jc w:val="both"/>
        <w:rPr>
          <w:rFonts w:ascii="Arial" w:hAnsi="Arial" w:cs="Arial"/>
          <w:snapToGrid w:val="0"/>
          <w:sz w:val="22"/>
          <w:szCs w:val="22"/>
        </w:rPr>
      </w:pPr>
      <w:r w:rsidRPr="00CE2C77">
        <w:rPr>
          <w:rFonts w:ascii="Arial" w:hAnsi="Arial" w:cs="Arial"/>
          <w:snapToGrid w:val="0"/>
          <w:sz w:val="22"/>
          <w:szCs w:val="22"/>
        </w:rPr>
        <w:t>Based on the qualitative indirect comparison using placebo/no vaccin</w:t>
      </w:r>
      <w:r w:rsidR="00A92B77">
        <w:rPr>
          <w:rFonts w:ascii="Arial" w:hAnsi="Arial" w:cs="Arial"/>
          <w:snapToGrid w:val="0"/>
          <w:sz w:val="22"/>
          <w:szCs w:val="22"/>
        </w:rPr>
        <w:t>e as the common comparator, it wa</w:t>
      </w:r>
      <w:r w:rsidRPr="00CE2C77">
        <w:rPr>
          <w:rFonts w:ascii="Arial" w:hAnsi="Arial" w:cs="Arial"/>
          <w:snapToGrid w:val="0"/>
          <w:sz w:val="22"/>
          <w:szCs w:val="22"/>
        </w:rPr>
        <w:t>s not clea</w:t>
      </w:r>
      <w:r w:rsidR="00A92B77">
        <w:rPr>
          <w:rFonts w:ascii="Arial" w:hAnsi="Arial" w:cs="Arial"/>
          <w:snapToGrid w:val="0"/>
          <w:sz w:val="22"/>
          <w:szCs w:val="22"/>
        </w:rPr>
        <w:t>r whether 13vPCV wa</w:t>
      </w:r>
      <w:r w:rsidRPr="00CE2C77">
        <w:rPr>
          <w:rFonts w:ascii="Arial" w:hAnsi="Arial" w:cs="Arial"/>
          <w:snapToGrid w:val="0"/>
          <w:sz w:val="22"/>
          <w:szCs w:val="22"/>
        </w:rPr>
        <w:t>s worse or better than 23vPPV in the prevention of invasive pneumococcal disease.</w:t>
      </w:r>
      <w:r w:rsidR="00765016">
        <w:rPr>
          <w:rFonts w:ascii="Arial" w:hAnsi="Arial" w:cs="Arial"/>
          <w:snapToGrid w:val="0"/>
          <w:sz w:val="22"/>
          <w:szCs w:val="22"/>
        </w:rPr>
        <w:t xml:space="preserve"> </w:t>
      </w:r>
    </w:p>
    <w:p w:rsidR="00CE2C77" w:rsidRPr="00CE2C77" w:rsidRDefault="00CE2C77" w:rsidP="00AD362F">
      <w:pPr>
        <w:ind w:left="709"/>
        <w:jc w:val="both"/>
        <w:rPr>
          <w:rFonts w:ascii="Arial" w:hAnsi="Arial" w:cs="Arial"/>
          <w:snapToGrid w:val="0"/>
          <w:sz w:val="22"/>
          <w:szCs w:val="20"/>
        </w:rPr>
      </w:pPr>
    </w:p>
    <w:p w:rsidR="00CE2C77" w:rsidRPr="00CE2C77" w:rsidRDefault="00CE2C77" w:rsidP="00AD362F">
      <w:pPr>
        <w:numPr>
          <w:ilvl w:val="1"/>
          <w:numId w:val="3"/>
        </w:numPr>
        <w:contextualSpacing/>
        <w:jc w:val="both"/>
        <w:rPr>
          <w:rFonts w:ascii="Arial" w:hAnsi="Arial" w:cs="Arial"/>
          <w:snapToGrid w:val="0"/>
          <w:sz w:val="22"/>
          <w:szCs w:val="22"/>
        </w:rPr>
      </w:pPr>
      <w:r w:rsidRPr="00CE2C77">
        <w:rPr>
          <w:rFonts w:ascii="Arial" w:hAnsi="Arial" w:cs="Arial"/>
          <w:snapToGrid w:val="0"/>
          <w:sz w:val="22"/>
          <w:szCs w:val="22"/>
        </w:rPr>
        <w:t xml:space="preserve">On the basis of a trial comparing 13vPCV with placebo, 1,057 adults aged ≥65 years would need to be vaccinated with 13vPCV to prevent one case of </w:t>
      </w:r>
      <w:r w:rsidR="00927E54">
        <w:rPr>
          <w:rFonts w:ascii="Arial" w:hAnsi="Arial" w:cs="Arial"/>
          <w:snapToGrid w:val="0"/>
          <w:sz w:val="22"/>
          <w:szCs w:val="22"/>
        </w:rPr>
        <w:t xml:space="preserve">VT </w:t>
      </w:r>
      <w:r w:rsidRPr="00CE2C77">
        <w:rPr>
          <w:rFonts w:ascii="Arial" w:hAnsi="Arial" w:cs="Arial"/>
          <w:snapToGrid w:val="0"/>
          <w:sz w:val="22"/>
          <w:szCs w:val="22"/>
        </w:rPr>
        <w:t xml:space="preserve">pneumonia. Clinical trial data assessing the effect of 23vPPV in the prevention of </w:t>
      </w:r>
      <w:r w:rsidR="00927E54">
        <w:rPr>
          <w:rFonts w:ascii="Arial" w:hAnsi="Arial" w:cs="Arial"/>
          <w:snapToGrid w:val="0"/>
          <w:sz w:val="22"/>
          <w:szCs w:val="22"/>
        </w:rPr>
        <w:t xml:space="preserve">VT </w:t>
      </w:r>
      <w:r w:rsidRPr="00CE2C77">
        <w:rPr>
          <w:rFonts w:ascii="Arial" w:hAnsi="Arial" w:cs="Arial"/>
          <w:snapToGrid w:val="0"/>
          <w:sz w:val="22"/>
          <w:szCs w:val="22"/>
        </w:rPr>
        <w:t xml:space="preserve">pneumonia are not available. </w:t>
      </w:r>
    </w:p>
    <w:p w:rsidR="00CE2C77" w:rsidRPr="00CE2C77" w:rsidRDefault="00CE2C77" w:rsidP="00AD362F">
      <w:pPr>
        <w:ind w:left="720"/>
        <w:contextualSpacing/>
        <w:jc w:val="both"/>
        <w:rPr>
          <w:rFonts w:ascii="Arial" w:hAnsi="Arial" w:cs="Arial"/>
          <w:snapToGrid w:val="0"/>
          <w:sz w:val="22"/>
          <w:szCs w:val="22"/>
        </w:rPr>
      </w:pPr>
    </w:p>
    <w:p w:rsidR="000A7FE8" w:rsidRDefault="00F10871" w:rsidP="00AD362F">
      <w:pPr>
        <w:numPr>
          <w:ilvl w:val="1"/>
          <w:numId w:val="3"/>
        </w:numPr>
        <w:contextualSpacing/>
        <w:jc w:val="both"/>
        <w:rPr>
          <w:rFonts w:ascii="Arial" w:hAnsi="Arial" w:cs="Arial"/>
          <w:snapToGrid w:val="0"/>
          <w:sz w:val="22"/>
          <w:szCs w:val="22"/>
        </w:rPr>
      </w:pPr>
      <w:r>
        <w:rPr>
          <w:rFonts w:ascii="Arial" w:hAnsi="Arial" w:cs="Arial"/>
          <w:snapToGrid w:val="0"/>
          <w:sz w:val="22"/>
          <w:szCs w:val="20"/>
        </w:rPr>
        <w:t>On the basis of the head-to-</w:t>
      </w:r>
      <w:r w:rsidR="00CE2C77" w:rsidRPr="00CE2C77">
        <w:rPr>
          <w:rFonts w:ascii="Arial" w:hAnsi="Arial" w:cs="Arial"/>
          <w:snapToGrid w:val="0"/>
          <w:sz w:val="22"/>
          <w:szCs w:val="20"/>
        </w:rPr>
        <w:t xml:space="preserve">head immunogenicity trials and the indirect comparison presented, in subjects naïve to 23vPPV the frequency of </w:t>
      </w:r>
      <w:r w:rsidR="00A92B77">
        <w:rPr>
          <w:rFonts w:ascii="Arial" w:hAnsi="Arial" w:cs="Arial"/>
          <w:snapToGrid w:val="0"/>
          <w:sz w:val="22"/>
          <w:szCs w:val="20"/>
        </w:rPr>
        <w:t>adverse effects appeared</w:t>
      </w:r>
      <w:r w:rsidR="00CE2C77" w:rsidRPr="00CE2C77">
        <w:rPr>
          <w:rFonts w:ascii="Arial" w:hAnsi="Arial" w:cs="Arial"/>
          <w:snapToGrid w:val="0"/>
          <w:sz w:val="22"/>
          <w:szCs w:val="20"/>
        </w:rPr>
        <w:t xml:space="preserve"> to be comparable.</w:t>
      </w:r>
    </w:p>
    <w:p w:rsidR="000A7FE8" w:rsidRPr="00780900" w:rsidRDefault="000A7FE8" w:rsidP="00AD362F">
      <w:pPr>
        <w:rPr>
          <w:rFonts w:ascii="Arial" w:hAnsi="Arial" w:cs="Arial"/>
          <w:i/>
          <w:snapToGrid w:val="0"/>
          <w:sz w:val="22"/>
          <w:szCs w:val="22"/>
        </w:rPr>
      </w:pPr>
    </w:p>
    <w:p w:rsidR="000A7FE8" w:rsidRPr="00517B6E" w:rsidRDefault="000A7FE8" w:rsidP="00AD362F">
      <w:pPr>
        <w:numPr>
          <w:ilvl w:val="1"/>
          <w:numId w:val="3"/>
        </w:numPr>
        <w:contextualSpacing/>
        <w:jc w:val="both"/>
        <w:rPr>
          <w:rFonts w:ascii="Arial" w:hAnsi="Arial" w:cs="Arial"/>
          <w:snapToGrid w:val="0"/>
          <w:sz w:val="22"/>
          <w:szCs w:val="22"/>
        </w:rPr>
      </w:pPr>
      <w:r w:rsidRPr="00517B6E">
        <w:rPr>
          <w:rFonts w:ascii="Arial" w:hAnsi="Arial" w:cs="Arial"/>
          <w:snapToGrid w:val="0"/>
          <w:sz w:val="22"/>
          <w:szCs w:val="22"/>
        </w:rPr>
        <w:t>The ATAGI post</w:t>
      </w:r>
      <w:r w:rsidR="005C0BD3">
        <w:rPr>
          <w:rFonts w:ascii="Arial" w:hAnsi="Arial" w:cs="Arial"/>
          <w:snapToGrid w:val="0"/>
          <w:sz w:val="22"/>
          <w:szCs w:val="22"/>
        </w:rPr>
        <w:t xml:space="preserve">-PBAC </w:t>
      </w:r>
      <w:r w:rsidRPr="00517B6E">
        <w:rPr>
          <w:rFonts w:ascii="Arial" w:hAnsi="Arial" w:cs="Arial"/>
          <w:snapToGrid w:val="0"/>
          <w:sz w:val="22"/>
          <w:szCs w:val="22"/>
        </w:rPr>
        <w:t>submission advice</w:t>
      </w:r>
      <w:r w:rsidR="005C0BD3">
        <w:rPr>
          <w:rFonts w:ascii="Arial" w:hAnsi="Arial" w:cs="Arial"/>
          <w:snapToGrid w:val="0"/>
          <w:sz w:val="22"/>
          <w:szCs w:val="22"/>
        </w:rPr>
        <w:t xml:space="preserve"> </w:t>
      </w:r>
      <w:r w:rsidRPr="00517B6E">
        <w:rPr>
          <w:rFonts w:ascii="Arial" w:hAnsi="Arial" w:cs="Arial"/>
          <w:snapToGrid w:val="0"/>
          <w:sz w:val="22"/>
          <w:szCs w:val="22"/>
        </w:rPr>
        <w:t>stated that ‘while some adverse effects are expected, no major safety concerns have been identified in immunogenicity studies where 13vPCV is given to adults pre-immunised with 23vPPV</w:t>
      </w:r>
      <w:r w:rsidR="005C0BD3">
        <w:rPr>
          <w:rFonts w:ascii="Arial" w:hAnsi="Arial" w:cs="Arial"/>
          <w:snapToGrid w:val="0"/>
          <w:sz w:val="22"/>
          <w:szCs w:val="22"/>
        </w:rPr>
        <w:t xml:space="preserve"> </w:t>
      </w:r>
      <w:r w:rsidR="005C0BD3" w:rsidRPr="005C0BD3">
        <w:rPr>
          <w:rFonts w:ascii="Arial" w:hAnsi="Arial" w:cs="Arial"/>
          <w:snapToGrid w:val="0"/>
          <w:sz w:val="22"/>
          <w:szCs w:val="22"/>
        </w:rPr>
        <w:t>(with a minimum interval of 12 months since the last 23vPPV dose)</w:t>
      </w:r>
      <w:r w:rsidRPr="00517B6E">
        <w:rPr>
          <w:rFonts w:ascii="Arial" w:hAnsi="Arial" w:cs="Arial"/>
          <w:snapToGrid w:val="0"/>
          <w:sz w:val="22"/>
          <w:szCs w:val="22"/>
        </w:rPr>
        <w:t>.’</w:t>
      </w:r>
    </w:p>
    <w:p w:rsidR="00CE2C77" w:rsidRDefault="00CE2C77" w:rsidP="00AD362F">
      <w:pPr>
        <w:jc w:val="both"/>
        <w:rPr>
          <w:rFonts w:ascii="Arial" w:hAnsi="Arial" w:cs="Arial"/>
          <w:snapToGrid w:val="0"/>
          <w:sz w:val="22"/>
          <w:szCs w:val="20"/>
        </w:rPr>
      </w:pPr>
    </w:p>
    <w:p w:rsidR="00EF2AFE" w:rsidRPr="00EF2AFE" w:rsidRDefault="00EF2AFE" w:rsidP="005E67AE">
      <w:pPr>
        <w:ind w:left="709"/>
        <w:contextualSpacing/>
        <w:jc w:val="both"/>
        <w:rPr>
          <w:rFonts w:ascii="Arial" w:hAnsi="Arial" w:cs="Arial"/>
          <w:i/>
          <w:snapToGrid w:val="0"/>
          <w:sz w:val="22"/>
          <w:szCs w:val="22"/>
        </w:rPr>
      </w:pPr>
      <w:r w:rsidRPr="00EF2AFE">
        <w:rPr>
          <w:rFonts w:ascii="Arial" w:hAnsi="Arial" w:cs="Arial"/>
          <w:i/>
          <w:snapToGrid w:val="0"/>
          <w:sz w:val="22"/>
          <w:szCs w:val="22"/>
        </w:rPr>
        <w:t>For more detail on PBAC’s view, see section 7 “PBAC outcome”</w:t>
      </w:r>
    </w:p>
    <w:p w:rsidR="00EF2AFE" w:rsidRPr="00CE2C77" w:rsidRDefault="00EF2AFE" w:rsidP="00AD362F">
      <w:pPr>
        <w:jc w:val="both"/>
        <w:rPr>
          <w:rFonts w:ascii="Arial" w:hAnsi="Arial" w:cs="Arial"/>
          <w:snapToGrid w:val="0"/>
          <w:sz w:val="22"/>
          <w:szCs w:val="20"/>
        </w:rPr>
      </w:pPr>
    </w:p>
    <w:p w:rsidR="00CE2C77" w:rsidRPr="00947361" w:rsidRDefault="00CE2C77" w:rsidP="005125B6">
      <w:pPr>
        <w:pStyle w:val="Heading2"/>
      </w:pPr>
      <w:bookmarkStart w:id="11" w:name="_Toc409513709"/>
      <w:r w:rsidRPr="00947361">
        <w:t>Clinical claim</w:t>
      </w:r>
      <w:bookmarkEnd w:id="11"/>
    </w:p>
    <w:p w:rsidR="00CE2C77" w:rsidRPr="00CE2C77" w:rsidRDefault="00CE2C77" w:rsidP="00AD362F">
      <w:pPr>
        <w:ind w:left="720" w:hanging="720"/>
        <w:jc w:val="both"/>
        <w:rPr>
          <w:rFonts w:ascii="Arial" w:hAnsi="Arial" w:cs="Arial"/>
          <w:snapToGrid w:val="0"/>
          <w:sz w:val="22"/>
          <w:szCs w:val="22"/>
        </w:rPr>
      </w:pPr>
    </w:p>
    <w:p w:rsidR="00CE2C77" w:rsidRPr="006B3B4E" w:rsidRDefault="00B53604" w:rsidP="00AD362F">
      <w:pPr>
        <w:pStyle w:val="ListParagraph"/>
        <w:numPr>
          <w:ilvl w:val="1"/>
          <w:numId w:val="3"/>
        </w:numPr>
        <w:rPr>
          <w:rFonts w:ascii="Arial" w:hAnsi="Arial" w:cs="Arial"/>
          <w:snapToGrid w:val="0"/>
          <w:sz w:val="22"/>
          <w:szCs w:val="20"/>
        </w:rPr>
      </w:pPr>
      <w:r w:rsidRPr="00BB296C">
        <w:rPr>
          <w:rFonts w:ascii="Arial" w:hAnsi="Arial" w:cs="Arial"/>
          <w:snapToGrid w:val="0"/>
          <w:sz w:val="22"/>
          <w:szCs w:val="20"/>
        </w:rPr>
        <w:t xml:space="preserve">The </w:t>
      </w:r>
      <w:r w:rsidR="00F4606E" w:rsidRPr="00BB296C">
        <w:rPr>
          <w:rFonts w:ascii="Arial" w:hAnsi="Arial" w:cs="Arial"/>
          <w:snapToGrid w:val="0"/>
          <w:sz w:val="22"/>
          <w:szCs w:val="20"/>
        </w:rPr>
        <w:t>submission described 13vPCV as superior</w:t>
      </w:r>
      <w:r w:rsidR="00BB296C">
        <w:rPr>
          <w:rFonts w:ascii="Arial" w:hAnsi="Arial" w:cs="Arial"/>
          <w:snapToGrid w:val="0"/>
          <w:sz w:val="22"/>
          <w:szCs w:val="20"/>
        </w:rPr>
        <w:t xml:space="preserve"> </w:t>
      </w:r>
      <w:r w:rsidR="00BB296C" w:rsidRPr="00EA2B1F">
        <w:rPr>
          <w:rFonts w:ascii="Arial" w:hAnsi="Arial" w:cs="Arial"/>
          <w:snapToGrid w:val="0"/>
          <w:sz w:val="22"/>
          <w:szCs w:val="20"/>
        </w:rPr>
        <w:t>to</w:t>
      </w:r>
      <w:r w:rsidR="00BB296C">
        <w:rPr>
          <w:rFonts w:ascii="Arial" w:hAnsi="Arial" w:cs="Arial"/>
          <w:i/>
          <w:snapToGrid w:val="0"/>
          <w:sz w:val="22"/>
          <w:szCs w:val="20"/>
        </w:rPr>
        <w:t xml:space="preserve"> </w:t>
      </w:r>
      <w:r w:rsidR="00BB296C" w:rsidRPr="00EA2B1F">
        <w:rPr>
          <w:rFonts w:ascii="Arial" w:hAnsi="Arial" w:cs="Arial"/>
          <w:snapToGrid w:val="0"/>
          <w:sz w:val="22"/>
          <w:szCs w:val="20"/>
        </w:rPr>
        <w:t>23vPPV</w:t>
      </w:r>
      <w:r w:rsidR="00F4606E" w:rsidRPr="00BB296C">
        <w:rPr>
          <w:rFonts w:ascii="Arial" w:hAnsi="Arial" w:cs="Arial"/>
          <w:snapToGrid w:val="0"/>
          <w:sz w:val="22"/>
          <w:szCs w:val="20"/>
        </w:rPr>
        <w:t xml:space="preserve"> in terms of preventing VT pneumonia</w:t>
      </w:r>
      <w:r w:rsidR="00BB296C">
        <w:rPr>
          <w:rFonts w:ascii="Arial" w:hAnsi="Arial" w:cs="Arial"/>
          <w:snapToGrid w:val="0"/>
          <w:sz w:val="22"/>
          <w:szCs w:val="20"/>
        </w:rPr>
        <w:t xml:space="preserve">, </w:t>
      </w:r>
      <w:r w:rsidR="00BB296C" w:rsidRPr="00EA2B1F">
        <w:rPr>
          <w:rFonts w:ascii="Arial" w:hAnsi="Arial" w:cs="Arial"/>
          <w:snapToGrid w:val="0"/>
          <w:sz w:val="22"/>
          <w:szCs w:val="20"/>
        </w:rPr>
        <w:t>persistence of vaccine efficacy</w:t>
      </w:r>
      <w:r w:rsidR="00BB296C">
        <w:rPr>
          <w:rFonts w:ascii="Arial" w:hAnsi="Arial" w:cs="Arial"/>
          <w:i/>
          <w:snapToGrid w:val="0"/>
          <w:sz w:val="22"/>
          <w:szCs w:val="20"/>
        </w:rPr>
        <w:t>,</w:t>
      </w:r>
      <w:r w:rsidR="00F4606E" w:rsidRPr="00BB296C">
        <w:rPr>
          <w:rFonts w:ascii="Arial" w:hAnsi="Arial" w:cs="Arial"/>
          <w:snapToGrid w:val="0"/>
          <w:sz w:val="22"/>
          <w:szCs w:val="20"/>
        </w:rPr>
        <w:t xml:space="preserve"> superior in terms of comparative safety</w:t>
      </w:r>
      <w:r w:rsidR="00BB296C">
        <w:rPr>
          <w:rFonts w:ascii="Arial" w:hAnsi="Arial" w:cs="Arial"/>
          <w:snapToGrid w:val="0"/>
          <w:sz w:val="22"/>
          <w:szCs w:val="20"/>
        </w:rPr>
        <w:t xml:space="preserve"> and </w:t>
      </w:r>
      <w:r w:rsidR="00BB296C" w:rsidRPr="00EA2B1F">
        <w:rPr>
          <w:rFonts w:ascii="Arial" w:hAnsi="Arial" w:cs="Arial"/>
          <w:snapToGrid w:val="0"/>
          <w:sz w:val="22"/>
          <w:szCs w:val="20"/>
        </w:rPr>
        <w:t>equivalent to 23vPPV against IPD</w:t>
      </w:r>
      <w:r w:rsidR="00F4606E" w:rsidRPr="00BB296C">
        <w:rPr>
          <w:rFonts w:ascii="Arial" w:hAnsi="Arial" w:cs="Arial"/>
          <w:snapToGrid w:val="0"/>
          <w:sz w:val="22"/>
          <w:szCs w:val="20"/>
        </w:rPr>
        <w:t>. Th</w:t>
      </w:r>
      <w:r w:rsidR="00BB296C">
        <w:rPr>
          <w:rFonts w:ascii="Arial" w:hAnsi="Arial" w:cs="Arial"/>
          <w:snapToGrid w:val="0"/>
          <w:sz w:val="22"/>
          <w:szCs w:val="20"/>
        </w:rPr>
        <w:t>e</w:t>
      </w:r>
      <w:r w:rsidR="00F4606E" w:rsidRPr="00BB296C">
        <w:rPr>
          <w:rFonts w:ascii="Arial" w:hAnsi="Arial" w:cs="Arial"/>
          <w:snapToGrid w:val="0"/>
          <w:sz w:val="22"/>
          <w:szCs w:val="20"/>
        </w:rPr>
        <w:t xml:space="preserve"> claim</w:t>
      </w:r>
      <w:r w:rsidR="00BB296C">
        <w:rPr>
          <w:rFonts w:ascii="Arial" w:hAnsi="Arial" w:cs="Arial"/>
          <w:snapToGrid w:val="0"/>
          <w:sz w:val="22"/>
          <w:szCs w:val="20"/>
        </w:rPr>
        <w:t xml:space="preserve"> </w:t>
      </w:r>
      <w:r w:rsidR="00BB296C" w:rsidRPr="00EA2B1F">
        <w:rPr>
          <w:rFonts w:ascii="Arial" w:hAnsi="Arial" w:cs="Arial"/>
          <w:snapToGrid w:val="0"/>
          <w:sz w:val="22"/>
          <w:szCs w:val="20"/>
        </w:rPr>
        <w:t>of</w:t>
      </w:r>
      <w:r w:rsidR="00BB296C">
        <w:rPr>
          <w:rFonts w:ascii="Arial" w:hAnsi="Arial" w:cs="Arial"/>
          <w:i/>
          <w:snapToGrid w:val="0"/>
          <w:sz w:val="22"/>
          <w:szCs w:val="20"/>
        </w:rPr>
        <w:t xml:space="preserve"> </w:t>
      </w:r>
      <w:r w:rsidR="00BB296C" w:rsidRPr="00EA2B1F">
        <w:rPr>
          <w:rFonts w:ascii="Arial" w:hAnsi="Arial" w:cs="Arial"/>
          <w:snapToGrid w:val="0"/>
          <w:sz w:val="22"/>
          <w:szCs w:val="20"/>
        </w:rPr>
        <w:t>superiority</w:t>
      </w:r>
      <w:r w:rsidR="003E2F68">
        <w:rPr>
          <w:rFonts w:ascii="Arial" w:hAnsi="Arial" w:cs="Arial"/>
          <w:snapToGrid w:val="0"/>
          <w:sz w:val="22"/>
          <w:szCs w:val="20"/>
        </w:rPr>
        <w:t xml:space="preserve"> wa</w:t>
      </w:r>
      <w:r w:rsidR="00F4606E" w:rsidRPr="00BB296C">
        <w:rPr>
          <w:rFonts w:ascii="Arial" w:hAnsi="Arial" w:cs="Arial"/>
          <w:snapToGrid w:val="0"/>
          <w:sz w:val="22"/>
          <w:szCs w:val="20"/>
        </w:rPr>
        <w:t>s not adequately supported.</w:t>
      </w:r>
    </w:p>
    <w:p w:rsidR="00CE2C77" w:rsidRPr="00A15171" w:rsidRDefault="00CE2C77" w:rsidP="00AD362F">
      <w:pPr>
        <w:numPr>
          <w:ilvl w:val="0"/>
          <w:numId w:val="2"/>
        </w:numPr>
        <w:ind w:left="993" w:hanging="284"/>
        <w:contextualSpacing/>
        <w:jc w:val="both"/>
        <w:rPr>
          <w:rFonts w:ascii="Arial" w:hAnsi="Arial" w:cs="Arial"/>
          <w:snapToGrid w:val="0"/>
          <w:sz w:val="22"/>
          <w:szCs w:val="22"/>
        </w:rPr>
      </w:pPr>
      <w:r w:rsidRPr="006B3B4E">
        <w:rPr>
          <w:rFonts w:ascii="Arial" w:hAnsi="Arial" w:cs="Arial"/>
          <w:snapToGrid w:val="0"/>
          <w:sz w:val="22"/>
          <w:szCs w:val="22"/>
        </w:rPr>
        <w:t xml:space="preserve">The 23vPPV trials </w:t>
      </w:r>
      <w:r w:rsidR="005C0BD3">
        <w:rPr>
          <w:rFonts w:ascii="Arial" w:hAnsi="Arial" w:cs="Arial"/>
          <w:snapToGrid w:val="0"/>
          <w:sz w:val="22"/>
          <w:szCs w:val="22"/>
        </w:rPr>
        <w:t>were</w:t>
      </w:r>
      <w:r w:rsidR="005C0BD3" w:rsidRPr="00A15171">
        <w:rPr>
          <w:rFonts w:ascii="Arial" w:hAnsi="Arial" w:cs="Arial"/>
          <w:snapToGrid w:val="0"/>
          <w:sz w:val="22"/>
          <w:szCs w:val="22"/>
        </w:rPr>
        <w:t xml:space="preserve"> </w:t>
      </w:r>
      <w:r w:rsidRPr="00A15171">
        <w:rPr>
          <w:rFonts w:ascii="Arial" w:hAnsi="Arial" w:cs="Arial"/>
          <w:snapToGrid w:val="0"/>
          <w:sz w:val="22"/>
          <w:szCs w:val="22"/>
        </w:rPr>
        <w:t>substantially underpowered to detect a reduction in the incidence of VT pneumonia.</w:t>
      </w:r>
    </w:p>
    <w:p w:rsidR="00F4606E" w:rsidRPr="006B3B4E" w:rsidRDefault="00CE2C77" w:rsidP="00AD362F">
      <w:pPr>
        <w:numPr>
          <w:ilvl w:val="0"/>
          <w:numId w:val="2"/>
        </w:numPr>
        <w:ind w:left="993" w:hanging="284"/>
        <w:contextualSpacing/>
        <w:jc w:val="both"/>
        <w:rPr>
          <w:rFonts w:ascii="Arial" w:hAnsi="Arial" w:cs="Arial"/>
          <w:snapToGrid w:val="0"/>
          <w:sz w:val="22"/>
          <w:szCs w:val="22"/>
        </w:rPr>
      </w:pPr>
      <w:r w:rsidRPr="00A15171">
        <w:rPr>
          <w:rFonts w:ascii="Arial" w:hAnsi="Arial" w:cs="Arial"/>
          <w:snapToGrid w:val="0"/>
          <w:sz w:val="22"/>
          <w:szCs w:val="22"/>
        </w:rPr>
        <w:t>In 23vPPV naïve subjects</w:t>
      </w:r>
      <w:r w:rsidR="005C0BD3">
        <w:rPr>
          <w:rFonts w:ascii="Arial" w:hAnsi="Arial" w:cs="Arial"/>
          <w:snapToGrid w:val="0"/>
          <w:sz w:val="22"/>
          <w:szCs w:val="22"/>
        </w:rPr>
        <w:t>,</w:t>
      </w:r>
      <w:r w:rsidRPr="00A15171">
        <w:rPr>
          <w:rFonts w:ascii="Arial" w:hAnsi="Arial" w:cs="Arial"/>
          <w:snapToGrid w:val="0"/>
          <w:sz w:val="22"/>
          <w:szCs w:val="22"/>
        </w:rPr>
        <w:t xml:space="preserve"> the incidences of local and systemic </w:t>
      </w:r>
      <w:r w:rsidR="00F374DC">
        <w:rPr>
          <w:rFonts w:ascii="Arial" w:hAnsi="Arial" w:cs="Arial"/>
          <w:snapToGrid w:val="0"/>
          <w:sz w:val="22"/>
          <w:szCs w:val="22"/>
        </w:rPr>
        <w:t>adverse events</w:t>
      </w:r>
      <w:r w:rsidRPr="00A15171">
        <w:rPr>
          <w:rFonts w:ascii="Arial" w:hAnsi="Arial" w:cs="Arial"/>
          <w:snapToGrid w:val="0"/>
          <w:sz w:val="22"/>
          <w:szCs w:val="22"/>
        </w:rPr>
        <w:t xml:space="preserve"> with 13vPCV and 23vPPV were similar.</w:t>
      </w:r>
    </w:p>
    <w:p w:rsidR="00CE2C77" w:rsidRDefault="00CE2C77" w:rsidP="00AD362F">
      <w:pPr>
        <w:ind w:left="720"/>
        <w:contextualSpacing/>
        <w:jc w:val="both"/>
        <w:rPr>
          <w:rFonts w:ascii="Arial" w:hAnsi="Arial" w:cs="Arial"/>
          <w:snapToGrid w:val="0"/>
          <w:sz w:val="22"/>
          <w:szCs w:val="22"/>
        </w:rPr>
      </w:pPr>
    </w:p>
    <w:p w:rsidR="000F57C6" w:rsidRPr="00517B6E" w:rsidRDefault="000F57C6" w:rsidP="00AD362F">
      <w:pPr>
        <w:numPr>
          <w:ilvl w:val="1"/>
          <w:numId w:val="3"/>
        </w:numPr>
        <w:contextualSpacing/>
        <w:jc w:val="both"/>
        <w:rPr>
          <w:rFonts w:ascii="Arial" w:hAnsi="Arial" w:cs="Arial"/>
          <w:snapToGrid w:val="0"/>
          <w:sz w:val="22"/>
          <w:szCs w:val="20"/>
        </w:rPr>
      </w:pPr>
      <w:r w:rsidRPr="00517B6E">
        <w:rPr>
          <w:rFonts w:ascii="Arial" w:hAnsi="Arial" w:cs="Arial"/>
          <w:snapToGrid w:val="0"/>
          <w:sz w:val="22"/>
          <w:szCs w:val="20"/>
        </w:rPr>
        <w:t>The PSCR argued that while ‘an indirect comparison of 13vPCV and 23vPPV was not statistically appropriate’, ‘a qualitative comparison of the results…confirms that 13vPCV is superior to 23vPPV for pneumonia events’.</w:t>
      </w:r>
    </w:p>
    <w:p w:rsidR="00F4606E" w:rsidRPr="00517B6E" w:rsidRDefault="00F4606E" w:rsidP="00AD362F">
      <w:pPr>
        <w:rPr>
          <w:rFonts w:ascii="Arial" w:hAnsi="Arial" w:cs="Arial"/>
          <w:snapToGrid w:val="0"/>
          <w:sz w:val="22"/>
          <w:szCs w:val="20"/>
        </w:rPr>
      </w:pPr>
    </w:p>
    <w:p w:rsidR="00246CBD" w:rsidRPr="005E67AE" w:rsidRDefault="00F4606E" w:rsidP="00200415">
      <w:pPr>
        <w:keepNext/>
        <w:keepLines/>
        <w:numPr>
          <w:ilvl w:val="1"/>
          <w:numId w:val="3"/>
        </w:numPr>
        <w:contextualSpacing/>
        <w:jc w:val="both"/>
        <w:rPr>
          <w:rFonts w:ascii="Arial" w:hAnsi="Arial" w:cs="Arial"/>
          <w:i/>
          <w:snapToGrid w:val="0"/>
          <w:sz w:val="22"/>
          <w:szCs w:val="20"/>
        </w:rPr>
      </w:pPr>
      <w:r w:rsidRPr="00517B6E">
        <w:rPr>
          <w:rFonts w:ascii="Arial" w:hAnsi="Arial" w:cs="Arial"/>
          <w:snapToGrid w:val="0"/>
          <w:sz w:val="22"/>
          <w:szCs w:val="20"/>
        </w:rPr>
        <w:lastRenderedPageBreak/>
        <w:t xml:space="preserve">The submission’s claim of superiority is well supported for VT pneumococcal pneumonia by the CAPiTA study with respect to placebo. However, the claim of superiority against VT pneumococcal pneumonia, compared to 23vPPV, </w:t>
      </w:r>
      <w:r w:rsidR="001474FE">
        <w:rPr>
          <w:rFonts w:ascii="Arial" w:hAnsi="Arial" w:cs="Arial"/>
          <w:snapToGrid w:val="0"/>
          <w:sz w:val="22"/>
          <w:szCs w:val="20"/>
        </w:rPr>
        <w:t>was</w:t>
      </w:r>
      <w:r w:rsidR="001474FE" w:rsidRPr="00517B6E">
        <w:rPr>
          <w:rFonts w:ascii="Arial" w:hAnsi="Arial" w:cs="Arial"/>
          <w:snapToGrid w:val="0"/>
          <w:sz w:val="22"/>
          <w:szCs w:val="20"/>
        </w:rPr>
        <w:t xml:space="preserve"> </w:t>
      </w:r>
      <w:r w:rsidR="001474FE">
        <w:rPr>
          <w:rFonts w:ascii="Arial" w:hAnsi="Arial" w:cs="Arial"/>
          <w:snapToGrid w:val="0"/>
          <w:sz w:val="22"/>
          <w:szCs w:val="20"/>
        </w:rPr>
        <w:t>not</w:t>
      </w:r>
      <w:r w:rsidR="001474FE" w:rsidRPr="00517B6E">
        <w:rPr>
          <w:rFonts w:ascii="Arial" w:hAnsi="Arial" w:cs="Arial"/>
          <w:snapToGrid w:val="0"/>
          <w:sz w:val="22"/>
          <w:szCs w:val="20"/>
        </w:rPr>
        <w:t xml:space="preserve"> </w:t>
      </w:r>
      <w:r w:rsidRPr="00517B6E">
        <w:rPr>
          <w:rFonts w:ascii="Arial" w:hAnsi="Arial" w:cs="Arial"/>
          <w:snapToGrid w:val="0"/>
          <w:sz w:val="22"/>
          <w:szCs w:val="20"/>
        </w:rPr>
        <w:t>well supported. Although 23vPPV appears to be effective against IPD, 23vPPV has no clear</w:t>
      </w:r>
      <w:r w:rsidR="005C77AA">
        <w:rPr>
          <w:rFonts w:ascii="Arial" w:hAnsi="Arial" w:cs="Arial"/>
          <w:snapToGrid w:val="0"/>
          <w:sz w:val="22"/>
          <w:szCs w:val="20"/>
        </w:rPr>
        <w:t>ly demonstrated</w:t>
      </w:r>
      <w:r w:rsidRPr="00517B6E">
        <w:rPr>
          <w:rFonts w:ascii="Arial" w:hAnsi="Arial" w:cs="Arial"/>
          <w:snapToGrid w:val="0"/>
          <w:sz w:val="22"/>
          <w:szCs w:val="20"/>
        </w:rPr>
        <w:t xml:space="preserve"> effect against VT pneumococcal pneumonia. The ESC acknowledged that it was difficult for the submission to demonstrate superior efficacy</w:t>
      </w:r>
      <w:r w:rsidRPr="00F4606E">
        <w:rPr>
          <w:rFonts w:ascii="Arial" w:hAnsi="Arial" w:cs="Arial"/>
          <w:i/>
          <w:snapToGrid w:val="0"/>
          <w:sz w:val="22"/>
          <w:szCs w:val="20"/>
        </w:rPr>
        <w:t xml:space="preserve"> </w:t>
      </w:r>
      <w:r w:rsidRPr="00517B6E">
        <w:rPr>
          <w:rFonts w:ascii="Arial" w:hAnsi="Arial" w:cs="Arial"/>
          <w:snapToGrid w:val="0"/>
          <w:sz w:val="22"/>
          <w:szCs w:val="20"/>
        </w:rPr>
        <w:t>against 23vPPV for VT pneumococcal pneumonia due to the lack of evidence of the efficacy of 23vPPV.</w:t>
      </w:r>
      <w:r w:rsidR="001474FE">
        <w:rPr>
          <w:rFonts w:ascii="Arial" w:hAnsi="Arial" w:cs="Arial"/>
          <w:snapToGrid w:val="0"/>
          <w:sz w:val="22"/>
          <w:szCs w:val="20"/>
        </w:rPr>
        <w:t xml:space="preserve"> </w:t>
      </w:r>
    </w:p>
    <w:p w:rsidR="000F51D4" w:rsidRDefault="000F51D4" w:rsidP="005E67AE">
      <w:pPr>
        <w:pStyle w:val="ListParagraph"/>
        <w:rPr>
          <w:rFonts w:ascii="Arial" w:hAnsi="Arial" w:cs="Arial"/>
          <w:i/>
          <w:snapToGrid w:val="0"/>
          <w:sz w:val="22"/>
          <w:szCs w:val="20"/>
        </w:rPr>
      </w:pPr>
    </w:p>
    <w:p w:rsidR="000F51D4" w:rsidRPr="000F51D4" w:rsidRDefault="000F51D4" w:rsidP="00AD362F">
      <w:pPr>
        <w:numPr>
          <w:ilvl w:val="1"/>
          <w:numId w:val="3"/>
        </w:numPr>
        <w:contextualSpacing/>
        <w:jc w:val="both"/>
        <w:rPr>
          <w:rFonts w:ascii="Arial" w:hAnsi="Arial" w:cs="Arial"/>
          <w:snapToGrid w:val="0"/>
          <w:sz w:val="22"/>
          <w:szCs w:val="20"/>
        </w:rPr>
      </w:pPr>
      <w:r>
        <w:rPr>
          <w:rFonts w:ascii="Arial" w:hAnsi="Arial" w:cs="Arial"/>
          <w:snapToGrid w:val="0"/>
          <w:sz w:val="22"/>
          <w:szCs w:val="20"/>
        </w:rPr>
        <w:t>While noting the limitations in the available evidence for 23vPPV, t</w:t>
      </w:r>
      <w:r w:rsidRPr="005E67AE">
        <w:rPr>
          <w:rFonts w:ascii="Arial" w:hAnsi="Arial" w:cs="Arial"/>
          <w:snapToGrid w:val="0"/>
          <w:sz w:val="22"/>
          <w:szCs w:val="20"/>
        </w:rPr>
        <w:t xml:space="preserve">he </w:t>
      </w:r>
      <w:r>
        <w:rPr>
          <w:rFonts w:ascii="Arial" w:hAnsi="Arial" w:cs="Arial"/>
          <w:snapToGrid w:val="0"/>
          <w:sz w:val="22"/>
          <w:szCs w:val="20"/>
        </w:rPr>
        <w:t xml:space="preserve">PBAC considered </w:t>
      </w:r>
      <w:r>
        <w:rPr>
          <w:rFonts w:ascii="Arial" w:hAnsi="Arial" w:cs="Arial"/>
          <w:snapToGrid w:val="0"/>
          <w:sz w:val="22"/>
          <w:szCs w:val="22"/>
        </w:rPr>
        <w:t>that 13vPCV is likely to be superior to 23vPPV in terms of prevention of VT pneumonia</w:t>
      </w:r>
      <w:r w:rsidRPr="000D64F3">
        <w:rPr>
          <w:rFonts w:ascii="Arial" w:hAnsi="Arial" w:cs="Arial"/>
          <w:snapToGrid w:val="0"/>
          <w:sz w:val="22"/>
          <w:szCs w:val="22"/>
        </w:rPr>
        <w:t>.</w:t>
      </w:r>
      <w:r>
        <w:rPr>
          <w:rFonts w:ascii="Arial" w:hAnsi="Arial" w:cs="Arial"/>
          <w:snapToGrid w:val="0"/>
          <w:sz w:val="22"/>
          <w:szCs w:val="22"/>
        </w:rPr>
        <w:t xml:space="preserve"> The PBAC considered that the magnitude of superiority, however, was unclear. </w:t>
      </w:r>
    </w:p>
    <w:p w:rsidR="000F51D4" w:rsidRDefault="000F51D4" w:rsidP="005E67AE">
      <w:pPr>
        <w:pStyle w:val="ListParagraph"/>
        <w:rPr>
          <w:rFonts w:ascii="Arial" w:hAnsi="Arial" w:cs="Arial"/>
          <w:snapToGrid w:val="0"/>
          <w:sz w:val="22"/>
          <w:szCs w:val="22"/>
        </w:rPr>
      </w:pPr>
    </w:p>
    <w:p w:rsidR="000F51D4" w:rsidRPr="005E67AE" w:rsidRDefault="000F51D4" w:rsidP="00AD362F">
      <w:pPr>
        <w:numPr>
          <w:ilvl w:val="1"/>
          <w:numId w:val="3"/>
        </w:numPr>
        <w:contextualSpacing/>
        <w:jc w:val="both"/>
        <w:rPr>
          <w:rFonts w:ascii="Arial" w:hAnsi="Arial" w:cs="Arial"/>
          <w:snapToGrid w:val="0"/>
          <w:sz w:val="22"/>
          <w:szCs w:val="20"/>
        </w:rPr>
      </w:pPr>
      <w:r>
        <w:rPr>
          <w:rFonts w:ascii="Arial" w:hAnsi="Arial" w:cs="Arial"/>
          <w:snapToGrid w:val="0"/>
          <w:sz w:val="22"/>
          <w:szCs w:val="22"/>
        </w:rPr>
        <w:t xml:space="preserve">The claims of superiority of persistence of vaccine efficacy and comparative safety, however, were not adequately supported. </w:t>
      </w:r>
    </w:p>
    <w:p w:rsidR="000F57C6" w:rsidRDefault="000F57C6" w:rsidP="00AD362F">
      <w:pPr>
        <w:ind w:left="720"/>
        <w:contextualSpacing/>
        <w:jc w:val="both"/>
        <w:rPr>
          <w:rFonts w:ascii="Arial" w:hAnsi="Arial" w:cs="Arial"/>
          <w:snapToGrid w:val="0"/>
          <w:sz w:val="22"/>
          <w:szCs w:val="22"/>
        </w:rPr>
      </w:pPr>
    </w:p>
    <w:p w:rsidR="00EF2AFE" w:rsidRPr="00EF2AFE" w:rsidRDefault="00EF2AFE" w:rsidP="005E67AE">
      <w:pPr>
        <w:ind w:left="709"/>
        <w:contextualSpacing/>
        <w:jc w:val="both"/>
        <w:rPr>
          <w:rFonts w:ascii="Arial" w:hAnsi="Arial" w:cs="Arial"/>
          <w:i/>
          <w:snapToGrid w:val="0"/>
          <w:sz w:val="22"/>
          <w:szCs w:val="22"/>
        </w:rPr>
      </w:pPr>
      <w:r w:rsidRPr="00EF2AFE">
        <w:rPr>
          <w:rFonts w:ascii="Arial" w:hAnsi="Arial" w:cs="Arial"/>
          <w:i/>
          <w:snapToGrid w:val="0"/>
          <w:sz w:val="22"/>
          <w:szCs w:val="22"/>
        </w:rPr>
        <w:t>For more detail on PBAC’s view, see section 7 “PBAC outcome”</w:t>
      </w:r>
    </w:p>
    <w:p w:rsidR="00EF2AFE" w:rsidRPr="00CE2C77" w:rsidRDefault="00EF2AFE" w:rsidP="00AD362F">
      <w:pPr>
        <w:ind w:left="720"/>
        <w:contextualSpacing/>
        <w:jc w:val="both"/>
        <w:rPr>
          <w:rFonts w:ascii="Arial" w:hAnsi="Arial" w:cs="Arial"/>
          <w:snapToGrid w:val="0"/>
          <w:sz w:val="22"/>
          <w:szCs w:val="22"/>
        </w:rPr>
      </w:pPr>
    </w:p>
    <w:p w:rsidR="00CE2C77" w:rsidRPr="00947361" w:rsidRDefault="00CE2C77" w:rsidP="005125B6">
      <w:pPr>
        <w:pStyle w:val="Heading2"/>
      </w:pPr>
      <w:bookmarkStart w:id="12" w:name="_Toc409513710"/>
      <w:r w:rsidRPr="00947361">
        <w:t>Economic analysis</w:t>
      </w:r>
      <w:bookmarkEnd w:id="12"/>
      <w:r w:rsidRPr="00947361">
        <w:t xml:space="preserve"> </w:t>
      </w:r>
    </w:p>
    <w:p w:rsidR="00CE2C77" w:rsidRPr="00CE2C77" w:rsidRDefault="00CE2C77" w:rsidP="00AD362F">
      <w:pPr>
        <w:keepNext/>
        <w:ind w:left="720" w:hanging="720"/>
        <w:jc w:val="both"/>
        <w:rPr>
          <w:rFonts w:ascii="Arial" w:hAnsi="Arial" w:cs="Arial"/>
          <w:snapToGrid w:val="0"/>
          <w:sz w:val="22"/>
          <w:szCs w:val="22"/>
        </w:rPr>
      </w:pPr>
    </w:p>
    <w:p w:rsidR="00CE2C77" w:rsidRPr="00CE2C77" w:rsidRDefault="00F10871" w:rsidP="00AD362F">
      <w:pPr>
        <w:numPr>
          <w:ilvl w:val="1"/>
          <w:numId w:val="3"/>
        </w:numPr>
        <w:contextualSpacing/>
        <w:jc w:val="both"/>
        <w:rPr>
          <w:rFonts w:ascii="Arial" w:hAnsi="Arial" w:cs="Arial"/>
          <w:snapToGrid w:val="0"/>
          <w:sz w:val="22"/>
          <w:szCs w:val="22"/>
        </w:rPr>
      </w:pPr>
      <w:r>
        <w:rPr>
          <w:rFonts w:ascii="Arial" w:hAnsi="Arial" w:cs="Arial"/>
          <w:snapToGrid w:val="0"/>
          <w:sz w:val="22"/>
          <w:szCs w:val="22"/>
        </w:rPr>
        <w:t>The submission presented c</w:t>
      </w:r>
      <w:r w:rsidR="00CE2C77" w:rsidRPr="00CE2C77">
        <w:rPr>
          <w:rFonts w:ascii="Arial" w:hAnsi="Arial" w:cs="Arial"/>
          <w:snapToGrid w:val="0"/>
          <w:sz w:val="22"/>
          <w:szCs w:val="22"/>
        </w:rPr>
        <w:t>ost-effectiveness analyses for the primary program (non</w:t>
      </w:r>
      <w:r w:rsidR="00586714">
        <w:rPr>
          <w:rFonts w:ascii="Arial" w:hAnsi="Arial" w:cs="Arial"/>
          <w:snapToGrid w:val="0"/>
          <w:sz w:val="22"/>
          <w:szCs w:val="22"/>
        </w:rPr>
        <w:noBreakHyphen/>
      </w:r>
      <w:r w:rsidR="00CE2C77" w:rsidRPr="00CE2C77">
        <w:rPr>
          <w:rFonts w:ascii="Arial" w:hAnsi="Arial" w:cs="Arial"/>
          <w:snapToGrid w:val="0"/>
          <w:sz w:val="22"/>
          <w:szCs w:val="22"/>
        </w:rPr>
        <w:t>Indigenous adults aged 65 years) and catch-up program (non</w:t>
      </w:r>
      <w:r w:rsidR="005C0BD3">
        <w:rPr>
          <w:rFonts w:ascii="Arial" w:hAnsi="Arial" w:cs="Arial"/>
          <w:snapToGrid w:val="0"/>
          <w:sz w:val="22"/>
          <w:szCs w:val="22"/>
        </w:rPr>
        <w:noBreakHyphen/>
      </w:r>
      <w:r w:rsidR="00CE2C77" w:rsidRPr="00CE2C77">
        <w:rPr>
          <w:rFonts w:ascii="Arial" w:hAnsi="Arial" w:cs="Arial"/>
          <w:snapToGrid w:val="0"/>
          <w:sz w:val="22"/>
          <w:szCs w:val="22"/>
        </w:rPr>
        <w:t xml:space="preserve">Indigenous adults aged </w:t>
      </w:r>
      <w:r w:rsidR="00CE2C77" w:rsidRPr="00517B6E">
        <w:rPr>
          <w:rFonts w:ascii="Arial" w:hAnsi="Arial" w:cs="Arial"/>
          <w:snapToGrid w:val="0"/>
          <w:sz w:val="22"/>
          <w:szCs w:val="22"/>
        </w:rPr>
        <w:t>70-84 years)</w:t>
      </w:r>
      <w:r w:rsidRPr="00517B6E">
        <w:rPr>
          <w:rFonts w:ascii="Arial" w:hAnsi="Arial" w:cs="Arial"/>
          <w:snapToGrid w:val="0"/>
          <w:sz w:val="22"/>
          <w:szCs w:val="22"/>
        </w:rPr>
        <w:t xml:space="preserve"> with the outcome being cost per life year</w:t>
      </w:r>
      <w:r w:rsidR="00396B86" w:rsidRPr="00517B6E">
        <w:rPr>
          <w:rFonts w:ascii="Arial" w:hAnsi="Arial" w:cs="Arial"/>
          <w:snapToGrid w:val="0"/>
          <w:sz w:val="22"/>
          <w:szCs w:val="22"/>
        </w:rPr>
        <w:t xml:space="preserve"> (LY)</w:t>
      </w:r>
      <w:r w:rsidRPr="00517B6E">
        <w:rPr>
          <w:rFonts w:ascii="Arial" w:hAnsi="Arial" w:cs="Arial"/>
          <w:snapToGrid w:val="0"/>
          <w:sz w:val="22"/>
          <w:szCs w:val="22"/>
        </w:rPr>
        <w:t xml:space="preserve"> saved</w:t>
      </w:r>
      <w:r w:rsidR="00CE2C77" w:rsidRPr="00517B6E">
        <w:rPr>
          <w:rFonts w:ascii="Arial" w:hAnsi="Arial" w:cs="Arial"/>
          <w:snapToGrid w:val="0"/>
          <w:sz w:val="22"/>
          <w:szCs w:val="22"/>
        </w:rPr>
        <w:t>.</w:t>
      </w:r>
      <w:r w:rsidRPr="00517B6E">
        <w:rPr>
          <w:rFonts w:ascii="Arial" w:hAnsi="Arial" w:cs="Arial"/>
          <w:snapToGrid w:val="0"/>
          <w:sz w:val="22"/>
          <w:szCs w:val="22"/>
        </w:rPr>
        <w:t xml:space="preserve"> The submission also presented a secondary economic analysis with an outcome of </w:t>
      </w:r>
      <w:r w:rsidR="00396B86" w:rsidRPr="00517B6E">
        <w:rPr>
          <w:rFonts w:ascii="Arial" w:hAnsi="Arial" w:cs="Arial"/>
          <w:snapToGrid w:val="0"/>
          <w:sz w:val="22"/>
          <w:szCs w:val="22"/>
        </w:rPr>
        <w:t>cost per QALY saved. The submission applied zero utility penalties to the alive state.</w:t>
      </w:r>
    </w:p>
    <w:p w:rsidR="00CE2C77" w:rsidRPr="00CE2C77" w:rsidRDefault="00CE2C77" w:rsidP="00AD362F">
      <w:pPr>
        <w:jc w:val="both"/>
        <w:rPr>
          <w:rFonts w:ascii="Arial" w:hAnsi="Arial" w:cs="Arial"/>
          <w:snapToGrid w:val="0"/>
          <w:sz w:val="22"/>
          <w:szCs w:val="22"/>
        </w:rPr>
      </w:pPr>
    </w:p>
    <w:p w:rsidR="00CE2C77" w:rsidRPr="00CE2C77" w:rsidRDefault="00CE2C77" w:rsidP="00AD362F">
      <w:pPr>
        <w:ind w:firstLine="720"/>
        <w:jc w:val="both"/>
        <w:rPr>
          <w:rFonts w:ascii="Arial Narrow" w:hAnsi="Arial Narrow" w:cs="Arial"/>
          <w:b/>
          <w:snapToGrid w:val="0"/>
          <w:sz w:val="20"/>
          <w:szCs w:val="16"/>
        </w:rPr>
      </w:pPr>
      <w:r w:rsidRPr="00CE2C77">
        <w:rPr>
          <w:rFonts w:ascii="Arial Narrow" w:hAnsi="Arial Narrow" w:cs="Arial"/>
          <w:b/>
          <w:snapToGrid w:val="0"/>
          <w:sz w:val="20"/>
          <w:szCs w:val="16"/>
        </w:rPr>
        <w:t>Summary of model structure and rationale</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Summary of economic model structure"/>
      </w:tblPr>
      <w:tblGrid>
        <w:gridCol w:w="2552"/>
        <w:gridCol w:w="5793"/>
      </w:tblGrid>
      <w:tr w:rsidR="00CE2C77" w:rsidRPr="00CE2C77" w:rsidTr="00CE2C77">
        <w:trPr>
          <w:tblHeader/>
        </w:trPr>
        <w:tc>
          <w:tcPr>
            <w:tcW w:w="1529" w:type="pct"/>
            <w:shd w:val="clear" w:color="auto" w:fill="auto"/>
            <w:vAlign w:val="center"/>
          </w:tcPr>
          <w:p w:rsidR="00CE2C77" w:rsidRPr="00CE2C77" w:rsidRDefault="00CE2C77" w:rsidP="00AD362F">
            <w:pPr>
              <w:rPr>
                <w:rFonts w:ascii="Arial Narrow" w:hAnsi="Arial Narrow" w:cs="Arial"/>
                <w:b/>
                <w:snapToGrid w:val="0"/>
                <w:sz w:val="20"/>
                <w:szCs w:val="20"/>
              </w:rPr>
            </w:pPr>
            <w:r w:rsidRPr="00CE2C77">
              <w:rPr>
                <w:rFonts w:ascii="Arial Narrow" w:hAnsi="Arial Narrow" w:cs="Arial"/>
                <w:b/>
                <w:snapToGrid w:val="0"/>
                <w:sz w:val="20"/>
                <w:szCs w:val="20"/>
              </w:rPr>
              <w:t>Component</w:t>
            </w:r>
          </w:p>
        </w:tc>
        <w:tc>
          <w:tcPr>
            <w:tcW w:w="3471" w:type="pct"/>
            <w:shd w:val="clear" w:color="auto" w:fill="auto"/>
            <w:vAlign w:val="center"/>
          </w:tcPr>
          <w:p w:rsidR="00CE2C77" w:rsidRPr="00CE2C77" w:rsidRDefault="00CE2C77" w:rsidP="00AD362F">
            <w:pPr>
              <w:jc w:val="center"/>
              <w:rPr>
                <w:rFonts w:ascii="Arial Narrow" w:hAnsi="Arial Narrow" w:cs="Arial"/>
                <w:b/>
                <w:snapToGrid w:val="0"/>
                <w:sz w:val="20"/>
                <w:szCs w:val="20"/>
              </w:rPr>
            </w:pPr>
            <w:r w:rsidRPr="00CE2C77">
              <w:rPr>
                <w:rFonts w:ascii="Arial Narrow" w:hAnsi="Arial Narrow" w:cs="Arial"/>
                <w:b/>
                <w:snapToGrid w:val="0"/>
                <w:sz w:val="20"/>
                <w:szCs w:val="20"/>
              </w:rPr>
              <w:t>Summary</w:t>
            </w:r>
          </w:p>
        </w:tc>
      </w:tr>
      <w:tr w:rsidR="00CE2C77" w:rsidRPr="00CE2C77" w:rsidTr="00CE2C77">
        <w:tc>
          <w:tcPr>
            <w:tcW w:w="1529" w:type="pct"/>
            <w:shd w:val="clear" w:color="auto" w:fill="auto"/>
            <w:vAlign w:val="center"/>
          </w:tcPr>
          <w:p w:rsidR="00CE2C77" w:rsidRPr="00CE2C77" w:rsidRDefault="00CE2C77" w:rsidP="00AD362F">
            <w:pPr>
              <w:rPr>
                <w:rFonts w:ascii="Arial Narrow" w:hAnsi="Arial Narrow" w:cs="Arial"/>
                <w:snapToGrid w:val="0"/>
                <w:sz w:val="20"/>
                <w:szCs w:val="20"/>
              </w:rPr>
            </w:pPr>
            <w:r w:rsidRPr="00CE2C77">
              <w:rPr>
                <w:rFonts w:ascii="Arial Narrow" w:hAnsi="Arial Narrow" w:cs="Arial"/>
                <w:snapToGrid w:val="0"/>
                <w:sz w:val="20"/>
                <w:szCs w:val="20"/>
              </w:rPr>
              <w:t>Time horizon</w:t>
            </w:r>
          </w:p>
        </w:tc>
        <w:tc>
          <w:tcPr>
            <w:tcW w:w="3471" w:type="pct"/>
            <w:shd w:val="clear" w:color="auto" w:fill="auto"/>
          </w:tcPr>
          <w:p w:rsidR="00CE2C77" w:rsidRPr="00CE2C77" w:rsidRDefault="00CE2C77" w:rsidP="00AD362F">
            <w:pPr>
              <w:keepNext/>
              <w:jc w:val="both"/>
              <w:rPr>
                <w:rFonts w:ascii="Arial Narrow" w:hAnsi="Arial Narrow" w:cs="Arial"/>
                <w:snapToGrid w:val="0"/>
                <w:sz w:val="20"/>
                <w:szCs w:val="20"/>
              </w:rPr>
            </w:pPr>
            <w:r w:rsidRPr="00CE2C77">
              <w:rPr>
                <w:rFonts w:ascii="Arial Narrow" w:hAnsi="Arial Narrow" w:cs="Arial"/>
                <w:snapToGrid w:val="0"/>
                <w:sz w:val="20"/>
                <w:szCs w:val="20"/>
              </w:rPr>
              <w:t>Primary prevention model: 20 years vs 2-4 years in trials</w:t>
            </w:r>
          </w:p>
          <w:p w:rsidR="00CE2C77" w:rsidRPr="00CE2C77" w:rsidRDefault="00CE2C77" w:rsidP="00AD362F">
            <w:pPr>
              <w:keepNext/>
              <w:jc w:val="both"/>
              <w:rPr>
                <w:rFonts w:ascii="Arial Narrow" w:hAnsi="Arial Narrow" w:cs="Arial"/>
                <w:snapToGrid w:val="0"/>
                <w:sz w:val="20"/>
                <w:szCs w:val="20"/>
              </w:rPr>
            </w:pPr>
            <w:r w:rsidRPr="00CE2C77">
              <w:rPr>
                <w:rFonts w:ascii="Arial Narrow" w:hAnsi="Arial Narrow" w:cs="Arial"/>
                <w:snapToGrid w:val="0"/>
                <w:sz w:val="20"/>
                <w:szCs w:val="20"/>
              </w:rPr>
              <w:t>Catch-up model: ≤13 years vs  4 years in the trial</w:t>
            </w:r>
          </w:p>
        </w:tc>
      </w:tr>
      <w:tr w:rsidR="00CE2C77" w:rsidRPr="00CE2C77" w:rsidTr="00CE2C77">
        <w:tc>
          <w:tcPr>
            <w:tcW w:w="1529" w:type="pct"/>
            <w:shd w:val="clear" w:color="auto" w:fill="auto"/>
            <w:vAlign w:val="center"/>
          </w:tcPr>
          <w:p w:rsidR="00CE2C77" w:rsidRPr="00CE2C77" w:rsidRDefault="00CE2C77" w:rsidP="00AD362F">
            <w:pPr>
              <w:rPr>
                <w:rFonts w:ascii="Arial Narrow" w:hAnsi="Arial Narrow" w:cs="Arial"/>
                <w:snapToGrid w:val="0"/>
                <w:sz w:val="20"/>
                <w:szCs w:val="20"/>
              </w:rPr>
            </w:pPr>
            <w:r w:rsidRPr="00CE2C77">
              <w:rPr>
                <w:rFonts w:ascii="Arial Narrow" w:hAnsi="Arial Narrow" w:cs="Arial"/>
                <w:snapToGrid w:val="0"/>
                <w:sz w:val="20"/>
                <w:szCs w:val="20"/>
              </w:rPr>
              <w:t>Outcomes</w:t>
            </w:r>
          </w:p>
        </w:tc>
        <w:tc>
          <w:tcPr>
            <w:tcW w:w="3471" w:type="pct"/>
            <w:shd w:val="clear" w:color="auto" w:fill="auto"/>
          </w:tcPr>
          <w:p w:rsidR="00CE2C77" w:rsidRPr="00CE2C77" w:rsidRDefault="00CE2C77" w:rsidP="00AD362F">
            <w:pPr>
              <w:keepNext/>
              <w:jc w:val="both"/>
              <w:rPr>
                <w:rFonts w:ascii="Arial Narrow" w:hAnsi="Arial Narrow" w:cs="Arial"/>
                <w:snapToGrid w:val="0"/>
                <w:sz w:val="20"/>
                <w:szCs w:val="20"/>
              </w:rPr>
            </w:pPr>
            <w:r w:rsidRPr="00CE2C77">
              <w:rPr>
                <w:rFonts w:ascii="Arial Narrow" w:hAnsi="Arial Narrow" w:cs="Arial"/>
                <w:snapToGrid w:val="0"/>
                <w:sz w:val="20"/>
                <w:szCs w:val="20"/>
              </w:rPr>
              <w:t>LY gained</w:t>
            </w:r>
          </w:p>
        </w:tc>
      </w:tr>
      <w:tr w:rsidR="00CE2C77" w:rsidRPr="00CE2C77" w:rsidTr="00CE2C77">
        <w:tc>
          <w:tcPr>
            <w:tcW w:w="1529" w:type="pct"/>
            <w:shd w:val="clear" w:color="auto" w:fill="auto"/>
            <w:vAlign w:val="center"/>
          </w:tcPr>
          <w:p w:rsidR="00CE2C77" w:rsidRPr="00CE2C77" w:rsidRDefault="00CE2C77" w:rsidP="00AD362F">
            <w:pPr>
              <w:rPr>
                <w:rFonts w:ascii="Arial Narrow" w:hAnsi="Arial Narrow" w:cs="Arial"/>
                <w:snapToGrid w:val="0"/>
                <w:sz w:val="20"/>
                <w:szCs w:val="20"/>
              </w:rPr>
            </w:pPr>
            <w:r w:rsidRPr="00CE2C77">
              <w:rPr>
                <w:rFonts w:ascii="Arial Narrow" w:hAnsi="Arial Narrow" w:cs="Arial"/>
                <w:snapToGrid w:val="0"/>
                <w:sz w:val="20"/>
                <w:szCs w:val="20"/>
              </w:rPr>
              <w:t>Methods used to generate results</w:t>
            </w:r>
          </w:p>
        </w:tc>
        <w:tc>
          <w:tcPr>
            <w:tcW w:w="3471" w:type="pct"/>
            <w:shd w:val="clear" w:color="auto" w:fill="auto"/>
          </w:tcPr>
          <w:p w:rsidR="00CE2C77" w:rsidRPr="00CE2C77" w:rsidRDefault="00CE2C77" w:rsidP="00AD362F">
            <w:pPr>
              <w:keepNext/>
              <w:jc w:val="both"/>
              <w:rPr>
                <w:rFonts w:ascii="Arial Narrow" w:hAnsi="Arial Narrow" w:cs="Arial"/>
                <w:snapToGrid w:val="0"/>
                <w:color w:val="3366FF"/>
                <w:sz w:val="20"/>
                <w:szCs w:val="20"/>
              </w:rPr>
            </w:pPr>
            <w:r w:rsidRPr="00CE2C77">
              <w:rPr>
                <w:rFonts w:ascii="Arial Narrow" w:hAnsi="Arial Narrow" w:cs="Arial"/>
                <w:snapToGrid w:val="0"/>
                <w:sz w:val="20"/>
                <w:szCs w:val="20"/>
              </w:rPr>
              <w:t>Cohort expected value analysis</w:t>
            </w:r>
          </w:p>
        </w:tc>
      </w:tr>
      <w:tr w:rsidR="00CE2C77" w:rsidRPr="00CE2C77" w:rsidTr="00CE2C77">
        <w:tc>
          <w:tcPr>
            <w:tcW w:w="1529" w:type="pct"/>
            <w:shd w:val="clear" w:color="auto" w:fill="auto"/>
            <w:vAlign w:val="center"/>
          </w:tcPr>
          <w:p w:rsidR="00CE2C77" w:rsidRPr="00CE2C77" w:rsidRDefault="00CE2C77" w:rsidP="00AD362F">
            <w:pPr>
              <w:rPr>
                <w:rFonts w:ascii="Arial Narrow" w:hAnsi="Arial Narrow" w:cs="Arial"/>
                <w:snapToGrid w:val="0"/>
                <w:sz w:val="20"/>
                <w:szCs w:val="20"/>
              </w:rPr>
            </w:pPr>
            <w:r w:rsidRPr="00CE2C77">
              <w:rPr>
                <w:rFonts w:ascii="Arial Narrow" w:hAnsi="Arial Narrow" w:cs="Arial"/>
                <w:snapToGrid w:val="0"/>
                <w:sz w:val="20"/>
                <w:szCs w:val="20"/>
              </w:rPr>
              <w:t>Health states</w:t>
            </w:r>
          </w:p>
        </w:tc>
        <w:tc>
          <w:tcPr>
            <w:tcW w:w="3471" w:type="pct"/>
            <w:shd w:val="clear" w:color="auto" w:fill="auto"/>
          </w:tcPr>
          <w:p w:rsidR="00CE2C77" w:rsidRPr="00CE2C77" w:rsidRDefault="00CE2C77" w:rsidP="00AD362F">
            <w:pPr>
              <w:keepNext/>
              <w:jc w:val="both"/>
              <w:rPr>
                <w:rFonts w:ascii="Arial Narrow" w:hAnsi="Arial Narrow" w:cs="Arial"/>
                <w:snapToGrid w:val="0"/>
                <w:sz w:val="20"/>
                <w:szCs w:val="20"/>
              </w:rPr>
            </w:pPr>
            <w:r w:rsidRPr="00CE2C77">
              <w:rPr>
                <w:rFonts w:ascii="Arial Narrow" w:hAnsi="Arial Narrow" w:cs="Arial"/>
                <w:snapToGrid w:val="0"/>
                <w:sz w:val="20"/>
                <w:szCs w:val="20"/>
              </w:rPr>
              <w:t>Alive, no meningitis complications; Alive meningitis complications</w:t>
            </w:r>
            <w:r w:rsidRPr="00CE2C77">
              <w:rPr>
                <w:rFonts w:ascii="Arial Narrow" w:hAnsi="Arial Narrow" w:cs="Arial"/>
                <w:snapToGrid w:val="0"/>
                <w:sz w:val="20"/>
                <w:szCs w:val="20"/>
                <w:vertAlign w:val="superscript"/>
              </w:rPr>
              <w:t>a</w:t>
            </w:r>
            <w:r w:rsidRPr="00CE2C77">
              <w:rPr>
                <w:rFonts w:ascii="Arial Narrow" w:hAnsi="Arial Narrow" w:cs="Arial"/>
                <w:snapToGrid w:val="0"/>
                <w:sz w:val="20"/>
                <w:szCs w:val="20"/>
              </w:rPr>
              <w:t>; Dead</w:t>
            </w:r>
          </w:p>
        </w:tc>
      </w:tr>
      <w:tr w:rsidR="00CE2C77" w:rsidRPr="00CE2C77" w:rsidTr="00CE2C77">
        <w:tc>
          <w:tcPr>
            <w:tcW w:w="1529" w:type="pct"/>
            <w:shd w:val="clear" w:color="auto" w:fill="auto"/>
            <w:vAlign w:val="center"/>
          </w:tcPr>
          <w:p w:rsidR="00CE2C77" w:rsidRPr="00CE2C77" w:rsidRDefault="00CE2C77" w:rsidP="00AD362F">
            <w:pPr>
              <w:rPr>
                <w:rFonts w:ascii="Arial Narrow" w:hAnsi="Arial Narrow" w:cs="Arial"/>
                <w:snapToGrid w:val="0"/>
                <w:sz w:val="20"/>
                <w:szCs w:val="20"/>
              </w:rPr>
            </w:pPr>
            <w:r w:rsidRPr="00CE2C77">
              <w:rPr>
                <w:rFonts w:ascii="Arial Narrow" w:hAnsi="Arial Narrow" w:cs="Arial"/>
                <w:snapToGrid w:val="0"/>
                <w:sz w:val="20"/>
                <w:szCs w:val="20"/>
              </w:rPr>
              <w:t>Events modelled</w:t>
            </w:r>
          </w:p>
        </w:tc>
        <w:tc>
          <w:tcPr>
            <w:tcW w:w="3471" w:type="pct"/>
            <w:shd w:val="clear" w:color="auto" w:fill="auto"/>
          </w:tcPr>
          <w:p w:rsidR="00CE2C77" w:rsidRPr="00CE2C77" w:rsidRDefault="00CE2C77" w:rsidP="00AD362F">
            <w:pPr>
              <w:keepNext/>
              <w:rPr>
                <w:rFonts w:ascii="Arial Narrow" w:hAnsi="Arial Narrow" w:cs="Arial"/>
                <w:snapToGrid w:val="0"/>
                <w:sz w:val="20"/>
                <w:szCs w:val="20"/>
              </w:rPr>
            </w:pPr>
            <w:r w:rsidRPr="00CE2C77">
              <w:rPr>
                <w:rFonts w:ascii="Arial Narrow" w:hAnsi="Arial Narrow" w:cs="Arial"/>
                <w:snapToGrid w:val="0"/>
                <w:sz w:val="20"/>
                <w:szCs w:val="20"/>
              </w:rPr>
              <w:t>IPD (bacteraemia; meningitis); Hospital treated pneumonia; GP treated pneumonia</w:t>
            </w:r>
          </w:p>
        </w:tc>
      </w:tr>
      <w:tr w:rsidR="00CE2C77" w:rsidRPr="00CE2C77" w:rsidTr="00CE2C77">
        <w:tc>
          <w:tcPr>
            <w:tcW w:w="1529" w:type="pct"/>
            <w:shd w:val="clear" w:color="auto" w:fill="auto"/>
            <w:vAlign w:val="center"/>
          </w:tcPr>
          <w:p w:rsidR="00CE2C77" w:rsidRPr="00CE2C77" w:rsidRDefault="00CE2C77" w:rsidP="00AD362F">
            <w:pPr>
              <w:rPr>
                <w:rFonts w:ascii="Arial Narrow" w:hAnsi="Arial Narrow" w:cs="Arial"/>
                <w:snapToGrid w:val="0"/>
                <w:sz w:val="20"/>
                <w:szCs w:val="20"/>
              </w:rPr>
            </w:pPr>
            <w:r w:rsidRPr="00CE2C77">
              <w:rPr>
                <w:rFonts w:ascii="Arial Narrow" w:hAnsi="Arial Narrow" w:cs="Arial"/>
                <w:snapToGrid w:val="0"/>
                <w:sz w:val="20"/>
                <w:szCs w:val="20"/>
              </w:rPr>
              <w:t>Cycle length</w:t>
            </w:r>
          </w:p>
        </w:tc>
        <w:tc>
          <w:tcPr>
            <w:tcW w:w="3471" w:type="pct"/>
            <w:shd w:val="clear" w:color="auto" w:fill="auto"/>
          </w:tcPr>
          <w:p w:rsidR="00CE2C77" w:rsidRPr="00CE2C77" w:rsidRDefault="00CE2C77" w:rsidP="00AD362F">
            <w:pPr>
              <w:keepNext/>
              <w:jc w:val="both"/>
              <w:rPr>
                <w:rFonts w:ascii="Arial Narrow" w:hAnsi="Arial Narrow" w:cs="Arial"/>
                <w:snapToGrid w:val="0"/>
                <w:sz w:val="20"/>
                <w:szCs w:val="20"/>
              </w:rPr>
            </w:pPr>
            <w:r w:rsidRPr="00CE2C77">
              <w:rPr>
                <w:rFonts w:ascii="Arial Narrow" w:hAnsi="Arial Narrow" w:cs="Arial"/>
                <w:snapToGrid w:val="0"/>
                <w:sz w:val="20"/>
                <w:szCs w:val="20"/>
              </w:rPr>
              <w:t>1 year, half cycle correction applied</w:t>
            </w:r>
          </w:p>
        </w:tc>
      </w:tr>
      <w:tr w:rsidR="00CE2C77" w:rsidRPr="00CE2C77" w:rsidTr="00CE2C77">
        <w:tc>
          <w:tcPr>
            <w:tcW w:w="1529" w:type="pct"/>
            <w:shd w:val="clear" w:color="auto" w:fill="auto"/>
            <w:vAlign w:val="center"/>
          </w:tcPr>
          <w:p w:rsidR="00CE2C77" w:rsidRPr="00CE2C77" w:rsidRDefault="00CE2C77" w:rsidP="00AD362F">
            <w:pPr>
              <w:rPr>
                <w:rFonts w:ascii="Arial Narrow" w:hAnsi="Arial Narrow" w:cs="Arial"/>
                <w:snapToGrid w:val="0"/>
                <w:sz w:val="20"/>
                <w:szCs w:val="20"/>
              </w:rPr>
            </w:pPr>
            <w:r w:rsidRPr="00CE2C77">
              <w:rPr>
                <w:rFonts w:ascii="Arial Narrow" w:hAnsi="Arial Narrow" w:cs="Arial"/>
                <w:snapToGrid w:val="0"/>
                <w:sz w:val="20"/>
                <w:szCs w:val="20"/>
              </w:rPr>
              <w:t>Transition probabilities</w:t>
            </w:r>
          </w:p>
        </w:tc>
        <w:tc>
          <w:tcPr>
            <w:tcW w:w="3471" w:type="pct"/>
            <w:shd w:val="clear" w:color="auto" w:fill="auto"/>
          </w:tcPr>
          <w:p w:rsidR="00CE2C77" w:rsidRPr="00CE2C77" w:rsidRDefault="00CE2C77" w:rsidP="00AD362F">
            <w:pPr>
              <w:keepNext/>
              <w:jc w:val="both"/>
              <w:rPr>
                <w:rFonts w:ascii="Arial Narrow" w:hAnsi="Arial Narrow" w:cs="Arial"/>
                <w:snapToGrid w:val="0"/>
                <w:sz w:val="20"/>
                <w:szCs w:val="20"/>
              </w:rPr>
            </w:pPr>
            <w:r w:rsidRPr="00CE2C77">
              <w:rPr>
                <w:rFonts w:ascii="Arial Narrow" w:hAnsi="Arial Narrow" w:cs="Arial"/>
                <w:snapToGrid w:val="0"/>
                <w:sz w:val="20"/>
                <w:szCs w:val="20"/>
              </w:rPr>
              <w:t xml:space="preserve">Transition to ‘Dead’: Australian population death rates if no event or GP treated pneumonia; 12.5% for IPD; 10.0% for hospitalised pneumonia </w:t>
            </w:r>
          </w:p>
          <w:p w:rsidR="00CE2C77" w:rsidRPr="00CE2C77" w:rsidRDefault="00CE2C77" w:rsidP="00AD362F">
            <w:pPr>
              <w:keepNext/>
              <w:jc w:val="both"/>
              <w:rPr>
                <w:rFonts w:ascii="Arial Narrow" w:hAnsi="Arial Narrow" w:cs="Arial"/>
                <w:snapToGrid w:val="0"/>
                <w:sz w:val="20"/>
                <w:szCs w:val="20"/>
              </w:rPr>
            </w:pPr>
            <w:r w:rsidRPr="00CE2C77">
              <w:rPr>
                <w:rFonts w:ascii="Arial Narrow" w:hAnsi="Arial Narrow" w:cs="Arial"/>
                <w:snapToGrid w:val="0"/>
                <w:sz w:val="20"/>
                <w:szCs w:val="20"/>
              </w:rPr>
              <w:t>Transition to ‘Alive, meningitis complications’: 35% of meningitis events</w:t>
            </w:r>
          </w:p>
        </w:tc>
      </w:tr>
    </w:tbl>
    <w:p w:rsidR="00CE2C77" w:rsidRPr="00BF5E5A" w:rsidRDefault="00CE2C77" w:rsidP="00AD362F">
      <w:pPr>
        <w:ind w:left="709" w:firstLine="11"/>
        <w:jc w:val="both"/>
        <w:rPr>
          <w:rFonts w:ascii="Arial Narrow" w:hAnsi="Arial Narrow" w:cs="Arial"/>
          <w:snapToGrid w:val="0"/>
          <w:sz w:val="18"/>
          <w:szCs w:val="20"/>
        </w:rPr>
      </w:pPr>
      <w:r w:rsidRPr="00BF5E5A">
        <w:rPr>
          <w:rFonts w:ascii="Arial Narrow" w:hAnsi="Arial Narrow" w:cs="Arial"/>
          <w:snapToGrid w:val="0"/>
          <w:sz w:val="18"/>
          <w:szCs w:val="20"/>
          <w:vertAlign w:val="superscript"/>
        </w:rPr>
        <w:t>a</w:t>
      </w:r>
      <w:r w:rsidRPr="00BF5E5A">
        <w:rPr>
          <w:rFonts w:ascii="Arial Narrow" w:hAnsi="Arial Narrow" w:cs="Arial"/>
          <w:snapToGrid w:val="0"/>
          <w:sz w:val="18"/>
          <w:szCs w:val="20"/>
        </w:rPr>
        <w:t xml:space="preserve"> </w:t>
      </w:r>
      <w:r w:rsidRPr="002914D3">
        <w:rPr>
          <w:rFonts w:ascii="Arial Narrow" w:hAnsi="Arial Narrow" w:cs="Arial"/>
          <w:snapToGrid w:val="0"/>
          <w:sz w:val="18"/>
          <w:szCs w:val="20"/>
        </w:rPr>
        <w:t>The health state ‘Alive, meningitis cx’ is only required for the cost/QALY sensitivity analysis; the base case model could be implemented with 2 heath states, ‘Alive’ and ‘Dead’.</w:t>
      </w:r>
    </w:p>
    <w:p w:rsidR="00CE2C77" w:rsidRPr="00CE2C77" w:rsidRDefault="00CE2C77" w:rsidP="00AD362F">
      <w:pPr>
        <w:ind w:firstLine="720"/>
        <w:jc w:val="both"/>
        <w:rPr>
          <w:rFonts w:ascii="Arial Narrow" w:hAnsi="Arial Narrow" w:cs="Arial"/>
          <w:snapToGrid w:val="0"/>
          <w:sz w:val="18"/>
          <w:szCs w:val="20"/>
        </w:rPr>
      </w:pPr>
      <w:r w:rsidRPr="00CE2C77">
        <w:rPr>
          <w:rFonts w:ascii="Arial Narrow" w:hAnsi="Arial Narrow" w:cs="Arial"/>
          <w:snapToGrid w:val="0"/>
          <w:sz w:val="18"/>
          <w:szCs w:val="20"/>
        </w:rPr>
        <w:t>Source: compiled during the evaluation</w:t>
      </w:r>
    </w:p>
    <w:p w:rsidR="00CE2C77" w:rsidRPr="00CE2C77" w:rsidRDefault="00CE2C77" w:rsidP="00AD362F">
      <w:pPr>
        <w:jc w:val="both"/>
        <w:rPr>
          <w:rFonts w:ascii="Arial" w:hAnsi="Arial" w:cs="Arial"/>
          <w:snapToGrid w:val="0"/>
          <w:sz w:val="22"/>
          <w:szCs w:val="22"/>
        </w:rPr>
      </w:pPr>
    </w:p>
    <w:p w:rsidR="00CE2C77" w:rsidRPr="00CE2C77" w:rsidRDefault="00CE2C77" w:rsidP="00AD362F">
      <w:pPr>
        <w:numPr>
          <w:ilvl w:val="1"/>
          <w:numId w:val="3"/>
        </w:numPr>
        <w:contextualSpacing/>
        <w:jc w:val="both"/>
        <w:rPr>
          <w:rFonts w:ascii="Arial" w:hAnsi="Arial" w:cs="Arial"/>
          <w:snapToGrid w:val="0"/>
          <w:sz w:val="22"/>
          <w:szCs w:val="22"/>
        </w:rPr>
      </w:pPr>
      <w:r w:rsidRPr="00CE2C77">
        <w:rPr>
          <w:rFonts w:ascii="Arial" w:hAnsi="Arial" w:cs="Arial"/>
          <w:snapToGrid w:val="0"/>
          <w:sz w:val="22"/>
          <w:szCs w:val="22"/>
        </w:rPr>
        <w:t>The key model</w:t>
      </w:r>
      <w:r w:rsidR="00F10871">
        <w:rPr>
          <w:rFonts w:ascii="Arial" w:hAnsi="Arial" w:cs="Arial"/>
          <w:snapToGrid w:val="0"/>
          <w:sz w:val="22"/>
          <w:szCs w:val="22"/>
        </w:rPr>
        <w:t xml:space="preserve"> drivers are summarised in the </w:t>
      </w:r>
      <w:r w:rsidR="00B4601C">
        <w:rPr>
          <w:rFonts w:ascii="Arial" w:hAnsi="Arial" w:cs="Arial"/>
          <w:snapToGrid w:val="0"/>
          <w:sz w:val="22"/>
          <w:szCs w:val="22"/>
        </w:rPr>
        <w:t xml:space="preserve">following </w:t>
      </w:r>
      <w:r w:rsidR="00F10871">
        <w:rPr>
          <w:rFonts w:ascii="Arial" w:hAnsi="Arial" w:cs="Arial"/>
          <w:snapToGrid w:val="0"/>
          <w:sz w:val="22"/>
          <w:szCs w:val="22"/>
        </w:rPr>
        <w:t>t</w:t>
      </w:r>
      <w:r w:rsidRPr="00CE2C77">
        <w:rPr>
          <w:rFonts w:ascii="Arial" w:hAnsi="Arial" w:cs="Arial"/>
          <w:snapToGrid w:val="0"/>
          <w:sz w:val="22"/>
          <w:szCs w:val="22"/>
        </w:rPr>
        <w:t>able.</w:t>
      </w:r>
    </w:p>
    <w:p w:rsidR="00CE2C77" w:rsidRPr="00CE2C77" w:rsidRDefault="00CE2C77" w:rsidP="00AD362F">
      <w:pPr>
        <w:jc w:val="both"/>
        <w:rPr>
          <w:rFonts w:ascii="Arial" w:hAnsi="Arial" w:cs="Arial"/>
          <w:snapToGrid w:val="0"/>
          <w:sz w:val="22"/>
          <w:szCs w:val="22"/>
        </w:rPr>
      </w:pPr>
    </w:p>
    <w:p w:rsidR="00CE2C77" w:rsidRPr="00CE2C77" w:rsidRDefault="00CE2C77" w:rsidP="002914D3">
      <w:pPr>
        <w:keepNext/>
        <w:ind w:firstLine="720"/>
        <w:jc w:val="both"/>
        <w:rPr>
          <w:rFonts w:ascii="Arial Narrow" w:hAnsi="Arial Narrow" w:cs="Arial"/>
          <w:b/>
          <w:snapToGrid w:val="0"/>
          <w:sz w:val="20"/>
          <w:szCs w:val="16"/>
        </w:rPr>
      </w:pPr>
      <w:r w:rsidRPr="00CE2C77">
        <w:rPr>
          <w:rFonts w:ascii="Arial Narrow" w:hAnsi="Arial Narrow" w:cs="Arial"/>
          <w:b/>
          <w:snapToGrid w:val="0"/>
          <w:sz w:val="20"/>
          <w:szCs w:val="16"/>
        </w:rPr>
        <w:lastRenderedPageBreak/>
        <w:t>Key drivers of the model</w:t>
      </w:r>
    </w:p>
    <w:tbl>
      <w:tblPr>
        <w:tblW w:w="4672"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Key drivers of the economic model"/>
      </w:tblPr>
      <w:tblGrid>
        <w:gridCol w:w="1843"/>
        <w:gridCol w:w="4395"/>
        <w:gridCol w:w="2249"/>
      </w:tblGrid>
      <w:tr w:rsidR="00CE2C77" w:rsidRPr="00CE2C77" w:rsidTr="00CE2C77">
        <w:trPr>
          <w:tblHeader/>
        </w:trPr>
        <w:tc>
          <w:tcPr>
            <w:tcW w:w="1086" w:type="pct"/>
            <w:shd w:val="clear" w:color="auto" w:fill="auto"/>
            <w:vAlign w:val="center"/>
          </w:tcPr>
          <w:p w:rsidR="00CE2C77" w:rsidRPr="00CE2C77" w:rsidRDefault="00CE2C77" w:rsidP="002914D3">
            <w:pPr>
              <w:keepNext/>
              <w:rPr>
                <w:rFonts w:ascii="Arial Narrow" w:hAnsi="Arial Narrow" w:cs="Arial"/>
                <w:b/>
                <w:snapToGrid w:val="0"/>
                <w:sz w:val="20"/>
                <w:szCs w:val="20"/>
                <w:lang w:val="en-US"/>
              </w:rPr>
            </w:pPr>
            <w:r w:rsidRPr="00CE2C77">
              <w:rPr>
                <w:rFonts w:ascii="Arial Narrow" w:hAnsi="Arial Narrow" w:cs="Arial"/>
                <w:b/>
                <w:snapToGrid w:val="0"/>
                <w:sz w:val="20"/>
                <w:szCs w:val="20"/>
                <w:lang w:val="en-US"/>
              </w:rPr>
              <w:t>Description</w:t>
            </w:r>
          </w:p>
        </w:tc>
        <w:tc>
          <w:tcPr>
            <w:tcW w:w="2589" w:type="pct"/>
            <w:shd w:val="clear" w:color="auto" w:fill="auto"/>
            <w:vAlign w:val="center"/>
          </w:tcPr>
          <w:p w:rsidR="00CE2C77" w:rsidRPr="00CE2C77" w:rsidRDefault="00CE2C77" w:rsidP="002914D3">
            <w:pPr>
              <w:keepNext/>
              <w:jc w:val="center"/>
              <w:rPr>
                <w:rFonts w:ascii="Arial Narrow" w:hAnsi="Arial Narrow" w:cs="Arial"/>
                <w:b/>
                <w:snapToGrid w:val="0"/>
                <w:sz w:val="20"/>
                <w:szCs w:val="20"/>
                <w:lang w:val="en-US"/>
              </w:rPr>
            </w:pPr>
            <w:r w:rsidRPr="00CE2C77">
              <w:rPr>
                <w:rFonts w:ascii="Arial Narrow" w:hAnsi="Arial Narrow" w:cs="Arial"/>
                <w:b/>
                <w:snapToGrid w:val="0"/>
                <w:sz w:val="20"/>
                <w:szCs w:val="20"/>
                <w:lang w:val="en-US"/>
              </w:rPr>
              <w:t>Method/Value</w:t>
            </w:r>
          </w:p>
        </w:tc>
        <w:tc>
          <w:tcPr>
            <w:tcW w:w="1326" w:type="pct"/>
            <w:shd w:val="clear" w:color="auto" w:fill="auto"/>
            <w:vAlign w:val="center"/>
          </w:tcPr>
          <w:p w:rsidR="00CE2C77" w:rsidRPr="00CE2C77" w:rsidRDefault="00CE2C77" w:rsidP="002914D3">
            <w:pPr>
              <w:keepNext/>
              <w:jc w:val="center"/>
              <w:rPr>
                <w:rFonts w:ascii="Arial Narrow" w:hAnsi="Arial Narrow" w:cs="Arial"/>
                <w:b/>
                <w:snapToGrid w:val="0"/>
                <w:sz w:val="20"/>
                <w:szCs w:val="20"/>
                <w:lang w:val="en-US"/>
              </w:rPr>
            </w:pPr>
            <w:r w:rsidRPr="00CE2C77">
              <w:rPr>
                <w:rFonts w:ascii="Arial Narrow" w:hAnsi="Arial Narrow" w:cs="Arial"/>
                <w:b/>
                <w:snapToGrid w:val="0"/>
                <w:sz w:val="20"/>
                <w:szCs w:val="20"/>
                <w:lang w:val="en-US"/>
              </w:rPr>
              <w:t>Impact</w:t>
            </w:r>
          </w:p>
        </w:tc>
      </w:tr>
      <w:tr w:rsidR="00CE2C77" w:rsidRPr="00CE2C77" w:rsidTr="00CE2C77">
        <w:tc>
          <w:tcPr>
            <w:tcW w:w="1086" w:type="pct"/>
            <w:shd w:val="clear" w:color="auto" w:fill="auto"/>
            <w:vAlign w:val="center"/>
          </w:tcPr>
          <w:p w:rsidR="00CE2C77" w:rsidRPr="00CE2C77" w:rsidRDefault="00CE2C77" w:rsidP="002914D3">
            <w:pPr>
              <w:keepNext/>
              <w:rPr>
                <w:rFonts w:ascii="Arial Narrow" w:hAnsi="Arial Narrow" w:cs="Arial"/>
                <w:snapToGrid w:val="0"/>
                <w:sz w:val="20"/>
                <w:szCs w:val="20"/>
                <w:lang w:val="en-US"/>
              </w:rPr>
            </w:pPr>
            <w:r w:rsidRPr="00CE2C77">
              <w:rPr>
                <w:rFonts w:ascii="Arial Narrow" w:hAnsi="Arial Narrow" w:cs="Arial"/>
                <w:snapToGrid w:val="0"/>
                <w:sz w:val="20"/>
                <w:szCs w:val="20"/>
                <w:lang w:val="en-US"/>
              </w:rPr>
              <w:t>Time horizon</w:t>
            </w:r>
          </w:p>
        </w:tc>
        <w:tc>
          <w:tcPr>
            <w:tcW w:w="2589" w:type="pct"/>
            <w:shd w:val="clear" w:color="auto" w:fill="auto"/>
            <w:vAlign w:val="center"/>
          </w:tcPr>
          <w:p w:rsidR="00CE2C77" w:rsidRPr="00CE2C77" w:rsidRDefault="00CE2C77" w:rsidP="002914D3">
            <w:pPr>
              <w:keepNext/>
              <w:rPr>
                <w:rFonts w:ascii="Arial Narrow" w:hAnsi="Arial Narrow" w:cs="Arial"/>
                <w:snapToGrid w:val="0"/>
                <w:sz w:val="20"/>
                <w:szCs w:val="20"/>
                <w:lang w:val="en-US"/>
              </w:rPr>
            </w:pPr>
            <w:r w:rsidRPr="00CE2C77">
              <w:rPr>
                <w:rFonts w:ascii="Arial Narrow" w:hAnsi="Arial Narrow" w:cs="Arial"/>
                <w:snapToGrid w:val="0"/>
                <w:sz w:val="20"/>
                <w:szCs w:val="20"/>
                <w:lang w:val="en-US"/>
              </w:rPr>
              <w:t>13-20 years; assumed from 2-4 year trial duration</w:t>
            </w:r>
          </w:p>
        </w:tc>
        <w:tc>
          <w:tcPr>
            <w:tcW w:w="1326" w:type="pct"/>
            <w:shd w:val="clear" w:color="auto" w:fill="auto"/>
            <w:vAlign w:val="center"/>
          </w:tcPr>
          <w:p w:rsidR="00CE2C77" w:rsidRPr="00CE2C77" w:rsidRDefault="00CE2C77" w:rsidP="002914D3">
            <w:pPr>
              <w:keepNext/>
              <w:jc w:val="center"/>
              <w:rPr>
                <w:rFonts w:ascii="Arial Narrow" w:hAnsi="Arial Narrow" w:cs="Arial"/>
                <w:snapToGrid w:val="0"/>
                <w:sz w:val="20"/>
                <w:szCs w:val="20"/>
                <w:lang w:val="en-US"/>
              </w:rPr>
            </w:pPr>
            <w:r w:rsidRPr="00CE2C77">
              <w:rPr>
                <w:rFonts w:ascii="Arial Narrow" w:hAnsi="Arial Narrow" w:cs="Arial"/>
                <w:snapToGrid w:val="0"/>
                <w:sz w:val="20"/>
                <w:szCs w:val="20"/>
                <w:lang w:val="en-US"/>
              </w:rPr>
              <w:t xml:space="preserve">High, </w:t>
            </w:r>
            <w:r w:rsidRPr="00F42073">
              <w:rPr>
                <w:rFonts w:ascii="Arial Narrow" w:hAnsi="Arial Narrow" w:cs="Arial"/>
                <w:snapToGrid w:val="0"/>
                <w:sz w:val="20"/>
                <w:szCs w:val="20"/>
              </w:rPr>
              <w:t>favour</w:t>
            </w:r>
            <w:r w:rsidR="005C0BD3">
              <w:rPr>
                <w:rFonts w:ascii="Arial Narrow" w:hAnsi="Arial Narrow" w:cs="Arial"/>
                <w:snapToGrid w:val="0"/>
                <w:sz w:val="20"/>
                <w:szCs w:val="20"/>
              </w:rPr>
              <w:t>ed</w:t>
            </w:r>
            <w:r w:rsidRPr="00CE2C77">
              <w:rPr>
                <w:rFonts w:ascii="Arial Narrow" w:hAnsi="Arial Narrow" w:cs="Arial"/>
                <w:snapToGrid w:val="0"/>
                <w:sz w:val="20"/>
                <w:szCs w:val="20"/>
                <w:lang w:val="en-US"/>
              </w:rPr>
              <w:t xml:space="preserve"> 13vPCV</w:t>
            </w:r>
          </w:p>
        </w:tc>
      </w:tr>
      <w:tr w:rsidR="00CE2C77" w:rsidRPr="00CE2C77" w:rsidTr="00CE2C77">
        <w:tc>
          <w:tcPr>
            <w:tcW w:w="1086" w:type="pct"/>
            <w:shd w:val="clear" w:color="auto" w:fill="auto"/>
            <w:vAlign w:val="center"/>
          </w:tcPr>
          <w:p w:rsidR="00CE2C77" w:rsidRPr="00CE2C77" w:rsidRDefault="00CE2C77" w:rsidP="002914D3">
            <w:pPr>
              <w:keepNext/>
              <w:rPr>
                <w:rFonts w:ascii="Arial Narrow" w:hAnsi="Arial Narrow" w:cs="Arial"/>
                <w:snapToGrid w:val="0"/>
                <w:sz w:val="20"/>
                <w:szCs w:val="20"/>
                <w:lang w:val="en-US"/>
              </w:rPr>
            </w:pPr>
            <w:r w:rsidRPr="00CE2C77">
              <w:rPr>
                <w:rFonts w:ascii="Arial Narrow" w:hAnsi="Arial Narrow" w:cs="Arial"/>
                <w:snapToGrid w:val="0"/>
                <w:sz w:val="20"/>
                <w:szCs w:val="20"/>
                <w:lang w:val="en-US"/>
              </w:rPr>
              <w:t>13vPCV efficacy for hospitalised pneumonia</w:t>
            </w:r>
          </w:p>
        </w:tc>
        <w:tc>
          <w:tcPr>
            <w:tcW w:w="2589" w:type="pct"/>
            <w:shd w:val="clear" w:color="auto" w:fill="auto"/>
            <w:vAlign w:val="center"/>
          </w:tcPr>
          <w:p w:rsidR="00CE2C77" w:rsidRPr="00CE2C77" w:rsidRDefault="00CE2C77" w:rsidP="002914D3">
            <w:pPr>
              <w:keepNext/>
              <w:rPr>
                <w:rFonts w:ascii="Arial Narrow" w:hAnsi="Arial Narrow" w:cs="Arial"/>
                <w:snapToGrid w:val="0"/>
                <w:sz w:val="20"/>
                <w:szCs w:val="20"/>
                <w:lang w:val="en-US"/>
              </w:rPr>
            </w:pPr>
            <w:r w:rsidRPr="00CE2C77">
              <w:rPr>
                <w:rFonts w:ascii="Arial Narrow" w:hAnsi="Arial Narrow" w:cs="Arial"/>
                <w:snapToGrid w:val="0"/>
                <w:sz w:val="20"/>
                <w:szCs w:val="20"/>
                <w:lang w:val="en-US"/>
              </w:rPr>
              <w:t>Sourced from CAPiTA trial (37.7%), a RCT in 84,496 subjects</w:t>
            </w:r>
          </w:p>
        </w:tc>
        <w:tc>
          <w:tcPr>
            <w:tcW w:w="1326" w:type="pct"/>
            <w:shd w:val="clear" w:color="auto" w:fill="auto"/>
            <w:vAlign w:val="center"/>
          </w:tcPr>
          <w:p w:rsidR="00CE2C77" w:rsidRPr="00CE2C77" w:rsidRDefault="00CE2C77" w:rsidP="002914D3">
            <w:pPr>
              <w:keepNext/>
              <w:jc w:val="center"/>
              <w:rPr>
                <w:rFonts w:ascii="Arial Narrow" w:hAnsi="Arial Narrow" w:cs="Arial"/>
                <w:snapToGrid w:val="0"/>
                <w:sz w:val="20"/>
                <w:szCs w:val="20"/>
                <w:lang w:val="en-US"/>
              </w:rPr>
            </w:pPr>
            <w:r w:rsidRPr="00CE2C77">
              <w:rPr>
                <w:rFonts w:ascii="Arial Narrow" w:hAnsi="Arial Narrow" w:cs="Arial"/>
                <w:snapToGrid w:val="0"/>
                <w:sz w:val="20"/>
                <w:szCs w:val="20"/>
                <w:lang w:val="en-US"/>
              </w:rPr>
              <w:t>High</w:t>
            </w:r>
          </w:p>
        </w:tc>
      </w:tr>
      <w:tr w:rsidR="00CE2C77" w:rsidRPr="00CE2C77" w:rsidTr="00CE2C77">
        <w:tc>
          <w:tcPr>
            <w:tcW w:w="1086" w:type="pct"/>
            <w:shd w:val="clear" w:color="auto" w:fill="auto"/>
            <w:vAlign w:val="center"/>
          </w:tcPr>
          <w:p w:rsidR="00CE2C77" w:rsidRPr="00CE2C77" w:rsidRDefault="00CE2C77" w:rsidP="002914D3">
            <w:pPr>
              <w:keepNext/>
              <w:rPr>
                <w:rFonts w:ascii="Arial Narrow" w:hAnsi="Arial Narrow" w:cs="Arial"/>
                <w:snapToGrid w:val="0"/>
                <w:sz w:val="20"/>
                <w:szCs w:val="20"/>
                <w:lang w:val="en-US"/>
              </w:rPr>
            </w:pPr>
            <w:r w:rsidRPr="00CE2C77">
              <w:rPr>
                <w:rFonts w:ascii="Arial Narrow" w:hAnsi="Arial Narrow" w:cs="Arial"/>
                <w:snapToGrid w:val="0"/>
                <w:sz w:val="20"/>
                <w:szCs w:val="20"/>
                <w:lang w:val="en-US"/>
              </w:rPr>
              <w:t>23vPPV efficacy for hospitalised pneumonia</w:t>
            </w:r>
          </w:p>
        </w:tc>
        <w:tc>
          <w:tcPr>
            <w:tcW w:w="2589" w:type="pct"/>
            <w:shd w:val="clear" w:color="auto" w:fill="auto"/>
            <w:vAlign w:val="center"/>
          </w:tcPr>
          <w:p w:rsidR="00CE2C77" w:rsidRPr="00CE2C77" w:rsidRDefault="00CE2C77" w:rsidP="002914D3">
            <w:pPr>
              <w:keepNext/>
              <w:rPr>
                <w:rFonts w:ascii="Arial Narrow" w:hAnsi="Arial Narrow" w:cs="Arial"/>
                <w:snapToGrid w:val="0"/>
                <w:sz w:val="20"/>
                <w:szCs w:val="20"/>
                <w:lang w:val="en-US"/>
              </w:rPr>
            </w:pPr>
            <w:r w:rsidRPr="00CE2C77">
              <w:rPr>
                <w:rFonts w:ascii="Arial Narrow" w:hAnsi="Arial Narrow" w:cs="Arial"/>
                <w:snapToGrid w:val="0"/>
                <w:sz w:val="20"/>
                <w:szCs w:val="20"/>
                <w:lang w:val="en-US"/>
              </w:rPr>
              <w:t>Zero protective benefit assumed based on 5 underpowered RCTs in a total of 3,246 subjects</w:t>
            </w:r>
          </w:p>
        </w:tc>
        <w:tc>
          <w:tcPr>
            <w:tcW w:w="1326" w:type="pct"/>
            <w:shd w:val="clear" w:color="auto" w:fill="auto"/>
            <w:vAlign w:val="center"/>
          </w:tcPr>
          <w:p w:rsidR="00CE2C77" w:rsidRPr="00CE2C77" w:rsidRDefault="00CE2C77" w:rsidP="002914D3">
            <w:pPr>
              <w:keepNext/>
              <w:jc w:val="center"/>
              <w:rPr>
                <w:rFonts w:ascii="Arial Narrow" w:hAnsi="Arial Narrow" w:cs="Arial"/>
                <w:snapToGrid w:val="0"/>
                <w:sz w:val="20"/>
                <w:szCs w:val="20"/>
                <w:lang w:val="en-US"/>
              </w:rPr>
            </w:pPr>
            <w:r w:rsidRPr="00CE2C77">
              <w:rPr>
                <w:rFonts w:ascii="Arial Narrow" w:hAnsi="Arial Narrow" w:cs="Arial"/>
                <w:snapToGrid w:val="0"/>
                <w:sz w:val="20"/>
                <w:szCs w:val="20"/>
                <w:lang w:val="en-US"/>
              </w:rPr>
              <w:t xml:space="preserve">High, </w:t>
            </w:r>
            <w:r w:rsidRPr="003E2F68">
              <w:rPr>
                <w:rFonts w:ascii="Arial Narrow" w:hAnsi="Arial Narrow" w:cs="Arial"/>
                <w:snapToGrid w:val="0"/>
                <w:sz w:val="20"/>
                <w:szCs w:val="20"/>
              </w:rPr>
              <w:t>favour</w:t>
            </w:r>
            <w:r w:rsidR="005C0BD3" w:rsidRPr="003E2F68">
              <w:rPr>
                <w:rFonts w:ascii="Arial Narrow" w:hAnsi="Arial Narrow" w:cs="Arial"/>
                <w:snapToGrid w:val="0"/>
                <w:sz w:val="20"/>
                <w:szCs w:val="20"/>
              </w:rPr>
              <w:t>ed</w:t>
            </w:r>
            <w:r w:rsidRPr="00CE2C77">
              <w:rPr>
                <w:rFonts w:ascii="Arial Narrow" w:hAnsi="Arial Narrow" w:cs="Arial"/>
                <w:snapToGrid w:val="0"/>
                <w:sz w:val="20"/>
                <w:szCs w:val="20"/>
                <w:lang w:val="en-US"/>
              </w:rPr>
              <w:t xml:space="preserve"> 13vPCV</w:t>
            </w:r>
          </w:p>
        </w:tc>
      </w:tr>
      <w:tr w:rsidR="00CE2C77" w:rsidRPr="00CE2C77" w:rsidTr="00CE2C77">
        <w:tc>
          <w:tcPr>
            <w:tcW w:w="1086" w:type="pct"/>
            <w:shd w:val="clear" w:color="auto" w:fill="auto"/>
            <w:vAlign w:val="center"/>
          </w:tcPr>
          <w:p w:rsidR="00CE2C77" w:rsidRPr="00CE2C77" w:rsidRDefault="00CE2C77" w:rsidP="002914D3">
            <w:pPr>
              <w:keepNext/>
              <w:rPr>
                <w:rFonts w:ascii="Arial Narrow" w:hAnsi="Arial Narrow" w:cs="Arial"/>
                <w:snapToGrid w:val="0"/>
                <w:sz w:val="20"/>
                <w:szCs w:val="20"/>
                <w:lang w:val="en-US"/>
              </w:rPr>
            </w:pPr>
            <w:r w:rsidRPr="00CE2C77">
              <w:rPr>
                <w:rFonts w:ascii="Arial Narrow" w:hAnsi="Arial Narrow" w:cs="Arial"/>
                <w:snapToGrid w:val="0"/>
                <w:sz w:val="20"/>
                <w:szCs w:val="20"/>
                <w:lang w:val="en-US"/>
              </w:rPr>
              <w:t>Decline in 13vPCV efficacy over time</w:t>
            </w:r>
          </w:p>
        </w:tc>
        <w:tc>
          <w:tcPr>
            <w:tcW w:w="2589" w:type="pct"/>
            <w:shd w:val="clear" w:color="auto" w:fill="auto"/>
            <w:vAlign w:val="center"/>
          </w:tcPr>
          <w:p w:rsidR="00CE2C77" w:rsidRPr="00CE2C77" w:rsidRDefault="00CE2C77" w:rsidP="002914D3">
            <w:pPr>
              <w:keepNext/>
              <w:rPr>
                <w:rFonts w:ascii="Arial Narrow" w:hAnsi="Arial Narrow" w:cs="Arial"/>
                <w:snapToGrid w:val="0"/>
                <w:sz w:val="20"/>
                <w:szCs w:val="20"/>
                <w:lang w:val="en-US"/>
              </w:rPr>
            </w:pPr>
            <w:r w:rsidRPr="00CE2C77">
              <w:rPr>
                <w:rFonts w:ascii="Arial Narrow" w:hAnsi="Arial Narrow" w:cs="Arial"/>
                <w:snapToGrid w:val="0"/>
                <w:sz w:val="20"/>
                <w:szCs w:val="20"/>
                <w:lang w:val="en-US"/>
              </w:rPr>
              <w:t>5% assumed, no justification provided in submission</w:t>
            </w:r>
          </w:p>
        </w:tc>
        <w:tc>
          <w:tcPr>
            <w:tcW w:w="1326" w:type="pct"/>
            <w:shd w:val="clear" w:color="auto" w:fill="auto"/>
            <w:vAlign w:val="center"/>
          </w:tcPr>
          <w:p w:rsidR="00CE2C77" w:rsidRPr="00CE2C77" w:rsidRDefault="00CE2C77" w:rsidP="002914D3">
            <w:pPr>
              <w:keepNext/>
              <w:jc w:val="center"/>
              <w:rPr>
                <w:rFonts w:ascii="Arial Narrow" w:hAnsi="Arial Narrow" w:cs="Arial"/>
                <w:snapToGrid w:val="0"/>
                <w:sz w:val="20"/>
                <w:szCs w:val="20"/>
                <w:lang w:val="en-US"/>
              </w:rPr>
            </w:pPr>
            <w:r w:rsidRPr="00CE2C77">
              <w:rPr>
                <w:rFonts w:ascii="Arial Narrow" w:hAnsi="Arial Narrow" w:cs="Arial"/>
                <w:snapToGrid w:val="0"/>
                <w:sz w:val="20"/>
                <w:szCs w:val="20"/>
                <w:lang w:val="en-US"/>
              </w:rPr>
              <w:t xml:space="preserve">High, </w:t>
            </w:r>
            <w:r w:rsidRPr="003E2F68">
              <w:rPr>
                <w:rFonts w:ascii="Arial Narrow" w:hAnsi="Arial Narrow" w:cs="Arial"/>
                <w:snapToGrid w:val="0"/>
                <w:sz w:val="20"/>
                <w:szCs w:val="20"/>
              </w:rPr>
              <w:t>favour</w:t>
            </w:r>
            <w:r w:rsidR="005C0BD3" w:rsidRPr="003E2F68">
              <w:rPr>
                <w:rFonts w:ascii="Arial Narrow" w:hAnsi="Arial Narrow" w:cs="Arial"/>
                <w:snapToGrid w:val="0"/>
                <w:sz w:val="20"/>
                <w:szCs w:val="20"/>
              </w:rPr>
              <w:t>ed</w:t>
            </w:r>
            <w:r w:rsidRPr="00CE2C77">
              <w:rPr>
                <w:rFonts w:ascii="Arial Narrow" w:hAnsi="Arial Narrow" w:cs="Arial"/>
                <w:snapToGrid w:val="0"/>
                <w:sz w:val="20"/>
                <w:szCs w:val="20"/>
                <w:lang w:val="en-US"/>
              </w:rPr>
              <w:t xml:space="preserve"> 13vPCV</w:t>
            </w:r>
          </w:p>
        </w:tc>
      </w:tr>
      <w:tr w:rsidR="00CE2C77" w:rsidRPr="00CE2C77" w:rsidTr="00CE2C77">
        <w:tc>
          <w:tcPr>
            <w:tcW w:w="1086" w:type="pct"/>
            <w:shd w:val="clear" w:color="auto" w:fill="auto"/>
            <w:vAlign w:val="center"/>
          </w:tcPr>
          <w:p w:rsidR="00CE2C77" w:rsidRPr="00CE2C77" w:rsidRDefault="00CE2C77" w:rsidP="002914D3">
            <w:pPr>
              <w:keepNext/>
              <w:rPr>
                <w:rFonts w:ascii="Arial Narrow" w:hAnsi="Arial Narrow" w:cs="Arial"/>
                <w:snapToGrid w:val="0"/>
                <w:sz w:val="20"/>
                <w:szCs w:val="20"/>
                <w:lang w:val="en-US"/>
              </w:rPr>
            </w:pPr>
            <w:r w:rsidRPr="00CE2C77">
              <w:rPr>
                <w:rFonts w:ascii="Arial Narrow" w:hAnsi="Arial Narrow" w:cs="Arial"/>
                <w:snapToGrid w:val="0"/>
                <w:sz w:val="20"/>
                <w:szCs w:val="20"/>
                <w:lang w:val="en-US"/>
              </w:rPr>
              <w:t>Incidence of VT hospitalised pneumonia</w:t>
            </w:r>
          </w:p>
        </w:tc>
        <w:tc>
          <w:tcPr>
            <w:tcW w:w="2589" w:type="pct"/>
            <w:shd w:val="clear" w:color="auto" w:fill="auto"/>
            <w:vAlign w:val="center"/>
          </w:tcPr>
          <w:p w:rsidR="00CE2C77" w:rsidRPr="00CE2C77" w:rsidRDefault="00CE2C77" w:rsidP="002914D3">
            <w:pPr>
              <w:keepNext/>
              <w:numPr>
                <w:ilvl w:val="0"/>
                <w:numId w:val="1"/>
              </w:numPr>
              <w:ind w:left="113" w:hanging="113"/>
              <w:contextualSpacing/>
              <w:jc w:val="both"/>
              <w:rPr>
                <w:rFonts w:ascii="Arial Narrow" w:hAnsi="Arial Narrow" w:cs="Arial"/>
                <w:snapToGrid w:val="0"/>
                <w:sz w:val="20"/>
                <w:szCs w:val="20"/>
                <w:lang w:val="en-US"/>
              </w:rPr>
            </w:pPr>
            <w:r w:rsidRPr="00CE2C77">
              <w:rPr>
                <w:rFonts w:ascii="Arial Narrow" w:hAnsi="Arial Narrow" w:cs="Arial"/>
                <w:snapToGrid w:val="0"/>
                <w:sz w:val="20"/>
                <w:szCs w:val="20"/>
                <w:lang w:val="en-US"/>
              </w:rPr>
              <w:t>Australian hospital admissions in 2010/2011 for pneumonia: 1,364/100,000 person years</w:t>
            </w:r>
          </w:p>
          <w:p w:rsidR="00CE2C77" w:rsidRPr="00CE2C77" w:rsidRDefault="00CE2C77" w:rsidP="002914D3">
            <w:pPr>
              <w:keepNext/>
              <w:numPr>
                <w:ilvl w:val="0"/>
                <w:numId w:val="1"/>
              </w:numPr>
              <w:ind w:left="113" w:hanging="113"/>
              <w:contextualSpacing/>
              <w:jc w:val="both"/>
              <w:rPr>
                <w:rFonts w:ascii="Arial Narrow" w:hAnsi="Arial Narrow" w:cs="Arial"/>
                <w:snapToGrid w:val="0"/>
                <w:sz w:val="20"/>
                <w:szCs w:val="20"/>
                <w:lang w:val="en-US"/>
              </w:rPr>
            </w:pPr>
            <w:r w:rsidRPr="00CE2C77">
              <w:rPr>
                <w:rFonts w:ascii="Arial Narrow" w:hAnsi="Arial Narrow" w:cs="Arial"/>
                <w:snapToGrid w:val="0"/>
                <w:sz w:val="20"/>
                <w:szCs w:val="20"/>
                <w:lang w:val="en-US"/>
              </w:rPr>
              <w:t>20.6% due to pneumococci (ATAGI; hospital admissions coded as pneumococcal)</w:t>
            </w:r>
          </w:p>
          <w:p w:rsidR="00CE2C77" w:rsidRPr="00CE2C77" w:rsidRDefault="00CE2C77" w:rsidP="002914D3">
            <w:pPr>
              <w:keepNext/>
              <w:numPr>
                <w:ilvl w:val="0"/>
                <w:numId w:val="1"/>
              </w:numPr>
              <w:ind w:left="113" w:hanging="113"/>
              <w:contextualSpacing/>
              <w:jc w:val="both"/>
              <w:rPr>
                <w:rFonts w:ascii="Arial Narrow" w:hAnsi="Arial Narrow" w:cs="Arial"/>
                <w:snapToGrid w:val="0"/>
                <w:sz w:val="20"/>
                <w:szCs w:val="20"/>
                <w:lang w:val="en-US"/>
              </w:rPr>
            </w:pPr>
            <w:r w:rsidRPr="00CE2C77">
              <w:rPr>
                <w:rFonts w:ascii="Arial Narrow" w:hAnsi="Arial Narrow" w:cs="Arial"/>
                <w:snapToGrid w:val="0"/>
                <w:sz w:val="20"/>
                <w:szCs w:val="20"/>
                <w:lang w:val="en-US"/>
              </w:rPr>
              <w:t>35.1% due to 13vPCV serotypes (ATAGI; IPD serotype data)</w:t>
            </w:r>
          </w:p>
          <w:p w:rsidR="00CE2C77" w:rsidRPr="00CE2C77" w:rsidRDefault="00CE2C77" w:rsidP="002914D3">
            <w:pPr>
              <w:keepNext/>
              <w:numPr>
                <w:ilvl w:val="0"/>
                <w:numId w:val="1"/>
              </w:numPr>
              <w:ind w:left="113" w:hanging="113"/>
              <w:contextualSpacing/>
              <w:jc w:val="both"/>
              <w:rPr>
                <w:rFonts w:ascii="Arial Narrow" w:hAnsi="Arial Narrow" w:cs="Arial"/>
                <w:snapToGrid w:val="0"/>
                <w:sz w:val="20"/>
                <w:szCs w:val="20"/>
                <w:lang w:val="en-US"/>
              </w:rPr>
            </w:pPr>
            <w:r w:rsidRPr="00CE2C77">
              <w:rPr>
                <w:rFonts w:ascii="Arial Narrow" w:hAnsi="Arial Narrow" w:cs="Arial"/>
                <w:snapToGrid w:val="0"/>
                <w:sz w:val="20"/>
                <w:szCs w:val="20"/>
                <w:lang w:val="en-US"/>
              </w:rPr>
              <w:t>No herd protection from 13vPCV infant program assumed</w:t>
            </w:r>
          </w:p>
        </w:tc>
        <w:tc>
          <w:tcPr>
            <w:tcW w:w="1326" w:type="pct"/>
            <w:shd w:val="clear" w:color="auto" w:fill="auto"/>
            <w:vAlign w:val="center"/>
          </w:tcPr>
          <w:p w:rsidR="00CE2C77" w:rsidRPr="00CE2C77" w:rsidRDefault="00CE2C77" w:rsidP="002914D3">
            <w:pPr>
              <w:keepNext/>
              <w:jc w:val="center"/>
              <w:rPr>
                <w:rFonts w:ascii="Arial Narrow" w:hAnsi="Arial Narrow" w:cs="Arial"/>
                <w:snapToGrid w:val="0"/>
                <w:sz w:val="20"/>
                <w:szCs w:val="20"/>
                <w:lang w:val="en-US"/>
              </w:rPr>
            </w:pPr>
            <w:r w:rsidRPr="00CE2C77">
              <w:rPr>
                <w:rFonts w:ascii="Arial Narrow" w:hAnsi="Arial Narrow" w:cs="Arial"/>
                <w:snapToGrid w:val="0"/>
                <w:sz w:val="20"/>
                <w:szCs w:val="20"/>
                <w:lang w:val="en-US"/>
              </w:rPr>
              <w:t xml:space="preserve">High, assumption of no herd protection </w:t>
            </w:r>
            <w:r w:rsidRPr="003E2F68">
              <w:rPr>
                <w:rFonts w:ascii="Arial Narrow" w:hAnsi="Arial Narrow" w:cs="Arial"/>
                <w:snapToGrid w:val="0"/>
                <w:sz w:val="20"/>
                <w:szCs w:val="20"/>
              </w:rPr>
              <w:t>favour</w:t>
            </w:r>
            <w:r w:rsidR="005C0BD3" w:rsidRPr="003E2F68">
              <w:rPr>
                <w:rFonts w:ascii="Arial Narrow" w:hAnsi="Arial Narrow" w:cs="Arial"/>
                <w:snapToGrid w:val="0"/>
                <w:sz w:val="20"/>
                <w:szCs w:val="20"/>
              </w:rPr>
              <w:t>ed</w:t>
            </w:r>
            <w:r w:rsidRPr="00CE2C77">
              <w:rPr>
                <w:rFonts w:ascii="Arial Narrow" w:hAnsi="Arial Narrow" w:cs="Arial"/>
                <w:snapToGrid w:val="0"/>
                <w:sz w:val="20"/>
                <w:szCs w:val="20"/>
                <w:lang w:val="en-US"/>
              </w:rPr>
              <w:t xml:space="preserve"> 13vPCV</w:t>
            </w:r>
          </w:p>
          <w:p w:rsidR="00CE2C77" w:rsidRPr="00CE2C77" w:rsidRDefault="00CE2C77" w:rsidP="002914D3">
            <w:pPr>
              <w:keepNext/>
              <w:jc w:val="center"/>
              <w:rPr>
                <w:rFonts w:ascii="Arial Narrow" w:hAnsi="Arial Narrow" w:cs="Arial"/>
                <w:snapToGrid w:val="0"/>
                <w:sz w:val="20"/>
                <w:szCs w:val="20"/>
                <w:lang w:val="en-US"/>
              </w:rPr>
            </w:pPr>
          </w:p>
          <w:p w:rsidR="00CE2C77" w:rsidRPr="00CE2C77" w:rsidRDefault="00CE2C77" w:rsidP="002914D3">
            <w:pPr>
              <w:keepNext/>
              <w:jc w:val="center"/>
              <w:rPr>
                <w:rFonts w:ascii="Arial Narrow" w:hAnsi="Arial Narrow" w:cs="Arial"/>
                <w:snapToGrid w:val="0"/>
                <w:sz w:val="20"/>
                <w:szCs w:val="20"/>
                <w:lang w:val="en-US"/>
              </w:rPr>
            </w:pPr>
            <w:r w:rsidRPr="00CE2C77">
              <w:rPr>
                <w:rFonts w:ascii="Arial Narrow" w:hAnsi="Arial Narrow" w:cs="Arial"/>
                <w:snapToGrid w:val="0"/>
                <w:sz w:val="20"/>
                <w:szCs w:val="20"/>
                <w:lang w:val="en-US"/>
              </w:rPr>
              <w:t xml:space="preserve">The incidence in the model </w:t>
            </w:r>
            <w:r w:rsidR="005C0BD3">
              <w:rPr>
                <w:rFonts w:ascii="Arial Narrow" w:hAnsi="Arial Narrow" w:cs="Arial"/>
                <w:snapToGrid w:val="0"/>
                <w:sz w:val="20"/>
                <w:szCs w:val="20"/>
                <w:lang w:val="en-US"/>
              </w:rPr>
              <w:t>wa</w:t>
            </w:r>
            <w:r w:rsidRPr="00CE2C77">
              <w:rPr>
                <w:rFonts w:ascii="Arial Narrow" w:hAnsi="Arial Narrow" w:cs="Arial"/>
                <w:snapToGrid w:val="0"/>
                <w:sz w:val="20"/>
                <w:szCs w:val="20"/>
                <w:lang w:val="en-US"/>
              </w:rPr>
              <w:t>s higher than in the placebo arm of CAPiTA.</w:t>
            </w:r>
          </w:p>
        </w:tc>
      </w:tr>
      <w:tr w:rsidR="00CE2C77" w:rsidRPr="00CE2C77" w:rsidTr="00CE2C77">
        <w:tc>
          <w:tcPr>
            <w:tcW w:w="1086" w:type="pct"/>
            <w:shd w:val="clear" w:color="auto" w:fill="auto"/>
            <w:vAlign w:val="center"/>
          </w:tcPr>
          <w:p w:rsidR="00CE2C77" w:rsidRPr="00CE2C77" w:rsidRDefault="00CE2C77" w:rsidP="002914D3">
            <w:pPr>
              <w:keepNext/>
              <w:rPr>
                <w:rFonts w:ascii="Arial Narrow" w:hAnsi="Arial Narrow" w:cs="Arial"/>
                <w:snapToGrid w:val="0"/>
                <w:sz w:val="20"/>
                <w:szCs w:val="20"/>
                <w:lang w:val="en-US"/>
              </w:rPr>
            </w:pPr>
            <w:r w:rsidRPr="00CE2C77">
              <w:rPr>
                <w:rFonts w:ascii="Arial Narrow" w:hAnsi="Arial Narrow" w:cs="Arial"/>
                <w:snapToGrid w:val="0"/>
                <w:sz w:val="20"/>
                <w:szCs w:val="20"/>
                <w:lang w:val="en-US"/>
              </w:rPr>
              <w:t>Death rate for hospitalised pneumonia</w:t>
            </w:r>
          </w:p>
        </w:tc>
        <w:tc>
          <w:tcPr>
            <w:tcW w:w="2589" w:type="pct"/>
            <w:shd w:val="clear" w:color="auto" w:fill="auto"/>
            <w:vAlign w:val="center"/>
          </w:tcPr>
          <w:p w:rsidR="00CE2C77" w:rsidRPr="00CE2C77" w:rsidRDefault="00CE2C77" w:rsidP="002914D3">
            <w:pPr>
              <w:keepNext/>
              <w:rPr>
                <w:rFonts w:ascii="Arial Narrow" w:hAnsi="Arial Narrow" w:cs="Arial"/>
                <w:snapToGrid w:val="0"/>
                <w:sz w:val="20"/>
                <w:szCs w:val="20"/>
                <w:lang w:val="en-US"/>
              </w:rPr>
            </w:pPr>
            <w:r w:rsidRPr="00CE2C77">
              <w:rPr>
                <w:rFonts w:ascii="Arial Narrow" w:hAnsi="Arial Narrow" w:cs="Arial"/>
                <w:snapToGrid w:val="0"/>
                <w:sz w:val="20"/>
                <w:szCs w:val="20"/>
                <w:lang w:val="en-US"/>
              </w:rPr>
              <w:t>10.0%, sourced from Australian study of 855 cases of pneumonia, estimate recommended  by ATAGI</w:t>
            </w:r>
          </w:p>
        </w:tc>
        <w:tc>
          <w:tcPr>
            <w:tcW w:w="1326" w:type="pct"/>
            <w:shd w:val="clear" w:color="auto" w:fill="auto"/>
            <w:vAlign w:val="center"/>
          </w:tcPr>
          <w:p w:rsidR="00CE2C77" w:rsidRPr="00CE2C77" w:rsidRDefault="00CE2C77" w:rsidP="002914D3">
            <w:pPr>
              <w:keepNext/>
              <w:jc w:val="center"/>
              <w:rPr>
                <w:rFonts w:ascii="Arial Narrow" w:hAnsi="Arial Narrow" w:cs="Arial"/>
                <w:snapToGrid w:val="0"/>
                <w:sz w:val="20"/>
                <w:szCs w:val="20"/>
                <w:lang w:val="en-US"/>
              </w:rPr>
            </w:pPr>
            <w:r w:rsidRPr="00CE2C77">
              <w:rPr>
                <w:rFonts w:ascii="Arial Narrow" w:hAnsi="Arial Narrow" w:cs="Arial"/>
                <w:snapToGrid w:val="0"/>
                <w:sz w:val="20"/>
                <w:szCs w:val="20"/>
                <w:lang w:val="en-US"/>
              </w:rPr>
              <w:t>High</w:t>
            </w:r>
          </w:p>
        </w:tc>
      </w:tr>
      <w:tr w:rsidR="00CE2C77" w:rsidRPr="00CE2C77" w:rsidTr="00CE2C77">
        <w:tc>
          <w:tcPr>
            <w:tcW w:w="1086" w:type="pct"/>
            <w:shd w:val="clear" w:color="auto" w:fill="auto"/>
            <w:vAlign w:val="center"/>
          </w:tcPr>
          <w:p w:rsidR="00CE2C77" w:rsidRPr="00CE2C77" w:rsidRDefault="00CE2C77" w:rsidP="002914D3">
            <w:pPr>
              <w:keepNext/>
              <w:rPr>
                <w:rFonts w:ascii="Arial Narrow" w:hAnsi="Arial Narrow" w:cs="Arial"/>
                <w:snapToGrid w:val="0"/>
                <w:sz w:val="20"/>
                <w:szCs w:val="20"/>
                <w:lang w:val="en-US"/>
              </w:rPr>
            </w:pPr>
            <w:r w:rsidRPr="00CE2C77">
              <w:rPr>
                <w:rFonts w:ascii="Arial Narrow" w:hAnsi="Arial Narrow" w:cs="Arial"/>
                <w:snapToGrid w:val="0"/>
                <w:sz w:val="20"/>
                <w:szCs w:val="20"/>
                <w:lang w:val="en-US"/>
              </w:rPr>
              <w:t>Discount rate</w:t>
            </w:r>
          </w:p>
        </w:tc>
        <w:tc>
          <w:tcPr>
            <w:tcW w:w="2589" w:type="pct"/>
            <w:shd w:val="clear" w:color="auto" w:fill="auto"/>
            <w:vAlign w:val="center"/>
          </w:tcPr>
          <w:p w:rsidR="00CE2C77" w:rsidRPr="00CE2C77" w:rsidRDefault="00CE2C77" w:rsidP="002914D3">
            <w:pPr>
              <w:keepNext/>
              <w:rPr>
                <w:rFonts w:ascii="Arial Narrow" w:hAnsi="Arial Narrow" w:cs="Arial"/>
                <w:snapToGrid w:val="0"/>
                <w:sz w:val="20"/>
                <w:szCs w:val="20"/>
                <w:lang w:val="en-US"/>
              </w:rPr>
            </w:pPr>
            <w:r w:rsidRPr="00CE2C77">
              <w:rPr>
                <w:rFonts w:ascii="Arial Narrow" w:hAnsi="Arial Narrow" w:cs="Arial"/>
                <w:snapToGrid w:val="0"/>
                <w:sz w:val="20"/>
                <w:szCs w:val="20"/>
                <w:lang w:val="en-US"/>
              </w:rPr>
              <w:t>5% in base case, 0-10% in sensitivity analyses</w:t>
            </w:r>
          </w:p>
        </w:tc>
        <w:tc>
          <w:tcPr>
            <w:tcW w:w="1326" w:type="pct"/>
            <w:shd w:val="clear" w:color="auto" w:fill="auto"/>
            <w:vAlign w:val="center"/>
          </w:tcPr>
          <w:p w:rsidR="00CE2C77" w:rsidRPr="00CE2C77" w:rsidRDefault="00CE2C77" w:rsidP="002914D3">
            <w:pPr>
              <w:keepNext/>
              <w:jc w:val="center"/>
              <w:rPr>
                <w:rFonts w:ascii="Arial Narrow" w:hAnsi="Arial Narrow" w:cs="Arial"/>
                <w:snapToGrid w:val="0"/>
                <w:sz w:val="20"/>
                <w:szCs w:val="20"/>
                <w:lang w:val="en-US"/>
              </w:rPr>
            </w:pPr>
            <w:r w:rsidRPr="00CE2C77">
              <w:rPr>
                <w:rFonts w:ascii="Arial Narrow" w:hAnsi="Arial Narrow" w:cs="Arial"/>
                <w:snapToGrid w:val="0"/>
                <w:sz w:val="20"/>
                <w:szCs w:val="20"/>
                <w:lang w:val="en-US"/>
              </w:rPr>
              <w:t>High</w:t>
            </w:r>
          </w:p>
        </w:tc>
      </w:tr>
    </w:tbl>
    <w:p w:rsidR="00CE2C77" w:rsidRPr="00CE2C77" w:rsidRDefault="00CE2C77" w:rsidP="00AD362F">
      <w:pPr>
        <w:ind w:firstLine="720"/>
        <w:jc w:val="both"/>
        <w:rPr>
          <w:rFonts w:ascii="Arial Narrow" w:hAnsi="Arial Narrow" w:cs="Arial"/>
          <w:snapToGrid w:val="0"/>
          <w:sz w:val="18"/>
          <w:szCs w:val="20"/>
        </w:rPr>
      </w:pPr>
      <w:r w:rsidRPr="00CE2C77">
        <w:rPr>
          <w:rFonts w:ascii="Arial Narrow" w:hAnsi="Arial Narrow" w:cs="Arial"/>
          <w:snapToGrid w:val="0"/>
          <w:sz w:val="18"/>
          <w:szCs w:val="20"/>
        </w:rPr>
        <w:t>Source: compiled during the evaluation</w:t>
      </w:r>
    </w:p>
    <w:p w:rsidR="00CE2C77" w:rsidRPr="00CE2C77" w:rsidRDefault="00CE2C77" w:rsidP="00AD362F">
      <w:pPr>
        <w:jc w:val="both"/>
        <w:rPr>
          <w:rFonts w:ascii="Arial" w:hAnsi="Arial" w:cs="Arial"/>
          <w:snapToGrid w:val="0"/>
          <w:sz w:val="22"/>
          <w:szCs w:val="22"/>
        </w:rPr>
      </w:pPr>
    </w:p>
    <w:p w:rsidR="00DC1415" w:rsidRPr="00517B6E" w:rsidRDefault="00CE2C77" w:rsidP="00AD362F">
      <w:pPr>
        <w:numPr>
          <w:ilvl w:val="1"/>
          <w:numId w:val="3"/>
        </w:numPr>
        <w:contextualSpacing/>
        <w:jc w:val="both"/>
        <w:rPr>
          <w:rFonts w:ascii="Arial" w:hAnsi="Arial" w:cs="Arial"/>
          <w:snapToGrid w:val="0"/>
          <w:sz w:val="22"/>
          <w:szCs w:val="22"/>
        </w:rPr>
      </w:pPr>
      <w:r w:rsidRPr="00517B6E">
        <w:rPr>
          <w:rFonts w:ascii="Arial" w:hAnsi="Arial" w:cs="Arial"/>
          <w:snapToGrid w:val="0"/>
          <w:sz w:val="22"/>
          <w:szCs w:val="22"/>
        </w:rPr>
        <w:t>The model calculations provided with the submission</w:t>
      </w:r>
      <w:r w:rsidRPr="00517B6E">
        <w:rPr>
          <w:rFonts w:ascii="Arial" w:hAnsi="Arial" w:cs="Arial"/>
          <w:snapToGrid w:val="0"/>
          <w:color w:val="3366FF"/>
          <w:sz w:val="22"/>
          <w:szCs w:val="20"/>
        </w:rPr>
        <w:t xml:space="preserve"> </w:t>
      </w:r>
      <w:r w:rsidRPr="00517B6E">
        <w:rPr>
          <w:rFonts w:ascii="Arial" w:hAnsi="Arial" w:cs="Arial"/>
          <w:snapToGrid w:val="0"/>
          <w:sz w:val="22"/>
          <w:szCs w:val="22"/>
        </w:rPr>
        <w:t xml:space="preserve">applied the 13vPCV </w:t>
      </w:r>
      <w:r w:rsidR="00454C00">
        <w:rPr>
          <w:rFonts w:ascii="Arial" w:hAnsi="Arial" w:cs="Arial"/>
          <w:snapToGrid w:val="0"/>
          <w:sz w:val="22"/>
          <w:szCs w:val="22"/>
        </w:rPr>
        <w:t>vaccine efficacy</w:t>
      </w:r>
      <w:r w:rsidR="00454C00" w:rsidRPr="00517B6E">
        <w:rPr>
          <w:rFonts w:ascii="Arial" w:hAnsi="Arial" w:cs="Arial"/>
          <w:snapToGrid w:val="0"/>
          <w:sz w:val="22"/>
          <w:szCs w:val="22"/>
        </w:rPr>
        <w:t xml:space="preserve"> </w:t>
      </w:r>
      <w:r w:rsidRPr="00517B6E">
        <w:rPr>
          <w:rFonts w:ascii="Arial" w:hAnsi="Arial" w:cs="Arial"/>
          <w:snapToGrid w:val="0"/>
          <w:sz w:val="22"/>
          <w:szCs w:val="22"/>
        </w:rPr>
        <w:t xml:space="preserve">for pneumonia events twice. </w:t>
      </w:r>
      <w:r w:rsidR="00C71603" w:rsidRPr="00517B6E">
        <w:rPr>
          <w:rFonts w:ascii="Arial" w:hAnsi="Arial" w:cs="Arial"/>
          <w:snapToGrid w:val="0"/>
          <w:sz w:val="22"/>
          <w:szCs w:val="22"/>
        </w:rPr>
        <w:t xml:space="preserve">The PSCR agreed this calculation was erroneous. </w:t>
      </w:r>
      <w:r w:rsidRPr="00517B6E">
        <w:rPr>
          <w:rFonts w:ascii="Arial" w:hAnsi="Arial" w:cs="Arial"/>
          <w:snapToGrid w:val="0"/>
          <w:sz w:val="22"/>
          <w:szCs w:val="20"/>
        </w:rPr>
        <w:t xml:space="preserve">This </w:t>
      </w:r>
      <w:r w:rsidR="00F10871" w:rsidRPr="00517B6E">
        <w:rPr>
          <w:rFonts w:ascii="Arial" w:hAnsi="Arial" w:cs="Arial"/>
          <w:snapToGrid w:val="0"/>
          <w:sz w:val="22"/>
          <w:szCs w:val="20"/>
        </w:rPr>
        <w:t xml:space="preserve">error </w:t>
      </w:r>
      <w:r w:rsidRPr="00517B6E">
        <w:rPr>
          <w:rFonts w:ascii="Arial" w:hAnsi="Arial" w:cs="Arial"/>
          <w:snapToGrid w:val="0"/>
          <w:sz w:val="22"/>
          <w:szCs w:val="20"/>
        </w:rPr>
        <w:t>ha</w:t>
      </w:r>
      <w:r w:rsidR="00F10871" w:rsidRPr="00517B6E">
        <w:rPr>
          <w:rFonts w:ascii="Arial" w:hAnsi="Arial" w:cs="Arial"/>
          <w:snapToGrid w:val="0"/>
          <w:sz w:val="22"/>
          <w:szCs w:val="20"/>
        </w:rPr>
        <w:t>d</w:t>
      </w:r>
      <w:r w:rsidRPr="00517B6E">
        <w:rPr>
          <w:rFonts w:ascii="Arial" w:hAnsi="Arial" w:cs="Arial"/>
          <w:snapToGrid w:val="0"/>
          <w:sz w:val="22"/>
          <w:szCs w:val="20"/>
        </w:rPr>
        <w:t xml:space="preserve"> a large impact on the results. </w:t>
      </w:r>
      <w:r w:rsidR="00DC1415" w:rsidRPr="00517B6E">
        <w:rPr>
          <w:rFonts w:ascii="Arial" w:hAnsi="Arial" w:cs="Arial"/>
          <w:snapToGrid w:val="0"/>
          <w:sz w:val="22"/>
          <w:szCs w:val="20"/>
        </w:rPr>
        <w:t xml:space="preserve">Additionally there </w:t>
      </w:r>
      <w:r w:rsidR="00795DF6" w:rsidRPr="00517B6E">
        <w:rPr>
          <w:rFonts w:ascii="Arial" w:hAnsi="Arial" w:cs="Arial"/>
          <w:snapToGrid w:val="0"/>
          <w:sz w:val="22"/>
          <w:szCs w:val="20"/>
        </w:rPr>
        <w:t>wa</w:t>
      </w:r>
      <w:r w:rsidR="00DC1415" w:rsidRPr="00517B6E">
        <w:rPr>
          <w:rFonts w:ascii="Arial" w:hAnsi="Arial" w:cs="Arial"/>
          <w:snapToGrid w:val="0"/>
          <w:sz w:val="22"/>
          <w:szCs w:val="20"/>
        </w:rPr>
        <w:t>s also an error in the calculation of the incidence of pneumonia event</w:t>
      </w:r>
      <w:r w:rsidR="003E2F68">
        <w:rPr>
          <w:rFonts w:ascii="Arial" w:hAnsi="Arial" w:cs="Arial"/>
          <w:snapToGrid w:val="0"/>
          <w:sz w:val="22"/>
          <w:szCs w:val="20"/>
        </w:rPr>
        <w:t>s with 13vPCV (although this had</w:t>
      </w:r>
      <w:r w:rsidR="00DC1415" w:rsidRPr="00517B6E">
        <w:rPr>
          <w:rFonts w:ascii="Arial" w:hAnsi="Arial" w:cs="Arial"/>
          <w:snapToGrid w:val="0"/>
          <w:sz w:val="22"/>
          <w:szCs w:val="20"/>
        </w:rPr>
        <w:t xml:space="preserve"> minimal impact on the results).</w:t>
      </w:r>
      <w:r w:rsidR="00DC1415" w:rsidRPr="00517B6E">
        <w:rPr>
          <w:rFonts w:ascii="Arial" w:hAnsi="Arial" w:cs="Arial"/>
          <w:snapToGrid w:val="0"/>
          <w:sz w:val="22"/>
          <w:szCs w:val="22"/>
        </w:rPr>
        <w:t xml:space="preserve"> The PSCR disagreed that this calculation was an error</w:t>
      </w:r>
      <w:r w:rsidR="00F10871" w:rsidRPr="00517B6E">
        <w:rPr>
          <w:rFonts w:ascii="Arial" w:hAnsi="Arial" w:cs="Arial"/>
          <w:snapToGrid w:val="0"/>
          <w:sz w:val="22"/>
          <w:szCs w:val="22"/>
        </w:rPr>
        <w:t>,</w:t>
      </w:r>
      <w:r w:rsidR="00DC1415" w:rsidRPr="00517B6E">
        <w:rPr>
          <w:rFonts w:ascii="Arial" w:hAnsi="Arial" w:cs="Arial"/>
          <w:snapToGrid w:val="0"/>
          <w:sz w:val="22"/>
          <w:szCs w:val="22"/>
        </w:rPr>
        <w:t xml:space="preserve"> claiming that the evaluator misunderstood the formula. The ESC disagreed with the PSCR and agreed with the evaluator that incidence of pneumonia </w:t>
      </w:r>
      <w:r w:rsidR="00F22B2A" w:rsidRPr="00517B6E">
        <w:rPr>
          <w:rFonts w:ascii="Arial" w:hAnsi="Arial" w:cs="Arial"/>
          <w:snapToGrid w:val="0"/>
          <w:sz w:val="22"/>
          <w:szCs w:val="22"/>
        </w:rPr>
        <w:t xml:space="preserve">events </w:t>
      </w:r>
      <w:r w:rsidR="00DC1415" w:rsidRPr="00517B6E">
        <w:rPr>
          <w:rFonts w:ascii="Arial" w:hAnsi="Arial" w:cs="Arial"/>
          <w:snapToGrid w:val="0"/>
          <w:sz w:val="22"/>
          <w:szCs w:val="22"/>
        </w:rPr>
        <w:t>with 13vPCV was incorrectly calculated.</w:t>
      </w:r>
      <w:r w:rsidR="00634CA1" w:rsidRPr="00517B6E">
        <w:rPr>
          <w:rFonts w:ascii="Arial" w:hAnsi="Arial" w:cs="Arial"/>
          <w:snapToGrid w:val="0"/>
          <w:sz w:val="22"/>
          <w:szCs w:val="22"/>
        </w:rPr>
        <w:t xml:space="preserve"> The following table presents the cost per LY gained presented in the submission, evaluation and the PSCR. The ESC considered that the ICERs presented in the evaluation were the most appropriate.</w:t>
      </w:r>
    </w:p>
    <w:p w:rsidR="00DC1415" w:rsidRDefault="00DC1415" w:rsidP="00AD362F">
      <w:pPr>
        <w:ind w:left="720"/>
        <w:contextualSpacing/>
        <w:jc w:val="both"/>
        <w:rPr>
          <w:rFonts w:ascii="Arial" w:hAnsi="Arial" w:cs="Arial"/>
          <w:i/>
          <w:snapToGrid w:val="0"/>
          <w:sz w:val="22"/>
          <w:szCs w:val="22"/>
        </w:rPr>
      </w:pPr>
    </w:p>
    <w:p w:rsidR="00634CA1" w:rsidRPr="00174BB4" w:rsidRDefault="00634CA1" w:rsidP="00AD362F">
      <w:pPr>
        <w:ind w:firstLine="709"/>
        <w:rPr>
          <w:rFonts w:ascii="Arial Narrow" w:hAnsi="Arial Narrow"/>
          <w:b/>
          <w:sz w:val="20"/>
          <w:szCs w:val="20"/>
        </w:rPr>
      </w:pPr>
      <w:r w:rsidRPr="00174BB4">
        <w:rPr>
          <w:rFonts w:ascii="Arial Narrow" w:hAnsi="Arial Narrow"/>
          <w:b/>
          <w:sz w:val="20"/>
          <w:szCs w:val="20"/>
        </w:rPr>
        <w:t xml:space="preserve">ICERs (cost/LYG) in submission, </w:t>
      </w:r>
      <w:r>
        <w:rPr>
          <w:rFonts w:ascii="Arial Narrow" w:hAnsi="Arial Narrow"/>
          <w:b/>
          <w:sz w:val="20"/>
          <w:szCs w:val="20"/>
        </w:rPr>
        <w:t>evaluation</w:t>
      </w:r>
      <w:r w:rsidRPr="00174BB4">
        <w:rPr>
          <w:rFonts w:ascii="Arial Narrow" w:hAnsi="Arial Narrow"/>
          <w:b/>
          <w:sz w:val="20"/>
          <w:szCs w:val="20"/>
        </w:rPr>
        <w:t xml:space="preserve"> and Pre-Sub-Committee Response</w:t>
      </w:r>
    </w:p>
    <w:tbl>
      <w:tblPr>
        <w:tblW w:w="850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992"/>
        <w:gridCol w:w="1843"/>
      </w:tblGrid>
      <w:tr w:rsidR="00634CA1" w:rsidRPr="00174BB4" w:rsidTr="00634CA1">
        <w:tc>
          <w:tcPr>
            <w:tcW w:w="5670" w:type="dxa"/>
            <w:shd w:val="clear" w:color="auto" w:fill="auto"/>
          </w:tcPr>
          <w:p w:rsidR="00634CA1" w:rsidRPr="00174BB4" w:rsidRDefault="00634CA1" w:rsidP="00AD362F">
            <w:pPr>
              <w:rPr>
                <w:rFonts w:ascii="Arial Narrow" w:hAnsi="Arial Narrow"/>
                <w:b/>
                <w:sz w:val="20"/>
                <w:szCs w:val="20"/>
              </w:rPr>
            </w:pPr>
            <w:r w:rsidRPr="00174BB4">
              <w:rPr>
                <w:rFonts w:ascii="Arial Narrow" w:hAnsi="Arial Narrow"/>
                <w:b/>
                <w:sz w:val="20"/>
                <w:szCs w:val="20"/>
              </w:rPr>
              <w:t>Source (changes vs submission)</w:t>
            </w:r>
          </w:p>
        </w:tc>
        <w:tc>
          <w:tcPr>
            <w:tcW w:w="992" w:type="dxa"/>
            <w:shd w:val="clear" w:color="auto" w:fill="auto"/>
          </w:tcPr>
          <w:p w:rsidR="00634CA1" w:rsidRPr="00174BB4" w:rsidRDefault="00634CA1" w:rsidP="00AD362F">
            <w:pPr>
              <w:rPr>
                <w:rFonts w:ascii="Arial Narrow" w:hAnsi="Arial Narrow"/>
                <w:b/>
                <w:sz w:val="20"/>
                <w:szCs w:val="20"/>
              </w:rPr>
            </w:pPr>
            <w:r w:rsidRPr="00174BB4">
              <w:rPr>
                <w:rFonts w:ascii="Arial Narrow" w:hAnsi="Arial Narrow"/>
                <w:b/>
                <w:sz w:val="20"/>
                <w:szCs w:val="20"/>
              </w:rPr>
              <w:t>Primary program</w:t>
            </w:r>
          </w:p>
        </w:tc>
        <w:tc>
          <w:tcPr>
            <w:tcW w:w="1843" w:type="dxa"/>
            <w:shd w:val="clear" w:color="auto" w:fill="auto"/>
          </w:tcPr>
          <w:p w:rsidR="00634CA1" w:rsidRPr="00174BB4" w:rsidRDefault="00634CA1" w:rsidP="00AD362F">
            <w:pPr>
              <w:rPr>
                <w:rFonts w:ascii="Arial Narrow" w:hAnsi="Arial Narrow"/>
                <w:b/>
                <w:sz w:val="20"/>
                <w:szCs w:val="20"/>
              </w:rPr>
            </w:pPr>
            <w:r w:rsidRPr="00174BB4">
              <w:rPr>
                <w:rFonts w:ascii="Arial Narrow" w:hAnsi="Arial Narrow"/>
                <w:b/>
                <w:sz w:val="20"/>
                <w:szCs w:val="20"/>
              </w:rPr>
              <w:t>Catch-up program</w:t>
            </w:r>
            <w:r>
              <w:rPr>
                <w:rFonts w:ascii="Arial Narrow" w:hAnsi="Arial Narrow"/>
                <w:b/>
                <w:sz w:val="20"/>
                <w:szCs w:val="20"/>
              </w:rPr>
              <w:t xml:space="preserve"> (70</w:t>
            </w:r>
            <w:r>
              <w:rPr>
                <w:rFonts w:ascii="Arial Narrow" w:hAnsi="Arial Narrow"/>
                <w:b/>
                <w:sz w:val="20"/>
                <w:szCs w:val="20"/>
              </w:rPr>
              <w:noBreakHyphen/>
              <w:t>84 years)</w:t>
            </w:r>
          </w:p>
        </w:tc>
      </w:tr>
      <w:tr w:rsidR="00634CA1" w:rsidRPr="00174BB4" w:rsidTr="00F573B9">
        <w:tc>
          <w:tcPr>
            <w:tcW w:w="5670" w:type="dxa"/>
            <w:shd w:val="clear" w:color="auto" w:fill="auto"/>
          </w:tcPr>
          <w:p w:rsidR="00634CA1" w:rsidRPr="00174BB4" w:rsidRDefault="00634CA1" w:rsidP="00AD362F">
            <w:pPr>
              <w:rPr>
                <w:rFonts w:ascii="Arial Narrow" w:hAnsi="Arial Narrow"/>
                <w:sz w:val="20"/>
                <w:szCs w:val="20"/>
              </w:rPr>
            </w:pPr>
            <w:r w:rsidRPr="00174BB4">
              <w:rPr>
                <w:rFonts w:ascii="Arial Narrow" w:hAnsi="Arial Narrow"/>
                <w:sz w:val="20"/>
                <w:szCs w:val="20"/>
              </w:rPr>
              <w:t>Submission: (i) 13vPCV efficacy applied for 13vPCV-non7vPCV serotypes and used 2012 serotype data; (ii) 13vPCV efficacy applied twice</w:t>
            </w:r>
          </w:p>
        </w:tc>
        <w:tc>
          <w:tcPr>
            <w:tcW w:w="992" w:type="dxa"/>
            <w:shd w:val="clear" w:color="auto" w:fill="auto"/>
          </w:tcPr>
          <w:p w:rsidR="00634CA1" w:rsidRPr="008D2701" w:rsidRDefault="008D2701" w:rsidP="00AD362F">
            <w:pPr>
              <w:rPr>
                <w:rFonts w:ascii="Arial Narrow" w:hAnsi="Arial Narrow"/>
                <w:sz w:val="20"/>
                <w:szCs w:val="20"/>
                <w:highlight w:val="black"/>
              </w:rPr>
            </w:pPr>
            <w:r>
              <w:rPr>
                <w:rFonts w:ascii="Arial Narrow" w:hAnsi="Arial Narrow"/>
                <w:noProof/>
                <w:color w:val="000000"/>
                <w:sz w:val="20"/>
                <w:szCs w:val="20"/>
                <w:highlight w:val="black"/>
              </w:rPr>
              <w:t>'''''''''''''''''''''''</w:t>
            </w:r>
          </w:p>
        </w:tc>
        <w:tc>
          <w:tcPr>
            <w:tcW w:w="1843" w:type="dxa"/>
            <w:shd w:val="clear" w:color="auto" w:fill="auto"/>
          </w:tcPr>
          <w:p w:rsidR="00634CA1" w:rsidRPr="00382D66" w:rsidRDefault="00634CA1" w:rsidP="00AD362F">
            <w:pPr>
              <w:rPr>
                <w:rFonts w:ascii="Arial Narrow" w:hAnsi="Arial Narrow"/>
                <w:sz w:val="20"/>
                <w:szCs w:val="20"/>
              </w:rPr>
            </w:pPr>
            <w:r w:rsidRPr="00382D66">
              <w:rPr>
                <w:rFonts w:ascii="Arial Narrow" w:hAnsi="Arial Narrow"/>
                <w:sz w:val="20"/>
                <w:szCs w:val="20"/>
              </w:rPr>
              <w:t>$</w:t>
            </w:r>
            <w:r w:rsidR="008D2701">
              <w:rPr>
                <w:rFonts w:ascii="Arial Narrow" w:hAnsi="Arial Narrow"/>
                <w:noProof/>
                <w:color w:val="000000"/>
                <w:sz w:val="20"/>
                <w:szCs w:val="20"/>
                <w:highlight w:val="black"/>
              </w:rPr>
              <w:t>''''''''''''''''</w:t>
            </w:r>
          </w:p>
        </w:tc>
      </w:tr>
      <w:tr w:rsidR="00634CA1" w:rsidRPr="00174BB4" w:rsidTr="00F573B9">
        <w:tc>
          <w:tcPr>
            <w:tcW w:w="5670" w:type="dxa"/>
            <w:shd w:val="clear" w:color="auto" w:fill="auto"/>
          </w:tcPr>
          <w:p w:rsidR="00634CA1" w:rsidRPr="00174BB4" w:rsidRDefault="00634CA1" w:rsidP="00AD362F">
            <w:pPr>
              <w:rPr>
                <w:rFonts w:ascii="Arial Narrow" w:hAnsi="Arial Narrow"/>
                <w:sz w:val="20"/>
                <w:szCs w:val="20"/>
              </w:rPr>
            </w:pPr>
            <w:r>
              <w:rPr>
                <w:rFonts w:ascii="Arial Narrow" w:hAnsi="Arial Narrow"/>
                <w:sz w:val="20"/>
                <w:szCs w:val="20"/>
              </w:rPr>
              <w:t>Evaluation</w:t>
            </w:r>
            <w:r w:rsidRPr="00174BB4">
              <w:rPr>
                <w:rFonts w:ascii="Arial Narrow" w:hAnsi="Arial Narrow"/>
                <w:sz w:val="20"/>
                <w:szCs w:val="20"/>
              </w:rPr>
              <w:t>: (i) 13vPCV efficacy applied for all 13vPCV serotypes and used 2013/2014 serotype data; (ii) 13vPCV efficacy applied once</w:t>
            </w:r>
          </w:p>
        </w:tc>
        <w:tc>
          <w:tcPr>
            <w:tcW w:w="992" w:type="dxa"/>
            <w:shd w:val="clear" w:color="auto" w:fill="auto"/>
          </w:tcPr>
          <w:p w:rsidR="00634CA1" w:rsidRPr="00382D66" w:rsidRDefault="00634CA1" w:rsidP="00AD362F">
            <w:pPr>
              <w:rPr>
                <w:rFonts w:ascii="Arial Narrow" w:hAnsi="Arial Narrow"/>
                <w:sz w:val="20"/>
                <w:szCs w:val="20"/>
              </w:rPr>
            </w:pPr>
            <w:r w:rsidRPr="00382D66">
              <w:rPr>
                <w:rFonts w:ascii="Arial Narrow" w:hAnsi="Arial Narrow"/>
                <w:sz w:val="20"/>
                <w:szCs w:val="20"/>
              </w:rPr>
              <w:t>$</w:t>
            </w:r>
            <w:r w:rsidR="008D2701">
              <w:rPr>
                <w:rFonts w:ascii="Arial Narrow" w:hAnsi="Arial Narrow"/>
                <w:noProof/>
                <w:color w:val="000000"/>
                <w:sz w:val="20"/>
                <w:szCs w:val="20"/>
                <w:highlight w:val="black"/>
              </w:rPr>
              <w:t>''''''''''''''</w:t>
            </w:r>
          </w:p>
        </w:tc>
        <w:tc>
          <w:tcPr>
            <w:tcW w:w="1843" w:type="dxa"/>
            <w:shd w:val="clear" w:color="auto" w:fill="auto"/>
          </w:tcPr>
          <w:p w:rsidR="00634CA1" w:rsidRPr="00382D66" w:rsidRDefault="00634CA1" w:rsidP="00AD362F">
            <w:pPr>
              <w:rPr>
                <w:rFonts w:ascii="Arial Narrow" w:hAnsi="Arial Narrow"/>
                <w:sz w:val="20"/>
                <w:szCs w:val="20"/>
              </w:rPr>
            </w:pPr>
            <w:r w:rsidRPr="00382D66">
              <w:rPr>
                <w:rFonts w:ascii="Arial Narrow" w:hAnsi="Arial Narrow"/>
                <w:sz w:val="20"/>
                <w:szCs w:val="20"/>
              </w:rPr>
              <w:t>$</w:t>
            </w:r>
            <w:r w:rsidR="008D2701">
              <w:rPr>
                <w:rFonts w:ascii="Arial Narrow" w:hAnsi="Arial Narrow"/>
                <w:noProof/>
                <w:color w:val="000000"/>
                <w:sz w:val="20"/>
                <w:szCs w:val="20"/>
                <w:highlight w:val="black"/>
              </w:rPr>
              <w:t>'''''''''''''''''''</w:t>
            </w:r>
          </w:p>
        </w:tc>
      </w:tr>
      <w:tr w:rsidR="00634CA1" w:rsidRPr="00174BB4" w:rsidTr="00F573B9">
        <w:tc>
          <w:tcPr>
            <w:tcW w:w="5670" w:type="dxa"/>
            <w:shd w:val="clear" w:color="auto" w:fill="auto"/>
          </w:tcPr>
          <w:p w:rsidR="00634CA1" w:rsidRPr="00174BB4" w:rsidRDefault="00634CA1" w:rsidP="00AD362F">
            <w:pPr>
              <w:rPr>
                <w:rFonts w:ascii="Arial Narrow" w:hAnsi="Arial Narrow"/>
                <w:sz w:val="20"/>
                <w:szCs w:val="20"/>
              </w:rPr>
            </w:pPr>
            <w:r w:rsidRPr="00174BB4">
              <w:rPr>
                <w:rFonts w:ascii="Arial Narrow" w:hAnsi="Arial Narrow"/>
                <w:sz w:val="20"/>
                <w:szCs w:val="20"/>
              </w:rPr>
              <w:t>Pre-Sub-Committee Response: (i) 13vPCV efficacy applied for 13vPCV-non7vPCV serotypes and used 2012 serotype data; (ii) 13vPCV efficacy applied once</w:t>
            </w:r>
          </w:p>
        </w:tc>
        <w:tc>
          <w:tcPr>
            <w:tcW w:w="992" w:type="dxa"/>
            <w:shd w:val="clear" w:color="auto" w:fill="auto"/>
          </w:tcPr>
          <w:p w:rsidR="00634CA1" w:rsidRPr="00382D66" w:rsidRDefault="00634CA1" w:rsidP="00AD362F">
            <w:pPr>
              <w:rPr>
                <w:rFonts w:ascii="Arial Narrow" w:hAnsi="Arial Narrow"/>
                <w:sz w:val="20"/>
                <w:szCs w:val="20"/>
              </w:rPr>
            </w:pPr>
            <w:r w:rsidRPr="00382D66">
              <w:rPr>
                <w:rFonts w:ascii="Arial Narrow" w:hAnsi="Arial Narrow"/>
                <w:sz w:val="20"/>
                <w:szCs w:val="20"/>
              </w:rPr>
              <w:t>$</w:t>
            </w:r>
            <w:r w:rsidR="008D2701">
              <w:rPr>
                <w:rFonts w:ascii="Arial Narrow" w:hAnsi="Arial Narrow"/>
                <w:noProof/>
                <w:color w:val="000000"/>
                <w:sz w:val="20"/>
                <w:szCs w:val="20"/>
                <w:highlight w:val="black"/>
              </w:rPr>
              <w:t>'''''''''''''''</w:t>
            </w:r>
          </w:p>
        </w:tc>
        <w:tc>
          <w:tcPr>
            <w:tcW w:w="1843" w:type="dxa"/>
            <w:shd w:val="clear" w:color="auto" w:fill="auto"/>
          </w:tcPr>
          <w:p w:rsidR="00634CA1" w:rsidRPr="00382D66" w:rsidRDefault="00634CA1" w:rsidP="00AD362F">
            <w:pPr>
              <w:rPr>
                <w:rFonts w:ascii="Arial Narrow" w:hAnsi="Arial Narrow"/>
                <w:sz w:val="20"/>
                <w:szCs w:val="20"/>
              </w:rPr>
            </w:pPr>
            <w:r w:rsidRPr="00382D66">
              <w:rPr>
                <w:rFonts w:ascii="Arial Narrow" w:hAnsi="Arial Narrow"/>
                <w:sz w:val="20"/>
                <w:szCs w:val="20"/>
              </w:rPr>
              <w:t>$</w:t>
            </w:r>
            <w:r w:rsidR="008D2701">
              <w:rPr>
                <w:rFonts w:ascii="Arial Narrow" w:hAnsi="Arial Narrow"/>
                <w:noProof/>
                <w:color w:val="000000"/>
                <w:sz w:val="20"/>
                <w:szCs w:val="20"/>
                <w:highlight w:val="black"/>
              </w:rPr>
              <w:t>'''''''''''''''''''''</w:t>
            </w:r>
          </w:p>
        </w:tc>
      </w:tr>
    </w:tbl>
    <w:p w:rsidR="00634CA1" w:rsidRDefault="00634CA1" w:rsidP="00AD362F">
      <w:pPr>
        <w:ind w:firstLine="709"/>
        <w:rPr>
          <w:rFonts w:ascii="Arial Narrow" w:hAnsi="Arial Narrow" w:cs="Arial"/>
          <w:snapToGrid w:val="0"/>
          <w:sz w:val="18"/>
          <w:szCs w:val="20"/>
        </w:rPr>
      </w:pPr>
      <w:r w:rsidRPr="00174BB4">
        <w:rPr>
          <w:rFonts w:ascii="Arial Narrow" w:hAnsi="Arial Narrow" w:cs="Arial"/>
          <w:snapToGrid w:val="0"/>
          <w:sz w:val="18"/>
          <w:szCs w:val="20"/>
        </w:rPr>
        <w:t>Source: Table 7, p 6.06.COM.13 of the Commentary; page 3 of the Pre-Sub-Committee Response</w:t>
      </w:r>
    </w:p>
    <w:p w:rsidR="00634CA1" w:rsidRPr="00F573B9" w:rsidRDefault="00634CA1" w:rsidP="00AD362F">
      <w:pPr>
        <w:ind w:firstLine="720"/>
        <w:jc w:val="both"/>
        <w:rPr>
          <w:rFonts w:ascii="Arial Narrow" w:hAnsi="Arial Narrow" w:cs="Arial"/>
          <w:snapToGrid w:val="0"/>
          <w:sz w:val="18"/>
          <w:szCs w:val="20"/>
        </w:rPr>
      </w:pPr>
    </w:p>
    <w:p w:rsidR="00396B86" w:rsidRDefault="00CE2C77" w:rsidP="00200415">
      <w:pPr>
        <w:keepNext/>
        <w:keepLines/>
        <w:numPr>
          <w:ilvl w:val="1"/>
          <w:numId w:val="3"/>
        </w:numPr>
        <w:contextualSpacing/>
        <w:jc w:val="both"/>
        <w:rPr>
          <w:rFonts w:ascii="Arial" w:hAnsi="Arial" w:cs="Arial"/>
          <w:snapToGrid w:val="0"/>
          <w:sz w:val="22"/>
          <w:szCs w:val="22"/>
        </w:rPr>
      </w:pPr>
      <w:r w:rsidRPr="007241AF">
        <w:rPr>
          <w:rFonts w:ascii="Arial" w:hAnsi="Arial" w:cs="Arial"/>
          <w:snapToGrid w:val="0"/>
          <w:sz w:val="22"/>
          <w:szCs w:val="22"/>
        </w:rPr>
        <w:lastRenderedPageBreak/>
        <w:t>For primary prevention</w:t>
      </w:r>
      <w:r w:rsidR="00F10871">
        <w:rPr>
          <w:rFonts w:ascii="Arial" w:hAnsi="Arial" w:cs="Arial"/>
          <w:snapToGrid w:val="0"/>
          <w:sz w:val="22"/>
          <w:szCs w:val="22"/>
        </w:rPr>
        <w:t>,</w:t>
      </w:r>
      <w:r w:rsidRPr="007241AF">
        <w:rPr>
          <w:rFonts w:ascii="Arial" w:hAnsi="Arial" w:cs="Arial"/>
          <w:snapToGrid w:val="0"/>
          <w:sz w:val="22"/>
          <w:szCs w:val="22"/>
        </w:rPr>
        <w:t xml:space="preserve"> the submission estimated a reduction </w:t>
      </w:r>
      <w:r w:rsidR="003E2F68">
        <w:rPr>
          <w:rFonts w:ascii="Arial" w:hAnsi="Arial" w:cs="Arial"/>
          <w:snapToGrid w:val="0"/>
          <w:sz w:val="22"/>
          <w:szCs w:val="22"/>
        </w:rPr>
        <w:t xml:space="preserve">in </w:t>
      </w:r>
      <w:r w:rsidRPr="007241AF">
        <w:rPr>
          <w:rFonts w:ascii="Arial" w:hAnsi="Arial" w:cs="Arial"/>
          <w:snapToGrid w:val="0"/>
          <w:sz w:val="22"/>
          <w:szCs w:val="22"/>
        </w:rPr>
        <w:t xml:space="preserve">16.67 hospital treated pneumonia events and 8.49 GP treated pneumonia </w:t>
      </w:r>
      <w:r w:rsidRPr="00517B6E">
        <w:rPr>
          <w:rFonts w:ascii="Arial" w:hAnsi="Arial" w:cs="Arial"/>
          <w:snapToGrid w:val="0"/>
          <w:sz w:val="22"/>
          <w:szCs w:val="22"/>
        </w:rPr>
        <w:t xml:space="preserve">events per 1,000 population. The corrected estimates </w:t>
      </w:r>
      <w:r w:rsidR="003E2F68">
        <w:rPr>
          <w:rFonts w:ascii="Arial" w:hAnsi="Arial" w:cs="Arial"/>
          <w:snapToGrid w:val="0"/>
          <w:sz w:val="22"/>
          <w:szCs w:val="22"/>
        </w:rPr>
        <w:t>were</w:t>
      </w:r>
      <w:r w:rsidRPr="00517B6E">
        <w:rPr>
          <w:rFonts w:ascii="Arial" w:hAnsi="Arial" w:cs="Arial"/>
          <w:snapToGrid w:val="0"/>
          <w:sz w:val="22"/>
          <w:szCs w:val="22"/>
        </w:rPr>
        <w:t xml:space="preserve"> 4.69 and 2.26</w:t>
      </w:r>
      <w:r w:rsidR="00110ED5" w:rsidRPr="00517B6E">
        <w:rPr>
          <w:rFonts w:ascii="Arial" w:hAnsi="Arial" w:cs="Arial"/>
          <w:snapToGrid w:val="0"/>
          <w:sz w:val="22"/>
          <w:szCs w:val="22"/>
        </w:rPr>
        <w:t xml:space="preserve"> (6.95 in total)</w:t>
      </w:r>
      <w:r w:rsidRPr="00517B6E">
        <w:rPr>
          <w:rFonts w:ascii="Arial" w:hAnsi="Arial" w:cs="Arial"/>
          <w:snapToGrid w:val="0"/>
          <w:sz w:val="22"/>
          <w:szCs w:val="22"/>
        </w:rPr>
        <w:t xml:space="preserve"> per 1,000, respectively.</w:t>
      </w:r>
      <w:r w:rsidR="00110ED5" w:rsidRPr="00517B6E">
        <w:rPr>
          <w:rFonts w:ascii="Arial" w:hAnsi="Arial" w:cs="Arial"/>
          <w:snapToGrid w:val="0"/>
          <w:sz w:val="22"/>
          <w:szCs w:val="22"/>
        </w:rPr>
        <w:t xml:space="preserve"> The PSCR claimed that the corrected figure</w:t>
      </w:r>
      <w:r w:rsidR="00396B86" w:rsidRPr="00517B6E">
        <w:rPr>
          <w:rFonts w:ascii="Arial" w:hAnsi="Arial" w:cs="Arial"/>
          <w:snapToGrid w:val="0"/>
          <w:sz w:val="22"/>
          <w:szCs w:val="22"/>
        </w:rPr>
        <w:t xml:space="preserve"> for the sum of GP and hospital treated pneumonia events</w:t>
      </w:r>
      <w:r w:rsidR="00110ED5" w:rsidRPr="00517B6E">
        <w:rPr>
          <w:rFonts w:ascii="Arial" w:hAnsi="Arial" w:cs="Arial"/>
          <w:snapToGrid w:val="0"/>
          <w:sz w:val="22"/>
          <w:szCs w:val="22"/>
        </w:rPr>
        <w:t xml:space="preserve"> should be 7.06. The ESC </w:t>
      </w:r>
      <w:r w:rsidR="00396B86" w:rsidRPr="00517B6E">
        <w:rPr>
          <w:rFonts w:ascii="Arial" w:hAnsi="Arial" w:cs="Arial"/>
          <w:snapToGrid w:val="0"/>
          <w:sz w:val="22"/>
          <w:szCs w:val="22"/>
        </w:rPr>
        <w:t>agreed</w:t>
      </w:r>
      <w:r w:rsidR="00110ED5" w:rsidRPr="00517B6E">
        <w:rPr>
          <w:rFonts w:ascii="Arial" w:hAnsi="Arial" w:cs="Arial"/>
          <w:snapToGrid w:val="0"/>
          <w:sz w:val="22"/>
          <w:szCs w:val="22"/>
        </w:rPr>
        <w:t xml:space="preserve"> with the </w:t>
      </w:r>
      <w:r w:rsidR="00F573B9" w:rsidRPr="00517B6E">
        <w:rPr>
          <w:rFonts w:ascii="Arial" w:hAnsi="Arial" w:cs="Arial"/>
          <w:snapToGrid w:val="0"/>
          <w:sz w:val="22"/>
          <w:szCs w:val="22"/>
        </w:rPr>
        <w:t>figures used in the evaluation</w:t>
      </w:r>
      <w:r w:rsidR="00110ED5" w:rsidRPr="00517B6E">
        <w:rPr>
          <w:rFonts w:ascii="Arial" w:hAnsi="Arial" w:cs="Arial"/>
          <w:snapToGrid w:val="0"/>
          <w:sz w:val="22"/>
          <w:szCs w:val="22"/>
        </w:rPr>
        <w:t xml:space="preserve"> </w:t>
      </w:r>
      <w:r w:rsidR="00F573B9" w:rsidRPr="00517B6E">
        <w:rPr>
          <w:rFonts w:ascii="Arial" w:hAnsi="Arial" w:cs="Arial"/>
          <w:snapToGrid w:val="0"/>
          <w:sz w:val="22"/>
          <w:szCs w:val="22"/>
        </w:rPr>
        <w:t xml:space="preserve">which were </w:t>
      </w:r>
      <w:r w:rsidR="00CD64C9" w:rsidRPr="00517B6E">
        <w:rPr>
          <w:rFonts w:ascii="Arial" w:hAnsi="Arial" w:cs="Arial"/>
          <w:snapToGrid w:val="0"/>
          <w:sz w:val="22"/>
          <w:szCs w:val="22"/>
        </w:rPr>
        <w:t xml:space="preserve">estimated from an analysis that used corrected incidence and corrected the modelling error for vaccine efficacy (see </w:t>
      </w:r>
      <w:r w:rsidR="003E2F68">
        <w:rPr>
          <w:rFonts w:ascii="Arial" w:hAnsi="Arial" w:cs="Arial"/>
          <w:snapToGrid w:val="0"/>
          <w:sz w:val="22"/>
          <w:szCs w:val="22"/>
        </w:rPr>
        <w:t>paragraph 6.28</w:t>
      </w:r>
      <w:r w:rsidR="00CD64C9" w:rsidRPr="00517B6E">
        <w:rPr>
          <w:rFonts w:ascii="Arial" w:hAnsi="Arial" w:cs="Arial"/>
          <w:snapToGrid w:val="0"/>
          <w:sz w:val="22"/>
          <w:szCs w:val="22"/>
        </w:rPr>
        <w:t>).</w:t>
      </w:r>
    </w:p>
    <w:p w:rsidR="00396B86" w:rsidRDefault="00396B86" w:rsidP="00AD362F">
      <w:pPr>
        <w:ind w:left="720"/>
        <w:contextualSpacing/>
        <w:jc w:val="both"/>
        <w:rPr>
          <w:rFonts w:ascii="Arial" w:hAnsi="Arial" w:cs="Arial"/>
          <w:snapToGrid w:val="0"/>
          <w:sz w:val="22"/>
          <w:szCs w:val="22"/>
        </w:rPr>
      </w:pPr>
    </w:p>
    <w:p w:rsidR="00A0526B" w:rsidRPr="00F573B9" w:rsidRDefault="00CE2C77" w:rsidP="00AD362F">
      <w:pPr>
        <w:numPr>
          <w:ilvl w:val="1"/>
          <w:numId w:val="3"/>
        </w:numPr>
        <w:contextualSpacing/>
        <w:jc w:val="both"/>
        <w:rPr>
          <w:rFonts w:ascii="Arial" w:hAnsi="Arial" w:cs="Arial"/>
          <w:snapToGrid w:val="0"/>
          <w:sz w:val="22"/>
          <w:szCs w:val="22"/>
        </w:rPr>
      </w:pPr>
      <w:r w:rsidRPr="007241AF">
        <w:rPr>
          <w:rFonts w:ascii="Arial" w:hAnsi="Arial" w:cs="Arial"/>
          <w:snapToGrid w:val="0"/>
          <w:sz w:val="22"/>
          <w:szCs w:val="22"/>
        </w:rPr>
        <w:t>For the catch-up program</w:t>
      </w:r>
      <w:r w:rsidR="003E2F68">
        <w:rPr>
          <w:rFonts w:ascii="Arial" w:hAnsi="Arial" w:cs="Arial"/>
          <w:snapToGrid w:val="0"/>
          <w:sz w:val="22"/>
          <w:szCs w:val="22"/>
        </w:rPr>
        <w:t>,</w:t>
      </w:r>
      <w:r w:rsidRPr="007241AF">
        <w:rPr>
          <w:rFonts w:ascii="Arial" w:hAnsi="Arial" w:cs="Arial"/>
          <w:snapToGrid w:val="0"/>
          <w:sz w:val="22"/>
          <w:szCs w:val="22"/>
        </w:rPr>
        <w:t xml:space="preserve"> the submission estimated a reduction in 5.96 hospital treated pneumonia events and 3.86 GP treated pneumonia events per 1,000 population. The corrected estimates </w:t>
      </w:r>
      <w:r w:rsidR="003E2F68">
        <w:rPr>
          <w:rFonts w:ascii="Arial" w:hAnsi="Arial" w:cs="Arial"/>
          <w:snapToGrid w:val="0"/>
          <w:sz w:val="22"/>
          <w:szCs w:val="22"/>
        </w:rPr>
        <w:t>were</w:t>
      </w:r>
      <w:r w:rsidRPr="007241AF">
        <w:rPr>
          <w:rFonts w:ascii="Arial" w:hAnsi="Arial" w:cs="Arial"/>
          <w:snapToGrid w:val="0"/>
          <w:sz w:val="22"/>
          <w:szCs w:val="22"/>
        </w:rPr>
        <w:t xml:space="preserve"> 1.64 and 1.02 per 1,000, respectively. </w:t>
      </w:r>
      <w:r w:rsidRPr="00A15171">
        <w:rPr>
          <w:rFonts w:ascii="Arial" w:hAnsi="Arial" w:cs="Arial"/>
          <w:snapToGrid w:val="0"/>
          <w:sz w:val="22"/>
          <w:szCs w:val="22"/>
        </w:rPr>
        <w:t xml:space="preserve">The cost/LY gained estimates calculated during the evaluation are presented in </w:t>
      </w:r>
      <w:r w:rsidR="002914D3">
        <w:rPr>
          <w:rFonts w:ascii="Arial" w:hAnsi="Arial" w:cs="Arial"/>
          <w:snapToGrid w:val="0"/>
          <w:sz w:val="22"/>
          <w:szCs w:val="22"/>
        </w:rPr>
        <w:t>the table below</w:t>
      </w:r>
      <w:r w:rsidRPr="007241AF">
        <w:rPr>
          <w:rFonts w:ascii="Arial" w:hAnsi="Arial" w:cs="Arial"/>
          <w:snapToGrid w:val="0"/>
          <w:sz w:val="22"/>
          <w:szCs w:val="22"/>
        </w:rPr>
        <w:t>.</w:t>
      </w:r>
    </w:p>
    <w:p w:rsidR="00A0526B" w:rsidRDefault="00A0526B" w:rsidP="00AD362F">
      <w:pPr>
        <w:jc w:val="both"/>
        <w:rPr>
          <w:rFonts w:ascii="Arial Narrow" w:hAnsi="Arial Narrow" w:cs="Arial"/>
          <w:b/>
          <w:snapToGrid w:val="0"/>
          <w:sz w:val="20"/>
          <w:szCs w:val="16"/>
        </w:rPr>
      </w:pPr>
    </w:p>
    <w:p w:rsidR="00CE2C77" w:rsidRPr="00CE2C77" w:rsidRDefault="00CE2C77" w:rsidP="00AD362F">
      <w:pPr>
        <w:keepNext/>
        <w:ind w:firstLine="720"/>
        <w:jc w:val="both"/>
        <w:rPr>
          <w:rFonts w:ascii="Arial Narrow" w:hAnsi="Arial Narrow" w:cs="Arial"/>
          <w:b/>
          <w:snapToGrid w:val="0"/>
          <w:sz w:val="20"/>
          <w:szCs w:val="16"/>
        </w:rPr>
      </w:pPr>
      <w:r w:rsidRPr="00CE2C77">
        <w:rPr>
          <w:rFonts w:ascii="Arial Narrow" w:hAnsi="Arial Narrow" w:cs="Arial"/>
          <w:b/>
          <w:snapToGrid w:val="0"/>
          <w:sz w:val="20"/>
          <w:szCs w:val="16"/>
        </w:rPr>
        <w:t>Results of the economic evaluation (per 1,000 population; corrected during the evaluation)</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Results of the economic evaluation "/>
      </w:tblPr>
      <w:tblGrid>
        <w:gridCol w:w="2552"/>
        <w:gridCol w:w="2268"/>
        <w:gridCol w:w="2126"/>
        <w:gridCol w:w="1399"/>
      </w:tblGrid>
      <w:tr w:rsidR="00CE2C77" w:rsidRPr="00CE2C77" w:rsidTr="00CE2C77">
        <w:trPr>
          <w:tblHeader/>
        </w:trPr>
        <w:tc>
          <w:tcPr>
            <w:tcW w:w="1529" w:type="pct"/>
            <w:vAlign w:val="center"/>
          </w:tcPr>
          <w:p w:rsidR="00CE2C77" w:rsidRPr="00396B86" w:rsidRDefault="00CE2C77" w:rsidP="00AD362F">
            <w:pPr>
              <w:keepNext/>
              <w:rPr>
                <w:rFonts w:ascii="Arial Narrow" w:hAnsi="Arial Narrow" w:cs="Arial"/>
                <w:b/>
                <w:snapToGrid w:val="0"/>
                <w:sz w:val="20"/>
                <w:szCs w:val="20"/>
              </w:rPr>
            </w:pPr>
            <w:r w:rsidRPr="00396B86">
              <w:rPr>
                <w:rFonts w:ascii="Arial Narrow" w:hAnsi="Arial Narrow" w:cs="Arial"/>
                <w:b/>
                <w:snapToGrid w:val="0"/>
                <w:sz w:val="20"/>
                <w:szCs w:val="20"/>
              </w:rPr>
              <w:t>Step and component</w:t>
            </w:r>
          </w:p>
        </w:tc>
        <w:tc>
          <w:tcPr>
            <w:tcW w:w="1359" w:type="pct"/>
            <w:vAlign w:val="center"/>
          </w:tcPr>
          <w:p w:rsidR="00CE2C77" w:rsidRPr="00396B86" w:rsidRDefault="00CE2C77" w:rsidP="00AD362F">
            <w:pPr>
              <w:keepNext/>
              <w:jc w:val="center"/>
              <w:rPr>
                <w:rFonts w:ascii="Arial Narrow" w:hAnsi="Arial Narrow" w:cs="Arial"/>
                <w:b/>
                <w:snapToGrid w:val="0"/>
                <w:sz w:val="20"/>
                <w:szCs w:val="20"/>
              </w:rPr>
            </w:pPr>
            <w:r w:rsidRPr="00396B86">
              <w:rPr>
                <w:rFonts w:ascii="Arial Narrow" w:hAnsi="Arial Narrow" w:cs="Arial"/>
                <w:b/>
                <w:snapToGrid w:val="0"/>
                <w:sz w:val="20"/>
                <w:szCs w:val="20"/>
              </w:rPr>
              <w:t>13vPCV</w:t>
            </w:r>
          </w:p>
        </w:tc>
        <w:tc>
          <w:tcPr>
            <w:tcW w:w="1274" w:type="pct"/>
            <w:vAlign w:val="center"/>
          </w:tcPr>
          <w:p w:rsidR="00CE2C77" w:rsidRPr="00396B86" w:rsidRDefault="00CE2C77" w:rsidP="00AD362F">
            <w:pPr>
              <w:keepNext/>
              <w:jc w:val="center"/>
              <w:rPr>
                <w:rFonts w:ascii="Arial Narrow" w:hAnsi="Arial Narrow" w:cs="Arial"/>
                <w:b/>
                <w:snapToGrid w:val="0"/>
                <w:sz w:val="20"/>
                <w:szCs w:val="20"/>
              </w:rPr>
            </w:pPr>
            <w:r w:rsidRPr="00396B86">
              <w:rPr>
                <w:rFonts w:ascii="Arial Narrow" w:hAnsi="Arial Narrow" w:cs="Arial"/>
                <w:b/>
                <w:snapToGrid w:val="0"/>
                <w:sz w:val="20"/>
                <w:szCs w:val="20"/>
              </w:rPr>
              <w:t>23vPPV</w:t>
            </w:r>
          </w:p>
        </w:tc>
        <w:tc>
          <w:tcPr>
            <w:tcW w:w="838" w:type="pct"/>
            <w:vAlign w:val="center"/>
          </w:tcPr>
          <w:p w:rsidR="00CE2C77" w:rsidRPr="00396B86" w:rsidRDefault="00CE2C77" w:rsidP="00AD362F">
            <w:pPr>
              <w:keepNext/>
              <w:jc w:val="center"/>
              <w:rPr>
                <w:rFonts w:ascii="Arial Narrow" w:hAnsi="Arial Narrow" w:cs="Arial"/>
                <w:b/>
                <w:snapToGrid w:val="0"/>
                <w:sz w:val="20"/>
                <w:szCs w:val="20"/>
              </w:rPr>
            </w:pPr>
            <w:r w:rsidRPr="00396B86">
              <w:rPr>
                <w:rFonts w:ascii="Arial Narrow" w:hAnsi="Arial Narrow" w:cs="Arial"/>
                <w:b/>
                <w:snapToGrid w:val="0"/>
                <w:sz w:val="20"/>
                <w:szCs w:val="20"/>
              </w:rPr>
              <w:t>Increment</w:t>
            </w:r>
          </w:p>
        </w:tc>
      </w:tr>
      <w:tr w:rsidR="00CE2C77" w:rsidRPr="00CE2C77" w:rsidTr="00CE2C77">
        <w:tc>
          <w:tcPr>
            <w:tcW w:w="5000" w:type="pct"/>
            <w:gridSpan w:val="4"/>
            <w:vAlign w:val="center"/>
          </w:tcPr>
          <w:p w:rsidR="00CE2C77" w:rsidRPr="00396B86" w:rsidRDefault="00CE2C77" w:rsidP="00AD362F">
            <w:pPr>
              <w:keepNext/>
              <w:rPr>
                <w:rFonts w:ascii="Arial Narrow" w:hAnsi="Arial Narrow" w:cs="Arial Narrow"/>
                <w:b/>
                <w:bCs/>
                <w:snapToGrid w:val="0"/>
                <w:sz w:val="20"/>
                <w:szCs w:val="20"/>
              </w:rPr>
            </w:pPr>
            <w:r w:rsidRPr="00396B86">
              <w:rPr>
                <w:rFonts w:ascii="Arial Narrow" w:hAnsi="Arial Narrow" w:cs="Arial Narrow"/>
                <w:b/>
                <w:bCs/>
                <w:snapToGrid w:val="0"/>
                <w:sz w:val="20"/>
                <w:szCs w:val="20"/>
              </w:rPr>
              <w:t>Primary prevention model</w:t>
            </w:r>
          </w:p>
        </w:tc>
      </w:tr>
      <w:tr w:rsidR="00CE2C77" w:rsidRPr="00844ABA" w:rsidTr="00CE2C77">
        <w:tc>
          <w:tcPr>
            <w:tcW w:w="1529" w:type="pct"/>
            <w:vAlign w:val="center"/>
          </w:tcPr>
          <w:p w:rsidR="00CE2C77" w:rsidRPr="00396B86" w:rsidRDefault="00CE2C77" w:rsidP="00AD362F">
            <w:pPr>
              <w:keepNext/>
              <w:rPr>
                <w:rFonts w:ascii="Arial Narrow" w:hAnsi="Arial Narrow" w:cs="Arial"/>
                <w:snapToGrid w:val="0"/>
                <w:sz w:val="20"/>
                <w:szCs w:val="20"/>
              </w:rPr>
            </w:pPr>
            <w:r w:rsidRPr="00396B86">
              <w:rPr>
                <w:rFonts w:ascii="Arial Narrow" w:hAnsi="Arial Narrow" w:cs="Arial"/>
                <w:snapToGrid w:val="0"/>
                <w:sz w:val="20"/>
                <w:szCs w:val="20"/>
              </w:rPr>
              <w:t>Costs</w:t>
            </w:r>
          </w:p>
        </w:tc>
        <w:tc>
          <w:tcPr>
            <w:tcW w:w="1359" w:type="pct"/>
          </w:tcPr>
          <w:p w:rsidR="00CE2C77" w:rsidRPr="00844ABA" w:rsidRDefault="00CE2C77" w:rsidP="00AD362F">
            <w:pPr>
              <w:keepNext/>
              <w:jc w:val="center"/>
              <w:rPr>
                <w:rFonts w:ascii="Arial Narrow" w:hAnsi="Arial Narrow" w:cs="Arial"/>
                <w:snapToGrid w:val="0"/>
                <w:sz w:val="20"/>
                <w:szCs w:val="20"/>
              </w:rPr>
            </w:pPr>
            <w:r w:rsidRPr="00844ABA">
              <w:rPr>
                <w:rFonts w:ascii="Arial Narrow" w:hAnsi="Arial Narrow" w:cs="Arial"/>
                <w:snapToGrid w:val="0"/>
                <w:sz w:val="20"/>
                <w:szCs w:val="20"/>
              </w:rPr>
              <w:t>$</w:t>
            </w:r>
            <w:r w:rsidR="008D2701">
              <w:rPr>
                <w:rFonts w:ascii="Arial Narrow" w:hAnsi="Arial Narrow" w:cs="Arial"/>
                <w:noProof/>
                <w:snapToGrid w:val="0"/>
                <w:color w:val="000000"/>
                <w:sz w:val="20"/>
                <w:szCs w:val="20"/>
                <w:highlight w:val="black"/>
              </w:rPr>
              <w:t>''''''''''''''''''</w:t>
            </w:r>
          </w:p>
        </w:tc>
        <w:tc>
          <w:tcPr>
            <w:tcW w:w="1274" w:type="pct"/>
          </w:tcPr>
          <w:p w:rsidR="00CE2C77" w:rsidRPr="00396B86" w:rsidRDefault="00CE2C77" w:rsidP="00AD362F">
            <w:pPr>
              <w:keepNext/>
              <w:jc w:val="center"/>
              <w:rPr>
                <w:rFonts w:ascii="Arial Narrow" w:hAnsi="Arial Narrow" w:cs="Arial"/>
                <w:snapToGrid w:val="0"/>
                <w:sz w:val="20"/>
                <w:szCs w:val="20"/>
              </w:rPr>
            </w:pPr>
            <w:r w:rsidRPr="00396B86">
              <w:rPr>
                <w:rFonts w:ascii="Arial Narrow" w:hAnsi="Arial Narrow" w:cs="Arial"/>
                <w:snapToGrid w:val="0"/>
                <w:sz w:val="20"/>
                <w:szCs w:val="20"/>
              </w:rPr>
              <w:t>$264,614</w:t>
            </w:r>
          </w:p>
        </w:tc>
        <w:tc>
          <w:tcPr>
            <w:tcW w:w="838" w:type="pct"/>
          </w:tcPr>
          <w:p w:rsidR="00CE2C77" w:rsidRPr="00844ABA" w:rsidRDefault="00CE2C77" w:rsidP="00AD362F">
            <w:pPr>
              <w:keepNext/>
              <w:jc w:val="center"/>
              <w:rPr>
                <w:rFonts w:ascii="Arial Narrow" w:hAnsi="Arial Narrow" w:cs="Arial"/>
                <w:snapToGrid w:val="0"/>
                <w:sz w:val="20"/>
                <w:szCs w:val="20"/>
              </w:rPr>
            </w:pPr>
            <w:r w:rsidRPr="00844ABA">
              <w:rPr>
                <w:rFonts w:ascii="Arial Narrow" w:hAnsi="Arial Narrow" w:cs="Arial"/>
                <w:snapToGrid w:val="0"/>
                <w:sz w:val="20"/>
                <w:szCs w:val="20"/>
              </w:rPr>
              <w:t>$</w:t>
            </w:r>
            <w:r w:rsidR="008D2701">
              <w:rPr>
                <w:rFonts w:ascii="Arial Narrow" w:hAnsi="Arial Narrow" w:cs="Arial"/>
                <w:noProof/>
                <w:snapToGrid w:val="0"/>
                <w:color w:val="000000"/>
                <w:sz w:val="20"/>
                <w:szCs w:val="20"/>
                <w:highlight w:val="black"/>
              </w:rPr>
              <w:t>''''''''''''''''</w:t>
            </w:r>
          </w:p>
        </w:tc>
      </w:tr>
      <w:tr w:rsidR="00CE2C77" w:rsidRPr="00844ABA" w:rsidTr="00CE2C77">
        <w:tc>
          <w:tcPr>
            <w:tcW w:w="1529" w:type="pct"/>
            <w:vAlign w:val="center"/>
          </w:tcPr>
          <w:p w:rsidR="00CE2C77" w:rsidRPr="00396B86" w:rsidRDefault="00CE2C77" w:rsidP="00AD362F">
            <w:pPr>
              <w:keepNext/>
              <w:rPr>
                <w:rFonts w:ascii="Arial Narrow" w:hAnsi="Arial Narrow" w:cs="Arial"/>
                <w:snapToGrid w:val="0"/>
                <w:sz w:val="20"/>
                <w:szCs w:val="20"/>
              </w:rPr>
            </w:pPr>
            <w:r w:rsidRPr="00396B86">
              <w:rPr>
                <w:rFonts w:ascii="Arial Narrow" w:hAnsi="Arial Narrow" w:cs="Arial"/>
                <w:snapToGrid w:val="0"/>
                <w:sz w:val="20"/>
                <w:szCs w:val="20"/>
              </w:rPr>
              <w:t>LY gained</w:t>
            </w:r>
          </w:p>
        </w:tc>
        <w:tc>
          <w:tcPr>
            <w:tcW w:w="1359" w:type="pct"/>
          </w:tcPr>
          <w:p w:rsidR="00CE2C77" w:rsidRPr="00844ABA" w:rsidRDefault="00CE2C77" w:rsidP="00AD362F">
            <w:pPr>
              <w:keepNext/>
              <w:jc w:val="center"/>
              <w:rPr>
                <w:rFonts w:ascii="Arial Narrow" w:hAnsi="Arial Narrow" w:cs="Arial"/>
                <w:snapToGrid w:val="0"/>
                <w:sz w:val="20"/>
                <w:szCs w:val="20"/>
              </w:rPr>
            </w:pPr>
            <w:r w:rsidRPr="00844ABA">
              <w:rPr>
                <w:rFonts w:ascii="Arial Narrow" w:hAnsi="Arial Narrow" w:cs="Arial"/>
                <w:snapToGrid w:val="0"/>
                <w:sz w:val="20"/>
                <w:szCs w:val="20"/>
              </w:rPr>
              <w:t>11,153</w:t>
            </w:r>
          </w:p>
        </w:tc>
        <w:tc>
          <w:tcPr>
            <w:tcW w:w="1274" w:type="pct"/>
          </w:tcPr>
          <w:p w:rsidR="00CE2C77" w:rsidRPr="00396B86" w:rsidRDefault="00CE2C77" w:rsidP="00AD362F">
            <w:pPr>
              <w:keepNext/>
              <w:jc w:val="center"/>
              <w:rPr>
                <w:rFonts w:ascii="Arial Narrow" w:hAnsi="Arial Narrow" w:cs="Arial"/>
                <w:snapToGrid w:val="0"/>
                <w:sz w:val="20"/>
                <w:szCs w:val="20"/>
              </w:rPr>
            </w:pPr>
            <w:r w:rsidRPr="00396B86">
              <w:rPr>
                <w:rFonts w:ascii="Arial Narrow" w:hAnsi="Arial Narrow" w:cs="Arial"/>
                <w:snapToGrid w:val="0"/>
                <w:sz w:val="20"/>
                <w:szCs w:val="20"/>
              </w:rPr>
              <w:t>11,151</w:t>
            </w:r>
          </w:p>
        </w:tc>
        <w:tc>
          <w:tcPr>
            <w:tcW w:w="838" w:type="pct"/>
          </w:tcPr>
          <w:p w:rsidR="00CE2C77" w:rsidRPr="00844ABA" w:rsidRDefault="00CE2C77" w:rsidP="00AD362F">
            <w:pPr>
              <w:keepNext/>
              <w:jc w:val="center"/>
              <w:rPr>
                <w:rFonts w:ascii="Arial Narrow" w:hAnsi="Arial Narrow" w:cs="Arial"/>
                <w:snapToGrid w:val="0"/>
                <w:sz w:val="20"/>
                <w:szCs w:val="20"/>
              </w:rPr>
            </w:pPr>
            <w:r w:rsidRPr="00844ABA">
              <w:rPr>
                <w:rFonts w:ascii="Arial Narrow" w:hAnsi="Arial Narrow" w:cs="Arial"/>
                <w:snapToGrid w:val="0"/>
                <w:sz w:val="20"/>
                <w:szCs w:val="20"/>
              </w:rPr>
              <w:t xml:space="preserve">2.73 </w:t>
            </w:r>
          </w:p>
        </w:tc>
      </w:tr>
      <w:tr w:rsidR="00CE2C77" w:rsidRPr="00844ABA" w:rsidTr="00CE2C77">
        <w:tc>
          <w:tcPr>
            <w:tcW w:w="4162" w:type="pct"/>
            <w:gridSpan w:val="3"/>
            <w:vAlign w:val="center"/>
          </w:tcPr>
          <w:p w:rsidR="00CE2C77" w:rsidRPr="00844ABA" w:rsidRDefault="00CE2C77" w:rsidP="00AD362F">
            <w:pPr>
              <w:keepNext/>
              <w:rPr>
                <w:rFonts w:ascii="Arial Narrow" w:hAnsi="Arial Narrow"/>
                <w:snapToGrid w:val="0"/>
                <w:sz w:val="20"/>
                <w:szCs w:val="20"/>
              </w:rPr>
            </w:pPr>
            <w:r w:rsidRPr="00844ABA">
              <w:rPr>
                <w:rFonts w:ascii="Arial Narrow" w:hAnsi="Arial Narrow"/>
                <w:b/>
                <w:sz w:val="20"/>
                <w:szCs w:val="20"/>
              </w:rPr>
              <w:t>Incremental cost/extra LY gained</w:t>
            </w:r>
          </w:p>
        </w:tc>
        <w:tc>
          <w:tcPr>
            <w:tcW w:w="838" w:type="pct"/>
            <w:vAlign w:val="center"/>
          </w:tcPr>
          <w:p w:rsidR="00CE2C77" w:rsidRPr="00844ABA" w:rsidRDefault="00CE2C77" w:rsidP="00AD362F">
            <w:pPr>
              <w:keepNext/>
              <w:jc w:val="center"/>
              <w:rPr>
                <w:rFonts w:ascii="Arial Narrow" w:hAnsi="Arial Narrow" w:cs="Arial"/>
                <w:snapToGrid w:val="0"/>
                <w:sz w:val="20"/>
                <w:szCs w:val="20"/>
              </w:rPr>
            </w:pPr>
            <w:r w:rsidRPr="00844ABA">
              <w:rPr>
                <w:rFonts w:ascii="Arial Narrow" w:hAnsi="Arial Narrow" w:cs="Arial"/>
                <w:b/>
                <w:snapToGrid w:val="0"/>
                <w:sz w:val="20"/>
                <w:szCs w:val="20"/>
              </w:rPr>
              <w:t>$</w:t>
            </w:r>
            <w:r w:rsidR="008D2701">
              <w:rPr>
                <w:rFonts w:ascii="Arial Narrow" w:hAnsi="Arial Narrow" w:cs="Arial"/>
                <w:b/>
                <w:noProof/>
                <w:snapToGrid w:val="0"/>
                <w:color w:val="000000"/>
                <w:sz w:val="20"/>
                <w:szCs w:val="20"/>
                <w:highlight w:val="black"/>
              </w:rPr>
              <w:t>''''''''''</w:t>
            </w:r>
          </w:p>
        </w:tc>
      </w:tr>
      <w:tr w:rsidR="00CE2C77" w:rsidRPr="00844ABA" w:rsidTr="00CE2C77">
        <w:tc>
          <w:tcPr>
            <w:tcW w:w="4162" w:type="pct"/>
            <w:gridSpan w:val="3"/>
            <w:vAlign w:val="center"/>
          </w:tcPr>
          <w:p w:rsidR="00CE2C77" w:rsidRPr="00844ABA" w:rsidRDefault="00CE2C77" w:rsidP="00AD362F">
            <w:pPr>
              <w:keepNext/>
              <w:rPr>
                <w:rFonts w:ascii="Arial Narrow" w:hAnsi="Arial Narrow"/>
                <w:sz w:val="20"/>
                <w:szCs w:val="20"/>
              </w:rPr>
            </w:pPr>
            <w:r w:rsidRPr="00844ABA">
              <w:rPr>
                <w:rFonts w:ascii="Arial Narrow" w:hAnsi="Arial Narrow"/>
                <w:sz w:val="20"/>
                <w:szCs w:val="20"/>
              </w:rPr>
              <w:t>Incremental cost/extra LY gained (as presented in submission)</w:t>
            </w:r>
          </w:p>
        </w:tc>
        <w:tc>
          <w:tcPr>
            <w:tcW w:w="838" w:type="pct"/>
            <w:vAlign w:val="center"/>
          </w:tcPr>
          <w:p w:rsidR="00CE2C77" w:rsidRPr="008D2701" w:rsidRDefault="008D2701" w:rsidP="00AD362F">
            <w:pPr>
              <w:keepNext/>
              <w:jc w:val="center"/>
              <w:rPr>
                <w:rFonts w:ascii="Arial Narrow" w:hAnsi="Arial Narrow" w:cs="Arial"/>
                <w:snapToGrid w:val="0"/>
                <w:sz w:val="20"/>
                <w:szCs w:val="20"/>
                <w:highlight w:val="black"/>
              </w:rPr>
            </w:pPr>
            <w:r>
              <w:rPr>
                <w:rFonts w:ascii="Arial Narrow" w:hAnsi="Arial Narrow" w:cs="Arial"/>
                <w:noProof/>
                <w:snapToGrid w:val="0"/>
                <w:color w:val="000000"/>
                <w:sz w:val="20"/>
                <w:szCs w:val="20"/>
                <w:highlight w:val="black"/>
              </w:rPr>
              <w:t>'''''''''''''''''''''</w:t>
            </w:r>
          </w:p>
        </w:tc>
      </w:tr>
      <w:tr w:rsidR="00CE2C77" w:rsidRPr="00844ABA" w:rsidTr="00CE2C77">
        <w:tc>
          <w:tcPr>
            <w:tcW w:w="5000" w:type="pct"/>
            <w:gridSpan w:val="4"/>
            <w:vAlign w:val="center"/>
          </w:tcPr>
          <w:p w:rsidR="00CE2C77" w:rsidRPr="00844ABA" w:rsidRDefault="00CE2C77" w:rsidP="00AD362F">
            <w:pPr>
              <w:keepNext/>
              <w:rPr>
                <w:rFonts w:ascii="Arial Narrow" w:hAnsi="Arial Narrow" w:cs="Arial Narrow"/>
                <w:b/>
                <w:bCs/>
                <w:snapToGrid w:val="0"/>
                <w:sz w:val="20"/>
                <w:szCs w:val="20"/>
              </w:rPr>
            </w:pPr>
            <w:r w:rsidRPr="00844ABA">
              <w:rPr>
                <w:rFonts w:ascii="Arial Narrow" w:hAnsi="Arial Narrow" w:cs="Arial Narrow"/>
                <w:b/>
                <w:bCs/>
                <w:snapToGrid w:val="0"/>
                <w:sz w:val="20"/>
                <w:szCs w:val="20"/>
              </w:rPr>
              <w:t>Catch-up program</w:t>
            </w:r>
          </w:p>
        </w:tc>
      </w:tr>
      <w:tr w:rsidR="00CE2C77" w:rsidRPr="00844ABA" w:rsidTr="00CE2C77">
        <w:tc>
          <w:tcPr>
            <w:tcW w:w="1529" w:type="pct"/>
            <w:vAlign w:val="center"/>
          </w:tcPr>
          <w:p w:rsidR="00CE2C77" w:rsidRPr="00396B86" w:rsidRDefault="00CE2C77" w:rsidP="00AD362F">
            <w:pPr>
              <w:keepNext/>
              <w:rPr>
                <w:rFonts w:ascii="Arial Narrow" w:hAnsi="Arial Narrow" w:cs="Arial"/>
                <w:snapToGrid w:val="0"/>
                <w:sz w:val="20"/>
                <w:szCs w:val="20"/>
              </w:rPr>
            </w:pPr>
            <w:r w:rsidRPr="00396B86">
              <w:rPr>
                <w:rFonts w:ascii="Arial Narrow" w:hAnsi="Arial Narrow" w:cs="Arial"/>
                <w:snapToGrid w:val="0"/>
                <w:sz w:val="20"/>
                <w:szCs w:val="20"/>
              </w:rPr>
              <w:t>Costs</w:t>
            </w:r>
          </w:p>
        </w:tc>
        <w:tc>
          <w:tcPr>
            <w:tcW w:w="1359" w:type="pct"/>
          </w:tcPr>
          <w:p w:rsidR="00CE2C77" w:rsidRPr="00844ABA" w:rsidRDefault="00CE2C77" w:rsidP="00AD362F">
            <w:pPr>
              <w:keepNext/>
              <w:jc w:val="center"/>
              <w:rPr>
                <w:rFonts w:ascii="Arial Narrow" w:hAnsi="Arial Narrow" w:cs="Arial"/>
                <w:snapToGrid w:val="0"/>
                <w:sz w:val="20"/>
                <w:szCs w:val="20"/>
              </w:rPr>
            </w:pPr>
            <w:r w:rsidRPr="00844ABA">
              <w:rPr>
                <w:rFonts w:ascii="Arial Narrow" w:hAnsi="Arial Narrow" w:cs="Arial"/>
                <w:snapToGrid w:val="0"/>
                <w:sz w:val="20"/>
                <w:szCs w:val="20"/>
              </w:rPr>
              <w:t>$</w:t>
            </w:r>
            <w:r w:rsidR="008D2701">
              <w:rPr>
                <w:rFonts w:ascii="Arial Narrow" w:hAnsi="Arial Narrow" w:cs="Arial"/>
                <w:noProof/>
                <w:snapToGrid w:val="0"/>
                <w:color w:val="000000"/>
                <w:sz w:val="20"/>
                <w:szCs w:val="20"/>
                <w:highlight w:val="black"/>
              </w:rPr>
              <w:t>''''''''''''''''''</w:t>
            </w:r>
          </w:p>
        </w:tc>
        <w:tc>
          <w:tcPr>
            <w:tcW w:w="1274" w:type="pct"/>
          </w:tcPr>
          <w:p w:rsidR="00CE2C77" w:rsidRPr="00396B86" w:rsidRDefault="00CE2C77" w:rsidP="00AD362F">
            <w:pPr>
              <w:keepNext/>
              <w:jc w:val="center"/>
              <w:rPr>
                <w:rFonts w:ascii="Arial Narrow" w:hAnsi="Arial Narrow" w:cs="Arial"/>
                <w:snapToGrid w:val="0"/>
                <w:sz w:val="20"/>
                <w:szCs w:val="20"/>
              </w:rPr>
            </w:pPr>
            <w:r w:rsidRPr="00396B86">
              <w:rPr>
                <w:rFonts w:ascii="Arial Narrow" w:hAnsi="Arial Narrow" w:cs="Arial"/>
                <w:snapToGrid w:val="0"/>
                <w:sz w:val="20"/>
                <w:szCs w:val="20"/>
              </w:rPr>
              <w:t>$126,352</w:t>
            </w:r>
          </w:p>
        </w:tc>
        <w:tc>
          <w:tcPr>
            <w:tcW w:w="838" w:type="pct"/>
          </w:tcPr>
          <w:p w:rsidR="00CE2C77" w:rsidRPr="00844ABA" w:rsidRDefault="00CE2C77" w:rsidP="00AD362F">
            <w:pPr>
              <w:keepNext/>
              <w:jc w:val="center"/>
              <w:rPr>
                <w:rFonts w:ascii="Arial Narrow" w:hAnsi="Arial Narrow" w:cs="Arial"/>
                <w:snapToGrid w:val="0"/>
                <w:sz w:val="20"/>
                <w:szCs w:val="20"/>
              </w:rPr>
            </w:pPr>
            <w:r w:rsidRPr="00844ABA">
              <w:rPr>
                <w:rFonts w:ascii="Arial Narrow" w:hAnsi="Arial Narrow" w:cs="Arial"/>
                <w:snapToGrid w:val="0"/>
                <w:sz w:val="20"/>
                <w:szCs w:val="20"/>
              </w:rPr>
              <w:t>$</w:t>
            </w:r>
            <w:r w:rsidR="008D2701">
              <w:rPr>
                <w:rFonts w:ascii="Arial Narrow" w:hAnsi="Arial Narrow" w:cs="Arial"/>
                <w:noProof/>
                <w:snapToGrid w:val="0"/>
                <w:color w:val="000000"/>
                <w:sz w:val="20"/>
                <w:szCs w:val="20"/>
                <w:highlight w:val="black"/>
              </w:rPr>
              <w:t>''''''''''''''''''</w:t>
            </w:r>
          </w:p>
        </w:tc>
      </w:tr>
      <w:tr w:rsidR="00CE2C77" w:rsidRPr="00844ABA" w:rsidTr="00CE2C77">
        <w:tc>
          <w:tcPr>
            <w:tcW w:w="1529" w:type="pct"/>
            <w:vAlign w:val="center"/>
          </w:tcPr>
          <w:p w:rsidR="00CE2C77" w:rsidRPr="00396B86" w:rsidRDefault="00CE2C77" w:rsidP="00AD362F">
            <w:pPr>
              <w:keepNext/>
              <w:rPr>
                <w:rFonts w:ascii="Arial Narrow" w:hAnsi="Arial Narrow" w:cs="Arial"/>
                <w:snapToGrid w:val="0"/>
                <w:sz w:val="20"/>
                <w:szCs w:val="20"/>
              </w:rPr>
            </w:pPr>
            <w:r w:rsidRPr="00396B86">
              <w:rPr>
                <w:rFonts w:ascii="Arial Narrow" w:hAnsi="Arial Narrow" w:cs="Arial"/>
                <w:snapToGrid w:val="0"/>
                <w:sz w:val="20"/>
                <w:szCs w:val="20"/>
              </w:rPr>
              <w:t>LY gained</w:t>
            </w:r>
          </w:p>
        </w:tc>
        <w:tc>
          <w:tcPr>
            <w:tcW w:w="1359" w:type="pct"/>
          </w:tcPr>
          <w:p w:rsidR="00CE2C77" w:rsidRPr="00844ABA" w:rsidRDefault="00CE2C77" w:rsidP="00AD362F">
            <w:pPr>
              <w:keepNext/>
              <w:jc w:val="center"/>
              <w:rPr>
                <w:rFonts w:ascii="Arial Narrow" w:hAnsi="Arial Narrow" w:cs="Arial"/>
                <w:snapToGrid w:val="0"/>
                <w:sz w:val="20"/>
                <w:szCs w:val="20"/>
              </w:rPr>
            </w:pPr>
            <w:r w:rsidRPr="00844ABA">
              <w:rPr>
                <w:rFonts w:ascii="Arial Narrow" w:hAnsi="Arial Narrow" w:cs="Arial"/>
                <w:snapToGrid w:val="0"/>
                <w:sz w:val="20"/>
                <w:szCs w:val="20"/>
              </w:rPr>
              <w:t>6,002.06</w:t>
            </w:r>
          </w:p>
        </w:tc>
        <w:tc>
          <w:tcPr>
            <w:tcW w:w="1274" w:type="pct"/>
          </w:tcPr>
          <w:p w:rsidR="00CE2C77" w:rsidRPr="00396B86" w:rsidRDefault="00CE2C77" w:rsidP="00AD362F">
            <w:pPr>
              <w:keepNext/>
              <w:jc w:val="center"/>
              <w:rPr>
                <w:rFonts w:ascii="Arial Narrow" w:hAnsi="Arial Narrow" w:cs="Arial"/>
                <w:snapToGrid w:val="0"/>
                <w:sz w:val="20"/>
                <w:szCs w:val="20"/>
              </w:rPr>
            </w:pPr>
            <w:r w:rsidRPr="00396B86">
              <w:rPr>
                <w:rFonts w:ascii="Arial Narrow" w:hAnsi="Arial Narrow" w:cs="Arial"/>
                <w:snapToGrid w:val="0"/>
                <w:sz w:val="20"/>
                <w:szCs w:val="20"/>
              </w:rPr>
              <w:t>6,001.35</w:t>
            </w:r>
          </w:p>
        </w:tc>
        <w:tc>
          <w:tcPr>
            <w:tcW w:w="838" w:type="pct"/>
          </w:tcPr>
          <w:p w:rsidR="00CE2C77" w:rsidRPr="00844ABA" w:rsidRDefault="00CE2C77" w:rsidP="00AD362F">
            <w:pPr>
              <w:keepNext/>
              <w:jc w:val="center"/>
              <w:rPr>
                <w:rFonts w:ascii="Arial Narrow" w:hAnsi="Arial Narrow" w:cs="Arial"/>
                <w:snapToGrid w:val="0"/>
                <w:sz w:val="20"/>
                <w:szCs w:val="20"/>
              </w:rPr>
            </w:pPr>
            <w:r w:rsidRPr="00844ABA">
              <w:rPr>
                <w:rFonts w:ascii="Arial Narrow" w:hAnsi="Arial Narrow" w:cs="Arial"/>
                <w:snapToGrid w:val="0"/>
                <w:sz w:val="20"/>
                <w:szCs w:val="20"/>
              </w:rPr>
              <w:t xml:space="preserve">0.71 </w:t>
            </w:r>
          </w:p>
        </w:tc>
      </w:tr>
      <w:tr w:rsidR="00CE2C77" w:rsidRPr="00844ABA" w:rsidTr="00CE2C77">
        <w:tc>
          <w:tcPr>
            <w:tcW w:w="4162" w:type="pct"/>
            <w:gridSpan w:val="3"/>
            <w:vAlign w:val="center"/>
          </w:tcPr>
          <w:p w:rsidR="00CE2C77" w:rsidRPr="00844ABA" w:rsidRDefault="00CE2C77" w:rsidP="00AD362F">
            <w:pPr>
              <w:keepNext/>
              <w:rPr>
                <w:rFonts w:ascii="Arial Narrow" w:hAnsi="Arial Narrow"/>
                <w:snapToGrid w:val="0"/>
                <w:sz w:val="20"/>
                <w:szCs w:val="20"/>
              </w:rPr>
            </w:pPr>
            <w:r w:rsidRPr="00844ABA">
              <w:rPr>
                <w:rFonts w:ascii="Arial Narrow" w:hAnsi="Arial Narrow"/>
                <w:b/>
                <w:sz w:val="20"/>
                <w:szCs w:val="20"/>
              </w:rPr>
              <w:t>Incremental cost/extra LY gained</w:t>
            </w:r>
          </w:p>
        </w:tc>
        <w:tc>
          <w:tcPr>
            <w:tcW w:w="838" w:type="pct"/>
            <w:vAlign w:val="center"/>
          </w:tcPr>
          <w:p w:rsidR="00CE2C77" w:rsidRPr="00844ABA" w:rsidRDefault="00CE2C77" w:rsidP="00AD362F">
            <w:pPr>
              <w:keepNext/>
              <w:jc w:val="center"/>
              <w:rPr>
                <w:rFonts w:ascii="Arial Narrow" w:hAnsi="Arial Narrow" w:cs="Arial"/>
                <w:snapToGrid w:val="0"/>
                <w:sz w:val="20"/>
                <w:szCs w:val="20"/>
              </w:rPr>
            </w:pPr>
            <w:r w:rsidRPr="00844ABA">
              <w:rPr>
                <w:rFonts w:ascii="Arial Narrow" w:hAnsi="Arial Narrow" w:cs="Arial"/>
                <w:b/>
                <w:snapToGrid w:val="0"/>
                <w:sz w:val="20"/>
                <w:szCs w:val="20"/>
              </w:rPr>
              <w:t>$</w:t>
            </w:r>
            <w:r w:rsidR="008D2701">
              <w:rPr>
                <w:rFonts w:ascii="Arial Narrow" w:hAnsi="Arial Narrow" w:cs="Arial"/>
                <w:b/>
                <w:noProof/>
                <w:snapToGrid w:val="0"/>
                <w:color w:val="000000"/>
                <w:sz w:val="20"/>
                <w:szCs w:val="20"/>
                <w:highlight w:val="black"/>
              </w:rPr>
              <w:t>''''''''''''''</w:t>
            </w:r>
          </w:p>
        </w:tc>
      </w:tr>
      <w:tr w:rsidR="00CE2C77" w:rsidRPr="00844ABA" w:rsidTr="00CE2C77">
        <w:tc>
          <w:tcPr>
            <w:tcW w:w="4162" w:type="pct"/>
            <w:gridSpan w:val="3"/>
            <w:vAlign w:val="center"/>
          </w:tcPr>
          <w:p w:rsidR="00CE2C77" w:rsidRPr="00844ABA" w:rsidRDefault="00CE2C77" w:rsidP="00AD362F">
            <w:pPr>
              <w:keepNext/>
              <w:rPr>
                <w:rFonts w:ascii="Arial Narrow" w:hAnsi="Arial Narrow"/>
                <w:b/>
                <w:sz w:val="20"/>
                <w:szCs w:val="20"/>
              </w:rPr>
            </w:pPr>
            <w:r w:rsidRPr="00844ABA">
              <w:rPr>
                <w:rFonts w:ascii="Arial Narrow" w:hAnsi="Arial Narrow"/>
                <w:sz w:val="20"/>
                <w:szCs w:val="20"/>
              </w:rPr>
              <w:t>Incremental cost/extra LY gained (as presented in submission)</w:t>
            </w:r>
          </w:p>
        </w:tc>
        <w:tc>
          <w:tcPr>
            <w:tcW w:w="838" w:type="pct"/>
            <w:vAlign w:val="center"/>
          </w:tcPr>
          <w:p w:rsidR="00CE2C77" w:rsidRPr="00844ABA" w:rsidRDefault="00CE2C77" w:rsidP="00AD362F">
            <w:pPr>
              <w:keepNext/>
              <w:jc w:val="center"/>
              <w:rPr>
                <w:rFonts w:ascii="Arial Narrow" w:hAnsi="Arial Narrow" w:cs="Arial"/>
                <w:snapToGrid w:val="0"/>
                <w:sz w:val="20"/>
                <w:szCs w:val="20"/>
              </w:rPr>
            </w:pPr>
            <w:r w:rsidRPr="00844ABA">
              <w:rPr>
                <w:rFonts w:ascii="Arial Narrow" w:hAnsi="Arial Narrow" w:cs="Arial"/>
                <w:snapToGrid w:val="0"/>
                <w:sz w:val="20"/>
                <w:szCs w:val="20"/>
              </w:rPr>
              <w:t>$</w:t>
            </w:r>
            <w:r w:rsidR="008D2701">
              <w:rPr>
                <w:rFonts w:ascii="Arial Narrow" w:hAnsi="Arial Narrow" w:cs="Arial"/>
                <w:noProof/>
                <w:snapToGrid w:val="0"/>
                <w:color w:val="000000"/>
                <w:sz w:val="20"/>
                <w:szCs w:val="20"/>
                <w:highlight w:val="black"/>
              </w:rPr>
              <w:t>''''''''''''''''</w:t>
            </w:r>
          </w:p>
        </w:tc>
      </w:tr>
    </w:tbl>
    <w:p w:rsidR="00CE2C77" w:rsidRPr="00CE2C77" w:rsidRDefault="00CE2C77" w:rsidP="00AD362F">
      <w:pPr>
        <w:ind w:firstLine="720"/>
        <w:jc w:val="both"/>
        <w:rPr>
          <w:rFonts w:ascii="Arial Narrow" w:hAnsi="Arial Narrow" w:cs="Arial"/>
          <w:snapToGrid w:val="0"/>
          <w:sz w:val="18"/>
          <w:szCs w:val="20"/>
        </w:rPr>
      </w:pPr>
      <w:r w:rsidRPr="002219D4">
        <w:rPr>
          <w:rFonts w:ascii="Arial Narrow" w:hAnsi="Arial Narrow" w:cs="Arial"/>
          <w:snapToGrid w:val="0"/>
          <w:sz w:val="18"/>
          <w:szCs w:val="20"/>
        </w:rPr>
        <w:t>Source: Table D.5.4 and Table D.5.5 of the Commentary</w:t>
      </w:r>
      <w:r w:rsidR="00396B86">
        <w:rPr>
          <w:rFonts w:ascii="Arial Narrow" w:hAnsi="Arial Narrow" w:cs="Arial"/>
          <w:snapToGrid w:val="0"/>
          <w:sz w:val="18"/>
          <w:szCs w:val="20"/>
        </w:rPr>
        <w:t>.</w:t>
      </w:r>
    </w:p>
    <w:p w:rsidR="000A421A" w:rsidRPr="00CE2C77" w:rsidRDefault="000A421A" w:rsidP="00AD362F">
      <w:pPr>
        <w:jc w:val="both"/>
        <w:rPr>
          <w:rFonts w:ascii="Arial" w:hAnsi="Arial" w:cs="Arial"/>
          <w:snapToGrid w:val="0"/>
          <w:sz w:val="22"/>
          <w:szCs w:val="22"/>
        </w:rPr>
      </w:pPr>
    </w:p>
    <w:p w:rsidR="00CE2C77" w:rsidRDefault="00CE2C77" w:rsidP="00AD362F">
      <w:pPr>
        <w:numPr>
          <w:ilvl w:val="1"/>
          <w:numId w:val="3"/>
        </w:numPr>
        <w:contextualSpacing/>
        <w:jc w:val="both"/>
        <w:rPr>
          <w:rFonts w:ascii="Arial" w:hAnsi="Arial" w:cs="Arial"/>
          <w:snapToGrid w:val="0"/>
          <w:sz w:val="22"/>
          <w:szCs w:val="22"/>
        </w:rPr>
      </w:pPr>
      <w:r w:rsidRPr="007241AF">
        <w:rPr>
          <w:rFonts w:ascii="Arial" w:hAnsi="Arial" w:cs="Arial"/>
          <w:snapToGrid w:val="0"/>
          <w:sz w:val="22"/>
          <w:szCs w:val="22"/>
        </w:rPr>
        <w:t xml:space="preserve">Based on the primary prevention model, the number needed to vaccinate with 13vPCV </w:t>
      </w:r>
      <w:r w:rsidR="003E2F68">
        <w:rPr>
          <w:rFonts w:ascii="Arial" w:hAnsi="Arial" w:cs="Arial"/>
          <w:snapToGrid w:val="0"/>
          <w:sz w:val="22"/>
          <w:szCs w:val="22"/>
        </w:rPr>
        <w:t>wa</w:t>
      </w:r>
      <w:r w:rsidRPr="007241AF">
        <w:rPr>
          <w:rFonts w:ascii="Arial" w:hAnsi="Arial" w:cs="Arial"/>
          <w:snapToGrid w:val="0"/>
          <w:sz w:val="22"/>
          <w:szCs w:val="22"/>
        </w:rPr>
        <w:t>s 213 for hospital treated pneumonia and 442 f</w:t>
      </w:r>
      <w:r w:rsidR="003E2F68">
        <w:rPr>
          <w:rFonts w:ascii="Arial" w:hAnsi="Arial" w:cs="Arial"/>
          <w:snapToGrid w:val="0"/>
          <w:sz w:val="22"/>
          <w:szCs w:val="22"/>
        </w:rPr>
        <w:t>or GP treated pneumonia. There was</w:t>
      </w:r>
      <w:r w:rsidRPr="007241AF">
        <w:rPr>
          <w:rFonts w:ascii="Arial" w:hAnsi="Arial" w:cs="Arial"/>
          <w:snapToGrid w:val="0"/>
          <w:sz w:val="22"/>
          <w:szCs w:val="22"/>
        </w:rPr>
        <w:t xml:space="preserve"> an additional 0.07 IPD events per 1,000 population with 13vPCV compared with 23vPPV due to the reduced serotype coverage with 13vPCV. Based on the catch-up model, the number needed to vaccinate with 13v</w:t>
      </w:r>
      <w:r w:rsidR="003E2F68">
        <w:rPr>
          <w:rFonts w:ascii="Arial" w:hAnsi="Arial" w:cs="Arial"/>
          <w:snapToGrid w:val="0"/>
          <w:sz w:val="22"/>
          <w:szCs w:val="22"/>
        </w:rPr>
        <w:t>PCV wa</w:t>
      </w:r>
      <w:r w:rsidRPr="007241AF">
        <w:rPr>
          <w:rFonts w:ascii="Arial" w:hAnsi="Arial" w:cs="Arial"/>
          <w:snapToGrid w:val="0"/>
          <w:sz w:val="22"/>
          <w:szCs w:val="22"/>
        </w:rPr>
        <w:t>s 608 for hospital treated pneumonia, 976 for GP treated pneumonia and 8,490 for IPD.</w:t>
      </w:r>
    </w:p>
    <w:p w:rsidR="00506423" w:rsidRDefault="00506423" w:rsidP="00AD362F">
      <w:pPr>
        <w:ind w:left="720"/>
        <w:contextualSpacing/>
        <w:jc w:val="both"/>
        <w:rPr>
          <w:rFonts w:ascii="Arial" w:hAnsi="Arial" w:cs="Arial"/>
          <w:snapToGrid w:val="0"/>
          <w:sz w:val="22"/>
          <w:szCs w:val="22"/>
        </w:rPr>
      </w:pPr>
    </w:p>
    <w:p w:rsidR="00506423" w:rsidRPr="00517B6E" w:rsidRDefault="00506423" w:rsidP="00AD362F">
      <w:pPr>
        <w:pStyle w:val="ListParagraph"/>
        <w:numPr>
          <w:ilvl w:val="1"/>
          <w:numId w:val="3"/>
        </w:numPr>
        <w:rPr>
          <w:rFonts w:ascii="Arial" w:hAnsi="Arial" w:cs="Arial"/>
          <w:snapToGrid w:val="0"/>
          <w:sz w:val="22"/>
          <w:szCs w:val="22"/>
        </w:rPr>
      </w:pPr>
      <w:r w:rsidRPr="00517B6E">
        <w:rPr>
          <w:rFonts w:ascii="Arial" w:hAnsi="Arial" w:cs="Arial"/>
          <w:snapToGrid w:val="0"/>
          <w:sz w:val="22"/>
          <w:szCs w:val="22"/>
        </w:rPr>
        <w:t>In the economic evaluation</w:t>
      </w:r>
      <w:r w:rsidR="00F573B9" w:rsidRPr="00517B6E">
        <w:rPr>
          <w:rFonts w:ascii="Arial" w:hAnsi="Arial" w:cs="Arial"/>
          <w:snapToGrid w:val="0"/>
          <w:sz w:val="22"/>
          <w:szCs w:val="22"/>
        </w:rPr>
        <w:t>,</w:t>
      </w:r>
      <w:r w:rsidRPr="00517B6E">
        <w:rPr>
          <w:rFonts w:ascii="Arial" w:hAnsi="Arial" w:cs="Arial"/>
          <w:snapToGrid w:val="0"/>
          <w:sz w:val="22"/>
          <w:szCs w:val="22"/>
        </w:rPr>
        <w:t xml:space="preserve"> the 23vPPV </w:t>
      </w:r>
      <w:r w:rsidR="00454C00">
        <w:rPr>
          <w:rFonts w:ascii="Arial" w:hAnsi="Arial" w:cs="Arial"/>
          <w:snapToGrid w:val="0"/>
          <w:sz w:val="22"/>
          <w:szCs w:val="22"/>
        </w:rPr>
        <w:t>vaccine efficacy</w:t>
      </w:r>
      <w:r w:rsidR="00454C00" w:rsidRPr="00517B6E">
        <w:rPr>
          <w:rFonts w:ascii="Arial" w:hAnsi="Arial" w:cs="Arial"/>
          <w:snapToGrid w:val="0"/>
          <w:sz w:val="22"/>
          <w:szCs w:val="22"/>
        </w:rPr>
        <w:t xml:space="preserve"> </w:t>
      </w:r>
      <w:r w:rsidRPr="00517B6E">
        <w:rPr>
          <w:rFonts w:ascii="Arial" w:hAnsi="Arial" w:cs="Arial"/>
          <w:snapToGrid w:val="0"/>
          <w:sz w:val="22"/>
          <w:szCs w:val="22"/>
        </w:rPr>
        <w:t xml:space="preserve">for </w:t>
      </w:r>
      <w:r w:rsidR="003E2F68">
        <w:rPr>
          <w:rFonts w:ascii="Arial" w:hAnsi="Arial" w:cs="Arial"/>
          <w:snapToGrid w:val="0"/>
          <w:sz w:val="22"/>
          <w:szCs w:val="22"/>
        </w:rPr>
        <w:t>VT IPD from Menzies 2014 (61%) wa</w:t>
      </w:r>
      <w:r w:rsidRPr="00517B6E">
        <w:rPr>
          <w:rFonts w:ascii="Arial" w:hAnsi="Arial" w:cs="Arial"/>
          <w:snapToGrid w:val="0"/>
          <w:sz w:val="22"/>
          <w:szCs w:val="22"/>
        </w:rPr>
        <w:t>s lower than for 13vPCV (76% from CAPiTA). This favour</w:t>
      </w:r>
      <w:r w:rsidR="00513B32">
        <w:rPr>
          <w:rFonts w:ascii="Arial" w:hAnsi="Arial" w:cs="Arial"/>
          <w:snapToGrid w:val="0"/>
          <w:sz w:val="22"/>
          <w:szCs w:val="22"/>
        </w:rPr>
        <w:t>ed</w:t>
      </w:r>
      <w:r w:rsidRPr="00517B6E">
        <w:rPr>
          <w:rFonts w:ascii="Arial" w:hAnsi="Arial" w:cs="Arial"/>
          <w:snapToGrid w:val="0"/>
          <w:sz w:val="22"/>
          <w:szCs w:val="22"/>
        </w:rPr>
        <w:t xml:space="preserve"> the submission. </w:t>
      </w:r>
    </w:p>
    <w:p w:rsidR="00CE2C77" w:rsidRPr="00517B6E" w:rsidRDefault="00CE2C77" w:rsidP="00AD362F">
      <w:pPr>
        <w:ind w:left="720"/>
        <w:contextualSpacing/>
        <w:jc w:val="both"/>
        <w:rPr>
          <w:rFonts w:ascii="Arial" w:hAnsi="Arial" w:cs="Arial"/>
          <w:snapToGrid w:val="0"/>
          <w:sz w:val="22"/>
          <w:szCs w:val="22"/>
        </w:rPr>
      </w:pPr>
    </w:p>
    <w:p w:rsidR="00396B86" w:rsidRPr="00517B6E" w:rsidRDefault="00B314FE" w:rsidP="00AD362F">
      <w:pPr>
        <w:numPr>
          <w:ilvl w:val="1"/>
          <w:numId w:val="3"/>
        </w:numPr>
        <w:contextualSpacing/>
        <w:jc w:val="both"/>
        <w:rPr>
          <w:rFonts w:ascii="Arial" w:hAnsi="Arial" w:cs="Arial"/>
          <w:snapToGrid w:val="0"/>
          <w:sz w:val="22"/>
          <w:szCs w:val="22"/>
        </w:rPr>
      </w:pPr>
      <w:r w:rsidRPr="00517B6E">
        <w:rPr>
          <w:rFonts w:ascii="Arial" w:hAnsi="Arial" w:cs="Arial"/>
          <w:snapToGrid w:val="0"/>
          <w:sz w:val="22"/>
          <w:szCs w:val="20"/>
        </w:rPr>
        <w:t xml:space="preserve">The submission presented the </w:t>
      </w:r>
      <w:r w:rsidR="00396B86" w:rsidRPr="00517B6E">
        <w:rPr>
          <w:rFonts w:ascii="Arial" w:hAnsi="Arial" w:cs="Arial"/>
          <w:snapToGrid w:val="0"/>
          <w:sz w:val="22"/>
          <w:szCs w:val="20"/>
        </w:rPr>
        <w:t xml:space="preserve">primary </w:t>
      </w:r>
      <w:r w:rsidRPr="00517B6E">
        <w:rPr>
          <w:rFonts w:ascii="Arial" w:hAnsi="Arial" w:cs="Arial"/>
          <w:snapToGrid w:val="0"/>
          <w:sz w:val="22"/>
          <w:szCs w:val="20"/>
        </w:rPr>
        <w:t>economic evaluation in terms of LY</w:t>
      </w:r>
      <w:r w:rsidR="00396B86" w:rsidRPr="00517B6E">
        <w:rPr>
          <w:rFonts w:ascii="Arial" w:hAnsi="Arial" w:cs="Arial"/>
          <w:snapToGrid w:val="0"/>
          <w:sz w:val="22"/>
          <w:szCs w:val="20"/>
        </w:rPr>
        <w:t xml:space="preserve">s gained and </w:t>
      </w:r>
      <w:r w:rsidR="00396B86" w:rsidRPr="00517B6E">
        <w:rPr>
          <w:rFonts w:ascii="Arial" w:hAnsi="Arial" w:cs="Arial"/>
          <w:snapToGrid w:val="0"/>
          <w:sz w:val="22"/>
          <w:szCs w:val="22"/>
        </w:rPr>
        <w:t xml:space="preserve">a secondary economic analysis with an outcome of cost per QALY saved. This analysis applied zero utility penalties to the alive state which effectively assumed that </w:t>
      </w:r>
      <w:r w:rsidR="00C16664" w:rsidRPr="00517B6E">
        <w:rPr>
          <w:rFonts w:ascii="Arial" w:hAnsi="Arial" w:cs="Arial"/>
          <w:snapToGrid w:val="0"/>
          <w:sz w:val="22"/>
          <w:szCs w:val="22"/>
        </w:rPr>
        <w:t>1</w:t>
      </w:r>
      <w:r w:rsidR="00396B86" w:rsidRPr="00517B6E">
        <w:rPr>
          <w:rFonts w:ascii="Arial" w:hAnsi="Arial" w:cs="Arial"/>
          <w:snapToGrid w:val="0"/>
          <w:sz w:val="22"/>
          <w:szCs w:val="22"/>
        </w:rPr>
        <w:t xml:space="preserve"> LY equals </w:t>
      </w:r>
      <w:r w:rsidR="00C16664" w:rsidRPr="00517B6E">
        <w:rPr>
          <w:rFonts w:ascii="Arial" w:hAnsi="Arial" w:cs="Arial"/>
          <w:snapToGrid w:val="0"/>
          <w:sz w:val="22"/>
          <w:szCs w:val="22"/>
        </w:rPr>
        <w:t xml:space="preserve">1 </w:t>
      </w:r>
      <w:r w:rsidR="00396B86" w:rsidRPr="00517B6E">
        <w:rPr>
          <w:rFonts w:ascii="Arial" w:hAnsi="Arial" w:cs="Arial"/>
          <w:snapToGrid w:val="0"/>
          <w:sz w:val="22"/>
          <w:szCs w:val="22"/>
        </w:rPr>
        <w:t>QALY.</w:t>
      </w:r>
      <w:r w:rsidR="00396B86" w:rsidRPr="00517B6E">
        <w:rPr>
          <w:rFonts w:ascii="Arial" w:hAnsi="Arial" w:cs="Arial"/>
          <w:snapToGrid w:val="0"/>
          <w:sz w:val="22"/>
          <w:szCs w:val="20"/>
        </w:rPr>
        <w:t xml:space="preserve"> The </w:t>
      </w:r>
      <w:r w:rsidR="00396B86" w:rsidRPr="00620BD6">
        <w:rPr>
          <w:rFonts w:ascii="Arial" w:hAnsi="Arial" w:cs="Arial"/>
          <w:snapToGrid w:val="0"/>
          <w:sz w:val="22"/>
          <w:szCs w:val="20"/>
        </w:rPr>
        <w:t>ESC</w:t>
      </w:r>
      <w:r w:rsidR="00396B86" w:rsidRPr="00517B6E">
        <w:rPr>
          <w:rFonts w:ascii="Arial" w:hAnsi="Arial" w:cs="Arial"/>
          <w:snapToGrid w:val="0"/>
          <w:sz w:val="22"/>
          <w:szCs w:val="20"/>
        </w:rPr>
        <w:t xml:space="preserve"> considered it was inappropriate to ascribe equal values for LYs and QALYs</w:t>
      </w:r>
      <w:r w:rsidR="00C16664" w:rsidRPr="00517B6E">
        <w:rPr>
          <w:rFonts w:ascii="Arial" w:hAnsi="Arial" w:cs="Arial"/>
          <w:snapToGrid w:val="0"/>
          <w:sz w:val="22"/>
          <w:szCs w:val="20"/>
        </w:rPr>
        <w:t xml:space="preserve"> since this does not take account of general population norms for QALY weights. The </w:t>
      </w:r>
      <w:r w:rsidR="00C16664" w:rsidRPr="00620BD6">
        <w:rPr>
          <w:rFonts w:ascii="Arial" w:hAnsi="Arial" w:cs="Arial"/>
          <w:snapToGrid w:val="0"/>
          <w:sz w:val="22"/>
          <w:szCs w:val="20"/>
        </w:rPr>
        <w:t>ESC</w:t>
      </w:r>
      <w:r w:rsidR="00C16664" w:rsidRPr="00517B6E">
        <w:rPr>
          <w:rFonts w:ascii="Arial" w:hAnsi="Arial" w:cs="Arial"/>
          <w:snapToGrid w:val="0"/>
          <w:sz w:val="22"/>
          <w:szCs w:val="20"/>
        </w:rPr>
        <w:t xml:space="preserve"> noted that a QALY weight of 1 (that is QALY=LY) implies a population in full health, whereas in practice, a general population will have a distribution of health states, and an average QALY weight of less than 1.</w:t>
      </w:r>
    </w:p>
    <w:p w:rsidR="00396B86" w:rsidRPr="00517B6E" w:rsidRDefault="00396B86" w:rsidP="00AD362F">
      <w:pPr>
        <w:pStyle w:val="ListParagraph"/>
        <w:rPr>
          <w:rFonts w:ascii="Arial" w:hAnsi="Arial" w:cs="Arial"/>
          <w:snapToGrid w:val="0"/>
          <w:sz w:val="22"/>
          <w:szCs w:val="20"/>
        </w:rPr>
      </w:pPr>
    </w:p>
    <w:p w:rsidR="00CE2C77" w:rsidRPr="00517B6E" w:rsidRDefault="00B314FE" w:rsidP="00200415">
      <w:pPr>
        <w:keepNext/>
        <w:keepLines/>
        <w:numPr>
          <w:ilvl w:val="1"/>
          <w:numId w:val="3"/>
        </w:numPr>
        <w:contextualSpacing/>
        <w:jc w:val="both"/>
        <w:rPr>
          <w:rFonts w:ascii="Arial" w:hAnsi="Arial" w:cs="Arial"/>
          <w:snapToGrid w:val="0"/>
          <w:sz w:val="22"/>
          <w:szCs w:val="22"/>
        </w:rPr>
      </w:pPr>
      <w:r w:rsidRPr="00517B6E">
        <w:rPr>
          <w:rFonts w:ascii="Arial" w:hAnsi="Arial" w:cs="Arial"/>
          <w:snapToGrid w:val="0"/>
          <w:sz w:val="22"/>
          <w:szCs w:val="20"/>
        </w:rPr>
        <w:lastRenderedPageBreak/>
        <w:t xml:space="preserve">The evaluation applied </w:t>
      </w:r>
      <w:r w:rsidR="00CE2C77" w:rsidRPr="00517B6E">
        <w:rPr>
          <w:rFonts w:ascii="Arial" w:hAnsi="Arial" w:cs="Arial"/>
          <w:snapToGrid w:val="0"/>
          <w:sz w:val="22"/>
          <w:szCs w:val="20"/>
        </w:rPr>
        <w:t>a utility value of 0.74 for the alive states</w:t>
      </w:r>
      <w:r w:rsidR="00C16664" w:rsidRPr="00517B6E">
        <w:rPr>
          <w:rFonts w:ascii="Arial" w:hAnsi="Arial" w:cs="Arial"/>
          <w:snapToGrid w:val="0"/>
          <w:sz w:val="22"/>
          <w:szCs w:val="20"/>
        </w:rPr>
        <w:t xml:space="preserve"> (which was sourced from Norman R, Church J, van den Berg B and Goodall S. Australian health-related quality of life population norms derived from the SF-6D. Aust NZ J Public Health 2013; 37:17-23</w:t>
      </w:r>
      <w:r w:rsidR="008B4448" w:rsidRPr="00517B6E">
        <w:rPr>
          <w:rFonts w:ascii="Arial" w:hAnsi="Arial" w:cs="Arial"/>
          <w:snapToGrid w:val="0"/>
          <w:sz w:val="22"/>
          <w:szCs w:val="20"/>
        </w:rPr>
        <w:t>, as the population norm for adults aged 61-70 years</w:t>
      </w:r>
      <w:r w:rsidR="00C16664" w:rsidRPr="00517B6E">
        <w:rPr>
          <w:rFonts w:ascii="Arial" w:hAnsi="Arial" w:cs="Arial"/>
          <w:snapToGrid w:val="0"/>
          <w:sz w:val="22"/>
          <w:szCs w:val="20"/>
        </w:rPr>
        <w:t xml:space="preserve">) to account for population quality of life norms. This resulted </w:t>
      </w:r>
      <w:r w:rsidRPr="00517B6E">
        <w:rPr>
          <w:rFonts w:ascii="Arial" w:hAnsi="Arial" w:cs="Arial"/>
          <w:snapToGrid w:val="0"/>
          <w:sz w:val="22"/>
          <w:szCs w:val="20"/>
        </w:rPr>
        <w:t>in a</w:t>
      </w:r>
      <w:r w:rsidR="00CE2C77" w:rsidRPr="00517B6E">
        <w:rPr>
          <w:rFonts w:ascii="Arial" w:hAnsi="Arial" w:cs="Arial"/>
          <w:snapToGrid w:val="0"/>
          <w:sz w:val="22"/>
          <w:szCs w:val="20"/>
        </w:rPr>
        <w:t xml:space="preserve"> cost/QALY gained </w:t>
      </w:r>
      <w:r w:rsidRPr="00517B6E">
        <w:rPr>
          <w:rFonts w:ascii="Arial" w:hAnsi="Arial" w:cs="Arial"/>
          <w:snapToGrid w:val="0"/>
          <w:sz w:val="22"/>
          <w:szCs w:val="20"/>
        </w:rPr>
        <w:t xml:space="preserve">of </w:t>
      </w:r>
      <w:r w:rsidR="00C33704">
        <w:rPr>
          <w:rFonts w:ascii="Arial" w:hAnsi="Arial" w:cs="Arial"/>
          <w:snapToGrid w:val="0"/>
          <w:sz w:val="22"/>
          <w:szCs w:val="20"/>
        </w:rPr>
        <w:t xml:space="preserve">less than $15,000 </w:t>
      </w:r>
      <w:r w:rsidR="00CE2C77" w:rsidRPr="00517B6E">
        <w:rPr>
          <w:rFonts w:ascii="Arial" w:hAnsi="Arial" w:cs="Arial"/>
          <w:snapToGrid w:val="0"/>
          <w:sz w:val="22"/>
          <w:szCs w:val="20"/>
        </w:rPr>
        <w:t xml:space="preserve">for the primary program and </w:t>
      </w:r>
      <w:r w:rsidR="00C33704">
        <w:rPr>
          <w:rFonts w:ascii="Arial" w:hAnsi="Arial" w:cs="Arial"/>
          <w:snapToGrid w:val="0"/>
          <w:sz w:val="22"/>
          <w:szCs w:val="20"/>
        </w:rPr>
        <w:t>$</w:t>
      </w:r>
      <w:r w:rsidR="00CB6171">
        <w:rPr>
          <w:rFonts w:ascii="Arial" w:hAnsi="Arial" w:cs="Arial"/>
          <w:snapToGrid w:val="0"/>
          <w:sz w:val="22"/>
          <w:szCs w:val="20"/>
        </w:rPr>
        <w:t>105,000</w:t>
      </w:r>
      <w:r w:rsidR="00C33704">
        <w:rPr>
          <w:rFonts w:ascii="Arial" w:hAnsi="Arial" w:cs="Arial"/>
          <w:snapToGrid w:val="0"/>
          <w:sz w:val="22"/>
          <w:szCs w:val="20"/>
        </w:rPr>
        <w:t>/QALY - $</w:t>
      </w:r>
      <w:r w:rsidR="00CB6171">
        <w:rPr>
          <w:rFonts w:ascii="Arial" w:hAnsi="Arial" w:cs="Arial"/>
          <w:snapToGrid w:val="0"/>
          <w:sz w:val="22"/>
          <w:szCs w:val="20"/>
        </w:rPr>
        <w:t>200,000</w:t>
      </w:r>
      <w:r w:rsidR="00C33704">
        <w:rPr>
          <w:rFonts w:ascii="Arial" w:hAnsi="Arial" w:cs="Arial"/>
          <w:snapToGrid w:val="0"/>
          <w:sz w:val="22"/>
          <w:szCs w:val="20"/>
        </w:rPr>
        <w:t xml:space="preserve">/QALY </w:t>
      </w:r>
      <w:r w:rsidR="00CE2C77" w:rsidRPr="00517B6E">
        <w:rPr>
          <w:rFonts w:ascii="Arial" w:hAnsi="Arial" w:cs="Arial"/>
          <w:snapToGrid w:val="0"/>
          <w:sz w:val="22"/>
          <w:szCs w:val="20"/>
        </w:rPr>
        <w:t>for the catch-up program.</w:t>
      </w:r>
      <w:r w:rsidR="003E2F68">
        <w:rPr>
          <w:rFonts w:ascii="Arial" w:hAnsi="Arial" w:cs="Arial"/>
          <w:snapToGrid w:val="0"/>
          <w:sz w:val="22"/>
          <w:szCs w:val="20"/>
        </w:rPr>
        <w:t xml:space="preserve"> The PSCR argued</w:t>
      </w:r>
      <w:r w:rsidR="00385735" w:rsidRPr="00517B6E">
        <w:rPr>
          <w:rFonts w:ascii="Arial" w:hAnsi="Arial" w:cs="Arial"/>
          <w:snapToGrid w:val="0"/>
          <w:sz w:val="22"/>
          <w:szCs w:val="20"/>
        </w:rPr>
        <w:t xml:space="preserve"> that there was no justification for applying a ‘quality of life norm’ utility of 0.74. </w:t>
      </w:r>
      <w:r w:rsidRPr="00517B6E">
        <w:rPr>
          <w:rFonts w:ascii="Arial" w:hAnsi="Arial" w:cs="Arial"/>
          <w:snapToGrid w:val="0"/>
          <w:sz w:val="22"/>
          <w:szCs w:val="20"/>
        </w:rPr>
        <w:t xml:space="preserve">The ESC </w:t>
      </w:r>
      <w:r w:rsidR="00C16664" w:rsidRPr="00517B6E">
        <w:rPr>
          <w:rFonts w:ascii="Arial" w:hAnsi="Arial" w:cs="Arial"/>
          <w:snapToGrid w:val="0"/>
          <w:sz w:val="22"/>
          <w:szCs w:val="20"/>
        </w:rPr>
        <w:t xml:space="preserve">considered that it may be reasonable to </w:t>
      </w:r>
      <w:r w:rsidRPr="00517B6E">
        <w:rPr>
          <w:rFonts w:ascii="Arial" w:hAnsi="Arial" w:cs="Arial"/>
          <w:snapToGrid w:val="0"/>
          <w:sz w:val="22"/>
          <w:szCs w:val="20"/>
        </w:rPr>
        <w:t>consider the ICER in terms of LY gained</w:t>
      </w:r>
      <w:r w:rsidR="00C16664" w:rsidRPr="00517B6E">
        <w:rPr>
          <w:rFonts w:ascii="Arial" w:hAnsi="Arial" w:cs="Arial"/>
          <w:snapToGrid w:val="0"/>
          <w:sz w:val="22"/>
          <w:szCs w:val="20"/>
        </w:rPr>
        <w:t xml:space="preserve">, but that it was not appropriate to </w:t>
      </w:r>
      <w:r w:rsidR="00396B86" w:rsidRPr="00517B6E">
        <w:rPr>
          <w:rFonts w:ascii="Arial" w:hAnsi="Arial" w:cs="Arial"/>
          <w:snapToGrid w:val="0"/>
          <w:sz w:val="22"/>
          <w:szCs w:val="20"/>
        </w:rPr>
        <w:t xml:space="preserve">assume that a LY equals </w:t>
      </w:r>
      <w:r w:rsidR="008B4448" w:rsidRPr="00517B6E">
        <w:rPr>
          <w:rFonts w:ascii="Arial" w:hAnsi="Arial" w:cs="Arial"/>
          <w:snapToGrid w:val="0"/>
          <w:sz w:val="22"/>
          <w:szCs w:val="20"/>
        </w:rPr>
        <w:t>1</w:t>
      </w:r>
      <w:r w:rsidR="00396B86" w:rsidRPr="00517B6E">
        <w:rPr>
          <w:rFonts w:ascii="Arial" w:hAnsi="Arial" w:cs="Arial"/>
          <w:snapToGrid w:val="0"/>
          <w:sz w:val="22"/>
          <w:szCs w:val="20"/>
        </w:rPr>
        <w:t xml:space="preserve"> QALY</w:t>
      </w:r>
      <w:r w:rsidR="00C16664" w:rsidRPr="00517B6E">
        <w:rPr>
          <w:rFonts w:ascii="Arial" w:hAnsi="Arial" w:cs="Arial"/>
          <w:snapToGrid w:val="0"/>
          <w:sz w:val="22"/>
          <w:szCs w:val="20"/>
        </w:rPr>
        <w:t xml:space="preserve"> in a general population.</w:t>
      </w:r>
    </w:p>
    <w:p w:rsidR="00104E57" w:rsidRPr="00517B6E" w:rsidRDefault="00104E57" w:rsidP="00AD362F">
      <w:pPr>
        <w:rPr>
          <w:rFonts w:ascii="Arial" w:hAnsi="Arial" w:cs="Arial"/>
          <w:snapToGrid w:val="0"/>
          <w:sz w:val="22"/>
          <w:szCs w:val="22"/>
        </w:rPr>
      </w:pPr>
    </w:p>
    <w:p w:rsidR="00104E57" w:rsidRPr="00517B6E" w:rsidRDefault="00B163CA" w:rsidP="00AD362F">
      <w:pPr>
        <w:numPr>
          <w:ilvl w:val="1"/>
          <w:numId w:val="3"/>
        </w:numPr>
        <w:contextualSpacing/>
        <w:jc w:val="both"/>
        <w:rPr>
          <w:rFonts w:ascii="Arial" w:hAnsi="Arial" w:cs="Arial"/>
          <w:snapToGrid w:val="0"/>
          <w:sz w:val="22"/>
          <w:szCs w:val="20"/>
        </w:rPr>
      </w:pPr>
      <w:r w:rsidRPr="00517B6E">
        <w:rPr>
          <w:rFonts w:ascii="Arial" w:hAnsi="Arial" w:cs="Arial"/>
          <w:snapToGrid w:val="0"/>
          <w:sz w:val="22"/>
          <w:szCs w:val="20"/>
        </w:rPr>
        <w:t xml:space="preserve">In response to the corrected model and increased ICER for the </w:t>
      </w:r>
      <w:r w:rsidR="00780900" w:rsidRPr="00517B6E">
        <w:rPr>
          <w:rFonts w:ascii="Arial" w:hAnsi="Arial" w:cs="Arial"/>
          <w:snapToGrid w:val="0"/>
          <w:sz w:val="22"/>
          <w:szCs w:val="20"/>
        </w:rPr>
        <w:t>five</w:t>
      </w:r>
      <w:r w:rsidRPr="00517B6E">
        <w:rPr>
          <w:rFonts w:ascii="Arial" w:hAnsi="Arial" w:cs="Arial"/>
          <w:snapToGrid w:val="0"/>
          <w:sz w:val="22"/>
          <w:szCs w:val="20"/>
        </w:rPr>
        <w:t xml:space="preserve"> year catch</w:t>
      </w:r>
      <w:r w:rsidRPr="00517B6E">
        <w:rPr>
          <w:rFonts w:ascii="Arial" w:hAnsi="Arial" w:cs="Arial"/>
          <w:snapToGrid w:val="0"/>
          <w:sz w:val="22"/>
          <w:szCs w:val="20"/>
        </w:rPr>
        <w:noBreakHyphen/>
        <w:t>up program proposed in the submission (of 70-84 years), the PSCR</w:t>
      </w:r>
      <w:r w:rsidR="00780900" w:rsidRPr="00517B6E">
        <w:rPr>
          <w:rFonts w:ascii="Arial" w:hAnsi="Arial" w:cs="Arial"/>
          <w:snapToGrid w:val="0"/>
          <w:sz w:val="22"/>
          <w:szCs w:val="20"/>
        </w:rPr>
        <w:t xml:space="preserve"> proposed two alternative five</w:t>
      </w:r>
      <w:r w:rsidRPr="00517B6E">
        <w:rPr>
          <w:rFonts w:ascii="Arial" w:hAnsi="Arial" w:cs="Arial"/>
          <w:snapToGrid w:val="0"/>
          <w:sz w:val="22"/>
          <w:szCs w:val="20"/>
        </w:rPr>
        <w:t xml:space="preserve"> year catch-up programs: 66-74 years or 70-74 years. The PSCR presented revised ICERs of </w:t>
      </w:r>
      <w:r w:rsidR="00CB6171" w:rsidRPr="00CB6171">
        <w:rPr>
          <w:rFonts w:ascii="Arial" w:hAnsi="Arial" w:cs="Arial"/>
          <w:snapToGrid w:val="0"/>
          <w:sz w:val="22"/>
          <w:szCs w:val="20"/>
        </w:rPr>
        <w:t>$15,000 - $45,000 and $45,000 - $75,000</w:t>
      </w:r>
      <w:r w:rsidR="00CB6171">
        <w:rPr>
          <w:rFonts w:ascii="Arial" w:hAnsi="Arial" w:cs="Arial"/>
          <w:snapToGrid w:val="0"/>
          <w:sz w:val="22"/>
          <w:szCs w:val="20"/>
        </w:rPr>
        <w:t xml:space="preserve"> </w:t>
      </w:r>
      <w:r w:rsidRPr="00517B6E">
        <w:rPr>
          <w:rFonts w:ascii="Arial" w:hAnsi="Arial" w:cs="Arial"/>
          <w:snapToGrid w:val="0"/>
          <w:sz w:val="22"/>
          <w:szCs w:val="20"/>
        </w:rPr>
        <w:t xml:space="preserve">per LY gained for the 66-74 and 70-74 years programs, respectively. The ICER for the 66-74 years program </w:t>
      </w:r>
      <w:r w:rsidR="00C44E02" w:rsidRPr="00517B6E">
        <w:rPr>
          <w:rFonts w:ascii="Arial" w:hAnsi="Arial" w:cs="Arial"/>
          <w:snapToGrid w:val="0"/>
          <w:sz w:val="22"/>
          <w:szCs w:val="20"/>
        </w:rPr>
        <w:t xml:space="preserve">was not able to be reproduced </w:t>
      </w:r>
      <w:r w:rsidRPr="00517B6E">
        <w:rPr>
          <w:rFonts w:ascii="Arial" w:hAnsi="Arial" w:cs="Arial"/>
          <w:snapToGrid w:val="0"/>
          <w:sz w:val="22"/>
          <w:szCs w:val="20"/>
        </w:rPr>
        <w:t>as the submission model did not include subjects aged 66-69 years. However, the results presented were consistent with expected results</w:t>
      </w:r>
      <w:r w:rsidR="00D735D6" w:rsidRPr="00517B6E">
        <w:rPr>
          <w:rFonts w:ascii="Arial" w:hAnsi="Arial" w:cs="Arial"/>
          <w:snapToGrid w:val="0"/>
          <w:sz w:val="22"/>
          <w:szCs w:val="20"/>
        </w:rPr>
        <w:t>.</w:t>
      </w:r>
    </w:p>
    <w:p w:rsidR="002F4167" w:rsidRPr="00517B6E" w:rsidRDefault="002F4167" w:rsidP="00AD362F">
      <w:pPr>
        <w:contextualSpacing/>
        <w:jc w:val="both"/>
        <w:rPr>
          <w:rFonts w:ascii="Arial" w:hAnsi="Arial" w:cs="Arial"/>
          <w:snapToGrid w:val="0"/>
          <w:sz w:val="22"/>
          <w:szCs w:val="20"/>
        </w:rPr>
      </w:pPr>
    </w:p>
    <w:p w:rsidR="002F4167" w:rsidRPr="00517B6E" w:rsidRDefault="002F4167" w:rsidP="00AD362F">
      <w:pPr>
        <w:numPr>
          <w:ilvl w:val="1"/>
          <w:numId w:val="3"/>
        </w:numPr>
        <w:contextualSpacing/>
        <w:jc w:val="both"/>
        <w:rPr>
          <w:rFonts w:ascii="Arial" w:hAnsi="Arial" w:cs="Arial"/>
          <w:snapToGrid w:val="0"/>
          <w:sz w:val="22"/>
          <w:szCs w:val="20"/>
        </w:rPr>
      </w:pPr>
      <w:r w:rsidRPr="00517B6E">
        <w:rPr>
          <w:rFonts w:ascii="Arial" w:hAnsi="Arial" w:cs="Arial"/>
          <w:snapToGrid w:val="0"/>
          <w:sz w:val="22"/>
          <w:szCs w:val="20"/>
        </w:rPr>
        <w:t xml:space="preserve">The cost-effectiveness estimates </w:t>
      </w:r>
      <w:r w:rsidR="002076D9">
        <w:rPr>
          <w:rFonts w:ascii="Arial" w:hAnsi="Arial" w:cs="Arial"/>
          <w:snapToGrid w:val="0"/>
          <w:sz w:val="22"/>
          <w:szCs w:val="20"/>
        </w:rPr>
        <w:t>were</w:t>
      </w:r>
      <w:r w:rsidRPr="00517B6E">
        <w:rPr>
          <w:rFonts w:ascii="Arial" w:hAnsi="Arial" w:cs="Arial"/>
          <w:snapToGrid w:val="0"/>
          <w:sz w:val="22"/>
          <w:szCs w:val="20"/>
        </w:rPr>
        <w:t xml:space="preserve"> driven by the</w:t>
      </w:r>
      <w:r w:rsidR="00B4601C">
        <w:rPr>
          <w:rFonts w:ascii="Arial" w:hAnsi="Arial" w:cs="Arial"/>
          <w:snapToGrid w:val="0"/>
          <w:sz w:val="22"/>
          <w:szCs w:val="20"/>
        </w:rPr>
        <w:t xml:space="preserve"> reduction in the number of non</w:t>
      </w:r>
      <w:r w:rsidR="00B4601C">
        <w:rPr>
          <w:rFonts w:ascii="Arial" w:hAnsi="Arial" w:cs="Arial"/>
          <w:snapToGrid w:val="0"/>
          <w:sz w:val="22"/>
          <w:szCs w:val="20"/>
        </w:rPr>
        <w:noBreakHyphen/>
      </w:r>
      <w:r w:rsidRPr="00517B6E">
        <w:rPr>
          <w:rFonts w:ascii="Arial" w:hAnsi="Arial" w:cs="Arial"/>
          <w:snapToGrid w:val="0"/>
          <w:sz w:val="22"/>
          <w:szCs w:val="20"/>
        </w:rPr>
        <w:t xml:space="preserve">bacteraemic pneumonia events with 13vPCV. This </w:t>
      </w:r>
      <w:r w:rsidR="002076D9">
        <w:rPr>
          <w:rFonts w:ascii="Arial" w:hAnsi="Arial" w:cs="Arial"/>
          <w:snapToGrid w:val="0"/>
          <w:sz w:val="22"/>
          <w:szCs w:val="20"/>
        </w:rPr>
        <w:t>was</w:t>
      </w:r>
      <w:r w:rsidRPr="00517B6E">
        <w:rPr>
          <w:rFonts w:ascii="Arial" w:hAnsi="Arial" w:cs="Arial"/>
          <w:snapToGrid w:val="0"/>
          <w:sz w:val="22"/>
          <w:szCs w:val="20"/>
        </w:rPr>
        <w:t xml:space="preserve"> potentially overestimated because:</w:t>
      </w:r>
    </w:p>
    <w:p w:rsidR="004278FD" w:rsidRPr="00517B6E" w:rsidRDefault="004278FD" w:rsidP="00AD362F">
      <w:pPr>
        <w:numPr>
          <w:ilvl w:val="1"/>
          <w:numId w:val="13"/>
        </w:numPr>
        <w:ind w:left="993" w:hanging="284"/>
        <w:contextualSpacing/>
        <w:jc w:val="both"/>
        <w:rPr>
          <w:rFonts w:ascii="Arial" w:hAnsi="Arial" w:cs="Arial"/>
          <w:snapToGrid w:val="0"/>
          <w:sz w:val="22"/>
          <w:szCs w:val="20"/>
        </w:rPr>
      </w:pPr>
      <w:r w:rsidRPr="00517B6E">
        <w:rPr>
          <w:rFonts w:ascii="Arial" w:hAnsi="Arial" w:cs="Arial"/>
          <w:snapToGrid w:val="0"/>
          <w:sz w:val="22"/>
          <w:szCs w:val="20"/>
        </w:rPr>
        <w:t xml:space="preserve">VE for non-bacteraemia pneumonia </w:t>
      </w:r>
      <w:r w:rsidR="002076D9">
        <w:rPr>
          <w:rFonts w:ascii="Arial" w:hAnsi="Arial" w:cs="Arial"/>
          <w:snapToGrid w:val="0"/>
          <w:sz w:val="22"/>
          <w:szCs w:val="20"/>
        </w:rPr>
        <w:t>was</w:t>
      </w:r>
      <w:r w:rsidRPr="00517B6E">
        <w:rPr>
          <w:rFonts w:ascii="Arial" w:hAnsi="Arial" w:cs="Arial"/>
          <w:snapToGrid w:val="0"/>
          <w:sz w:val="22"/>
          <w:szCs w:val="20"/>
        </w:rPr>
        <w:t xml:space="preserve"> assumed to be zero for 23vPPV. The ESC noted that </w:t>
      </w:r>
      <w:r w:rsidR="000B13D2" w:rsidRPr="00517B6E">
        <w:rPr>
          <w:rFonts w:ascii="Arial" w:hAnsi="Arial" w:cs="Arial"/>
          <w:snapToGrid w:val="0"/>
          <w:sz w:val="22"/>
          <w:szCs w:val="20"/>
        </w:rPr>
        <w:t xml:space="preserve">five of the </w:t>
      </w:r>
      <w:r w:rsidRPr="00517B6E">
        <w:rPr>
          <w:rFonts w:ascii="Arial" w:hAnsi="Arial" w:cs="Arial"/>
          <w:snapToGrid w:val="0"/>
          <w:sz w:val="22"/>
          <w:szCs w:val="20"/>
        </w:rPr>
        <w:t xml:space="preserve">six studies this estimate was based </w:t>
      </w:r>
      <w:r w:rsidR="002F4167" w:rsidRPr="00517B6E">
        <w:rPr>
          <w:rFonts w:ascii="Arial" w:hAnsi="Arial" w:cs="Arial"/>
          <w:snapToGrid w:val="0"/>
          <w:sz w:val="22"/>
          <w:szCs w:val="20"/>
        </w:rPr>
        <w:t>on</w:t>
      </w:r>
      <w:r w:rsidR="00441715" w:rsidRPr="00517B6E">
        <w:rPr>
          <w:rFonts w:ascii="Arial" w:hAnsi="Arial" w:cs="Arial"/>
          <w:snapToGrid w:val="0"/>
          <w:sz w:val="22"/>
          <w:szCs w:val="20"/>
        </w:rPr>
        <w:t xml:space="preserve"> </w:t>
      </w:r>
      <w:r w:rsidRPr="00517B6E">
        <w:rPr>
          <w:rFonts w:ascii="Arial" w:hAnsi="Arial" w:cs="Arial"/>
          <w:snapToGrid w:val="0"/>
          <w:sz w:val="22"/>
          <w:szCs w:val="20"/>
        </w:rPr>
        <w:t xml:space="preserve">excluded aged care homes. While ATAGI agreed with the assumption of zero efficacy in the base case, ATAGI also considered it reasonable to assume 46% as the upper limit of the </w:t>
      </w:r>
      <w:r w:rsidR="00454C00">
        <w:rPr>
          <w:rFonts w:ascii="Arial" w:hAnsi="Arial" w:cs="Arial"/>
          <w:snapToGrid w:val="0"/>
          <w:sz w:val="22"/>
          <w:szCs w:val="20"/>
        </w:rPr>
        <w:t>vaccine efficacy</w:t>
      </w:r>
      <w:r w:rsidR="00454C00" w:rsidRPr="00517B6E">
        <w:rPr>
          <w:rFonts w:ascii="Arial" w:hAnsi="Arial" w:cs="Arial"/>
          <w:snapToGrid w:val="0"/>
          <w:sz w:val="22"/>
          <w:szCs w:val="20"/>
        </w:rPr>
        <w:t xml:space="preserve"> </w:t>
      </w:r>
      <w:r w:rsidRPr="00517B6E">
        <w:rPr>
          <w:rFonts w:ascii="Arial" w:hAnsi="Arial" w:cs="Arial"/>
          <w:snapToGrid w:val="0"/>
          <w:sz w:val="22"/>
          <w:szCs w:val="20"/>
        </w:rPr>
        <w:t xml:space="preserve">estimate (based on a meta-analysis that included aged care homes). </w:t>
      </w:r>
    </w:p>
    <w:p w:rsidR="002F4167" w:rsidRPr="00517B6E" w:rsidRDefault="004278FD" w:rsidP="00AD362F">
      <w:pPr>
        <w:numPr>
          <w:ilvl w:val="1"/>
          <w:numId w:val="13"/>
        </w:numPr>
        <w:ind w:left="993" w:hanging="284"/>
        <w:contextualSpacing/>
        <w:jc w:val="both"/>
        <w:rPr>
          <w:rFonts w:ascii="Arial" w:hAnsi="Arial" w:cs="Arial"/>
          <w:snapToGrid w:val="0"/>
          <w:sz w:val="22"/>
          <w:szCs w:val="20"/>
        </w:rPr>
      </w:pPr>
      <w:r w:rsidRPr="00517B6E">
        <w:rPr>
          <w:rFonts w:ascii="Arial" w:hAnsi="Arial" w:cs="Arial"/>
          <w:snapToGrid w:val="0"/>
          <w:sz w:val="22"/>
          <w:szCs w:val="20"/>
        </w:rPr>
        <w:t xml:space="preserve">13vPCV </w:t>
      </w:r>
      <w:r w:rsidR="00454C00">
        <w:rPr>
          <w:rFonts w:ascii="Arial" w:hAnsi="Arial" w:cs="Arial"/>
          <w:snapToGrid w:val="0"/>
          <w:sz w:val="22"/>
          <w:szCs w:val="20"/>
        </w:rPr>
        <w:t>vaccine efficacy</w:t>
      </w:r>
      <w:r w:rsidR="00454C00" w:rsidRPr="00517B6E" w:rsidDel="00454C00">
        <w:rPr>
          <w:rFonts w:ascii="Arial" w:hAnsi="Arial" w:cs="Arial"/>
          <w:snapToGrid w:val="0"/>
          <w:sz w:val="22"/>
          <w:szCs w:val="20"/>
        </w:rPr>
        <w:t xml:space="preserve"> </w:t>
      </w:r>
      <w:r w:rsidR="002076D9">
        <w:rPr>
          <w:rFonts w:ascii="Arial" w:hAnsi="Arial" w:cs="Arial"/>
          <w:snapToGrid w:val="0"/>
          <w:sz w:val="22"/>
          <w:szCs w:val="20"/>
        </w:rPr>
        <w:t>wa</w:t>
      </w:r>
      <w:r w:rsidRPr="00517B6E">
        <w:rPr>
          <w:rFonts w:ascii="Arial" w:hAnsi="Arial" w:cs="Arial"/>
          <w:snapToGrid w:val="0"/>
          <w:sz w:val="22"/>
          <w:szCs w:val="20"/>
        </w:rPr>
        <w:t>s assumed to de</w:t>
      </w:r>
      <w:r w:rsidR="002F4167" w:rsidRPr="00517B6E">
        <w:rPr>
          <w:rFonts w:ascii="Arial" w:hAnsi="Arial" w:cs="Arial"/>
          <w:snapToGrid w:val="0"/>
          <w:sz w:val="22"/>
          <w:szCs w:val="20"/>
        </w:rPr>
        <w:t>cline slowly over time. Beyond four</w:t>
      </w:r>
      <w:r w:rsidRPr="00517B6E">
        <w:rPr>
          <w:rFonts w:ascii="Arial" w:hAnsi="Arial" w:cs="Arial"/>
          <w:snapToGrid w:val="0"/>
          <w:sz w:val="22"/>
          <w:szCs w:val="20"/>
        </w:rPr>
        <w:t xml:space="preserve"> years an annual decline in </w:t>
      </w:r>
      <w:r w:rsidR="001E0281">
        <w:rPr>
          <w:rFonts w:ascii="Arial" w:hAnsi="Arial" w:cs="Arial"/>
          <w:snapToGrid w:val="0"/>
          <w:sz w:val="22"/>
          <w:szCs w:val="20"/>
        </w:rPr>
        <w:t>vaccine efficacy</w:t>
      </w:r>
      <w:r w:rsidR="001E0281" w:rsidRPr="00517B6E" w:rsidDel="001E0281">
        <w:rPr>
          <w:rFonts w:ascii="Arial" w:hAnsi="Arial" w:cs="Arial"/>
          <w:snapToGrid w:val="0"/>
          <w:sz w:val="22"/>
          <w:szCs w:val="20"/>
        </w:rPr>
        <w:t xml:space="preserve"> </w:t>
      </w:r>
      <w:r w:rsidRPr="00517B6E">
        <w:rPr>
          <w:rFonts w:ascii="Arial" w:hAnsi="Arial" w:cs="Arial"/>
          <w:snapToGrid w:val="0"/>
          <w:sz w:val="22"/>
          <w:szCs w:val="20"/>
        </w:rPr>
        <w:t xml:space="preserve">of 5% is assumed which results in 13vPCV </w:t>
      </w:r>
      <w:r w:rsidR="001E0281">
        <w:rPr>
          <w:rFonts w:ascii="Arial" w:hAnsi="Arial" w:cs="Arial"/>
          <w:snapToGrid w:val="0"/>
          <w:sz w:val="22"/>
          <w:szCs w:val="20"/>
        </w:rPr>
        <w:t>vaccine efficacy</w:t>
      </w:r>
      <w:r w:rsidR="001E0281" w:rsidRPr="00517B6E" w:rsidDel="001E0281">
        <w:rPr>
          <w:rFonts w:ascii="Arial" w:hAnsi="Arial" w:cs="Arial"/>
          <w:snapToGrid w:val="0"/>
          <w:sz w:val="22"/>
          <w:szCs w:val="20"/>
        </w:rPr>
        <w:t xml:space="preserve"> </w:t>
      </w:r>
      <w:r w:rsidRPr="00517B6E">
        <w:rPr>
          <w:rFonts w:ascii="Arial" w:hAnsi="Arial" w:cs="Arial"/>
          <w:snapToGrid w:val="0"/>
          <w:sz w:val="22"/>
          <w:szCs w:val="20"/>
        </w:rPr>
        <w:t>after 5, 10 and 20</w:t>
      </w:r>
      <w:r w:rsidR="00513B32">
        <w:rPr>
          <w:rFonts w:ascii="Arial" w:hAnsi="Arial" w:cs="Arial"/>
          <w:snapToGrid w:val="0"/>
          <w:sz w:val="22"/>
          <w:szCs w:val="20"/>
        </w:rPr>
        <w:t> </w:t>
      </w:r>
      <w:r w:rsidRPr="00517B6E">
        <w:rPr>
          <w:rFonts w:ascii="Arial" w:hAnsi="Arial" w:cs="Arial"/>
          <w:snapToGrid w:val="0"/>
          <w:sz w:val="22"/>
          <w:szCs w:val="20"/>
        </w:rPr>
        <w:t>years being 95%, 74% and 44% of the initial estimates, respectively.</w:t>
      </w:r>
      <w:r w:rsidR="006B5EB3" w:rsidRPr="00517B6E">
        <w:rPr>
          <w:rFonts w:ascii="Arial" w:hAnsi="Arial" w:cs="Arial"/>
          <w:snapToGrid w:val="0"/>
          <w:sz w:val="22"/>
          <w:szCs w:val="20"/>
        </w:rPr>
        <w:t xml:space="preserve"> The ESC considered that the evidence presented in the submission </w:t>
      </w:r>
      <w:r w:rsidR="002076D9">
        <w:rPr>
          <w:rFonts w:ascii="Arial" w:hAnsi="Arial" w:cs="Arial"/>
          <w:snapToGrid w:val="0"/>
          <w:sz w:val="22"/>
          <w:szCs w:val="20"/>
        </w:rPr>
        <w:t>did</w:t>
      </w:r>
      <w:r w:rsidR="006B5EB3" w:rsidRPr="00517B6E">
        <w:rPr>
          <w:rFonts w:ascii="Arial" w:hAnsi="Arial" w:cs="Arial"/>
          <w:snapToGrid w:val="0"/>
          <w:sz w:val="22"/>
          <w:szCs w:val="20"/>
        </w:rPr>
        <w:t xml:space="preserve"> not adequately support pro</w:t>
      </w:r>
      <w:r w:rsidR="00B4601C">
        <w:rPr>
          <w:rFonts w:ascii="Arial" w:hAnsi="Arial" w:cs="Arial"/>
          <w:snapToGrid w:val="0"/>
          <w:sz w:val="22"/>
          <w:szCs w:val="20"/>
        </w:rPr>
        <w:t>tection duration of more than 4 </w:t>
      </w:r>
      <w:r w:rsidR="006B5EB3" w:rsidRPr="00517B6E">
        <w:rPr>
          <w:rFonts w:ascii="Arial" w:hAnsi="Arial" w:cs="Arial"/>
          <w:snapToGrid w:val="0"/>
          <w:sz w:val="22"/>
          <w:szCs w:val="20"/>
        </w:rPr>
        <w:t xml:space="preserve">years. </w:t>
      </w:r>
      <w:r w:rsidR="00465741" w:rsidRPr="00517B6E">
        <w:rPr>
          <w:rFonts w:ascii="Arial" w:hAnsi="Arial" w:cs="Arial"/>
          <w:snapToGrid w:val="0"/>
          <w:sz w:val="22"/>
          <w:szCs w:val="20"/>
        </w:rPr>
        <w:t>There</w:t>
      </w:r>
      <w:r w:rsidR="002076D9">
        <w:rPr>
          <w:rFonts w:ascii="Arial" w:hAnsi="Arial" w:cs="Arial"/>
          <w:snapToGrid w:val="0"/>
          <w:sz w:val="22"/>
          <w:szCs w:val="20"/>
        </w:rPr>
        <w:t xml:space="preserve"> may be a wa</w:t>
      </w:r>
      <w:r w:rsidR="006B5EB3" w:rsidRPr="00517B6E">
        <w:rPr>
          <w:rFonts w:ascii="Arial" w:hAnsi="Arial" w:cs="Arial"/>
          <w:snapToGrid w:val="0"/>
          <w:sz w:val="22"/>
          <w:szCs w:val="20"/>
        </w:rPr>
        <w:t>ning</w:t>
      </w:r>
      <w:r w:rsidR="006B5EB3" w:rsidRPr="002F4167">
        <w:rPr>
          <w:rFonts w:ascii="Arial" w:hAnsi="Arial" w:cs="Arial"/>
          <w:i/>
          <w:snapToGrid w:val="0"/>
          <w:sz w:val="22"/>
          <w:szCs w:val="20"/>
        </w:rPr>
        <w:t xml:space="preserve"> </w:t>
      </w:r>
      <w:r w:rsidR="006B5EB3" w:rsidRPr="00517B6E">
        <w:rPr>
          <w:rFonts w:ascii="Arial" w:hAnsi="Arial" w:cs="Arial"/>
          <w:snapToGrid w:val="0"/>
          <w:sz w:val="22"/>
          <w:szCs w:val="20"/>
        </w:rPr>
        <w:t xml:space="preserve">immunity with age as the </w:t>
      </w:r>
      <w:r w:rsidR="001E0281">
        <w:rPr>
          <w:rFonts w:ascii="Arial" w:hAnsi="Arial" w:cs="Arial"/>
          <w:snapToGrid w:val="0"/>
          <w:sz w:val="22"/>
          <w:szCs w:val="20"/>
        </w:rPr>
        <w:t>vaccine efficacy</w:t>
      </w:r>
      <w:r w:rsidR="001E0281" w:rsidRPr="00517B6E" w:rsidDel="001E0281">
        <w:rPr>
          <w:rFonts w:ascii="Arial" w:hAnsi="Arial" w:cs="Arial"/>
          <w:snapToGrid w:val="0"/>
          <w:sz w:val="22"/>
          <w:szCs w:val="20"/>
        </w:rPr>
        <w:t xml:space="preserve"> </w:t>
      </w:r>
      <w:r w:rsidR="006B5EB3" w:rsidRPr="00517B6E">
        <w:rPr>
          <w:rFonts w:ascii="Arial" w:hAnsi="Arial" w:cs="Arial"/>
          <w:snapToGrid w:val="0"/>
          <w:sz w:val="22"/>
          <w:szCs w:val="20"/>
        </w:rPr>
        <w:t>was lower against VT pneumocci and IPD from 75</w:t>
      </w:r>
      <w:r w:rsidR="00513B32">
        <w:rPr>
          <w:rFonts w:ascii="Arial" w:hAnsi="Arial" w:cs="Arial"/>
          <w:snapToGrid w:val="0"/>
          <w:sz w:val="22"/>
          <w:szCs w:val="20"/>
        </w:rPr>
        <w:noBreakHyphen/>
      </w:r>
      <w:r w:rsidR="006B5EB3" w:rsidRPr="00517B6E">
        <w:rPr>
          <w:rFonts w:ascii="Arial" w:hAnsi="Arial" w:cs="Arial"/>
          <w:snapToGrid w:val="0"/>
          <w:sz w:val="22"/>
          <w:szCs w:val="20"/>
        </w:rPr>
        <w:t>84</w:t>
      </w:r>
      <w:r w:rsidR="00513B32">
        <w:rPr>
          <w:rFonts w:ascii="Arial" w:hAnsi="Arial" w:cs="Arial"/>
          <w:snapToGrid w:val="0"/>
          <w:sz w:val="22"/>
          <w:szCs w:val="20"/>
        </w:rPr>
        <w:t> </w:t>
      </w:r>
      <w:r w:rsidR="006B5EB3" w:rsidRPr="00517B6E">
        <w:rPr>
          <w:rFonts w:ascii="Arial" w:hAnsi="Arial" w:cs="Arial"/>
          <w:snapToGrid w:val="0"/>
          <w:sz w:val="22"/>
          <w:szCs w:val="20"/>
        </w:rPr>
        <w:t xml:space="preserve">years compared </w:t>
      </w:r>
      <w:r w:rsidR="002076D9">
        <w:rPr>
          <w:rFonts w:ascii="Arial" w:hAnsi="Arial" w:cs="Arial"/>
          <w:snapToGrid w:val="0"/>
          <w:sz w:val="22"/>
          <w:szCs w:val="20"/>
        </w:rPr>
        <w:t>with 65-74 years.</w:t>
      </w:r>
    </w:p>
    <w:p w:rsidR="002F4167" w:rsidRPr="00517B6E" w:rsidRDefault="002F4167" w:rsidP="00AD362F">
      <w:pPr>
        <w:numPr>
          <w:ilvl w:val="1"/>
          <w:numId w:val="13"/>
        </w:numPr>
        <w:ind w:left="993" w:hanging="284"/>
        <w:contextualSpacing/>
        <w:jc w:val="both"/>
        <w:rPr>
          <w:rFonts w:ascii="Arial" w:hAnsi="Arial" w:cs="Arial"/>
          <w:snapToGrid w:val="0"/>
          <w:sz w:val="22"/>
          <w:szCs w:val="20"/>
        </w:rPr>
      </w:pPr>
      <w:r w:rsidRPr="00517B6E">
        <w:rPr>
          <w:rFonts w:ascii="Arial" w:hAnsi="Arial" w:cs="Arial"/>
          <w:snapToGrid w:val="0"/>
          <w:sz w:val="22"/>
          <w:szCs w:val="20"/>
        </w:rPr>
        <w:t xml:space="preserve">The baseline risk of pneumonia </w:t>
      </w:r>
      <w:r w:rsidR="00786C38">
        <w:rPr>
          <w:rFonts w:ascii="Arial" w:hAnsi="Arial" w:cs="Arial"/>
          <w:snapToGrid w:val="0"/>
          <w:sz w:val="22"/>
          <w:szCs w:val="20"/>
        </w:rPr>
        <w:t xml:space="preserve">was </w:t>
      </w:r>
      <w:r w:rsidRPr="00517B6E">
        <w:rPr>
          <w:rFonts w:ascii="Arial" w:hAnsi="Arial" w:cs="Arial"/>
          <w:snapToGrid w:val="0"/>
          <w:sz w:val="22"/>
          <w:szCs w:val="20"/>
        </w:rPr>
        <w:t>overestimated due to no herd protection from the 13vPCV infant program being assumed for pneumonia. ATAGI consider</w:t>
      </w:r>
      <w:r w:rsidR="00691571" w:rsidRPr="00517B6E">
        <w:rPr>
          <w:rFonts w:ascii="Arial" w:hAnsi="Arial" w:cs="Arial"/>
          <w:snapToGrid w:val="0"/>
          <w:sz w:val="22"/>
          <w:szCs w:val="20"/>
        </w:rPr>
        <w:t>ed</w:t>
      </w:r>
      <w:r w:rsidRPr="00517B6E">
        <w:rPr>
          <w:rFonts w:ascii="Arial" w:hAnsi="Arial" w:cs="Arial"/>
          <w:snapToGrid w:val="0"/>
          <w:sz w:val="22"/>
          <w:szCs w:val="20"/>
        </w:rPr>
        <w:t xml:space="preserve"> that a reduction in non-bacteraemic pneumonia in adults due to the infant 13vPCV would be expected but data </w:t>
      </w:r>
      <w:r w:rsidR="00786C38">
        <w:rPr>
          <w:rFonts w:ascii="Arial" w:hAnsi="Arial" w:cs="Arial"/>
          <w:snapToGrid w:val="0"/>
          <w:sz w:val="22"/>
          <w:szCs w:val="20"/>
        </w:rPr>
        <w:t xml:space="preserve">were </w:t>
      </w:r>
      <w:r w:rsidRPr="00517B6E">
        <w:rPr>
          <w:rFonts w:ascii="Arial" w:hAnsi="Arial" w:cs="Arial"/>
          <w:snapToGrid w:val="0"/>
          <w:sz w:val="22"/>
          <w:szCs w:val="20"/>
        </w:rPr>
        <w:t xml:space="preserve">not yet available to evaluate this empirically (ATAGI </w:t>
      </w:r>
      <w:r w:rsidR="006E717C">
        <w:rPr>
          <w:rFonts w:ascii="Arial" w:hAnsi="Arial" w:cs="Arial"/>
          <w:snapToGrid w:val="0"/>
          <w:sz w:val="22"/>
          <w:szCs w:val="20"/>
        </w:rPr>
        <w:t>p</w:t>
      </w:r>
      <w:r w:rsidRPr="00517B6E">
        <w:rPr>
          <w:rFonts w:ascii="Arial" w:hAnsi="Arial" w:cs="Arial"/>
          <w:snapToGrid w:val="0"/>
          <w:sz w:val="22"/>
          <w:szCs w:val="20"/>
        </w:rPr>
        <w:t xml:space="preserve">re-PBAC </w:t>
      </w:r>
      <w:r w:rsidR="006E717C">
        <w:rPr>
          <w:rFonts w:ascii="Arial" w:hAnsi="Arial" w:cs="Arial"/>
          <w:snapToGrid w:val="0"/>
          <w:sz w:val="22"/>
          <w:szCs w:val="20"/>
        </w:rPr>
        <w:t>s</w:t>
      </w:r>
      <w:r w:rsidRPr="00517B6E">
        <w:rPr>
          <w:rFonts w:ascii="Arial" w:hAnsi="Arial" w:cs="Arial"/>
          <w:snapToGrid w:val="0"/>
          <w:sz w:val="22"/>
          <w:szCs w:val="20"/>
        </w:rPr>
        <w:t xml:space="preserve">ubmission </w:t>
      </w:r>
      <w:r w:rsidR="006E717C">
        <w:rPr>
          <w:rFonts w:ascii="Arial" w:hAnsi="Arial" w:cs="Arial"/>
          <w:snapToGrid w:val="0"/>
          <w:sz w:val="22"/>
          <w:szCs w:val="20"/>
        </w:rPr>
        <w:t>a</w:t>
      </w:r>
      <w:r w:rsidRPr="00517B6E">
        <w:rPr>
          <w:rFonts w:ascii="Arial" w:hAnsi="Arial" w:cs="Arial"/>
          <w:snapToGrid w:val="0"/>
          <w:sz w:val="22"/>
          <w:szCs w:val="20"/>
        </w:rPr>
        <w:t xml:space="preserve">dvice). The ESC noted the economic model </w:t>
      </w:r>
      <w:r w:rsidR="00786C38">
        <w:rPr>
          <w:rFonts w:ascii="Arial" w:hAnsi="Arial" w:cs="Arial"/>
          <w:snapToGrid w:val="0"/>
          <w:sz w:val="22"/>
          <w:szCs w:val="20"/>
        </w:rPr>
        <w:t>did</w:t>
      </w:r>
      <w:r w:rsidRPr="00517B6E">
        <w:rPr>
          <w:rFonts w:ascii="Arial" w:hAnsi="Arial" w:cs="Arial"/>
          <w:snapToGrid w:val="0"/>
          <w:sz w:val="22"/>
          <w:szCs w:val="20"/>
        </w:rPr>
        <w:t xml:space="preserve"> include a herd immunity effect from the infant program for IPD.</w:t>
      </w:r>
    </w:p>
    <w:p w:rsidR="004278FD" w:rsidRPr="00517B6E" w:rsidRDefault="004278FD" w:rsidP="00AD362F">
      <w:pPr>
        <w:pStyle w:val="ListParagraph"/>
        <w:rPr>
          <w:rFonts w:ascii="Arial" w:hAnsi="Arial" w:cs="Arial"/>
          <w:snapToGrid w:val="0"/>
          <w:sz w:val="22"/>
          <w:szCs w:val="20"/>
        </w:rPr>
      </w:pPr>
    </w:p>
    <w:p w:rsidR="004278FD" w:rsidRPr="00517B6E" w:rsidRDefault="004278FD" w:rsidP="00AD362F">
      <w:pPr>
        <w:numPr>
          <w:ilvl w:val="1"/>
          <w:numId w:val="3"/>
        </w:numPr>
        <w:contextualSpacing/>
        <w:jc w:val="both"/>
        <w:rPr>
          <w:rFonts w:ascii="Arial" w:hAnsi="Arial" w:cs="Arial"/>
          <w:snapToGrid w:val="0"/>
          <w:sz w:val="22"/>
          <w:szCs w:val="20"/>
        </w:rPr>
      </w:pPr>
      <w:r w:rsidRPr="00517B6E">
        <w:rPr>
          <w:rFonts w:ascii="Arial" w:hAnsi="Arial" w:cs="Arial"/>
          <w:snapToGrid w:val="0"/>
          <w:sz w:val="22"/>
          <w:szCs w:val="20"/>
        </w:rPr>
        <w:t xml:space="preserve">An economic analysis </w:t>
      </w:r>
      <w:r w:rsidR="00513B32">
        <w:rPr>
          <w:rFonts w:ascii="Arial" w:hAnsi="Arial" w:cs="Arial"/>
          <w:snapToGrid w:val="0"/>
          <w:sz w:val="22"/>
          <w:szCs w:val="20"/>
        </w:rPr>
        <w:t>wa</w:t>
      </w:r>
      <w:r w:rsidRPr="00517B6E">
        <w:rPr>
          <w:rFonts w:ascii="Arial" w:hAnsi="Arial" w:cs="Arial"/>
          <w:snapToGrid w:val="0"/>
          <w:sz w:val="22"/>
          <w:szCs w:val="20"/>
        </w:rPr>
        <w:t>s not presented for the Indigenous population. The burden of pneumococcal disease is greater in Indigenous compared with non</w:t>
      </w:r>
      <w:r w:rsidR="00513B32">
        <w:rPr>
          <w:rFonts w:ascii="Arial" w:hAnsi="Arial" w:cs="Arial"/>
          <w:snapToGrid w:val="0"/>
          <w:sz w:val="22"/>
          <w:szCs w:val="20"/>
        </w:rPr>
        <w:noBreakHyphen/>
      </w:r>
      <w:r w:rsidR="00786C38">
        <w:rPr>
          <w:rFonts w:ascii="Arial" w:hAnsi="Arial" w:cs="Arial"/>
          <w:snapToGrid w:val="0"/>
          <w:sz w:val="22"/>
          <w:szCs w:val="20"/>
        </w:rPr>
        <w:t>Indigenous adults</w:t>
      </w:r>
      <w:r w:rsidRPr="00517B6E">
        <w:rPr>
          <w:rFonts w:ascii="Arial" w:hAnsi="Arial" w:cs="Arial"/>
          <w:snapToGrid w:val="0"/>
          <w:sz w:val="22"/>
          <w:szCs w:val="20"/>
        </w:rPr>
        <w:t xml:space="preserve"> and</w:t>
      </w:r>
      <w:r w:rsidR="00786C38">
        <w:rPr>
          <w:rFonts w:ascii="Arial" w:hAnsi="Arial" w:cs="Arial"/>
          <w:snapToGrid w:val="0"/>
          <w:sz w:val="22"/>
          <w:szCs w:val="20"/>
        </w:rPr>
        <w:t>,</w:t>
      </w:r>
      <w:r w:rsidRPr="00517B6E">
        <w:rPr>
          <w:rFonts w:ascii="Arial" w:hAnsi="Arial" w:cs="Arial"/>
          <w:snapToGrid w:val="0"/>
          <w:sz w:val="22"/>
          <w:szCs w:val="20"/>
        </w:rPr>
        <w:t xml:space="preserve"> on </w:t>
      </w:r>
      <w:r w:rsidR="00786C38">
        <w:rPr>
          <w:rFonts w:ascii="Arial" w:hAnsi="Arial" w:cs="Arial"/>
          <w:snapToGrid w:val="0"/>
          <w:sz w:val="22"/>
          <w:szCs w:val="20"/>
        </w:rPr>
        <w:t>this</w:t>
      </w:r>
      <w:r w:rsidRPr="00517B6E">
        <w:rPr>
          <w:rFonts w:ascii="Arial" w:hAnsi="Arial" w:cs="Arial"/>
          <w:snapToGrid w:val="0"/>
          <w:sz w:val="22"/>
          <w:szCs w:val="20"/>
        </w:rPr>
        <w:t xml:space="preserve"> basis</w:t>
      </w:r>
      <w:r w:rsidR="00513B32">
        <w:rPr>
          <w:rFonts w:ascii="Arial" w:hAnsi="Arial" w:cs="Arial"/>
          <w:snapToGrid w:val="0"/>
          <w:sz w:val="22"/>
          <w:szCs w:val="20"/>
        </w:rPr>
        <w:t>,</w:t>
      </w:r>
      <w:r w:rsidRPr="00517B6E">
        <w:rPr>
          <w:rFonts w:ascii="Arial" w:hAnsi="Arial" w:cs="Arial"/>
          <w:snapToGrid w:val="0"/>
          <w:sz w:val="22"/>
          <w:szCs w:val="20"/>
        </w:rPr>
        <w:t xml:space="preserve"> the submission claim</w:t>
      </w:r>
      <w:r w:rsidR="00513B32">
        <w:rPr>
          <w:rFonts w:ascii="Arial" w:hAnsi="Arial" w:cs="Arial"/>
          <w:snapToGrid w:val="0"/>
          <w:sz w:val="22"/>
          <w:szCs w:val="20"/>
        </w:rPr>
        <w:t>ed</w:t>
      </w:r>
      <w:r w:rsidRPr="00517B6E">
        <w:rPr>
          <w:rFonts w:ascii="Arial" w:hAnsi="Arial" w:cs="Arial"/>
          <w:snapToGrid w:val="0"/>
          <w:sz w:val="22"/>
          <w:szCs w:val="20"/>
        </w:rPr>
        <w:t xml:space="preserve"> the health and economic benefits </w:t>
      </w:r>
      <w:r w:rsidR="00786C38">
        <w:rPr>
          <w:rFonts w:ascii="Arial" w:hAnsi="Arial" w:cs="Arial"/>
          <w:snapToGrid w:val="0"/>
          <w:sz w:val="22"/>
          <w:szCs w:val="20"/>
        </w:rPr>
        <w:t>would</w:t>
      </w:r>
      <w:r w:rsidRPr="00517B6E">
        <w:rPr>
          <w:rFonts w:ascii="Arial" w:hAnsi="Arial" w:cs="Arial"/>
          <w:snapToGrid w:val="0"/>
          <w:sz w:val="22"/>
          <w:szCs w:val="20"/>
        </w:rPr>
        <w:t xml:space="preserve"> be greater in Indigenou</w:t>
      </w:r>
      <w:r w:rsidR="00786C38">
        <w:rPr>
          <w:rFonts w:ascii="Arial" w:hAnsi="Arial" w:cs="Arial"/>
          <w:snapToGrid w:val="0"/>
          <w:sz w:val="22"/>
          <w:szCs w:val="20"/>
        </w:rPr>
        <w:t>s people. This</w:t>
      </w:r>
      <w:r w:rsidRPr="00517B6E">
        <w:rPr>
          <w:rFonts w:ascii="Arial" w:hAnsi="Arial" w:cs="Arial"/>
          <w:snapToGrid w:val="0"/>
          <w:sz w:val="22"/>
          <w:szCs w:val="20"/>
        </w:rPr>
        <w:t xml:space="preserve"> claim </w:t>
      </w:r>
      <w:r w:rsidR="00786C38">
        <w:rPr>
          <w:rFonts w:ascii="Arial" w:hAnsi="Arial" w:cs="Arial"/>
          <w:snapToGrid w:val="0"/>
          <w:sz w:val="22"/>
          <w:szCs w:val="20"/>
        </w:rPr>
        <w:t xml:space="preserve">was </w:t>
      </w:r>
      <w:r w:rsidRPr="00517B6E">
        <w:rPr>
          <w:rFonts w:ascii="Arial" w:hAnsi="Arial" w:cs="Arial"/>
          <w:snapToGrid w:val="0"/>
          <w:sz w:val="22"/>
          <w:szCs w:val="20"/>
        </w:rPr>
        <w:t>uncertain because there are ma</w:t>
      </w:r>
      <w:r w:rsidR="00C44E02" w:rsidRPr="00517B6E">
        <w:rPr>
          <w:rFonts w:ascii="Arial" w:hAnsi="Arial" w:cs="Arial"/>
          <w:snapToGrid w:val="0"/>
          <w:sz w:val="22"/>
          <w:szCs w:val="20"/>
        </w:rPr>
        <w:t>ny factors that differ for the two</w:t>
      </w:r>
      <w:r w:rsidRPr="00517B6E">
        <w:rPr>
          <w:rFonts w:ascii="Arial" w:hAnsi="Arial" w:cs="Arial"/>
          <w:snapToGrid w:val="0"/>
          <w:sz w:val="22"/>
          <w:szCs w:val="20"/>
        </w:rPr>
        <w:t xml:space="preserve"> populations including the proportional distribution of serotypes causing IPD (ATAGI </w:t>
      </w:r>
      <w:r w:rsidR="006E717C">
        <w:rPr>
          <w:rFonts w:ascii="Arial" w:hAnsi="Arial" w:cs="Arial"/>
          <w:snapToGrid w:val="0"/>
          <w:sz w:val="22"/>
          <w:szCs w:val="20"/>
        </w:rPr>
        <w:t>p</w:t>
      </w:r>
      <w:r w:rsidRPr="00517B6E">
        <w:rPr>
          <w:rFonts w:ascii="Arial" w:hAnsi="Arial" w:cs="Arial"/>
          <w:snapToGrid w:val="0"/>
          <w:sz w:val="22"/>
          <w:szCs w:val="20"/>
        </w:rPr>
        <w:t xml:space="preserve">re-PBAC </w:t>
      </w:r>
      <w:r w:rsidR="006E717C">
        <w:rPr>
          <w:rFonts w:ascii="Arial" w:hAnsi="Arial" w:cs="Arial"/>
          <w:snapToGrid w:val="0"/>
          <w:sz w:val="22"/>
          <w:szCs w:val="20"/>
        </w:rPr>
        <w:t>s</w:t>
      </w:r>
      <w:r w:rsidRPr="00517B6E">
        <w:rPr>
          <w:rFonts w:ascii="Arial" w:hAnsi="Arial" w:cs="Arial"/>
          <w:snapToGrid w:val="0"/>
          <w:sz w:val="22"/>
          <w:szCs w:val="20"/>
        </w:rPr>
        <w:t xml:space="preserve">ubmission </w:t>
      </w:r>
      <w:r w:rsidR="006E717C">
        <w:rPr>
          <w:rFonts w:ascii="Arial" w:hAnsi="Arial" w:cs="Arial"/>
          <w:snapToGrid w:val="0"/>
          <w:sz w:val="22"/>
          <w:szCs w:val="20"/>
        </w:rPr>
        <w:t>a</w:t>
      </w:r>
      <w:r w:rsidRPr="00517B6E">
        <w:rPr>
          <w:rFonts w:ascii="Arial" w:hAnsi="Arial" w:cs="Arial"/>
          <w:snapToGrid w:val="0"/>
          <w:sz w:val="22"/>
          <w:szCs w:val="20"/>
        </w:rPr>
        <w:t>dvice).</w:t>
      </w:r>
    </w:p>
    <w:p w:rsidR="004278FD" w:rsidRPr="00517B6E" w:rsidRDefault="004278FD" w:rsidP="00AD362F">
      <w:pPr>
        <w:contextualSpacing/>
        <w:jc w:val="both"/>
        <w:rPr>
          <w:rFonts w:ascii="Arial" w:hAnsi="Arial" w:cs="Arial"/>
          <w:snapToGrid w:val="0"/>
          <w:sz w:val="22"/>
          <w:szCs w:val="20"/>
        </w:rPr>
      </w:pPr>
    </w:p>
    <w:p w:rsidR="004278FD" w:rsidRDefault="004278FD" w:rsidP="00AD362F">
      <w:pPr>
        <w:numPr>
          <w:ilvl w:val="1"/>
          <w:numId w:val="3"/>
        </w:numPr>
        <w:contextualSpacing/>
        <w:jc w:val="both"/>
        <w:rPr>
          <w:rFonts w:ascii="Arial" w:hAnsi="Arial" w:cs="Arial"/>
          <w:snapToGrid w:val="0"/>
          <w:sz w:val="22"/>
          <w:szCs w:val="20"/>
        </w:rPr>
      </w:pPr>
      <w:r w:rsidRPr="00517B6E">
        <w:rPr>
          <w:rFonts w:ascii="Arial" w:hAnsi="Arial" w:cs="Arial"/>
          <w:snapToGrid w:val="0"/>
          <w:sz w:val="22"/>
          <w:szCs w:val="20"/>
        </w:rPr>
        <w:t xml:space="preserve">The economic evaluation </w:t>
      </w:r>
      <w:r w:rsidR="00786C38">
        <w:rPr>
          <w:rFonts w:ascii="Arial" w:hAnsi="Arial" w:cs="Arial"/>
          <w:snapToGrid w:val="0"/>
          <w:sz w:val="22"/>
          <w:szCs w:val="20"/>
        </w:rPr>
        <w:t xml:space="preserve">did </w:t>
      </w:r>
      <w:r w:rsidRPr="00517B6E">
        <w:rPr>
          <w:rFonts w:ascii="Arial" w:hAnsi="Arial" w:cs="Arial"/>
          <w:snapToGrid w:val="0"/>
          <w:sz w:val="22"/>
          <w:szCs w:val="20"/>
        </w:rPr>
        <w:t xml:space="preserve">not consider serotype replacement and hence the incremental benefits </w:t>
      </w:r>
      <w:r w:rsidR="00786C38">
        <w:rPr>
          <w:rFonts w:ascii="Arial" w:hAnsi="Arial" w:cs="Arial"/>
          <w:snapToGrid w:val="0"/>
          <w:sz w:val="22"/>
          <w:szCs w:val="20"/>
        </w:rPr>
        <w:t>of</w:t>
      </w:r>
      <w:r w:rsidRPr="00517B6E">
        <w:rPr>
          <w:rFonts w:ascii="Arial" w:hAnsi="Arial" w:cs="Arial"/>
          <w:snapToGrid w:val="0"/>
          <w:sz w:val="22"/>
          <w:szCs w:val="20"/>
        </w:rPr>
        <w:t xml:space="preserve"> 13vPCV may </w:t>
      </w:r>
      <w:r w:rsidR="00786C38">
        <w:rPr>
          <w:rFonts w:ascii="Arial" w:hAnsi="Arial" w:cs="Arial"/>
          <w:snapToGrid w:val="0"/>
          <w:sz w:val="22"/>
          <w:szCs w:val="20"/>
        </w:rPr>
        <w:t xml:space="preserve">have </w:t>
      </w:r>
      <w:r w:rsidRPr="00517B6E">
        <w:rPr>
          <w:rFonts w:ascii="Arial" w:hAnsi="Arial" w:cs="Arial"/>
          <w:snapToGrid w:val="0"/>
          <w:sz w:val="22"/>
          <w:szCs w:val="20"/>
        </w:rPr>
        <w:t>be</w:t>
      </w:r>
      <w:r w:rsidR="00786C38">
        <w:rPr>
          <w:rFonts w:ascii="Arial" w:hAnsi="Arial" w:cs="Arial"/>
          <w:snapToGrid w:val="0"/>
          <w:sz w:val="22"/>
          <w:szCs w:val="20"/>
        </w:rPr>
        <w:t>en</w:t>
      </w:r>
      <w:r w:rsidRPr="00517B6E">
        <w:rPr>
          <w:rFonts w:ascii="Arial" w:hAnsi="Arial" w:cs="Arial"/>
          <w:snapToGrid w:val="0"/>
          <w:sz w:val="22"/>
          <w:szCs w:val="20"/>
        </w:rPr>
        <w:t xml:space="preserve"> overestimated. In the 3 years post the 13vPCV infant program, an increase in IPD due to 23v-non13v serotypes in adults aged ≥65 years </w:t>
      </w:r>
      <w:r w:rsidR="00786C38">
        <w:rPr>
          <w:rFonts w:ascii="Arial" w:hAnsi="Arial" w:cs="Arial"/>
          <w:snapToGrid w:val="0"/>
          <w:sz w:val="22"/>
          <w:szCs w:val="20"/>
        </w:rPr>
        <w:t>have</w:t>
      </w:r>
      <w:r w:rsidRPr="00517B6E">
        <w:rPr>
          <w:rFonts w:ascii="Arial" w:hAnsi="Arial" w:cs="Arial"/>
          <w:snapToGrid w:val="0"/>
          <w:sz w:val="22"/>
          <w:szCs w:val="20"/>
        </w:rPr>
        <w:t xml:space="preserve"> been observed (21% in 2011/2012 to 30% in 2013/2014). ATAGI noted serotype replacement by non-13v serotypes could result in a resurgence of pneumococcal disease, especially IPD, which would attenuate the overall benefit of reducing disease caused by vaccine serotypes (ATAGI </w:t>
      </w:r>
      <w:r w:rsidR="006E717C">
        <w:rPr>
          <w:rFonts w:ascii="Arial" w:hAnsi="Arial" w:cs="Arial"/>
          <w:snapToGrid w:val="0"/>
          <w:sz w:val="22"/>
          <w:szCs w:val="20"/>
        </w:rPr>
        <w:t>p</w:t>
      </w:r>
      <w:r w:rsidRPr="00517B6E">
        <w:rPr>
          <w:rFonts w:ascii="Arial" w:hAnsi="Arial" w:cs="Arial"/>
          <w:snapToGrid w:val="0"/>
          <w:sz w:val="22"/>
          <w:szCs w:val="20"/>
        </w:rPr>
        <w:t xml:space="preserve">re-PBAC </w:t>
      </w:r>
      <w:r w:rsidR="006E717C">
        <w:rPr>
          <w:rFonts w:ascii="Arial" w:hAnsi="Arial" w:cs="Arial"/>
          <w:snapToGrid w:val="0"/>
          <w:sz w:val="22"/>
          <w:szCs w:val="20"/>
        </w:rPr>
        <w:t>s</w:t>
      </w:r>
      <w:r w:rsidRPr="00517B6E">
        <w:rPr>
          <w:rFonts w:ascii="Arial" w:hAnsi="Arial" w:cs="Arial"/>
          <w:snapToGrid w:val="0"/>
          <w:sz w:val="22"/>
          <w:szCs w:val="20"/>
        </w:rPr>
        <w:t xml:space="preserve">ubmission </w:t>
      </w:r>
      <w:r w:rsidR="006E717C">
        <w:rPr>
          <w:rFonts w:ascii="Arial" w:hAnsi="Arial" w:cs="Arial"/>
          <w:snapToGrid w:val="0"/>
          <w:sz w:val="22"/>
          <w:szCs w:val="20"/>
        </w:rPr>
        <w:t>a</w:t>
      </w:r>
      <w:r w:rsidR="00786C38">
        <w:rPr>
          <w:rFonts w:ascii="Arial" w:hAnsi="Arial" w:cs="Arial"/>
          <w:snapToGrid w:val="0"/>
          <w:sz w:val="22"/>
          <w:szCs w:val="20"/>
        </w:rPr>
        <w:t>dvice</w:t>
      </w:r>
      <w:r w:rsidRPr="00517B6E">
        <w:rPr>
          <w:rFonts w:ascii="Arial" w:hAnsi="Arial" w:cs="Arial"/>
          <w:snapToGrid w:val="0"/>
          <w:sz w:val="22"/>
          <w:szCs w:val="20"/>
        </w:rPr>
        <w:t xml:space="preserve">). </w:t>
      </w:r>
    </w:p>
    <w:p w:rsidR="004278FD" w:rsidRPr="00C44E02" w:rsidRDefault="004278FD" w:rsidP="00AD362F">
      <w:pPr>
        <w:ind w:left="720"/>
        <w:contextualSpacing/>
        <w:jc w:val="both"/>
        <w:rPr>
          <w:rFonts w:ascii="Arial" w:hAnsi="Arial" w:cs="Arial"/>
          <w:i/>
          <w:snapToGrid w:val="0"/>
          <w:sz w:val="22"/>
          <w:szCs w:val="20"/>
        </w:rPr>
      </w:pPr>
    </w:p>
    <w:p w:rsidR="00396B86" w:rsidRPr="00C44E02" w:rsidRDefault="00396B86" w:rsidP="00AD362F">
      <w:pPr>
        <w:numPr>
          <w:ilvl w:val="1"/>
          <w:numId w:val="3"/>
        </w:numPr>
        <w:contextualSpacing/>
        <w:jc w:val="both"/>
        <w:rPr>
          <w:rFonts w:ascii="Arial" w:hAnsi="Arial" w:cs="Arial"/>
          <w:snapToGrid w:val="0"/>
          <w:sz w:val="22"/>
          <w:szCs w:val="22"/>
        </w:rPr>
      </w:pPr>
      <w:r w:rsidRPr="00A15171">
        <w:rPr>
          <w:rFonts w:ascii="Arial" w:hAnsi="Arial" w:cs="Arial"/>
          <w:snapToGrid w:val="0"/>
          <w:sz w:val="22"/>
          <w:szCs w:val="20"/>
        </w:rPr>
        <w:t>Univariate sensitivity analyses were presented in the submission. The cost</w:t>
      </w:r>
      <w:r w:rsidR="00513B32">
        <w:rPr>
          <w:rFonts w:ascii="Arial" w:hAnsi="Arial" w:cs="Arial"/>
          <w:snapToGrid w:val="0"/>
          <w:sz w:val="22"/>
          <w:szCs w:val="20"/>
        </w:rPr>
        <w:noBreakHyphen/>
      </w:r>
      <w:r w:rsidRPr="00A15171">
        <w:rPr>
          <w:rFonts w:ascii="Arial" w:hAnsi="Arial" w:cs="Arial"/>
          <w:snapToGrid w:val="0"/>
          <w:sz w:val="22"/>
          <w:szCs w:val="20"/>
        </w:rPr>
        <w:t>effectiveness estimates were driven by the reduction in the number of hospital treated pneumonia events with 1</w:t>
      </w:r>
      <w:r>
        <w:rPr>
          <w:rFonts w:ascii="Arial" w:hAnsi="Arial" w:cs="Arial"/>
          <w:snapToGrid w:val="0"/>
          <w:sz w:val="22"/>
          <w:szCs w:val="20"/>
        </w:rPr>
        <w:t xml:space="preserve">3vPCV. For the primary program: </w:t>
      </w:r>
    </w:p>
    <w:p w:rsidR="00396B86" w:rsidRPr="00C44E02" w:rsidRDefault="00396B86" w:rsidP="00AD362F">
      <w:pPr>
        <w:numPr>
          <w:ilvl w:val="1"/>
          <w:numId w:val="13"/>
        </w:numPr>
        <w:ind w:left="993" w:hanging="284"/>
        <w:contextualSpacing/>
        <w:jc w:val="both"/>
        <w:rPr>
          <w:rFonts w:ascii="Arial" w:hAnsi="Arial" w:cs="Arial"/>
          <w:snapToGrid w:val="0"/>
          <w:sz w:val="22"/>
          <w:szCs w:val="22"/>
        </w:rPr>
      </w:pPr>
      <w:r>
        <w:rPr>
          <w:rFonts w:ascii="Arial" w:hAnsi="Arial" w:cs="Arial"/>
          <w:snapToGrid w:val="0"/>
          <w:sz w:val="22"/>
          <w:szCs w:val="20"/>
        </w:rPr>
        <w:t>I</w:t>
      </w:r>
      <w:r w:rsidRPr="00A15171">
        <w:rPr>
          <w:rFonts w:ascii="Arial" w:hAnsi="Arial" w:cs="Arial"/>
          <w:snapToGrid w:val="0"/>
          <w:sz w:val="22"/>
          <w:szCs w:val="20"/>
        </w:rPr>
        <w:t xml:space="preserve">f ATAGI’s upper estimate for 23vPPV </w:t>
      </w:r>
      <w:r w:rsidR="001E0281">
        <w:rPr>
          <w:rFonts w:ascii="Arial" w:hAnsi="Arial" w:cs="Arial"/>
          <w:snapToGrid w:val="0"/>
          <w:sz w:val="22"/>
          <w:szCs w:val="20"/>
        </w:rPr>
        <w:t>vaccine efficacy</w:t>
      </w:r>
      <w:r w:rsidR="001E0281" w:rsidRPr="00A15171" w:rsidDel="001E0281">
        <w:rPr>
          <w:rFonts w:ascii="Arial" w:hAnsi="Arial" w:cs="Arial"/>
          <w:snapToGrid w:val="0"/>
          <w:sz w:val="22"/>
          <w:szCs w:val="20"/>
        </w:rPr>
        <w:t xml:space="preserve"> </w:t>
      </w:r>
      <w:r w:rsidRPr="00A15171">
        <w:rPr>
          <w:rFonts w:ascii="Arial" w:hAnsi="Arial" w:cs="Arial"/>
          <w:snapToGrid w:val="0"/>
          <w:sz w:val="22"/>
          <w:szCs w:val="20"/>
        </w:rPr>
        <w:t>against</w:t>
      </w:r>
      <w:r>
        <w:rPr>
          <w:rFonts w:ascii="Arial" w:hAnsi="Arial" w:cs="Arial"/>
          <w:snapToGrid w:val="0"/>
          <w:sz w:val="22"/>
          <w:szCs w:val="20"/>
        </w:rPr>
        <w:t xml:space="preserve"> </w:t>
      </w:r>
      <w:r w:rsidRPr="00A15171">
        <w:rPr>
          <w:rFonts w:ascii="Arial" w:hAnsi="Arial" w:cs="Arial"/>
          <w:snapToGrid w:val="0"/>
          <w:sz w:val="22"/>
          <w:szCs w:val="20"/>
        </w:rPr>
        <w:t>pneumonia (46%) was used, 13vPCV was dominated by 23vPPV, i.e. 13vPCV was more costly and less effective.</w:t>
      </w:r>
    </w:p>
    <w:p w:rsidR="00396B86" w:rsidRPr="00C44E02" w:rsidRDefault="00396B86" w:rsidP="00AD362F">
      <w:pPr>
        <w:numPr>
          <w:ilvl w:val="1"/>
          <w:numId w:val="13"/>
        </w:numPr>
        <w:ind w:left="993" w:hanging="284"/>
        <w:contextualSpacing/>
        <w:jc w:val="both"/>
        <w:rPr>
          <w:rFonts w:ascii="Arial" w:hAnsi="Arial" w:cs="Arial"/>
          <w:snapToGrid w:val="0"/>
          <w:sz w:val="22"/>
          <w:szCs w:val="22"/>
        </w:rPr>
      </w:pPr>
      <w:r w:rsidRPr="00C44E02">
        <w:rPr>
          <w:rFonts w:ascii="Arial" w:hAnsi="Arial" w:cs="Arial"/>
          <w:snapToGrid w:val="0"/>
          <w:sz w:val="22"/>
          <w:szCs w:val="20"/>
        </w:rPr>
        <w:t xml:space="preserve">Assuming beyond the trial periods </w:t>
      </w:r>
      <w:r w:rsidR="00786C38">
        <w:rPr>
          <w:rFonts w:ascii="Arial" w:hAnsi="Arial" w:cs="Arial"/>
          <w:snapToGrid w:val="0"/>
          <w:sz w:val="22"/>
          <w:szCs w:val="20"/>
        </w:rPr>
        <w:t xml:space="preserve">that </w:t>
      </w:r>
      <w:r w:rsidR="001E0281">
        <w:rPr>
          <w:rFonts w:ascii="Arial" w:hAnsi="Arial" w:cs="Arial"/>
          <w:snapToGrid w:val="0"/>
          <w:sz w:val="22"/>
          <w:szCs w:val="20"/>
        </w:rPr>
        <w:t>vaccine efficacy</w:t>
      </w:r>
      <w:r w:rsidR="001E0281" w:rsidRPr="00C44E02" w:rsidDel="001E0281">
        <w:rPr>
          <w:rFonts w:ascii="Arial" w:hAnsi="Arial" w:cs="Arial"/>
          <w:snapToGrid w:val="0"/>
          <w:sz w:val="22"/>
          <w:szCs w:val="20"/>
        </w:rPr>
        <w:t xml:space="preserve"> </w:t>
      </w:r>
      <w:r w:rsidRPr="00C44E02">
        <w:rPr>
          <w:rFonts w:ascii="Arial" w:hAnsi="Arial" w:cs="Arial"/>
          <w:snapToGrid w:val="0"/>
          <w:sz w:val="22"/>
          <w:szCs w:val="20"/>
        </w:rPr>
        <w:t xml:space="preserve">declines by 10% or 25% annually increased the cost/LY gained to </w:t>
      </w:r>
      <w:r w:rsidR="005F6A90">
        <w:rPr>
          <w:rFonts w:ascii="Arial" w:hAnsi="Arial" w:cs="Arial"/>
          <w:snapToGrid w:val="0"/>
          <w:sz w:val="22"/>
          <w:szCs w:val="20"/>
        </w:rPr>
        <w:t xml:space="preserve">less than $15,000 </w:t>
      </w:r>
      <w:r w:rsidRPr="00C44E02">
        <w:rPr>
          <w:rFonts w:ascii="Arial" w:hAnsi="Arial" w:cs="Arial"/>
          <w:snapToGrid w:val="0"/>
          <w:sz w:val="22"/>
          <w:szCs w:val="20"/>
        </w:rPr>
        <w:t xml:space="preserve">and </w:t>
      </w:r>
      <w:r w:rsidR="009B7924">
        <w:rPr>
          <w:rFonts w:ascii="Arial" w:hAnsi="Arial" w:cs="Arial"/>
          <w:snapToGrid w:val="0"/>
          <w:sz w:val="22"/>
          <w:szCs w:val="20"/>
        </w:rPr>
        <w:t>$15,000/QALY - $45,000/QALY</w:t>
      </w:r>
      <w:r w:rsidR="005F6A90">
        <w:rPr>
          <w:rFonts w:ascii="Arial" w:hAnsi="Arial" w:cs="Arial"/>
          <w:snapToGrid w:val="0"/>
          <w:sz w:val="22"/>
          <w:szCs w:val="20"/>
        </w:rPr>
        <w:t>,</w:t>
      </w:r>
      <w:r w:rsidR="009B7924">
        <w:rPr>
          <w:rFonts w:ascii="Arial" w:hAnsi="Arial" w:cs="Arial"/>
          <w:snapToGrid w:val="0"/>
          <w:sz w:val="22"/>
          <w:szCs w:val="20"/>
        </w:rPr>
        <w:t xml:space="preserve"> </w:t>
      </w:r>
      <w:r w:rsidRPr="00C44E02">
        <w:rPr>
          <w:rFonts w:ascii="Arial" w:hAnsi="Arial" w:cs="Arial"/>
          <w:snapToGrid w:val="0"/>
          <w:sz w:val="22"/>
          <w:szCs w:val="20"/>
        </w:rPr>
        <w:t>respectively.</w:t>
      </w:r>
    </w:p>
    <w:p w:rsidR="00396B86" w:rsidRPr="00C44E02" w:rsidRDefault="00396B86" w:rsidP="00AD362F">
      <w:pPr>
        <w:numPr>
          <w:ilvl w:val="1"/>
          <w:numId w:val="13"/>
        </w:numPr>
        <w:ind w:left="993" w:hanging="284"/>
        <w:contextualSpacing/>
        <w:jc w:val="both"/>
        <w:rPr>
          <w:rFonts w:ascii="Arial" w:hAnsi="Arial" w:cs="Arial"/>
          <w:snapToGrid w:val="0"/>
          <w:sz w:val="22"/>
          <w:szCs w:val="22"/>
        </w:rPr>
      </w:pPr>
      <w:r w:rsidRPr="00C44E02">
        <w:rPr>
          <w:rFonts w:ascii="Arial" w:hAnsi="Arial" w:cs="Arial"/>
          <w:snapToGrid w:val="0"/>
          <w:sz w:val="22"/>
          <w:szCs w:val="20"/>
        </w:rPr>
        <w:t xml:space="preserve">Reducing the baseline risk of hospital treated pneumonia to that observed in CAPiTA increased the cost/LY gained to </w:t>
      </w:r>
      <w:r w:rsidR="001864D3">
        <w:rPr>
          <w:rFonts w:ascii="Arial" w:hAnsi="Arial" w:cs="Arial"/>
          <w:snapToGrid w:val="0"/>
          <w:sz w:val="22"/>
          <w:szCs w:val="20"/>
        </w:rPr>
        <w:t xml:space="preserve">$15,000 - $45,000 </w:t>
      </w:r>
      <w:r w:rsidRPr="00C44E02">
        <w:rPr>
          <w:rFonts w:ascii="Arial" w:hAnsi="Arial" w:cs="Arial"/>
          <w:snapToGrid w:val="0"/>
          <w:sz w:val="22"/>
          <w:szCs w:val="20"/>
        </w:rPr>
        <w:t>for the primary program.</w:t>
      </w:r>
    </w:p>
    <w:p w:rsidR="00396B86" w:rsidRPr="00C44E02" w:rsidRDefault="00396B86" w:rsidP="00AD362F">
      <w:pPr>
        <w:numPr>
          <w:ilvl w:val="1"/>
          <w:numId w:val="13"/>
        </w:numPr>
        <w:ind w:left="993" w:hanging="284"/>
        <w:contextualSpacing/>
        <w:jc w:val="both"/>
        <w:rPr>
          <w:rFonts w:ascii="Arial" w:hAnsi="Arial" w:cs="Arial"/>
          <w:snapToGrid w:val="0"/>
          <w:sz w:val="22"/>
          <w:szCs w:val="22"/>
        </w:rPr>
      </w:pPr>
      <w:r w:rsidRPr="00C44E02">
        <w:rPr>
          <w:rFonts w:ascii="Arial" w:hAnsi="Arial" w:cs="Arial"/>
          <w:snapToGrid w:val="0"/>
          <w:sz w:val="22"/>
          <w:szCs w:val="20"/>
        </w:rPr>
        <w:t>Similarly, incorporating a reduction in baseline pneumonia risk due to herd immunity from the 13vPCV infant program would increase the cost/LY gained.</w:t>
      </w:r>
    </w:p>
    <w:p w:rsidR="00396B86" w:rsidRPr="00C44E02" w:rsidRDefault="00396B86" w:rsidP="00AD362F">
      <w:pPr>
        <w:numPr>
          <w:ilvl w:val="1"/>
          <w:numId w:val="13"/>
        </w:numPr>
        <w:ind w:left="993" w:hanging="284"/>
        <w:contextualSpacing/>
        <w:jc w:val="both"/>
        <w:rPr>
          <w:rFonts w:ascii="Arial" w:hAnsi="Arial" w:cs="Arial"/>
          <w:snapToGrid w:val="0"/>
          <w:sz w:val="22"/>
          <w:szCs w:val="22"/>
        </w:rPr>
      </w:pPr>
      <w:r w:rsidRPr="00C44E02">
        <w:rPr>
          <w:rFonts w:ascii="Arial" w:hAnsi="Arial" w:cs="Arial"/>
          <w:snapToGrid w:val="0"/>
          <w:sz w:val="22"/>
          <w:szCs w:val="20"/>
        </w:rPr>
        <w:t xml:space="preserve">Using the 95% confidence limits for the case fatality rate for hospital treated pneumonia resulted in the cost/LY gained ranging </w:t>
      </w:r>
      <w:r w:rsidRPr="004D0C41">
        <w:rPr>
          <w:rFonts w:ascii="Arial" w:hAnsi="Arial" w:cs="Arial"/>
          <w:snapToGrid w:val="0"/>
          <w:sz w:val="22"/>
          <w:szCs w:val="20"/>
        </w:rPr>
        <w:t xml:space="preserve">from </w:t>
      </w:r>
      <w:r w:rsidR="004D0C41">
        <w:rPr>
          <w:rFonts w:ascii="Arial" w:hAnsi="Arial" w:cs="Arial"/>
          <w:snapToGrid w:val="0"/>
          <w:sz w:val="22"/>
          <w:szCs w:val="20"/>
        </w:rPr>
        <w:t xml:space="preserve">less than $15,000 </w:t>
      </w:r>
      <w:r w:rsidRPr="004D0C41">
        <w:rPr>
          <w:rFonts w:ascii="Arial" w:hAnsi="Arial" w:cs="Arial"/>
          <w:snapToGrid w:val="0"/>
          <w:sz w:val="22"/>
          <w:szCs w:val="20"/>
        </w:rPr>
        <w:t xml:space="preserve">to </w:t>
      </w:r>
      <w:r w:rsidR="004D0C41">
        <w:rPr>
          <w:rFonts w:ascii="Arial" w:hAnsi="Arial" w:cs="Arial"/>
          <w:snapToGrid w:val="0"/>
          <w:sz w:val="22"/>
          <w:szCs w:val="20"/>
        </w:rPr>
        <w:t>$15,000 - $45,000.</w:t>
      </w:r>
    </w:p>
    <w:p w:rsidR="00396B86" w:rsidRPr="00C44E02" w:rsidRDefault="00396B86" w:rsidP="00AD362F">
      <w:pPr>
        <w:numPr>
          <w:ilvl w:val="1"/>
          <w:numId w:val="13"/>
        </w:numPr>
        <w:ind w:left="993" w:hanging="284"/>
        <w:contextualSpacing/>
        <w:jc w:val="both"/>
        <w:rPr>
          <w:rFonts w:ascii="Arial" w:hAnsi="Arial" w:cs="Arial"/>
          <w:snapToGrid w:val="0"/>
          <w:sz w:val="22"/>
          <w:szCs w:val="22"/>
        </w:rPr>
      </w:pPr>
      <w:r w:rsidRPr="00C44E02">
        <w:rPr>
          <w:rFonts w:ascii="Arial" w:hAnsi="Arial" w:cs="Arial"/>
          <w:snapToGrid w:val="0"/>
          <w:sz w:val="22"/>
          <w:szCs w:val="20"/>
        </w:rPr>
        <w:t>The model results were also sensitive to the time horizon (</w:t>
      </w:r>
      <w:r w:rsidR="004D0C41">
        <w:rPr>
          <w:rFonts w:ascii="Arial" w:hAnsi="Arial" w:cs="Arial"/>
          <w:snapToGrid w:val="0"/>
          <w:sz w:val="22"/>
          <w:szCs w:val="20"/>
        </w:rPr>
        <w:t>$15,000/LY - $45,000/LY f</w:t>
      </w:r>
      <w:r w:rsidRPr="00C44E02">
        <w:rPr>
          <w:rFonts w:ascii="Arial" w:hAnsi="Arial" w:cs="Arial"/>
          <w:snapToGrid w:val="0"/>
          <w:sz w:val="22"/>
          <w:szCs w:val="20"/>
        </w:rPr>
        <w:t xml:space="preserve">or 10 years) and discount rate </w:t>
      </w:r>
      <w:r w:rsidR="006A6980">
        <w:rPr>
          <w:rFonts w:ascii="Arial" w:hAnsi="Arial" w:cs="Arial"/>
          <w:snapToGrid w:val="0"/>
          <w:sz w:val="22"/>
          <w:szCs w:val="20"/>
        </w:rPr>
        <w:t>(</w:t>
      </w:r>
      <w:r w:rsidR="00503C58">
        <w:rPr>
          <w:rFonts w:ascii="Arial" w:hAnsi="Arial" w:cs="Arial"/>
          <w:snapToGrid w:val="0"/>
          <w:sz w:val="22"/>
          <w:szCs w:val="20"/>
        </w:rPr>
        <w:t xml:space="preserve">less than $15,000 per LY </w:t>
      </w:r>
      <w:r w:rsidR="004D0C41">
        <w:rPr>
          <w:rFonts w:ascii="Arial" w:hAnsi="Arial" w:cs="Arial"/>
          <w:snapToGrid w:val="0"/>
          <w:sz w:val="22"/>
          <w:szCs w:val="20"/>
        </w:rPr>
        <w:t>f</w:t>
      </w:r>
      <w:r w:rsidRPr="004D0C41">
        <w:rPr>
          <w:rFonts w:ascii="Arial" w:hAnsi="Arial" w:cs="Arial"/>
          <w:snapToGrid w:val="0"/>
          <w:sz w:val="22"/>
          <w:szCs w:val="20"/>
        </w:rPr>
        <w:t xml:space="preserve">or 0%; </w:t>
      </w:r>
      <w:r w:rsidR="00503C58">
        <w:rPr>
          <w:rFonts w:ascii="Arial" w:hAnsi="Arial" w:cs="Arial"/>
          <w:snapToGrid w:val="0"/>
          <w:sz w:val="22"/>
          <w:szCs w:val="20"/>
        </w:rPr>
        <w:t xml:space="preserve">$15,000/LY - $45,000/LY </w:t>
      </w:r>
      <w:r w:rsidRPr="00C44E02">
        <w:rPr>
          <w:rFonts w:ascii="Arial" w:hAnsi="Arial" w:cs="Arial"/>
          <w:snapToGrid w:val="0"/>
          <w:sz w:val="22"/>
          <w:szCs w:val="20"/>
        </w:rPr>
        <w:t>for 10%).</w:t>
      </w:r>
    </w:p>
    <w:p w:rsidR="00396B86" w:rsidRPr="00CE2C77" w:rsidRDefault="00396B86" w:rsidP="00AD362F">
      <w:pPr>
        <w:ind w:left="720"/>
        <w:contextualSpacing/>
        <w:jc w:val="both"/>
        <w:rPr>
          <w:rFonts w:ascii="Arial" w:hAnsi="Arial" w:cs="Arial"/>
          <w:i/>
          <w:snapToGrid w:val="0"/>
          <w:sz w:val="22"/>
          <w:szCs w:val="20"/>
        </w:rPr>
      </w:pPr>
    </w:p>
    <w:p w:rsidR="00396B86" w:rsidRPr="00503C58" w:rsidRDefault="00396B86" w:rsidP="00AD362F">
      <w:pPr>
        <w:numPr>
          <w:ilvl w:val="1"/>
          <w:numId w:val="3"/>
        </w:numPr>
        <w:contextualSpacing/>
        <w:jc w:val="both"/>
        <w:rPr>
          <w:rFonts w:ascii="Arial" w:hAnsi="Arial" w:cs="Arial"/>
          <w:snapToGrid w:val="0"/>
          <w:sz w:val="22"/>
          <w:szCs w:val="22"/>
        </w:rPr>
      </w:pPr>
      <w:r w:rsidRPr="00A15171">
        <w:rPr>
          <w:rFonts w:ascii="Arial" w:hAnsi="Arial" w:cs="Arial"/>
          <w:snapToGrid w:val="0"/>
          <w:sz w:val="22"/>
          <w:szCs w:val="20"/>
        </w:rPr>
        <w:t xml:space="preserve">The catch-up model was sensitive to the same parameters as the primary prevention model, and the average age at </w:t>
      </w:r>
      <w:r w:rsidRPr="00503C58">
        <w:rPr>
          <w:rFonts w:ascii="Arial" w:hAnsi="Arial" w:cs="Arial"/>
          <w:snapToGrid w:val="0"/>
          <w:sz w:val="22"/>
          <w:szCs w:val="20"/>
        </w:rPr>
        <w:t xml:space="preserve">vaccination. The cost/LY gained increased in older individuals because they have fewer years to benefit from the vaccine </w:t>
      </w:r>
      <w:r w:rsidRPr="008F6928">
        <w:rPr>
          <w:rFonts w:ascii="Arial" w:hAnsi="Arial" w:cs="Arial"/>
          <w:snapToGrid w:val="0"/>
          <w:sz w:val="22"/>
          <w:szCs w:val="20"/>
        </w:rPr>
        <w:t>(</w:t>
      </w:r>
      <w:r w:rsidR="008F6928">
        <w:rPr>
          <w:rFonts w:ascii="Arial" w:hAnsi="Arial" w:cs="Arial"/>
          <w:snapToGrid w:val="0"/>
          <w:sz w:val="22"/>
          <w:szCs w:val="20"/>
        </w:rPr>
        <w:t xml:space="preserve">$45,000 - $75,000 </w:t>
      </w:r>
      <w:r w:rsidRPr="00503C58">
        <w:rPr>
          <w:rFonts w:ascii="Arial" w:hAnsi="Arial" w:cs="Arial"/>
          <w:snapToGrid w:val="0"/>
          <w:sz w:val="22"/>
          <w:szCs w:val="20"/>
        </w:rPr>
        <w:t xml:space="preserve">for the cohort aged 70-74 years; </w:t>
      </w:r>
      <w:r w:rsidR="008F6928">
        <w:rPr>
          <w:rFonts w:ascii="Arial" w:hAnsi="Arial" w:cs="Arial"/>
          <w:snapToGrid w:val="0"/>
          <w:sz w:val="22"/>
          <w:szCs w:val="20"/>
        </w:rPr>
        <w:t xml:space="preserve">$105,000 - $200,000 </w:t>
      </w:r>
      <w:r w:rsidRPr="00503C58">
        <w:rPr>
          <w:rFonts w:ascii="Arial" w:hAnsi="Arial" w:cs="Arial"/>
          <w:snapToGrid w:val="0"/>
          <w:sz w:val="22"/>
          <w:szCs w:val="20"/>
        </w:rPr>
        <w:t>for 75-79</w:t>
      </w:r>
      <w:r w:rsidR="00B4601C" w:rsidRPr="00503C58">
        <w:rPr>
          <w:rFonts w:ascii="Arial" w:hAnsi="Arial" w:cs="Arial"/>
          <w:snapToGrid w:val="0"/>
          <w:sz w:val="22"/>
          <w:szCs w:val="20"/>
        </w:rPr>
        <w:t xml:space="preserve"> years and </w:t>
      </w:r>
      <w:r w:rsidR="008F6928">
        <w:rPr>
          <w:rFonts w:ascii="Arial" w:hAnsi="Arial" w:cs="Arial"/>
          <w:snapToGrid w:val="0"/>
          <w:sz w:val="22"/>
          <w:szCs w:val="20"/>
        </w:rPr>
        <w:t xml:space="preserve">more than $200,000 </w:t>
      </w:r>
      <w:r w:rsidR="00B4601C" w:rsidRPr="00503C58">
        <w:rPr>
          <w:rFonts w:ascii="Arial" w:hAnsi="Arial" w:cs="Arial"/>
          <w:snapToGrid w:val="0"/>
          <w:sz w:val="22"/>
          <w:szCs w:val="20"/>
        </w:rPr>
        <w:t>for 80</w:t>
      </w:r>
      <w:r w:rsidR="00B4601C" w:rsidRPr="00503C58">
        <w:rPr>
          <w:rFonts w:ascii="Arial" w:hAnsi="Arial" w:cs="Arial"/>
          <w:snapToGrid w:val="0"/>
          <w:sz w:val="22"/>
          <w:szCs w:val="20"/>
        </w:rPr>
        <w:noBreakHyphen/>
        <w:t>84 </w:t>
      </w:r>
      <w:r w:rsidRPr="00503C58">
        <w:rPr>
          <w:rFonts w:ascii="Arial" w:hAnsi="Arial" w:cs="Arial"/>
          <w:snapToGrid w:val="0"/>
          <w:sz w:val="22"/>
          <w:szCs w:val="20"/>
        </w:rPr>
        <w:t xml:space="preserve">years). </w:t>
      </w:r>
      <w:r w:rsidRPr="00503C58">
        <w:rPr>
          <w:rFonts w:ascii="Arial" w:hAnsi="Arial" w:cs="Arial"/>
          <w:snapToGrid w:val="0"/>
          <w:sz w:val="22"/>
          <w:szCs w:val="22"/>
        </w:rPr>
        <w:t>T</w:t>
      </w:r>
      <w:r w:rsidRPr="00503C58">
        <w:rPr>
          <w:rFonts w:ascii="Arial" w:hAnsi="Arial" w:cs="Arial"/>
          <w:snapToGrid w:val="0"/>
          <w:sz w:val="22"/>
          <w:szCs w:val="20"/>
        </w:rPr>
        <w:t xml:space="preserve">he model </w:t>
      </w:r>
      <w:r w:rsidR="00786C38" w:rsidRPr="00503C58">
        <w:rPr>
          <w:rFonts w:ascii="Arial" w:hAnsi="Arial" w:cs="Arial"/>
          <w:snapToGrid w:val="0"/>
          <w:sz w:val="22"/>
          <w:szCs w:val="20"/>
        </w:rPr>
        <w:t>did</w:t>
      </w:r>
      <w:r w:rsidRPr="00503C58">
        <w:rPr>
          <w:rFonts w:ascii="Arial" w:hAnsi="Arial" w:cs="Arial"/>
          <w:snapToGrid w:val="0"/>
          <w:sz w:val="22"/>
          <w:szCs w:val="20"/>
        </w:rPr>
        <w:t xml:space="preserve"> not consider that 13vPCV may be less effective in older individuals (ATAGI</w:t>
      </w:r>
      <w:r w:rsidR="002F4167" w:rsidRPr="00503C58">
        <w:rPr>
          <w:rFonts w:ascii="Arial" w:hAnsi="Arial" w:cs="Arial"/>
          <w:snapToGrid w:val="0"/>
          <w:sz w:val="22"/>
          <w:szCs w:val="20"/>
        </w:rPr>
        <w:t xml:space="preserve"> Pre-Submission</w:t>
      </w:r>
      <w:r w:rsidRPr="00503C58">
        <w:rPr>
          <w:rFonts w:ascii="Arial" w:hAnsi="Arial" w:cs="Arial"/>
          <w:snapToGrid w:val="0"/>
          <w:sz w:val="22"/>
          <w:szCs w:val="20"/>
        </w:rPr>
        <w:t xml:space="preserve"> Advice) which would further increase the cost/LY gained in the older cohorts.</w:t>
      </w:r>
    </w:p>
    <w:p w:rsidR="00CE2C77" w:rsidRPr="00503C58" w:rsidRDefault="00CE2C77" w:rsidP="00AD362F">
      <w:pPr>
        <w:ind w:left="720"/>
        <w:contextualSpacing/>
        <w:jc w:val="both"/>
        <w:rPr>
          <w:rFonts w:ascii="Arial" w:hAnsi="Arial" w:cs="Arial"/>
          <w:snapToGrid w:val="0"/>
          <w:sz w:val="22"/>
          <w:szCs w:val="22"/>
        </w:rPr>
      </w:pPr>
    </w:p>
    <w:p w:rsidR="00EF2AFE" w:rsidRPr="00503C58" w:rsidRDefault="00EF2AFE" w:rsidP="005E67AE">
      <w:pPr>
        <w:ind w:left="709"/>
        <w:contextualSpacing/>
        <w:jc w:val="both"/>
        <w:rPr>
          <w:rFonts w:ascii="Arial" w:hAnsi="Arial" w:cs="Arial"/>
          <w:i/>
          <w:snapToGrid w:val="0"/>
          <w:sz w:val="22"/>
          <w:szCs w:val="22"/>
        </w:rPr>
      </w:pPr>
      <w:r w:rsidRPr="00503C58">
        <w:rPr>
          <w:rFonts w:ascii="Arial" w:hAnsi="Arial" w:cs="Arial"/>
          <w:i/>
          <w:snapToGrid w:val="0"/>
          <w:sz w:val="22"/>
          <w:szCs w:val="22"/>
        </w:rPr>
        <w:t>For more detail on PBAC’s view, see section 7 “PBAC outcome”</w:t>
      </w:r>
    </w:p>
    <w:p w:rsidR="00EF2AFE" w:rsidRPr="00503C58" w:rsidRDefault="00EF2AFE" w:rsidP="00AD362F">
      <w:pPr>
        <w:ind w:left="720"/>
        <w:contextualSpacing/>
        <w:jc w:val="both"/>
        <w:rPr>
          <w:rFonts w:ascii="Arial" w:hAnsi="Arial" w:cs="Arial"/>
          <w:snapToGrid w:val="0"/>
          <w:sz w:val="22"/>
          <w:szCs w:val="22"/>
        </w:rPr>
      </w:pPr>
    </w:p>
    <w:p w:rsidR="00CE2C77" w:rsidRPr="00503C58" w:rsidRDefault="00CE2C77" w:rsidP="00AD362F">
      <w:pPr>
        <w:jc w:val="both"/>
        <w:outlineLvl w:val="1"/>
        <w:rPr>
          <w:rFonts w:ascii="Arial" w:hAnsi="Arial" w:cs="Arial"/>
          <w:b/>
          <w:snapToGrid w:val="0"/>
          <w:sz w:val="22"/>
          <w:szCs w:val="22"/>
        </w:rPr>
      </w:pPr>
      <w:bookmarkStart w:id="13" w:name="_Toc409513711"/>
      <w:r w:rsidRPr="00503C58">
        <w:rPr>
          <w:rFonts w:ascii="Arial" w:hAnsi="Arial" w:cs="Arial"/>
          <w:b/>
          <w:snapToGrid w:val="0"/>
          <w:sz w:val="22"/>
          <w:szCs w:val="20"/>
        </w:rPr>
        <w:t>Drug cost/patient/dose: $</w:t>
      </w:r>
      <w:bookmarkEnd w:id="13"/>
      <w:r w:rsidR="008D2701">
        <w:rPr>
          <w:rFonts w:ascii="Arial" w:hAnsi="Arial" w:cs="Arial"/>
          <w:b/>
          <w:noProof/>
          <w:snapToGrid w:val="0"/>
          <w:color w:val="000000"/>
          <w:sz w:val="22"/>
          <w:szCs w:val="20"/>
          <w:highlight w:val="black"/>
        </w:rPr>
        <w:t>''''''''''</w:t>
      </w:r>
    </w:p>
    <w:p w:rsidR="00CE2C77" w:rsidRPr="00503C58" w:rsidRDefault="00CE2C77" w:rsidP="00AD362F">
      <w:pPr>
        <w:jc w:val="both"/>
        <w:rPr>
          <w:rFonts w:ascii="Arial" w:hAnsi="Arial" w:cs="Arial"/>
          <w:snapToGrid w:val="0"/>
          <w:sz w:val="22"/>
          <w:szCs w:val="22"/>
        </w:rPr>
      </w:pPr>
    </w:p>
    <w:p w:rsidR="00CE2C77" w:rsidRPr="00503C58" w:rsidRDefault="00786C38" w:rsidP="00AD362F">
      <w:pPr>
        <w:numPr>
          <w:ilvl w:val="1"/>
          <w:numId w:val="3"/>
        </w:numPr>
        <w:contextualSpacing/>
        <w:jc w:val="both"/>
        <w:rPr>
          <w:rFonts w:ascii="Arial" w:hAnsi="Arial" w:cs="Arial"/>
          <w:snapToGrid w:val="0"/>
          <w:sz w:val="22"/>
          <w:szCs w:val="20"/>
        </w:rPr>
      </w:pPr>
      <w:r w:rsidRPr="00503C58">
        <w:rPr>
          <w:rFonts w:ascii="Arial" w:hAnsi="Arial" w:cs="Arial"/>
          <w:snapToGrid w:val="0"/>
          <w:sz w:val="22"/>
          <w:szCs w:val="20"/>
        </w:rPr>
        <w:t>The 13vPCV cost per dose wa</w:t>
      </w:r>
      <w:r w:rsidR="00CE2C77" w:rsidRPr="00503C58">
        <w:rPr>
          <w:rFonts w:ascii="Arial" w:hAnsi="Arial" w:cs="Arial"/>
          <w:snapToGrid w:val="0"/>
          <w:sz w:val="22"/>
          <w:szCs w:val="20"/>
        </w:rPr>
        <w:t>s $</w:t>
      </w:r>
      <w:r w:rsidR="008D2701">
        <w:rPr>
          <w:rFonts w:ascii="Arial" w:hAnsi="Arial" w:cs="Arial"/>
          <w:noProof/>
          <w:snapToGrid w:val="0"/>
          <w:color w:val="000000"/>
          <w:sz w:val="22"/>
          <w:szCs w:val="20"/>
          <w:highlight w:val="black"/>
        </w:rPr>
        <w:t>'''''''''''''''</w:t>
      </w:r>
      <w:r w:rsidR="00CE2C77" w:rsidRPr="00503C58">
        <w:rPr>
          <w:rFonts w:ascii="Arial" w:hAnsi="Arial" w:cs="Arial"/>
          <w:snapToGrid w:val="0"/>
          <w:sz w:val="22"/>
          <w:szCs w:val="20"/>
        </w:rPr>
        <w:t>.</w:t>
      </w:r>
      <w:r w:rsidRPr="00503C58">
        <w:rPr>
          <w:rFonts w:ascii="Arial" w:hAnsi="Arial" w:cs="Arial"/>
          <w:snapToGrid w:val="0"/>
          <w:sz w:val="22"/>
          <w:szCs w:val="20"/>
        </w:rPr>
        <w:t xml:space="preserve"> The 23vPPV cost per dose wa</w:t>
      </w:r>
      <w:r w:rsidR="00CE2C77" w:rsidRPr="00503C58">
        <w:rPr>
          <w:rFonts w:ascii="Arial" w:hAnsi="Arial" w:cs="Arial"/>
          <w:snapToGrid w:val="0"/>
          <w:sz w:val="22"/>
          <w:szCs w:val="20"/>
        </w:rPr>
        <w:t>s $34.13.</w:t>
      </w:r>
    </w:p>
    <w:p w:rsidR="00EF2AFE" w:rsidRPr="00503C58" w:rsidRDefault="00EF2AFE" w:rsidP="00AD362F">
      <w:pPr>
        <w:jc w:val="both"/>
        <w:outlineLvl w:val="1"/>
        <w:rPr>
          <w:rFonts w:ascii="Arial" w:hAnsi="Arial" w:cs="Arial"/>
          <w:b/>
          <w:i/>
          <w:snapToGrid w:val="0"/>
          <w:sz w:val="22"/>
          <w:szCs w:val="20"/>
        </w:rPr>
      </w:pPr>
    </w:p>
    <w:p w:rsidR="00CE2C77" w:rsidRPr="00947361" w:rsidRDefault="00CE2C77" w:rsidP="005125B6">
      <w:pPr>
        <w:pStyle w:val="Heading2"/>
      </w:pPr>
      <w:bookmarkStart w:id="14" w:name="_Toc409513712"/>
      <w:r w:rsidRPr="00503C58">
        <w:t>Estimated PBS usage &amp; financial implications</w:t>
      </w:r>
      <w:bookmarkEnd w:id="14"/>
    </w:p>
    <w:p w:rsidR="00CE2C77" w:rsidRPr="00CE2C77" w:rsidRDefault="00CE2C77" w:rsidP="00AD362F">
      <w:pPr>
        <w:ind w:left="720" w:hanging="720"/>
        <w:jc w:val="both"/>
        <w:rPr>
          <w:rFonts w:ascii="Arial" w:hAnsi="Arial" w:cs="Arial"/>
          <w:b/>
          <w:i/>
          <w:snapToGrid w:val="0"/>
          <w:sz w:val="22"/>
          <w:szCs w:val="22"/>
        </w:rPr>
      </w:pPr>
    </w:p>
    <w:p w:rsidR="00CE2C77" w:rsidRPr="00CE2C77" w:rsidRDefault="00CE2C77" w:rsidP="00AD362F">
      <w:pPr>
        <w:numPr>
          <w:ilvl w:val="1"/>
          <w:numId w:val="3"/>
        </w:numPr>
        <w:contextualSpacing/>
        <w:jc w:val="both"/>
        <w:rPr>
          <w:rFonts w:ascii="Arial" w:hAnsi="Arial" w:cs="Arial"/>
          <w:snapToGrid w:val="0"/>
          <w:sz w:val="22"/>
          <w:szCs w:val="22"/>
        </w:rPr>
      </w:pPr>
      <w:r w:rsidRPr="00CE2C77">
        <w:rPr>
          <w:rFonts w:ascii="Arial" w:hAnsi="Arial" w:cs="Arial"/>
          <w:snapToGrid w:val="0"/>
          <w:sz w:val="22"/>
          <w:szCs w:val="20"/>
        </w:rPr>
        <w:t xml:space="preserve">This submission </w:t>
      </w:r>
      <w:r w:rsidR="003E3F27">
        <w:rPr>
          <w:rFonts w:ascii="Arial" w:hAnsi="Arial" w:cs="Arial"/>
          <w:snapToGrid w:val="0"/>
          <w:sz w:val="22"/>
          <w:szCs w:val="20"/>
        </w:rPr>
        <w:t>was not</w:t>
      </w:r>
      <w:r w:rsidR="00080F9C">
        <w:rPr>
          <w:rFonts w:ascii="Arial" w:hAnsi="Arial" w:cs="Arial"/>
          <w:snapToGrid w:val="0"/>
          <w:sz w:val="22"/>
          <w:szCs w:val="20"/>
        </w:rPr>
        <w:t xml:space="preserve"> considered</w:t>
      </w:r>
      <w:r w:rsidRPr="00CE2C77">
        <w:rPr>
          <w:rFonts w:ascii="Arial" w:hAnsi="Arial" w:cs="Arial"/>
          <w:snapToGrid w:val="0"/>
          <w:sz w:val="22"/>
          <w:szCs w:val="20"/>
        </w:rPr>
        <w:t xml:space="preserve"> by </w:t>
      </w:r>
      <w:r w:rsidR="00786C38">
        <w:rPr>
          <w:rFonts w:ascii="Arial" w:hAnsi="Arial" w:cs="Arial"/>
          <w:snapToGrid w:val="0"/>
          <w:sz w:val="22"/>
          <w:szCs w:val="20"/>
        </w:rPr>
        <w:t xml:space="preserve">the </w:t>
      </w:r>
      <w:r w:rsidRPr="00CE2C77">
        <w:rPr>
          <w:rFonts w:ascii="Arial" w:hAnsi="Arial" w:cs="Arial"/>
          <w:snapToGrid w:val="0"/>
          <w:sz w:val="22"/>
          <w:szCs w:val="20"/>
        </w:rPr>
        <w:t>DUSC. The submission used an epidemiological approach to estimate the extent of use of 13vPCV. The estimates were based on the projected Australian population and assumed uptake.</w:t>
      </w:r>
    </w:p>
    <w:p w:rsidR="00CE2C77" w:rsidRPr="00CE2C77" w:rsidRDefault="00CE2C77" w:rsidP="00AD362F">
      <w:pPr>
        <w:jc w:val="both"/>
        <w:rPr>
          <w:rFonts w:ascii="Arial" w:hAnsi="Arial" w:cs="Arial"/>
          <w:snapToGrid w:val="0"/>
          <w:sz w:val="22"/>
          <w:szCs w:val="22"/>
        </w:rPr>
      </w:pPr>
    </w:p>
    <w:p w:rsidR="00CE2C77" w:rsidRPr="00CE2C77" w:rsidRDefault="00CE2C77" w:rsidP="00AD362F">
      <w:pPr>
        <w:keepNext/>
        <w:ind w:firstLine="709"/>
        <w:jc w:val="both"/>
        <w:rPr>
          <w:rFonts w:ascii="Arial Narrow" w:hAnsi="Arial Narrow" w:cs="Arial"/>
          <w:b/>
          <w:snapToGrid w:val="0"/>
          <w:sz w:val="20"/>
          <w:szCs w:val="16"/>
        </w:rPr>
      </w:pPr>
      <w:r w:rsidRPr="00CE2C77">
        <w:rPr>
          <w:rFonts w:ascii="Arial Narrow" w:hAnsi="Arial Narrow" w:cs="Arial"/>
          <w:b/>
          <w:snapToGrid w:val="0"/>
          <w:sz w:val="20"/>
          <w:szCs w:val="16"/>
        </w:rPr>
        <w:t>Estimated use and financial implications, primary program</w:t>
      </w:r>
    </w:p>
    <w:tbl>
      <w:tblPr>
        <w:tblW w:w="4595"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Estimated NIP usage &amp; financial implications"/>
        <w:tblDescription w:val="Year 1 to 5"/>
      </w:tblPr>
      <w:tblGrid>
        <w:gridCol w:w="2269"/>
        <w:gridCol w:w="1134"/>
        <w:gridCol w:w="1134"/>
        <w:gridCol w:w="1275"/>
        <w:gridCol w:w="1275"/>
        <w:gridCol w:w="1260"/>
      </w:tblGrid>
      <w:tr w:rsidR="00CE2C77" w:rsidRPr="00CE2C77" w:rsidTr="00CE2C77">
        <w:trPr>
          <w:tblHeader/>
        </w:trPr>
        <w:tc>
          <w:tcPr>
            <w:tcW w:w="1359" w:type="pct"/>
            <w:shd w:val="clear" w:color="auto" w:fill="auto"/>
            <w:vAlign w:val="center"/>
          </w:tcPr>
          <w:p w:rsidR="00CE2C77" w:rsidRPr="00CE2C77" w:rsidRDefault="00CE2C77" w:rsidP="00AD362F">
            <w:pPr>
              <w:keepNext/>
              <w:tabs>
                <w:tab w:val="left" w:pos="142"/>
              </w:tabs>
              <w:rPr>
                <w:rFonts w:ascii="Arial Narrow" w:hAnsi="Arial Narrow" w:cs="Arial"/>
                <w:b/>
                <w:snapToGrid w:val="0"/>
                <w:sz w:val="20"/>
                <w:szCs w:val="20"/>
              </w:rPr>
            </w:pPr>
          </w:p>
        </w:tc>
        <w:tc>
          <w:tcPr>
            <w:tcW w:w="679" w:type="pct"/>
            <w:shd w:val="clear" w:color="auto" w:fill="auto"/>
            <w:vAlign w:val="center"/>
          </w:tcPr>
          <w:p w:rsidR="00CE2C77" w:rsidRPr="00CE2C77" w:rsidRDefault="00CE2C77" w:rsidP="00AD362F">
            <w:pPr>
              <w:keepNext/>
              <w:jc w:val="center"/>
              <w:rPr>
                <w:rFonts w:ascii="Arial Narrow" w:hAnsi="Arial Narrow" w:cs="Arial"/>
                <w:b/>
                <w:snapToGrid w:val="0"/>
                <w:sz w:val="20"/>
                <w:szCs w:val="20"/>
              </w:rPr>
            </w:pPr>
            <w:r w:rsidRPr="00CE2C77">
              <w:rPr>
                <w:rFonts w:ascii="Arial Narrow" w:hAnsi="Arial Narrow" w:cs="Arial"/>
                <w:b/>
                <w:snapToGrid w:val="0"/>
                <w:sz w:val="20"/>
                <w:szCs w:val="20"/>
              </w:rPr>
              <w:t>Year 1</w:t>
            </w:r>
          </w:p>
        </w:tc>
        <w:tc>
          <w:tcPr>
            <w:tcW w:w="679" w:type="pct"/>
            <w:shd w:val="clear" w:color="auto" w:fill="auto"/>
            <w:vAlign w:val="center"/>
          </w:tcPr>
          <w:p w:rsidR="00CE2C77" w:rsidRPr="00CE2C77" w:rsidRDefault="00CE2C77" w:rsidP="00AD362F">
            <w:pPr>
              <w:keepNext/>
              <w:jc w:val="center"/>
              <w:rPr>
                <w:rFonts w:ascii="Arial Narrow" w:hAnsi="Arial Narrow" w:cs="Arial"/>
                <w:b/>
                <w:snapToGrid w:val="0"/>
                <w:sz w:val="20"/>
                <w:szCs w:val="20"/>
              </w:rPr>
            </w:pPr>
            <w:r w:rsidRPr="00CE2C77">
              <w:rPr>
                <w:rFonts w:ascii="Arial Narrow" w:hAnsi="Arial Narrow" w:cs="Arial"/>
                <w:b/>
                <w:snapToGrid w:val="0"/>
                <w:sz w:val="20"/>
                <w:szCs w:val="20"/>
              </w:rPr>
              <w:t>Year 2</w:t>
            </w:r>
          </w:p>
        </w:tc>
        <w:tc>
          <w:tcPr>
            <w:tcW w:w="764" w:type="pct"/>
            <w:shd w:val="clear" w:color="auto" w:fill="auto"/>
            <w:vAlign w:val="center"/>
          </w:tcPr>
          <w:p w:rsidR="00CE2C77" w:rsidRPr="00CE2C77" w:rsidRDefault="00CE2C77" w:rsidP="00AD362F">
            <w:pPr>
              <w:keepNext/>
              <w:jc w:val="center"/>
              <w:rPr>
                <w:rFonts w:ascii="Arial Narrow" w:hAnsi="Arial Narrow" w:cs="Arial"/>
                <w:b/>
                <w:snapToGrid w:val="0"/>
                <w:sz w:val="20"/>
                <w:szCs w:val="20"/>
              </w:rPr>
            </w:pPr>
            <w:r w:rsidRPr="00CE2C77">
              <w:rPr>
                <w:rFonts w:ascii="Arial Narrow" w:hAnsi="Arial Narrow" w:cs="Arial"/>
                <w:b/>
                <w:snapToGrid w:val="0"/>
                <w:sz w:val="20"/>
                <w:szCs w:val="20"/>
              </w:rPr>
              <w:t>Year 3</w:t>
            </w:r>
          </w:p>
        </w:tc>
        <w:tc>
          <w:tcPr>
            <w:tcW w:w="764" w:type="pct"/>
            <w:shd w:val="clear" w:color="auto" w:fill="auto"/>
            <w:vAlign w:val="center"/>
          </w:tcPr>
          <w:p w:rsidR="00CE2C77" w:rsidRPr="00CE2C77" w:rsidRDefault="00CE2C77" w:rsidP="00AD362F">
            <w:pPr>
              <w:keepNext/>
              <w:jc w:val="center"/>
              <w:rPr>
                <w:rFonts w:ascii="Arial Narrow" w:hAnsi="Arial Narrow" w:cs="Arial"/>
                <w:b/>
                <w:snapToGrid w:val="0"/>
                <w:sz w:val="20"/>
                <w:szCs w:val="20"/>
              </w:rPr>
            </w:pPr>
            <w:r w:rsidRPr="00CE2C77">
              <w:rPr>
                <w:rFonts w:ascii="Arial Narrow" w:hAnsi="Arial Narrow" w:cs="Arial"/>
                <w:b/>
                <w:snapToGrid w:val="0"/>
                <w:sz w:val="20"/>
                <w:szCs w:val="20"/>
              </w:rPr>
              <w:t>Year 4</w:t>
            </w:r>
          </w:p>
        </w:tc>
        <w:tc>
          <w:tcPr>
            <w:tcW w:w="755" w:type="pct"/>
            <w:shd w:val="clear" w:color="auto" w:fill="auto"/>
            <w:vAlign w:val="center"/>
          </w:tcPr>
          <w:p w:rsidR="00CE2C77" w:rsidRPr="00CE2C77" w:rsidRDefault="00CE2C77" w:rsidP="00AD362F">
            <w:pPr>
              <w:keepNext/>
              <w:jc w:val="center"/>
              <w:rPr>
                <w:rFonts w:ascii="Arial Narrow" w:hAnsi="Arial Narrow" w:cs="Arial"/>
                <w:b/>
                <w:snapToGrid w:val="0"/>
                <w:sz w:val="20"/>
                <w:szCs w:val="20"/>
              </w:rPr>
            </w:pPr>
            <w:r w:rsidRPr="00CE2C77">
              <w:rPr>
                <w:rFonts w:ascii="Arial Narrow" w:hAnsi="Arial Narrow" w:cs="Arial"/>
                <w:b/>
                <w:snapToGrid w:val="0"/>
                <w:sz w:val="20"/>
                <w:szCs w:val="20"/>
              </w:rPr>
              <w:t>Year 5</w:t>
            </w:r>
          </w:p>
        </w:tc>
      </w:tr>
      <w:tr w:rsidR="00CE2C77" w:rsidRPr="00CE2C77" w:rsidTr="00CE2C77">
        <w:tc>
          <w:tcPr>
            <w:tcW w:w="5000" w:type="pct"/>
            <w:gridSpan w:val="6"/>
            <w:shd w:val="clear" w:color="auto" w:fill="auto"/>
            <w:vAlign w:val="center"/>
          </w:tcPr>
          <w:p w:rsidR="00CE2C77" w:rsidRPr="00CE2C77" w:rsidRDefault="00CE2C77" w:rsidP="00AD362F">
            <w:pPr>
              <w:keepNext/>
              <w:rPr>
                <w:rFonts w:ascii="Arial Narrow" w:hAnsi="Arial Narrow" w:cs="Arial"/>
                <w:b/>
                <w:bCs/>
                <w:snapToGrid w:val="0"/>
                <w:color w:val="000000"/>
                <w:sz w:val="20"/>
                <w:szCs w:val="20"/>
              </w:rPr>
            </w:pPr>
            <w:r w:rsidRPr="00CE2C77">
              <w:rPr>
                <w:rFonts w:ascii="Arial Narrow" w:hAnsi="Arial Narrow" w:cs="Arial"/>
                <w:b/>
                <w:bCs/>
                <w:snapToGrid w:val="0"/>
                <w:color w:val="000000"/>
                <w:sz w:val="20"/>
                <w:szCs w:val="20"/>
              </w:rPr>
              <w:t>Estimated extent of use</w:t>
            </w:r>
          </w:p>
        </w:tc>
      </w:tr>
      <w:tr w:rsidR="00CE2C77" w:rsidRPr="00CE2C77" w:rsidTr="00CE2C77">
        <w:tc>
          <w:tcPr>
            <w:tcW w:w="1359" w:type="pct"/>
            <w:shd w:val="clear" w:color="auto" w:fill="auto"/>
            <w:vAlign w:val="center"/>
          </w:tcPr>
          <w:p w:rsidR="00CE2C77" w:rsidRPr="00CE2C77" w:rsidRDefault="00CE2C77" w:rsidP="00AD362F">
            <w:pPr>
              <w:keepNext/>
              <w:tabs>
                <w:tab w:val="left" w:pos="142"/>
              </w:tabs>
              <w:rPr>
                <w:rFonts w:ascii="Arial Narrow" w:hAnsi="Arial Narrow" w:cs="Arial"/>
                <w:snapToGrid w:val="0"/>
                <w:sz w:val="20"/>
                <w:szCs w:val="20"/>
              </w:rPr>
            </w:pPr>
            <w:r w:rsidRPr="00CE2C77">
              <w:rPr>
                <w:rFonts w:ascii="Arial Narrow" w:hAnsi="Arial Narrow" w:cs="Arial"/>
                <w:snapToGrid w:val="0"/>
                <w:sz w:val="20"/>
                <w:szCs w:val="20"/>
              </w:rPr>
              <w:t>Population</w:t>
            </w:r>
          </w:p>
        </w:tc>
        <w:tc>
          <w:tcPr>
            <w:tcW w:w="679" w:type="pct"/>
            <w:shd w:val="clear" w:color="auto" w:fill="auto"/>
            <w:vAlign w:val="center"/>
          </w:tcPr>
          <w:p w:rsidR="00CE2C77" w:rsidRPr="008D2701" w:rsidRDefault="008D2701" w:rsidP="00AD362F">
            <w:pPr>
              <w:keepNext/>
              <w:snapToGrid w:val="0"/>
              <w:jc w:val="center"/>
              <w:rPr>
                <w:rFonts w:ascii="Arial Narrow" w:hAnsi="Arial Narrow" w:cs="Arial"/>
                <w:snapToGrid w:val="0"/>
                <w:sz w:val="20"/>
                <w:szCs w:val="20"/>
                <w:highlight w:val="black"/>
              </w:rPr>
            </w:pPr>
            <w:r>
              <w:rPr>
                <w:rFonts w:ascii="Arial Narrow" w:hAnsi="Arial Narrow" w:cs="Arial"/>
                <w:noProof/>
                <w:snapToGrid w:val="0"/>
                <w:color w:val="000000"/>
                <w:sz w:val="20"/>
                <w:szCs w:val="20"/>
                <w:highlight w:val="black"/>
              </w:rPr>
              <w:t>''''''''''''''''''''</w:t>
            </w:r>
          </w:p>
        </w:tc>
        <w:tc>
          <w:tcPr>
            <w:tcW w:w="679" w:type="pct"/>
            <w:shd w:val="clear" w:color="auto" w:fill="auto"/>
            <w:vAlign w:val="center"/>
          </w:tcPr>
          <w:p w:rsidR="00CE2C77" w:rsidRPr="008D2701" w:rsidRDefault="008D2701" w:rsidP="00AD362F">
            <w:pPr>
              <w:keepNext/>
              <w:snapToGrid w:val="0"/>
              <w:jc w:val="center"/>
              <w:rPr>
                <w:rFonts w:ascii="Arial Narrow" w:hAnsi="Arial Narrow" w:cs="Arial"/>
                <w:snapToGrid w:val="0"/>
                <w:sz w:val="20"/>
                <w:szCs w:val="20"/>
                <w:highlight w:val="black"/>
              </w:rPr>
            </w:pPr>
            <w:r>
              <w:rPr>
                <w:rFonts w:ascii="Arial Narrow" w:hAnsi="Arial Narrow" w:cs="Arial"/>
                <w:noProof/>
                <w:snapToGrid w:val="0"/>
                <w:color w:val="000000"/>
                <w:sz w:val="20"/>
                <w:szCs w:val="20"/>
                <w:highlight w:val="black"/>
              </w:rPr>
              <w:t>'''''''''''''''''''''</w:t>
            </w:r>
          </w:p>
        </w:tc>
        <w:tc>
          <w:tcPr>
            <w:tcW w:w="764" w:type="pct"/>
            <w:shd w:val="clear" w:color="auto" w:fill="auto"/>
            <w:vAlign w:val="center"/>
          </w:tcPr>
          <w:p w:rsidR="00CE2C77" w:rsidRPr="008D2701" w:rsidRDefault="008D2701" w:rsidP="00AD362F">
            <w:pPr>
              <w:keepNext/>
              <w:snapToGrid w:val="0"/>
              <w:jc w:val="center"/>
              <w:rPr>
                <w:rFonts w:ascii="Arial Narrow" w:hAnsi="Arial Narrow" w:cs="Arial"/>
                <w:snapToGrid w:val="0"/>
                <w:sz w:val="20"/>
                <w:szCs w:val="20"/>
                <w:highlight w:val="black"/>
              </w:rPr>
            </w:pPr>
            <w:r>
              <w:rPr>
                <w:rFonts w:ascii="Arial Narrow" w:hAnsi="Arial Narrow" w:cs="Arial"/>
                <w:noProof/>
                <w:snapToGrid w:val="0"/>
                <w:color w:val="000000"/>
                <w:sz w:val="20"/>
                <w:szCs w:val="20"/>
                <w:highlight w:val="black"/>
              </w:rPr>
              <w:t>'''''''''''''''''''''</w:t>
            </w:r>
          </w:p>
        </w:tc>
        <w:tc>
          <w:tcPr>
            <w:tcW w:w="764" w:type="pct"/>
            <w:shd w:val="clear" w:color="auto" w:fill="auto"/>
            <w:vAlign w:val="center"/>
          </w:tcPr>
          <w:p w:rsidR="00CE2C77" w:rsidRPr="008D2701" w:rsidRDefault="008D2701" w:rsidP="00AD362F">
            <w:pPr>
              <w:keepNext/>
              <w:snapToGrid w:val="0"/>
              <w:jc w:val="center"/>
              <w:rPr>
                <w:rFonts w:ascii="Arial Narrow" w:hAnsi="Arial Narrow" w:cs="Arial"/>
                <w:snapToGrid w:val="0"/>
                <w:sz w:val="20"/>
                <w:szCs w:val="20"/>
                <w:highlight w:val="black"/>
              </w:rPr>
            </w:pPr>
            <w:r>
              <w:rPr>
                <w:rFonts w:ascii="Arial Narrow" w:hAnsi="Arial Narrow" w:cs="Arial"/>
                <w:noProof/>
                <w:snapToGrid w:val="0"/>
                <w:color w:val="000000"/>
                <w:sz w:val="20"/>
                <w:szCs w:val="20"/>
                <w:highlight w:val="black"/>
              </w:rPr>
              <w:t>''''''''''''''''''</w:t>
            </w:r>
          </w:p>
        </w:tc>
        <w:tc>
          <w:tcPr>
            <w:tcW w:w="755" w:type="pct"/>
            <w:shd w:val="clear" w:color="auto" w:fill="auto"/>
            <w:vAlign w:val="center"/>
          </w:tcPr>
          <w:p w:rsidR="00CE2C77" w:rsidRPr="008D2701" w:rsidRDefault="008D2701" w:rsidP="00AD362F">
            <w:pPr>
              <w:keepNext/>
              <w:snapToGrid w:val="0"/>
              <w:jc w:val="center"/>
              <w:rPr>
                <w:rFonts w:ascii="Arial Narrow" w:hAnsi="Arial Narrow" w:cs="Arial"/>
                <w:snapToGrid w:val="0"/>
                <w:sz w:val="20"/>
                <w:szCs w:val="20"/>
                <w:highlight w:val="black"/>
              </w:rPr>
            </w:pPr>
            <w:r>
              <w:rPr>
                <w:rFonts w:ascii="Arial Narrow" w:hAnsi="Arial Narrow" w:cs="Arial"/>
                <w:noProof/>
                <w:snapToGrid w:val="0"/>
                <w:color w:val="000000"/>
                <w:sz w:val="20"/>
                <w:szCs w:val="20"/>
                <w:highlight w:val="black"/>
              </w:rPr>
              <w:t>'''''''''''''''''''''</w:t>
            </w:r>
          </w:p>
        </w:tc>
      </w:tr>
      <w:tr w:rsidR="00CE2C77" w:rsidRPr="00CE2C77" w:rsidTr="00CE2C77">
        <w:tc>
          <w:tcPr>
            <w:tcW w:w="1359" w:type="pct"/>
            <w:shd w:val="clear" w:color="auto" w:fill="auto"/>
            <w:vAlign w:val="center"/>
          </w:tcPr>
          <w:p w:rsidR="00CE2C77" w:rsidRPr="00CE2C77" w:rsidRDefault="00CE2C77" w:rsidP="00AD362F">
            <w:pPr>
              <w:keepNext/>
              <w:tabs>
                <w:tab w:val="left" w:pos="142"/>
              </w:tabs>
              <w:rPr>
                <w:rFonts w:ascii="Arial Narrow" w:hAnsi="Arial Narrow" w:cs="Arial"/>
                <w:snapToGrid w:val="0"/>
                <w:sz w:val="20"/>
                <w:szCs w:val="20"/>
                <w:vertAlign w:val="superscript"/>
              </w:rPr>
            </w:pPr>
            <w:r w:rsidRPr="00CE2C77">
              <w:rPr>
                <w:rFonts w:ascii="Arial Narrow" w:hAnsi="Arial Narrow" w:cs="Arial"/>
                <w:snapToGrid w:val="0"/>
                <w:sz w:val="20"/>
                <w:szCs w:val="20"/>
              </w:rPr>
              <w:t>Uptake</w:t>
            </w:r>
            <w:r w:rsidRPr="00CE2C77">
              <w:rPr>
                <w:rFonts w:ascii="Arial Narrow" w:hAnsi="Arial Narrow" w:cs="Arial"/>
                <w:snapToGrid w:val="0"/>
                <w:sz w:val="20"/>
                <w:szCs w:val="20"/>
                <w:vertAlign w:val="superscript"/>
              </w:rPr>
              <w:t>a</w:t>
            </w:r>
          </w:p>
        </w:tc>
        <w:tc>
          <w:tcPr>
            <w:tcW w:w="679" w:type="pct"/>
            <w:shd w:val="clear" w:color="auto" w:fill="auto"/>
            <w:vAlign w:val="center"/>
          </w:tcPr>
          <w:p w:rsidR="00CE2C77" w:rsidRPr="00E05649" w:rsidRDefault="008D2701" w:rsidP="00AD362F">
            <w:pPr>
              <w:keepNext/>
              <w:snapToGrid w:val="0"/>
              <w:jc w:val="center"/>
              <w:rPr>
                <w:rFonts w:ascii="Arial Narrow" w:hAnsi="Arial Narrow" w:cs="Arial"/>
                <w:snapToGrid w:val="0"/>
                <w:sz w:val="20"/>
                <w:szCs w:val="20"/>
              </w:rPr>
            </w:pPr>
            <w:r>
              <w:rPr>
                <w:rFonts w:ascii="Arial Narrow" w:hAnsi="Arial Narrow" w:cs="Arial"/>
                <w:noProof/>
                <w:snapToGrid w:val="0"/>
                <w:color w:val="000000"/>
                <w:sz w:val="20"/>
                <w:szCs w:val="20"/>
                <w:highlight w:val="black"/>
              </w:rPr>
              <w:t>''''''</w:t>
            </w:r>
            <w:r w:rsidR="00CE2C77" w:rsidRPr="00E05649">
              <w:rPr>
                <w:rFonts w:ascii="Arial Narrow" w:hAnsi="Arial Narrow" w:cs="Arial"/>
                <w:snapToGrid w:val="0"/>
                <w:sz w:val="20"/>
                <w:szCs w:val="20"/>
              </w:rPr>
              <w:t>%</w:t>
            </w:r>
          </w:p>
        </w:tc>
        <w:tc>
          <w:tcPr>
            <w:tcW w:w="679" w:type="pct"/>
            <w:shd w:val="clear" w:color="auto" w:fill="auto"/>
            <w:vAlign w:val="center"/>
          </w:tcPr>
          <w:p w:rsidR="00CE2C77" w:rsidRPr="00E05649" w:rsidRDefault="008D2701" w:rsidP="00AD362F">
            <w:pPr>
              <w:keepNext/>
              <w:snapToGrid w:val="0"/>
              <w:jc w:val="center"/>
              <w:rPr>
                <w:rFonts w:ascii="Arial Narrow" w:hAnsi="Arial Narrow" w:cs="Arial"/>
                <w:snapToGrid w:val="0"/>
                <w:sz w:val="20"/>
                <w:szCs w:val="20"/>
              </w:rPr>
            </w:pPr>
            <w:r>
              <w:rPr>
                <w:rFonts w:ascii="Arial Narrow" w:hAnsi="Arial Narrow" w:cs="Arial"/>
                <w:noProof/>
                <w:snapToGrid w:val="0"/>
                <w:color w:val="000000"/>
                <w:sz w:val="20"/>
                <w:szCs w:val="20"/>
                <w:highlight w:val="black"/>
              </w:rPr>
              <w:t>'''''''</w:t>
            </w:r>
            <w:r w:rsidR="00CE2C77" w:rsidRPr="00E05649">
              <w:rPr>
                <w:rFonts w:ascii="Arial Narrow" w:hAnsi="Arial Narrow" w:cs="Arial"/>
                <w:snapToGrid w:val="0"/>
                <w:sz w:val="20"/>
                <w:szCs w:val="20"/>
              </w:rPr>
              <w:t>%</w:t>
            </w:r>
          </w:p>
        </w:tc>
        <w:tc>
          <w:tcPr>
            <w:tcW w:w="764" w:type="pct"/>
            <w:shd w:val="clear" w:color="auto" w:fill="auto"/>
            <w:vAlign w:val="center"/>
          </w:tcPr>
          <w:p w:rsidR="00CE2C77" w:rsidRPr="00E05649" w:rsidRDefault="008D2701" w:rsidP="00AD362F">
            <w:pPr>
              <w:keepNext/>
              <w:snapToGrid w:val="0"/>
              <w:jc w:val="center"/>
              <w:rPr>
                <w:rFonts w:ascii="Arial Narrow" w:hAnsi="Arial Narrow" w:cs="Arial"/>
                <w:snapToGrid w:val="0"/>
                <w:sz w:val="20"/>
                <w:szCs w:val="20"/>
              </w:rPr>
            </w:pPr>
            <w:r>
              <w:rPr>
                <w:rFonts w:ascii="Arial Narrow" w:hAnsi="Arial Narrow" w:cs="Arial"/>
                <w:noProof/>
                <w:snapToGrid w:val="0"/>
                <w:color w:val="000000"/>
                <w:sz w:val="20"/>
                <w:szCs w:val="20"/>
                <w:highlight w:val="black"/>
              </w:rPr>
              <w:t>''''''</w:t>
            </w:r>
            <w:r w:rsidR="00CE2C77" w:rsidRPr="00E05649">
              <w:rPr>
                <w:rFonts w:ascii="Arial Narrow" w:hAnsi="Arial Narrow" w:cs="Arial"/>
                <w:snapToGrid w:val="0"/>
                <w:sz w:val="20"/>
                <w:szCs w:val="20"/>
              </w:rPr>
              <w:t>%</w:t>
            </w:r>
          </w:p>
        </w:tc>
        <w:tc>
          <w:tcPr>
            <w:tcW w:w="764" w:type="pct"/>
            <w:shd w:val="clear" w:color="auto" w:fill="auto"/>
            <w:vAlign w:val="center"/>
          </w:tcPr>
          <w:p w:rsidR="00CE2C77" w:rsidRPr="00E05649" w:rsidRDefault="008D2701" w:rsidP="00AD362F">
            <w:pPr>
              <w:keepNext/>
              <w:snapToGrid w:val="0"/>
              <w:jc w:val="center"/>
              <w:rPr>
                <w:rFonts w:ascii="Arial Narrow" w:hAnsi="Arial Narrow" w:cs="Arial"/>
                <w:snapToGrid w:val="0"/>
                <w:sz w:val="20"/>
                <w:szCs w:val="20"/>
              </w:rPr>
            </w:pPr>
            <w:r>
              <w:rPr>
                <w:rFonts w:ascii="Arial Narrow" w:hAnsi="Arial Narrow" w:cs="Arial"/>
                <w:noProof/>
                <w:snapToGrid w:val="0"/>
                <w:color w:val="000000"/>
                <w:sz w:val="20"/>
                <w:szCs w:val="20"/>
                <w:highlight w:val="black"/>
              </w:rPr>
              <w:t>'''''</w:t>
            </w:r>
            <w:r w:rsidR="00CE2C77" w:rsidRPr="00E05649">
              <w:rPr>
                <w:rFonts w:ascii="Arial Narrow" w:hAnsi="Arial Narrow" w:cs="Arial"/>
                <w:snapToGrid w:val="0"/>
                <w:sz w:val="20"/>
                <w:szCs w:val="20"/>
              </w:rPr>
              <w:t>%</w:t>
            </w:r>
          </w:p>
        </w:tc>
        <w:tc>
          <w:tcPr>
            <w:tcW w:w="755" w:type="pct"/>
            <w:shd w:val="clear" w:color="auto" w:fill="auto"/>
            <w:vAlign w:val="center"/>
          </w:tcPr>
          <w:p w:rsidR="00CE2C77" w:rsidRPr="00E05649" w:rsidRDefault="008D2701" w:rsidP="00AD362F">
            <w:pPr>
              <w:keepNext/>
              <w:snapToGrid w:val="0"/>
              <w:jc w:val="center"/>
              <w:rPr>
                <w:rFonts w:ascii="Arial Narrow" w:hAnsi="Arial Narrow" w:cs="Arial"/>
                <w:snapToGrid w:val="0"/>
                <w:sz w:val="20"/>
                <w:szCs w:val="20"/>
              </w:rPr>
            </w:pPr>
            <w:r>
              <w:rPr>
                <w:rFonts w:ascii="Arial Narrow" w:hAnsi="Arial Narrow" w:cs="Arial"/>
                <w:noProof/>
                <w:snapToGrid w:val="0"/>
                <w:color w:val="000000"/>
                <w:sz w:val="20"/>
                <w:szCs w:val="20"/>
                <w:highlight w:val="black"/>
              </w:rPr>
              <w:t>'''''''</w:t>
            </w:r>
            <w:r w:rsidR="00CE2C77" w:rsidRPr="00E05649">
              <w:rPr>
                <w:rFonts w:ascii="Arial Narrow" w:hAnsi="Arial Narrow" w:cs="Arial"/>
                <w:snapToGrid w:val="0"/>
                <w:sz w:val="20"/>
                <w:szCs w:val="20"/>
              </w:rPr>
              <w:t>%</w:t>
            </w:r>
          </w:p>
        </w:tc>
      </w:tr>
      <w:tr w:rsidR="00CE2C77" w:rsidRPr="00CE2C77" w:rsidTr="00CE2C77">
        <w:tc>
          <w:tcPr>
            <w:tcW w:w="1359" w:type="pct"/>
            <w:shd w:val="clear" w:color="auto" w:fill="auto"/>
            <w:vAlign w:val="center"/>
          </w:tcPr>
          <w:p w:rsidR="00CE2C77" w:rsidRPr="00CE2C77" w:rsidRDefault="00CE2C77" w:rsidP="00AD362F">
            <w:pPr>
              <w:keepNext/>
              <w:tabs>
                <w:tab w:val="left" w:pos="142"/>
              </w:tabs>
              <w:rPr>
                <w:rFonts w:ascii="Arial Narrow" w:hAnsi="Arial Narrow" w:cs="Arial"/>
                <w:snapToGrid w:val="0"/>
                <w:sz w:val="20"/>
                <w:szCs w:val="20"/>
              </w:rPr>
            </w:pPr>
            <w:r w:rsidRPr="00CE2C77">
              <w:rPr>
                <w:rFonts w:ascii="Arial Narrow" w:hAnsi="Arial Narrow" w:cs="Arial"/>
                <w:snapToGrid w:val="0"/>
                <w:sz w:val="20"/>
                <w:szCs w:val="20"/>
              </w:rPr>
              <w:t>13vPCV doses</w:t>
            </w:r>
          </w:p>
        </w:tc>
        <w:tc>
          <w:tcPr>
            <w:tcW w:w="679" w:type="pct"/>
            <w:shd w:val="clear" w:color="auto" w:fill="auto"/>
            <w:vAlign w:val="center"/>
          </w:tcPr>
          <w:p w:rsidR="00CE2C77" w:rsidRPr="008D2701" w:rsidRDefault="008D2701" w:rsidP="00AD362F">
            <w:pPr>
              <w:keepNext/>
              <w:snapToGrid w:val="0"/>
              <w:jc w:val="center"/>
              <w:rPr>
                <w:rFonts w:ascii="Arial Narrow" w:hAnsi="Arial Narrow" w:cs="Arial"/>
                <w:snapToGrid w:val="0"/>
                <w:sz w:val="20"/>
                <w:szCs w:val="20"/>
                <w:highlight w:val="black"/>
              </w:rPr>
            </w:pPr>
            <w:r>
              <w:rPr>
                <w:rFonts w:ascii="Arial Narrow" w:hAnsi="Arial Narrow" w:cs="Arial"/>
                <w:noProof/>
                <w:snapToGrid w:val="0"/>
                <w:color w:val="000000"/>
                <w:sz w:val="20"/>
                <w:szCs w:val="20"/>
                <w:highlight w:val="black"/>
              </w:rPr>
              <w:t>''''''''''''''''</w:t>
            </w:r>
          </w:p>
        </w:tc>
        <w:tc>
          <w:tcPr>
            <w:tcW w:w="679" w:type="pct"/>
            <w:shd w:val="clear" w:color="auto" w:fill="auto"/>
            <w:vAlign w:val="center"/>
          </w:tcPr>
          <w:p w:rsidR="00CE2C77" w:rsidRPr="008D2701" w:rsidRDefault="008D2701" w:rsidP="00AD362F">
            <w:pPr>
              <w:keepNext/>
              <w:snapToGrid w:val="0"/>
              <w:jc w:val="center"/>
              <w:rPr>
                <w:rFonts w:ascii="Arial Narrow" w:hAnsi="Arial Narrow" w:cs="Arial"/>
                <w:snapToGrid w:val="0"/>
                <w:sz w:val="20"/>
                <w:szCs w:val="20"/>
                <w:highlight w:val="black"/>
              </w:rPr>
            </w:pPr>
            <w:r>
              <w:rPr>
                <w:rFonts w:ascii="Arial Narrow" w:hAnsi="Arial Narrow" w:cs="Arial"/>
                <w:noProof/>
                <w:snapToGrid w:val="0"/>
                <w:color w:val="000000"/>
                <w:sz w:val="20"/>
                <w:szCs w:val="20"/>
                <w:highlight w:val="black"/>
              </w:rPr>
              <w:t>''''''''''''''''''</w:t>
            </w:r>
          </w:p>
        </w:tc>
        <w:tc>
          <w:tcPr>
            <w:tcW w:w="764" w:type="pct"/>
            <w:shd w:val="clear" w:color="auto" w:fill="auto"/>
            <w:vAlign w:val="center"/>
          </w:tcPr>
          <w:p w:rsidR="00CE2C77" w:rsidRPr="008D2701" w:rsidRDefault="008D2701" w:rsidP="00AD362F">
            <w:pPr>
              <w:keepNext/>
              <w:snapToGrid w:val="0"/>
              <w:jc w:val="center"/>
              <w:rPr>
                <w:rFonts w:ascii="Arial Narrow" w:hAnsi="Arial Narrow" w:cs="Arial"/>
                <w:snapToGrid w:val="0"/>
                <w:sz w:val="20"/>
                <w:szCs w:val="20"/>
                <w:highlight w:val="black"/>
              </w:rPr>
            </w:pPr>
            <w:r>
              <w:rPr>
                <w:rFonts w:ascii="Arial Narrow" w:hAnsi="Arial Narrow" w:cs="Arial"/>
                <w:noProof/>
                <w:snapToGrid w:val="0"/>
                <w:color w:val="000000"/>
                <w:sz w:val="20"/>
                <w:szCs w:val="20"/>
                <w:highlight w:val="black"/>
              </w:rPr>
              <w:t>''''''''''''''''''''</w:t>
            </w:r>
          </w:p>
        </w:tc>
        <w:tc>
          <w:tcPr>
            <w:tcW w:w="764" w:type="pct"/>
            <w:shd w:val="clear" w:color="auto" w:fill="auto"/>
            <w:vAlign w:val="center"/>
          </w:tcPr>
          <w:p w:rsidR="00CE2C77" w:rsidRPr="008D2701" w:rsidRDefault="008D2701" w:rsidP="00AD362F">
            <w:pPr>
              <w:keepNext/>
              <w:snapToGrid w:val="0"/>
              <w:jc w:val="center"/>
              <w:rPr>
                <w:rFonts w:ascii="Arial Narrow" w:hAnsi="Arial Narrow" w:cs="Arial"/>
                <w:snapToGrid w:val="0"/>
                <w:sz w:val="20"/>
                <w:szCs w:val="20"/>
                <w:highlight w:val="black"/>
              </w:rPr>
            </w:pPr>
            <w:r>
              <w:rPr>
                <w:rFonts w:ascii="Arial Narrow" w:hAnsi="Arial Narrow" w:cs="Arial"/>
                <w:noProof/>
                <w:snapToGrid w:val="0"/>
                <w:color w:val="000000"/>
                <w:sz w:val="20"/>
                <w:szCs w:val="20"/>
                <w:highlight w:val="black"/>
              </w:rPr>
              <w:t>'''''''''''''''''</w:t>
            </w:r>
          </w:p>
        </w:tc>
        <w:tc>
          <w:tcPr>
            <w:tcW w:w="755" w:type="pct"/>
            <w:shd w:val="clear" w:color="auto" w:fill="auto"/>
            <w:vAlign w:val="center"/>
          </w:tcPr>
          <w:p w:rsidR="00CE2C77" w:rsidRPr="008D2701" w:rsidRDefault="008D2701" w:rsidP="00AD362F">
            <w:pPr>
              <w:keepNext/>
              <w:snapToGrid w:val="0"/>
              <w:jc w:val="center"/>
              <w:rPr>
                <w:rFonts w:ascii="Arial Narrow" w:hAnsi="Arial Narrow" w:cs="Arial"/>
                <w:snapToGrid w:val="0"/>
                <w:sz w:val="20"/>
                <w:szCs w:val="20"/>
                <w:highlight w:val="black"/>
              </w:rPr>
            </w:pPr>
            <w:r>
              <w:rPr>
                <w:rFonts w:ascii="Arial Narrow" w:hAnsi="Arial Narrow" w:cs="Arial"/>
                <w:noProof/>
                <w:snapToGrid w:val="0"/>
                <w:color w:val="000000"/>
                <w:sz w:val="20"/>
                <w:szCs w:val="20"/>
                <w:highlight w:val="black"/>
              </w:rPr>
              <w:t>'''''''''''''''''''</w:t>
            </w:r>
          </w:p>
        </w:tc>
      </w:tr>
      <w:tr w:rsidR="00CE2C77" w:rsidRPr="00CE2C77" w:rsidTr="00CE2C77">
        <w:tc>
          <w:tcPr>
            <w:tcW w:w="5000" w:type="pct"/>
            <w:gridSpan w:val="6"/>
            <w:shd w:val="clear" w:color="auto" w:fill="auto"/>
            <w:vAlign w:val="center"/>
          </w:tcPr>
          <w:p w:rsidR="00CE2C77" w:rsidRPr="00E05649" w:rsidRDefault="00CE2C77" w:rsidP="00AD362F">
            <w:pPr>
              <w:keepNext/>
              <w:rPr>
                <w:rFonts w:ascii="Arial Narrow" w:hAnsi="Arial Narrow" w:cs="Arial"/>
                <w:b/>
                <w:bCs/>
                <w:snapToGrid w:val="0"/>
                <w:color w:val="000000"/>
                <w:sz w:val="20"/>
                <w:szCs w:val="20"/>
              </w:rPr>
            </w:pPr>
            <w:r w:rsidRPr="00E05649">
              <w:rPr>
                <w:rFonts w:ascii="Arial Narrow" w:hAnsi="Arial Narrow" w:cs="Arial"/>
                <w:b/>
                <w:bCs/>
                <w:snapToGrid w:val="0"/>
                <w:color w:val="000000"/>
                <w:sz w:val="20"/>
                <w:szCs w:val="20"/>
              </w:rPr>
              <w:t>Estimated net cost to NIP</w:t>
            </w:r>
            <w:r w:rsidRPr="00E05649">
              <w:rPr>
                <w:rFonts w:ascii="Arial Narrow" w:hAnsi="Arial Narrow" w:cs="Arial"/>
                <w:b/>
                <w:bCs/>
                <w:snapToGrid w:val="0"/>
                <w:color w:val="000000"/>
                <w:sz w:val="20"/>
                <w:szCs w:val="20"/>
                <w:vertAlign w:val="superscript"/>
              </w:rPr>
              <w:t>b</w:t>
            </w:r>
          </w:p>
        </w:tc>
      </w:tr>
      <w:tr w:rsidR="00CE2C77" w:rsidRPr="00CE2C77" w:rsidTr="00CE2C77">
        <w:tc>
          <w:tcPr>
            <w:tcW w:w="1359" w:type="pct"/>
            <w:shd w:val="clear" w:color="auto" w:fill="auto"/>
            <w:vAlign w:val="center"/>
          </w:tcPr>
          <w:p w:rsidR="00CE2C77" w:rsidRPr="00CE2C77" w:rsidRDefault="00CE2C77" w:rsidP="00AD362F">
            <w:pPr>
              <w:keepNext/>
              <w:tabs>
                <w:tab w:val="left" w:pos="142"/>
              </w:tabs>
              <w:rPr>
                <w:rFonts w:ascii="Arial Narrow" w:hAnsi="Arial Narrow" w:cs="Arial"/>
                <w:snapToGrid w:val="0"/>
                <w:sz w:val="20"/>
                <w:szCs w:val="20"/>
              </w:rPr>
            </w:pPr>
            <w:r w:rsidRPr="00CE2C77">
              <w:rPr>
                <w:rFonts w:ascii="Arial Narrow" w:hAnsi="Arial Narrow" w:cs="Arial"/>
                <w:snapToGrid w:val="0"/>
                <w:sz w:val="19"/>
                <w:szCs w:val="19"/>
              </w:rPr>
              <w:t>Cost to NIP for 13vPCV</w:t>
            </w:r>
            <w:r w:rsidRPr="00CE2C77">
              <w:rPr>
                <w:rFonts w:ascii="Arial Narrow" w:hAnsi="Arial Narrow" w:cs="Arial"/>
                <w:snapToGrid w:val="0"/>
                <w:sz w:val="19"/>
                <w:szCs w:val="19"/>
                <w:vertAlign w:val="superscript"/>
              </w:rPr>
              <w:t>c</w:t>
            </w:r>
          </w:p>
        </w:tc>
        <w:tc>
          <w:tcPr>
            <w:tcW w:w="679" w:type="pct"/>
            <w:shd w:val="clear" w:color="auto" w:fill="auto"/>
            <w:vAlign w:val="center"/>
          </w:tcPr>
          <w:p w:rsidR="00CE2C77" w:rsidRPr="00E05649" w:rsidRDefault="00CE2C77" w:rsidP="00AD362F">
            <w:pPr>
              <w:keepNext/>
              <w:snapToGrid w:val="0"/>
              <w:jc w:val="center"/>
              <w:rPr>
                <w:rFonts w:ascii="Arial Narrow" w:hAnsi="Arial Narrow" w:cs="Arial"/>
                <w:snapToGrid w:val="0"/>
                <w:sz w:val="20"/>
                <w:szCs w:val="20"/>
              </w:rPr>
            </w:pPr>
            <w:r w:rsidRPr="00E05649">
              <w:rPr>
                <w:rFonts w:ascii="Arial Narrow" w:hAnsi="Arial Narrow" w:cs="Arial"/>
                <w:snapToGrid w:val="0"/>
                <w:sz w:val="20"/>
                <w:szCs w:val="20"/>
              </w:rPr>
              <w:t>$</w:t>
            </w:r>
            <w:r w:rsidR="008D2701">
              <w:rPr>
                <w:rFonts w:ascii="Arial Narrow" w:hAnsi="Arial Narrow" w:cs="Arial"/>
                <w:noProof/>
                <w:snapToGrid w:val="0"/>
                <w:color w:val="000000"/>
                <w:sz w:val="20"/>
                <w:szCs w:val="20"/>
                <w:highlight w:val="black"/>
              </w:rPr>
              <w:t>''''''''''''''''''''''''''</w:t>
            </w:r>
          </w:p>
        </w:tc>
        <w:tc>
          <w:tcPr>
            <w:tcW w:w="679" w:type="pct"/>
            <w:shd w:val="clear" w:color="auto" w:fill="auto"/>
            <w:vAlign w:val="center"/>
          </w:tcPr>
          <w:p w:rsidR="00CE2C77" w:rsidRPr="00E05649" w:rsidRDefault="00CE2C77" w:rsidP="00AD362F">
            <w:pPr>
              <w:keepNext/>
              <w:snapToGrid w:val="0"/>
              <w:jc w:val="center"/>
              <w:rPr>
                <w:rFonts w:ascii="Arial Narrow" w:hAnsi="Arial Narrow" w:cs="Arial"/>
                <w:snapToGrid w:val="0"/>
                <w:sz w:val="20"/>
                <w:szCs w:val="20"/>
              </w:rPr>
            </w:pPr>
            <w:r w:rsidRPr="00E05649">
              <w:rPr>
                <w:rFonts w:ascii="Arial Narrow" w:hAnsi="Arial Narrow" w:cs="Arial"/>
                <w:snapToGrid w:val="0"/>
                <w:sz w:val="20"/>
                <w:szCs w:val="20"/>
              </w:rPr>
              <w:t>$</w:t>
            </w:r>
            <w:r w:rsidR="008D2701">
              <w:rPr>
                <w:rFonts w:ascii="Arial Narrow" w:hAnsi="Arial Narrow" w:cs="Arial"/>
                <w:noProof/>
                <w:snapToGrid w:val="0"/>
                <w:color w:val="000000"/>
                <w:sz w:val="20"/>
                <w:szCs w:val="20"/>
                <w:highlight w:val="black"/>
              </w:rPr>
              <w:t>'''''''''''''''''''''''</w:t>
            </w:r>
          </w:p>
        </w:tc>
        <w:tc>
          <w:tcPr>
            <w:tcW w:w="764" w:type="pct"/>
            <w:shd w:val="clear" w:color="auto" w:fill="auto"/>
            <w:vAlign w:val="center"/>
          </w:tcPr>
          <w:p w:rsidR="00CE2C77" w:rsidRPr="00E05649" w:rsidRDefault="00CE2C77" w:rsidP="00AD362F">
            <w:pPr>
              <w:keepNext/>
              <w:snapToGrid w:val="0"/>
              <w:jc w:val="center"/>
              <w:rPr>
                <w:rFonts w:ascii="Arial Narrow" w:hAnsi="Arial Narrow" w:cs="Arial"/>
                <w:snapToGrid w:val="0"/>
                <w:sz w:val="20"/>
                <w:szCs w:val="20"/>
              </w:rPr>
            </w:pPr>
            <w:r w:rsidRPr="00E05649">
              <w:rPr>
                <w:rFonts w:ascii="Arial Narrow" w:hAnsi="Arial Narrow" w:cs="Arial"/>
                <w:snapToGrid w:val="0"/>
                <w:sz w:val="20"/>
                <w:szCs w:val="20"/>
              </w:rPr>
              <w:t>$</w:t>
            </w:r>
            <w:r w:rsidR="008D2701">
              <w:rPr>
                <w:rFonts w:ascii="Arial Narrow" w:hAnsi="Arial Narrow" w:cs="Arial"/>
                <w:noProof/>
                <w:snapToGrid w:val="0"/>
                <w:color w:val="000000"/>
                <w:sz w:val="20"/>
                <w:szCs w:val="20"/>
                <w:highlight w:val="black"/>
              </w:rPr>
              <w:t>'''''''''''''''''''''''''</w:t>
            </w:r>
          </w:p>
        </w:tc>
        <w:tc>
          <w:tcPr>
            <w:tcW w:w="764" w:type="pct"/>
            <w:shd w:val="clear" w:color="auto" w:fill="auto"/>
            <w:vAlign w:val="center"/>
          </w:tcPr>
          <w:p w:rsidR="00CE2C77" w:rsidRPr="00E05649" w:rsidRDefault="00CE2C77" w:rsidP="00AD362F">
            <w:pPr>
              <w:keepNext/>
              <w:snapToGrid w:val="0"/>
              <w:jc w:val="center"/>
              <w:rPr>
                <w:rFonts w:ascii="Arial Narrow" w:hAnsi="Arial Narrow" w:cs="Arial"/>
                <w:snapToGrid w:val="0"/>
                <w:sz w:val="20"/>
                <w:szCs w:val="20"/>
              </w:rPr>
            </w:pPr>
            <w:r w:rsidRPr="00E05649">
              <w:rPr>
                <w:rFonts w:ascii="Arial Narrow" w:hAnsi="Arial Narrow" w:cs="Arial"/>
                <w:snapToGrid w:val="0"/>
                <w:sz w:val="20"/>
                <w:szCs w:val="20"/>
              </w:rPr>
              <w:t>$</w:t>
            </w:r>
            <w:r w:rsidR="008D2701">
              <w:rPr>
                <w:rFonts w:ascii="Arial Narrow" w:hAnsi="Arial Narrow" w:cs="Arial"/>
                <w:noProof/>
                <w:snapToGrid w:val="0"/>
                <w:color w:val="000000"/>
                <w:sz w:val="20"/>
                <w:szCs w:val="20"/>
                <w:highlight w:val="black"/>
              </w:rPr>
              <w:t>'''''''''''''''''''''''''''</w:t>
            </w:r>
          </w:p>
        </w:tc>
        <w:tc>
          <w:tcPr>
            <w:tcW w:w="755" w:type="pct"/>
            <w:shd w:val="clear" w:color="auto" w:fill="auto"/>
            <w:vAlign w:val="center"/>
          </w:tcPr>
          <w:p w:rsidR="00CE2C77" w:rsidRPr="00E05649" w:rsidRDefault="00CE2C77" w:rsidP="00AD362F">
            <w:pPr>
              <w:keepNext/>
              <w:snapToGrid w:val="0"/>
              <w:jc w:val="center"/>
              <w:rPr>
                <w:rFonts w:ascii="Arial Narrow" w:hAnsi="Arial Narrow" w:cs="Arial"/>
                <w:snapToGrid w:val="0"/>
                <w:sz w:val="20"/>
                <w:szCs w:val="20"/>
              </w:rPr>
            </w:pPr>
            <w:r w:rsidRPr="00E05649">
              <w:rPr>
                <w:rFonts w:ascii="Arial Narrow" w:hAnsi="Arial Narrow" w:cs="Arial"/>
                <w:snapToGrid w:val="0"/>
                <w:sz w:val="20"/>
                <w:szCs w:val="20"/>
              </w:rPr>
              <w:t>$</w:t>
            </w:r>
            <w:r w:rsidR="008D2701">
              <w:rPr>
                <w:rFonts w:ascii="Arial Narrow" w:hAnsi="Arial Narrow" w:cs="Arial"/>
                <w:noProof/>
                <w:snapToGrid w:val="0"/>
                <w:color w:val="000000"/>
                <w:sz w:val="20"/>
                <w:szCs w:val="20"/>
                <w:highlight w:val="black"/>
              </w:rPr>
              <w:t>''''''''''''''''''''''''''</w:t>
            </w:r>
          </w:p>
        </w:tc>
      </w:tr>
      <w:tr w:rsidR="00CE2C77" w:rsidRPr="00CE2C77" w:rsidTr="00CE2C77">
        <w:tc>
          <w:tcPr>
            <w:tcW w:w="1359" w:type="pct"/>
            <w:shd w:val="clear" w:color="auto" w:fill="auto"/>
            <w:vAlign w:val="center"/>
          </w:tcPr>
          <w:p w:rsidR="00CE2C77" w:rsidRPr="00CE2C77" w:rsidRDefault="00CE2C77" w:rsidP="00AD362F">
            <w:pPr>
              <w:keepNext/>
              <w:tabs>
                <w:tab w:val="left" w:pos="142"/>
              </w:tabs>
              <w:rPr>
                <w:rFonts w:ascii="Arial Narrow" w:hAnsi="Arial Narrow" w:cs="Arial"/>
                <w:snapToGrid w:val="0"/>
                <w:sz w:val="19"/>
                <w:szCs w:val="19"/>
              </w:rPr>
            </w:pPr>
            <w:r w:rsidRPr="00CE2C77">
              <w:rPr>
                <w:rFonts w:ascii="Arial Narrow" w:hAnsi="Arial Narrow" w:cs="Arial"/>
                <w:snapToGrid w:val="0"/>
                <w:sz w:val="19"/>
                <w:szCs w:val="19"/>
              </w:rPr>
              <w:t>Cost of substituted 23vPPV</w:t>
            </w:r>
            <w:r w:rsidRPr="00CE2C77">
              <w:rPr>
                <w:rFonts w:ascii="Arial Narrow" w:hAnsi="Arial Narrow" w:cs="Arial"/>
                <w:snapToGrid w:val="0"/>
                <w:sz w:val="19"/>
                <w:szCs w:val="19"/>
                <w:vertAlign w:val="superscript"/>
              </w:rPr>
              <w:t>d</w:t>
            </w:r>
          </w:p>
        </w:tc>
        <w:tc>
          <w:tcPr>
            <w:tcW w:w="679" w:type="pct"/>
            <w:shd w:val="clear" w:color="auto" w:fill="auto"/>
            <w:vAlign w:val="center"/>
          </w:tcPr>
          <w:p w:rsidR="00CE2C77" w:rsidRPr="00E05649" w:rsidRDefault="00CE2C77" w:rsidP="00AD362F">
            <w:pPr>
              <w:keepNext/>
              <w:jc w:val="center"/>
              <w:rPr>
                <w:rFonts w:ascii="Arial Narrow" w:hAnsi="Arial Narrow" w:cs="Arial"/>
                <w:i/>
                <w:snapToGrid w:val="0"/>
                <w:sz w:val="20"/>
                <w:szCs w:val="20"/>
              </w:rPr>
            </w:pPr>
            <w:r w:rsidRPr="00E05649">
              <w:rPr>
                <w:rFonts w:ascii="Arial Narrow" w:hAnsi="Arial Narrow" w:cs="Arial"/>
                <w:i/>
                <w:snapToGrid w:val="0"/>
                <w:sz w:val="20"/>
                <w:szCs w:val="20"/>
              </w:rPr>
              <w:t>$2,251,455</w:t>
            </w:r>
          </w:p>
        </w:tc>
        <w:tc>
          <w:tcPr>
            <w:tcW w:w="679" w:type="pct"/>
            <w:shd w:val="clear" w:color="auto" w:fill="auto"/>
            <w:vAlign w:val="center"/>
          </w:tcPr>
          <w:p w:rsidR="00CE2C77" w:rsidRPr="00E05649" w:rsidRDefault="00CE2C77" w:rsidP="00AD362F">
            <w:pPr>
              <w:keepNext/>
              <w:jc w:val="center"/>
              <w:rPr>
                <w:rFonts w:ascii="Arial Narrow" w:hAnsi="Arial Narrow" w:cs="Arial"/>
                <w:i/>
                <w:snapToGrid w:val="0"/>
                <w:sz w:val="20"/>
                <w:szCs w:val="20"/>
              </w:rPr>
            </w:pPr>
            <w:r w:rsidRPr="00E05649">
              <w:rPr>
                <w:rFonts w:ascii="Arial Narrow" w:hAnsi="Arial Narrow" w:cs="Arial"/>
                <w:i/>
                <w:snapToGrid w:val="0"/>
                <w:sz w:val="20"/>
                <w:szCs w:val="20"/>
              </w:rPr>
              <w:t>$2,593,244</w:t>
            </w:r>
          </w:p>
        </w:tc>
        <w:tc>
          <w:tcPr>
            <w:tcW w:w="764" w:type="pct"/>
            <w:shd w:val="clear" w:color="auto" w:fill="auto"/>
            <w:vAlign w:val="center"/>
          </w:tcPr>
          <w:p w:rsidR="00CE2C77" w:rsidRPr="00E05649" w:rsidRDefault="00CE2C77" w:rsidP="00AD362F">
            <w:pPr>
              <w:keepNext/>
              <w:jc w:val="center"/>
              <w:rPr>
                <w:rFonts w:ascii="Arial Narrow" w:hAnsi="Arial Narrow" w:cs="Arial"/>
                <w:i/>
                <w:snapToGrid w:val="0"/>
                <w:sz w:val="20"/>
                <w:szCs w:val="20"/>
              </w:rPr>
            </w:pPr>
            <w:r w:rsidRPr="00E05649">
              <w:rPr>
                <w:rFonts w:ascii="Arial Narrow" w:hAnsi="Arial Narrow" w:cs="Arial"/>
                <w:i/>
                <w:snapToGrid w:val="0"/>
                <w:sz w:val="20"/>
                <w:szCs w:val="20"/>
              </w:rPr>
              <w:t>$3,007,605</w:t>
            </w:r>
          </w:p>
        </w:tc>
        <w:tc>
          <w:tcPr>
            <w:tcW w:w="764" w:type="pct"/>
            <w:shd w:val="clear" w:color="auto" w:fill="auto"/>
            <w:vAlign w:val="center"/>
          </w:tcPr>
          <w:p w:rsidR="00CE2C77" w:rsidRPr="00E05649" w:rsidRDefault="00CE2C77" w:rsidP="00AD362F">
            <w:pPr>
              <w:keepNext/>
              <w:jc w:val="center"/>
              <w:rPr>
                <w:rFonts w:ascii="Arial Narrow" w:hAnsi="Arial Narrow" w:cs="Arial"/>
                <w:i/>
                <w:snapToGrid w:val="0"/>
                <w:sz w:val="20"/>
                <w:szCs w:val="20"/>
              </w:rPr>
            </w:pPr>
            <w:r w:rsidRPr="00E05649">
              <w:rPr>
                <w:rFonts w:ascii="Arial Narrow" w:hAnsi="Arial Narrow" w:cs="Arial"/>
                <w:i/>
                <w:snapToGrid w:val="0"/>
                <w:sz w:val="20"/>
                <w:szCs w:val="20"/>
              </w:rPr>
              <w:t>$3,369,178</w:t>
            </w:r>
          </w:p>
        </w:tc>
        <w:tc>
          <w:tcPr>
            <w:tcW w:w="755" w:type="pct"/>
            <w:shd w:val="clear" w:color="auto" w:fill="auto"/>
            <w:vAlign w:val="center"/>
          </w:tcPr>
          <w:p w:rsidR="00CE2C77" w:rsidRPr="00E05649" w:rsidRDefault="00CE2C77" w:rsidP="00AD362F">
            <w:pPr>
              <w:keepNext/>
              <w:jc w:val="center"/>
              <w:rPr>
                <w:rFonts w:ascii="Arial Narrow" w:hAnsi="Arial Narrow" w:cs="Arial"/>
                <w:i/>
                <w:snapToGrid w:val="0"/>
                <w:sz w:val="20"/>
                <w:szCs w:val="20"/>
              </w:rPr>
            </w:pPr>
            <w:r w:rsidRPr="00E05649">
              <w:rPr>
                <w:rFonts w:ascii="Arial Narrow" w:hAnsi="Arial Narrow" w:cs="Arial"/>
                <w:i/>
                <w:snapToGrid w:val="0"/>
                <w:sz w:val="20"/>
                <w:szCs w:val="20"/>
              </w:rPr>
              <w:t>$3,812,228</w:t>
            </w:r>
          </w:p>
        </w:tc>
      </w:tr>
      <w:tr w:rsidR="00CE2C77" w:rsidRPr="00CE2C77" w:rsidTr="00CE2C77">
        <w:tc>
          <w:tcPr>
            <w:tcW w:w="1359" w:type="pct"/>
            <w:shd w:val="clear" w:color="auto" w:fill="auto"/>
            <w:vAlign w:val="center"/>
          </w:tcPr>
          <w:p w:rsidR="00CE2C77" w:rsidRPr="00CE2C77" w:rsidRDefault="00CE2C77" w:rsidP="00AD362F">
            <w:pPr>
              <w:keepNext/>
              <w:tabs>
                <w:tab w:val="left" w:pos="142"/>
              </w:tabs>
              <w:rPr>
                <w:rFonts w:ascii="Arial Narrow" w:hAnsi="Arial Narrow" w:cs="Arial"/>
                <w:snapToGrid w:val="0"/>
                <w:sz w:val="19"/>
                <w:szCs w:val="19"/>
              </w:rPr>
            </w:pPr>
            <w:r w:rsidRPr="00CE2C77">
              <w:rPr>
                <w:rFonts w:ascii="Arial Narrow" w:hAnsi="Arial Narrow" w:cs="Arial"/>
                <w:snapToGrid w:val="0"/>
                <w:sz w:val="19"/>
                <w:szCs w:val="19"/>
              </w:rPr>
              <w:t>Net cost to NIP</w:t>
            </w:r>
            <w:r w:rsidRPr="00CE2C77">
              <w:rPr>
                <w:rFonts w:ascii="Arial Narrow" w:hAnsi="Arial Narrow" w:cs="Arial"/>
                <w:snapToGrid w:val="0"/>
                <w:sz w:val="19"/>
                <w:szCs w:val="19"/>
                <w:vertAlign w:val="superscript"/>
              </w:rPr>
              <w:t>d</w:t>
            </w:r>
          </w:p>
        </w:tc>
        <w:tc>
          <w:tcPr>
            <w:tcW w:w="679" w:type="pct"/>
            <w:shd w:val="clear" w:color="auto" w:fill="auto"/>
            <w:vAlign w:val="center"/>
          </w:tcPr>
          <w:p w:rsidR="00CE2C77" w:rsidRPr="00E05649" w:rsidRDefault="00CE2C77" w:rsidP="00AD362F">
            <w:pPr>
              <w:keepNext/>
              <w:jc w:val="center"/>
              <w:rPr>
                <w:rFonts w:ascii="Arial Narrow" w:hAnsi="Arial Narrow" w:cs="Arial"/>
                <w:i/>
                <w:snapToGrid w:val="0"/>
                <w:sz w:val="20"/>
                <w:szCs w:val="20"/>
              </w:rPr>
            </w:pPr>
            <w:r w:rsidRPr="00E05649">
              <w:rPr>
                <w:rFonts w:ascii="Arial Narrow" w:hAnsi="Arial Narrow" w:cs="Arial"/>
                <w:i/>
                <w:snapToGrid w:val="0"/>
                <w:sz w:val="20"/>
                <w:szCs w:val="20"/>
              </w:rPr>
              <w:t>$</w:t>
            </w:r>
            <w:r w:rsidR="008D2701">
              <w:rPr>
                <w:rFonts w:ascii="Arial Narrow" w:hAnsi="Arial Narrow" w:cs="Arial"/>
                <w:i/>
                <w:noProof/>
                <w:snapToGrid w:val="0"/>
                <w:color w:val="000000"/>
                <w:sz w:val="20"/>
                <w:szCs w:val="20"/>
                <w:highlight w:val="black"/>
              </w:rPr>
              <w:t>'''''''''''''''''''''''''</w:t>
            </w:r>
          </w:p>
        </w:tc>
        <w:tc>
          <w:tcPr>
            <w:tcW w:w="679" w:type="pct"/>
            <w:shd w:val="clear" w:color="auto" w:fill="auto"/>
            <w:vAlign w:val="center"/>
          </w:tcPr>
          <w:p w:rsidR="00CE2C77" w:rsidRPr="00E05649" w:rsidRDefault="00CE2C77" w:rsidP="00AD362F">
            <w:pPr>
              <w:keepNext/>
              <w:jc w:val="center"/>
              <w:rPr>
                <w:rFonts w:ascii="Arial Narrow" w:hAnsi="Arial Narrow" w:cs="Arial"/>
                <w:i/>
                <w:snapToGrid w:val="0"/>
                <w:sz w:val="20"/>
                <w:szCs w:val="20"/>
              </w:rPr>
            </w:pPr>
            <w:r w:rsidRPr="00E05649">
              <w:rPr>
                <w:rFonts w:ascii="Arial Narrow" w:hAnsi="Arial Narrow" w:cs="Arial"/>
                <w:i/>
                <w:snapToGrid w:val="0"/>
                <w:sz w:val="20"/>
                <w:szCs w:val="20"/>
              </w:rPr>
              <w:t>$</w:t>
            </w:r>
            <w:r w:rsidR="008D2701">
              <w:rPr>
                <w:rFonts w:ascii="Arial Narrow" w:hAnsi="Arial Narrow" w:cs="Arial"/>
                <w:i/>
                <w:noProof/>
                <w:snapToGrid w:val="0"/>
                <w:color w:val="000000"/>
                <w:sz w:val="20"/>
                <w:szCs w:val="20"/>
                <w:highlight w:val="black"/>
              </w:rPr>
              <w:t>'''''''''''''''''''''''</w:t>
            </w:r>
          </w:p>
        </w:tc>
        <w:tc>
          <w:tcPr>
            <w:tcW w:w="764" w:type="pct"/>
            <w:shd w:val="clear" w:color="auto" w:fill="auto"/>
            <w:vAlign w:val="center"/>
          </w:tcPr>
          <w:p w:rsidR="00CE2C77" w:rsidRPr="00E05649" w:rsidRDefault="00CE2C77" w:rsidP="00AD362F">
            <w:pPr>
              <w:keepNext/>
              <w:jc w:val="center"/>
              <w:rPr>
                <w:rFonts w:ascii="Arial Narrow" w:hAnsi="Arial Narrow" w:cs="Arial"/>
                <w:i/>
                <w:snapToGrid w:val="0"/>
                <w:sz w:val="20"/>
                <w:szCs w:val="20"/>
              </w:rPr>
            </w:pPr>
            <w:r w:rsidRPr="00E05649">
              <w:rPr>
                <w:rFonts w:ascii="Arial Narrow" w:hAnsi="Arial Narrow" w:cs="Arial"/>
                <w:i/>
                <w:snapToGrid w:val="0"/>
                <w:sz w:val="20"/>
                <w:szCs w:val="20"/>
              </w:rPr>
              <w:t>$</w:t>
            </w:r>
            <w:r w:rsidR="008D2701">
              <w:rPr>
                <w:rFonts w:ascii="Arial Narrow" w:hAnsi="Arial Narrow" w:cs="Arial"/>
                <w:i/>
                <w:noProof/>
                <w:snapToGrid w:val="0"/>
                <w:color w:val="000000"/>
                <w:sz w:val="20"/>
                <w:szCs w:val="20"/>
                <w:highlight w:val="black"/>
              </w:rPr>
              <w:t>''''''''''''''''''''''</w:t>
            </w:r>
          </w:p>
        </w:tc>
        <w:tc>
          <w:tcPr>
            <w:tcW w:w="764" w:type="pct"/>
            <w:shd w:val="clear" w:color="auto" w:fill="auto"/>
            <w:vAlign w:val="center"/>
          </w:tcPr>
          <w:p w:rsidR="00CE2C77" w:rsidRPr="00E05649" w:rsidRDefault="00CE2C77" w:rsidP="00AD362F">
            <w:pPr>
              <w:keepNext/>
              <w:jc w:val="center"/>
              <w:rPr>
                <w:rFonts w:ascii="Arial Narrow" w:hAnsi="Arial Narrow" w:cs="Arial"/>
                <w:i/>
                <w:snapToGrid w:val="0"/>
                <w:sz w:val="20"/>
                <w:szCs w:val="20"/>
              </w:rPr>
            </w:pPr>
            <w:r w:rsidRPr="00E05649">
              <w:rPr>
                <w:rFonts w:ascii="Arial Narrow" w:hAnsi="Arial Narrow" w:cs="Arial"/>
                <w:i/>
                <w:snapToGrid w:val="0"/>
                <w:sz w:val="20"/>
                <w:szCs w:val="20"/>
              </w:rPr>
              <w:t>$</w:t>
            </w:r>
            <w:r w:rsidR="008D2701">
              <w:rPr>
                <w:rFonts w:ascii="Arial Narrow" w:hAnsi="Arial Narrow" w:cs="Arial"/>
                <w:i/>
                <w:noProof/>
                <w:snapToGrid w:val="0"/>
                <w:color w:val="000000"/>
                <w:sz w:val="20"/>
                <w:szCs w:val="20"/>
                <w:highlight w:val="black"/>
              </w:rPr>
              <w:t>''''''''''''''''''''''''</w:t>
            </w:r>
          </w:p>
        </w:tc>
        <w:tc>
          <w:tcPr>
            <w:tcW w:w="755" w:type="pct"/>
            <w:shd w:val="clear" w:color="auto" w:fill="auto"/>
            <w:vAlign w:val="center"/>
          </w:tcPr>
          <w:p w:rsidR="00CE2C77" w:rsidRPr="00E05649" w:rsidRDefault="00CE2C77" w:rsidP="00AD362F">
            <w:pPr>
              <w:keepNext/>
              <w:jc w:val="center"/>
              <w:rPr>
                <w:rFonts w:ascii="Arial Narrow" w:hAnsi="Arial Narrow" w:cs="Arial"/>
                <w:i/>
                <w:snapToGrid w:val="0"/>
                <w:sz w:val="20"/>
                <w:szCs w:val="20"/>
              </w:rPr>
            </w:pPr>
            <w:r w:rsidRPr="00E05649">
              <w:rPr>
                <w:rFonts w:ascii="Arial Narrow" w:hAnsi="Arial Narrow" w:cs="Arial"/>
                <w:i/>
                <w:snapToGrid w:val="0"/>
                <w:sz w:val="20"/>
                <w:szCs w:val="20"/>
              </w:rPr>
              <w:t>$</w:t>
            </w:r>
            <w:r w:rsidR="008D2701">
              <w:rPr>
                <w:rFonts w:ascii="Arial Narrow" w:hAnsi="Arial Narrow" w:cs="Arial"/>
                <w:i/>
                <w:noProof/>
                <w:snapToGrid w:val="0"/>
                <w:color w:val="000000"/>
                <w:sz w:val="20"/>
                <w:szCs w:val="20"/>
                <w:highlight w:val="black"/>
              </w:rPr>
              <w:t>'''''''''''''''''''''''</w:t>
            </w:r>
          </w:p>
        </w:tc>
      </w:tr>
    </w:tbl>
    <w:p w:rsidR="00CE2C77" w:rsidRPr="00CE2C77" w:rsidRDefault="00CE2C77" w:rsidP="00AD362F">
      <w:pPr>
        <w:keepNext/>
        <w:ind w:firstLine="720"/>
        <w:jc w:val="both"/>
        <w:rPr>
          <w:rFonts w:ascii="Arial Narrow" w:hAnsi="Arial Narrow" w:cs="Arial"/>
          <w:snapToGrid w:val="0"/>
          <w:sz w:val="16"/>
          <w:szCs w:val="18"/>
        </w:rPr>
      </w:pPr>
      <w:r w:rsidRPr="00CE2C77">
        <w:rPr>
          <w:rFonts w:ascii="Arial Narrow" w:hAnsi="Arial Narrow" w:cs="Arial"/>
          <w:snapToGrid w:val="0"/>
          <w:sz w:val="16"/>
          <w:szCs w:val="18"/>
        </w:rPr>
        <w:t>a Uptake of 35% assumed for years 1 to 5 for the Indigenous population</w:t>
      </w:r>
    </w:p>
    <w:p w:rsidR="00CE2C77" w:rsidRPr="00CE2C77" w:rsidRDefault="00CE2C77" w:rsidP="00AD362F">
      <w:pPr>
        <w:keepNext/>
        <w:ind w:firstLine="720"/>
        <w:jc w:val="both"/>
        <w:rPr>
          <w:rFonts w:ascii="Arial Narrow" w:hAnsi="Arial Narrow" w:cs="Arial"/>
          <w:snapToGrid w:val="0"/>
          <w:sz w:val="16"/>
          <w:szCs w:val="18"/>
        </w:rPr>
      </w:pPr>
      <w:r w:rsidRPr="00CE2C77">
        <w:rPr>
          <w:rFonts w:ascii="Arial Narrow" w:hAnsi="Arial Narrow" w:cs="Arial"/>
          <w:snapToGrid w:val="0"/>
          <w:sz w:val="16"/>
          <w:szCs w:val="18"/>
        </w:rPr>
        <w:t>b No additional administration cost, and hence no MBS cost, assumed for the primary program as 13vPCV is proposed to replace 23vPPV</w:t>
      </w:r>
    </w:p>
    <w:p w:rsidR="00CE2C77" w:rsidRPr="00CE2C77" w:rsidRDefault="00CE2C77" w:rsidP="00AD362F">
      <w:pPr>
        <w:keepNext/>
        <w:ind w:firstLine="720"/>
        <w:jc w:val="both"/>
        <w:rPr>
          <w:rFonts w:ascii="Arial Narrow" w:hAnsi="Arial Narrow" w:cs="Arial"/>
          <w:snapToGrid w:val="0"/>
          <w:sz w:val="16"/>
          <w:szCs w:val="18"/>
        </w:rPr>
      </w:pPr>
      <w:r w:rsidRPr="00CE2C77">
        <w:rPr>
          <w:rFonts w:ascii="Arial Narrow" w:hAnsi="Arial Narrow" w:cs="Arial"/>
          <w:snapToGrid w:val="0"/>
          <w:sz w:val="16"/>
          <w:szCs w:val="18"/>
        </w:rPr>
        <w:t>c includes 5% wastage</w:t>
      </w:r>
    </w:p>
    <w:p w:rsidR="00CE2C77" w:rsidRPr="00CE2C77" w:rsidRDefault="00CE2C77" w:rsidP="00AD362F">
      <w:pPr>
        <w:keepNext/>
        <w:ind w:firstLine="720"/>
        <w:jc w:val="both"/>
        <w:rPr>
          <w:rFonts w:ascii="Arial Narrow" w:hAnsi="Arial Narrow" w:cs="Arial"/>
          <w:snapToGrid w:val="0"/>
          <w:sz w:val="16"/>
          <w:szCs w:val="18"/>
        </w:rPr>
      </w:pPr>
      <w:r w:rsidRPr="00CE2C77">
        <w:rPr>
          <w:rFonts w:ascii="Arial Narrow" w:hAnsi="Arial Narrow" w:cs="Arial"/>
          <w:snapToGrid w:val="0"/>
          <w:sz w:val="16"/>
          <w:szCs w:val="18"/>
        </w:rPr>
        <w:t>d Revised during the evaluation assuming substitution of 75% of 13vPCV doses with 23vPPV</w:t>
      </w:r>
    </w:p>
    <w:p w:rsidR="00CE2C77" w:rsidRPr="00CE2C77" w:rsidRDefault="00CE2C77" w:rsidP="00AD362F">
      <w:pPr>
        <w:ind w:left="709" w:firstLine="11"/>
        <w:jc w:val="both"/>
        <w:rPr>
          <w:rFonts w:ascii="Arial Narrow" w:hAnsi="Arial Narrow" w:cs="Arial"/>
          <w:snapToGrid w:val="0"/>
          <w:sz w:val="16"/>
          <w:szCs w:val="18"/>
        </w:rPr>
      </w:pPr>
      <w:r w:rsidRPr="00B00D47">
        <w:rPr>
          <w:rFonts w:ascii="Arial Narrow" w:hAnsi="Arial Narrow" w:cs="Arial"/>
          <w:snapToGrid w:val="0"/>
          <w:sz w:val="16"/>
          <w:szCs w:val="18"/>
        </w:rPr>
        <w:t xml:space="preserve">Source: Table 2, pE.6; Table 3, pE.7; Table 8, p E.9 of the submission; Table E.3.4 of the Commentary; </w:t>
      </w:r>
      <w:r w:rsidRPr="00B00D47">
        <w:rPr>
          <w:rFonts w:ascii="Arial Narrow" w:hAnsi="Arial Narrow" w:cs="Arial"/>
          <w:i/>
          <w:snapToGrid w:val="0"/>
          <w:sz w:val="16"/>
          <w:szCs w:val="18"/>
        </w:rPr>
        <w:t>Values in italics revised during the evaluation</w:t>
      </w:r>
    </w:p>
    <w:p w:rsidR="00CE2C77" w:rsidRDefault="00CE2C77" w:rsidP="00AD362F">
      <w:pPr>
        <w:ind w:firstLine="720"/>
        <w:jc w:val="both"/>
        <w:rPr>
          <w:rFonts w:ascii="Arial Narrow" w:hAnsi="Arial Narrow" w:cs="Arial"/>
          <w:snapToGrid w:val="0"/>
          <w:sz w:val="18"/>
          <w:szCs w:val="18"/>
        </w:rPr>
      </w:pPr>
    </w:p>
    <w:p w:rsidR="000561A3" w:rsidRDefault="000561A3" w:rsidP="00AD362F">
      <w:pPr>
        <w:numPr>
          <w:ilvl w:val="1"/>
          <w:numId w:val="3"/>
        </w:numPr>
        <w:contextualSpacing/>
        <w:jc w:val="both"/>
        <w:rPr>
          <w:rFonts w:ascii="Arial" w:hAnsi="Arial" w:cs="Arial"/>
          <w:snapToGrid w:val="0"/>
          <w:sz w:val="22"/>
          <w:szCs w:val="20"/>
        </w:rPr>
      </w:pPr>
      <w:r>
        <w:rPr>
          <w:rFonts w:ascii="Arial" w:hAnsi="Arial" w:cs="Arial"/>
          <w:snapToGrid w:val="0"/>
          <w:sz w:val="22"/>
          <w:szCs w:val="20"/>
        </w:rPr>
        <w:t xml:space="preserve">The redacted table above shows that at Year 5, the estimated total doses from the primary program would be over 200,000 and the total net financial implication for the Australian Government health budget would be less than $10 million. </w:t>
      </w:r>
    </w:p>
    <w:p w:rsidR="000561A3" w:rsidRDefault="000561A3" w:rsidP="000561A3">
      <w:pPr>
        <w:ind w:left="720"/>
        <w:contextualSpacing/>
        <w:jc w:val="both"/>
        <w:rPr>
          <w:rFonts w:ascii="Arial" w:hAnsi="Arial" w:cs="Arial"/>
          <w:snapToGrid w:val="0"/>
          <w:sz w:val="22"/>
          <w:szCs w:val="20"/>
        </w:rPr>
      </w:pPr>
    </w:p>
    <w:p w:rsidR="00634CA1" w:rsidRPr="00517B6E" w:rsidRDefault="00634CA1" w:rsidP="00AD362F">
      <w:pPr>
        <w:numPr>
          <w:ilvl w:val="1"/>
          <w:numId w:val="3"/>
        </w:numPr>
        <w:contextualSpacing/>
        <w:jc w:val="both"/>
        <w:rPr>
          <w:rFonts w:ascii="Arial" w:hAnsi="Arial" w:cs="Arial"/>
          <w:snapToGrid w:val="0"/>
          <w:sz w:val="22"/>
          <w:szCs w:val="20"/>
        </w:rPr>
      </w:pPr>
      <w:r w:rsidRPr="00517B6E">
        <w:rPr>
          <w:rFonts w:ascii="Arial" w:hAnsi="Arial" w:cs="Arial"/>
          <w:snapToGrid w:val="0"/>
          <w:sz w:val="22"/>
          <w:szCs w:val="20"/>
        </w:rPr>
        <w:t xml:space="preserve">The estimated use and financial implications of the catch-up program </w:t>
      </w:r>
      <w:r w:rsidR="00786C38">
        <w:rPr>
          <w:rFonts w:ascii="Arial" w:hAnsi="Arial" w:cs="Arial"/>
          <w:snapToGrid w:val="0"/>
          <w:sz w:val="22"/>
          <w:szCs w:val="20"/>
        </w:rPr>
        <w:t>were</w:t>
      </w:r>
      <w:r w:rsidRPr="00517B6E">
        <w:rPr>
          <w:rFonts w:ascii="Arial" w:hAnsi="Arial" w:cs="Arial"/>
          <w:snapToGrid w:val="0"/>
          <w:sz w:val="22"/>
          <w:szCs w:val="20"/>
        </w:rPr>
        <w:t xml:space="preserve"> based on the originally proposed cohort of 70-84 years. The PSCR proposed a reduced catch</w:t>
      </w:r>
      <w:r w:rsidR="00C44E02" w:rsidRPr="00517B6E">
        <w:rPr>
          <w:rFonts w:ascii="Arial" w:hAnsi="Arial" w:cs="Arial"/>
          <w:snapToGrid w:val="0"/>
          <w:sz w:val="22"/>
          <w:szCs w:val="20"/>
        </w:rPr>
        <w:noBreakHyphen/>
      </w:r>
      <w:r w:rsidRPr="00517B6E">
        <w:rPr>
          <w:rFonts w:ascii="Arial" w:hAnsi="Arial" w:cs="Arial"/>
          <w:snapToGrid w:val="0"/>
          <w:sz w:val="22"/>
          <w:szCs w:val="20"/>
        </w:rPr>
        <w:t>up program for adults aged 66-74 years of 70-74 years. If one of the reduced catch-</w:t>
      </w:r>
      <w:r w:rsidR="00786C38">
        <w:rPr>
          <w:rFonts w:ascii="Arial" w:hAnsi="Arial" w:cs="Arial"/>
          <w:snapToGrid w:val="0"/>
          <w:sz w:val="22"/>
          <w:szCs w:val="20"/>
        </w:rPr>
        <w:t>up programs wa</w:t>
      </w:r>
      <w:r w:rsidRPr="00517B6E">
        <w:rPr>
          <w:rFonts w:ascii="Arial" w:hAnsi="Arial" w:cs="Arial"/>
          <w:snapToGrid w:val="0"/>
          <w:sz w:val="22"/>
          <w:szCs w:val="20"/>
        </w:rPr>
        <w:t xml:space="preserve">s recommended for listing, the net cost to the NIP and MBS </w:t>
      </w:r>
      <w:r w:rsidR="00786C38">
        <w:rPr>
          <w:rFonts w:ascii="Arial" w:hAnsi="Arial" w:cs="Arial"/>
          <w:snapToGrid w:val="0"/>
          <w:sz w:val="22"/>
          <w:szCs w:val="20"/>
        </w:rPr>
        <w:t>would</w:t>
      </w:r>
      <w:r w:rsidRPr="00517B6E">
        <w:rPr>
          <w:rFonts w:ascii="Arial" w:hAnsi="Arial" w:cs="Arial"/>
          <w:snapToGrid w:val="0"/>
          <w:sz w:val="22"/>
          <w:szCs w:val="20"/>
        </w:rPr>
        <w:t xml:space="preserve"> be smaller than indicated in the following table.</w:t>
      </w:r>
    </w:p>
    <w:p w:rsidR="00634CA1" w:rsidRPr="00CE2C77" w:rsidRDefault="00634CA1" w:rsidP="00AD362F">
      <w:pPr>
        <w:ind w:firstLine="720"/>
        <w:jc w:val="both"/>
        <w:rPr>
          <w:rFonts w:ascii="Arial Narrow" w:hAnsi="Arial Narrow" w:cs="Arial"/>
          <w:snapToGrid w:val="0"/>
          <w:sz w:val="18"/>
          <w:szCs w:val="18"/>
        </w:rPr>
      </w:pPr>
    </w:p>
    <w:p w:rsidR="00CE2C77" w:rsidRPr="00CE2C77" w:rsidRDefault="00CE2C77" w:rsidP="00AD362F">
      <w:pPr>
        <w:keepNext/>
        <w:ind w:firstLine="709"/>
        <w:jc w:val="both"/>
        <w:rPr>
          <w:rFonts w:ascii="Arial Narrow" w:hAnsi="Arial Narrow" w:cs="Arial"/>
          <w:b/>
          <w:snapToGrid w:val="0"/>
          <w:sz w:val="20"/>
          <w:szCs w:val="16"/>
        </w:rPr>
      </w:pPr>
      <w:r w:rsidRPr="00CE2C77">
        <w:rPr>
          <w:rFonts w:ascii="Arial Narrow" w:hAnsi="Arial Narrow" w:cs="Arial"/>
          <w:b/>
          <w:snapToGrid w:val="0"/>
          <w:sz w:val="20"/>
          <w:szCs w:val="16"/>
        </w:rPr>
        <w:t>Estimated use and financial implications, catch-up program</w:t>
      </w:r>
    </w:p>
    <w:tbl>
      <w:tblPr>
        <w:tblW w:w="4595"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Estimated  usage &amp; financial implications (catch-up program)"/>
      </w:tblPr>
      <w:tblGrid>
        <w:gridCol w:w="2269"/>
        <w:gridCol w:w="1134"/>
        <w:gridCol w:w="1134"/>
        <w:gridCol w:w="1275"/>
        <w:gridCol w:w="1275"/>
        <w:gridCol w:w="1260"/>
      </w:tblGrid>
      <w:tr w:rsidR="00CE2C77" w:rsidRPr="00CE2C77" w:rsidTr="00CE2C77">
        <w:trPr>
          <w:tblHeader/>
        </w:trPr>
        <w:tc>
          <w:tcPr>
            <w:tcW w:w="1359" w:type="pct"/>
            <w:shd w:val="clear" w:color="auto" w:fill="auto"/>
            <w:vAlign w:val="center"/>
          </w:tcPr>
          <w:p w:rsidR="00CE2C77" w:rsidRPr="00CE2C77" w:rsidRDefault="00CE2C77" w:rsidP="00AD362F">
            <w:pPr>
              <w:keepNext/>
              <w:tabs>
                <w:tab w:val="left" w:pos="142"/>
              </w:tabs>
              <w:rPr>
                <w:rFonts w:ascii="Arial Narrow" w:hAnsi="Arial Narrow" w:cs="Arial"/>
                <w:b/>
                <w:snapToGrid w:val="0"/>
                <w:sz w:val="20"/>
                <w:szCs w:val="20"/>
              </w:rPr>
            </w:pPr>
          </w:p>
        </w:tc>
        <w:tc>
          <w:tcPr>
            <w:tcW w:w="679" w:type="pct"/>
            <w:shd w:val="clear" w:color="auto" w:fill="auto"/>
            <w:vAlign w:val="center"/>
          </w:tcPr>
          <w:p w:rsidR="00CE2C77" w:rsidRPr="00CE2C77" w:rsidRDefault="00CE2C77" w:rsidP="00AD362F">
            <w:pPr>
              <w:keepNext/>
              <w:jc w:val="center"/>
              <w:rPr>
                <w:rFonts w:ascii="Arial Narrow" w:hAnsi="Arial Narrow" w:cs="Arial"/>
                <w:b/>
                <w:snapToGrid w:val="0"/>
                <w:sz w:val="20"/>
                <w:szCs w:val="20"/>
              </w:rPr>
            </w:pPr>
            <w:r w:rsidRPr="00CE2C77">
              <w:rPr>
                <w:rFonts w:ascii="Arial Narrow" w:hAnsi="Arial Narrow" w:cs="Arial"/>
                <w:b/>
                <w:snapToGrid w:val="0"/>
                <w:sz w:val="20"/>
                <w:szCs w:val="20"/>
              </w:rPr>
              <w:t>Year 1</w:t>
            </w:r>
          </w:p>
        </w:tc>
        <w:tc>
          <w:tcPr>
            <w:tcW w:w="679" w:type="pct"/>
            <w:shd w:val="clear" w:color="auto" w:fill="auto"/>
            <w:vAlign w:val="center"/>
          </w:tcPr>
          <w:p w:rsidR="00CE2C77" w:rsidRPr="00CE2C77" w:rsidRDefault="00CE2C77" w:rsidP="00AD362F">
            <w:pPr>
              <w:keepNext/>
              <w:jc w:val="center"/>
              <w:rPr>
                <w:rFonts w:ascii="Arial Narrow" w:hAnsi="Arial Narrow" w:cs="Arial"/>
                <w:b/>
                <w:snapToGrid w:val="0"/>
                <w:sz w:val="20"/>
                <w:szCs w:val="20"/>
              </w:rPr>
            </w:pPr>
            <w:r w:rsidRPr="00CE2C77">
              <w:rPr>
                <w:rFonts w:ascii="Arial Narrow" w:hAnsi="Arial Narrow" w:cs="Arial"/>
                <w:b/>
                <w:snapToGrid w:val="0"/>
                <w:sz w:val="20"/>
                <w:szCs w:val="20"/>
              </w:rPr>
              <w:t>Year 2</w:t>
            </w:r>
          </w:p>
        </w:tc>
        <w:tc>
          <w:tcPr>
            <w:tcW w:w="764" w:type="pct"/>
            <w:shd w:val="clear" w:color="auto" w:fill="auto"/>
            <w:vAlign w:val="center"/>
          </w:tcPr>
          <w:p w:rsidR="00CE2C77" w:rsidRPr="00CE2C77" w:rsidRDefault="00CE2C77" w:rsidP="00AD362F">
            <w:pPr>
              <w:keepNext/>
              <w:jc w:val="center"/>
              <w:rPr>
                <w:rFonts w:ascii="Arial Narrow" w:hAnsi="Arial Narrow" w:cs="Arial"/>
                <w:b/>
                <w:snapToGrid w:val="0"/>
                <w:sz w:val="20"/>
                <w:szCs w:val="20"/>
              </w:rPr>
            </w:pPr>
            <w:r w:rsidRPr="00CE2C77">
              <w:rPr>
                <w:rFonts w:ascii="Arial Narrow" w:hAnsi="Arial Narrow" w:cs="Arial"/>
                <w:b/>
                <w:snapToGrid w:val="0"/>
                <w:sz w:val="20"/>
                <w:szCs w:val="20"/>
              </w:rPr>
              <w:t>Year 3</w:t>
            </w:r>
          </w:p>
        </w:tc>
        <w:tc>
          <w:tcPr>
            <w:tcW w:w="764" w:type="pct"/>
            <w:shd w:val="clear" w:color="auto" w:fill="auto"/>
            <w:vAlign w:val="center"/>
          </w:tcPr>
          <w:p w:rsidR="00CE2C77" w:rsidRPr="00CE2C77" w:rsidRDefault="00CE2C77" w:rsidP="00AD362F">
            <w:pPr>
              <w:keepNext/>
              <w:jc w:val="center"/>
              <w:rPr>
                <w:rFonts w:ascii="Arial Narrow" w:hAnsi="Arial Narrow" w:cs="Arial"/>
                <w:b/>
                <w:snapToGrid w:val="0"/>
                <w:sz w:val="20"/>
                <w:szCs w:val="20"/>
              </w:rPr>
            </w:pPr>
            <w:r w:rsidRPr="00CE2C77">
              <w:rPr>
                <w:rFonts w:ascii="Arial Narrow" w:hAnsi="Arial Narrow" w:cs="Arial"/>
                <w:b/>
                <w:snapToGrid w:val="0"/>
                <w:sz w:val="20"/>
                <w:szCs w:val="20"/>
              </w:rPr>
              <w:t>Year 4</w:t>
            </w:r>
          </w:p>
        </w:tc>
        <w:tc>
          <w:tcPr>
            <w:tcW w:w="755" w:type="pct"/>
            <w:shd w:val="clear" w:color="auto" w:fill="auto"/>
            <w:vAlign w:val="center"/>
          </w:tcPr>
          <w:p w:rsidR="00CE2C77" w:rsidRPr="00CE2C77" w:rsidRDefault="00CE2C77" w:rsidP="00AD362F">
            <w:pPr>
              <w:keepNext/>
              <w:jc w:val="center"/>
              <w:rPr>
                <w:rFonts w:ascii="Arial Narrow" w:hAnsi="Arial Narrow" w:cs="Arial"/>
                <w:b/>
                <w:snapToGrid w:val="0"/>
                <w:sz w:val="20"/>
                <w:szCs w:val="20"/>
              </w:rPr>
            </w:pPr>
            <w:r w:rsidRPr="00CE2C77">
              <w:rPr>
                <w:rFonts w:ascii="Arial Narrow" w:hAnsi="Arial Narrow" w:cs="Arial"/>
                <w:b/>
                <w:snapToGrid w:val="0"/>
                <w:sz w:val="20"/>
                <w:szCs w:val="20"/>
              </w:rPr>
              <w:t>Year 5</w:t>
            </w:r>
          </w:p>
        </w:tc>
      </w:tr>
      <w:tr w:rsidR="00CE2C77" w:rsidRPr="00CE2C77" w:rsidTr="00CE2C77">
        <w:tc>
          <w:tcPr>
            <w:tcW w:w="5000" w:type="pct"/>
            <w:gridSpan w:val="6"/>
            <w:shd w:val="clear" w:color="auto" w:fill="auto"/>
            <w:vAlign w:val="center"/>
          </w:tcPr>
          <w:p w:rsidR="00CE2C77" w:rsidRPr="00CE2C77" w:rsidRDefault="00CE2C77" w:rsidP="00AD362F">
            <w:pPr>
              <w:keepNext/>
              <w:rPr>
                <w:rFonts w:ascii="Arial Narrow" w:hAnsi="Arial Narrow" w:cs="Arial"/>
                <w:b/>
                <w:bCs/>
                <w:snapToGrid w:val="0"/>
                <w:color w:val="000000"/>
                <w:sz w:val="20"/>
                <w:szCs w:val="20"/>
              </w:rPr>
            </w:pPr>
            <w:r w:rsidRPr="00CE2C77">
              <w:rPr>
                <w:rFonts w:ascii="Arial Narrow" w:hAnsi="Arial Narrow" w:cs="Arial"/>
                <w:b/>
                <w:bCs/>
                <w:snapToGrid w:val="0"/>
                <w:color w:val="000000"/>
                <w:sz w:val="20"/>
                <w:szCs w:val="20"/>
              </w:rPr>
              <w:t>Estimated extent of use</w:t>
            </w:r>
          </w:p>
        </w:tc>
      </w:tr>
      <w:tr w:rsidR="00CE2C77" w:rsidRPr="00CE2C77" w:rsidTr="00CE2C77">
        <w:tc>
          <w:tcPr>
            <w:tcW w:w="1359" w:type="pct"/>
            <w:shd w:val="clear" w:color="auto" w:fill="auto"/>
            <w:vAlign w:val="center"/>
          </w:tcPr>
          <w:p w:rsidR="00CE2C77" w:rsidRPr="00CE2C77" w:rsidRDefault="00CE2C77" w:rsidP="00AD362F">
            <w:pPr>
              <w:keepNext/>
              <w:tabs>
                <w:tab w:val="left" w:pos="142"/>
              </w:tabs>
              <w:rPr>
                <w:rFonts w:ascii="Arial Narrow" w:hAnsi="Arial Narrow" w:cs="Arial"/>
                <w:snapToGrid w:val="0"/>
                <w:sz w:val="20"/>
                <w:szCs w:val="20"/>
              </w:rPr>
            </w:pPr>
            <w:r w:rsidRPr="00CE2C77">
              <w:rPr>
                <w:rFonts w:ascii="Arial Narrow" w:hAnsi="Arial Narrow" w:cs="Arial"/>
                <w:snapToGrid w:val="0"/>
                <w:sz w:val="20"/>
                <w:szCs w:val="20"/>
              </w:rPr>
              <w:t>Population</w:t>
            </w:r>
          </w:p>
        </w:tc>
        <w:tc>
          <w:tcPr>
            <w:tcW w:w="679" w:type="pct"/>
            <w:shd w:val="clear" w:color="auto" w:fill="auto"/>
            <w:vAlign w:val="center"/>
          </w:tcPr>
          <w:p w:rsidR="00CE2C77" w:rsidRPr="008D2701" w:rsidRDefault="008D2701" w:rsidP="00AD362F">
            <w:pPr>
              <w:keepNext/>
              <w:snapToGrid w:val="0"/>
              <w:jc w:val="center"/>
              <w:rPr>
                <w:rFonts w:ascii="Arial Narrow" w:hAnsi="Arial Narrow" w:cs="Arial"/>
                <w:snapToGrid w:val="0"/>
                <w:sz w:val="20"/>
                <w:szCs w:val="20"/>
                <w:highlight w:val="black"/>
              </w:rPr>
            </w:pPr>
            <w:r>
              <w:rPr>
                <w:rFonts w:ascii="Arial Narrow" w:hAnsi="Arial Narrow" w:cs="Arial"/>
                <w:noProof/>
                <w:snapToGrid w:val="0"/>
                <w:color w:val="000000"/>
                <w:sz w:val="20"/>
                <w:szCs w:val="20"/>
                <w:highlight w:val="black"/>
              </w:rPr>
              <w:t>'''''''''''''''''''''''''</w:t>
            </w:r>
          </w:p>
        </w:tc>
        <w:tc>
          <w:tcPr>
            <w:tcW w:w="679" w:type="pct"/>
            <w:shd w:val="clear" w:color="auto" w:fill="auto"/>
            <w:vAlign w:val="center"/>
          </w:tcPr>
          <w:p w:rsidR="00CE2C77" w:rsidRPr="008D2701" w:rsidRDefault="008D2701" w:rsidP="00AD362F">
            <w:pPr>
              <w:keepNext/>
              <w:snapToGrid w:val="0"/>
              <w:jc w:val="center"/>
              <w:rPr>
                <w:rFonts w:ascii="Arial Narrow" w:hAnsi="Arial Narrow" w:cs="Arial"/>
                <w:snapToGrid w:val="0"/>
                <w:sz w:val="20"/>
                <w:szCs w:val="20"/>
                <w:highlight w:val="black"/>
              </w:rPr>
            </w:pPr>
            <w:r>
              <w:rPr>
                <w:rFonts w:ascii="Arial Narrow" w:hAnsi="Arial Narrow" w:cs="Arial"/>
                <w:noProof/>
                <w:snapToGrid w:val="0"/>
                <w:color w:val="000000"/>
                <w:sz w:val="20"/>
                <w:szCs w:val="20"/>
                <w:highlight w:val="black"/>
              </w:rPr>
              <w:t>'''''''''''''''''''''''</w:t>
            </w:r>
          </w:p>
        </w:tc>
        <w:tc>
          <w:tcPr>
            <w:tcW w:w="764" w:type="pct"/>
            <w:shd w:val="clear" w:color="auto" w:fill="auto"/>
            <w:vAlign w:val="center"/>
          </w:tcPr>
          <w:p w:rsidR="00CE2C77" w:rsidRPr="008D2701" w:rsidRDefault="008D2701" w:rsidP="00AD362F">
            <w:pPr>
              <w:keepNext/>
              <w:snapToGrid w:val="0"/>
              <w:jc w:val="center"/>
              <w:rPr>
                <w:rFonts w:ascii="Arial Narrow" w:hAnsi="Arial Narrow" w:cs="Arial"/>
                <w:snapToGrid w:val="0"/>
                <w:sz w:val="20"/>
                <w:szCs w:val="20"/>
                <w:highlight w:val="black"/>
              </w:rPr>
            </w:pPr>
            <w:r>
              <w:rPr>
                <w:rFonts w:ascii="Arial Narrow" w:hAnsi="Arial Narrow" w:cs="Arial"/>
                <w:noProof/>
                <w:snapToGrid w:val="0"/>
                <w:color w:val="000000"/>
                <w:sz w:val="20"/>
                <w:szCs w:val="20"/>
                <w:highlight w:val="black"/>
              </w:rPr>
              <w:t>'''''''''''''''''''''''''</w:t>
            </w:r>
          </w:p>
        </w:tc>
        <w:tc>
          <w:tcPr>
            <w:tcW w:w="764" w:type="pct"/>
            <w:shd w:val="clear" w:color="auto" w:fill="auto"/>
            <w:vAlign w:val="center"/>
          </w:tcPr>
          <w:p w:rsidR="00CE2C77" w:rsidRPr="008D2701" w:rsidRDefault="008D2701" w:rsidP="00AD362F">
            <w:pPr>
              <w:keepNext/>
              <w:snapToGrid w:val="0"/>
              <w:jc w:val="center"/>
              <w:rPr>
                <w:rFonts w:ascii="Arial Narrow" w:hAnsi="Arial Narrow" w:cs="Arial"/>
                <w:snapToGrid w:val="0"/>
                <w:sz w:val="20"/>
                <w:szCs w:val="20"/>
                <w:highlight w:val="black"/>
              </w:rPr>
            </w:pPr>
            <w:r>
              <w:rPr>
                <w:rFonts w:ascii="Arial Narrow" w:hAnsi="Arial Narrow" w:cs="Arial"/>
                <w:noProof/>
                <w:snapToGrid w:val="0"/>
                <w:color w:val="000000"/>
                <w:sz w:val="20"/>
                <w:szCs w:val="20"/>
                <w:highlight w:val="black"/>
              </w:rPr>
              <w:t>'''''''''''''''''''''''</w:t>
            </w:r>
          </w:p>
        </w:tc>
        <w:tc>
          <w:tcPr>
            <w:tcW w:w="755" w:type="pct"/>
            <w:shd w:val="clear" w:color="auto" w:fill="auto"/>
            <w:vAlign w:val="center"/>
          </w:tcPr>
          <w:p w:rsidR="00CE2C77" w:rsidRPr="008D2701" w:rsidRDefault="008D2701" w:rsidP="00AD362F">
            <w:pPr>
              <w:keepNext/>
              <w:snapToGrid w:val="0"/>
              <w:jc w:val="center"/>
              <w:rPr>
                <w:rFonts w:ascii="Arial Narrow" w:hAnsi="Arial Narrow" w:cs="Arial"/>
                <w:snapToGrid w:val="0"/>
                <w:sz w:val="20"/>
                <w:szCs w:val="20"/>
                <w:highlight w:val="black"/>
              </w:rPr>
            </w:pPr>
            <w:r>
              <w:rPr>
                <w:rFonts w:ascii="Arial Narrow" w:hAnsi="Arial Narrow" w:cs="Arial"/>
                <w:noProof/>
                <w:snapToGrid w:val="0"/>
                <w:color w:val="000000"/>
                <w:sz w:val="20"/>
                <w:szCs w:val="20"/>
                <w:highlight w:val="black"/>
              </w:rPr>
              <w:t>''''''''''''''''''''''''''</w:t>
            </w:r>
          </w:p>
        </w:tc>
      </w:tr>
      <w:tr w:rsidR="00CE2C77" w:rsidRPr="00CE2C77" w:rsidTr="00CE2C77">
        <w:tc>
          <w:tcPr>
            <w:tcW w:w="1359" w:type="pct"/>
            <w:shd w:val="clear" w:color="auto" w:fill="auto"/>
            <w:vAlign w:val="center"/>
          </w:tcPr>
          <w:p w:rsidR="00CE2C77" w:rsidRPr="00CE2C77" w:rsidRDefault="00CE2C77" w:rsidP="00AD362F">
            <w:pPr>
              <w:keepNext/>
              <w:tabs>
                <w:tab w:val="left" w:pos="142"/>
              </w:tabs>
              <w:rPr>
                <w:rFonts w:ascii="Arial Narrow" w:hAnsi="Arial Narrow" w:cs="Arial"/>
                <w:snapToGrid w:val="0"/>
                <w:sz w:val="20"/>
                <w:szCs w:val="20"/>
              </w:rPr>
            </w:pPr>
            <w:r w:rsidRPr="00CE2C77">
              <w:rPr>
                <w:rFonts w:ascii="Arial Narrow" w:hAnsi="Arial Narrow" w:cs="Arial"/>
                <w:snapToGrid w:val="0"/>
                <w:sz w:val="20"/>
                <w:szCs w:val="20"/>
              </w:rPr>
              <w:t>Uptake</w:t>
            </w:r>
          </w:p>
        </w:tc>
        <w:tc>
          <w:tcPr>
            <w:tcW w:w="679" w:type="pct"/>
            <w:shd w:val="clear" w:color="auto" w:fill="auto"/>
            <w:vAlign w:val="center"/>
          </w:tcPr>
          <w:p w:rsidR="00CE2C77" w:rsidRPr="002F536A" w:rsidRDefault="008D2701" w:rsidP="00AD362F">
            <w:pPr>
              <w:keepNext/>
              <w:jc w:val="center"/>
              <w:rPr>
                <w:rFonts w:ascii="Arial Narrow" w:hAnsi="Arial Narrow" w:cs="Arial"/>
                <w:snapToGrid w:val="0"/>
                <w:sz w:val="20"/>
                <w:szCs w:val="20"/>
              </w:rPr>
            </w:pPr>
            <w:r>
              <w:rPr>
                <w:rFonts w:ascii="Arial Narrow" w:hAnsi="Arial Narrow" w:cs="Arial"/>
                <w:noProof/>
                <w:snapToGrid w:val="0"/>
                <w:color w:val="000000"/>
                <w:sz w:val="20"/>
                <w:szCs w:val="20"/>
                <w:highlight w:val="black"/>
              </w:rPr>
              <w:t>'''</w:t>
            </w:r>
            <w:r w:rsidR="00CE2C77" w:rsidRPr="002F536A">
              <w:rPr>
                <w:rFonts w:ascii="Arial Narrow" w:hAnsi="Arial Narrow" w:cs="Arial"/>
                <w:snapToGrid w:val="0"/>
                <w:sz w:val="20"/>
                <w:szCs w:val="20"/>
              </w:rPr>
              <w:t>%</w:t>
            </w:r>
          </w:p>
        </w:tc>
        <w:tc>
          <w:tcPr>
            <w:tcW w:w="679" w:type="pct"/>
            <w:shd w:val="clear" w:color="auto" w:fill="auto"/>
            <w:vAlign w:val="center"/>
          </w:tcPr>
          <w:p w:rsidR="00CE2C77" w:rsidRPr="002F536A" w:rsidRDefault="008D2701" w:rsidP="00AD362F">
            <w:pPr>
              <w:keepNext/>
              <w:jc w:val="center"/>
              <w:rPr>
                <w:rFonts w:ascii="Arial Narrow" w:hAnsi="Arial Narrow" w:cs="Arial"/>
                <w:snapToGrid w:val="0"/>
                <w:sz w:val="20"/>
                <w:szCs w:val="20"/>
              </w:rPr>
            </w:pPr>
            <w:r>
              <w:rPr>
                <w:rFonts w:ascii="Arial Narrow" w:hAnsi="Arial Narrow" w:cs="Arial"/>
                <w:noProof/>
                <w:snapToGrid w:val="0"/>
                <w:color w:val="000000"/>
                <w:sz w:val="20"/>
                <w:szCs w:val="20"/>
                <w:highlight w:val="black"/>
              </w:rPr>
              <w:t>''''</w:t>
            </w:r>
            <w:r w:rsidR="00CE2C77" w:rsidRPr="002F536A">
              <w:rPr>
                <w:rFonts w:ascii="Arial Narrow" w:hAnsi="Arial Narrow" w:cs="Arial"/>
                <w:snapToGrid w:val="0"/>
                <w:sz w:val="20"/>
                <w:szCs w:val="20"/>
              </w:rPr>
              <w:t>%</w:t>
            </w:r>
          </w:p>
        </w:tc>
        <w:tc>
          <w:tcPr>
            <w:tcW w:w="764" w:type="pct"/>
            <w:shd w:val="clear" w:color="auto" w:fill="auto"/>
            <w:vAlign w:val="center"/>
          </w:tcPr>
          <w:p w:rsidR="00CE2C77" w:rsidRPr="002F536A" w:rsidRDefault="008D2701" w:rsidP="00AD362F">
            <w:pPr>
              <w:keepNext/>
              <w:jc w:val="center"/>
              <w:rPr>
                <w:rFonts w:ascii="Arial Narrow" w:hAnsi="Arial Narrow" w:cs="Arial"/>
                <w:snapToGrid w:val="0"/>
                <w:sz w:val="20"/>
                <w:szCs w:val="20"/>
              </w:rPr>
            </w:pPr>
            <w:r>
              <w:rPr>
                <w:rFonts w:ascii="Arial Narrow" w:hAnsi="Arial Narrow" w:cs="Arial"/>
                <w:noProof/>
                <w:snapToGrid w:val="0"/>
                <w:color w:val="000000"/>
                <w:sz w:val="20"/>
                <w:szCs w:val="20"/>
                <w:highlight w:val="black"/>
              </w:rPr>
              <w:t>''''</w:t>
            </w:r>
            <w:r w:rsidR="00CE2C77" w:rsidRPr="002F536A">
              <w:rPr>
                <w:rFonts w:ascii="Arial Narrow" w:hAnsi="Arial Narrow" w:cs="Arial"/>
                <w:snapToGrid w:val="0"/>
                <w:sz w:val="20"/>
                <w:szCs w:val="20"/>
              </w:rPr>
              <w:t>%</w:t>
            </w:r>
          </w:p>
        </w:tc>
        <w:tc>
          <w:tcPr>
            <w:tcW w:w="764" w:type="pct"/>
            <w:shd w:val="clear" w:color="auto" w:fill="auto"/>
            <w:vAlign w:val="center"/>
          </w:tcPr>
          <w:p w:rsidR="00CE2C77" w:rsidRPr="002F536A" w:rsidRDefault="008D2701" w:rsidP="00AD362F">
            <w:pPr>
              <w:keepNext/>
              <w:jc w:val="center"/>
              <w:rPr>
                <w:rFonts w:ascii="Arial Narrow" w:hAnsi="Arial Narrow" w:cs="Arial"/>
                <w:snapToGrid w:val="0"/>
                <w:sz w:val="20"/>
                <w:szCs w:val="20"/>
              </w:rPr>
            </w:pPr>
            <w:r>
              <w:rPr>
                <w:rFonts w:ascii="Arial Narrow" w:hAnsi="Arial Narrow" w:cs="Arial"/>
                <w:noProof/>
                <w:snapToGrid w:val="0"/>
                <w:color w:val="000000"/>
                <w:sz w:val="20"/>
                <w:szCs w:val="20"/>
                <w:highlight w:val="black"/>
              </w:rPr>
              <w:t>'''</w:t>
            </w:r>
            <w:r w:rsidR="00CE2C77" w:rsidRPr="002F536A">
              <w:rPr>
                <w:rFonts w:ascii="Arial Narrow" w:hAnsi="Arial Narrow" w:cs="Arial"/>
                <w:snapToGrid w:val="0"/>
                <w:sz w:val="20"/>
                <w:szCs w:val="20"/>
              </w:rPr>
              <w:t>%</w:t>
            </w:r>
          </w:p>
        </w:tc>
        <w:tc>
          <w:tcPr>
            <w:tcW w:w="755" w:type="pct"/>
            <w:shd w:val="clear" w:color="auto" w:fill="auto"/>
            <w:vAlign w:val="center"/>
          </w:tcPr>
          <w:p w:rsidR="00CE2C77" w:rsidRPr="002F536A" w:rsidRDefault="008D2701" w:rsidP="00AD362F">
            <w:pPr>
              <w:keepNext/>
              <w:jc w:val="center"/>
              <w:rPr>
                <w:rFonts w:ascii="Arial Narrow" w:hAnsi="Arial Narrow" w:cs="Arial"/>
                <w:snapToGrid w:val="0"/>
                <w:sz w:val="20"/>
                <w:szCs w:val="20"/>
              </w:rPr>
            </w:pPr>
            <w:r>
              <w:rPr>
                <w:rFonts w:ascii="Arial Narrow" w:hAnsi="Arial Narrow" w:cs="Arial"/>
                <w:noProof/>
                <w:snapToGrid w:val="0"/>
                <w:color w:val="000000"/>
                <w:sz w:val="20"/>
                <w:szCs w:val="20"/>
                <w:highlight w:val="black"/>
              </w:rPr>
              <w:t>''''</w:t>
            </w:r>
            <w:r w:rsidR="00CE2C77" w:rsidRPr="002F536A">
              <w:rPr>
                <w:rFonts w:ascii="Arial Narrow" w:hAnsi="Arial Narrow" w:cs="Arial"/>
                <w:snapToGrid w:val="0"/>
                <w:sz w:val="20"/>
                <w:szCs w:val="20"/>
              </w:rPr>
              <w:t>%</w:t>
            </w:r>
          </w:p>
        </w:tc>
      </w:tr>
      <w:tr w:rsidR="00CE2C77" w:rsidRPr="00CE2C77" w:rsidTr="00CE2C77">
        <w:tc>
          <w:tcPr>
            <w:tcW w:w="1359" w:type="pct"/>
            <w:shd w:val="clear" w:color="auto" w:fill="auto"/>
            <w:vAlign w:val="center"/>
          </w:tcPr>
          <w:p w:rsidR="00CE2C77" w:rsidRPr="00CE2C77" w:rsidRDefault="00CE2C77" w:rsidP="00AD362F">
            <w:pPr>
              <w:keepNext/>
              <w:tabs>
                <w:tab w:val="left" w:pos="142"/>
              </w:tabs>
              <w:rPr>
                <w:rFonts w:ascii="Arial Narrow" w:hAnsi="Arial Narrow" w:cs="Arial"/>
                <w:snapToGrid w:val="0"/>
                <w:sz w:val="20"/>
                <w:szCs w:val="20"/>
              </w:rPr>
            </w:pPr>
            <w:r w:rsidRPr="00CE2C77">
              <w:rPr>
                <w:rFonts w:ascii="Arial Narrow" w:hAnsi="Arial Narrow" w:cs="Arial"/>
                <w:snapToGrid w:val="0"/>
                <w:sz w:val="20"/>
                <w:szCs w:val="20"/>
              </w:rPr>
              <w:t>13vPCV doses</w:t>
            </w:r>
          </w:p>
        </w:tc>
        <w:tc>
          <w:tcPr>
            <w:tcW w:w="679" w:type="pct"/>
            <w:shd w:val="clear" w:color="auto" w:fill="auto"/>
            <w:vAlign w:val="center"/>
          </w:tcPr>
          <w:p w:rsidR="00CE2C77" w:rsidRPr="008D2701" w:rsidRDefault="008D2701" w:rsidP="00AD362F">
            <w:pPr>
              <w:keepNext/>
              <w:jc w:val="center"/>
              <w:rPr>
                <w:rFonts w:ascii="Arial Narrow" w:hAnsi="Arial Narrow" w:cs="Arial"/>
                <w:snapToGrid w:val="0"/>
                <w:sz w:val="20"/>
                <w:szCs w:val="20"/>
                <w:highlight w:val="black"/>
              </w:rPr>
            </w:pPr>
            <w:r>
              <w:rPr>
                <w:rFonts w:ascii="Arial Narrow" w:hAnsi="Arial Narrow" w:cs="Arial"/>
                <w:noProof/>
                <w:snapToGrid w:val="0"/>
                <w:color w:val="000000"/>
                <w:sz w:val="20"/>
                <w:szCs w:val="20"/>
                <w:highlight w:val="black"/>
              </w:rPr>
              <w:t>'''''''''''''''''''</w:t>
            </w:r>
          </w:p>
        </w:tc>
        <w:tc>
          <w:tcPr>
            <w:tcW w:w="679" w:type="pct"/>
            <w:shd w:val="clear" w:color="auto" w:fill="auto"/>
            <w:vAlign w:val="center"/>
          </w:tcPr>
          <w:p w:rsidR="00CE2C77" w:rsidRPr="008D2701" w:rsidRDefault="008D2701" w:rsidP="00AD362F">
            <w:pPr>
              <w:keepNext/>
              <w:jc w:val="center"/>
              <w:rPr>
                <w:rFonts w:ascii="Arial Narrow" w:hAnsi="Arial Narrow" w:cs="Arial"/>
                <w:snapToGrid w:val="0"/>
                <w:sz w:val="20"/>
                <w:szCs w:val="20"/>
                <w:highlight w:val="black"/>
              </w:rPr>
            </w:pPr>
            <w:r>
              <w:rPr>
                <w:rFonts w:ascii="Arial Narrow" w:hAnsi="Arial Narrow" w:cs="Arial"/>
                <w:noProof/>
                <w:snapToGrid w:val="0"/>
                <w:color w:val="000000"/>
                <w:sz w:val="20"/>
                <w:szCs w:val="20"/>
                <w:highlight w:val="black"/>
              </w:rPr>
              <w:t>''''''''''''''''''</w:t>
            </w:r>
          </w:p>
        </w:tc>
        <w:tc>
          <w:tcPr>
            <w:tcW w:w="764" w:type="pct"/>
            <w:shd w:val="clear" w:color="auto" w:fill="auto"/>
            <w:vAlign w:val="center"/>
          </w:tcPr>
          <w:p w:rsidR="00CE2C77" w:rsidRPr="008D2701" w:rsidRDefault="008D2701" w:rsidP="00AD362F">
            <w:pPr>
              <w:keepNext/>
              <w:jc w:val="center"/>
              <w:rPr>
                <w:rFonts w:ascii="Arial Narrow" w:hAnsi="Arial Narrow" w:cs="Arial"/>
                <w:snapToGrid w:val="0"/>
                <w:sz w:val="20"/>
                <w:szCs w:val="20"/>
                <w:highlight w:val="black"/>
              </w:rPr>
            </w:pPr>
            <w:r>
              <w:rPr>
                <w:rFonts w:ascii="Arial Narrow" w:hAnsi="Arial Narrow" w:cs="Arial"/>
                <w:noProof/>
                <w:snapToGrid w:val="0"/>
                <w:color w:val="000000"/>
                <w:sz w:val="20"/>
                <w:szCs w:val="20"/>
                <w:highlight w:val="black"/>
              </w:rPr>
              <w:t>''''''''''''''''''''''</w:t>
            </w:r>
          </w:p>
        </w:tc>
        <w:tc>
          <w:tcPr>
            <w:tcW w:w="764" w:type="pct"/>
            <w:shd w:val="clear" w:color="auto" w:fill="auto"/>
            <w:vAlign w:val="center"/>
          </w:tcPr>
          <w:p w:rsidR="00CE2C77" w:rsidRPr="008D2701" w:rsidRDefault="008D2701" w:rsidP="00AD362F">
            <w:pPr>
              <w:keepNext/>
              <w:jc w:val="center"/>
              <w:rPr>
                <w:rFonts w:ascii="Arial Narrow" w:hAnsi="Arial Narrow" w:cs="Arial"/>
                <w:snapToGrid w:val="0"/>
                <w:sz w:val="20"/>
                <w:szCs w:val="20"/>
                <w:highlight w:val="black"/>
              </w:rPr>
            </w:pPr>
            <w:r>
              <w:rPr>
                <w:rFonts w:ascii="Arial Narrow" w:hAnsi="Arial Narrow" w:cs="Arial"/>
                <w:noProof/>
                <w:snapToGrid w:val="0"/>
                <w:color w:val="000000"/>
                <w:sz w:val="20"/>
                <w:szCs w:val="20"/>
                <w:highlight w:val="black"/>
              </w:rPr>
              <w:t>'''''''''''''''''''</w:t>
            </w:r>
          </w:p>
        </w:tc>
        <w:tc>
          <w:tcPr>
            <w:tcW w:w="755" w:type="pct"/>
            <w:shd w:val="clear" w:color="auto" w:fill="auto"/>
            <w:vAlign w:val="center"/>
          </w:tcPr>
          <w:p w:rsidR="00CE2C77" w:rsidRPr="008D2701" w:rsidRDefault="008D2701" w:rsidP="00AD362F">
            <w:pPr>
              <w:keepNext/>
              <w:jc w:val="center"/>
              <w:rPr>
                <w:rFonts w:ascii="Arial Narrow" w:hAnsi="Arial Narrow" w:cs="Arial"/>
                <w:snapToGrid w:val="0"/>
                <w:sz w:val="20"/>
                <w:szCs w:val="20"/>
                <w:highlight w:val="black"/>
              </w:rPr>
            </w:pPr>
            <w:r>
              <w:rPr>
                <w:rFonts w:ascii="Arial Narrow" w:hAnsi="Arial Narrow" w:cs="Arial"/>
                <w:noProof/>
                <w:snapToGrid w:val="0"/>
                <w:color w:val="000000"/>
                <w:sz w:val="20"/>
                <w:szCs w:val="20"/>
                <w:highlight w:val="black"/>
              </w:rPr>
              <w:t>'''''''''''''''''''</w:t>
            </w:r>
          </w:p>
        </w:tc>
      </w:tr>
      <w:tr w:rsidR="00CE2C77" w:rsidRPr="00CE2C77" w:rsidTr="00CE2C77">
        <w:tc>
          <w:tcPr>
            <w:tcW w:w="5000" w:type="pct"/>
            <w:gridSpan w:val="6"/>
            <w:shd w:val="clear" w:color="auto" w:fill="auto"/>
            <w:vAlign w:val="center"/>
          </w:tcPr>
          <w:p w:rsidR="00CE2C77" w:rsidRPr="002F536A" w:rsidRDefault="00CE2C77" w:rsidP="00AD362F">
            <w:pPr>
              <w:keepNext/>
              <w:rPr>
                <w:rFonts w:ascii="Arial Narrow" w:hAnsi="Arial Narrow" w:cs="Arial"/>
                <w:b/>
                <w:bCs/>
                <w:snapToGrid w:val="0"/>
                <w:color w:val="000000"/>
                <w:sz w:val="20"/>
                <w:szCs w:val="20"/>
              </w:rPr>
            </w:pPr>
            <w:r w:rsidRPr="002F536A">
              <w:rPr>
                <w:rFonts w:ascii="Arial Narrow" w:hAnsi="Arial Narrow" w:cs="Arial"/>
                <w:b/>
                <w:bCs/>
                <w:snapToGrid w:val="0"/>
                <w:color w:val="000000"/>
                <w:sz w:val="20"/>
                <w:szCs w:val="20"/>
              </w:rPr>
              <w:t>Estimated net cost to NIP/MBS</w:t>
            </w:r>
          </w:p>
        </w:tc>
      </w:tr>
      <w:tr w:rsidR="00CE2C77" w:rsidRPr="00CE2C77" w:rsidTr="00CE2C77">
        <w:tc>
          <w:tcPr>
            <w:tcW w:w="1359" w:type="pct"/>
            <w:shd w:val="clear" w:color="auto" w:fill="auto"/>
            <w:vAlign w:val="center"/>
          </w:tcPr>
          <w:p w:rsidR="00CE2C77" w:rsidRPr="00CE2C77" w:rsidRDefault="00CE2C77" w:rsidP="00AD362F">
            <w:pPr>
              <w:keepNext/>
              <w:tabs>
                <w:tab w:val="left" w:pos="142"/>
              </w:tabs>
              <w:rPr>
                <w:rFonts w:ascii="Arial Narrow" w:hAnsi="Arial Narrow" w:cs="Arial"/>
                <w:snapToGrid w:val="0"/>
                <w:sz w:val="20"/>
                <w:szCs w:val="20"/>
              </w:rPr>
            </w:pPr>
            <w:r w:rsidRPr="00CE2C77">
              <w:rPr>
                <w:rFonts w:ascii="Arial Narrow" w:hAnsi="Arial Narrow" w:cs="Arial"/>
                <w:snapToGrid w:val="0"/>
                <w:sz w:val="19"/>
                <w:szCs w:val="19"/>
              </w:rPr>
              <w:t>Cost to NIP for 13vPCV</w:t>
            </w:r>
            <w:r w:rsidRPr="00CE2C77">
              <w:rPr>
                <w:rFonts w:ascii="Arial Narrow" w:hAnsi="Arial Narrow" w:cs="Arial"/>
                <w:snapToGrid w:val="0"/>
                <w:sz w:val="19"/>
                <w:szCs w:val="19"/>
                <w:vertAlign w:val="superscript"/>
              </w:rPr>
              <w:t>a</w:t>
            </w:r>
          </w:p>
        </w:tc>
        <w:tc>
          <w:tcPr>
            <w:tcW w:w="679" w:type="pct"/>
            <w:shd w:val="clear" w:color="auto" w:fill="auto"/>
            <w:vAlign w:val="center"/>
          </w:tcPr>
          <w:p w:rsidR="00CE2C77" w:rsidRPr="002F536A" w:rsidRDefault="00CE2C77" w:rsidP="00AD362F">
            <w:pPr>
              <w:keepNext/>
              <w:jc w:val="center"/>
              <w:rPr>
                <w:rFonts w:ascii="Arial Narrow" w:hAnsi="Arial Narrow" w:cs="Arial"/>
                <w:snapToGrid w:val="0"/>
                <w:sz w:val="20"/>
                <w:szCs w:val="20"/>
              </w:rPr>
            </w:pPr>
            <w:r w:rsidRPr="002F536A">
              <w:rPr>
                <w:rFonts w:ascii="Arial Narrow" w:hAnsi="Arial Narrow" w:cs="Arial"/>
                <w:snapToGrid w:val="0"/>
                <w:sz w:val="20"/>
                <w:szCs w:val="20"/>
              </w:rPr>
              <w:t>$</w:t>
            </w:r>
            <w:r w:rsidR="008D2701">
              <w:rPr>
                <w:rFonts w:ascii="Arial Narrow" w:hAnsi="Arial Narrow" w:cs="Arial"/>
                <w:noProof/>
                <w:snapToGrid w:val="0"/>
                <w:color w:val="000000"/>
                <w:sz w:val="20"/>
                <w:szCs w:val="20"/>
                <w:highlight w:val="black"/>
              </w:rPr>
              <w:t>'''''''''''''''''''''''''''''</w:t>
            </w:r>
          </w:p>
        </w:tc>
        <w:tc>
          <w:tcPr>
            <w:tcW w:w="679" w:type="pct"/>
            <w:shd w:val="clear" w:color="auto" w:fill="auto"/>
            <w:vAlign w:val="center"/>
          </w:tcPr>
          <w:p w:rsidR="00CE2C77" w:rsidRPr="002F536A" w:rsidRDefault="00CE2C77" w:rsidP="00AD362F">
            <w:pPr>
              <w:keepNext/>
              <w:jc w:val="center"/>
              <w:rPr>
                <w:rFonts w:ascii="Arial Narrow" w:hAnsi="Arial Narrow" w:cs="Arial"/>
                <w:snapToGrid w:val="0"/>
                <w:sz w:val="20"/>
                <w:szCs w:val="20"/>
              </w:rPr>
            </w:pPr>
            <w:r w:rsidRPr="002F536A">
              <w:rPr>
                <w:rFonts w:ascii="Arial Narrow" w:hAnsi="Arial Narrow" w:cs="Arial"/>
                <w:snapToGrid w:val="0"/>
                <w:sz w:val="20"/>
                <w:szCs w:val="20"/>
              </w:rPr>
              <w:t>$</w:t>
            </w:r>
            <w:r w:rsidR="008D2701">
              <w:rPr>
                <w:rFonts w:ascii="Arial Narrow" w:hAnsi="Arial Narrow" w:cs="Arial"/>
                <w:noProof/>
                <w:snapToGrid w:val="0"/>
                <w:color w:val="000000"/>
                <w:sz w:val="20"/>
                <w:szCs w:val="20"/>
                <w:highlight w:val="black"/>
              </w:rPr>
              <w:t>''''''''''''''''''''''''''''</w:t>
            </w:r>
          </w:p>
        </w:tc>
        <w:tc>
          <w:tcPr>
            <w:tcW w:w="764" w:type="pct"/>
            <w:shd w:val="clear" w:color="auto" w:fill="auto"/>
            <w:vAlign w:val="center"/>
          </w:tcPr>
          <w:p w:rsidR="00CE2C77" w:rsidRPr="002F536A" w:rsidRDefault="00CE2C77" w:rsidP="00AD362F">
            <w:pPr>
              <w:keepNext/>
              <w:jc w:val="center"/>
              <w:rPr>
                <w:rFonts w:ascii="Arial Narrow" w:hAnsi="Arial Narrow" w:cs="Arial"/>
                <w:snapToGrid w:val="0"/>
                <w:sz w:val="20"/>
                <w:szCs w:val="20"/>
              </w:rPr>
            </w:pPr>
            <w:r w:rsidRPr="002F536A">
              <w:rPr>
                <w:rFonts w:ascii="Arial Narrow" w:hAnsi="Arial Narrow" w:cs="Arial"/>
                <w:snapToGrid w:val="0"/>
                <w:sz w:val="20"/>
                <w:szCs w:val="20"/>
              </w:rPr>
              <w:t>$</w:t>
            </w:r>
            <w:r w:rsidR="008D2701">
              <w:rPr>
                <w:rFonts w:ascii="Arial Narrow" w:hAnsi="Arial Narrow" w:cs="Arial"/>
                <w:noProof/>
                <w:snapToGrid w:val="0"/>
                <w:color w:val="000000"/>
                <w:sz w:val="20"/>
                <w:szCs w:val="20"/>
                <w:highlight w:val="black"/>
              </w:rPr>
              <w:t>''''''''''''''''''''''''</w:t>
            </w:r>
          </w:p>
        </w:tc>
        <w:tc>
          <w:tcPr>
            <w:tcW w:w="764" w:type="pct"/>
            <w:shd w:val="clear" w:color="auto" w:fill="auto"/>
            <w:vAlign w:val="center"/>
          </w:tcPr>
          <w:p w:rsidR="00CE2C77" w:rsidRPr="002F536A" w:rsidRDefault="00CE2C77" w:rsidP="00AD362F">
            <w:pPr>
              <w:keepNext/>
              <w:jc w:val="center"/>
              <w:rPr>
                <w:rFonts w:ascii="Arial Narrow" w:hAnsi="Arial Narrow" w:cs="Arial"/>
                <w:snapToGrid w:val="0"/>
                <w:sz w:val="20"/>
                <w:szCs w:val="20"/>
              </w:rPr>
            </w:pPr>
            <w:r w:rsidRPr="002F536A">
              <w:rPr>
                <w:rFonts w:ascii="Arial Narrow" w:hAnsi="Arial Narrow" w:cs="Arial"/>
                <w:snapToGrid w:val="0"/>
                <w:sz w:val="20"/>
                <w:szCs w:val="20"/>
              </w:rPr>
              <w:t>$</w:t>
            </w:r>
            <w:r w:rsidR="008D2701">
              <w:rPr>
                <w:rFonts w:ascii="Arial Narrow" w:hAnsi="Arial Narrow" w:cs="Arial"/>
                <w:noProof/>
                <w:snapToGrid w:val="0"/>
                <w:color w:val="000000"/>
                <w:sz w:val="20"/>
                <w:szCs w:val="20"/>
                <w:highlight w:val="black"/>
              </w:rPr>
              <w:t>'''''''''''''''''''''''''''''</w:t>
            </w:r>
          </w:p>
        </w:tc>
        <w:tc>
          <w:tcPr>
            <w:tcW w:w="755" w:type="pct"/>
            <w:shd w:val="clear" w:color="auto" w:fill="auto"/>
            <w:vAlign w:val="center"/>
          </w:tcPr>
          <w:p w:rsidR="00CE2C77" w:rsidRPr="002F536A" w:rsidRDefault="00CE2C77" w:rsidP="00AD362F">
            <w:pPr>
              <w:keepNext/>
              <w:jc w:val="center"/>
              <w:rPr>
                <w:rFonts w:ascii="Arial Narrow" w:hAnsi="Arial Narrow" w:cs="Arial"/>
                <w:snapToGrid w:val="0"/>
                <w:sz w:val="20"/>
                <w:szCs w:val="20"/>
              </w:rPr>
            </w:pPr>
            <w:r w:rsidRPr="002F536A">
              <w:rPr>
                <w:rFonts w:ascii="Arial Narrow" w:hAnsi="Arial Narrow" w:cs="Arial"/>
                <w:snapToGrid w:val="0"/>
                <w:sz w:val="20"/>
                <w:szCs w:val="20"/>
              </w:rPr>
              <w:t>$</w:t>
            </w:r>
            <w:r w:rsidR="008D2701">
              <w:rPr>
                <w:rFonts w:ascii="Arial Narrow" w:hAnsi="Arial Narrow" w:cs="Arial"/>
                <w:noProof/>
                <w:snapToGrid w:val="0"/>
                <w:color w:val="000000"/>
                <w:sz w:val="20"/>
                <w:szCs w:val="20"/>
                <w:highlight w:val="black"/>
              </w:rPr>
              <w:t>''''''''''''''''''''''''''</w:t>
            </w:r>
          </w:p>
        </w:tc>
      </w:tr>
      <w:tr w:rsidR="00CE2C77" w:rsidRPr="00CE2C77" w:rsidTr="00CE2C77">
        <w:tc>
          <w:tcPr>
            <w:tcW w:w="1359" w:type="pct"/>
            <w:shd w:val="clear" w:color="auto" w:fill="auto"/>
            <w:vAlign w:val="center"/>
          </w:tcPr>
          <w:p w:rsidR="00CE2C77" w:rsidRPr="00CE2C77" w:rsidRDefault="00CE2C77" w:rsidP="00AD362F">
            <w:pPr>
              <w:keepNext/>
              <w:tabs>
                <w:tab w:val="left" w:pos="142"/>
              </w:tabs>
              <w:rPr>
                <w:rFonts w:ascii="Arial Narrow" w:hAnsi="Arial Narrow" w:cs="Arial"/>
                <w:snapToGrid w:val="0"/>
                <w:sz w:val="20"/>
                <w:szCs w:val="20"/>
              </w:rPr>
            </w:pPr>
            <w:r w:rsidRPr="00CE2C77">
              <w:rPr>
                <w:rFonts w:ascii="Arial Narrow" w:hAnsi="Arial Narrow" w:cs="Arial"/>
                <w:snapToGrid w:val="0"/>
                <w:sz w:val="19"/>
                <w:szCs w:val="19"/>
              </w:rPr>
              <w:t>Net cost to MBS</w:t>
            </w:r>
            <w:r w:rsidRPr="00CE2C77">
              <w:rPr>
                <w:rFonts w:ascii="Arial Narrow" w:hAnsi="Arial Narrow" w:cs="Arial"/>
                <w:snapToGrid w:val="0"/>
                <w:sz w:val="19"/>
                <w:szCs w:val="19"/>
                <w:vertAlign w:val="superscript"/>
              </w:rPr>
              <w:t>b</w:t>
            </w:r>
          </w:p>
        </w:tc>
        <w:tc>
          <w:tcPr>
            <w:tcW w:w="679" w:type="pct"/>
            <w:shd w:val="clear" w:color="auto" w:fill="auto"/>
            <w:vAlign w:val="bottom"/>
          </w:tcPr>
          <w:p w:rsidR="00CE2C77" w:rsidRPr="002F536A" w:rsidRDefault="00CE2C77" w:rsidP="00AD362F">
            <w:pPr>
              <w:keepNext/>
              <w:jc w:val="center"/>
              <w:rPr>
                <w:rFonts w:ascii="Arial Narrow" w:hAnsi="Arial Narrow" w:cs="Arial"/>
                <w:snapToGrid w:val="0"/>
                <w:sz w:val="20"/>
                <w:szCs w:val="20"/>
              </w:rPr>
            </w:pPr>
            <w:r w:rsidRPr="002F536A">
              <w:rPr>
                <w:rFonts w:ascii="Arial Narrow" w:hAnsi="Arial Narrow" w:cs="Arial"/>
                <w:snapToGrid w:val="0"/>
                <w:sz w:val="20"/>
                <w:szCs w:val="20"/>
              </w:rPr>
              <w:t>$</w:t>
            </w:r>
            <w:r w:rsidR="008D2701">
              <w:rPr>
                <w:rFonts w:ascii="Arial Narrow" w:hAnsi="Arial Narrow" w:cs="Arial"/>
                <w:noProof/>
                <w:snapToGrid w:val="0"/>
                <w:color w:val="000000"/>
                <w:sz w:val="20"/>
                <w:szCs w:val="20"/>
                <w:highlight w:val="black"/>
              </w:rPr>
              <w:t>'''''''''''''''''''''''''</w:t>
            </w:r>
          </w:p>
        </w:tc>
        <w:tc>
          <w:tcPr>
            <w:tcW w:w="679" w:type="pct"/>
            <w:shd w:val="clear" w:color="auto" w:fill="auto"/>
            <w:vAlign w:val="bottom"/>
          </w:tcPr>
          <w:p w:rsidR="00CE2C77" w:rsidRPr="002F536A" w:rsidRDefault="00CE2C77" w:rsidP="00AD362F">
            <w:pPr>
              <w:keepNext/>
              <w:jc w:val="center"/>
              <w:rPr>
                <w:rFonts w:ascii="Arial Narrow" w:hAnsi="Arial Narrow" w:cs="Arial"/>
                <w:snapToGrid w:val="0"/>
                <w:sz w:val="20"/>
                <w:szCs w:val="20"/>
              </w:rPr>
            </w:pPr>
            <w:r w:rsidRPr="002F536A">
              <w:rPr>
                <w:rFonts w:ascii="Arial Narrow" w:hAnsi="Arial Narrow" w:cs="Arial"/>
                <w:snapToGrid w:val="0"/>
                <w:sz w:val="20"/>
                <w:szCs w:val="20"/>
              </w:rPr>
              <w:t>$</w:t>
            </w:r>
            <w:r w:rsidR="008D2701">
              <w:rPr>
                <w:rFonts w:ascii="Arial Narrow" w:hAnsi="Arial Narrow" w:cs="Arial"/>
                <w:noProof/>
                <w:snapToGrid w:val="0"/>
                <w:color w:val="000000"/>
                <w:sz w:val="20"/>
                <w:szCs w:val="20"/>
                <w:highlight w:val="black"/>
              </w:rPr>
              <w:t>''''''''''''''''''''''''</w:t>
            </w:r>
          </w:p>
        </w:tc>
        <w:tc>
          <w:tcPr>
            <w:tcW w:w="764" w:type="pct"/>
            <w:shd w:val="clear" w:color="auto" w:fill="auto"/>
            <w:vAlign w:val="bottom"/>
          </w:tcPr>
          <w:p w:rsidR="00CE2C77" w:rsidRPr="002F536A" w:rsidRDefault="00CE2C77" w:rsidP="00AD362F">
            <w:pPr>
              <w:keepNext/>
              <w:jc w:val="center"/>
              <w:rPr>
                <w:rFonts w:ascii="Arial Narrow" w:hAnsi="Arial Narrow" w:cs="Arial"/>
                <w:snapToGrid w:val="0"/>
                <w:sz w:val="20"/>
                <w:szCs w:val="20"/>
              </w:rPr>
            </w:pPr>
            <w:r w:rsidRPr="002F536A">
              <w:rPr>
                <w:rFonts w:ascii="Arial Narrow" w:hAnsi="Arial Narrow" w:cs="Arial"/>
                <w:snapToGrid w:val="0"/>
                <w:sz w:val="20"/>
                <w:szCs w:val="20"/>
              </w:rPr>
              <w:t>$</w:t>
            </w:r>
            <w:r w:rsidR="008D2701">
              <w:rPr>
                <w:rFonts w:ascii="Arial Narrow" w:hAnsi="Arial Narrow" w:cs="Arial"/>
                <w:noProof/>
                <w:snapToGrid w:val="0"/>
                <w:color w:val="000000"/>
                <w:sz w:val="20"/>
                <w:szCs w:val="20"/>
                <w:highlight w:val="black"/>
              </w:rPr>
              <w:t>''''''''''''''''''''''''</w:t>
            </w:r>
          </w:p>
        </w:tc>
        <w:tc>
          <w:tcPr>
            <w:tcW w:w="764" w:type="pct"/>
            <w:shd w:val="clear" w:color="auto" w:fill="auto"/>
            <w:vAlign w:val="bottom"/>
          </w:tcPr>
          <w:p w:rsidR="00CE2C77" w:rsidRPr="002F536A" w:rsidRDefault="00CE2C77" w:rsidP="00AD362F">
            <w:pPr>
              <w:keepNext/>
              <w:jc w:val="center"/>
              <w:rPr>
                <w:rFonts w:ascii="Arial Narrow" w:hAnsi="Arial Narrow" w:cs="Arial"/>
                <w:snapToGrid w:val="0"/>
                <w:sz w:val="20"/>
                <w:szCs w:val="20"/>
              </w:rPr>
            </w:pPr>
            <w:r w:rsidRPr="002F536A">
              <w:rPr>
                <w:rFonts w:ascii="Arial Narrow" w:hAnsi="Arial Narrow" w:cs="Arial"/>
                <w:snapToGrid w:val="0"/>
                <w:sz w:val="20"/>
                <w:szCs w:val="20"/>
              </w:rPr>
              <w:t>$</w:t>
            </w:r>
            <w:r w:rsidR="008D2701">
              <w:rPr>
                <w:rFonts w:ascii="Arial Narrow" w:hAnsi="Arial Narrow" w:cs="Arial"/>
                <w:noProof/>
                <w:snapToGrid w:val="0"/>
                <w:color w:val="000000"/>
                <w:sz w:val="20"/>
                <w:szCs w:val="20"/>
                <w:highlight w:val="black"/>
              </w:rPr>
              <w:t>''''''''''''''''''''''</w:t>
            </w:r>
          </w:p>
        </w:tc>
        <w:tc>
          <w:tcPr>
            <w:tcW w:w="755" w:type="pct"/>
            <w:shd w:val="clear" w:color="auto" w:fill="auto"/>
            <w:vAlign w:val="bottom"/>
          </w:tcPr>
          <w:p w:rsidR="00CE2C77" w:rsidRPr="002F536A" w:rsidRDefault="00CE2C77" w:rsidP="00AD362F">
            <w:pPr>
              <w:keepNext/>
              <w:jc w:val="center"/>
              <w:rPr>
                <w:rFonts w:ascii="Arial Narrow" w:hAnsi="Arial Narrow" w:cs="Arial"/>
                <w:snapToGrid w:val="0"/>
                <w:sz w:val="20"/>
                <w:szCs w:val="20"/>
              </w:rPr>
            </w:pPr>
            <w:r w:rsidRPr="002F536A">
              <w:rPr>
                <w:rFonts w:ascii="Arial Narrow" w:hAnsi="Arial Narrow" w:cs="Arial"/>
                <w:snapToGrid w:val="0"/>
                <w:sz w:val="20"/>
                <w:szCs w:val="20"/>
              </w:rPr>
              <w:t>$</w:t>
            </w:r>
            <w:r w:rsidR="008D2701">
              <w:rPr>
                <w:rFonts w:ascii="Arial Narrow" w:hAnsi="Arial Narrow" w:cs="Arial"/>
                <w:noProof/>
                <w:snapToGrid w:val="0"/>
                <w:color w:val="000000"/>
                <w:sz w:val="20"/>
                <w:szCs w:val="20"/>
                <w:highlight w:val="black"/>
              </w:rPr>
              <w:t>''''''''''''''''''''''</w:t>
            </w:r>
          </w:p>
        </w:tc>
      </w:tr>
      <w:tr w:rsidR="00CE2C77" w:rsidRPr="00CE2C77" w:rsidTr="00CE2C77">
        <w:tc>
          <w:tcPr>
            <w:tcW w:w="5000" w:type="pct"/>
            <w:gridSpan w:val="6"/>
            <w:shd w:val="clear" w:color="auto" w:fill="auto"/>
            <w:vAlign w:val="center"/>
          </w:tcPr>
          <w:p w:rsidR="00CE2C77" w:rsidRPr="002F536A" w:rsidRDefault="00CE2C77" w:rsidP="00AD362F">
            <w:pPr>
              <w:keepNext/>
              <w:rPr>
                <w:rFonts w:ascii="Arial Narrow" w:hAnsi="Arial Narrow" w:cs="Arial"/>
                <w:b/>
                <w:snapToGrid w:val="0"/>
                <w:color w:val="000000"/>
                <w:sz w:val="20"/>
                <w:szCs w:val="20"/>
              </w:rPr>
            </w:pPr>
            <w:r w:rsidRPr="002F536A">
              <w:rPr>
                <w:rFonts w:ascii="Arial Narrow" w:hAnsi="Arial Narrow" w:cs="Arial"/>
                <w:b/>
                <w:snapToGrid w:val="0"/>
                <w:color w:val="000000"/>
                <w:sz w:val="20"/>
                <w:szCs w:val="20"/>
              </w:rPr>
              <w:t>Estimated total net cost</w:t>
            </w:r>
          </w:p>
        </w:tc>
      </w:tr>
      <w:tr w:rsidR="00CE2C77" w:rsidRPr="00CE2C77" w:rsidTr="00CE2C77">
        <w:tc>
          <w:tcPr>
            <w:tcW w:w="1359" w:type="pct"/>
            <w:shd w:val="clear" w:color="auto" w:fill="auto"/>
            <w:vAlign w:val="center"/>
          </w:tcPr>
          <w:p w:rsidR="00CE2C77" w:rsidRPr="00CE2C77" w:rsidRDefault="00CE2C77" w:rsidP="00AD362F">
            <w:pPr>
              <w:keepNext/>
              <w:tabs>
                <w:tab w:val="left" w:pos="142"/>
              </w:tabs>
              <w:rPr>
                <w:rFonts w:ascii="Arial Narrow" w:hAnsi="Arial Narrow" w:cs="Arial"/>
                <w:b/>
                <w:snapToGrid w:val="0"/>
                <w:sz w:val="20"/>
                <w:szCs w:val="20"/>
              </w:rPr>
            </w:pPr>
            <w:r w:rsidRPr="00CE2C77">
              <w:rPr>
                <w:rFonts w:ascii="Arial Narrow" w:hAnsi="Arial Narrow" w:cs="Arial"/>
                <w:b/>
                <w:bCs/>
                <w:snapToGrid w:val="0"/>
                <w:color w:val="000000"/>
                <w:sz w:val="20"/>
                <w:szCs w:val="20"/>
              </w:rPr>
              <w:t>Net cost to NIP/MBS</w:t>
            </w:r>
          </w:p>
        </w:tc>
        <w:tc>
          <w:tcPr>
            <w:tcW w:w="679" w:type="pct"/>
            <w:shd w:val="clear" w:color="auto" w:fill="auto"/>
            <w:vAlign w:val="center"/>
          </w:tcPr>
          <w:p w:rsidR="00CE2C77" w:rsidRPr="002F536A" w:rsidRDefault="00CE2C77" w:rsidP="00AD362F">
            <w:pPr>
              <w:keepNext/>
              <w:jc w:val="center"/>
              <w:rPr>
                <w:rFonts w:ascii="Arial Narrow" w:hAnsi="Arial Narrow" w:cs="Arial"/>
                <w:snapToGrid w:val="0"/>
                <w:sz w:val="20"/>
                <w:szCs w:val="20"/>
              </w:rPr>
            </w:pPr>
            <w:r w:rsidRPr="002F536A">
              <w:rPr>
                <w:rFonts w:ascii="Arial Narrow" w:hAnsi="Arial Narrow" w:cs="Arial"/>
                <w:snapToGrid w:val="0"/>
                <w:sz w:val="20"/>
                <w:szCs w:val="20"/>
              </w:rPr>
              <w:t>$</w:t>
            </w:r>
            <w:r w:rsidR="008D2701">
              <w:rPr>
                <w:rFonts w:ascii="Arial Narrow" w:hAnsi="Arial Narrow" w:cs="Arial"/>
                <w:noProof/>
                <w:snapToGrid w:val="0"/>
                <w:color w:val="000000"/>
                <w:sz w:val="20"/>
                <w:szCs w:val="20"/>
                <w:highlight w:val="black"/>
              </w:rPr>
              <w:t>'''''''''''''''''''''''''''</w:t>
            </w:r>
          </w:p>
        </w:tc>
        <w:tc>
          <w:tcPr>
            <w:tcW w:w="679" w:type="pct"/>
            <w:shd w:val="clear" w:color="auto" w:fill="auto"/>
            <w:vAlign w:val="center"/>
          </w:tcPr>
          <w:p w:rsidR="00CE2C77" w:rsidRPr="002F536A" w:rsidRDefault="00CE2C77" w:rsidP="00AD362F">
            <w:pPr>
              <w:keepNext/>
              <w:jc w:val="center"/>
              <w:rPr>
                <w:rFonts w:ascii="Arial Narrow" w:hAnsi="Arial Narrow" w:cs="Arial"/>
                <w:snapToGrid w:val="0"/>
                <w:sz w:val="20"/>
                <w:szCs w:val="20"/>
              </w:rPr>
            </w:pPr>
            <w:r w:rsidRPr="002F536A">
              <w:rPr>
                <w:rFonts w:ascii="Arial Narrow" w:hAnsi="Arial Narrow" w:cs="Arial"/>
                <w:snapToGrid w:val="0"/>
                <w:sz w:val="20"/>
                <w:szCs w:val="20"/>
              </w:rPr>
              <w:t>$</w:t>
            </w:r>
            <w:r w:rsidR="008D2701">
              <w:rPr>
                <w:rFonts w:ascii="Arial Narrow" w:hAnsi="Arial Narrow" w:cs="Arial"/>
                <w:noProof/>
                <w:snapToGrid w:val="0"/>
                <w:color w:val="000000"/>
                <w:sz w:val="20"/>
                <w:szCs w:val="20"/>
                <w:highlight w:val="black"/>
              </w:rPr>
              <w:t>''''''''''''''''''''''''</w:t>
            </w:r>
          </w:p>
        </w:tc>
        <w:tc>
          <w:tcPr>
            <w:tcW w:w="764" w:type="pct"/>
            <w:shd w:val="clear" w:color="auto" w:fill="auto"/>
            <w:vAlign w:val="center"/>
          </w:tcPr>
          <w:p w:rsidR="00CE2C77" w:rsidRPr="002F536A" w:rsidRDefault="00CE2C77" w:rsidP="00AD362F">
            <w:pPr>
              <w:keepNext/>
              <w:jc w:val="center"/>
              <w:rPr>
                <w:rFonts w:ascii="Arial Narrow" w:hAnsi="Arial Narrow" w:cs="Arial"/>
                <w:snapToGrid w:val="0"/>
                <w:sz w:val="20"/>
                <w:szCs w:val="20"/>
              </w:rPr>
            </w:pPr>
            <w:r w:rsidRPr="002F536A">
              <w:rPr>
                <w:rFonts w:ascii="Arial Narrow" w:hAnsi="Arial Narrow" w:cs="Arial"/>
                <w:snapToGrid w:val="0"/>
                <w:sz w:val="20"/>
                <w:szCs w:val="20"/>
              </w:rPr>
              <w:t>$</w:t>
            </w:r>
            <w:r w:rsidR="008D2701">
              <w:rPr>
                <w:rFonts w:ascii="Arial Narrow" w:hAnsi="Arial Narrow" w:cs="Arial"/>
                <w:noProof/>
                <w:snapToGrid w:val="0"/>
                <w:color w:val="000000"/>
                <w:sz w:val="20"/>
                <w:szCs w:val="20"/>
                <w:highlight w:val="black"/>
              </w:rPr>
              <w:t>''''''''''''''''''''''''''</w:t>
            </w:r>
          </w:p>
        </w:tc>
        <w:tc>
          <w:tcPr>
            <w:tcW w:w="764" w:type="pct"/>
            <w:shd w:val="clear" w:color="auto" w:fill="auto"/>
            <w:vAlign w:val="center"/>
          </w:tcPr>
          <w:p w:rsidR="00CE2C77" w:rsidRPr="002F536A" w:rsidRDefault="00CE2C77" w:rsidP="00AD362F">
            <w:pPr>
              <w:keepNext/>
              <w:jc w:val="center"/>
              <w:rPr>
                <w:rFonts w:ascii="Arial Narrow" w:hAnsi="Arial Narrow" w:cs="Arial"/>
                <w:snapToGrid w:val="0"/>
                <w:sz w:val="20"/>
                <w:szCs w:val="20"/>
              </w:rPr>
            </w:pPr>
            <w:r w:rsidRPr="002F536A">
              <w:rPr>
                <w:rFonts w:ascii="Arial Narrow" w:hAnsi="Arial Narrow" w:cs="Arial"/>
                <w:snapToGrid w:val="0"/>
                <w:sz w:val="20"/>
                <w:szCs w:val="20"/>
              </w:rPr>
              <w:t>$</w:t>
            </w:r>
            <w:r w:rsidR="008D2701">
              <w:rPr>
                <w:rFonts w:ascii="Arial Narrow" w:hAnsi="Arial Narrow" w:cs="Arial"/>
                <w:noProof/>
                <w:snapToGrid w:val="0"/>
                <w:color w:val="000000"/>
                <w:sz w:val="20"/>
                <w:szCs w:val="20"/>
                <w:highlight w:val="black"/>
              </w:rPr>
              <w:t>'''''''''''''''''''''''''''''</w:t>
            </w:r>
          </w:p>
        </w:tc>
        <w:tc>
          <w:tcPr>
            <w:tcW w:w="755" w:type="pct"/>
            <w:shd w:val="clear" w:color="auto" w:fill="auto"/>
            <w:vAlign w:val="center"/>
          </w:tcPr>
          <w:p w:rsidR="00CE2C77" w:rsidRPr="002F536A" w:rsidRDefault="00CE2C77" w:rsidP="00AD362F">
            <w:pPr>
              <w:keepNext/>
              <w:jc w:val="center"/>
              <w:rPr>
                <w:rFonts w:ascii="Arial Narrow" w:hAnsi="Arial Narrow" w:cs="Arial"/>
                <w:snapToGrid w:val="0"/>
                <w:sz w:val="20"/>
                <w:szCs w:val="20"/>
              </w:rPr>
            </w:pPr>
            <w:r w:rsidRPr="002F536A">
              <w:rPr>
                <w:rFonts w:ascii="Arial Narrow" w:hAnsi="Arial Narrow" w:cs="Arial"/>
                <w:snapToGrid w:val="0"/>
                <w:sz w:val="20"/>
                <w:szCs w:val="20"/>
              </w:rPr>
              <w:t>$</w:t>
            </w:r>
            <w:r w:rsidR="008D2701">
              <w:rPr>
                <w:rFonts w:ascii="Arial Narrow" w:hAnsi="Arial Narrow" w:cs="Arial"/>
                <w:noProof/>
                <w:snapToGrid w:val="0"/>
                <w:color w:val="000000"/>
                <w:sz w:val="20"/>
                <w:szCs w:val="20"/>
                <w:highlight w:val="black"/>
              </w:rPr>
              <w:t>''''''''''''''''''''''''</w:t>
            </w:r>
          </w:p>
        </w:tc>
      </w:tr>
    </w:tbl>
    <w:p w:rsidR="00CE2C77" w:rsidRPr="00CE2C77" w:rsidRDefault="00CE2C77" w:rsidP="00AD362F">
      <w:pPr>
        <w:keepNext/>
        <w:ind w:firstLine="720"/>
        <w:jc w:val="both"/>
        <w:rPr>
          <w:rFonts w:ascii="Arial Narrow" w:hAnsi="Arial Narrow" w:cs="Arial"/>
          <w:snapToGrid w:val="0"/>
          <w:sz w:val="16"/>
          <w:szCs w:val="18"/>
        </w:rPr>
      </w:pPr>
      <w:r w:rsidRPr="00CE2C77">
        <w:rPr>
          <w:rFonts w:ascii="Arial Narrow" w:hAnsi="Arial Narrow" w:cs="Arial"/>
          <w:snapToGrid w:val="0"/>
          <w:sz w:val="16"/>
          <w:szCs w:val="18"/>
        </w:rPr>
        <w:t>a No substitution of 23vPPV assumed for the catch-up program; includes 5% wastage</w:t>
      </w:r>
    </w:p>
    <w:p w:rsidR="00CE2C77" w:rsidRPr="00CE2C77" w:rsidRDefault="00CE2C77" w:rsidP="00AD362F">
      <w:pPr>
        <w:keepNext/>
        <w:ind w:firstLine="720"/>
        <w:jc w:val="both"/>
        <w:rPr>
          <w:rFonts w:ascii="Arial Narrow" w:hAnsi="Arial Narrow" w:cs="Arial"/>
          <w:snapToGrid w:val="0"/>
          <w:sz w:val="16"/>
          <w:szCs w:val="18"/>
        </w:rPr>
      </w:pPr>
      <w:r w:rsidRPr="00CE2C77">
        <w:rPr>
          <w:rFonts w:ascii="Arial Narrow" w:hAnsi="Arial Narrow" w:cs="Arial"/>
          <w:snapToGrid w:val="0"/>
          <w:sz w:val="16"/>
          <w:szCs w:val="18"/>
        </w:rPr>
        <w:t>b Administration cost of $16.95 (MBS item 3) assumed for 50% of doses; includes 5% wastage</w:t>
      </w:r>
    </w:p>
    <w:p w:rsidR="00CE2C77" w:rsidRPr="00CE2C77" w:rsidRDefault="00CE2C77" w:rsidP="00AD362F">
      <w:pPr>
        <w:ind w:firstLine="720"/>
        <w:jc w:val="both"/>
        <w:rPr>
          <w:rFonts w:ascii="Arial Narrow" w:hAnsi="Arial Narrow" w:cs="Arial"/>
          <w:snapToGrid w:val="0"/>
          <w:sz w:val="18"/>
          <w:szCs w:val="22"/>
        </w:rPr>
      </w:pPr>
      <w:r w:rsidRPr="00B00D47">
        <w:rPr>
          <w:rFonts w:ascii="Arial Narrow" w:hAnsi="Arial Narrow" w:cs="Arial"/>
          <w:snapToGrid w:val="0"/>
          <w:sz w:val="16"/>
          <w:szCs w:val="18"/>
        </w:rPr>
        <w:t>Source: Table 9, p E.10; Table 10, pE.11; Table 15, p E.13 of the submission</w:t>
      </w:r>
    </w:p>
    <w:p w:rsidR="00CE2C77" w:rsidRPr="00CE2C77" w:rsidRDefault="00CE2C77" w:rsidP="00AD362F">
      <w:pPr>
        <w:jc w:val="both"/>
        <w:rPr>
          <w:rFonts w:ascii="Arial" w:hAnsi="Arial" w:cs="Arial"/>
          <w:snapToGrid w:val="0"/>
          <w:sz w:val="22"/>
          <w:szCs w:val="22"/>
        </w:rPr>
      </w:pPr>
    </w:p>
    <w:p w:rsidR="00634CA1" w:rsidRPr="00D735D6" w:rsidRDefault="00CE2C77" w:rsidP="00AD362F">
      <w:pPr>
        <w:numPr>
          <w:ilvl w:val="1"/>
          <w:numId w:val="3"/>
        </w:numPr>
        <w:contextualSpacing/>
        <w:jc w:val="both"/>
        <w:rPr>
          <w:rFonts w:ascii="Arial" w:hAnsi="Arial" w:cs="Arial"/>
          <w:snapToGrid w:val="0"/>
          <w:sz w:val="22"/>
          <w:szCs w:val="22"/>
        </w:rPr>
      </w:pPr>
      <w:r w:rsidRPr="00A15171">
        <w:rPr>
          <w:rFonts w:ascii="Arial" w:hAnsi="Arial" w:cs="Arial"/>
          <w:snapToGrid w:val="0"/>
          <w:sz w:val="22"/>
          <w:szCs w:val="20"/>
        </w:rPr>
        <w:t xml:space="preserve">The cost of the primary program may be higher in the initial years if the steady state uptake of </w:t>
      </w:r>
      <w:r w:rsidR="008D2701">
        <w:rPr>
          <w:rFonts w:ascii="Arial" w:hAnsi="Arial" w:cs="Arial"/>
          <w:noProof/>
          <w:snapToGrid w:val="0"/>
          <w:color w:val="000000"/>
          <w:sz w:val="22"/>
          <w:szCs w:val="20"/>
          <w:highlight w:val="black"/>
        </w:rPr>
        <w:t>''''''</w:t>
      </w:r>
      <w:r w:rsidRPr="00A15171">
        <w:rPr>
          <w:rFonts w:ascii="Arial" w:hAnsi="Arial" w:cs="Arial"/>
          <w:snapToGrid w:val="0"/>
          <w:sz w:val="22"/>
          <w:szCs w:val="20"/>
        </w:rPr>
        <w:t>% is achieved before ye</w:t>
      </w:r>
      <w:r w:rsidR="00D57666">
        <w:rPr>
          <w:rFonts w:ascii="Arial" w:hAnsi="Arial" w:cs="Arial"/>
          <w:snapToGrid w:val="0"/>
          <w:sz w:val="22"/>
          <w:szCs w:val="20"/>
        </w:rPr>
        <w:t>ar five (five</w:t>
      </w:r>
      <w:r w:rsidRPr="00A15171">
        <w:rPr>
          <w:rFonts w:ascii="Arial" w:hAnsi="Arial" w:cs="Arial"/>
          <w:snapToGrid w:val="0"/>
          <w:sz w:val="22"/>
          <w:szCs w:val="20"/>
        </w:rPr>
        <w:t xml:space="preserve"> year cost of </w:t>
      </w:r>
      <w:r w:rsidR="006F76A0">
        <w:rPr>
          <w:rFonts w:ascii="Arial" w:hAnsi="Arial" w:cs="Arial"/>
          <w:snapToGrid w:val="0"/>
          <w:sz w:val="22"/>
          <w:szCs w:val="20"/>
        </w:rPr>
        <w:t xml:space="preserve">$60 - $100 million </w:t>
      </w:r>
      <w:r w:rsidRPr="00A15171">
        <w:rPr>
          <w:rFonts w:ascii="Arial" w:hAnsi="Arial" w:cs="Arial"/>
          <w:snapToGrid w:val="0"/>
          <w:sz w:val="22"/>
          <w:szCs w:val="20"/>
        </w:rPr>
        <w:t xml:space="preserve">vs </w:t>
      </w:r>
      <w:r w:rsidR="006F76A0" w:rsidRPr="006F76A0">
        <w:rPr>
          <w:rFonts w:ascii="Arial" w:hAnsi="Arial" w:cs="Arial"/>
          <w:snapToGrid w:val="0"/>
          <w:sz w:val="22"/>
          <w:szCs w:val="20"/>
        </w:rPr>
        <w:t>$30 - $60 million</w:t>
      </w:r>
      <w:r w:rsidRPr="00A15171">
        <w:rPr>
          <w:rFonts w:ascii="Arial" w:hAnsi="Arial" w:cs="Arial"/>
          <w:snapToGrid w:val="0"/>
          <w:sz w:val="22"/>
          <w:szCs w:val="20"/>
        </w:rPr>
        <w:t xml:space="preserve">; excluding 23vPPV substitution). The extent of substitution of 23vPPV may be less if adults are vaccinated with both 13vPCV and 23vPPV. For the catch-up program the costs may not </w:t>
      </w:r>
      <w:r w:rsidR="00D57666">
        <w:rPr>
          <w:rFonts w:ascii="Arial" w:hAnsi="Arial" w:cs="Arial"/>
          <w:snapToGrid w:val="0"/>
          <w:sz w:val="22"/>
          <w:szCs w:val="20"/>
        </w:rPr>
        <w:t>be evenly distributed over the five</w:t>
      </w:r>
      <w:r w:rsidRPr="00A15171">
        <w:rPr>
          <w:rFonts w:ascii="Arial" w:hAnsi="Arial" w:cs="Arial"/>
          <w:snapToGrid w:val="0"/>
          <w:sz w:val="22"/>
          <w:szCs w:val="20"/>
        </w:rPr>
        <w:t xml:space="preserve"> years of the program. </w:t>
      </w:r>
    </w:p>
    <w:p w:rsidR="00634CA1" w:rsidRPr="0050768E" w:rsidRDefault="00634CA1" w:rsidP="00AD362F">
      <w:pPr>
        <w:ind w:left="720"/>
        <w:contextualSpacing/>
        <w:jc w:val="both"/>
        <w:rPr>
          <w:rFonts w:ascii="Arial" w:hAnsi="Arial" w:cs="Arial"/>
          <w:snapToGrid w:val="0"/>
          <w:sz w:val="22"/>
          <w:szCs w:val="22"/>
        </w:rPr>
      </w:pPr>
    </w:p>
    <w:p w:rsidR="00CE2C77" w:rsidRPr="00A75BA7" w:rsidRDefault="00CE2C77" w:rsidP="00AD362F">
      <w:pPr>
        <w:numPr>
          <w:ilvl w:val="1"/>
          <w:numId w:val="3"/>
        </w:numPr>
        <w:contextualSpacing/>
        <w:jc w:val="both"/>
        <w:rPr>
          <w:rFonts w:ascii="Arial" w:hAnsi="Arial" w:cs="Arial"/>
          <w:snapToGrid w:val="0"/>
          <w:sz w:val="22"/>
          <w:szCs w:val="22"/>
        </w:rPr>
      </w:pPr>
      <w:r w:rsidRPr="00A15171">
        <w:rPr>
          <w:rFonts w:ascii="Arial" w:hAnsi="Arial" w:cs="Arial"/>
          <w:snapToGrid w:val="0"/>
          <w:sz w:val="22"/>
          <w:szCs w:val="20"/>
        </w:rPr>
        <w:t xml:space="preserve">ATAGI noted that there </w:t>
      </w:r>
      <w:r w:rsidR="00786C38">
        <w:rPr>
          <w:rFonts w:ascii="Arial" w:hAnsi="Arial" w:cs="Arial"/>
          <w:snapToGrid w:val="0"/>
          <w:sz w:val="22"/>
          <w:szCs w:val="20"/>
        </w:rPr>
        <w:t>were</w:t>
      </w:r>
      <w:r w:rsidRPr="00A15171">
        <w:rPr>
          <w:rFonts w:ascii="Arial" w:hAnsi="Arial" w:cs="Arial"/>
          <w:snapToGrid w:val="0"/>
          <w:sz w:val="22"/>
          <w:szCs w:val="20"/>
        </w:rPr>
        <w:t xml:space="preserve"> no reliable data to inform </w:t>
      </w:r>
      <w:r w:rsidR="00B4601C">
        <w:rPr>
          <w:rFonts w:ascii="Arial" w:hAnsi="Arial" w:cs="Arial"/>
          <w:snapToGrid w:val="0"/>
          <w:sz w:val="22"/>
          <w:szCs w:val="20"/>
        </w:rPr>
        <w:t>the likely uptake for the catch</w:t>
      </w:r>
      <w:r w:rsidR="00B4601C">
        <w:rPr>
          <w:rFonts w:ascii="Arial" w:hAnsi="Arial" w:cs="Arial"/>
          <w:snapToGrid w:val="0"/>
          <w:sz w:val="22"/>
          <w:szCs w:val="20"/>
        </w:rPr>
        <w:noBreakHyphen/>
      </w:r>
      <w:r w:rsidRPr="00A15171">
        <w:rPr>
          <w:rFonts w:ascii="Arial" w:hAnsi="Arial" w:cs="Arial"/>
          <w:snapToGrid w:val="0"/>
          <w:sz w:val="22"/>
          <w:szCs w:val="20"/>
        </w:rPr>
        <w:t xml:space="preserve">up program (ATAGI </w:t>
      </w:r>
      <w:r w:rsidR="006E717C">
        <w:rPr>
          <w:rFonts w:ascii="Arial" w:hAnsi="Arial" w:cs="Arial"/>
          <w:snapToGrid w:val="0"/>
          <w:sz w:val="22"/>
          <w:szCs w:val="20"/>
        </w:rPr>
        <w:t>p</w:t>
      </w:r>
      <w:r w:rsidR="00634CA1">
        <w:rPr>
          <w:rFonts w:ascii="Arial" w:hAnsi="Arial" w:cs="Arial"/>
          <w:snapToGrid w:val="0"/>
          <w:sz w:val="22"/>
          <w:szCs w:val="20"/>
        </w:rPr>
        <w:t xml:space="preserve">re-PBAC </w:t>
      </w:r>
      <w:r w:rsidR="006E717C">
        <w:rPr>
          <w:rFonts w:ascii="Arial" w:hAnsi="Arial" w:cs="Arial"/>
          <w:snapToGrid w:val="0"/>
          <w:sz w:val="22"/>
          <w:szCs w:val="20"/>
        </w:rPr>
        <w:t>s</w:t>
      </w:r>
      <w:r w:rsidR="00634CA1">
        <w:rPr>
          <w:rFonts w:ascii="Arial" w:hAnsi="Arial" w:cs="Arial"/>
          <w:snapToGrid w:val="0"/>
          <w:sz w:val="22"/>
          <w:szCs w:val="20"/>
        </w:rPr>
        <w:t xml:space="preserve">ubmission </w:t>
      </w:r>
      <w:r w:rsidR="006E717C">
        <w:rPr>
          <w:rFonts w:ascii="Arial" w:hAnsi="Arial" w:cs="Arial"/>
          <w:snapToGrid w:val="0"/>
          <w:sz w:val="22"/>
          <w:szCs w:val="20"/>
        </w:rPr>
        <w:t>a</w:t>
      </w:r>
      <w:r w:rsidRPr="00A15171">
        <w:rPr>
          <w:rFonts w:ascii="Arial" w:hAnsi="Arial" w:cs="Arial"/>
          <w:snapToGrid w:val="0"/>
          <w:sz w:val="22"/>
          <w:szCs w:val="20"/>
        </w:rPr>
        <w:t>dvice</w:t>
      </w:r>
      <w:r w:rsidR="00786C38">
        <w:rPr>
          <w:rFonts w:ascii="Arial" w:hAnsi="Arial" w:cs="Arial"/>
          <w:snapToGrid w:val="0"/>
          <w:sz w:val="22"/>
          <w:szCs w:val="20"/>
        </w:rPr>
        <w:t xml:space="preserve">) and thus the estimated cost </w:t>
      </w:r>
      <w:r w:rsidR="00786C38" w:rsidRPr="00A75BA7">
        <w:rPr>
          <w:rFonts w:ascii="Arial" w:hAnsi="Arial" w:cs="Arial"/>
          <w:snapToGrid w:val="0"/>
          <w:sz w:val="22"/>
          <w:szCs w:val="20"/>
        </w:rPr>
        <w:t>wa</w:t>
      </w:r>
      <w:r w:rsidRPr="00A75BA7">
        <w:rPr>
          <w:rFonts w:ascii="Arial" w:hAnsi="Arial" w:cs="Arial"/>
          <w:snapToGrid w:val="0"/>
          <w:sz w:val="22"/>
          <w:szCs w:val="20"/>
        </w:rPr>
        <w:t>s uncertain (7% u</w:t>
      </w:r>
      <w:r w:rsidR="00D57666" w:rsidRPr="00A75BA7">
        <w:rPr>
          <w:rFonts w:ascii="Arial" w:hAnsi="Arial" w:cs="Arial"/>
          <w:snapToGrid w:val="0"/>
          <w:sz w:val="22"/>
          <w:szCs w:val="20"/>
        </w:rPr>
        <w:t xml:space="preserve">ptake [base case]: </w:t>
      </w:r>
      <w:r w:rsidR="006F76A0">
        <w:rPr>
          <w:rFonts w:ascii="Arial" w:hAnsi="Arial" w:cs="Arial"/>
          <w:snapToGrid w:val="0"/>
          <w:sz w:val="22"/>
          <w:szCs w:val="20"/>
        </w:rPr>
        <w:t xml:space="preserve">$60 - $100 million </w:t>
      </w:r>
      <w:r w:rsidR="00D57666" w:rsidRPr="00A75BA7">
        <w:rPr>
          <w:rFonts w:ascii="Arial" w:hAnsi="Arial" w:cs="Arial"/>
          <w:snapToGrid w:val="0"/>
          <w:sz w:val="22"/>
          <w:szCs w:val="20"/>
        </w:rPr>
        <w:t>over five</w:t>
      </w:r>
      <w:r w:rsidRPr="00A75BA7">
        <w:rPr>
          <w:rFonts w:ascii="Arial" w:hAnsi="Arial" w:cs="Arial"/>
          <w:snapToGrid w:val="0"/>
          <w:sz w:val="22"/>
          <w:szCs w:val="20"/>
        </w:rPr>
        <w:t xml:space="preserve"> years; 6% annual uptake: </w:t>
      </w:r>
      <w:r w:rsidR="006F76A0" w:rsidRPr="006F76A0">
        <w:rPr>
          <w:rFonts w:ascii="Arial" w:hAnsi="Arial" w:cs="Arial"/>
          <w:snapToGrid w:val="0"/>
          <w:sz w:val="22"/>
          <w:szCs w:val="20"/>
        </w:rPr>
        <w:t>$60 - $100 million</w:t>
      </w:r>
      <w:r w:rsidRPr="00A75BA7">
        <w:rPr>
          <w:rFonts w:ascii="Arial" w:hAnsi="Arial" w:cs="Arial"/>
          <w:snapToGrid w:val="0"/>
          <w:sz w:val="22"/>
          <w:szCs w:val="20"/>
        </w:rPr>
        <w:t xml:space="preserve">; 12% annual uptake: </w:t>
      </w:r>
      <w:r w:rsidR="006F76A0" w:rsidRPr="006F76A0">
        <w:rPr>
          <w:rFonts w:ascii="Arial" w:hAnsi="Arial" w:cs="Arial"/>
          <w:snapToGrid w:val="0"/>
          <w:sz w:val="22"/>
          <w:szCs w:val="20"/>
        </w:rPr>
        <w:t>more than $100 million</w:t>
      </w:r>
      <w:r w:rsidRPr="00A75BA7">
        <w:rPr>
          <w:rFonts w:ascii="Arial" w:hAnsi="Arial" w:cs="Arial"/>
          <w:snapToGrid w:val="0"/>
          <w:sz w:val="22"/>
          <w:szCs w:val="20"/>
        </w:rPr>
        <w:t xml:space="preserve">). </w:t>
      </w:r>
    </w:p>
    <w:p w:rsidR="00545414" w:rsidRPr="00A75BA7" w:rsidRDefault="00545414" w:rsidP="00AD362F">
      <w:pPr>
        <w:pStyle w:val="ListParagraph"/>
        <w:rPr>
          <w:rFonts w:ascii="Arial" w:hAnsi="Arial" w:cs="Arial"/>
          <w:snapToGrid w:val="0"/>
          <w:sz w:val="22"/>
          <w:szCs w:val="22"/>
        </w:rPr>
      </w:pPr>
    </w:p>
    <w:p w:rsidR="00545414" w:rsidRPr="00054B27" w:rsidRDefault="00545414" w:rsidP="00AD362F">
      <w:pPr>
        <w:pStyle w:val="ListParagraph"/>
        <w:numPr>
          <w:ilvl w:val="1"/>
          <w:numId w:val="3"/>
        </w:numPr>
        <w:rPr>
          <w:rFonts w:ascii="Arial" w:hAnsi="Arial" w:cs="Arial"/>
          <w:snapToGrid w:val="0"/>
          <w:sz w:val="22"/>
          <w:szCs w:val="22"/>
        </w:rPr>
      </w:pPr>
      <w:r w:rsidRPr="00A75BA7">
        <w:rPr>
          <w:rFonts w:ascii="Arial" w:hAnsi="Arial" w:cs="Arial"/>
          <w:snapToGrid w:val="0"/>
          <w:sz w:val="22"/>
          <w:szCs w:val="22"/>
        </w:rPr>
        <w:lastRenderedPageBreak/>
        <w:t xml:space="preserve">For the primary program at year 5, the estimated number of patients was </w:t>
      </w:r>
      <w:r w:rsidR="000561A3">
        <w:rPr>
          <w:rFonts w:ascii="Arial" w:hAnsi="Arial" w:cs="Arial"/>
          <w:snapToGrid w:val="0"/>
          <w:sz w:val="22"/>
          <w:szCs w:val="22"/>
        </w:rPr>
        <w:t xml:space="preserve">100,000-200,000 </w:t>
      </w:r>
      <w:r w:rsidRPr="00A75BA7">
        <w:rPr>
          <w:rFonts w:ascii="Arial" w:hAnsi="Arial" w:cs="Arial"/>
          <w:snapToGrid w:val="0"/>
          <w:sz w:val="22"/>
          <w:szCs w:val="22"/>
        </w:rPr>
        <w:t xml:space="preserve">and the net cost to the NIP would be </w:t>
      </w:r>
      <w:r w:rsidR="000561A3" w:rsidRPr="00B500C0">
        <w:rPr>
          <w:rFonts w:ascii="Arial" w:hAnsi="Arial" w:cs="Arial"/>
          <w:snapToGrid w:val="0"/>
          <w:sz w:val="22"/>
          <w:szCs w:val="22"/>
        </w:rPr>
        <w:t>less than $10 million</w:t>
      </w:r>
      <w:r w:rsidRPr="00A75BA7">
        <w:rPr>
          <w:rFonts w:ascii="Arial" w:hAnsi="Arial" w:cs="Arial"/>
          <w:snapToGrid w:val="0"/>
          <w:sz w:val="22"/>
          <w:szCs w:val="22"/>
        </w:rPr>
        <w:t>. For the catch-up program at year</w:t>
      </w:r>
      <w:r w:rsidRPr="00545414">
        <w:rPr>
          <w:rFonts w:ascii="Arial" w:hAnsi="Arial" w:cs="Arial"/>
          <w:snapToGrid w:val="0"/>
          <w:sz w:val="22"/>
          <w:szCs w:val="22"/>
        </w:rPr>
        <w:t xml:space="preserve"> 5, the estimated number of patients was </w:t>
      </w:r>
      <w:r w:rsidR="006F76A0">
        <w:rPr>
          <w:rFonts w:ascii="Arial" w:hAnsi="Arial" w:cs="Arial"/>
          <w:snapToGrid w:val="0"/>
          <w:sz w:val="22"/>
          <w:szCs w:val="22"/>
        </w:rPr>
        <w:t xml:space="preserve">100,000 – 200,000 </w:t>
      </w:r>
      <w:r w:rsidRPr="00545414">
        <w:rPr>
          <w:rFonts w:ascii="Arial" w:hAnsi="Arial" w:cs="Arial"/>
          <w:snapToGrid w:val="0"/>
          <w:sz w:val="22"/>
          <w:szCs w:val="22"/>
        </w:rPr>
        <w:t>and the net cost to the NIP</w:t>
      </w:r>
      <w:r>
        <w:rPr>
          <w:rFonts w:ascii="Arial" w:hAnsi="Arial" w:cs="Arial"/>
          <w:snapToGrid w:val="0"/>
          <w:sz w:val="22"/>
          <w:szCs w:val="22"/>
        </w:rPr>
        <w:t>/MBS</w:t>
      </w:r>
      <w:r w:rsidRPr="00545414">
        <w:rPr>
          <w:rFonts w:ascii="Arial" w:hAnsi="Arial" w:cs="Arial"/>
          <w:snapToGrid w:val="0"/>
          <w:sz w:val="22"/>
          <w:szCs w:val="22"/>
        </w:rPr>
        <w:t xml:space="preserve"> would be </w:t>
      </w:r>
      <w:r w:rsidR="006F76A0" w:rsidRPr="006F76A0">
        <w:rPr>
          <w:rFonts w:ascii="Arial" w:hAnsi="Arial" w:cs="Arial"/>
          <w:snapToGrid w:val="0"/>
          <w:sz w:val="22"/>
          <w:szCs w:val="22"/>
        </w:rPr>
        <w:t>$10 - $20 million</w:t>
      </w:r>
      <w:r>
        <w:rPr>
          <w:rFonts w:ascii="Arial" w:hAnsi="Arial" w:cs="Arial"/>
          <w:snapToGrid w:val="0"/>
          <w:sz w:val="22"/>
          <w:szCs w:val="22"/>
        </w:rPr>
        <w:t>.</w:t>
      </w:r>
    </w:p>
    <w:p w:rsidR="00CE2C77" w:rsidRDefault="00CE2C77" w:rsidP="00AD362F">
      <w:pPr>
        <w:jc w:val="both"/>
        <w:rPr>
          <w:rFonts w:ascii="Arial" w:hAnsi="Arial" w:cs="Arial"/>
          <w:snapToGrid w:val="0"/>
          <w:sz w:val="22"/>
          <w:szCs w:val="22"/>
        </w:rPr>
      </w:pPr>
    </w:p>
    <w:p w:rsidR="00EF2AFE" w:rsidRPr="00EF2AFE" w:rsidRDefault="00EF2AFE" w:rsidP="005E67AE">
      <w:pPr>
        <w:ind w:left="709"/>
        <w:contextualSpacing/>
        <w:jc w:val="both"/>
        <w:rPr>
          <w:rFonts w:ascii="Arial" w:hAnsi="Arial" w:cs="Arial"/>
          <w:i/>
          <w:snapToGrid w:val="0"/>
          <w:sz w:val="22"/>
          <w:szCs w:val="22"/>
        </w:rPr>
      </w:pPr>
      <w:r w:rsidRPr="00EF2AFE">
        <w:rPr>
          <w:rFonts w:ascii="Arial" w:hAnsi="Arial" w:cs="Arial"/>
          <w:i/>
          <w:snapToGrid w:val="0"/>
          <w:sz w:val="22"/>
          <w:szCs w:val="22"/>
        </w:rPr>
        <w:t>For more detail on PBAC’s view, see section 7 “PBAC outcome”</w:t>
      </w:r>
    </w:p>
    <w:p w:rsidR="00EF2AFE" w:rsidRPr="00CE2C77" w:rsidRDefault="00EF2AFE" w:rsidP="00AD362F">
      <w:pPr>
        <w:jc w:val="both"/>
        <w:rPr>
          <w:rFonts w:ascii="Arial" w:hAnsi="Arial" w:cs="Arial"/>
          <w:snapToGrid w:val="0"/>
          <w:sz w:val="22"/>
          <w:szCs w:val="22"/>
        </w:rPr>
      </w:pPr>
    </w:p>
    <w:p w:rsidR="00CE2C77" w:rsidRPr="00947361" w:rsidRDefault="00CE2C77" w:rsidP="005125B6">
      <w:pPr>
        <w:pStyle w:val="Heading2"/>
      </w:pPr>
      <w:bookmarkStart w:id="15" w:name="_Toc409513713"/>
      <w:r w:rsidRPr="00947361">
        <w:t>Quality Use of Medicines</w:t>
      </w:r>
      <w:bookmarkEnd w:id="15"/>
    </w:p>
    <w:p w:rsidR="00CE2C77" w:rsidRPr="00CE2C77" w:rsidRDefault="00CE2C77" w:rsidP="00AD362F">
      <w:pPr>
        <w:keepNext/>
        <w:jc w:val="both"/>
        <w:rPr>
          <w:rFonts w:ascii="Arial" w:hAnsi="Arial" w:cs="Arial"/>
          <w:snapToGrid w:val="0"/>
          <w:sz w:val="22"/>
          <w:szCs w:val="22"/>
        </w:rPr>
      </w:pPr>
    </w:p>
    <w:p w:rsidR="00CE2C77" w:rsidRPr="00CE2C77" w:rsidRDefault="00CE2C77" w:rsidP="00AD362F">
      <w:pPr>
        <w:numPr>
          <w:ilvl w:val="1"/>
          <w:numId w:val="3"/>
        </w:numPr>
        <w:contextualSpacing/>
        <w:jc w:val="both"/>
        <w:rPr>
          <w:rFonts w:ascii="Arial" w:hAnsi="Arial" w:cs="Arial"/>
          <w:snapToGrid w:val="0"/>
          <w:sz w:val="22"/>
          <w:szCs w:val="20"/>
        </w:rPr>
      </w:pPr>
      <w:r w:rsidRPr="00CE2C77">
        <w:rPr>
          <w:rFonts w:ascii="Arial" w:hAnsi="Arial" w:cs="Arial"/>
          <w:snapToGrid w:val="0"/>
          <w:sz w:val="22"/>
          <w:szCs w:val="20"/>
        </w:rPr>
        <w:t xml:space="preserve">The Sponsor proposed to provide education to healthcare professionals and information for patients to help ensure appropriate use of 13vPCV. </w:t>
      </w:r>
    </w:p>
    <w:p w:rsidR="00CE2C77" w:rsidRDefault="00CE2C77" w:rsidP="00AD362F">
      <w:pPr>
        <w:jc w:val="both"/>
        <w:outlineLvl w:val="1"/>
        <w:rPr>
          <w:rFonts w:ascii="Arial" w:hAnsi="Arial" w:cs="Arial"/>
          <w:b/>
          <w:i/>
          <w:snapToGrid w:val="0"/>
          <w:sz w:val="22"/>
          <w:szCs w:val="20"/>
        </w:rPr>
      </w:pPr>
    </w:p>
    <w:p w:rsidR="00EF2AFE" w:rsidRPr="00EF2AFE" w:rsidRDefault="00EF2AFE" w:rsidP="005E67AE">
      <w:pPr>
        <w:ind w:left="709"/>
        <w:contextualSpacing/>
        <w:jc w:val="both"/>
        <w:rPr>
          <w:rFonts w:ascii="Arial" w:hAnsi="Arial" w:cs="Arial"/>
          <w:i/>
          <w:snapToGrid w:val="0"/>
          <w:sz w:val="22"/>
          <w:szCs w:val="22"/>
        </w:rPr>
      </w:pPr>
      <w:r w:rsidRPr="00EF2AFE">
        <w:rPr>
          <w:rFonts w:ascii="Arial" w:hAnsi="Arial" w:cs="Arial"/>
          <w:i/>
          <w:snapToGrid w:val="0"/>
          <w:sz w:val="22"/>
          <w:szCs w:val="22"/>
        </w:rPr>
        <w:t>For more detail on PBAC’s view, see section 7 “PBAC outcome”</w:t>
      </w:r>
    </w:p>
    <w:p w:rsidR="00EF2AFE" w:rsidRPr="00CE2C77" w:rsidRDefault="00EF2AFE" w:rsidP="00AD362F">
      <w:pPr>
        <w:jc w:val="both"/>
        <w:outlineLvl w:val="1"/>
        <w:rPr>
          <w:rFonts w:ascii="Arial" w:hAnsi="Arial" w:cs="Arial"/>
          <w:b/>
          <w:i/>
          <w:snapToGrid w:val="0"/>
          <w:sz w:val="22"/>
          <w:szCs w:val="20"/>
        </w:rPr>
      </w:pPr>
    </w:p>
    <w:p w:rsidR="00CE2C77" w:rsidRPr="00947361" w:rsidRDefault="00CE2C77" w:rsidP="005125B6">
      <w:pPr>
        <w:pStyle w:val="Heading2"/>
      </w:pPr>
      <w:bookmarkStart w:id="16" w:name="_Toc409513714"/>
      <w:r w:rsidRPr="00947361">
        <w:t>Financial Management – Risk Sharing Arrangements</w:t>
      </w:r>
      <w:bookmarkEnd w:id="16"/>
    </w:p>
    <w:p w:rsidR="00CE2C77" w:rsidRPr="00CE2C77" w:rsidRDefault="00CE2C77" w:rsidP="00AD362F">
      <w:pPr>
        <w:keepNext/>
        <w:jc w:val="both"/>
        <w:rPr>
          <w:rFonts w:ascii="Arial" w:hAnsi="Arial" w:cs="Arial"/>
          <w:snapToGrid w:val="0"/>
          <w:sz w:val="22"/>
          <w:szCs w:val="22"/>
        </w:rPr>
      </w:pPr>
    </w:p>
    <w:p w:rsidR="000B13D2" w:rsidRPr="0050768E" w:rsidRDefault="00CE2C77" w:rsidP="00AD362F">
      <w:pPr>
        <w:numPr>
          <w:ilvl w:val="1"/>
          <w:numId w:val="3"/>
        </w:numPr>
        <w:contextualSpacing/>
        <w:jc w:val="both"/>
        <w:rPr>
          <w:szCs w:val="20"/>
        </w:rPr>
      </w:pPr>
      <w:r w:rsidRPr="00CE2C77">
        <w:rPr>
          <w:rFonts w:ascii="Arial" w:hAnsi="Arial" w:cs="Arial"/>
          <w:snapToGrid w:val="0"/>
          <w:sz w:val="22"/>
          <w:szCs w:val="20"/>
        </w:rPr>
        <w:t>The submission stated that the sponso</w:t>
      </w:r>
      <w:r w:rsidR="00786C38">
        <w:rPr>
          <w:rFonts w:ascii="Arial" w:hAnsi="Arial" w:cs="Arial"/>
          <w:snapToGrid w:val="0"/>
          <w:sz w:val="22"/>
          <w:szCs w:val="20"/>
        </w:rPr>
        <w:t>r wa</w:t>
      </w:r>
      <w:r w:rsidRPr="00A15171">
        <w:rPr>
          <w:rFonts w:ascii="Arial" w:hAnsi="Arial" w:cs="Arial"/>
          <w:snapToGrid w:val="0"/>
          <w:sz w:val="22"/>
          <w:szCs w:val="20"/>
        </w:rPr>
        <w:t xml:space="preserve">s willing to undertake a risk sharing arrangement (RSA). No details were provided. </w:t>
      </w:r>
      <w:r w:rsidR="00634CA1" w:rsidRPr="00517B6E">
        <w:rPr>
          <w:rFonts w:ascii="Arial" w:hAnsi="Arial" w:cs="Arial"/>
          <w:snapToGrid w:val="0"/>
          <w:sz w:val="22"/>
          <w:szCs w:val="20"/>
        </w:rPr>
        <w:t>The PSCR stat</w:t>
      </w:r>
      <w:r w:rsidR="00786C38">
        <w:rPr>
          <w:rFonts w:ascii="Arial" w:hAnsi="Arial" w:cs="Arial"/>
          <w:snapToGrid w:val="0"/>
          <w:sz w:val="22"/>
          <w:szCs w:val="20"/>
        </w:rPr>
        <w:t>ed that the sponsor acknowledged the possibility of a RSA and wa</w:t>
      </w:r>
      <w:r w:rsidR="00634CA1" w:rsidRPr="00517B6E">
        <w:rPr>
          <w:rFonts w:ascii="Arial" w:hAnsi="Arial" w:cs="Arial"/>
          <w:snapToGrid w:val="0"/>
          <w:sz w:val="22"/>
          <w:szCs w:val="20"/>
        </w:rPr>
        <w:t>s willing work with relevant stakeholders.</w:t>
      </w:r>
    </w:p>
    <w:p w:rsidR="000B13D2" w:rsidRPr="00F42073" w:rsidRDefault="000B13D2" w:rsidP="00AD362F">
      <w:pPr>
        <w:ind w:left="720"/>
        <w:contextualSpacing/>
        <w:jc w:val="both"/>
        <w:rPr>
          <w:szCs w:val="20"/>
        </w:rPr>
      </w:pPr>
    </w:p>
    <w:p w:rsidR="000B13D2" w:rsidRPr="0050768E" w:rsidRDefault="000B13D2" w:rsidP="00AD362F">
      <w:pPr>
        <w:numPr>
          <w:ilvl w:val="1"/>
          <w:numId w:val="3"/>
        </w:numPr>
        <w:contextualSpacing/>
        <w:jc w:val="both"/>
        <w:rPr>
          <w:szCs w:val="20"/>
        </w:rPr>
      </w:pPr>
      <w:r w:rsidRPr="000B13D2">
        <w:rPr>
          <w:rFonts w:ascii="Arial" w:hAnsi="Arial" w:cs="Arial"/>
          <w:snapToGrid w:val="0"/>
          <w:sz w:val="22"/>
          <w:szCs w:val="20"/>
        </w:rPr>
        <w:t xml:space="preserve">ATAGI considered ongoing monitoring of the incremental benefits of the proposed 13vPCV program and the relative benefits of programmatic use of 13vPCV over 23vPPV is critical and should form part of the RSA (ATAGI </w:t>
      </w:r>
      <w:r w:rsidR="006E717C">
        <w:rPr>
          <w:rFonts w:ascii="Arial" w:hAnsi="Arial" w:cs="Arial"/>
          <w:snapToGrid w:val="0"/>
          <w:sz w:val="22"/>
          <w:szCs w:val="20"/>
        </w:rPr>
        <w:t>p</w:t>
      </w:r>
      <w:r w:rsidRPr="000B13D2">
        <w:rPr>
          <w:rFonts w:ascii="Arial" w:hAnsi="Arial" w:cs="Arial"/>
          <w:snapToGrid w:val="0"/>
          <w:sz w:val="22"/>
          <w:szCs w:val="20"/>
        </w:rPr>
        <w:t xml:space="preserve">re-PBAC </w:t>
      </w:r>
      <w:r w:rsidR="006E717C">
        <w:rPr>
          <w:rFonts w:ascii="Arial" w:hAnsi="Arial" w:cs="Arial"/>
          <w:snapToGrid w:val="0"/>
          <w:sz w:val="22"/>
          <w:szCs w:val="20"/>
        </w:rPr>
        <w:t>s</w:t>
      </w:r>
      <w:r w:rsidRPr="000B13D2">
        <w:rPr>
          <w:rFonts w:ascii="Arial" w:hAnsi="Arial" w:cs="Arial"/>
          <w:snapToGrid w:val="0"/>
          <w:sz w:val="22"/>
          <w:szCs w:val="20"/>
        </w:rPr>
        <w:t xml:space="preserve">ubmission </w:t>
      </w:r>
      <w:r w:rsidR="006E717C">
        <w:rPr>
          <w:rFonts w:ascii="Arial" w:hAnsi="Arial" w:cs="Arial"/>
          <w:snapToGrid w:val="0"/>
          <w:sz w:val="22"/>
          <w:szCs w:val="20"/>
        </w:rPr>
        <w:t>a</w:t>
      </w:r>
      <w:r w:rsidR="00786C38">
        <w:rPr>
          <w:rFonts w:ascii="Arial" w:hAnsi="Arial" w:cs="Arial"/>
          <w:snapToGrid w:val="0"/>
          <w:sz w:val="22"/>
          <w:szCs w:val="20"/>
        </w:rPr>
        <w:t>dvice</w:t>
      </w:r>
      <w:r w:rsidRPr="000B13D2">
        <w:rPr>
          <w:rFonts w:ascii="Arial" w:hAnsi="Arial" w:cs="Arial"/>
          <w:snapToGrid w:val="0"/>
          <w:sz w:val="22"/>
          <w:szCs w:val="20"/>
        </w:rPr>
        <w:t>).</w:t>
      </w:r>
      <w:r w:rsidR="00634CA1">
        <w:rPr>
          <w:rFonts w:ascii="Arial" w:hAnsi="Arial" w:cs="Arial"/>
          <w:snapToGrid w:val="0"/>
          <w:sz w:val="22"/>
          <w:szCs w:val="20"/>
        </w:rPr>
        <w:t xml:space="preserve"> </w:t>
      </w:r>
    </w:p>
    <w:p w:rsidR="003E3F27" w:rsidRDefault="003E3F27" w:rsidP="00AD362F"/>
    <w:p w:rsidR="00EF2AFE" w:rsidRPr="00EF2AFE" w:rsidRDefault="00EF2AFE" w:rsidP="005E67AE">
      <w:pPr>
        <w:ind w:left="709"/>
        <w:contextualSpacing/>
        <w:jc w:val="both"/>
        <w:rPr>
          <w:rFonts w:ascii="Arial" w:hAnsi="Arial" w:cs="Arial"/>
          <w:i/>
          <w:snapToGrid w:val="0"/>
          <w:sz w:val="22"/>
          <w:szCs w:val="22"/>
        </w:rPr>
      </w:pPr>
      <w:r w:rsidRPr="00EF2AFE">
        <w:rPr>
          <w:rFonts w:ascii="Arial" w:hAnsi="Arial" w:cs="Arial"/>
          <w:i/>
          <w:snapToGrid w:val="0"/>
          <w:sz w:val="22"/>
          <w:szCs w:val="22"/>
        </w:rPr>
        <w:t>For more detail on PBAC’s view, see section 7 “PBAC outcome”</w:t>
      </w:r>
    </w:p>
    <w:p w:rsidR="00834BF4" w:rsidRDefault="00834BF4" w:rsidP="00AD362F">
      <w:pPr>
        <w:contextualSpacing/>
        <w:rPr>
          <w:bCs/>
          <w:i/>
        </w:rPr>
      </w:pPr>
    </w:p>
    <w:p w:rsidR="00EA2B1F" w:rsidRDefault="00EA2B1F" w:rsidP="00AD362F">
      <w:pPr>
        <w:contextualSpacing/>
        <w:rPr>
          <w:bCs/>
          <w:i/>
        </w:rPr>
      </w:pPr>
    </w:p>
    <w:p w:rsidR="00EF2AFE" w:rsidRPr="00AB45C4" w:rsidRDefault="00EF2AFE" w:rsidP="00AB45C4">
      <w:pPr>
        <w:pStyle w:val="PBACHeading1"/>
      </w:pPr>
      <w:r w:rsidRPr="00AB45C4">
        <w:t xml:space="preserve">PBAC Outcome </w:t>
      </w:r>
    </w:p>
    <w:p w:rsidR="00EF2AFE" w:rsidRPr="00EF2AFE" w:rsidRDefault="00EF2AFE" w:rsidP="005E67AE">
      <w:pPr>
        <w:contextualSpacing/>
        <w:jc w:val="both"/>
        <w:rPr>
          <w:rFonts w:ascii="Arial" w:hAnsi="Arial" w:cs="Arial"/>
          <w:snapToGrid w:val="0"/>
          <w:sz w:val="22"/>
          <w:szCs w:val="22"/>
        </w:rPr>
      </w:pPr>
    </w:p>
    <w:p w:rsidR="000D64F3" w:rsidRPr="005E67AE" w:rsidRDefault="00EF2AFE" w:rsidP="005C77AA">
      <w:pPr>
        <w:numPr>
          <w:ilvl w:val="1"/>
          <w:numId w:val="3"/>
        </w:numPr>
        <w:contextualSpacing/>
        <w:jc w:val="both"/>
        <w:rPr>
          <w:rFonts w:ascii="Arial" w:hAnsi="Arial" w:cs="Arial"/>
          <w:snapToGrid w:val="0"/>
          <w:sz w:val="22"/>
          <w:szCs w:val="22"/>
        </w:rPr>
      </w:pPr>
      <w:r w:rsidRPr="00EF2AFE">
        <w:rPr>
          <w:rFonts w:ascii="Arial" w:hAnsi="Arial" w:cs="Arial"/>
          <w:snapToGrid w:val="0"/>
          <w:sz w:val="22"/>
          <w:szCs w:val="22"/>
        </w:rPr>
        <w:t xml:space="preserve">The PBAC </w:t>
      </w:r>
      <w:r w:rsidR="00FF2A86">
        <w:rPr>
          <w:rFonts w:ascii="Arial" w:hAnsi="Arial" w:cs="Arial"/>
          <w:snapToGrid w:val="0"/>
          <w:sz w:val="22"/>
          <w:szCs w:val="22"/>
        </w:rPr>
        <w:t xml:space="preserve">rejected the submission to list </w:t>
      </w:r>
      <w:r w:rsidR="00513B32">
        <w:rPr>
          <w:rFonts w:ascii="Arial" w:hAnsi="Arial" w:cs="Arial"/>
          <w:snapToGrid w:val="0"/>
          <w:sz w:val="22"/>
          <w:szCs w:val="22"/>
        </w:rPr>
        <w:t>13vPCV</w:t>
      </w:r>
      <w:r w:rsidR="00FF2A86">
        <w:rPr>
          <w:rFonts w:ascii="Arial" w:hAnsi="Arial" w:cs="Arial"/>
          <w:snapToGrid w:val="0"/>
          <w:sz w:val="22"/>
          <w:szCs w:val="22"/>
        </w:rPr>
        <w:t xml:space="preserve"> for the prevention of pneumococcal disease on the </w:t>
      </w:r>
      <w:r w:rsidR="008C1CB6">
        <w:rPr>
          <w:rFonts w:ascii="Arial" w:hAnsi="Arial" w:cs="Arial"/>
          <w:snapToGrid w:val="0"/>
          <w:sz w:val="22"/>
          <w:szCs w:val="22"/>
        </w:rPr>
        <w:t>NIP</w:t>
      </w:r>
      <w:r w:rsidR="00FF2A86">
        <w:rPr>
          <w:rFonts w:ascii="Arial" w:hAnsi="Arial" w:cs="Arial"/>
          <w:snapToGrid w:val="0"/>
          <w:sz w:val="22"/>
          <w:szCs w:val="22"/>
        </w:rPr>
        <w:t xml:space="preserve"> </w:t>
      </w:r>
      <w:r w:rsidR="00927E54">
        <w:rPr>
          <w:rFonts w:ascii="Arial" w:hAnsi="Arial" w:cs="Arial"/>
          <w:snapToGrid w:val="0"/>
          <w:sz w:val="22"/>
          <w:szCs w:val="22"/>
        </w:rPr>
        <w:t xml:space="preserve">for the requested population </w:t>
      </w:r>
      <w:r w:rsidR="008C1CB6">
        <w:rPr>
          <w:rFonts w:ascii="Arial" w:hAnsi="Arial" w:cs="Arial"/>
          <w:snapToGrid w:val="0"/>
          <w:sz w:val="22"/>
          <w:szCs w:val="22"/>
        </w:rPr>
        <w:t xml:space="preserve">on the basis of uncertain </w:t>
      </w:r>
      <w:r w:rsidR="00FF2A86">
        <w:rPr>
          <w:rFonts w:ascii="Arial" w:hAnsi="Arial" w:cs="Arial"/>
          <w:snapToGrid w:val="0"/>
          <w:sz w:val="22"/>
          <w:szCs w:val="22"/>
        </w:rPr>
        <w:t>cost</w:t>
      </w:r>
      <w:r w:rsidR="008C1CB6">
        <w:rPr>
          <w:rFonts w:ascii="Arial" w:hAnsi="Arial" w:cs="Arial"/>
          <w:snapToGrid w:val="0"/>
          <w:sz w:val="22"/>
          <w:szCs w:val="22"/>
        </w:rPr>
        <w:t>-</w:t>
      </w:r>
      <w:r w:rsidR="00FF2A86">
        <w:rPr>
          <w:rFonts w:ascii="Arial" w:hAnsi="Arial" w:cs="Arial"/>
          <w:snapToGrid w:val="0"/>
          <w:sz w:val="22"/>
          <w:szCs w:val="22"/>
        </w:rPr>
        <w:t xml:space="preserve">effectiveness. </w:t>
      </w:r>
      <w:r w:rsidR="005D0815">
        <w:rPr>
          <w:rFonts w:ascii="Arial" w:hAnsi="Arial" w:cs="Arial"/>
          <w:snapToGrid w:val="0"/>
          <w:sz w:val="22"/>
          <w:szCs w:val="22"/>
        </w:rPr>
        <w:t>While t</w:t>
      </w:r>
      <w:r w:rsidR="000D64F3" w:rsidRPr="005E67AE">
        <w:rPr>
          <w:rFonts w:ascii="Arial" w:hAnsi="Arial" w:cs="Arial"/>
          <w:snapToGrid w:val="0"/>
          <w:sz w:val="22"/>
          <w:szCs w:val="22"/>
        </w:rPr>
        <w:t xml:space="preserve">he PBAC considered that </w:t>
      </w:r>
      <w:r w:rsidR="000F51D4" w:rsidRPr="005E67AE">
        <w:rPr>
          <w:rFonts w:ascii="Arial" w:hAnsi="Arial" w:cs="Arial"/>
          <w:snapToGrid w:val="0"/>
          <w:sz w:val="22"/>
          <w:szCs w:val="22"/>
        </w:rPr>
        <w:t xml:space="preserve">13vPCV </w:t>
      </w:r>
      <w:r w:rsidR="00FB16CB">
        <w:rPr>
          <w:rFonts w:ascii="Arial" w:hAnsi="Arial" w:cs="Arial"/>
          <w:snapToGrid w:val="0"/>
          <w:sz w:val="22"/>
          <w:szCs w:val="22"/>
        </w:rPr>
        <w:t>wa</w:t>
      </w:r>
      <w:r w:rsidR="000F51D4" w:rsidRPr="005E67AE">
        <w:rPr>
          <w:rFonts w:ascii="Arial" w:hAnsi="Arial" w:cs="Arial"/>
          <w:snapToGrid w:val="0"/>
          <w:sz w:val="22"/>
          <w:szCs w:val="22"/>
        </w:rPr>
        <w:t xml:space="preserve">s </w:t>
      </w:r>
      <w:r w:rsidR="005D0815">
        <w:rPr>
          <w:rFonts w:ascii="Arial" w:hAnsi="Arial" w:cs="Arial"/>
          <w:snapToGrid w:val="0"/>
          <w:sz w:val="22"/>
          <w:szCs w:val="22"/>
        </w:rPr>
        <w:t xml:space="preserve">likely to be </w:t>
      </w:r>
      <w:r w:rsidR="000F51D4" w:rsidRPr="005E67AE">
        <w:rPr>
          <w:rFonts w:ascii="Arial" w:hAnsi="Arial" w:cs="Arial"/>
          <w:snapToGrid w:val="0"/>
          <w:sz w:val="22"/>
          <w:szCs w:val="22"/>
        </w:rPr>
        <w:t>superior to 23vPPV</w:t>
      </w:r>
      <w:r w:rsidR="000D64F3" w:rsidRPr="005E67AE">
        <w:rPr>
          <w:rFonts w:ascii="Arial" w:hAnsi="Arial" w:cs="Arial"/>
          <w:snapToGrid w:val="0"/>
          <w:sz w:val="22"/>
          <w:szCs w:val="22"/>
        </w:rPr>
        <w:t xml:space="preserve"> in terms of prevention of VT pneumonia</w:t>
      </w:r>
      <w:r w:rsidR="005D0815">
        <w:rPr>
          <w:rFonts w:ascii="Arial" w:hAnsi="Arial" w:cs="Arial"/>
          <w:snapToGrid w:val="0"/>
          <w:sz w:val="22"/>
          <w:szCs w:val="22"/>
        </w:rPr>
        <w:t xml:space="preserve">, </w:t>
      </w:r>
      <w:r w:rsidR="000D64F3" w:rsidRPr="005E67AE">
        <w:rPr>
          <w:rFonts w:ascii="Arial" w:hAnsi="Arial" w:cs="Arial"/>
          <w:snapToGrid w:val="0"/>
          <w:sz w:val="22"/>
          <w:szCs w:val="22"/>
        </w:rPr>
        <w:t>the submission did not provide</w:t>
      </w:r>
      <w:r w:rsidR="005C77AA" w:rsidRPr="005C77AA">
        <w:t xml:space="preserve"> </w:t>
      </w:r>
      <w:r w:rsidR="005C77AA" w:rsidRPr="005C77AA">
        <w:rPr>
          <w:rFonts w:ascii="Arial" w:hAnsi="Arial" w:cs="Arial"/>
          <w:snapToGrid w:val="0"/>
          <w:sz w:val="22"/>
          <w:szCs w:val="22"/>
        </w:rPr>
        <w:t>sufficient evidence to allow the PBAC to be confident</w:t>
      </w:r>
      <w:r w:rsidR="005C77AA">
        <w:rPr>
          <w:rFonts w:ascii="Arial" w:hAnsi="Arial" w:cs="Arial"/>
          <w:snapToGrid w:val="0"/>
          <w:sz w:val="22"/>
          <w:szCs w:val="22"/>
        </w:rPr>
        <w:t xml:space="preserve"> </w:t>
      </w:r>
      <w:r w:rsidR="000D64F3" w:rsidRPr="005E67AE">
        <w:rPr>
          <w:rFonts w:ascii="Arial" w:hAnsi="Arial" w:cs="Arial"/>
          <w:snapToGrid w:val="0"/>
          <w:sz w:val="22"/>
          <w:szCs w:val="22"/>
        </w:rPr>
        <w:t>that recommending 13vPCV at the requested p</w:t>
      </w:r>
      <w:r w:rsidR="005D0815" w:rsidRPr="005E67AE">
        <w:rPr>
          <w:rFonts w:ascii="Arial" w:hAnsi="Arial" w:cs="Arial"/>
          <w:snapToGrid w:val="0"/>
          <w:sz w:val="22"/>
          <w:szCs w:val="22"/>
        </w:rPr>
        <w:t>rice would be cost</w:t>
      </w:r>
      <w:r w:rsidR="005E7757">
        <w:rPr>
          <w:rFonts w:ascii="Arial" w:hAnsi="Arial" w:cs="Arial"/>
          <w:snapToGrid w:val="0"/>
          <w:sz w:val="22"/>
          <w:szCs w:val="22"/>
        </w:rPr>
        <w:t xml:space="preserve"> </w:t>
      </w:r>
      <w:r w:rsidR="000D64F3" w:rsidRPr="005E67AE">
        <w:rPr>
          <w:rFonts w:ascii="Arial" w:hAnsi="Arial" w:cs="Arial"/>
          <w:snapToGrid w:val="0"/>
          <w:sz w:val="22"/>
          <w:szCs w:val="22"/>
        </w:rPr>
        <w:t>effective.</w:t>
      </w:r>
    </w:p>
    <w:p w:rsidR="000A06B1" w:rsidRPr="000A06B1" w:rsidRDefault="000A06B1" w:rsidP="0001540C">
      <w:pPr>
        <w:jc w:val="both"/>
        <w:rPr>
          <w:rFonts w:ascii="Arial" w:hAnsi="Arial" w:cs="Arial"/>
          <w:snapToGrid w:val="0"/>
          <w:sz w:val="22"/>
          <w:szCs w:val="22"/>
        </w:rPr>
      </w:pPr>
    </w:p>
    <w:p w:rsidR="006D6A7A" w:rsidRPr="005E67AE" w:rsidRDefault="006D6A7A" w:rsidP="006E717C">
      <w:pPr>
        <w:pStyle w:val="ListParagraph"/>
        <w:numPr>
          <w:ilvl w:val="1"/>
          <w:numId w:val="3"/>
        </w:numPr>
        <w:jc w:val="both"/>
        <w:rPr>
          <w:rFonts w:ascii="Arial" w:hAnsi="Arial" w:cs="Arial"/>
          <w:snapToGrid w:val="0"/>
          <w:sz w:val="22"/>
          <w:szCs w:val="22"/>
        </w:rPr>
      </w:pPr>
      <w:r w:rsidRPr="006D6A7A">
        <w:rPr>
          <w:rFonts w:ascii="Arial" w:hAnsi="Arial" w:cs="Arial"/>
          <w:snapToGrid w:val="0"/>
          <w:sz w:val="22"/>
          <w:szCs w:val="22"/>
        </w:rPr>
        <w:t xml:space="preserve">The </w:t>
      </w:r>
      <w:r>
        <w:rPr>
          <w:rFonts w:ascii="Arial" w:hAnsi="Arial" w:cs="Arial"/>
          <w:snapToGrid w:val="0"/>
          <w:sz w:val="22"/>
          <w:szCs w:val="22"/>
        </w:rPr>
        <w:t>PBAC</w:t>
      </w:r>
      <w:r w:rsidRPr="006D6A7A">
        <w:rPr>
          <w:rFonts w:ascii="Arial" w:hAnsi="Arial" w:cs="Arial"/>
          <w:snapToGrid w:val="0"/>
          <w:sz w:val="22"/>
          <w:szCs w:val="22"/>
        </w:rPr>
        <w:t xml:space="preserve"> noted that the requested listing</w:t>
      </w:r>
      <w:r w:rsidR="007E0E7B">
        <w:rPr>
          <w:rFonts w:ascii="Arial" w:hAnsi="Arial" w:cs="Arial"/>
          <w:snapToGrid w:val="0"/>
          <w:sz w:val="22"/>
          <w:szCs w:val="22"/>
        </w:rPr>
        <w:t xml:space="preserve"> </w:t>
      </w:r>
      <w:r w:rsidR="001900B0">
        <w:rPr>
          <w:rFonts w:ascii="Arial" w:hAnsi="Arial" w:cs="Arial"/>
          <w:snapToGrid w:val="0"/>
          <w:sz w:val="22"/>
          <w:szCs w:val="22"/>
        </w:rPr>
        <w:t>for the primary program</w:t>
      </w:r>
      <w:r w:rsidR="001900B0" w:rsidRPr="006D6A7A">
        <w:rPr>
          <w:rFonts w:ascii="Arial" w:hAnsi="Arial" w:cs="Arial"/>
          <w:snapToGrid w:val="0"/>
          <w:sz w:val="22"/>
          <w:szCs w:val="22"/>
        </w:rPr>
        <w:t xml:space="preserve"> </w:t>
      </w:r>
      <w:r w:rsidRPr="006D6A7A">
        <w:rPr>
          <w:rFonts w:ascii="Arial" w:hAnsi="Arial" w:cs="Arial"/>
          <w:snapToGrid w:val="0"/>
          <w:sz w:val="22"/>
          <w:szCs w:val="22"/>
        </w:rPr>
        <w:t>was only for a specific year of age</w:t>
      </w:r>
      <w:r w:rsidR="000D5713">
        <w:rPr>
          <w:rFonts w:ascii="Arial" w:hAnsi="Arial" w:cs="Arial"/>
          <w:snapToGrid w:val="0"/>
          <w:sz w:val="22"/>
          <w:szCs w:val="22"/>
        </w:rPr>
        <w:t xml:space="preserve"> </w:t>
      </w:r>
      <w:r w:rsidR="000D5713" w:rsidRPr="006D6A7A">
        <w:rPr>
          <w:rFonts w:ascii="Arial" w:hAnsi="Arial" w:cs="Arial"/>
          <w:snapToGrid w:val="0"/>
          <w:sz w:val="22"/>
          <w:szCs w:val="22"/>
        </w:rPr>
        <w:t>(65 and 50 years for non-Indigenous and Indigenous adults, respectively)</w:t>
      </w:r>
      <w:r w:rsidRPr="006D6A7A">
        <w:rPr>
          <w:rFonts w:ascii="Arial" w:hAnsi="Arial" w:cs="Arial"/>
          <w:snapToGrid w:val="0"/>
          <w:sz w:val="22"/>
          <w:szCs w:val="22"/>
        </w:rPr>
        <w:t xml:space="preserve"> and may result in confusion and some adults missing the chance to receive the 13vPCV. </w:t>
      </w:r>
      <w:r w:rsidR="006E717C">
        <w:rPr>
          <w:rFonts w:ascii="Arial" w:hAnsi="Arial" w:cs="Arial"/>
          <w:snapToGrid w:val="0"/>
          <w:sz w:val="22"/>
          <w:szCs w:val="22"/>
        </w:rPr>
        <w:t xml:space="preserve">The PBAC noted that the </w:t>
      </w:r>
      <w:r w:rsidR="006E717C" w:rsidRPr="006E717C">
        <w:rPr>
          <w:rFonts w:ascii="Arial" w:hAnsi="Arial" w:cs="Arial"/>
          <w:snapToGrid w:val="0"/>
          <w:sz w:val="22"/>
          <w:szCs w:val="22"/>
        </w:rPr>
        <w:t xml:space="preserve">ATAGI ‘recommended that, in the primary program, a single dose of 13vPCV is offered for non-Indigenous adults from their 65th birthday and for Indigenous adults from their 50th birthday. Rather than single year of age target cohorts (non-Indigenous adults to their 66th birthday and Indigenous adults to their 51st birthday), ATAGI recommended that persons who become age-eligible under the primary program have continued eligibility for a single 13vPCV dose until they reach their 85th birthday, which is the current upper age limit of evidence of efficacy from the CAPiTA trial. This continued eligibility for a first dose </w:t>
      </w:r>
      <w:r w:rsidR="006E717C" w:rsidRPr="006E717C">
        <w:rPr>
          <w:rFonts w:ascii="Arial" w:hAnsi="Arial" w:cs="Arial"/>
          <w:snapToGrid w:val="0"/>
          <w:sz w:val="22"/>
          <w:szCs w:val="22"/>
        </w:rPr>
        <w:lastRenderedPageBreak/>
        <w:t>of 23vPPV is consistent with the current NIP program eligibility.’</w:t>
      </w:r>
      <w:r w:rsidR="00E04979">
        <w:rPr>
          <w:rFonts w:ascii="Arial" w:hAnsi="Arial" w:cs="Arial"/>
          <w:snapToGrid w:val="0"/>
          <w:sz w:val="22"/>
          <w:szCs w:val="22"/>
        </w:rPr>
        <w:t xml:space="preserve"> (ATAGI post-PBAC submission advice)</w:t>
      </w:r>
    </w:p>
    <w:p w:rsidR="005F661F" w:rsidRDefault="005F661F" w:rsidP="005E67AE">
      <w:pPr>
        <w:pStyle w:val="ListParagraph"/>
        <w:jc w:val="both"/>
        <w:rPr>
          <w:rFonts w:ascii="Arial" w:hAnsi="Arial" w:cs="Arial"/>
          <w:snapToGrid w:val="0"/>
          <w:sz w:val="22"/>
          <w:szCs w:val="22"/>
        </w:rPr>
      </w:pPr>
    </w:p>
    <w:p w:rsidR="001E2BDD" w:rsidRPr="001E2BDD" w:rsidRDefault="006D6A7A" w:rsidP="00200415">
      <w:pPr>
        <w:pStyle w:val="ListParagraph"/>
        <w:keepNext/>
        <w:keepLines/>
        <w:numPr>
          <w:ilvl w:val="1"/>
          <w:numId w:val="3"/>
        </w:numPr>
        <w:rPr>
          <w:rFonts w:ascii="Arial" w:hAnsi="Arial" w:cs="Arial"/>
          <w:snapToGrid w:val="0"/>
          <w:sz w:val="22"/>
          <w:szCs w:val="22"/>
        </w:rPr>
      </w:pPr>
      <w:r w:rsidRPr="001E2BDD">
        <w:rPr>
          <w:rFonts w:ascii="Arial" w:hAnsi="Arial" w:cs="Arial"/>
          <w:snapToGrid w:val="0"/>
          <w:sz w:val="22"/>
          <w:szCs w:val="22"/>
        </w:rPr>
        <w:t>The PBAC noted the PSCR proposed a revised catc</w:t>
      </w:r>
      <w:r w:rsidR="00697021" w:rsidRPr="001E2BDD">
        <w:rPr>
          <w:rFonts w:ascii="Arial" w:hAnsi="Arial" w:cs="Arial"/>
          <w:snapToGrid w:val="0"/>
          <w:sz w:val="22"/>
          <w:szCs w:val="22"/>
        </w:rPr>
        <w:t>h-up program for adults aged either 66</w:t>
      </w:r>
      <w:r w:rsidR="00697021" w:rsidRPr="001E2BDD">
        <w:rPr>
          <w:rFonts w:ascii="Arial" w:hAnsi="Arial" w:cs="Arial"/>
          <w:snapToGrid w:val="0"/>
          <w:sz w:val="22"/>
          <w:szCs w:val="22"/>
        </w:rPr>
        <w:noBreakHyphen/>
      </w:r>
      <w:r w:rsidRPr="001E2BDD">
        <w:rPr>
          <w:rFonts w:ascii="Arial" w:hAnsi="Arial" w:cs="Arial"/>
          <w:snapToGrid w:val="0"/>
          <w:sz w:val="22"/>
          <w:szCs w:val="22"/>
        </w:rPr>
        <w:t xml:space="preserve">74 years or 70-74 years. </w:t>
      </w:r>
      <w:r w:rsidR="001E2BDD">
        <w:rPr>
          <w:rFonts w:ascii="Arial" w:hAnsi="Arial" w:cs="Arial"/>
          <w:snapToGrid w:val="0"/>
          <w:sz w:val="22"/>
          <w:szCs w:val="22"/>
        </w:rPr>
        <w:t xml:space="preserve"> </w:t>
      </w:r>
      <w:r w:rsidR="006E717C" w:rsidRPr="006E717C">
        <w:rPr>
          <w:rFonts w:ascii="Arial" w:hAnsi="Arial" w:cs="Arial"/>
          <w:snapToGrid w:val="0"/>
          <w:sz w:val="22"/>
          <w:szCs w:val="22"/>
        </w:rPr>
        <w:t xml:space="preserve">The </w:t>
      </w:r>
      <w:r w:rsidR="006E717C">
        <w:rPr>
          <w:rFonts w:ascii="Arial" w:hAnsi="Arial" w:cs="Arial"/>
          <w:snapToGrid w:val="0"/>
          <w:sz w:val="22"/>
          <w:szCs w:val="22"/>
        </w:rPr>
        <w:t xml:space="preserve">PBAC noted that the </w:t>
      </w:r>
      <w:r w:rsidR="006E717C" w:rsidRPr="006E717C">
        <w:rPr>
          <w:rFonts w:ascii="Arial" w:hAnsi="Arial" w:cs="Arial"/>
          <w:snapToGrid w:val="0"/>
          <w:sz w:val="22"/>
          <w:szCs w:val="22"/>
        </w:rPr>
        <w:t>ATAGI</w:t>
      </w:r>
      <w:r w:rsidR="00E04979">
        <w:rPr>
          <w:rFonts w:ascii="Arial" w:hAnsi="Arial" w:cs="Arial"/>
          <w:snapToGrid w:val="0"/>
          <w:sz w:val="22"/>
          <w:szCs w:val="22"/>
        </w:rPr>
        <w:t xml:space="preserve"> </w:t>
      </w:r>
      <w:r w:rsidR="006E717C" w:rsidRPr="006E717C">
        <w:rPr>
          <w:rFonts w:ascii="Arial" w:hAnsi="Arial" w:cs="Arial"/>
          <w:snapToGrid w:val="0"/>
          <w:sz w:val="22"/>
          <w:szCs w:val="22"/>
        </w:rPr>
        <w:t>‘…recommended that those adults who had attained their 65th birthday (or 50th for Indigenous adults) prior to the commencement date of any primary 13vPCV NIP program receive a single dose of 13vPCV through the proposed 5-year catch-up program regardless of their previous 23vPPV vaccination history.</w:t>
      </w:r>
      <w:r w:rsidR="00E04979">
        <w:rPr>
          <w:rFonts w:ascii="Arial" w:hAnsi="Arial" w:cs="Arial"/>
          <w:snapToGrid w:val="0"/>
          <w:sz w:val="22"/>
          <w:szCs w:val="22"/>
        </w:rPr>
        <w:t xml:space="preserve">’ However, the </w:t>
      </w:r>
      <w:r w:rsidR="006E717C" w:rsidRPr="006E717C">
        <w:rPr>
          <w:rFonts w:ascii="Arial" w:hAnsi="Arial" w:cs="Arial"/>
          <w:snapToGrid w:val="0"/>
          <w:sz w:val="22"/>
          <w:szCs w:val="22"/>
        </w:rPr>
        <w:t xml:space="preserve">ATAGI </w:t>
      </w:r>
      <w:r w:rsidR="00E04979">
        <w:rPr>
          <w:rFonts w:ascii="Arial" w:hAnsi="Arial" w:cs="Arial"/>
          <w:snapToGrid w:val="0"/>
          <w:sz w:val="22"/>
          <w:szCs w:val="22"/>
        </w:rPr>
        <w:t>‘</w:t>
      </w:r>
      <w:r w:rsidR="006E717C" w:rsidRPr="006E717C">
        <w:rPr>
          <w:rFonts w:ascii="Arial" w:hAnsi="Arial" w:cs="Arial"/>
          <w:snapToGrid w:val="0"/>
          <w:sz w:val="22"/>
          <w:szCs w:val="22"/>
        </w:rPr>
        <w:t xml:space="preserve">noted the </w:t>
      </w:r>
      <w:r w:rsidR="00FB16CB">
        <w:rPr>
          <w:rFonts w:ascii="Arial" w:hAnsi="Arial" w:cs="Arial"/>
          <w:snapToGrid w:val="0"/>
          <w:sz w:val="22"/>
          <w:szCs w:val="22"/>
        </w:rPr>
        <w:t xml:space="preserve">[sponsor’s] </w:t>
      </w:r>
      <w:r w:rsidR="006E717C" w:rsidRPr="006E717C">
        <w:rPr>
          <w:rFonts w:ascii="Arial" w:hAnsi="Arial" w:cs="Arial"/>
          <w:snapToGrid w:val="0"/>
          <w:sz w:val="22"/>
          <w:szCs w:val="22"/>
        </w:rPr>
        <w:t>revised proposal…to consider limiting the eligible age window for the 5 year catch-up program to 70–74 years and supported this proposal from the perspective of program implementation’</w:t>
      </w:r>
      <w:r w:rsidR="00E04979">
        <w:rPr>
          <w:rFonts w:ascii="Arial" w:hAnsi="Arial" w:cs="Arial"/>
          <w:snapToGrid w:val="0"/>
          <w:sz w:val="22"/>
          <w:szCs w:val="22"/>
        </w:rPr>
        <w:t xml:space="preserve"> (ATAGI post-PBAC submission advice)</w:t>
      </w:r>
      <w:r w:rsidR="006E717C" w:rsidRPr="006E717C">
        <w:rPr>
          <w:rFonts w:ascii="Arial" w:hAnsi="Arial" w:cs="Arial"/>
          <w:snapToGrid w:val="0"/>
          <w:sz w:val="22"/>
          <w:szCs w:val="22"/>
        </w:rPr>
        <w:t>.</w:t>
      </w:r>
      <w:r w:rsidR="00E04979">
        <w:rPr>
          <w:rFonts w:ascii="Arial" w:hAnsi="Arial" w:cs="Arial"/>
          <w:snapToGrid w:val="0"/>
          <w:sz w:val="22"/>
          <w:szCs w:val="22"/>
        </w:rPr>
        <w:t xml:space="preserve"> </w:t>
      </w:r>
    </w:p>
    <w:p w:rsidR="005F661F" w:rsidRDefault="005F661F" w:rsidP="005E67AE">
      <w:pPr>
        <w:pStyle w:val="ListParagraph"/>
        <w:jc w:val="both"/>
        <w:rPr>
          <w:rFonts w:ascii="Arial" w:hAnsi="Arial" w:cs="Arial"/>
          <w:snapToGrid w:val="0"/>
          <w:sz w:val="22"/>
          <w:szCs w:val="22"/>
        </w:rPr>
      </w:pPr>
    </w:p>
    <w:p w:rsidR="005F661F" w:rsidRPr="004C126A" w:rsidRDefault="005F661F" w:rsidP="00E04979">
      <w:pPr>
        <w:numPr>
          <w:ilvl w:val="1"/>
          <w:numId w:val="3"/>
        </w:numPr>
        <w:contextualSpacing/>
        <w:jc w:val="both"/>
        <w:rPr>
          <w:rFonts w:ascii="Arial" w:hAnsi="Arial" w:cs="Arial"/>
          <w:snapToGrid w:val="0"/>
          <w:sz w:val="22"/>
          <w:szCs w:val="22"/>
        </w:rPr>
      </w:pPr>
      <w:r>
        <w:rPr>
          <w:rFonts w:ascii="Arial" w:hAnsi="Arial" w:cs="Arial"/>
          <w:snapToGrid w:val="0"/>
          <w:sz w:val="22"/>
          <w:szCs w:val="22"/>
        </w:rPr>
        <w:t>The PBAC considered that the comparators</w:t>
      </w:r>
      <w:r w:rsidR="00697021">
        <w:rPr>
          <w:rFonts w:ascii="Arial" w:hAnsi="Arial" w:cs="Arial"/>
          <w:snapToGrid w:val="0"/>
          <w:sz w:val="22"/>
          <w:szCs w:val="22"/>
        </w:rPr>
        <w:t xml:space="preserve"> nominated in the submission</w:t>
      </w:r>
      <w:r w:rsidR="00CF744B">
        <w:rPr>
          <w:rFonts w:ascii="Arial" w:hAnsi="Arial" w:cs="Arial"/>
          <w:snapToGrid w:val="0"/>
          <w:sz w:val="22"/>
          <w:szCs w:val="22"/>
        </w:rPr>
        <w:t>,</w:t>
      </w:r>
      <w:r>
        <w:rPr>
          <w:rFonts w:ascii="Arial" w:hAnsi="Arial" w:cs="Arial"/>
          <w:snapToGrid w:val="0"/>
          <w:sz w:val="22"/>
          <w:szCs w:val="22"/>
        </w:rPr>
        <w:t xml:space="preserve"> </w:t>
      </w:r>
      <w:r w:rsidR="00697021">
        <w:rPr>
          <w:rFonts w:ascii="Arial" w:hAnsi="Arial" w:cs="Arial"/>
          <w:snapToGrid w:val="0"/>
          <w:sz w:val="22"/>
          <w:szCs w:val="22"/>
        </w:rPr>
        <w:t xml:space="preserve">of </w:t>
      </w:r>
      <w:r>
        <w:rPr>
          <w:rFonts w:ascii="Arial" w:hAnsi="Arial" w:cs="Arial"/>
          <w:snapToGrid w:val="0"/>
          <w:sz w:val="22"/>
          <w:szCs w:val="22"/>
        </w:rPr>
        <w:t>23vPPV for the primary program and no vaccine for the catch-up program</w:t>
      </w:r>
      <w:r w:rsidR="00CF744B">
        <w:rPr>
          <w:rFonts w:ascii="Arial" w:hAnsi="Arial" w:cs="Arial"/>
          <w:snapToGrid w:val="0"/>
          <w:sz w:val="22"/>
          <w:szCs w:val="22"/>
        </w:rPr>
        <w:t>,</w:t>
      </w:r>
      <w:r>
        <w:rPr>
          <w:rFonts w:ascii="Arial" w:hAnsi="Arial" w:cs="Arial"/>
          <w:snapToGrid w:val="0"/>
          <w:sz w:val="22"/>
          <w:szCs w:val="22"/>
        </w:rPr>
        <w:t xml:space="preserve"> were appropriate. However</w:t>
      </w:r>
      <w:r w:rsidR="00CD0491">
        <w:rPr>
          <w:rFonts w:ascii="Arial" w:hAnsi="Arial" w:cs="Arial"/>
          <w:snapToGrid w:val="0"/>
          <w:sz w:val="22"/>
          <w:szCs w:val="22"/>
        </w:rPr>
        <w:t xml:space="preserve">, the PBAC considered that </w:t>
      </w:r>
      <w:r>
        <w:rPr>
          <w:rFonts w:ascii="Arial" w:hAnsi="Arial" w:cs="Arial"/>
          <w:snapToGrid w:val="0"/>
          <w:sz w:val="22"/>
          <w:szCs w:val="22"/>
        </w:rPr>
        <w:t xml:space="preserve">using no vaccine as the comparator </w:t>
      </w:r>
      <w:r w:rsidR="00CD0491">
        <w:rPr>
          <w:rFonts w:ascii="Arial" w:hAnsi="Arial" w:cs="Arial"/>
          <w:snapToGrid w:val="0"/>
          <w:sz w:val="22"/>
          <w:szCs w:val="22"/>
        </w:rPr>
        <w:t>wa</w:t>
      </w:r>
      <w:r>
        <w:rPr>
          <w:rFonts w:ascii="Arial" w:hAnsi="Arial" w:cs="Arial"/>
          <w:snapToGrid w:val="0"/>
          <w:sz w:val="22"/>
          <w:szCs w:val="22"/>
        </w:rPr>
        <w:t>s not reasonable</w:t>
      </w:r>
      <w:r w:rsidRPr="008E6D1A">
        <w:rPr>
          <w:rFonts w:ascii="Arial" w:hAnsi="Arial" w:cs="Arial"/>
          <w:snapToGrid w:val="0"/>
          <w:sz w:val="22"/>
          <w:szCs w:val="22"/>
        </w:rPr>
        <w:t xml:space="preserve"> for</w:t>
      </w:r>
      <w:r>
        <w:rPr>
          <w:rFonts w:ascii="Arial" w:hAnsi="Arial" w:cs="Arial"/>
          <w:snapToGrid w:val="0"/>
          <w:sz w:val="22"/>
          <w:szCs w:val="22"/>
        </w:rPr>
        <w:t xml:space="preserve"> a sub-population of the catch-up program. A</w:t>
      </w:r>
      <w:r w:rsidRPr="008E6D1A">
        <w:rPr>
          <w:rFonts w:ascii="Arial" w:hAnsi="Arial" w:cs="Arial"/>
          <w:snapToGrid w:val="0"/>
          <w:sz w:val="22"/>
          <w:szCs w:val="22"/>
        </w:rPr>
        <w:t xml:space="preserve">dults with risk factors for pneumococcal infections </w:t>
      </w:r>
      <w:r>
        <w:rPr>
          <w:rFonts w:ascii="Arial" w:hAnsi="Arial" w:cs="Arial"/>
          <w:snapToGrid w:val="0"/>
          <w:sz w:val="22"/>
          <w:szCs w:val="22"/>
        </w:rPr>
        <w:t>may have already received an initial dose of 23vPPV</w:t>
      </w:r>
      <w:r w:rsidR="00CD0491">
        <w:rPr>
          <w:rFonts w:ascii="Arial" w:hAnsi="Arial" w:cs="Arial"/>
          <w:snapToGrid w:val="0"/>
          <w:sz w:val="22"/>
          <w:szCs w:val="22"/>
        </w:rPr>
        <w:t>.</w:t>
      </w:r>
      <w:r>
        <w:rPr>
          <w:rFonts w:ascii="Arial" w:hAnsi="Arial" w:cs="Arial"/>
          <w:snapToGrid w:val="0"/>
          <w:sz w:val="22"/>
          <w:szCs w:val="22"/>
        </w:rPr>
        <w:t xml:space="preserve"> </w:t>
      </w:r>
      <w:r w:rsidR="00CD0491">
        <w:rPr>
          <w:rFonts w:ascii="Arial" w:hAnsi="Arial" w:cs="Arial"/>
          <w:snapToGrid w:val="0"/>
          <w:sz w:val="22"/>
          <w:szCs w:val="22"/>
        </w:rPr>
        <w:t xml:space="preserve">Accordingly, the PBAC considered that the </w:t>
      </w:r>
      <w:r w:rsidRPr="008E6D1A">
        <w:rPr>
          <w:rFonts w:ascii="Arial" w:hAnsi="Arial" w:cs="Arial"/>
          <w:snapToGrid w:val="0"/>
          <w:sz w:val="22"/>
          <w:szCs w:val="22"/>
        </w:rPr>
        <w:t>13vPCV dose may replace the second dose of 23vPPV</w:t>
      </w:r>
      <w:r w:rsidR="00CD0491">
        <w:rPr>
          <w:rFonts w:ascii="Arial" w:hAnsi="Arial" w:cs="Arial"/>
          <w:snapToGrid w:val="0"/>
          <w:sz w:val="22"/>
          <w:szCs w:val="22"/>
        </w:rPr>
        <w:t xml:space="preserve"> for this population</w:t>
      </w:r>
      <w:r w:rsidRPr="008E6D1A">
        <w:rPr>
          <w:rFonts w:ascii="Arial" w:hAnsi="Arial" w:cs="Arial"/>
          <w:snapToGrid w:val="0"/>
          <w:sz w:val="22"/>
          <w:szCs w:val="22"/>
        </w:rPr>
        <w:t>.</w:t>
      </w:r>
      <w:r w:rsidR="00E04979">
        <w:rPr>
          <w:rFonts w:ascii="Arial" w:hAnsi="Arial" w:cs="Arial"/>
          <w:snapToGrid w:val="0"/>
          <w:sz w:val="22"/>
          <w:szCs w:val="22"/>
        </w:rPr>
        <w:t xml:space="preserve"> Indeed, the ATAGI </w:t>
      </w:r>
      <w:r w:rsidR="00E04979" w:rsidRPr="00E04979">
        <w:rPr>
          <w:rFonts w:ascii="Arial" w:hAnsi="Arial" w:cs="Arial"/>
          <w:snapToGrid w:val="0"/>
          <w:sz w:val="22"/>
          <w:szCs w:val="22"/>
        </w:rPr>
        <w:t>recommended that the 13vPCV dose provided through the catch-up program for those with risk factors should replace the recommended second dose of 23vPPV in those who have already received their first dose of 23vPPV under the existing program</w:t>
      </w:r>
      <w:r w:rsidR="00E04979">
        <w:rPr>
          <w:rFonts w:ascii="Arial" w:hAnsi="Arial" w:cs="Arial"/>
          <w:snapToGrid w:val="0"/>
          <w:sz w:val="22"/>
          <w:szCs w:val="22"/>
        </w:rPr>
        <w:t xml:space="preserve"> (ATAGI post-PBAC submission advice).</w:t>
      </w:r>
    </w:p>
    <w:p w:rsidR="005F661F" w:rsidRPr="00CF744B" w:rsidRDefault="005F661F" w:rsidP="00AD362F">
      <w:pPr>
        <w:rPr>
          <w:rFonts w:ascii="Arial" w:hAnsi="Arial" w:cs="Arial"/>
          <w:snapToGrid w:val="0"/>
          <w:sz w:val="22"/>
          <w:szCs w:val="22"/>
        </w:rPr>
      </w:pPr>
    </w:p>
    <w:p w:rsidR="00770A7F" w:rsidRDefault="00770A7F" w:rsidP="005E67AE">
      <w:pPr>
        <w:numPr>
          <w:ilvl w:val="1"/>
          <w:numId w:val="3"/>
        </w:numPr>
        <w:contextualSpacing/>
        <w:jc w:val="both"/>
        <w:rPr>
          <w:rFonts w:ascii="Arial" w:hAnsi="Arial" w:cs="Arial"/>
          <w:snapToGrid w:val="0"/>
          <w:sz w:val="22"/>
          <w:szCs w:val="22"/>
        </w:rPr>
      </w:pPr>
      <w:r w:rsidRPr="002B7A73">
        <w:rPr>
          <w:rFonts w:ascii="Arial" w:hAnsi="Arial" w:cs="Arial"/>
          <w:snapToGrid w:val="0"/>
          <w:sz w:val="22"/>
          <w:szCs w:val="22"/>
        </w:rPr>
        <w:t>The PBAC noted that the inclusion criteria</w:t>
      </w:r>
      <w:r>
        <w:rPr>
          <w:rFonts w:ascii="Arial" w:hAnsi="Arial" w:cs="Arial"/>
          <w:snapToGrid w:val="0"/>
          <w:sz w:val="22"/>
          <w:szCs w:val="22"/>
        </w:rPr>
        <w:t xml:space="preserve"> for the CAPiTA trial</w:t>
      </w:r>
      <w:r w:rsidRPr="002B7A73">
        <w:rPr>
          <w:rFonts w:ascii="Arial" w:hAnsi="Arial" w:cs="Arial"/>
          <w:snapToGrid w:val="0"/>
          <w:sz w:val="22"/>
          <w:szCs w:val="22"/>
        </w:rPr>
        <w:t xml:space="preserve"> were narrow in terms of excluding subjects previously vaccinated with a pneumococcal vaccine, subjects with immune deficiency or suppression and residents of aged care facilities.</w:t>
      </w:r>
      <w:r>
        <w:rPr>
          <w:rFonts w:ascii="Arial" w:hAnsi="Arial" w:cs="Arial"/>
          <w:snapToGrid w:val="0"/>
          <w:sz w:val="22"/>
          <w:szCs w:val="22"/>
        </w:rPr>
        <w:t xml:space="preserve"> Accordingly, the efficacy of 13vPCV may be </w:t>
      </w:r>
      <w:r w:rsidR="003352B7">
        <w:rPr>
          <w:rFonts w:ascii="Arial" w:hAnsi="Arial" w:cs="Arial"/>
          <w:snapToGrid w:val="0"/>
          <w:sz w:val="22"/>
          <w:szCs w:val="22"/>
        </w:rPr>
        <w:t>lower</w:t>
      </w:r>
      <w:r>
        <w:rPr>
          <w:rFonts w:ascii="Arial" w:hAnsi="Arial" w:cs="Arial"/>
          <w:snapToGrid w:val="0"/>
          <w:sz w:val="22"/>
          <w:szCs w:val="22"/>
        </w:rPr>
        <w:t xml:space="preserve"> in the NIP population compared with the CAPiTA population.</w:t>
      </w:r>
    </w:p>
    <w:p w:rsidR="00965017" w:rsidRPr="00675FA3" w:rsidRDefault="00965017" w:rsidP="0001540C">
      <w:pPr>
        <w:contextualSpacing/>
        <w:jc w:val="both"/>
        <w:rPr>
          <w:rFonts w:ascii="Arial" w:hAnsi="Arial" w:cs="Arial"/>
          <w:snapToGrid w:val="0"/>
          <w:sz w:val="22"/>
          <w:szCs w:val="20"/>
        </w:rPr>
      </w:pPr>
    </w:p>
    <w:p w:rsidR="003352B7" w:rsidRPr="005E67AE" w:rsidRDefault="003352B7" w:rsidP="003352B7">
      <w:pPr>
        <w:numPr>
          <w:ilvl w:val="1"/>
          <w:numId w:val="3"/>
        </w:numPr>
        <w:contextualSpacing/>
        <w:jc w:val="both"/>
        <w:rPr>
          <w:rFonts w:ascii="Arial" w:hAnsi="Arial" w:cs="Arial"/>
          <w:snapToGrid w:val="0"/>
          <w:sz w:val="22"/>
          <w:szCs w:val="20"/>
        </w:rPr>
      </w:pPr>
      <w:r w:rsidRPr="005E67AE">
        <w:rPr>
          <w:rFonts w:ascii="Arial" w:hAnsi="Arial" w:cs="Arial"/>
          <w:snapToGrid w:val="0"/>
          <w:sz w:val="22"/>
          <w:szCs w:val="22"/>
        </w:rPr>
        <w:t xml:space="preserve">The PBAC </w:t>
      </w:r>
      <w:r w:rsidR="00454C00">
        <w:rPr>
          <w:rFonts w:ascii="Arial" w:hAnsi="Arial" w:cs="Arial"/>
          <w:snapToGrid w:val="0"/>
          <w:sz w:val="22"/>
          <w:szCs w:val="22"/>
        </w:rPr>
        <w:t xml:space="preserve">considered </w:t>
      </w:r>
      <w:r w:rsidRPr="005E67AE">
        <w:rPr>
          <w:rFonts w:ascii="Arial" w:hAnsi="Arial" w:cs="Arial"/>
          <w:snapToGrid w:val="0"/>
          <w:sz w:val="22"/>
          <w:szCs w:val="22"/>
        </w:rPr>
        <w:t xml:space="preserve">that the CAPiTA trial showed good evidence for the efficacy of 13vPCV against pneumococcal pneumonia compared </w:t>
      </w:r>
      <w:r w:rsidR="00FB16CB">
        <w:rPr>
          <w:rFonts w:ascii="Arial" w:hAnsi="Arial" w:cs="Arial"/>
          <w:snapToGrid w:val="0"/>
          <w:sz w:val="22"/>
          <w:szCs w:val="22"/>
        </w:rPr>
        <w:t>with</w:t>
      </w:r>
      <w:r w:rsidRPr="005E67AE">
        <w:rPr>
          <w:rFonts w:ascii="Arial" w:hAnsi="Arial" w:cs="Arial"/>
          <w:snapToGrid w:val="0"/>
          <w:sz w:val="22"/>
          <w:szCs w:val="22"/>
        </w:rPr>
        <w:t xml:space="preserve"> placebo. </w:t>
      </w:r>
      <w:r w:rsidRPr="005E67AE">
        <w:rPr>
          <w:rFonts w:ascii="Arial" w:hAnsi="Arial" w:cs="Arial"/>
          <w:snapToGrid w:val="0"/>
          <w:sz w:val="22"/>
          <w:szCs w:val="20"/>
        </w:rPr>
        <w:t xml:space="preserve">While noting the limitations in the available evidence for 23vPPV, the PBAC considered </w:t>
      </w:r>
      <w:r w:rsidR="00FB16CB">
        <w:rPr>
          <w:rFonts w:ascii="Arial" w:hAnsi="Arial" w:cs="Arial"/>
          <w:snapToGrid w:val="0"/>
          <w:sz w:val="22"/>
          <w:szCs w:val="22"/>
        </w:rPr>
        <w:t>that 13vPCV was</w:t>
      </w:r>
      <w:r w:rsidRPr="005E67AE">
        <w:rPr>
          <w:rFonts w:ascii="Arial" w:hAnsi="Arial" w:cs="Arial"/>
          <w:snapToGrid w:val="0"/>
          <w:sz w:val="22"/>
          <w:szCs w:val="22"/>
        </w:rPr>
        <w:t xml:space="preserve"> likely to be superior to 23vPPV in terms of prevention of VT pneumonia. </w:t>
      </w:r>
      <w:r w:rsidR="00C24D72">
        <w:rPr>
          <w:rFonts w:ascii="Arial" w:hAnsi="Arial" w:cs="Arial"/>
          <w:snapToGrid w:val="0"/>
          <w:sz w:val="22"/>
          <w:szCs w:val="22"/>
        </w:rPr>
        <w:t>However, t</w:t>
      </w:r>
      <w:r w:rsidRPr="005E67AE">
        <w:rPr>
          <w:rFonts w:ascii="Arial" w:hAnsi="Arial" w:cs="Arial"/>
          <w:snapToGrid w:val="0"/>
          <w:sz w:val="22"/>
          <w:szCs w:val="22"/>
        </w:rPr>
        <w:t xml:space="preserve">he PBAC </w:t>
      </w:r>
      <w:r w:rsidR="00C24D72">
        <w:rPr>
          <w:rFonts w:ascii="Arial" w:hAnsi="Arial" w:cs="Arial"/>
          <w:snapToGrid w:val="0"/>
          <w:sz w:val="22"/>
          <w:szCs w:val="22"/>
        </w:rPr>
        <w:t>considered</w:t>
      </w:r>
      <w:r w:rsidRPr="005E67AE">
        <w:rPr>
          <w:rFonts w:ascii="Arial" w:hAnsi="Arial" w:cs="Arial"/>
          <w:snapToGrid w:val="0"/>
          <w:sz w:val="22"/>
          <w:szCs w:val="22"/>
        </w:rPr>
        <w:t xml:space="preserve"> that the </w:t>
      </w:r>
      <w:r w:rsidR="00C24D72">
        <w:rPr>
          <w:rFonts w:ascii="Arial" w:hAnsi="Arial" w:cs="Arial"/>
          <w:snapToGrid w:val="0"/>
          <w:sz w:val="22"/>
          <w:szCs w:val="22"/>
        </w:rPr>
        <w:t>magnitude of this superiority</w:t>
      </w:r>
      <w:r w:rsidRPr="00855405">
        <w:rPr>
          <w:rFonts w:ascii="Arial" w:hAnsi="Arial" w:cs="Arial"/>
          <w:snapToGrid w:val="0"/>
          <w:sz w:val="22"/>
          <w:szCs w:val="22"/>
        </w:rPr>
        <w:t xml:space="preserve"> was unclear</w:t>
      </w:r>
      <w:r w:rsidR="00454C00">
        <w:rPr>
          <w:rFonts w:ascii="Arial" w:hAnsi="Arial" w:cs="Arial"/>
          <w:snapToGrid w:val="0"/>
          <w:sz w:val="22"/>
          <w:szCs w:val="22"/>
        </w:rPr>
        <w:t xml:space="preserve"> due to a lack of evidence of the efficacy of 23vPPV</w:t>
      </w:r>
      <w:r w:rsidRPr="00855405">
        <w:rPr>
          <w:rFonts w:ascii="Arial" w:hAnsi="Arial" w:cs="Arial"/>
          <w:snapToGrid w:val="0"/>
          <w:sz w:val="22"/>
          <w:szCs w:val="22"/>
        </w:rPr>
        <w:t>.</w:t>
      </w:r>
    </w:p>
    <w:p w:rsidR="005D0815" w:rsidRPr="005E67AE" w:rsidRDefault="005D0815" w:rsidP="0001540C">
      <w:pPr>
        <w:contextualSpacing/>
        <w:jc w:val="both"/>
        <w:rPr>
          <w:rFonts w:ascii="Arial" w:hAnsi="Arial" w:cs="Arial"/>
          <w:snapToGrid w:val="0"/>
          <w:sz w:val="22"/>
          <w:szCs w:val="20"/>
        </w:rPr>
      </w:pPr>
    </w:p>
    <w:p w:rsidR="005F661F" w:rsidRDefault="005F661F" w:rsidP="005E67AE">
      <w:pPr>
        <w:numPr>
          <w:ilvl w:val="1"/>
          <w:numId w:val="3"/>
        </w:numPr>
        <w:contextualSpacing/>
        <w:jc w:val="both"/>
        <w:rPr>
          <w:rFonts w:ascii="Arial" w:hAnsi="Arial" w:cs="Arial"/>
          <w:snapToGrid w:val="0"/>
          <w:sz w:val="22"/>
          <w:szCs w:val="22"/>
        </w:rPr>
      </w:pPr>
      <w:r>
        <w:rPr>
          <w:rFonts w:ascii="Arial" w:hAnsi="Arial" w:cs="Arial"/>
          <w:snapToGrid w:val="0"/>
          <w:sz w:val="22"/>
          <w:szCs w:val="22"/>
        </w:rPr>
        <w:t>The PBAC agreed with the ESC</w:t>
      </w:r>
      <w:r w:rsidR="00BF5E5A" w:rsidRPr="00BF5E5A">
        <w:t xml:space="preserve"> </w:t>
      </w:r>
      <w:r w:rsidR="00BF5E5A" w:rsidRPr="00BF5E5A">
        <w:rPr>
          <w:rFonts w:ascii="Arial" w:hAnsi="Arial" w:cs="Arial"/>
          <w:snapToGrid w:val="0"/>
          <w:sz w:val="22"/>
          <w:szCs w:val="22"/>
        </w:rPr>
        <w:t xml:space="preserve">that the </w:t>
      </w:r>
      <w:r w:rsidR="00566EF1">
        <w:rPr>
          <w:rFonts w:ascii="Arial" w:hAnsi="Arial" w:cs="Arial"/>
          <w:snapToGrid w:val="0"/>
          <w:sz w:val="22"/>
          <w:szCs w:val="22"/>
        </w:rPr>
        <w:t xml:space="preserve">methodology used to calculate the event rates in the </w:t>
      </w:r>
      <w:r w:rsidR="00BF5E5A" w:rsidRPr="00BF5E5A">
        <w:rPr>
          <w:rFonts w:ascii="Arial" w:hAnsi="Arial" w:cs="Arial"/>
          <w:snapToGrid w:val="0"/>
          <w:sz w:val="22"/>
          <w:szCs w:val="22"/>
        </w:rPr>
        <w:t xml:space="preserve">evaluation were </w:t>
      </w:r>
      <w:r w:rsidR="00566EF1">
        <w:rPr>
          <w:rFonts w:ascii="Arial" w:hAnsi="Arial" w:cs="Arial"/>
          <w:snapToGrid w:val="0"/>
          <w:sz w:val="22"/>
          <w:szCs w:val="22"/>
        </w:rPr>
        <w:t>more appropriate than those presented in the submission or the PSCR</w:t>
      </w:r>
      <w:r>
        <w:rPr>
          <w:rFonts w:ascii="Arial" w:hAnsi="Arial" w:cs="Arial"/>
          <w:snapToGrid w:val="0"/>
          <w:sz w:val="22"/>
          <w:szCs w:val="22"/>
        </w:rPr>
        <w:t>.</w:t>
      </w:r>
      <w:r w:rsidRPr="00410C2C">
        <w:rPr>
          <w:rFonts w:ascii="Arial" w:hAnsi="Arial" w:cs="Arial"/>
          <w:snapToGrid w:val="0"/>
          <w:sz w:val="22"/>
          <w:szCs w:val="22"/>
        </w:rPr>
        <w:t xml:space="preserve"> For primary prevention, the submission estimated a reduction</w:t>
      </w:r>
      <w:r w:rsidR="009A2146">
        <w:rPr>
          <w:rFonts w:ascii="Arial" w:hAnsi="Arial" w:cs="Arial"/>
          <w:snapToGrid w:val="0"/>
          <w:sz w:val="22"/>
          <w:szCs w:val="22"/>
        </w:rPr>
        <w:t xml:space="preserve"> of</w:t>
      </w:r>
      <w:r w:rsidRPr="00410C2C">
        <w:rPr>
          <w:rFonts w:ascii="Arial" w:hAnsi="Arial" w:cs="Arial"/>
          <w:snapToGrid w:val="0"/>
          <w:sz w:val="22"/>
          <w:szCs w:val="22"/>
        </w:rPr>
        <w:t xml:space="preserve"> 16.67 hospital treated pneumonia events and 8.49 GP treated pneumonia events per 1,000 population. The corrected estimates </w:t>
      </w:r>
      <w:r w:rsidR="00566EF1">
        <w:rPr>
          <w:rFonts w:ascii="Arial" w:hAnsi="Arial" w:cs="Arial"/>
          <w:snapToGrid w:val="0"/>
          <w:sz w:val="22"/>
          <w:szCs w:val="22"/>
        </w:rPr>
        <w:t>were</w:t>
      </w:r>
      <w:r w:rsidR="00566EF1" w:rsidRPr="00410C2C">
        <w:rPr>
          <w:rFonts w:ascii="Arial" w:hAnsi="Arial" w:cs="Arial"/>
          <w:snapToGrid w:val="0"/>
          <w:sz w:val="22"/>
          <w:szCs w:val="22"/>
        </w:rPr>
        <w:t xml:space="preserve"> </w:t>
      </w:r>
      <w:r w:rsidRPr="00410C2C">
        <w:rPr>
          <w:rFonts w:ascii="Arial" w:hAnsi="Arial" w:cs="Arial"/>
          <w:snapToGrid w:val="0"/>
          <w:sz w:val="22"/>
          <w:szCs w:val="22"/>
        </w:rPr>
        <w:t>4.69 and 2.26 (6.95 in total) per 1,000, respectively.</w:t>
      </w:r>
    </w:p>
    <w:p w:rsidR="00CF2FF4" w:rsidRPr="00EF2AFE" w:rsidRDefault="00CF2FF4" w:rsidP="005E67AE">
      <w:pPr>
        <w:contextualSpacing/>
        <w:jc w:val="both"/>
        <w:rPr>
          <w:rFonts w:ascii="Arial" w:hAnsi="Arial" w:cs="Arial"/>
          <w:snapToGrid w:val="0"/>
          <w:sz w:val="22"/>
          <w:szCs w:val="22"/>
        </w:rPr>
      </w:pPr>
    </w:p>
    <w:p w:rsidR="00965017" w:rsidRPr="00965017" w:rsidRDefault="00965017" w:rsidP="00965017">
      <w:pPr>
        <w:numPr>
          <w:ilvl w:val="1"/>
          <w:numId w:val="3"/>
        </w:numPr>
        <w:contextualSpacing/>
        <w:jc w:val="both"/>
        <w:rPr>
          <w:rFonts w:ascii="Arial" w:hAnsi="Arial" w:cs="Arial"/>
          <w:snapToGrid w:val="0"/>
          <w:sz w:val="22"/>
          <w:szCs w:val="22"/>
        </w:rPr>
      </w:pPr>
      <w:r w:rsidRPr="00965017">
        <w:rPr>
          <w:rFonts w:ascii="Arial" w:hAnsi="Arial" w:cs="Arial"/>
          <w:snapToGrid w:val="0"/>
          <w:sz w:val="22"/>
          <w:szCs w:val="22"/>
        </w:rPr>
        <w:t xml:space="preserve">The </w:t>
      </w:r>
      <w:r>
        <w:rPr>
          <w:rFonts w:ascii="Arial" w:hAnsi="Arial" w:cs="Arial"/>
          <w:snapToGrid w:val="0"/>
          <w:sz w:val="22"/>
          <w:szCs w:val="22"/>
        </w:rPr>
        <w:t xml:space="preserve">PBAC noted that the </w:t>
      </w:r>
      <w:r w:rsidRPr="00965017">
        <w:rPr>
          <w:rFonts w:ascii="Arial" w:hAnsi="Arial" w:cs="Arial"/>
          <w:snapToGrid w:val="0"/>
          <w:sz w:val="22"/>
          <w:szCs w:val="22"/>
        </w:rPr>
        <w:t xml:space="preserve">cost-effectiveness estimates </w:t>
      </w:r>
      <w:r w:rsidR="00FB16CB">
        <w:rPr>
          <w:rFonts w:ascii="Arial" w:hAnsi="Arial" w:cs="Arial"/>
          <w:snapToGrid w:val="0"/>
          <w:sz w:val="22"/>
          <w:szCs w:val="22"/>
        </w:rPr>
        <w:t>were</w:t>
      </w:r>
      <w:r w:rsidRPr="00965017">
        <w:rPr>
          <w:rFonts w:ascii="Arial" w:hAnsi="Arial" w:cs="Arial"/>
          <w:snapToGrid w:val="0"/>
          <w:sz w:val="22"/>
          <w:szCs w:val="22"/>
        </w:rPr>
        <w:t xml:space="preserve"> driven by the</w:t>
      </w:r>
      <w:r>
        <w:rPr>
          <w:rFonts w:ascii="Arial" w:hAnsi="Arial" w:cs="Arial"/>
          <w:snapToGrid w:val="0"/>
          <w:sz w:val="22"/>
          <w:szCs w:val="22"/>
        </w:rPr>
        <w:t xml:space="preserve"> reduction in the number of non-</w:t>
      </w:r>
      <w:r w:rsidR="00294FA9" w:rsidRPr="00965017">
        <w:rPr>
          <w:rFonts w:ascii="Arial" w:hAnsi="Arial" w:cs="Arial"/>
          <w:snapToGrid w:val="0"/>
          <w:sz w:val="22"/>
          <w:szCs w:val="22"/>
        </w:rPr>
        <w:t>bacteraemia</w:t>
      </w:r>
      <w:r w:rsidRPr="00965017">
        <w:rPr>
          <w:rFonts w:ascii="Arial" w:hAnsi="Arial" w:cs="Arial"/>
          <w:snapToGrid w:val="0"/>
          <w:sz w:val="22"/>
          <w:szCs w:val="22"/>
        </w:rPr>
        <w:t xml:space="preserve"> pneumonia events with 13vPCV. This has potentially been overestimated because:</w:t>
      </w:r>
    </w:p>
    <w:p w:rsidR="00965017" w:rsidRPr="00965017" w:rsidRDefault="00965017" w:rsidP="00965017">
      <w:pPr>
        <w:numPr>
          <w:ilvl w:val="1"/>
          <w:numId w:val="21"/>
        </w:numPr>
        <w:ind w:left="993" w:hanging="284"/>
        <w:contextualSpacing/>
        <w:jc w:val="both"/>
        <w:rPr>
          <w:rFonts w:ascii="Arial" w:hAnsi="Arial" w:cs="Arial"/>
          <w:snapToGrid w:val="0"/>
          <w:sz w:val="22"/>
          <w:szCs w:val="22"/>
        </w:rPr>
      </w:pPr>
      <w:r w:rsidRPr="00965017">
        <w:rPr>
          <w:rFonts w:ascii="Arial" w:hAnsi="Arial" w:cs="Arial"/>
          <w:snapToGrid w:val="0"/>
          <w:sz w:val="22"/>
          <w:szCs w:val="22"/>
        </w:rPr>
        <w:t xml:space="preserve">VE </w:t>
      </w:r>
      <w:r w:rsidR="00FB16CB">
        <w:rPr>
          <w:rFonts w:ascii="Arial" w:hAnsi="Arial" w:cs="Arial"/>
          <w:snapToGrid w:val="0"/>
          <w:sz w:val="22"/>
          <w:szCs w:val="22"/>
        </w:rPr>
        <w:t>for non-bacteraemia pneumonia wa</w:t>
      </w:r>
      <w:r w:rsidRPr="00965017">
        <w:rPr>
          <w:rFonts w:ascii="Arial" w:hAnsi="Arial" w:cs="Arial"/>
          <w:snapToGrid w:val="0"/>
          <w:sz w:val="22"/>
          <w:szCs w:val="22"/>
        </w:rPr>
        <w:t xml:space="preserve">s assumed to be zero for 23vPPV. While </w:t>
      </w:r>
      <w:r>
        <w:rPr>
          <w:rFonts w:ascii="Arial" w:hAnsi="Arial" w:cs="Arial"/>
          <w:snapToGrid w:val="0"/>
          <w:sz w:val="22"/>
          <w:szCs w:val="22"/>
        </w:rPr>
        <w:t xml:space="preserve">the PBAC noted that the </w:t>
      </w:r>
      <w:r w:rsidRPr="00965017">
        <w:rPr>
          <w:rFonts w:ascii="Arial" w:hAnsi="Arial" w:cs="Arial"/>
          <w:snapToGrid w:val="0"/>
          <w:sz w:val="22"/>
          <w:szCs w:val="22"/>
        </w:rPr>
        <w:t xml:space="preserve">ATAGI agreed with the assumption of zero efficacy in the </w:t>
      </w:r>
      <w:r w:rsidRPr="00965017">
        <w:rPr>
          <w:rFonts w:ascii="Arial" w:hAnsi="Arial" w:cs="Arial"/>
          <w:snapToGrid w:val="0"/>
          <w:sz w:val="22"/>
          <w:szCs w:val="22"/>
        </w:rPr>
        <w:lastRenderedPageBreak/>
        <w:t xml:space="preserve">base case, </w:t>
      </w:r>
      <w:r>
        <w:rPr>
          <w:rFonts w:ascii="Arial" w:hAnsi="Arial" w:cs="Arial"/>
          <w:snapToGrid w:val="0"/>
          <w:sz w:val="22"/>
          <w:szCs w:val="22"/>
        </w:rPr>
        <w:t xml:space="preserve">the </w:t>
      </w:r>
      <w:r w:rsidRPr="00965017">
        <w:rPr>
          <w:rFonts w:ascii="Arial" w:hAnsi="Arial" w:cs="Arial"/>
          <w:snapToGrid w:val="0"/>
          <w:sz w:val="22"/>
          <w:szCs w:val="22"/>
        </w:rPr>
        <w:t xml:space="preserve">ATAGI also considered it reasonable to assume 46% as the </w:t>
      </w:r>
      <w:r>
        <w:rPr>
          <w:rFonts w:ascii="Arial" w:hAnsi="Arial" w:cs="Arial"/>
          <w:snapToGrid w:val="0"/>
          <w:sz w:val="22"/>
          <w:szCs w:val="22"/>
        </w:rPr>
        <w:t xml:space="preserve">upper limit of the </w:t>
      </w:r>
      <w:r w:rsidR="001E0281">
        <w:rPr>
          <w:rFonts w:ascii="Arial" w:hAnsi="Arial" w:cs="Arial"/>
          <w:snapToGrid w:val="0"/>
          <w:sz w:val="22"/>
          <w:szCs w:val="20"/>
        </w:rPr>
        <w:t>vaccine efficacy</w:t>
      </w:r>
      <w:r w:rsidR="001E0281">
        <w:rPr>
          <w:rFonts w:ascii="Arial" w:hAnsi="Arial" w:cs="Arial"/>
          <w:snapToGrid w:val="0"/>
          <w:sz w:val="22"/>
          <w:szCs w:val="22"/>
        </w:rPr>
        <w:t xml:space="preserve"> </w:t>
      </w:r>
      <w:r>
        <w:rPr>
          <w:rFonts w:ascii="Arial" w:hAnsi="Arial" w:cs="Arial"/>
          <w:snapToGrid w:val="0"/>
          <w:sz w:val="22"/>
          <w:szCs w:val="22"/>
        </w:rPr>
        <w:t>estimate.</w:t>
      </w:r>
    </w:p>
    <w:p w:rsidR="00965017" w:rsidRDefault="00965017" w:rsidP="00965017">
      <w:pPr>
        <w:numPr>
          <w:ilvl w:val="1"/>
          <w:numId w:val="21"/>
        </w:numPr>
        <w:ind w:left="993" w:hanging="284"/>
        <w:contextualSpacing/>
        <w:jc w:val="both"/>
        <w:rPr>
          <w:rFonts w:ascii="Arial" w:hAnsi="Arial" w:cs="Arial"/>
          <w:snapToGrid w:val="0"/>
          <w:sz w:val="22"/>
          <w:szCs w:val="22"/>
        </w:rPr>
      </w:pPr>
      <w:r w:rsidRPr="00651AFF">
        <w:rPr>
          <w:rFonts w:ascii="Arial" w:hAnsi="Arial" w:cs="Arial"/>
          <w:snapToGrid w:val="0"/>
          <w:sz w:val="22"/>
          <w:szCs w:val="22"/>
        </w:rPr>
        <w:t>The PBAC</w:t>
      </w:r>
      <w:r>
        <w:rPr>
          <w:rFonts w:ascii="Arial" w:hAnsi="Arial" w:cs="Arial"/>
          <w:snapToGrid w:val="0"/>
          <w:sz w:val="22"/>
          <w:szCs w:val="22"/>
        </w:rPr>
        <w:t xml:space="preserve"> noted that the submission assumed </w:t>
      </w:r>
      <w:r w:rsidRPr="00651AFF">
        <w:rPr>
          <w:rFonts w:ascii="Arial" w:hAnsi="Arial" w:cs="Arial"/>
          <w:snapToGrid w:val="0"/>
          <w:sz w:val="22"/>
          <w:szCs w:val="22"/>
        </w:rPr>
        <w:t xml:space="preserve">13vPCV </w:t>
      </w:r>
      <w:r w:rsidR="001E0281">
        <w:rPr>
          <w:rFonts w:ascii="Arial" w:hAnsi="Arial" w:cs="Arial"/>
          <w:snapToGrid w:val="0"/>
          <w:sz w:val="22"/>
          <w:szCs w:val="20"/>
        </w:rPr>
        <w:t>vaccine efficacy</w:t>
      </w:r>
      <w:r w:rsidR="001E0281">
        <w:rPr>
          <w:rFonts w:ascii="Arial" w:hAnsi="Arial" w:cs="Arial"/>
          <w:snapToGrid w:val="0"/>
          <w:sz w:val="22"/>
          <w:szCs w:val="22"/>
        </w:rPr>
        <w:t xml:space="preserve"> </w:t>
      </w:r>
      <w:r>
        <w:rPr>
          <w:rFonts w:ascii="Arial" w:hAnsi="Arial" w:cs="Arial"/>
          <w:snapToGrid w:val="0"/>
          <w:sz w:val="22"/>
          <w:szCs w:val="22"/>
        </w:rPr>
        <w:t xml:space="preserve">declines </w:t>
      </w:r>
      <w:r w:rsidRPr="00651AFF">
        <w:rPr>
          <w:rFonts w:ascii="Arial" w:hAnsi="Arial" w:cs="Arial"/>
          <w:snapToGrid w:val="0"/>
          <w:sz w:val="22"/>
          <w:szCs w:val="22"/>
        </w:rPr>
        <w:t>slowly over time</w:t>
      </w:r>
      <w:r>
        <w:rPr>
          <w:rFonts w:ascii="Arial" w:hAnsi="Arial" w:cs="Arial"/>
          <w:snapToGrid w:val="0"/>
          <w:sz w:val="22"/>
          <w:szCs w:val="22"/>
        </w:rPr>
        <w:t>,</w:t>
      </w:r>
      <w:r w:rsidRPr="00651AFF">
        <w:rPr>
          <w:rFonts w:ascii="Arial" w:hAnsi="Arial" w:cs="Arial"/>
          <w:snapToGrid w:val="0"/>
          <w:sz w:val="22"/>
          <w:szCs w:val="22"/>
        </w:rPr>
        <w:t xml:space="preserve"> with a 5% annual decline in </w:t>
      </w:r>
      <w:r w:rsidR="001E0281">
        <w:rPr>
          <w:rFonts w:ascii="Arial" w:hAnsi="Arial" w:cs="Arial"/>
          <w:snapToGrid w:val="0"/>
          <w:sz w:val="22"/>
          <w:szCs w:val="20"/>
        </w:rPr>
        <w:t>vaccine efficacy</w:t>
      </w:r>
      <w:r w:rsidR="001E0281" w:rsidRPr="00651AFF">
        <w:rPr>
          <w:rFonts w:ascii="Arial" w:hAnsi="Arial" w:cs="Arial"/>
          <w:snapToGrid w:val="0"/>
          <w:sz w:val="22"/>
          <w:szCs w:val="22"/>
        </w:rPr>
        <w:t xml:space="preserve"> </w:t>
      </w:r>
      <w:r w:rsidRPr="00651AFF">
        <w:rPr>
          <w:rFonts w:ascii="Arial" w:hAnsi="Arial" w:cs="Arial"/>
          <w:snapToGrid w:val="0"/>
          <w:sz w:val="22"/>
          <w:szCs w:val="22"/>
        </w:rPr>
        <w:t xml:space="preserve">beyond 4 years. </w:t>
      </w:r>
      <w:r>
        <w:rPr>
          <w:rFonts w:ascii="Arial" w:hAnsi="Arial" w:cs="Arial"/>
          <w:snapToGrid w:val="0"/>
          <w:sz w:val="22"/>
          <w:szCs w:val="22"/>
        </w:rPr>
        <w:t xml:space="preserve">The PBAC </w:t>
      </w:r>
      <w:r w:rsidRPr="00651AFF">
        <w:rPr>
          <w:rFonts w:ascii="Arial" w:hAnsi="Arial" w:cs="Arial"/>
          <w:snapToGrid w:val="0"/>
          <w:sz w:val="22"/>
          <w:szCs w:val="22"/>
        </w:rPr>
        <w:t xml:space="preserve">considered that the evidence presented in the submission </w:t>
      </w:r>
      <w:r w:rsidR="00FB16CB">
        <w:rPr>
          <w:rFonts w:ascii="Arial" w:hAnsi="Arial" w:cs="Arial"/>
          <w:snapToGrid w:val="0"/>
          <w:sz w:val="22"/>
          <w:szCs w:val="22"/>
        </w:rPr>
        <w:t>did</w:t>
      </w:r>
      <w:r w:rsidRPr="00651AFF">
        <w:rPr>
          <w:rFonts w:ascii="Arial" w:hAnsi="Arial" w:cs="Arial"/>
          <w:snapToGrid w:val="0"/>
          <w:sz w:val="22"/>
          <w:szCs w:val="22"/>
        </w:rPr>
        <w:t xml:space="preserve"> not adequately support protection duration of more than 4 years.</w:t>
      </w:r>
    </w:p>
    <w:p w:rsidR="00965017" w:rsidRPr="0001540C" w:rsidRDefault="00965017" w:rsidP="0001540C">
      <w:pPr>
        <w:numPr>
          <w:ilvl w:val="1"/>
          <w:numId w:val="21"/>
        </w:numPr>
        <w:ind w:left="993" w:hanging="284"/>
        <w:contextualSpacing/>
        <w:jc w:val="both"/>
        <w:rPr>
          <w:rFonts w:ascii="Arial" w:hAnsi="Arial" w:cs="Arial"/>
          <w:snapToGrid w:val="0"/>
          <w:sz w:val="22"/>
          <w:szCs w:val="22"/>
        </w:rPr>
      </w:pPr>
      <w:r w:rsidRPr="00F42F56">
        <w:rPr>
          <w:rFonts w:ascii="Arial" w:hAnsi="Arial" w:cs="Arial"/>
          <w:snapToGrid w:val="0"/>
          <w:sz w:val="22"/>
          <w:szCs w:val="22"/>
        </w:rPr>
        <w:t>The PBAC considered that as no herd immunity was assumed from the 13vPCV infant program, the baseline risk of pneumonia was overestimated, resulting in an underestimated cost-effectiveness estimate for the primary and catch-up programs.</w:t>
      </w:r>
      <w:r>
        <w:rPr>
          <w:rFonts w:ascii="Arial" w:hAnsi="Arial" w:cs="Arial"/>
          <w:snapToGrid w:val="0"/>
          <w:sz w:val="22"/>
          <w:szCs w:val="22"/>
        </w:rPr>
        <w:t xml:space="preserve"> The PBAC noted the </w:t>
      </w:r>
      <w:r w:rsidRPr="00F42F56">
        <w:rPr>
          <w:rFonts w:ascii="Arial" w:hAnsi="Arial" w:cs="Arial"/>
          <w:snapToGrid w:val="0"/>
          <w:sz w:val="22"/>
          <w:szCs w:val="22"/>
        </w:rPr>
        <w:t>ATAGI considered that a reduction in non</w:t>
      </w:r>
      <w:r>
        <w:rPr>
          <w:rFonts w:ascii="Arial" w:hAnsi="Arial" w:cs="Arial"/>
          <w:snapToGrid w:val="0"/>
          <w:sz w:val="22"/>
          <w:szCs w:val="22"/>
        </w:rPr>
        <w:noBreakHyphen/>
      </w:r>
      <w:r w:rsidR="00294FA9" w:rsidRPr="00F42F56">
        <w:rPr>
          <w:rFonts w:ascii="Arial" w:hAnsi="Arial" w:cs="Arial"/>
          <w:snapToGrid w:val="0"/>
          <w:sz w:val="22"/>
          <w:szCs w:val="22"/>
        </w:rPr>
        <w:t>bacteraemia</w:t>
      </w:r>
      <w:r w:rsidRPr="00F42F56">
        <w:rPr>
          <w:rFonts w:ascii="Arial" w:hAnsi="Arial" w:cs="Arial"/>
          <w:snapToGrid w:val="0"/>
          <w:sz w:val="22"/>
          <w:szCs w:val="22"/>
        </w:rPr>
        <w:t xml:space="preserve"> pneumonia in adults due to the infant 13vPCV would be expected but data are not yet available to evaluate this empirically</w:t>
      </w:r>
      <w:r>
        <w:rPr>
          <w:rFonts w:ascii="Arial" w:hAnsi="Arial" w:cs="Arial"/>
          <w:snapToGrid w:val="0"/>
          <w:sz w:val="22"/>
          <w:szCs w:val="22"/>
        </w:rPr>
        <w:t>.</w:t>
      </w:r>
    </w:p>
    <w:p w:rsidR="00DC69AD" w:rsidRPr="005E67AE" w:rsidRDefault="00DC69AD" w:rsidP="005E67AE">
      <w:pPr>
        <w:pStyle w:val="ListParagraph"/>
        <w:jc w:val="both"/>
        <w:rPr>
          <w:rFonts w:ascii="Arial" w:hAnsi="Arial" w:cs="Arial"/>
          <w:snapToGrid w:val="0"/>
          <w:sz w:val="22"/>
          <w:szCs w:val="22"/>
        </w:rPr>
      </w:pPr>
    </w:p>
    <w:p w:rsidR="00CF2FF4" w:rsidRPr="005E67AE" w:rsidRDefault="00DC69AD" w:rsidP="005E67AE">
      <w:pPr>
        <w:pStyle w:val="ListParagraph"/>
        <w:numPr>
          <w:ilvl w:val="1"/>
          <w:numId w:val="3"/>
        </w:numPr>
        <w:jc w:val="both"/>
        <w:rPr>
          <w:rFonts w:ascii="Arial" w:hAnsi="Arial" w:cs="Arial"/>
          <w:snapToGrid w:val="0"/>
          <w:sz w:val="22"/>
          <w:szCs w:val="22"/>
        </w:rPr>
      </w:pPr>
      <w:r w:rsidRPr="00DC69AD">
        <w:rPr>
          <w:rFonts w:ascii="Arial" w:hAnsi="Arial" w:cs="Arial"/>
          <w:snapToGrid w:val="0"/>
          <w:sz w:val="22"/>
          <w:szCs w:val="22"/>
        </w:rPr>
        <w:t xml:space="preserve">In addition, </w:t>
      </w:r>
      <w:r w:rsidRPr="005E67AE">
        <w:rPr>
          <w:rFonts w:ascii="Arial" w:hAnsi="Arial" w:cs="Arial"/>
          <w:snapToGrid w:val="0"/>
          <w:sz w:val="22"/>
          <w:szCs w:val="22"/>
        </w:rPr>
        <w:t xml:space="preserve">the PBAC considered the reduced serotype coverage of low risk people getting only </w:t>
      </w:r>
      <w:r w:rsidR="00E04979" w:rsidRPr="005E67AE">
        <w:rPr>
          <w:rFonts w:ascii="Arial" w:hAnsi="Arial" w:cs="Arial"/>
          <w:snapToGrid w:val="0"/>
          <w:sz w:val="22"/>
          <w:szCs w:val="22"/>
        </w:rPr>
        <w:t>13vPC</w:t>
      </w:r>
      <w:r w:rsidR="00E04979">
        <w:rPr>
          <w:rFonts w:ascii="Arial" w:hAnsi="Arial" w:cs="Arial"/>
          <w:snapToGrid w:val="0"/>
          <w:sz w:val="22"/>
          <w:szCs w:val="22"/>
        </w:rPr>
        <w:t>V</w:t>
      </w:r>
      <w:r w:rsidR="00E04979" w:rsidRPr="005E67AE">
        <w:rPr>
          <w:rFonts w:ascii="Arial" w:hAnsi="Arial" w:cs="Arial"/>
          <w:snapToGrid w:val="0"/>
          <w:sz w:val="22"/>
          <w:szCs w:val="22"/>
        </w:rPr>
        <w:t xml:space="preserve"> </w:t>
      </w:r>
      <w:r w:rsidRPr="005E67AE">
        <w:rPr>
          <w:rFonts w:ascii="Arial" w:hAnsi="Arial" w:cs="Arial"/>
          <w:snapToGrid w:val="0"/>
          <w:sz w:val="22"/>
          <w:szCs w:val="22"/>
        </w:rPr>
        <w:t>vaccination was a potential issue</w:t>
      </w:r>
      <w:r>
        <w:rPr>
          <w:rFonts w:ascii="Arial" w:hAnsi="Arial" w:cs="Arial"/>
          <w:snapToGrid w:val="0"/>
          <w:sz w:val="22"/>
          <w:szCs w:val="22"/>
        </w:rPr>
        <w:t xml:space="preserve"> that was not considered in the economic evaluation</w:t>
      </w:r>
      <w:r w:rsidRPr="005E67AE">
        <w:rPr>
          <w:rFonts w:ascii="Arial" w:hAnsi="Arial" w:cs="Arial"/>
          <w:snapToGrid w:val="0"/>
          <w:sz w:val="22"/>
          <w:szCs w:val="22"/>
        </w:rPr>
        <w:t>.</w:t>
      </w:r>
      <w:r>
        <w:rPr>
          <w:rFonts w:ascii="Arial" w:hAnsi="Arial" w:cs="Arial"/>
          <w:snapToGrid w:val="0"/>
          <w:sz w:val="22"/>
          <w:szCs w:val="22"/>
        </w:rPr>
        <w:t xml:space="preserve"> As discussed in paragraph </w:t>
      </w:r>
      <w:r w:rsidRPr="00DC69AD">
        <w:rPr>
          <w:rFonts w:ascii="Arial" w:hAnsi="Arial" w:cs="Arial"/>
          <w:snapToGrid w:val="0"/>
          <w:sz w:val="22"/>
          <w:szCs w:val="22"/>
        </w:rPr>
        <w:t>6.38,</w:t>
      </w:r>
      <w:r>
        <w:rPr>
          <w:rFonts w:ascii="Arial" w:hAnsi="Arial" w:cs="Arial"/>
          <w:snapToGrid w:val="0"/>
          <w:sz w:val="22"/>
          <w:szCs w:val="22"/>
        </w:rPr>
        <w:t xml:space="preserve"> serotype replacement by non</w:t>
      </w:r>
      <w:r>
        <w:rPr>
          <w:rFonts w:ascii="Arial" w:hAnsi="Arial" w:cs="Arial"/>
          <w:snapToGrid w:val="0"/>
          <w:sz w:val="22"/>
          <w:szCs w:val="22"/>
        </w:rPr>
        <w:noBreakHyphen/>
        <w:t xml:space="preserve">13v serotypes could result in resurgence of IPD which would attenuate the overall benefit of reducing </w:t>
      </w:r>
      <w:r w:rsidR="001E1FFE">
        <w:rPr>
          <w:rFonts w:ascii="Arial" w:hAnsi="Arial" w:cs="Arial"/>
          <w:snapToGrid w:val="0"/>
          <w:sz w:val="22"/>
          <w:szCs w:val="22"/>
        </w:rPr>
        <w:t>disease caused by vaccine serotypes</w:t>
      </w:r>
      <w:r>
        <w:rPr>
          <w:rFonts w:ascii="Arial" w:hAnsi="Arial" w:cs="Arial"/>
          <w:snapToGrid w:val="0"/>
          <w:sz w:val="22"/>
          <w:szCs w:val="22"/>
        </w:rPr>
        <w:t>.</w:t>
      </w:r>
    </w:p>
    <w:p w:rsidR="00D64EA0" w:rsidRDefault="00D64EA0" w:rsidP="00AD362F">
      <w:pPr>
        <w:rPr>
          <w:snapToGrid w:val="0"/>
        </w:rPr>
      </w:pPr>
    </w:p>
    <w:p w:rsidR="00965017" w:rsidRPr="001E1FFE" w:rsidRDefault="00294FA9" w:rsidP="00965017">
      <w:pPr>
        <w:pStyle w:val="ListParagraph"/>
        <w:numPr>
          <w:ilvl w:val="1"/>
          <w:numId w:val="3"/>
        </w:numPr>
        <w:jc w:val="both"/>
        <w:rPr>
          <w:rFonts w:ascii="Arial" w:hAnsi="Arial" w:cs="Arial"/>
          <w:snapToGrid w:val="0"/>
          <w:sz w:val="22"/>
          <w:szCs w:val="22"/>
        </w:rPr>
      </w:pPr>
      <w:r w:rsidRPr="001E1FFE">
        <w:rPr>
          <w:rFonts w:ascii="Arial" w:hAnsi="Arial" w:cs="Arial"/>
          <w:snapToGrid w:val="0"/>
          <w:sz w:val="22"/>
          <w:szCs w:val="22"/>
        </w:rPr>
        <w:t>The PBAC acknowledged that, given the lack of evidence of the efficacy of 23vPPV, it</w:t>
      </w:r>
      <w:r w:rsidR="00965017" w:rsidRPr="001E1FFE">
        <w:rPr>
          <w:rFonts w:ascii="Arial" w:hAnsi="Arial" w:cs="Arial"/>
          <w:snapToGrid w:val="0"/>
          <w:sz w:val="22"/>
          <w:szCs w:val="22"/>
        </w:rPr>
        <w:t xml:space="preserve"> was difficult for the submission to establish the incremental cost</w:t>
      </w:r>
      <w:r w:rsidR="00965017" w:rsidRPr="001E1FFE">
        <w:rPr>
          <w:rFonts w:ascii="Arial" w:hAnsi="Arial" w:cs="Arial"/>
          <w:snapToGrid w:val="0"/>
          <w:sz w:val="22"/>
          <w:szCs w:val="22"/>
        </w:rPr>
        <w:noBreakHyphen/>
        <w:t>effectiveness of 13vPCV compared with 23vPPV at the requested price (being more than twice the price per dose of 23vPPV).</w:t>
      </w:r>
    </w:p>
    <w:p w:rsidR="00965017" w:rsidRPr="0001540C" w:rsidRDefault="00965017" w:rsidP="0001540C">
      <w:pPr>
        <w:jc w:val="both"/>
        <w:rPr>
          <w:rFonts w:ascii="Arial" w:hAnsi="Arial" w:cs="Arial"/>
          <w:snapToGrid w:val="0"/>
          <w:sz w:val="22"/>
          <w:szCs w:val="22"/>
        </w:rPr>
      </w:pPr>
    </w:p>
    <w:p w:rsidR="00610318" w:rsidRPr="00CF2FF4" w:rsidRDefault="005C77AA" w:rsidP="005E67AE">
      <w:pPr>
        <w:numPr>
          <w:ilvl w:val="1"/>
          <w:numId w:val="3"/>
        </w:numPr>
        <w:contextualSpacing/>
        <w:jc w:val="both"/>
        <w:rPr>
          <w:rFonts w:ascii="Arial" w:hAnsi="Arial" w:cs="Arial"/>
          <w:snapToGrid w:val="0"/>
          <w:sz w:val="22"/>
          <w:szCs w:val="22"/>
        </w:rPr>
      </w:pPr>
      <w:r>
        <w:rPr>
          <w:rFonts w:ascii="Arial" w:hAnsi="Arial" w:cs="Arial"/>
          <w:snapToGrid w:val="0"/>
          <w:sz w:val="22"/>
          <w:szCs w:val="22"/>
        </w:rPr>
        <w:t>While n</w:t>
      </w:r>
      <w:r w:rsidR="001B37F1">
        <w:rPr>
          <w:rFonts w:ascii="Arial" w:hAnsi="Arial" w:cs="Arial"/>
          <w:snapToGrid w:val="0"/>
          <w:sz w:val="22"/>
          <w:szCs w:val="22"/>
        </w:rPr>
        <w:t xml:space="preserve">oting the ATAGI’s </w:t>
      </w:r>
      <w:r w:rsidR="008866F7">
        <w:rPr>
          <w:rFonts w:ascii="Arial" w:hAnsi="Arial" w:cs="Arial"/>
          <w:snapToGrid w:val="0"/>
          <w:sz w:val="22"/>
          <w:szCs w:val="22"/>
        </w:rPr>
        <w:t xml:space="preserve">pragmatic </w:t>
      </w:r>
      <w:r w:rsidR="00F55B8C">
        <w:rPr>
          <w:rFonts w:ascii="Arial" w:hAnsi="Arial" w:cs="Arial"/>
          <w:snapToGrid w:val="0"/>
          <w:sz w:val="22"/>
          <w:szCs w:val="22"/>
        </w:rPr>
        <w:t>support</w:t>
      </w:r>
      <w:r w:rsidR="001B37F1">
        <w:rPr>
          <w:rFonts w:ascii="Arial" w:hAnsi="Arial" w:cs="Arial"/>
          <w:snapToGrid w:val="0"/>
          <w:sz w:val="22"/>
          <w:szCs w:val="22"/>
        </w:rPr>
        <w:t xml:space="preserve"> for the 70-74 </w:t>
      </w:r>
      <w:r w:rsidR="00212981">
        <w:rPr>
          <w:rFonts w:ascii="Arial" w:hAnsi="Arial" w:cs="Arial"/>
          <w:snapToGrid w:val="0"/>
          <w:sz w:val="22"/>
          <w:szCs w:val="22"/>
        </w:rPr>
        <w:t>year</w:t>
      </w:r>
      <w:r w:rsidR="008866F7">
        <w:rPr>
          <w:rFonts w:ascii="Arial" w:hAnsi="Arial" w:cs="Arial"/>
          <w:snapToGrid w:val="0"/>
          <w:sz w:val="22"/>
          <w:szCs w:val="22"/>
        </w:rPr>
        <w:t>s</w:t>
      </w:r>
      <w:r w:rsidR="00212981">
        <w:rPr>
          <w:rFonts w:ascii="Arial" w:hAnsi="Arial" w:cs="Arial"/>
          <w:snapToGrid w:val="0"/>
          <w:sz w:val="22"/>
          <w:szCs w:val="22"/>
        </w:rPr>
        <w:t xml:space="preserve"> </w:t>
      </w:r>
      <w:r w:rsidR="00A55383">
        <w:rPr>
          <w:rFonts w:ascii="Arial" w:hAnsi="Arial" w:cs="Arial"/>
          <w:snapToGrid w:val="0"/>
          <w:sz w:val="22"/>
          <w:szCs w:val="22"/>
        </w:rPr>
        <w:t xml:space="preserve">catch-up </w:t>
      </w:r>
      <w:r w:rsidR="001B37F1">
        <w:rPr>
          <w:rFonts w:ascii="Arial" w:hAnsi="Arial" w:cs="Arial"/>
          <w:snapToGrid w:val="0"/>
          <w:sz w:val="22"/>
          <w:szCs w:val="22"/>
        </w:rPr>
        <w:t>option</w:t>
      </w:r>
      <w:r w:rsidR="008866F7">
        <w:rPr>
          <w:rFonts w:ascii="Arial" w:hAnsi="Arial" w:cs="Arial"/>
          <w:snapToGrid w:val="0"/>
          <w:sz w:val="22"/>
          <w:szCs w:val="22"/>
        </w:rPr>
        <w:t xml:space="preserve"> (as opposed to the ATAGI’s preferred catch-up program which would apply to all adults that had attained their 65th birthday prior to the commencement date of any primary 13vPCV program)</w:t>
      </w:r>
      <w:r w:rsidR="001B37F1">
        <w:rPr>
          <w:rFonts w:ascii="Arial" w:hAnsi="Arial" w:cs="Arial"/>
          <w:snapToGrid w:val="0"/>
          <w:sz w:val="22"/>
          <w:szCs w:val="22"/>
        </w:rPr>
        <w:t>, t</w:t>
      </w:r>
      <w:r w:rsidR="00C97542">
        <w:rPr>
          <w:rFonts w:ascii="Arial" w:hAnsi="Arial" w:cs="Arial"/>
          <w:snapToGrid w:val="0"/>
          <w:sz w:val="22"/>
          <w:szCs w:val="22"/>
        </w:rPr>
        <w:t xml:space="preserve">he </w:t>
      </w:r>
      <w:r w:rsidR="00F55B8C">
        <w:rPr>
          <w:rFonts w:ascii="Arial" w:hAnsi="Arial" w:cs="Arial"/>
          <w:snapToGrid w:val="0"/>
          <w:sz w:val="22"/>
          <w:szCs w:val="22"/>
        </w:rPr>
        <w:t xml:space="preserve">PBAC considered that the cost-effectiveness of the </w:t>
      </w:r>
      <w:r w:rsidR="00C97542">
        <w:rPr>
          <w:rFonts w:ascii="Arial" w:hAnsi="Arial" w:cs="Arial"/>
          <w:snapToGrid w:val="0"/>
          <w:sz w:val="22"/>
          <w:szCs w:val="22"/>
        </w:rPr>
        <w:t>revised catch</w:t>
      </w:r>
      <w:r w:rsidR="00F55B8C">
        <w:rPr>
          <w:rFonts w:ascii="Arial" w:hAnsi="Arial" w:cs="Arial"/>
          <w:snapToGrid w:val="0"/>
          <w:sz w:val="22"/>
          <w:szCs w:val="22"/>
        </w:rPr>
        <w:noBreakHyphen/>
      </w:r>
      <w:r w:rsidR="00C97542">
        <w:rPr>
          <w:rFonts w:ascii="Arial" w:hAnsi="Arial" w:cs="Arial"/>
          <w:snapToGrid w:val="0"/>
          <w:sz w:val="22"/>
          <w:szCs w:val="22"/>
        </w:rPr>
        <w:t>up program for 70</w:t>
      </w:r>
      <w:r w:rsidR="00E04979">
        <w:rPr>
          <w:rFonts w:ascii="Arial" w:hAnsi="Arial" w:cs="Arial"/>
          <w:snapToGrid w:val="0"/>
          <w:sz w:val="22"/>
          <w:szCs w:val="22"/>
        </w:rPr>
        <w:noBreakHyphen/>
      </w:r>
      <w:r w:rsidR="00C97542">
        <w:rPr>
          <w:rFonts w:ascii="Arial" w:hAnsi="Arial" w:cs="Arial"/>
          <w:snapToGrid w:val="0"/>
          <w:sz w:val="22"/>
          <w:szCs w:val="22"/>
        </w:rPr>
        <w:t xml:space="preserve">74 years was </w:t>
      </w:r>
      <w:r w:rsidR="00BF5E5A">
        <w:rPr>
          <w:rFonts w:ascii="Arial" w:hAnsi="Arial" w:cs="Arial"/>
          <w:snapToGrid w:val="0"/>
          <w:sz w:val="22"/>
          <w:szCs w:val="22"/>
        </w:rPr>
        <w:t xml:space="preserve">unacceptably </w:t>
      </w:r>
      <w:r w:rsidR="00C97542">
        <w:rPr>
          <w:rFonts w:ascii="Arial" w:hAnsi="Arial" w:cs="Arial"/>
          <w:snapToGrid w:val="0"/>
          <w:sz w:val="22"/>
          <w:szCs w:val="22"/>
        </w:rPr>
        <w:t>high</w:t>
      </w:r>
      <w:r w:rsidR="00D45620">
        <w:rPr>
          <w:rFonts w:ascii="Arial" w:hAnsi="Arial" w:cs="Arial"/>
          <w:snapToGrid w:val="0"/>
          <w:sz w:val="22"/>
          <w:szCs w:val="22"/>
        </w:rPr>
        <w:t xml:space="preserve"> at a cost per life year gained of </w:t>
      </w:r>
      <w:r w:rsidR="0007736E" w:rsidRPr="0007736E">
        <w:rPr>
          <w:rFonts w:ascii="Arial" w:hAnsi="Arial" w:cs="Arial"/>
          <w:snapToGrid w:val="0"/>
          <w:sz w:val="22"/>
          <w:szCs w:val="22"/>
        </w:rPr>
        <w:t>$45,000 - $75,000</w:t>
      </w:r>
      <w:r w:rsidR="0007736E">
        <w:rPr>
          <w:rFonts w:ascii="Arial" w:hAnsi="Arial" w:cs="Arial"/>
          <w:snapToGrid w:val="0"/>
          <w:sz w:val="22"/>
          <w:szCs w:val="22"/>
        </w:rPr>
        <w:t>.</w:t>
      </w:r>
    </w:p>
    <w:p w:rsidR="005F661F" w:rsidRDefault="005F661F" w:rsidP="005E67AE">
      <w:pPr>
        <w:ind w:left="720"/>
        <w:contextualSpacing/>
        <w:jc w:val="both"/>
        <w:rPr>
          <w:rFonts w:ascii="Arial" w:hAnsi="Arial" w:cs="Arial"/>
          <w:snapToGrid w:val="0"/>
          <w:sz w:val="22"/>
          <w:szCs w:val="22"/>
        </w:rPr>
      </w:pPr>
    </w:p>
    <w:p w:rsidR="004C126A" w:rsidRDefault="005F661F" w:rsidP="005E67AE">
      <w:pPr>
        <w:numPr>
          <w:ilvl w:val="1"/>
          <w:numId w:val="3"/>
        </w:numPr>
        <w:contextualSpacing/>
        <w:jc w:val="both"/>
        <w:rPr>
          <w:rFonts w:ascii="Arial" w:hAnsi="Arial" w:cs="Arial"/>
          <w:snapToGrid w:val="0"/>
          <w:sz w:val="22"/>
          <w:szCs w:val="22"/>
        </w:rPr>
      </w:pPr>
      <w:r>
        <w:rPr>
          <w:rFonts w:ascii="Arial" w:hAnsi="Arial" w:cs="Arial"/>
          <w:snapToGrid w:val="0"/>
          <w:sz w:val="22"/>
          <w:szCs w:val="22"/>
        </w:rPr>
        <w:t>The PBAC considered that t</w:t>
      </w:r>
      <w:r w:rsidRPr="00953D70">
        <w:rPr>
          <w:rFonts w:ascii="Arial" w:hAnsi="Arial" w:cs="Arial"/>
          <w:snapToGrid w:val="0"/>
          <w:sz w:val="22"/>
          <w:szCs w:val="22"/>
        </w:rPr>
        <w:t xml:space="preserve">here </w:t>
      </w:r>
      <w:r w:rsidR="00BF5E5A">
        <w:rPr>
          <w:rFonts w:ascii="Arial" w:hAnsi="Arial" w:cs="Arial"/>
          <w:snapToGrid w:val="0"/>
          <w:sz w:val="22"/>
          <w:szCs w:val="22"/>
        </w:rPr>
        <w:t>were</w:t>
      </w:r>
      <w:r w:rsidR="00BF5E5A" w:rsidRPr="00953D70">
        <w:rPr>
          <w:rFonts w:ascii="Arial" w:hAnsi="Arial" w:cs="Arial"/>
          <w:snapToGrid w:val="0"/>
          <w:sz w:val="22"/>
          <w:szCs w:val="22"/>
        </w:rPr>
        <w:t xml:space="preserve"> </w:t>
      </w:r>
      <w:r w:rsidRPr="00953D70">
        <w:rPr>
          <w:rFonts w:ascii="Arial" w:hAnsi="Arial" w:cs="Arial"/>
          <w:snapToGrid w:val="0"/>
          <w:sz w:val="22"/>
          <w:szCs w:val="22"/>
        </w:rPr>
        <w:t>no reliable data to inform the likely uptake for the catch-up program</w:t>
      </w:r>
      <w:r w:rsidR="00BF5E5A">
        <w:rPr>
          <w:rFonts w:ascii="Arial" w:hAnsi="Arial" w:cs="Arial"/>
          <w:snapToGrid w:val="0"/>
          <w:sz w:val="22"/>
          <w:szCs w:val="22"/>
        </w:rPr>
        <w:t>,</w:t>
      </w:r>
      <w:r w:rsidRPr="00953D70">
        <w:rPr>
          <w:rFonts w:ascii="Arial" w:hAnsi="Arial" w:cs="Arial"/>
          <w:snapToGrid w:val="0"/>
          <w:sz w:val="22"/>
          <w:szCs w:val="22"/>
        </w:rPr>
        <w:t xml:space="preserve"> which could be substantially different to that estimated in the submission</w:t>
      </w:r>
      <w:r w:rsidR="00CF2FF4">
        <w:rPr>
          <w:rFonts w:ascii="Arial" w:hAnsi="Arial" w:cs="Arial"/>
          <w:snapToGrid w:val="0"/>
          <w:sz w:val="22"/>
          <w:szCs w:val="22"/>
        </w:rPr>
        <w:t>.</w:t>
      </w:r>
    </w:p>
    <w:p w:rsidR="00EA488C" w:rsidRDefault="00EA488C" w:rsidP="005E67AE">
      <w:pPr>
        <w:ind w:left="720"/>
        <w:contextualSpacing/>
        <w:jc w:val="both"/>
        <w:rPr>
          <w:rFonts w:ascii="Arial" w:hAnsi="Arial" w:cs="Arial"/>
          <w:snapToGrid w:val="0"/>
          <w:sz w:val="22"/>
          <w:szCs w:val="22"/>
        </w:rPr>
      </w:pPr>
    </w:p>
    <w:p w:rsidR="00EA488C" w:rsidRPr="00F8231D" w:rsidRDefault="00473BFA" w:rsidP="00F8231D">
      <w:pPr>
        <w:numPr>
          <w:ilvl w:val="1"/>
          <w:numId w:val="3"/>
        </w:numPr>
        <w:contextualSpacing/>
        <w:jc w:val="both"/>
        <w:rPr>
          <w:rFonts w:ascii="Arial" w:hAnsi="Arial" w:cs="Arial"/>
          <w:snapToGrid w:val="0"/>
          <w:sz w:val="22"/>
          <w:szCs w:val="22"/>
        </w:rPr>
      </w:pPr>
      <w:r>
        <w:rPr>
          <w:rFonts w:ascii="Arial" w:hAnsi="Arial" w:cs="Arial"/>
          <w:snapToGrid w:val="0"/>
          <w:sz w:val="22"/>
          <w:szCs w:val="22"/>
        </w:rPr>
        <w:t xml:space="preserve">The PBAC </w:t>
      </w:r>
      <w:r w:rsidR="008866F7">
        <w:rPr>
          <w:rFonts w:ascii="Arial" w:hAnsi="Arial" w:cs="Arial"/>
          <w:snapToGrid w:val="0"/>
          <w:sz w:val="22"/>
          <w:szCs w:val="22"/>
        </w:rPr>
        <w:t xml:space="preserve">considered that </w:t>
      </w:r>
      <w:r>
        <w:rPr>
          <w:rFonts w:ascii="Arial" w:hAnsi="Arial" w:cs="Arial"/>
          <w:snapToGrid w:val="0"/>
          <w:sz w:val="22"/>
          <w:szCs w:val="22"/>
        </w:rPr>
        <w:t xml:space="preserve">a major resubmission would </w:t>
      </w:r>
      <w:r w:rsidR="008866F7">
        <w:rPr>
          <w:rFonts w:ascii="Arial" w:hAnsi="Arial" w:cs="Arial"/>
          <w:snapToGrid w:val="0"/>
          <w:sz w:val="22"/>
          <w:szCs w:val="22"/>
        </w:rPr>
        <w:t>be required</w:t>
      </w:r>
      <w:r>
        <w:rPr>
          <w:rFonts w:ascii="Arial" w:hAnsi="Arial" w:cs="Arial"/>
          <w:snapToGrid w:val="0"/>
          <w:sz w:val="22"/>
          <w:szCs w:val="22"/>
        </w:rPr>
        <w:t xml:space="preserve"> to demonstrate </w:t>
      </w:r>
      <w:r w:rsidR="008866F7">
        <w:rPr>
          <w:rFonts w:ascii="Arial" w:hAnsi="Arial" w:cs="Arial"/>
          <w:snapToGrid w:val="0"/>
          <w:sz w:val="22"/>
          <w:szCs w:val="22"/>
        </w:rPr>
        <w:t xml:space="preserve">comparative efficacy to </w:t>
      </w:r>
      <w:r>
        <w:rPr>
          <w:rFonts w:ascii="Arial" w:hAnsi="Arial" w:cs="Arial"/>
          <w:snapToGrid w:val="0"/>
          <w:sz w:val="22"/>
          <w:szCs w:val="22"/>
        </w:rPr>
        <w:t>23vPPV.</w:t>
      </w:r>
      <w:r w:rsidR="00F8231D">
        <w:rPr>
          <w:rFonts w:ascii="Arial" w:hAnsi="Arial" w:cs="Arial"/>
          <w:snapToGrid w:val="0"/>
          <w:sz w:val="22"/>
          <w:szCs w:val="22"/>
        </w:rPr>
        <w:t xml:space="preserve"> </w:t>
      </w:r>
      <w:r w:rsidR="0001540C" w:rsidRPr="00F8231D">
        <w:rPr>
          <w:rFonts w:ascii="Arial" w:hAnsi="Arial" w:cs="Arial"/>
          <w:snapToGrid w:val="0"/>
          <w:sz w:val="22"/>
          <w:szCs w:val="22"/>
        </w:rPr>
        <w:t>The PBAC noted that</w:t>
      </w:r>
      <w:r w:rsidR="002712D5" w:rsidRPr="00F8231D">
        <w:rPr>
          <w:rFonts w:ascii="Arial" w:hAnsi="Arial" w:cs="Arial"/>
          <w:snapToGrid w:val="0"/>
          <w:sz w:val="22"/>
          <w:szCs w:val="22"/>
        </w:rPr>
        <w:t xml:space="preserve">, given the lack of evidence of the efficacy of 23vPPV, </w:t>
      </w:r>
      <w:r w:rsidR="00053019" w:rsidRPr="00F8231D">
        <w:rPr>
          <w:rFonts w:ascii="Arial" w:hAnsi="Arial" w:cs="Arial"/>
          <w:snapToGrid w:val="0"/>
          <w:sz w:val="22"/>
          <w:szCs w:val="22"/>
        </w:rPr>
        <w:t xml:space="preserve">and that the implementation of the 23vPPV program pre-dated the requirement for a PBAC recommendation for vaccines to be funded under the NIP, </w:t>
      </w:r>
      <w:r w:rsidR="002712D5" w:rsidRPr="00F8231D">
        <w:rPr>
          <w:rFonts w:ascii="Arial" w:hAnsi="Arial" w:cs="Arial"/>
          <w:snapToGrid w:val="0"/>
          <w:sz w:val="22"/>
          <w:szCs w:val="22"/>
        </w:rPr>
        <w:t>it may be appropriate for the clinical and cost</w:t>
      </w:r>
      <w:r w:rsidR="0001540C" w:rsidRPr="00F8231D">
        <w:rPr>
          <w:rFonts w:ascii="Arial" w:hAnsi="Arial" w:cs="Arial"/>
          <w:snapToGrid w:val="0"/>
          <w:sz w:val="22"/>
          <w:szCs w:val="22"/>
        </w:rPr>
        <w:t xml:space="preserve"> effectiveness of </w:t>
      </w:r>
      <w:r w:rsidR="002712D5" w:rsidRPr="00F8231D">
        <w:rPr>
          <w:rFonts w:ascii="Arial" w:hAnsi="Arial" w:cs="Arial"/>
          <w:snapToGrid w:val="0"/>
          <w:sz w:val="22"/>
          <w:szCs w:val="22"/>
        </w:rPr>
        <w:t xml:space="preserve">the current listing of </w:t>
      </w:r>
      <w:r w:rsidR="0001540C" w:rsidRPr="00F8231D">
        <w:rPr>
          <w:rFonts w:ascii="Arial" w:hAnsi="Arial" w:cs="Arial"/>
          <w:snapToGrid w:val="0"/>
          <w:sz w:val="22"/>
          <w:szCs w:val="22"/>
        </w:rPr>
        <w:t>23vPPV</w:t>
      </w:r>
      <w:r w:rsidR="002712D5" w:rsidRPr="00F8231D">
        <w:rPr>
          <w:rFonts w:ascii="Arial" w:hAnsi="Arial" w:cs="Arial"/>
          <w:snapToGrid w:val="0"/>
          <w:sz w:val="22"/>
          <w:szCs w:val="22"/>
        </w:rPr>
        <w:t xml:space="preserve"> for the prevention of pneumococcal pneumonia and IPD to be reviewed</w:t>
      </w:r>
      <w:r w:rsidR="0001540C" w:rsidRPr="00F8231D">
        <w:rPr>
          <w:rFonts w:ascii="Arial" w:hAnsi="Arial" w:cs="Arial"/>
          <w:snapToGrid w:val="0"/>
          <w:sz w:val="22"/>
          <w:szCs w:val="22"/>
        </w:rPr>
        <w:t>.</w:t>
      </w:r>
    </w:p>
    <w:p w:rsidR="00D64EA0" w:rsidRPr="00410C2C" w:rsidRDefault="00D64EA0" w:rsidP="005E67AE">
      <w:pPr>
        <w:contextualSpacing/>
        <w:jc w:val="both"/>
        <w:rPr>
          <w:rFonts w:ascii="Arial" w:hAnsi="Arial" w:cs="Arial"/>
          <w:snapToGrid w:val="0"/>
          <w:sz w:val="22"/>
          <w:szCs w:val="22"/>
        </w:rPr>
      </w:pPr>
    </w:p>
    <w:p w:rsidR="00953D70" w:rsidRDefault="00414F08" w:rsidP="005E67AE">
      <w:pPr>
        <w:numPr>
          <w:ilvl w:val="1"/>
          <w:numId w:val="3"/>
        </w:numPr>
        <w:contextualSpacing/>
        <w:jc w:val="both"/>
        <w:rPr>
          <w:rFonts w:ascii="Arial" w:hAnsi="Arial" w:cs="Arial"/>
          <w:snapToGrid w:val="0"/>
          <w:sz w:val="22"/>
          <w:szCs w:val="22"/>
        </w:rPr>
      </w:pPr>
      <w:r>
        <w:rPr>
          <w:rFonts w:ascii="Arial" w:hAnsi="Arial" w:cs="Arial"/>
          <w:snapToGrid w:val="0"/>
          <w:sz w:val="22"/>
          <w:szCs w:val="22"/>
        </w:rPr>
        <w:t>A res</w:t>
      </w:r>
      <w:r w:rsidR="002D1E51">
        <w:rPr>
          <w:rFonts w:ascii="Arial" w:hAnsi="Arial" w:cs="Arial"/>
          <w:snapToGrid w:val="0"/>
          <w:sz w:val="22"/>
          <w:szCs w:val="22"/>
        </w:rPr>
        <w:t xml:space="preserve">ubmission should </w:t>
      </w:r>
      <w:r w:rsidR="00CF2FF4">
        <w:rPr>
          <w:rFonts w:ascii="Arial" w:hAnsi="Arial" w:cs="Arial"/>
          <w:snapToGrid w:val="0"/>
          <w:sz w:val="22"/>
          <w:szCs w:val="22"/>
        </w:rPr>
        <w:t xml:space="preserve">also </w:t>
      </w:r>
      <w:r>
        <w:rPr>
          <w:rFonts w:ascii="Arial" w:hAnsi="Arial" w:cs="Arial"/>
          <w:snapToGrid w:val="0"/>
          <w:sz w:val="22"/>
          <w:szCs w:val="22"/>
        </w:rPr>
        <w:t xml:space="preserve">consider </w:t>
      </w:r>
      <w:r w:rsidR="00053019">
        <w:rPr>
          <w:rFonts w:ascii="Arial" w:hAnsi="Arial" w:cs="Arial"/>
          <w:snapToGrid w:val="0"/>
          <w:sz w:val="22"/>
          <w:szCs w:val="22"/>
        </w:rPr>
        <w:t xml:space="preserve">that </w:t>
      </w:r>
      <w:r w:rsidR="002D1E51">
        <w:rPr>
          <w:rFonts w:ascii="Arial" w:hAnsi="Arial" w:cs="Arial"/>
          <w:snapToGrid w:val="0"/>
          <w:sz w:val="22"/>
          <w:szCs w:val="22"/>
        </w:rPr>
        <w:t>the ATAGI</w:t>
      </w:r>
      <w:r w:rsidR="00053019">
        <w:rPr>
          <w:rFonts w:ascii="Arial" w:hAnsi="Arial" w:cs="Arial"/>
          <w:snapToGrid w:val="0"/>
          <w:sz w:val="22"/>
          <w:szCs w:val="22"/>
        </w:rPr>
        <w:t xml:space="preserve"> recommended in its</w:t>
      </w:r>
      <w:r w:rsidR="002D1E51">
        <w:rPr>
          <w:rFonts w:ascii="Arial" w:hAnsi="Arial" w:cs="Arial"/>
          <w:snapToGrid w:val="0"/>
          <w:sz w:val="22"/>
          <w:szCs w:val="22"/>
        </w:rPr>
        <w:t xml:space="preserve"> </w:t>
      </w:r>
      <w:r w:rsidR="00053019">
        <w:rPr>
          <w:rFonts w:ascii="Arial" w:hAnsi="Arial" w:cs="Arial"/>
          <w:snapToGrid w:val="0"/>
          <w:sz w:val="22"/>
          <w:szCs w:val="22"/>
        </w:rPr>
        <w:t>p</w:t>
      </w:r>
      <w:r w:rsidR="002D1E51">
        <w:rPr>
          <w:rFonts w:ascii="Arial" w:hAnsi="Arial" w:cs="Arial"/>
          <w:snapToGrid w:val="0"/>
          <w:sz w:val="22"/>
          <w:szCs w:val="22"/>
        </w:rPr>
        <w:t>ost</w:t>
      </w:r>
      <w:r w:rsidR="00053019">
        <w:rPr>
          <w:rFonts w:ascii="Arial" w:hAnsi="Arial" w:cs="Arial"/>
          <w:snapToGrid w:val="0"/>
          <w:sz w:val="22"/>
          <w:szCs w:val="22"/>
        </w:rPr>
        <w:noBreakHyphen/>
      </w:r>
      <w:r w:rsidR="000D64F3">
        <w:rPr>
          <w:rFonts w:ascii="Arial" w:hAnsi="Arial" w:cs="Arial"/>
          <w:snapToGrid w:val="0"/>
          <w:sz w:val="22"/>
          <w:szCs w:val="22"/>
        </w:rPr>
        <w:t>PBAC</w:t>
      </w:r>
      <w:r w:rsidR="002D1E51">
        <w:rPr>
          <w:rFonts w:ascii="Arial" w:hAnsi="Arial" w:cs="Arial"/>
          <w:snapToGrid w:val="0"/>
          <w:sz w:val="22"/>
          <w:szCs w:val="22"/>
        </w:rPr>
        <w:t xml:space="preserve"> </w:t>
      </w:r>
      <w:r w:rsidR="00053019">
        <w:rPr>
          <w:rFonts w:ascii="Arial" w:hAnsi="Arial" w:cs="Arial"/>
          <w:snapToGrid w:val="0"/>
          <w:sz w:val="22"/>
          <w:szCs w:val="22"/>
        </w:rPr>
        <w:t>s</w:t>
      </w:r>
      <w:r w:rsidR="002D1E51">
        <w:rPr>
          <w:rFonts w:ascii="Arial" w:hAnsi="Arial" w:cs="Arial"/>
          <w:snapToGrid w:val="0"/>
          <w:sz w:val="22"/>
          <w:szCs w:val="22"/>
        </w:rPr>
        <w:t xml:space="preserve">ubmission </w:t>
      </w:r>
      <w:r w:rsidR="00053019">
        <w:rPr>
          <w:rFonts w:ascii="Arial" w:hAnsi="Arial" w:cs="Arial"/>
          <w:snapToGrid w:val="0"/>
          <w:sz w:val="22"/>
          <w:szCs w:val="22"/>
        </w:rPr>
        <w:t>a</w:t>
      </w:r>
      <w:r w:rsidR="002D1E51">
        <w:rPr>
          <w:rFonts w:ascii="Arial" w:hAnsi="Arial" w:cs="Arial"/>
          <w:snapToGrid w:val="0"/>
          <w:sz w:val="22"/>
          <w:szCs w:val="22"/>
        </w:rPr>
        <w:t>dvice that</w:t>
      </w:r>
      <w:r w:rsidR="002D1E51" w:rsidRPr="002D1E51">
        <w:rPr>
          <w:rFonts w:ascii="Arial" w:hAnsi="Arial" w:cs="Arial"/>
          <w:snapToGrid w:val="0"/>
          <w:sz w:val="22"/>
          <w:szCs w:val="22"/>
        </w:rPr>
        <w:t xml:space="preserve"> </w:t>
      </w:r>
      <w:r w:rsidR="00053019">
        <w:rPr>
          <w:rFonts w:ascii="Arial" w:hAnsi="Arial" w:cs="Arial"/>
          <w:snapToGrid w:val="0"/>
          <w:sz w:val="22"/>
          <w:szCs w:val="22"/>
        </w:rPr>
        <w:t xml:space="preserve">the primary program </w:t>
      </w:r>
      <w:r w:rsidR="002D1E51" w:rsidRPr="002D1E51">
        <w:rPr>
          <w:rFonts w:ascii="Arial" w:hAnsi="Arial" w:cs="Arial"/>
          <w:snapToGrid w:val="0"/>
          <w:sz w:val="22"/>
          <w:szCs w:val="22"/>
        </w:rPr>
        <w:t xml:space="preserve">through the NIP </w:t>
      </w:r>
      <w:r w:rsidR="00053019">
        <w:rPr>
          <w:rFonts w:ascii="Arial" w:hAnsi="Arial" w:cs="Arial"/>
          <w:snapToGrid w:val="0"/>
          <w:sz w:val="22"/>
          <w:szCs w:val="22"/>
        </w:rPr>
        <w:t xml:space="preserve">should offer a single dose of </w:t>
      </w:r>
      <w:r w:rsidR="00053019" w:rsidRPr="002D1E51">
        <w:rPr>
          <w:rFonts w:ascii="Arial" w:hAnsi="Arial" w:cs="Arial"/>
          <w:snapToGrid w:val="0"/>
          <w:sz w:val="22"/>
          <w:szCs w:val="22"/>
        </w:rPr>
        <w:t xml:space="preserve">13vPCV </w:t>
      </w:r>
      <w:r w:rsidR="00053019">
        <w:rPr>
          <w:rFonts w:ascii="Arial" w:hAnsi="Arial" w:cs="Arial"/>
          <w:snapToGrid w:val="0"/>
          <w:sz w:val="22"/>
          <w:szCs w:val="22"/>
        </w:rPr>
        <w:t xml:space="preserve">to </w:t>
      </w:r>
      <w:r w:rsidR="002D1E51" w:rsidRPr="002D1E51">
        <w:rPr>
          <w:rFonts w:ascii="Arial" w:hAnsi="Arial" w:cs="Arial"/>
          <w:snapToGrid w:val="0"/>
          <w:sz w:val="22"/>
          <w:szCs w:val="22"/>
        </w:rPr>
        <w:t>non</w:t>
      </w:r>
      <w:r w:rsidR="00053019">
        <w:rPr>
          <w:rFonts w:ascii="Arial" w:hAnsi="Arial" w:cs="Arial"/>
          <w:snapToGrid w:val="0"/>
          <w:sz w:val="22"/>
          <w:szCs w:val="22"/>
        </w:rPr>
        <w:noBreakHyphen/>
      </w:r>
      <w:r w:rsidR="002D1E51" w:rsidRPr="002D1E51">
        <w:rPr>
          <w:rFonts w:ascii="Arial" w:hAnsi="Arial" w:cs="Arial"/>
          <w:snapToGrid w:val="0"/>
          <w:sz w:val="22"/>
          <w:szCs w:val="22"/>
        </w:rPr>
        <w:t>Indigenous adults aged ≥65 years or Indigenous adults aged ≥50 years who have never previously received 13vPCV or 23vPPV</w:t>
      </w:r>
      <w:r w:rsidR="00053019">
        <w:rPr>
          <w:rFonts w:ascii="Arial" w:hAnsi="Arial" w:cs="Arial"/>
          <w:snapToGrid w:val="0"/>
          <w:sz w:val="22"/>
          <w:szCs w:val="22"/>
        </w:rPr>
        <w:t xml:space="preserve">, rather </w:t>
      </w:r>
      <w:r w:rsidR="0001540C">
        <w:rPr>
          <w:rFonts w:ascii="Arial" w:hAnsi="Arial" w:cs="Arial"/>
          <w:snapToGrid w:val="0"/>
          <w:sz w:val="22"/>
          <w:szCs w:val="22"/>
        </w:rPr>
        <w:t>than the single year of age cohorts</w:t>
      </w:r>
      <w:r w:rsidR="00053019">
        <w:rPr>
          <w:rFonts w:ascii="Arial" w:hAnsi="Arial" w:cs="Arial"/>
          <w:snapToGrid w:val="0"/>
          <w:sz w:val="22"/>
          <w:szCs w:val="22"/>
        </w:rPr>
        <w:t xml:space="preserve"> proposed in the submission</w:t>
      </w:r>
      <w:r w:rsidR="009268C4">
        <w:rPr>
          <w:rFonts w:ascii="Arial" w:hAnsi="Arial" w:cs="Arial"/>
          <w:snapToGrid w:val="0"/>
          <w:sz w:val="22"/>
          <w:szCs w:val="22"/>
        </w:rPr>
        <w:t>.</w:t>
      </w:r>
    </w:p>
    <w:p w:rsidR="00233CF0" w:rsidRDefault="00233CF0" w:rsidP="00AD362F">
      <w:pPr>
        <w:pStyle w:val="ListParagraph"/>
        <w:rPr>
          <w:rFonts w:ascii="Arial" w:hAnsi="Arial" w:cs="Arial"/>
          <w:snapToGrid w:val="0"/>
          <w:sz w:val="22"/>
          <w:szCs w:val="22"/>
        </w:rPr>
      </w:pPr>
    </w:p>
    <w:p w:rsidR="00233CF0" w:rsidRDefault="00233CF0" w:rsidP="005E67AE">
      <w:pPr>
        <w:numPr>
          <w:ilvl w:val="1"/>
          <w:numId w:val="3"/>
        </w:numPr>
        <w:contextualSpacing/>
        <w:jc w:val="both"/>
        <w:rPr>
          <w:rFonts w:ascii="Arial" w:hAnsi="Arial" w:cs="Arial"/>
          <w:snapToGrid w:val="0"/>
          <w:sz w:val="22"/>
          <w:szCs w:val="22"/>
        </w:rPr>
      </w:pPr>
      <w:r>
        <w:rPr>
          <w:rFonts w:ascii="Arial" w:hAnsi="Arial" w:cs="Arial"/>
          <w:snapToGrid w:val="0"/>
          <w:sz w:val="22"/>
          <w:szCs w:val="22"/>
        </w:rPr>
        <w:t>The PBAC noted that this submission is eligible for an Independent Review.</w:t>
      </w:r>
    </w:p>
    <w:p w:rsidR="00410C2C" w:rsidRDefault="00410C2C" w:rsidP="00AD362F">
      <w:pPr>
        <w:pStyle w:val="ListParagraph"/>
        <w:rPr>
          <w:rFonts w:ascii="Arial" w:hAnsi="Arial" w:cs="Arial"/>
          <w:snapToGrid w:val="0"/>
          <w:sz w:val="22"/>
          <w:szCs w:val="22"/>
        </w:rPr>
      </w:pPr>
    </w:p>
    <w:p w:rsidR="00EF2AFE" w:rsidRPr="00EF2AFE" w:rsidRDefault="00EF2AFE" w:rsidP="005E67AE">
      <w:pPr>
        <w:jc w:val="both"/>
        <w:rPr>
          <w:rFonts w:ascii="Arial" w:hAnsi="Arial" w:cs="Arial"/>
          <w:snapToGrid w:val="0"/>
          <w:sz w:val="22"/>
          <w:szCs w:val="22"/>
        </w:rPr>
      </w:pPr>
    </w:p>
    <w:p w:rsidR="00EF2AFE" w:rsidRPr="00EF2AFE" w:rsidRDefault="00EF2AFE" w:rsidP="005E67AE">
      <w:pPr>
        <w:jc w:val="both"/>
        <w:rPr>
          <w:rFonts w:ascii="Arial" w:hAnsi="Arial" w:cs="Arial"/>
          <w:b/>
          <w:snapToGrid w:val="0"/>
          <w:sz w:val="22"/>
          <w:szCs w:val="22"/>
        </w:rPr>
      </w:pPr>
      <w:r w:rsidRPr="00EF2AFE">
        <w:rPr>
          <w:rFonts w:ascii="Arial" w:hAnsi="Arial" w:cs="Arial"/>
          <w:b/>
          <w:snapToGrid w:val="0"/>
          <w:sz w:val="22"/>
          <w:szCs w:val="22"/>
        </w:rPr>
        <w:t>Outcome:</w:t>
      </w:r>
    </w:p>
    <w:p w:rsidR="00DC672D" w:rsidRDefault="00EF2AFE" w:rsidP="005E67AE">
      <w:pPr>
        <w:jc w:val="both"/>
        <w:rPr>
          <w:rFonts w:ascii="Arial" w:hAnsi="Arial" w:cs="Arial"/>
          <w:snapToGrid w:val="0"/>
          <w:sz w:val="22"/>
          <w:szCs w:val="22"/>
        </w:rPr>
      </w:pPr>
      <w:r w:rsidRPr="00EF2AFE">
        <w:rPr>
          <w:rFonts w:ascii="Arial" w:hAnsi="Arial" w:cs="Arial"/>
          <w:snapToGrid w:val="0"/>
          <w:sz w:val="22"/>
          <w:szCs w:val="22"/>
        </w:rPr>
        <w:t xml:space="preserve">Rejected </w:t>
      </w:r>
    </w:p>
    <w:p w:rsidR="00DC672D" w:rsidRDefault="00DC672D" w:rsidP="005E67AE">
      <w:pPr>
        <w:jc w:val="both"/>
        <w:rPr>
          <w:rFonts w:ascii="Arial" w:hAnsi="Arial" w:cs="Arial"/>
          <w:snapToGrid w:val="0"/>
          <w:sz w:val="22"/>
          <w:szCs w:val="22"/>
        </w:rPr>
      </w:pPr>
    </w:p>
    <w:p w:rsidR="00207D4D" w:rsidRPr="00207D4D" w:rsidRDefault="00207D4D" w:rsidP="00207D4D">
      <w:pPr>
        <w:jc w:val="both"/>
        <w:rPr>
          <w:rFonts w:ascii="Arial" w:eastAsia="SimSun" w:hAnsi="Arial"/>
          <w:sz w:val="22"/>
          <w:szCs w:val="22"/>
          <w:lang w:eastAsia="en-AU"/>
        </w:rPr>
      </w:pPr>
    </w:p>
    <w:p w:rsidR="00207D4D" w:rsidRPr="00207D4D" w:rsidRDefault="00207D4D" w:rsidP="00AB45C4">
      <w:pPr>
        <w:pStyle w:val="PBACHeading1"/>
        <w:rPr>
          <w:rFonts w:eastAsia="SimSun"/>
        </w:rPr>
      </w:pPr>
      <w:r w:rsidRPr="00207D4D">
        <w:rPr>
          <w:rFonts w:eastAsia="SimSun"/>
        </w:rPr>
        <w:t>Context for Decision</w:t>
      </w:r>
    </w:p>
    <w:p w:rsidR="00207D4D" w:rsidRPr="00207D4D" w:rsidRDefault="00207D4D" w:rsidP="00207D4D">
      <w:pPr>
        <w:ind w:left="720"/>
        <w:contextualSpacing/>
        <w:rPr>
          <w:rFonts w:eastAsia="SimSun"/>
          <w:b/>
          <w:lang w:eastAsia="en-AU"/>
        </w:rPr>
      </w:pPr>
    </w:p>
    <w:p w:rsidR="00207D4D" w:rsidRPr="00207D4D" w:rsidRDefault="00207D4D" w:rsidP="00207D4D">
      <w:pPr>
        <w:ind w:left="720"/>
        <w:rPr>
          <w:rFonts w:ascii="Arial" w:eastAsia="SimSun" w:hAnsi="Arial" w:cs="Arial"/>
          <w:bCs/>
          <w:snapToGrid w:val="0"/>
          <w:sz w:val="22"/>
          <w:szCs w:val="22"/>
          <w:lang w:eastAsia="en-AU"/>
        </w:rPr>
      </w:pPr>
      <w:r w:rsidRPr="00207D4D">
        <w:rPr>
          <w:rFonts w:ascii="Arial" w:eastAsia="SimSun" w:hAnsi="Arial" w:cs="Arial"/>
          <w:bCs/>
          <w:snapToGrid w:val="0"/>
          <w:sz w:val="22"/>
          <w:szCs w:val="22"/>
          <w:lang w:eastAsia="en-AU"/>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207D4D" w:rsidRPr="00207D4D" w:rsidRDefault="00207D4D" w:rsidP="00207D4D">
      <w:pPr>
        <w:rPr>
          <w:rFonts w:eastAsia="SimSun"/>
          <w:lang w:eastAsia="en-AU"/>
        </w:rPr>
      </w:pPr>
    </w:p>
    <w:p w:rsidR="00207D4D" w:rsidRPr="00207D4D" w:rsidRDefault="00207D4D" w:rsidP="00AB45C4">
      <w:pPr>
        <w:pStyle w:val="PBACHeading1"/>
        <w:rPr>
          <w:rFonts w:eastAsia="SimSun"/>
        </w:rPr>
      </w:pPr>
      <w:r w:rsidRPr="00207D4D">
        <w:rPr>
          <w:rFonts w:eastAsia="SimSun"/>
        </w:rPr>
        <w:t>Sponsor’s Comment</w:t>
      </w:r>
    </w:p>
    <w:p w:rsidR="00207D4D" w:rsidRPr="00B500C0" w:rsidRDefault="00207D4D" w:rsidP="005E67AE">
      <w:pPr>
        <w:jc w:val="both"/>
        <w:rPr>
          <w:rFonts w:ascii="Arial" w:hAnsi="Arial" w:cs="Arial"/>
          <w:snapToGrid w:val="0"/>
          <w:sz w:val="22"/>
          <w:szCs w:val="22"/>
        </w:rPr>
      </w:pPr>
    </w:p>
    <w:p w:rsidR="000561A3" w:rsidRPr="00B500C0" w:rsidRDefault="000561A3" w:rsidP="00B500C0">
      <w:pPr>
        <w:ind w:left="720"/>
        <w:rPr>
          <w:rFonts w:ascii="Arial" w:hAnsi="Arial" w:cs="Arial"/>
          <w:sz w:val="22"/>
        </w:rPr>
      </w:pPr>
      <w:r w:rsidRPr="00B500C0">
        <w:rPr>
          <w:rFonts w:ascii="Arial" w:hAnsi="Arial" w:cs="Arial"/>
          <w:sz w:val="22"/>
        </w:rPr>
        <w:t>Pfizer Australia is disappointed with the outcome. Due to the significant burden of pneumococcal pneumonia in older Australians, the Sponsor is willing to work with the PBAC to ensure timely and equitable access to Prevenar 13.</w:t>
      </w:r>
    </w:p>
    <w:p w:rsidR="000561A3" w:rsidRDefault="000561A3" w:rsidP="005E67AE">
      <w:pPr>
        <w:jc w:val="both"/>
        <w:rPr>
          <w:rFonts w:ascii="Arial" w:hAnsi="Arial" w:cs="Arial"/>
          <w:snapToGrid w:val="0"/>
          <w:sz w:val="22"/>
          <w:szCs w:val="22"/>
        </w:rPr>
      </w:pPr>
    </w:p>
    <w:sectPr w:rsidR="000561A3" w:rsidSect="00F42073">
      <w:headerReference w:type="default" r:id="rId9"/>
      <w:footerReference w:type="default" r:id="rId10"/>
      <w:pgSz w:w="11907" w:h="16840" w:code="9"/>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5BB8" w:rsidRDefault="00895BB8" w:rsidP="00CE2C77">
      <w:r>
        <w:separator/>
      </w:r>
    </w:p>
  </w:endnote>
  <w:endnote w:type="continuationSeparator" w:id="0">
    <w:p w:rsidR="00895BB8" w:rsidRDefault="00895BB8" w:rsidP="00CE2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Bold">
    <w:panose1 w:val="020B0704020202020204"/>
    <w:charset w:val="00"/>
    <w:family w:val="roman"/>
    <w:notTrueType/>
    <w:pitch w:val="default"/>
    <w:sig w:usb0="00000003" w:usb1="00000000" w:usb2="00000000" w:usb3="00000000" w:csb0="00000001" w:csb1="00000000"/>
  </w:font>
  <w:font w:name="OneGulliverA">
    <w:altName w:val="Arial Unicode MS"/>
    <w:panose1 w:val="00000000000000000000"/>
    <w:charset w:val="00"/>
    <w:family w:val="auto"/>
    <w:notTrueType/>
    <w:pitch w:val="default"/>
    <w:sig w:usb0="00000003" w:usb1="09060000" w:usb2="00000010" w:usb3="00000000" w:csb0="00080001" w:csb1="00000000"/>
  </w:font>
  <w:font w:name="GulliverRM">
    <w:altName w:val="Cambria"/>
    <w:panose1 w:val="00000000000000000000"/>
    <w:charset w:val="00"/>
    <w:family w:val="auto"/>
    <w:notTrueType/>
    <w:pitch w:val="default"/>
    <w:sig w:usb0="00000003" w:usb1="00000000" w:usb2="00000000" w:usb3="00000000" w:csb0="00000001" w:csb1="00000000"/>
  </w:font>
  <w:font w:name="GulliverIT">
    <w:panose1 w:val="00000000000000000000"/>
    <w:charset w:val="00"/>
    <w:family w:val="auto"/>
    <w:notTrueType/>
    <w:pitch w:val="default"/>
    <w:sig w:usb0="00000003" w:usb1="00000000" w:usb2="00000000" w:usb3="00000000" w:csb0="00000001" w:csb1="00000000"/>
  </w:font>
  <w:font w:name="OneGulliver-ItalicA">
    <w:panose1 w:val="00000000000000000000"/>
    <w:charset w:val="00"/>
    <w:family w:val="auto"/>
    <w:notTrueType/>
    <w:pitch w:val="default"/>
    <w:sig w:usb0="00000003" w:usb1="00000000" w:usb2="00000000" w:usb3="00000000" w:csb0="00000001" w:csb1="00000000"/>
  </w:font>
  <w:font w:name="Minion-Regular">
    <w:panose1 w:val="00000000000000000000"/>
    <w:charset w:val="00"/>
    <w:family w:val="roman"/>
    <w:notTrueType/>
    <w:pitch w:val="default"/>
    <w:sig w:usb0="00000003" w:usb1="00000000" w:usb2="00000000" w:usb3="00000000" w:csb0="00000001" w:csb1="00000000"/>
  </w:font>
  <w:font w:name="Univers-CondensedBold">
    <w:panose1 w:val="00000000000000000000"/>
    <w:charset w:val="00"/>
    <w:family w:val="swiss"/>
    <w:notTrueType/>
    <w:pitch w:val="default"/>
    <w:sig w:usb0="00000003" w:usb1="00000000" w:usb2="00000000" w:usb3="00000000" w:csb0="00000001" w:csb1="00000000"/>
  </w:font>
  <w:font w:name="AntennaCond-Light">
    <w:panose1 w:val="00000000000000000000"/>
    <w:charset w:val="00"/>
    <w:family w:val="auto"/>
    <w:notTrueType/>
    <w:pitch w:val="default"/>
    <w:sig w:usb0="00000003" w:usb1="00000000" w:usb2="00000000" w:usb3="00000000" w:csb0="00000001" w:csb1="00000000"/>
  </w:font>
  <w:font w:name="GillSans-Bold">
    <w:panose1 w:val="00000000000000000000"/>
    <w:charset w:val="00"/>
    <w:family w:val="auto"/>
    <w:notTrueType/>
    <w:pitch w:val="default"/>
    <w:sig w:usb0="00000003" w:usb1="00000000" w:usb2="00000000" w:usb3="00000000" w:csb0="00000001" w:csb1="00000000"/>
  </w:font>
  <w:font w:name="GillSans-Italic">
    <w:panose1 w:val="00000000000000000000"/>
    <w:charset w:val="00"/>
    <w:family w:val="auto"/>
    <w:notTrueType/>
    <w:pitch w:val="default"/>
    <w:sig w:usb0="00000003" w:usb1="00000000" w:usb2="00000000" w:usb3="00000000" w:csb0="00000001" w:csb1="00000000"/>
  </w:font>
  <w:font w:name="GillSans">
    <w:panose1 w:val="00000000000000000000"/>
    <w:charset w:val="00"/>
    <w:family w:val="auto"/>
    <w:notTrueType/>
    <w:pitch w:val="default"/>
    <w:sig w:usb0="00000003" w:usb1="00000000" w:usb2="00000000" w:usb3="00000000" w:csb0="00000001" w:csb1="00000000"/>
  </w:font>
  <w:font w:name="Giovanni-Book">
    <w:panose1 w:val="00000000000000000000"/>
    <w:charset w:val="00"/>
    <w:family w:val="roman"/>
    <w:notTrueType/>
    <w:pitch w:val="default"/>
    <w:sig w:usb0="00000003" w:usb1="00000000" w:usb2="00000000" w:usb3="00000000" w:csb0="00000001" w:csb1="00000000"/>
  </w:font>
  <w:font w:name="AdvOT46dcae81">
    <w:panose1 w:val="00000000000000000000"/>
    <w:charset w:val="00"/>
    <w:family w:val="swiss"/>
    <w:notTrueType/>
    <w:pitch w:val="default"/>
    <w:sig w:usb0="00000003" w:usb1="00000000" w:usb2="00000000" w:usb3="00000000" w:csb0="00000001" w:csb1="00000000"/>
  </w:font>
  <w:font w:name="AdvOT65f8a23b.I">
    <w:panose1 w:val="00000000000000000000"/>
    <w:charset w:val="00"/>
    <w:family w:val="swiss"/>
    <w:notTrueType/>
    <w:pitch w:val="default"/>
    <w:sig w:usb0="00000003" w:usb1="00000000" w:usb2="00000000" w:usb3="00000000" w:csb0="00000001" w:csb1="00000000"/>
  </w:font>
  <w:font w:name="AdvOT3b30f6db.B">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1147232"/>
      <w:docPartObj>
        <w:docPartGallery w:val="Page Numbers (Bottom of Page)"/>
        <w:docPartUnique/>
      </w:docPartObj>
    </w:sdtPr>
    <w:sdtEndPr>
      <w:rPr>
        <w:noProof/>
      </w:rPr>
    </w:sdtEndPr>
    <w:sdtContent>
      <w:p w:rsidR="00895BB8" w:rsidRDefault="00895BB8">
        <w:pPr>
          <w:pStyle w:val="Footer"/>
          <w:jc w:val="center"/>
        </w:pPr>
        <w:r>
          <w:fldChar w:fldCharType="begin"/>
        </w:r>
        <w:r>
          <w:instrText xml:space="preserve"> PAGE   \* MERGEFORMAT </w:instrText>
        </w:r>
        <w:r>
          <w:fldChar w:fldCharType="separate"/>
        </w:r>
        <w:r w:rsidR="003E002A">
          <w:rPr>
            <w:noProof/>
          </w:rPr>
          <w:t>2</w:t>
        </w:r>
        <w:r>
          <w:rPr>
            <w:noProof/>
          </w:rPr>
          <w:fldChar w:fldCharType="end"/>
        </w:r>
      </w:p>
    </w:sdtContent>
  </w:sdt>
  <w:p w:rsidR="00895BB8" w:rsidRDefault="00895BB8" w:rsidP="00CE2C77">
    <w:pPr>
      <w:widowControl w:val="0"/>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5BB8" w:rsidRDefault="00895BB8" w:rsidP="00CE2C77">
      <w:r>
        <w:separator/>
      </w:r>
    </w:p>
  </w:footnote>
  <w:footnote w:type="continuationSeparator" w:id="0">
    <w:p w:rsidR="00895BB8" w:rsidRDefault="00895BB8" w:rsidP="00CE2C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5BB8" w:rsidRPr="00DF217D" w:rsidRDefault="00895BB8" w:rsidP="00517B6E">
    <w:pPr>
      <w:pStyle w:val="Header"/>
      <w:jc w:val="center"/>
      <w:rPr>
        <w:i/>
        <w:color w:val="808080"/>
      </w:rPr>
    </w:pPr>
    <w:r>
      <w:rPr>
        <w:i/>
        <w:color w:val="808080"/>
      </w:rPr>
      <w:t xml:space="preserve"> Public Summary Document </w:t>
    </w:r>
    <w:r w:rsidRPr="00DF217D">
      <w:rPr>
        <w:i/>
        <w:color w:val="808080"/>
      </w:rPr>
      <w:t xml:space="preserve">– </w:t>
    </w:r>
    <w:r>
      <w:rPr>
        <w:i/>
        <w:color w:val="808080"/>
      </w:rPr>
      <w:t xml:space="preserve">March 2015 </w:t>
    </w:r>
    <w:r w:rsidRPr="00DF217D">
      <w:rPr>
        <w:i/>
        <w:color w:val="808080"/>
      </w:rPr>
      <w:t>PBAC</w:t>
    </w:r>
    <w:r>
      <w:rPr>
        <w:i/>
        <w:color w:val="808080"/>
      </w:rPr>
      <w:t xml:space="preserve"> </w:t>
    </w:r>
    <w:r w:rsidRPr="00DF217D">
      <w:rPr>
        <w:i/>
        <w:color w:val="808080"/>
      </w:rPr>
      <w:t>Meeting</w:t>
    </w:r>
  </w:p>
  <w:p w:rsidR="00895BB8" w:rsidRDefault="00895BB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C1385"/>
    <w:multiLevelType w:val="hybridMultilevel"/>
    <w:tmpl w:val="3460C29E"/>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4DB6EC1"/>
    <w:multiLevelType w:val="hybridMultilevel"/>
    <w:tmpl w:val="EA00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BA1EDB"/>
    <w:multiLevelType w:val="multilevel"/>
    <w:tmpl w:val="C4162B66"/>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i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F8E53D6"/>
    <w:multiLevelType w:val="hybridMultilevel"/>
    <w:tmpl w:val="1AA23FC0"/>
    <w:lvl w:ilvl="0" w:tplc="0C090001">
      <w:start w:val="1"/>
      <w:numFmt w:val="bullet"/>
      <w:lvlText w:val=""/>
      <w:lvlJc w:val="left"/>
      <w:pPr>
        <w:ind w:left="1485" w:hanging="360"/>
      </w:pPr>
      <w:rPr>
        <w:rFonts w:ascii="Symbol" w:hAnsi="Symbol" w:hint="default"/>
      </w:rPr>
    </w:lvl>
    <w:lvl w:ilvl="1" w:tplc="0C090003" w:tentative="1">
      <w:start w:val="1"/>
      <w:numFmt w:val="bullet"/>
      <w:lvlText w:val="o"/>
      <w:lvlJc w:val="left"/>
      <w:pPr>
        <w:ind w:left="2205" w:hanging="360"/>
      </w:pPr>
      <w:rPr>
        <w:rFonts w:ascii="Courier New" w:hAnsi="Courier New" w:cs="Courier New" w:hint="default"/>
      </w:rPr>
    </w:lvl>
    <w:lvl w:ilvl="2" w:tplc="0C090005" w:tentative="1">
      <w:start w:val="1"/>
      <w:numFmt w:val="bullet"/>
      <w:lvlText w:val=""/>
      <w:lvlJc w:val="left"/>
      <w:pPr>
        <w:ind w:left="2925" w:hanging="360"/>
      </w:pPr>
      <w:rPr>
        <w:rFonts w:ascii="Wingdings" w:hAnsi="Wingdings" w:hint="default"/>
      </w:rPr>
    </w:lvl>
    <w:lvl w:ilvl="3" w:tplc="0C090001" w:tentative="1">
      <w:start w:val="1"/>
      <w:numFmt w:val="bullet"/>
      <w:lvlText w:val=""/>
      <w:lvlJc w:val="left"/>
      <w:pPr>
        <w:ind w:left="3645" w:hanging="360"/>
      </w:pPr>
      <w:rPr>
        <w:rFonts w:ascii="Symbol" w:hAnsi="Symbol" w:hint="default"/>
      </w:rPr>
    </w:lvl>
    <w:lvl w:ilvl="4" w:tplc="0C090003" w:tentative="1">
      <w:start w:val="1"/>
      <w:numFmt w:val="bullet"/>
      <w:lvlText w:val="o"/>
      <w:lvlJc w:val="left"/>
      <w:pPr>
        <w:ind w:left="4365" w:hanging="360"/>
      </w:pPr>
      <w:rPr>
        <w:rFonts w:ascii="Courier New" w:hAnsi="Courier New" w:cs="Courier New" w:hint="default"/>
      </w:rPr>
    </w:lvl>
    <w:lvl w:ilvl="5" w:tplc="0C090005" w:tentative="1">
      <w:start w:val="1"/>
      <w:numFmt w:val="bullet"/>
      <w:lvlText w:val=""/>
      <w:lvlJc w:val="left"/>
      <w:pPr>
        <w:ind w:left="5085" w:hanging="360"/>
      </w:pPr>
      <w:rPr>
        <w:rFonts w:ascii="Wingdings" w:hAnsi="Wingdings" w:hint="default"/>
      </w:rPr>
    </w:lvl>
    <w:lvl w:ilvl="6" w:tplc="0C090001" w:tentative="1">
      <w:start w:val="1"/>
      <w:numFmt w:val="bullet"/>
      <w:lvlText w:val=""/>
      <w:lvlJc w:val="left"/>
      <w:pPr>
        <w:ind w:left="5805" w:hanging="360"/>
      </w:pPr>
      <w:rPr>
        <w:rFonts w:ascii="Symbol" w:hAnsi="Symbol" w:hint="default"/>
      </w:rPr>
    </w:lvl>
    <w:lvl w:ilvl="7" w:tplc="0C090003" w:tentative="1">
      <w:start w:val="1"/>
      <w:numFmt w:val="bullet"/>
      <w:lvlText w:val="o"/>
      <w:lvlJc w:val="left"/>
      <w:pPr>
        <w:ind w:left="6525" w:hanging="360"/>
      </w:pPr>
      <w:rPr>
        <w:rFonts w:ascii="Courier New" w:hAnsi="Courier New" w:cs="Courier New" w:hint="default"/>
      </w:rPr>
    </w:lvl>
    <w:lvl w:ilvl="8" w:tplc="0C090005" w:tentative="1">
      <w:start w:val="1"/>
      <w:numFmt w:val="bullet"/>
      <w:lvlText w:val=""/>
      <w:lvlJc w:val="left"/>
      <w:pPr>
        <w:ind w:left="7245" w:hanging="360"/>
      </w:pPr>
      <w:rPr>
        <w:rFonts w:ascii="Wingdings" w:hAnsi="Wingdings" w:hint="default"/>
      </w:rPr>
    </w:lvl>
  </w:abstractNum>
  <w:abstractNum w:abstractNumId="4">
    <w:nsid w:val="231A58F3"/>
    <w:multiLevelType w:val="hybridMultilevel"/>
    <w:tmpl w:val="53EC0240"/>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866126D"/>
    <w:multiLevelType w:val="hybridMultilevel"/>
    <w:tmpl w:val="4954A4B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nsid w:val="2A606799"/>
    <w:multiLevelType w:val="hybridMultilevel"/>
    <w:tmpl w:val="AC5A8EC0"/>
    <w:lvl w:ilvl="0" w:tplc="DEEA797A">
      <w:start w:val="1"/>
      <w:numFmt w:val="decimal"/>
      <w:pStyle w:val="Numberedtex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2E081B9A"/>
    <w:multiLevelType w:val="hybridMultilevel"/>
    <w:tmpl w:val="46106992"/>
    <w:lvl w:ilvl="0" w:tplc="C92ADED4">
      <w:start w:val="1"/>
      <w:numFmt w:val="bullet"/>
      <w:pStyle w:val="ListNumber"/>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nsid w:val="367A3591"/>
    <w:multiLevelType w:val="hybridMultilevel"/>
    <w:tmpl w:val="8BCEE9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3B7C34E2"/>
    <w:multiLevelType w:val="hybridMultilevel"/>
    <w:tmpl w:val="F2AE7D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3F2B233D"/>
    <w:multiLevelType w:val="multilevel"/>
    <w:tmpl w:val="37D0AD6A"/>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53CB6388"/>
    <w:multiLevelType w:val="hybridMultilevel"/>
    <w:tmpl w:val="2468236C"/>
    <w:lvl w:ilvl="0" w:tplc="6DDC2AB4">
      <w:start w:val="1"/>
      <w:numFmt w:val="decimal"/>
      <w:pStyle w:val="TableListNumber"/>
      <w:lvlText w:val="%1."/>
      <w:lvlJc w:val="left"/>
      <w:pPr>
        <w:tabs>
          <w:tab w:val="num" w:pos="357"/>
        </w:tabs>
        <w:ind w:left="357" w:hanging="35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5E650335"/>
    <w:multiLevelType w:val="hybridMultilevel"/>
    <w:tmpl w:val="91FC087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6F0D199F"/>
    <w:multiLevelType w:val="multilevel"/>
    <w:tmpl w:val="18BC5E04"/>
    <w:lvl w:ilvl="0">
      <w:start w:val="1"/>
      <w:numFmt w:val="decimal"/>
      <w:pStyle w:val="NumberedText0"/>
      <w:lvlText w:val="%1."/>
      <w:lvlJc w:val="left"/>
      <w:pPr>
        <w:tabs>
          <w:tab w:val="num" w:pos="720"/>
        </w:tabs>
        <w:ind w:left="720" w:hanging="720"/>
      </w:pPr>
      <w:rPr>
        <w:rFonts w:hint="default"/>
      </w:rPr>
    </w:lvl>
    <w:lvl w:ilvl="1">
      <w:start w:val="1"/>
      <w:numFmt w:val="lowerLetter"/>
      <w:lvlText w:val="%2"/>
      <w:lvlJc w:val="left"/>
      <w:pPr>
        <w:tabs>
          <w:tab w:val="num" w:pos="1276"/>
        </w:tabs>
        <w:ind w:left="1276" w:hanging="556"/>
      </w:pPr>
      <w:rPr>
        <w:rFonts w:hint="default"/>
      </w:rPr>
    </w:lvl>
    <w:lvl w:ilvl="2">
      <w:start w:val="1"/>
      <w:numFmt w:val="lowerLetter"/>
      <w:lvlText w:val="%3"/>
      <w:lvlJc w:val="left"/>
      <w:pPr>
        <w:tabs>
          <w:tab w:val="num" w:pos="1276"/>
        </w:tabs>
        <w:ind w:left="1276" w:hanging="12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6FB13952"/>
    <w:multiLevelType w:val="hybridMultilevel"/>
    <w:tmpl w:val="4D2E3B9C"/>
    <w:lvl w:ilvl="0" w:tplc="3BBE5BC6">
      <w:start w:val="1"/>
      <w:numFmt w:val="bullet"/>
      <w:pStyle w:val="TableListBullet"/>
      <w:lvlText w:val=""/>
      <w:lvlJc w:val="left"/>
      <w:pPr>
        <w:tabs>
          <w:tab w:val="num" w:pos="720"/>
        </w:tabs>
        <w:ind w:left="720" w:hanging="360"/>
      </w:pPr>
      <w:rPr>
        <w:rFonts w:ascii="Symbol" w:hAnsi="Symbol"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
    <w:nsid w:val="76346CBF"/>
    <w:multiLevelType w:val="hybridMultilevel"/>
    <w:tmpl w:val="A87079A4"/>
    <w:lvl w:ilvl="0" w:tplc="0DBC61CE">
      <w:start w:val="1"/>
      <w:numFmt w:val="lowerLetter"/>
      <w:lvlText w:val="(%1)"/>
      <w:lvlJc w:val="left"/>
      <w:pPr>
        <w:ind w:left="1788" w:hanging="795"/>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7">
    <w:nsid w:val="76A026D0"/>
    <w:multiLevelType w:val="hybridMultilevel"/>
    <w:tmpl w:val="974A856E"/>
    <w:lvl w:ilvl="0" w:tplc="6CC4F894">
      <w:start w:val="1"/>
      <w:numFmt w:val="bullet"/>
      <w:pStyle w:val="BulletedText"/>
      <w:lvlText w:val=""/>
      <w:lvlJc w:val="left"/>
      <w:pPr>
        <w:ind w:left="717"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nsid w:val="784D033C"/>
    <w:multiLevelType w:val="multilevel"/>
    <w:tmpl w:val="6E9CAF1E"/>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ascii="Arial" w:hAnsi="Arial" w:cs="Arial" w:hint="default"/>
        <w:i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78C31F20"/>
    <w:multiLevelType w:val="singleLevel"/>
    <w:tmpl w:val="9C5CE944"/>
    <w:lvl w:ilvl="0">
      <w:start w:val="1"/>
      <w:numFmt w:val="bullet"/>
      <w:lvlRestart w:val="0"/>
      <w:pStyle w:val="ListBullet"/>
      <w:lvlText w:val=""/>
      <w:lvlJc w:val="left"/>
      <w:pPr>
        <w:tabs>
          <w:tab w:val="num" w:pos="360"/>
        </w:tabs>
        <w:ind w:left="360" w:hanging="360"/>
      </w:pPr>
      <w:rPr>
        <w:rFonts w:ascii="Symbol" w:hAnsi="Symbol" w:hint="default"/>
        <w:caps w:val="0"/>
        <w:u w:val="none"/>
      </w:rPr>
    </w:lvl>
  </w:abstractNum>
  <w:abstractNum w:abstractNumId="20">
    <w:nsid w:val="7D101EF5"/>
    <w:multiLevelType w:val="hybridMultilevel"/>
    <w:tmpl w:val="408E12BC"/>
    <w:lvl w:ilvl="0" w:tplc="FC4E0402">
      <w:start w:val="1"/>
      <w:numFmt w:val="lowerLetter"/>
      <w:lvlText w:val="(%1)"/>
      <w:lvlJc w:val="left"/>
      <w:pPr>
        <w:ind w:left="1444" w:hanging="735"/>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num w:numId="1">
    <w:abstractNumId w:val="9"/>
  </w:num>
  <w:num w:numId="2">
    <w:abstractNumId w:val="1"/>
  </w:num>
  <w:num w:numId="3">
    <w:abstractNumId w:val="18"/>
  </w:num>
  <w:num w:numId="4">
    <w:abstractNumId w:val="19"/>
  </w:num>
  <w:num w:numId="5">
    <w:abstractNumId w:val="14"/>
  </w:num>
  <w:num w:numId="6">
    <w:abstractNumId w:val="15"/>
  </w:num>
  <w:num w:numId="7">
    <w:abstractNumId w:val="11"/>
  </w:num>
  <w:num w:numId="8">
    <w:abstractNumId w:val="6"/>
  </w:num>
  <w:num w:numId="9">
    <w:abstractNumId w:val="17"/>
  </w:num>
  <w:num w:numId="10">
    <w:abstractNumId w:val="7"/>
  </w:num>
  <w:num w:numId="11">
    <w:abstractNumId w:val="5"/>
  </w:num>
  <w:num w:numId="12">
    <w:abstractNumId w:val="8"/>
  </w:num>
  <w:num w:numId="13">
    <w:abstractNumId w:val="10"/>
  </w:num>
  <w:num w:numId="14">
    <w:abstractNumId w:val="0"/>
  </w:num>
  <w:num w:numId="15">
    <w:abstractNumId w:val="13"/>
  </w:num>
  <w:num w:numId="16">
    <w:abstractNumId w:val="4"/>
  </w:num>
  <w:num w:numId="17">
    <w:abstractNumId w:val="12"/>
  </w:num>
  <w:num w:numId="18">
    <w:abstractNumId w:val="16"/>
  </w:num>
  <w:num w:numId="19">
    <w:abstractNumId w:val="20"/>
  </w:num>
  <w:num w:numId="20">
    <w:abstractNumId w:val="3"/>
  </w:num>
  <w:num w:numId="21">
    <w:abstractNumId w:val="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C77"/>
    <w:rsid w:val="00003743"/>
    <w:rsid w:val="00006DB2"/>
    <w:rsid w:val="00011866"/>
    <w:rsid w:val="0001540C"/>
    <w:rsid w:val="00020CA5"/>
    <w:rsid w:val="00037557"/>
    <w:rsid w:val="00053019"/>
    <w:rsid w:val="00054B27"/>
    <w:rsid w:val="000561A3"/>
    <w:rsid w:val="000634D7"/>
    <w:rsid w:val="00067456"/>
    <w:rsid w:val="00070695"/>
    <w:rsid w:val="0007736E"/>
    <w:rsid w:val="00080DFF"/>
    <w:rsid w:val="00080F9C"/>
    <w:rsid w:val="000908CE"/>
    <w:rsid w:val="000A06B1"/>
    <w:rsid w:val="000A421A"/>
    <w:rsid w:val="000A5682"/>
    <w:rsid w:val="000A6770"/>
    <w:rsid w:val="000A7FE8"/>
    <w:rsid w:val="000B0624"/>
    <w:rsid w:val="000B13D2"/>
    <w:rsid w:val="000B3343"/>
    <w:rsid w:val="000B7316"/>
    <w:rsid w:val="000C0D06"/>
    <w:rsid w:val="000C5C0F"/>
    <w:rsid w:val="000C5CC5"/>
    <w:rsid w:val="000D38FC"/>
    <w:rsid w:val="000D50A7"/>
    <w:rsid w:val="000D51B0"/>
    <w:rsid w:val="000D5713"/>
    <w:rsid w:val="000D64F3"/>
    <w:rsid w:val="000F51D4"/>
    <w:rsid w:val="000F57C6"/>
    <w:rsid w:val="000F763D"/>
    <w:rsid w:val="00104E57"/>
    <w:rsid w:val="00110ED5"/>
    <w:rsid w:val="00111E35"/>
    <w:rsid w:val="00120FFF"/>
    <w:rsid w:val="00143563"/>
    <w:rsid w:val="00145405"/>
    <w:rsid w:val="001474FE"/>
    <w:rsid w:val="00147F2C"/>
    <w:rsid w:val="00156AB2"/>
    <w:rsid w:val="00157968"/>
    <w:rsid w:val="0016065B"/>
    <w:rsid w:val="0016082B"/>
    <w:rsid w:val="001700FC"/>
    <w:rsid w:val="00177810"/>
    <w:rsid w:val="001824F2"/>
    <w:rsid w:val="001838E3"/>
    <w:rsid w:val="001849D4"/>
    <w:rsid w:val="001864D3"/>
    <w:rsid w:val="001900B0"/>
    <w:rsid w:val="00194209"/>
    <w:rsid w:val="0019470C"/>
    <w:rsid w:val="00195893"/>
    <w:rsid w:val="00197325"/>
    <w:rsid w:val="001A58C1"/>
    <w:rsid w:val="001A68F8"/>
    <w:rsid w:val="001B130A"/>
    <w:rsid w:val="001B3443"/>
    <w:rsid w:val="001B37F1"/>
    <w:rsid w:val="001B584E"/>
    <w:rsid w:val="001C1415"/>
    <w:rsid w:val="001C4C4F"/>
    <w:rsid w:val="001D3CA3"/>
    <w:rsid w:val="001D6248"/>
    <w:rsid w:val="001D6CD1"/>
    <w:rsid w:val="001E0281"/>
    <w:rsid w:val="001E1FFE"/>
    <w:rsid w:val="001E2BDD"/>
    <w:rsid w:val="001F37CD"/>
    <w:rsid w:val="00200415"/>
    <w:rsid w:val="00206A81"/>
    <w:rsid w:val="00207075"/>
    <w:rsid w:val="002076D9"/>
    <w:rsid w:val="00207D4D"/>
    <w:rsid w:val="0021049B"/>
    <w:rsid w:val="002127CE"/>
    <w:rsid w:val="00212981"/>
    <w:rsid w:val="0021386F"/>
    <w:rsid w:val="002219D4"/>
    <w:rsid w:val="00233CF0"/>
    <w:rsid w:val="002424BC"/>
    <w:rsid w:val="002428A7"/>
    <w:rsid w:val="00246CBD"/>
    <w:rsid w:val="00255EE0"/>
    <w:rsid w:val="00256FE3"/>
    <w:rsid w:val="00261C8B"/>
    <w:rsid w:val="00262B5C"/>
    <w:rsid w:val="002712D5"/>
    <w:rsid w:val="0027605D"/>
    <w:rsid w:val="002801CF"/>
    <w:rsid w:val="00280F87"/>
    <w:rsid w:val="00285D71"/>
    <w:rsid w:val="002914D3"/>
    <w:rsid w:val="00294FA9"/>
    <w:rsid w:val="00295867"/>
    <w:rsid w:val="00297F79"/>
    <w:rsid w:val="002A11C3"/>
    <w:rsid w:val="002A361D"/>
    <w:rsid w:val="002A5EC2"/>
    <w:rsid w:val="002A6D73"/>
    <w:rsid w:val="002A7BC9"/>
    <w:rsid w:val="002B7A73"/>
    <w:rsid w:val="002C2164"/>
    <w:rsid w:val="002D1E51"/>
    <w:rsid w:val="002D2DB5"/>
    <w:rsid w:val="002D4D74"/>
    <w:rsid w:val="002E1D71"/>
    <w:rsid w:val="002E7A2C"/>
    <w:rsid w:val="002F2BE6"/>
    <w:rsid w:val="002F4167"/>
    <w:rsid w:val="002F48F3"/>
    <w:rsid w:val="002F536A"/>
    <w:rsid w:val="0030786C"/>
    <w:rsid w:val="00311B86"/>
    <w:rsid w:val="00316926"/>
    <w:rsid w:val="00333E4D"/>
    <w:rsid w:val="00334FA2"/>
    <w:rsid w:val="003352B7"/>
    <w:rsid w:val="003435F7"/>
    <w:rsid w:val="0035240D"/>
    <w:rsid w:val="00353E73"/>
    <w:rsid w:val="00355534"/>
    <w:rsid w:val="00362EC6"/>
    <w:rsid w:val="00364A39"/>
    <w:rsid w:val="0036757C"/>
    <w:rsid w:val="00371193"/>
    <w:rsid w:val="00377F24"/>
    <w:rsid w:val="00382D66"/>
    <w:rsid w:val="003853CD"/>
    <w:rsid w:val="00385735"/>
    <w:rsid w:val="00396B86"/>
    <w:rsid w:val="003A42C7"/>
    <w:rsid w:val="003B1C50"/>
    <w:rsid w:val="003B749C"/>
    <w:rsid w:val="003C4F0B"/>
    <w:rsid w:val="003D0092"/>
    <w:rsid w:val="003D17F9"/>
    <w:rsid w:val="003E002A"/>
    <w:rsid w:val="003E02E1"/>
    <w:rsid w:val="003E2F68"/>
    <w:rsid w:val="003E3178"/>
    <w:rsid w:val="003E3F27"/>
    <w:rsid w:val="003F0850"/>
    <w:rsid w:val="003F4B17"/>
    <w:rsid w:val="00401975"/>
    <w:rsid w:val="00404F2C"/>
    <w:rsid w:val="00410C2C"/>
    <w:rsid w:val="00414F08"/>
    <w:rsid w:val="00421C5F"/>
    <w:rsid w:val="004278FD"/>
    <w:rsid w:val="00434001"/>
    <w:rsid w:val="00435734"/>
    <w:rsid w:val="00436A8B"/>
    <w:rsid w:val="00437298"/>
    <w:rsid w:val="00441715"/>
    <w:rsid w:val="004425F3"/>
    <w:rsid w:val="00446F24"/>
    <w:rsid w:val="004521FE"/>
    <w:rsid w:val="00454C00"/>
    <w:rsid w:val="0045615B"/>
    <w:rsid w:val="00456F65"/>
    <w:rsid w:val="00461B42"/>
    <w:rsid w:val="0046441F"/>
    <w:rsid w:val="00465741"/>
    <w:rsid w:val="00473BFA"/>
    <w:rsid w:val="004759C4"/>
    <w:rsid w:val="00475A52"/>
    <w:rsid w:val="0047691C"/>
    <w:rsid w:val="004815B8"/>
    <w:rsid w:val="004861C4"/>
    <w:rsid w:val="0048659B"/>
    <w:rsid w:val="004867E2"/>
    <w:rsid w:val="00486F9E"/>
    <w:rsid w:val="00493B36"/>
    <w:rsid w:val="004A65E4"/>
    <w:rsid w:val="004B5FEA"/>
    <w:rsid w:val="004C126A"/>
    <w:rsid w:val="004C2D49"/>
    <w:rsid w:val="004D0C41"/>
    <w:rsid w:val="004D275C"/>
    <w:rsid w:val="004D561D"/>
    <w:rsid w:val="004D60A8"/>
    <w:rsid w:val="005011AF"/>
    <w:rsid w:val="005026F5"/>
    <w:rsid w:val="00503C58"/>
    <w:rsid w:val="00506423"/>
    <w:rsid w:val="0050768E"/>
    <w:rsid w:val="00511EBF"/>
    <w:rsid w:val="005125B6"/>
    <w:rsid w:val="0051390D"/>
    <w:rsid w:val="00513B32"/>
    <w:rsid w:val="00517B6E"/>
    <w:rsid w:val="0053642F"/>
    <w:rsid w:val="00545414"/>
    <w:rsid w:val="00566EF1"/>
    <w:rsid w:val="00567EAD"/>
    <w:rsid w:val="00572C28"/>
    <w:rsid w:val="0057549D"/>
    <w:rsid w:val="00580159"/>
    <w:rsid w:val="00584528"/>
    <w:rsid w:val="00586714"/>
    <w:rsid w:val="00587A3D"/>
    <w:rsid w:val="00587C21"/>
    <w:rsid w:val="005A0192"/>
    <w:rsid w:val="005B5674"/>
    <w:rsid w:val="005C0BD3"/>
    <w:rsid w:val="005C5D0F"/>
    <w:rsid w:val="005C77AA"/>
    <w:rsid w:val="005D0815"/>
    <w:rsid w:val="005E2453"/>
    <w:rsid w:val="005E67AE"/>
    <w:rsid w:val="005E7757"/>
    <w:rsid w:val="005F38BA"/>
    <w:rsid w:val="005F661F"/>
    <w:rsid w:val="005F6A90"/>
    <w:rsid w:val="00600457"/>
    <w:rsid w:val="00610318"/>
    <w:rsid w:val="006153CD"/>
    <w:rsid w:val="00620BD6"/>
    <w:rsid w:val="006218A3"/>
    <w:rsid w:val="0062269F"/>
    <w:rsid w:val="006255B4"/>
    <w:rsid w:val="00634CA1"/>
    <w:rsid w:val="00643E1F"/>
    <w:rsid w:val="0064442E"/>
    <w:rsid w:val="00645DF6"/>
    <w:rsid w:val="00647D9A"/>
    <w:rsid w:val="006506A4"/>
    <w:rsid w:val="00650C2A"/>
    <w:rsid w:val="00651AFF"/>
    <w:rsid w:val="00662548"/>
    <w:rsid w:val="00667350"/>
    <w:rsid w:val="00675FA3"/>
    <w:rsid w:val="00690349"/>
    <w:rsid w:val="00691571"/>
    <w:rsid w:val="00697021"/>
    <w:rsid w:val="006A3DB6"/>
    <w:rsid w:val="006A43BD"/>
    <w:rsid w:val="006A6980"/>
    <w:rsid w:val="006B3B4E"/>
    <w:rsid w:val="006B50F3"/>
    <w:rsid w:val="006B5EB3"/>
    <w:rsid w:val="006C0468"/>
    <w:rsid w:val="006C4B23"/>
    <w:rsid w:val="006D21CE"/>
    <w:rsid w:val="006D22DD"/>
    <w:rsid w:val="006D6A7A"/>
    <w:rsid w:val="006E5AF6"/>
    <w:rsid w:val="006E717C"/>
    <w:rsid w:val="006F4AD6"/>
    <w:rsid w:val="006F76A0"/>
    <w:rsid w:val="00717AD5"/>
    <w:rsid w:val="00720E31"/>
    <w:rsid w:val="007241AF"/>
    <w:rsid w:val="0072427C"/>
    <w:rsid w:val="00724AAB"/>
    <w:rsid w:val="00734557"/>
    <w:rsid w:val="00737474"/>
    <w:rsid w:val="007404DD"/>
    <w:rsid w:val="00744BAA"/>
    <w:rsid w:val="0074558A"/>
    <w:rsid w:val="007569A0"/>
    <w:rsid w:val="00765016"/>
    <w:rsid w:val="0076526B"/>
    <w:rsid w:val="00770A7F"/>
    <w:rsid w:val="007712B0"/>
    <w:rsid w:val="00774C59"/>
    <w:rsid w:val="00776AFF"/>
    <w:rsid w:val="007800AC"/>
    <w:rsid w:val="00780900"/>
    <w:rsid w:val="00786C38"/>
    <w:rsid w:val="00795DF6"/>
    <w:rsid w:val="007A3596"/>
    <w:rsid w:val="007B365B"/>
    <w:rsid w:val="007C6E17"/>
    <w:rsid w:val="007D3226"/>
    <w:rsid w:val="007E0E7B"/>
    <w:rsid w:val="007F1539"/>
    <w:rsid w:val="007F2102"/>
    <w:rsid w:val="00801093"/>
    <w:rsid w:val="00805F45"/>
    <w:rsid w:val="00815ADE"/>
    <w:rsid w:val="0081677A"/>
    <w:rsid w:val="008264EB"/>
    <w:rsid w:val="008300D1"/>
    <w:rsid w:val="00830143"/>
    <w:rsid w:val="008345A8"/>
    <w:rsid w:val="00834BF4"/>
    <w:rsid w:val="00834FDD"/>
    <w:rsid w:val="00844ABA"/>
    <w:rsid w:val="00845008"/>
    <w:rsid w:val="008507E1"/>
    <w:rsid w:val="00855405"/>
    <w:rsid w:val="00857E49"/>
    <w:rsid w:val="00867264"/>
    <w:rsid w:val="00876E0E"/>
    <w:rsid w:val="00880043"/>
    <w:rsid w:val="00883C13"/>
    <w:rsid w:val="008866F7"/>
    <w:rsid w:val="00895BB8"/>
    <w:rsid w:val="008A6694"/>
    <w:rsid w:val="008A765F"/>
    <w:rsid w:val="008B4448"/>
    <w:rsid w:val="008C1CB6"/>
    <w:rsid w:val="008D0D43"/>
    <w:rsid w:val="008D1F66"/>
    <w:rsid w:val="008D2701"/>
    <w:rsid w:val="008E1A10"/>
    <w:rsid w:val="008E6D1A"/>
    <w:rsid w:val="008E7179"/>
    <w:rsid w:val="008F6928"/>
    <w:rsid w:val="00904029"/>
    <w:rsid w:val="009042EE"/>
    <w:rsid w:val="00906FC8"/>
    <w:rsid w:val="00921D8E"/>
    <w:rsid w:val="009228AB"/>
    <w:rsid w:val="009268C4"/>
    <w:rsid w:val="00927E54"/>
    <w:rsid w:val="00932553"/>
    <w:rsid w:val="0093482E"/>
    <w:rsid w:val="00947361"/>
    <w:rsid w:val="0095208C"/>
    <w:rsid w:val="00953D70"/>
    <w:rsid w:val="00956769"/>
    <w:rsid w:val="009645F1"/>
    <w:rsid w:val="00964FDE"/>
    <w:rsid w:val="00965017"/>
    <w:rsid w:val="00971841"/>
    <w:rsid w:val="00976580"/>
    <w:rsid w:val="00983A16"/>
    <w:rsid w:val="00993564"/>
    <w:rsid w:val="00997340"/>
    <w:rsid w:val="009A1EA0"/>
    <w:rsid w:val="009A2146"/>
    <w:rsid w:val="009B3C90"/>
    <w:rsid w:val="009B7924"/>
    <w:rsid w:val="009C40CC"/>
    <w:rsid w:val="009C5F88"/>
    <w:rsid w:val="009D0F91"/>
    <w:rsid w:val="009E6B61"/>
    <w:rsid w:val="009F0D23"/>
    <w:rsid w:val="009F5819"/>
    <w:rsid w:val="00A0112B"/>
    <w:rsid w:val="00A0476D"/>
    <w:rsid w:val="00A0526B"/>
    <w:rsid w:val="00A113BE"/>
    <w:rsid w:val="00A12380"/>
    <w:rsid w:val="00A12DB8"/>
    <w:rsid w:val="00A15171"/>
    <w:rsid w:val="00A21EFD"/>
    <w:rsid w:val="00A21FB5"/>
    <w:rsid w:val="00A2777B"/>
    <w:rsid w:val="00A34A92"/>
    <w:rsid w:val="00A3612B"/>
    <w:rsid w:val="00A4512D"/>
    <w:rsid w:val="00A50A83"/>
    <w:rsid w:val="00A55383"/>
    <w:rsid w:val="00A672A9"/>
    <w:rsid w:val="00A705AF"/>
    <w:rsid w:val="00A73D9B"/>
    <w:rsid w:val="00A75BA7"/>
    <w:rsid w:val="00A818FC"/>
    <w:rsid w:val="00A81CDB"/>
    <w:rsid w:val="00A843D2"/>
    <w:rsid w:val="00A85F7A"/>
    <w:rsid w:val="00A8714E"/>
    <w:rsid w:val="00A92B77"/>
    <w:rsid w:val="00A94D6A"/>
    <w:rsid w:val="00A96DC0"/>
    <w:rsid w:val="00AA3809"/>
    <w:rsid w:val="00AA48AE"/>
    <w:rsid w:val="00AA7D91"/>
    <w:rsid w:val="00AB45C4"/>
    <w:rsid w:val="00AB59D1"/>
    <w:rsid w:val="00AB5D93"/>
    <w:rsid w:val="00AB728B"/>
    <w:rsid w:val="00AC3320"/>
    <w:rsid w:val="00AC385E"/>
    <w:rsid w:val="00AD362F"/>
    <w:rsid w:val="00AE259A"/>
    <w:rsid w:val="00AF5302"/>
    <w:rsid w:val="00AF7923"/>
    <w:rsid w:val="00B00D47"/>
    <w:rsid w:val="00B13F1C"/>
    <w:rsid w:val="00B163CA"/>
    <w:rsid w:val="00B16851"/>
    <w:rsid w:val="00B314FE"/>
    <w:rsid w:val="00B41092"/>
    <w:rsid w:val="00B41D79"/>
    <w:rsid w:val="00B42851"/>
    <w:rsid w:val="00B4601C"/>
    <w:rsid w:val="00B500C0"/>
    <w:rsid w:val="00B52ED6"/>
    <w:rsid w:val="00B53604"/>
    <w:rsid w:val="00B563D6"/>
    <w:rsid w:val="00B64E95"/>
    <w:rsid w:val="00B72FB3"/>
    <w:rsid w:val="00B75336"/>
    <w:rsid w:val="00B75E93"/>
    <w:rsid w:val="00B77B7B"/>
    <w:rsid w:val="00B80933"/>
    <w:rsid w:val="00B845A7"/>
    <w:rsid w:val="00B9028A"/>
    <w:rsid w:val="00BB15AA"/>
    <w:rsid w:val="00BB296C"/>
    <w:rsid w:val="00BB343D"/>
    <w:rsid w:val="00BD5583"/>
    <w:rsid w:val="00BE2C10"/>
    <w:rsid w:val="00BF5CE3"/>
    <w:rsid w:val="00BF5E5A"/>
    <w:rsid w:val="00C12854"/>
    <w:rsid w:val="00C16664"/>
    <w:rsid w:val="00C2085E"/>
    <w:rsid w:val="00C24D72"/>
    <w:rsid w:val="00C33704"/>
    <w:rsid w:val="00C44E02"/>
    <w:rsid w:val="00C708DF"/>
    <w:rsid w:val="00C71603"/>
    <w:rsid w:val="00C76A41"/>
    <w:rsid w:val="00C8217F"/>
    <w:rsid w:val="00C82215"/>
    <w:rsid w:val="00C95EB2"/>
    <w:rsid w:val="00C96E74"/>
    <w:rsid w:val="00C97542"/>
    <w:rsid w:val="00CA7095"/>
    <w:rsid w:val="00CB0B52"/>
    <w:rsid w:val="00CB5B1A"/>
    <w:rsid w:val="00CB6171"/>
    <w:rsid w:val="00CB6B78"/>
    <w:rsid w:val="00CD0491"/>
    <w:rsid w:val="00CD64C9"/>
    <w:rsid w:val="00CD763E"/>
    <w:rsid w:val="00CE2C77"/>
    <w:rsid w:val="00CE358B"/>
    <w:rsid w:val="00CE4168"/>
    <w:rsid w:val="00CE419A"/>
    <w:rsid w:val="00CE68C1"/>
    <w:rsid w:val="00CF2FF4"/>
    <w:rsid w:val="00CF744B"/>
    <w:rsid w:val="00D029F0"/>
    <w:rsid w:val="00D1087B"/>
    <w:rsid w:val="00D31816"/>
    <w:rsid w:val="00D45620"/>
    <w:rsid w:val="00D509D6"/>
    <w:rsid w:val="00D57666"/>
    <w:rsid w:val="00D6024B"/>
    <w:rsid w:val="00D64EA0"/>
    <w:rsid w:val="00D72BC9"/>
    <w:rsid w:val="00D735D6"/>
    <w:rsid w:val="00D75FFC"/>
    <w:rsid w:val="00D95E58"/>
    <w:rsid w:val="00DB253E"/>
    <w:rsid w:val="00DC1415"/>
    <w:rsid w:val="00DC2206"/>
    <w:rsid w:val="00DC5922"/>
    <w:rsid w:val="00DC672D"/>
    <w:rsid w:val="00DC69AD"/>
    <w:rsid w:val="00DC7B3B"/>
    <w:rsid w:val="00DD02EA"/>
    <w:rsid w:val="00DE0B1F"/>
    <w:rsid w:val="00DE34BD"/>
    <w:rsid w:val="00DF69CA"/>
    <w:rsid w:val="00E01957"/>
    <w:rsid w:val="00E0391A"/>
    <w:rsid w:val="00E04979"/>
    <w:rsid w:val="00E04AA4"/>
    <w:rsid w:val="00E05649"/>
    <w:rsid w:val="00E06653"/>
    <w:rsid w:val="00E2699D"/>
    <w:rsid w:val="00E30596"/>
    <w:rsid w:val="00E376B6"/>
    <w:rsid w:val="00E41221"/>
    <w:rsid w:val="00E42B1E"/>
    <w:rsid w:val="00E544B6"/>
    <w:rsid w:val="00E67B2F"/>
    <w:rsid w:val="00E82054"/>
    <w:rsid w:val="00E97617"/>
    <w:rsid w:val="00EA2B1F"/>
    <w:rsid w:val="00EA3777"/>
    <w:rsid w:val="00EA3CFC"/>
    <w:rsid w:val="00EA488C"/>
    <w:rsid w:val="00EB00BA"/>
    <w:rsid w:val="00EB7061"/>
    <w:rsid w:val="00EC19A3"/>
    <w:rsid w:val="00EC1C68"/>
    <w:rsid w:val="00EC566A"/>
    <w:rsid w:val="00EC6BFA"/>
    <w:rsid w:val="00EC7883"/>
    <w:rsid w:val="00EE3042"/>
    <w:rsid w:val="00EF2AFE"/>
    <w:rsid w:val="00EF33B1"/>
    <w:rsid w:val="00F031EC"/>
    <w:rsid w:val="00F10871"/>
    <w:rsid w:val="00F15F90"/>
    <w:rsid w:val="00F21072"/>
    <w:rsid w:val="00F22B2A"/>
    <w:rsid w:val="00F26C58"/>
    <w:rsid w:val="00F3141B"/>
    <w:rsid w:val="00F322E6"/>
    <w:rsid w:val="00F367C9"/>
    <w:rsid w:val="00F374DC"/>
    <w:rsid w:val="00F40ED0"/>
    <w:rsid w:val="00F42073"/>
    <w:rsid w:val="00F4606E"/>
    <w:rsid w:val="00F55B8C"/>
    <w:rsid w:val="00F573B9"/>
    <w:rsid w:val="00F64BF6"/>
    <w:rsid w:val="00F71E6B"/>
    <w:rsid w:val="00F8231D"/>
    <w:rsid w:val="00F9152B"/>
    <w:rsid w:val="00F97B3C"/>
    <w:rsid w:val="00FA3AEC"/>
    <w:rsid w:val="00FA5774"/>
    <w:rsid w:val="00FB16CB"/>
    <w:rsid w:val="00FB64DF"/>
    <w:rsid w:val="00FC6B2E"/>
    <w:rsid w:val="00FD1439"/>
    <w:rsid w:val="00FF2A86"/>
    <w:rsid w:val="00FF7D20"/>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able of figures" w:uiPriority="99"/>
    <w:lsdException w:name="annotation reference" w:uiPriority="99" w:qFormat="1"/>
    <w:lsdException w:name="Title" w:qFormat="1"/>
    <w:lsdException w:name="Body Text" w:qFormat="1"/>
    <w:lsdException w:name="Subtitle" w:qFormat="1"/>
    <w:lsdException w:name="Hyperlink" w:uiPriority="99"/>
    <w:lsdException w:name="Strong" w:qFormat="1"/>
    <w:lsdException w:name="Emphasis" w:qFormat="1"/>
    <w:lsdException w:name="Document Map" w:uiPriority="99"/>
    <w:lsdException w:name="Normal (Web)" w:uiPriority="99"/>
    <w:lsdException w:name="annotation subjec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65741"/>
    <w:rPr>
      <w:sz w:val="24"/>
      <w:szCs w:val="24"/>
      <w:lang w:eastAsia="en-US"/>
    </w:rPr>
  </w:style>
  <w:style w:type="paragraph" w:styleId="Heading1">
    <w:name w:val="heading 1"/>
    <w:basedOn w:val="Normal"/>
    <w:next w:val="Normal"/>
    <w:link w:val="Heading1Char"/>
    <w:uiPriority w:val="9"/>
    <w:qFormat/>
    <w:rsid w:val="00C8217F"/>
    <w:pPr>
      <w:keepNext/>
      <w:spacing w:before="240" w:after="60"/>
      <w:outlineLvl w:val="0"/>
    </w:pPr>
    <w:rPr>
      <w:rFonts w:ascii="Arial" w:hAnsi="Arial" w:cs="Arial"/>
      <w:b/>
      <w:bCs/>
      <w:kern w:val="28"/>
      <w:sz w:val="28"/>
      <w:szCs w:val="32"/>
    </w:rPr>
  </w:style>
  <w:style w:type="paragraph" w:styleId="Heading2">
    <w:name w:val="heading 2"/>
    <w:basedOn w:val="Normal"/>
    <w:next w:val="Normal"/>
    <w:link w:val="Heading2Char"/>
    <w:uiPriority w:val="9"/>
    <w:qFormat/>
    <w:rsid w:val="005125B6"/>
    <w:pPr>
      <w:jc w:val="both"/>
      <w:outlineLvl w:val="1"/>
    </w:pPr>
    <w:rPr>
      <w:rFonts w:ascii="Arial" w:hAnsi="Arial" w:cs="Arial"/>
      <w:b/>
      <w:snapToGrid w:val="0"/>
      <w:sz w:val="22"/>
      <w:szCs w:val="22"/>
    </w:rPr>
  </w:style>
  <w:style w:type="paragraph" w:styleId="Heading3">
    <w:name w:val="heading 3"/>
    <w:basedOn w:val="Normal"/>
    <w:next w:val="Normal"/>
    <w:link w:val="Heading3Char"/>
    <w:uiPriority w:val="9"/>
    <w:qFormat/>
    <w:rsid w:val="00C8217F"/>
    <w:pPr>
      <w:keepNext/>
      <w:spacing w:before="240" w:after="60"/>
      <w:outlineLvl w:val="2"/>
    </w:pPr>
    <w:rPr>
      <w:rFonts w:ascii="Arial" w:hAnsi="Arial" w:cs="Arial"/>
      <w:bCs/>
      <w:szCs w:val="26"/>
    </w:rPr>
  </w:style>
  <w:style w:type="paragraph" w:styleId="Heading4">
    <w:name w:val="heading 4"/>
    <w:basedOn w:val="Normal"/>
    <w:next w:val="Normal"/>
    <w:link w:val="Heading4Char"/>
    <w:uiPriority w:val="9"/>
    <w:qFormat/>
    <w:rsid w:val="00C8217F"/>
    <w:pPr>
      <w:keepNext/>
      <w:spacing w:before="240" w:after="60"/>
      <w:outlineLvl w:val="3"/>
    </w:pPr>
    <w:rPr>
      <w:rFonts w:ascii="Arial" w:hAnsi="Arial"/>
      <w:bCs/>
      <w:sz w:val="28"/>
      <w:szCs w:val="28"/>
    </w:rPr>
  </w:style>
  <w:style w:type="paragraph" w:styleId="Heading5">
    <w:name w:val="heading 5"/>
    <w:basedOn w:val="Normal"/>
    <w:next w:val="Normal"/>
    <w:link w:val="Heading5Char"/>
    <w:uiPriority w:val="9"/>
    <w:qFormat/>
    <w:rsid w:val="00C8217F"/>
    <w:pPr>
      <w:keepNext/>
      <w:spacing w:before="240" w:after="60"/>
      <w:outlineLvl w:val="4"/>
    </w:pPr>
    <w:rPr>
      <w:b/>
      <w:bCs/>
      <w:iCs/>
      <w:szCs w:val="26"/>
    </w:rPr>
  </w:style>
  <w:style w:type="paragraph" w:styleId="Heading6">
    <w:name w:val="heading 6"/>
    <w:basedOn w:val="Normal"/>
    <w:next w:val="Normal"/>
    <w:link w:val="Heading6Char"/>
    <w:uiPriority w:val="9"/>
    <w:qFormat/>
    <w:rsid w:val="00C8217F"/>
    <w:pPr>
      <w:keepNext/>
      <w:spacing w:before="240" w:after="60"/>
      <w:outlineLvl w:val="5"/>
    </w:pPr>
    <w:rPr>
      <w:b/>
      <w:bCs/>
      <w:i/>
      <w:szCs w:val="22"/>
    </w:rPr>
  </w:style>
  <w:style w:type="paragraph" w:styleId="Heading7">
    <w:name w:val="heading 7"/>
    <w:basedOn w:val="Normal"/>
    <w:next w:val="Normal"/>
    <w:link w:val="Heading7Char"/>
    <w:uiPriority w:val="9"/>
    <w:qFormat/>
    <w:rsid w:val="00CE2C77"/>
    <w:pPr>
      <w:keepNext/>
      <w:widowControl w:val="0"/>
      <w:jc w:val="center"/>
      <w:outlineLvl w:val="6"/>
    </w:pPr>
    <w:rPr>
      <w:rFonts w:ascii="Arial" w:hAnsi="Arial" w:cs="Arial"/>
      <w:b/>
      <w:snapToGrid w:val="0"/>
      <w:sz w:val="20"/>
      <w:szCs w:val="20"/>
    </w:rPr>
  </w:style>
  <w:style w:type="paragraph" w:styleId="Heading8">
    <w:name w:val="heading 8"/>
    <w:basedOn w:val="Normal"/>
    <w:next w:val="Normal"/>
    <w:link w:val="Heading8Char"/>
    <w:uiPriority w:val="9"/>
    <w:qFormat/>
    <w:rsid w:val="00CE2C77"/>
    <w:pPr>
      <w:keepNext/>
      <w:widowControl w:val="0"/>
      <w:jc w:val="right"/>
      <w:outlineLvl w:val="7"/>
    </w:pPr>
    <w:rPr>
      <w:rFonts w:ascii="Arial" w:hAnsi="Arial" w:cs="Arial"/>
      <w:b/>
      <w:snapToGrid w:val="0"/>
      <w:sz w:val="22"/>
      <w:szCs w:val="20"/>
    </w:rPr>
  </w:style>
  <w:style w:type="paragraph" w:styleId="Heading9">
    <w:name w:val="heading 9"/>
    <w:basedOn w:val="Normal"/>
    <w:next w:val="Normal"/>
    <w:link w:val="Heading9Char"/>
    <w:uiPriority w:val="9"/>
    <w:qFormat/>
    <w:rsid w:val="00CE2C77"/>
    <w:pPr>
      <w:keepNext/>
      <w:widowControl w:val="0"/>
      <w:jc w:val="center"/>
      <w:outlineLvl w:val="8"/>
    </w:pPr>
    <w:rPr>
      <w:rFonts w:ascii="Arial" w:hAnsi="Arial" w:cs="Arial"/>
      <w:b/>
      <w:snapToGrid w:val="0"/>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C8217F"/>
    <w:rPr>
      <w:i/>
      <w:iCs/>
    </w:rPr>
  </w:style>
  <w:style w:type="character" w:styleId="Strong">
    <w:name w:val="Strong"/>
    <w:basedOn w:val="DefaultParagraphFont"/>
    <w:qFormat/>
    <w:rsid w:val="00C8217F"/>
    <w:rPr>
      <w:b/>
      <w:bCs/>
    </w:rPr>
  </w:style>
  <w:style w:type="paragraph" w:styleId="Subtitle">
    <w:name w:val="Subtitle"/>
    <w:basedOn w:val="Normal"/>
    <w:next w:val="Normal"/>
    <w:link w:val="SubtitleChar"/>
    <w:qFormat/>
    <w:rsid w:val="00C8217F"/>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C8217F"/>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qFormat/>
    <w:rsid w:val="005125B6"/>
    <w:pPr>
      <w:jc w:val="both"/>
    </w:pPr>
    <w:rPr>
      <w:rFonts w:ascii="Arial" w:hAnsi="Arial" w:cs="Arial"/>
      <w:snapToGrid w:val="0"/>
      <w:sz w:val="22"/>
      <w:szCs w:val="20"/>
    </w:rPr>
  </w:style>
  <w:style w:type="character" w:customStyle="1" w:styleId="TitleChar">
    <w:name w:val="Title Char"/>
    <w:basedOn w:val="DefaultParagraphFont"/>
    <w:link w:val="Title"/>
    <w:rsid w:val="005125B6"/>
    <w:rPr>
      <w:rFonts w:ascii="Arial" w:hAnsi="Arial" w:cs="Arial"/>
      <w:snapToGrid w:val="0"/>
      <w:sz w:val="22"/>
      <w:lang w:eastAsia="en-US"/>
    </w:rPr>
  </w:style>
  <w:style w:type="paragraph" w:styleId="NoSpacing">
    <w:name w:val="No Spacing"/>
    <w:link w:val="NoSpacingChar"/>
    <w:uiPriority w:val="1"/>
    <w:qFormat/>
    <w:rsid w:val="00C8217F"/>
    <w:rPr>
      <w:sz w:val="24"/>
      <w:szCs w:val="24"/>
      <w:lang w:eastAsia="en-US"/>
    </w:rPr>
  </w:style>
  <w:style w:type="character" w:styleId="SubtleEmphasis">
    <w:name w:val="Subtle Emphasis"/>
    <w:basedOn w:val="DefaultParagraphFont"/>
    <w:uiPriority w:val="19"/>
    <w:qFormat/>
    <w:rsid w:val="00C8217F"/>
    <w:rPr>
      <w:i/>
      <w:iCs/>
      <w:color w:val="808080" w:themeColor="text1" w:themeTint="7F"/>
    </w:rPr>
  </w:style>
  <w:style w:type="character" w:styleId="IntenseEmphasis">
    <w:name w:val="Intense Emphasis"/>
    <w:basedOn w:val="DefaultParagraphFont"/>
    <w:uiPriority w:val="21"/>
    <w:qFormat/>
    <w:rsid w:val="00C8217F"/>
    <w:rPr>
      <w:b/>
      <w:bCs/>
      <w:i/>
      <w:iCs/>
      <w:color w:val="4F81BD" w:themeColor="accent1"/>
    </w:rPr>
  </w:style>
  <w:style w:type="paragraph" w:styleId="Quote">
    <w:name w:val="Quote"/>
    <w:basedOn w:val="Normal"/>
    <w:next w:val="Normal"/>
    <w:link w:val="QuoteChar"/>
    <w:uiPriority w:val="29"/>
    <w:qFormat/>
    <w:rsid w:val="00C8217F"/>
    <w:rPr>
      <w:i/>
      <w:iCs/>
      <w:color w:val="000000" w:themeColor="text1"/>
    </w:rPr>
  </w:style>
  <w:style w:type="character" w:customStyle="1" w:styleId="QuoteChar">
    <w:name w:val="Quote Char"/>
    <w:basedOn w:val="DefaultParagraphFont"/>
    <w:link w:val="Quote"/>
    <w:uiPriority w:val="29"/>
    <w:rsid w:val="00C8217F"/>
    <w:rPr>
      <w:i/>
      <w:iCs/>
      <w:color w:val="000000" w:themeColor="text1"/>
      <w:sz w:val="24"/>
      <w:szCs w:val="24"/>
      <w:lang w:eastAsia="en-US"/>
    </w:rPr>
  </w:style>
  <w:style w:type="paragraph" w:styleId="IntenseQuote">
    <w:name w:val="Intense Quote"/>
    <w:basedOn w:val="Normal"/>
    <w:next w:val="Normal"/>
    <w:link w:val="IntenseQuoteChar"/>
    <w:uiPriority w:val="30"/>
    <w:qFormat/>
    <w:rsid w:val="00C8217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C8217F"/>
    <w:rPr>
      <w:b/>
      <w:bCs/>
      <w:i/>
      <w:iCs/>
      <w:color w:val="4F81BD" w:themeColor="accent1"/>
      <w:sz w:val="24"/>
      <w:szCs w:val="24"/>
      <w:lang w:eastAsia="en-US"/>
    </w:rPr>
  </w:style>
  <w:style w:type="character" w:styleId="SubtleReference">
    <w:name w:val="Subtle Reference"/>
    <w:basedOn w:val="DefaultParagraphFont"/>
    <w:uiPriority w:val="31"/>
    <w:qFormat/>
    <w:rsid w:val="00C8217F"/>
    <w:rPr>
      <w:smallCaps/>
      <w:color w:val="C0504D" w:themeColor="accent2"/>
      <w:u w:val="single"/>
    </w:rPr>
  </w:style>
  <w:style w:type="character" w:styleId="IntenseReference">
    <w:name w:val="Intense Reference"/>
    <w:basedOn w:val="DefaultParagraphFont"/>
    <w:uiPriority w:val="32"/>
    <w:qFormat/>
    <w:rsid w:val="00C8217F"/>
    <w:rPr>
      <w:b/>
      <w:bCs/>
      <w:i/>
      <w:smallCaps/>
      <w:color w:val="C0504D" w:themeColor="accent2"/>
      <w:spacing w:val="5"/>
      <w:u w:val="none"/>
    </w:rPr>
  </w:style>
  <w:style w:type="character" w:styleId="BookTitle">
    <w:name w:val="Book Title"/>
    <w:basedOn w:val="DefaultParagraphFont"/>
    <w:uiPriority w:val="33"/>
    <w:qFormat/>
    <w:rsid w:val="00C8217F"/>
    <w:rPr>
      <w:b/>
      <w:bCs/>
      <w:smallCaps/>
      <w:spacing w:val="5"/>
    </w:rPr>
  </w:style>
  <w:style w:type="paragraph" w:styleId="ListParagraph">
    <w:name w:val="List Paragraph"/>
    <w:basedOn w:val="Normal"/>
    <w:uiPriority w:val="34"/>
    <w:qFormat/>
    <w:rsid w:val="00C8217F"/>
    <w:pPr>
      <w:ind w:left="720"/>
      <w:contextualSpacing/>
    </w:pPr>
  </w:style>
  <w:style w:type="character" w:customStyle="1" w:styleId="Heading7Char">
    <w:name w:val="Heading 7 Char"/>
    <w:basedOn w:val="DefaultParagraphFont"/>
    <w:link w:val="Heading7"/>
    <w:uiPriority w:val="9"/>
    <w:rsid w:val="00CE2C77"/>
    <w:rPr>
      <w:rFonts w:ascii="Arial" w:hAnsi="Arial" w:cs="Arial"/>
      <w:b/>
      <w:snapToGrid w:val="0"/>
      <w:lang w:eastAsia="en-US"/>
    </w:rPr>
  </w:style>
  <w:style w:type="character" w:customStyle="1" w:styleId="Heading8Char">
    <w:name w:val="Heading 8 Char"/>
    <w:basedOn w:val="DefaultParagraphFont"/>
    <w:link w:val="Heading8"/>
    <w:uiPriority w:val="9"/>
    <w:rsid w:val="00CE2C77"/>
    <w:rPr>
      <w:rFonts w:ascii="Arial" w:hAnsi="Arial" w:cs="Arial"/>
      <w:b/>
      <w:snapToGrid w:val="0"/>
      <w:sz w:val="22"/>
      <w:lang w:eastAsia="en-US"/>
    </w:rPr>
  </w:style>
  <w:style w:type="character" w:customStyle="1" w:styleId="Heading9Char">
    <w:name w:val="Heading 9 Char"/>
    <w:basedOn w:val="DefaultParagraphFont"/>
    <w:link w:val="Heading9"/>
    <w:uiPriority w:val="9"/>
    <w:rsid w:val="00CE2C77"/>
    <w:rPr>
      <w:rFonts w:ascii="Arial" w:hAnsi="Arial" w:cs="Arial"/>
      <w:b/>
      <w:snapToGrid w:val="0"/>
      <w:color w:val="000000"/>
      <w:lang w:eastAsia="en-US"/>
    </w:rPr>
  </w:style>
  <w:style w:type="numbering" w:customStyle="1" w:styleId="NoList1">
    <w:name w:val="No List1"/>
    <w:next w:val="NoList"/>
    <w:uiPriority w:val="99"/>
    <w:semiHidden/>
    <w:unhideWhenUsed/>
    <w:rsid w:val="00CE2C77"/>
  </w:style>
  <w:style w:type="paragraph" w:customStyle="1" w:styleId="TableFooter">
    <w:name w:val="Table Footer"/>
    <w:basedOn w:val="Normal"/>
    <w:qFormat/>
    <w:rsid w:val="00CE2C77"/>
    <w:pPr>
      <w:widowControl w:val="0"/>
      <w:jc w:val="both"/>
    </w:pPr>
    <w:rPr>
      <w:rFonts w:ascii="Arial Narrow" w:hAnsi="Arial Narrow" w:cs="Arial"/>
      <w:snapToGrid w:val="0"/>
      <w:sz w:val="18"/>
      <w:szCs w:val="20"/>
    </w:rPr>
  </w:style>
  <w:style w:type="paragraph" w:customStyle="1" w:styleId="TableHeader">
    <w:name w:val="Table Header"/>
    <w:basedOn w:val="Normal"/>
    <w:rsid w:val="00CE2C77"/>
    <w:pPr>
      <w:widowControl w:val="0"/>
      <w:jc w:val="both"/>
    </w:pPr>
    <w:rPr>
      <w:rFonts w:ascii="Arial" w:hAnsi="Arial" w:cs="Arial"/>
      <w:b/>
      <w:snapToGrid w:val="0"/>
      <w:sz w:val="20"/>
      <w:szCs w:val="20"/>
    </w:rPr>
  </w:style>
  <w:style w:type="character" w:customStyle="1" w:styleId="Heading2Char">
    <w:name w:val="Heading 2 Char"/>
    <w:link w:val="Heading2"/>
    <w:uiPriority w:val="9"/>
    <w:rsid w:val="005125B6"/>
    <w:rPr>
      <w:rFonts w:ascii="Arial" w:hAnsi="Arial" w:cs="Arial"/>
      <w:b/>
      <w:snapToGrid w:val="0"/>
      <w:sz w:val="22"/>
      <w:szCs w:val="22"/>
      <w:lang w:eastAsia="en-US"/>
    </w:rPr>
  </w:style>
  <w:style w:type="paragraph" w:styleId="Caption">
    <w:name w:val="caption"/>
    <w:basedOn w:val="Normal"/>
    <w:next w:val="Normal"/>
    <w:link w:val="CaptionChar"/>
    <w:unhideWhenUsed/>
    <w:qFormat/>
    <w:rsid w:val="00CE2C77"/>
    <w:pPr>
      <w:widowControl w:val="0"/>
      <w:spacing w:after="200"/>
      <w:jc w:val="both"/>
    </w:pPr>
    <w:rPr>
      <w:rFonts w:ascii="Arial" w:hAnsi="Arial" w:cs="Arial"/>
      <w:b/>
      <w:bCs/>
      <w:snapToGrid w:val="0"/>
      <w:color w:val="4F81BD" w:themeColor="accent1"/>
      <w:sz w:val="18"/>
      <w:szCs w:val="18"/>
    </w:rPr>
  </w:style>
  <w:style w:type="character" w:customStyle="1" w:styleId="CaptionChar">
    <w:name w:val="Caption Char"/>
    <w:link w:val="Caption"/>
    <w:rsid w:val="00CE2C77"/>
    <w:rPr>
      <w:rFonts w:ascii="Arial" w:hAnsi="Arial" w:cs="Arial"/>
      <w:b/>
      <w:bCs/>
      <w:snapToGrid w:val="0"/>
      <w:color w:val="4F81BD" w:themeColor="accent1"/>
      <w:sz w:val="18"/>
      <w:szCs w:val="18"/>
      <w:lang w:eastAsia="en-US"/>
    </w:rPr>
  </w:style>
  <w:style w:type="paragraph" w:styleId="BodyText">
    <w:name w:val="Body Text"/>
    <w:aliases w:val="Body Text Hang,BT,bt,Bullet Level 5,Body Hang,Body Text Char1,Body Text Char Char,Body Text Char1 Char1 Char,Body Text Char Char Char1 Char, Char Char Char Char1 Char,Body Text Char Char1 Char Char Char,Body Text Char1 Char Char Char, Char Cha"/>
    <w:basedOn w:val="Normal"/>
    <w:link w:val="BodyTextChar"/>
    <w:qFormat/>
    <w:rsid w:val="00CE2C77"/>
    <w:pPr>
      <w:widowControl w:val="0"/>
    </w:pPr>
    <w:rPr>
      <w:rFonts w:ascii="Arial" w:hAnsi="Arial" w:cs="Arial"/>
      <w:snapToGrid w:val="0"/>
      <w:sz w:val="22"/>
      <w:szCs w:val="20"/>
    </w:rPr>
  </w:style>
  <w:style w:type="character" w:customStyle="1" w:styleId="BodyTextChar">
    <w:name w:val="Body Text Char"/>
    <w:aliases w:val="Body Text Hang Char,BT Char,bt Char,Bullet Level 5 Char,Body Hang Char,Body Text Char1 Char,Body Text Char Char Char,Body Text Char1 Char1 Char Char,Body Text Char Char Char1 Char Char, Char Char Char Char1 Char Char, Char Cha Char"/>
    <w:basedOn w:val="DefaultParagraphFont"/>
    <w:link w:val="BodyText"/>
    <w:rsid w:val="00CE2C77"/>
    <w:rPr>
      <w:rFonts w:ascii="Arial" w:hAnsi="Arial" w:cs="Arial"/>
      <w:snapToGrid w:val="0"/>
      <w:sz w:val="22"/>
      <w:lang w:eastAsia="en-US"/>
    </w:rPr>
  </w:style>
  <w:style w:type="paragraph" w:customStyle="1" w:styleId="RegularText">
    <w:name w:val="Regular Text"/>
    <w:basedOn w:val="BodyText"/>
    <w:link w:val="RegularTextChar"/>
    <w:rsid w:val="00CE2C77"/>
    <w:rPr>
      <w:b/>
    </w:rPr>
  </w:style>
  <w:style w:type="character" w:customStyle="1" w:styleId="RegularTextChar">
    <w:name w:val="Regular Text Char"/>
    <w:basedOn w:val="BodyTextChar"/>
    <w:link w:val="RegularText"/>
    <w:rsid w:val="00CE2C77"/>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CE2C77"/>
    <w:pPr>
      <w:widowControl w:val="0"/>
      <w:tabs>
        <w:tab w:val="center" w:pos="4513"/>
        <w:tab w:val="right" w:pos="9026"/>
      </w:tabs>
      <w:jc w:val="both"/>
    </w:pPr>
    <w:rPr>
      <w:rFonts w:ascii="Arial" w:hAnsi="Arial" w:cs="Arial"/>
      <w:snapToGrid w:val="0"/>
      <w:sz w:val="22"/>
      <w:szCs w:val="20"/>
    </w:rPr>
  </w:style>
  <w:style w:type="character" w:customStyle="1" w:styleId="HeaderChar">
    <w:name w:val="Header Char"/>
    <w:aliases w:val="Page Header Char,Header title Char,he=header Char,cntr/bld Char"/>
    <w:basedOn w:val="DefaultParagraphFont"/>
    <w:link w:val="Header"/>
    <w:uiPriority w:val="99"/>
    <w:rsid w:val="00CE2C77"/>
    <w:rPr>
      <w:rFonts w:ascii="Arial" w:hAnsi="Arial" w:cs="Arial"/>
      <w:snapToGrid w:val="0"/>
      <w:sz w:val="22"/>
      <w:lang w:eastAsia="en-US"/>
    </w:rPr>
  </w:style>
  <w:style w:type="paragraph" w:styleId="Footer">
    <w:name w:val="footer"/>
    <w:basedOn w:val="Normal"/>
    <w:link w:val="FooterChar"/>
    <w:uiPriority w:val="99"/>
    <w:rsid w:val="00CE2C77"/>
    <w:pPr>
      <w:widowControl w:val="0"/>
      <w:tabs>
        <w:tab w:val="center" w:pos="4513"/>
        <w:tab w:val="right" w:pos="9026"/>
      </w:tabs>
      <w:jc w:val="both"/>
    </w:pPr>
    <w:rPr>
      <w:rFonts w:ascii="Arial" w:hAnsi="Arial" w:cs="Arial"/>
      <w:snapToGrid w:val="0"/>
      <w:sz w:val="22"/>
      <w:szCs w:val="20"/>
    </w:rPr>
  </w:style>
  <w:style w:type="character" w:customStyle="1" w:styleId="FooterChar">
    <w:name w:val="Footer Char"/>
    <w:basedOn w:val="DefaultParagraphFont"/>
    <w:link w:val="Footer"/>
    <w:uiPriority w:val="99"/>
    <w:rsid w:val="00CE2C77"/>
    <w:rPr>
      <w:rFonts w:ascii="Arial" w:hAnsi="Arial" w:cs="Arial"/>
      <w:snapToGrid w:val="0"/>
      <w:sz w:val="22"/>
      <w:lang w:eastAsia="en-US"/>
    </w:rPr>
  </w:style>
  <w:style w:type="table" w:styleId="TableGrid">
    <w:name w:val="Table Grid"/>
    <w:aliases w:val="Summary box"/>
    <w:basedOn w:val="TableNormal"/>
    <w:uiPriority w:val="59"/>
    <w:rsid w:val="00CE2C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CE2C77"/>
    <w:rPr>
      <w:rFonts w:ascii="Arial Narrow" w:hAnsi="Arial Narrow"/>
      <w:b/>
      <w:sz w:val="20"/>
      <w:szCs w:val="16"/>
    </w:rPr>
  </w:style>
  <w:style w:type="paragraph" w:customStyle="1" w:styleId="Tabletext">
    <w:name w:val="Table text"/>
    <w:basedOn w:val="Normal"/>
    <w:link w:val="TabletextChar"/>
    <w:rsid w:val="00CE2C77"/>
    <w:pPr>
      <w:spacing w:after="120"/>
    </w:pPr>
    <w:rPr>
      <w:rFonts w:ascii="Arial" w:hAnsi="Arial"/>
      <w:sz w:val="20"/>
      <w:szCs w:val="20"/>
    </w:rPr>
  </w:style>
  <w:style w:type="paragraph" w:customStyle="1" w:styleId="TableHeading">
    <w:name w:val="TableHeading"/>
    <w:basedOn w:val="Normal"/>
    <w:rsid w:val="00CE2C77"/>
    <w:pPr>
      <w:keepNext/>
      <w:spacing w:before="40" w:after="40"/>
    </w:pPr>
    <w:rPr>
      <w:rFonts w:ascii="Arial Narrow" w:hAnsi="Arial Narrow" w:cs="Arial Narrow"/>
      <w:b/>
      <w:bCs/>
      <w:sz w:val="20"/>
      <w:szCs w:val="20"/>
    </w:rPr>
  </w:style>
  <w:style w:type="character" w:customStyle="1" w:styleId="TabletextChar">
    <w:name w:val="Table text Char"/>
    <w:link w:val="Tabletext"/>
    <w:rsid w:val="00CE2C77"/>
    <w:rPr>
      <w:rFonts w:ascii="Arial" w:hAnsi="Arial"/>
      <w:lang w:eastAsia="en-US"/>
    </w:rPr>
  </w:style>
  <w:style w:type="paragraph" w:customStyle="1" w:styleId="Corpsdetextemarge">
    <w:name w:val="Corps de texte marge"/>
    <w:basedOn w:val="BodyText"/>
    <w:uiPriority w:val="99"/>
    <w:rsid w:val="00CE2C77"/>
    <w:pPr>
      <w:widowControl/>
      <w:jc w:val="both"/>
    </w:pPr>
    <w:rPr>
      <w:rFonts w:ascii="Times" w:hAnsi="Times" w:cs="Times New Roman"/>
      <w:snapToGrid/>
      <w:sz w:val="24"/>
      <w:lang w:val="en-US"/>
    </w:rPr>
  </w:style>
  <w:style w:type="paragraph" w:styleId="NormalWeb">
    <w:name w:val="Normal (Web)"/>
    <w:basedOn w:val="Normal"/>
    <w:uiPriority w:val="99"/>
    <w:rsid w:val="00CE2C77"/>
    <w:pPr>
      <w:spacing w:before="100" w:after="100"/>
    </w:pPr>
    <w:rPr>
      <w:szCs w:val="20"/>
      <w:lang w:val="en-GB"/>
    </w:rPr>
  </w:style>
  <w:style w:type="paragraph" w:styleId="TOC2">
    <w:name w:val="toc 2"/>
    <w:basedOn w:val="Normal"/>
    <w:next w:val="Normal"/>
    <w:autoRedefine/>
    <w:uiPriority w:val="39"/>
    <w:qFormat/>
    <w:rsid w:val="00CE2C77"/>
    <w:pPr>
      <w:widowControl w:val="0"/>
      <w:tabs>
        <w:tab w:val="left" w:pos="880"/>
        <w:tab w:val="right" w:leader="dot" w:pos="9016"/>
      </w:tabs>
      <w:spacing w:before="120"/>
      <w:ind w:left="220"/>
    </w:pPr>
    <w:rPr>
      <w:rFonts w:ascii="Arial" w:hAnsi="Arial" w:cs="Arial"/>
      <w:iCs/>
      <w:snapToGrid w:val="0"/>
      <w:sz w:val="20"/>
      <w:szCs w:val="20"/>
    </w:rPr>
  </w:style>
  <w:style w:type="paragraph" w:styleId="TOC1">
    <w:name w:val="toc 1"/>
    <w:basedOn w:val="Normal"/>
    <w:next w:val="Normal"/>
    <w:autoRedefine/>
    <w:uiPriority w:val="39"/>
    <w:qFormat/>
    <w:rsid w:val="00CE2C77"/>
    <w:pPr>
      <w:widowControl w:val="0"/>
      <w:spacing w:before="240" w:after="120"/>
    </w:pPr>
    <w:rPr>
      <w:rFonts w:ascii="Arial" w:hAnsi="Arial" w:cs="Arial"/>
      <w:bCs/>
      <w:snapToGrid w:val="0"/>
      <w:sz w:val="20"/>
      <w:szCs w:val="20"/>
    </w:rPr>
  </w:style>
  <w:style w:type="character" w:styleId="Hyperlink">
    <w:name w:val="Hyperlink"/>
    <w:basedOn w:val="DefaultParagraphFont"/>
    <w:uiPriority w:val="99"/>
    <w:unhideWhenUsed/>
    <w:rsid w:val="00CE2C77"/>
    <w:rPr>
      <w:color w:val="0000FF" w:themeColor="hyperlink"/>
      <w:u w:val="single"/>
    </w:rPr>
  </w:style>
  <w:style w:type="paragraph" w:styleId="TOCHeading">
    <w:name w:val="TOC Heading"/>
    <w:basedOn w:val="Heading1"/>
    <w:next w:val="Normal"/>
    <w:uiPriority w:val="39"/>
    <w:unhideWhenUsed/>
    <w:qFormat/>
    <w:rsid w:val="00CE2C77"/>
    <w:pPr>
      <w:keepLines/>
      <w:spacing w:before="480" w:after="0" w:line="276" w:lineRule="auto"/>
      <w:outlineLvl w:val="9"/>
    </w:pPr>
    <w:rPr>
      <w:rFonts w:asciiTheme="majorHAnsi" w:eastAsiaTheme="majorEastAsia" w:hAnsiTheme="majorHAnsi" w:cstheme="majorBidi"/>
      <w:caps/>
      <w:color w:val="365F91" w:themeColor="accent1" w:themeShade="BF"/>
      <w:kern w:val="0"/>
      <w:szCs w:val="28"/>
      <w:lang w:val="en-US" w:eastAsia="ja-JP"/>
    </w:rPr>
  </w:style>
  <w:style w:type="paragraph" w:styleId="TOC3">
    <w:name w:val="toc 3"/>
    <w:basedOn w:val="Normal"/>
    <w:next w:val="Normal"/>
    <w:autoRedefine/>
    <w:uiPriority w:val="39"/>
    <w:unhideWhenUsed/>
    <w:qFormat/>
    <w:rsid w:val="00CE2C77"/>
    <w:pPr>
      <w:widowControl w:val="0"/>
      <w:ind w:left="440"/>
    </w:pPr>
    <w:rPr>
      <w:rFonts w:asciiTheme="minorHAnsi" w:hAnsiTheme="minorHAnsi" w:cs="Arial"/>
      <w:snapToGrid w:val="0"/>
      <w:sz w:val="20"/>
      <w:szCs w:val="20"/>
    </w:rPr>
  </w:style>
  <w:style w:type="paragraph" w:styleId="BalloonText">
    <w:name w:val="Balloon Text"/>
    <w:basedOn w:val="Normal"/>
    <w:link w:val="BalloonTextChar"/>
    <w:uiPriority w:val="99"/>
    <w:rsid w:val="00CE2C77"/>
    <w:pPr>
      <w:widowControl w:val="0"/>
      <w:jc w:val="both"/>
    </w:pPr>
    <w:rPr>
      <w:rFonts w:ascii="Tahoma" w:hAnsi="Tahoma" w:cs="Tahoma"/>
      <w:snapToGrid w:val="0"/>
      <w:sz w:val="16"/>
      <w:szCs w:val="16"/>
    </w:rPr>
  </w:style>
  <w:style w:type="character" w:customStyle="1" w:styleId="BalloonTextChar">
    <w:name w:val="Balloon Text Char"/>
    <w:basedOn w:val="DefaultParagraphFont"/>
    <w:link w:val="BalloonText"/>
    <w:uiPriority w:val="99"/>
    <w:rsid w:val="00CE2C77"/>
    <w:rPr>
      <w:rFonts w:ascii="Tahoma" w:hAnsi="Tahoma" w:cs="Tahoma"/>
      <w:snapToGrid w:val="0"/>
      <w:sz w:val="16"/>
      <w:szCs w:val="16"/>
      <w:lang w:eastAsia="en-US"/>
    </w:rPr>
  </w:style>
  <w:style w:type="paragraph" w:styleId="BodyText3">
    <w:name w:val="Body Text 3"/>
    <w:basedOn w:val="Normal"/>
    <w:link w:val="BodyText3Char"/>
    <w:rsid w:val="00CE2C77"/>
    <w:pPr>
      <w:widowControl w:val="0"/>
      <w:spacing w:after="120"/>
      <w:jc w:val="both"/>
    </w:pPr>
    <w:rPr>
      <w:rFonts w:ascii="Arial" w:hAnsi="Arial" w:cs="Arial"/>
      <w:snapToGrid w:val="0"/>
      <w:sz w:val="16"/>
      <w:szCs w:val="16"/>
    </w:rPr>
  </w:style>
  <w:style w:type="character" w:customStyle="1" w:styleId="BodyText3Char">
    <w:name w:val="Body Text 3 Char"/>
    <w:basedOn w:val="DefaultParagraphFont"/>
    <w:link w:val="BodyText3"/>
    <w:rsid w:val="00CE2C77"/>
    <w:rPr>
      <w:rFonts w:ascii="Arial" w:hAnsi="Arial" w:cs="Arial"/>
      <w:snapToGrid w:val="0"/>
      <w:sz w:val="16"/>
      <w:szCs w:val="16"/>
      <w:lang w:eastAsia="en-US"/>
    </w:rPr>
  </w:style>
  <w:style w:type="paragraph" w:styleId="TOC4">
    <w:name w:val="toc 4"/>
    <w:basedOn w:val="Normal"/>
    <w:next w:val="Normal"/>
    <w:autoRedefine/>
    <w:uiPriority w:val="39"/>
    <w:rsid w:val="00CE2C77"/>
    <w:pPr>
      <w:widowControl w:val="0"/>
      <w:ind w:left="660"/>
    </w:pPr>
    <w:rPr>
      <w:rFonts w:asciiTheme="minorHAnsi" w:hAnsiTheme="minorHAnsi" w:cs="Arial"/>
      <w:snapToGrid w:val="0"/>
      <w:sz w:val="20"/>
      <w:szCs w:val="20"/>
    </w:rPr>
  </w:style>
  <w:style w:type="paragraph" w:styleId="TOC5">
    <w:name w:val="toc 5"/>
    <w:basedOn w:val="Normal"/>
    <w:next w:val="Normal"/>
    <w:autoRedefine/>
    <w:uiPriority w:val="39"/>
    <w:rsid w:val="00CE2C77"/>
    <w:pPr>
      <w:widowControl w:val="0"/>
      <w:ind w:left="880"/>
    </w:pPr>
    <w:rPr>
      <w:rFonts w:asciiTheme="minorHAnsi" w:hAnsiTheme="minorHAnsi" w:cs="Arial"/>
      <w:snapToGrid w:val="0"/>
      <w:sz w:val="20"/>
      <w:szCs w:val="20"/>
    </w:rPr>
  </w:style>
  <w:style w:type="paragraph" w:styleId="TOC6">
    <w:name w:val="toc 6"/>
    <w:basedOn w:val="Normal"/>
    <w:next w:val="Normal"/>
    <w:autoRedefine/>
    <w:uiPriority w:val="39"/>
    <w:rsid w:val="00CE2C77"/>
    <w:pPr>
      <w:widowControl w:val="0"/>
      <w:ind w:left="1100"/>
    </w:pPr>
    <w:rPr>
      <w:rFonts w:asciiTheme="minorHAnsi" w:hAnsiTheme="minorHAnsi" w:cs="Arial"/>
      <w:snapToGrid w:val="0"/>
      <w:sz w:val="20"/>
      <w:szCs w:val="20"/>
    </w:rPr>
  </w:style>
  <w:style w:type="paragraph" w:styleId="TOC7">
    <w:name w:val="toc 7"/>
    <w:basedOn w:val="Normal"/>
    <w:next w:val="Normal"/>
    <w:autoRedefine/>
    <w:uiPriority w:val="39"/>
    <w:rsid w:val="00CE2C77"/>
    <w:pPr>
      <w:widowControl w:val="0"/>
      <w:ind w:left="1320"/>
    </w:pPr>
    <w:rPr>
      <w:rFonts w:asciiTheme="minorHAnsi" w:hAnsiTheme="minorHAnsi" w:cs="Arial"/>
      <w:snapToGrid w:val="0"/>
      <w:sz w:val="20"/>
      <w:szCs w:val="20"/>
    </w:rPr>
  </w:style>
  <w:style w:type="paragraph" w:styleId="TOC8">
    <w:name w:val="toc 8"/>
    <w:basedOn w:val="Normal"/>
    <w:next w:val="Normal"/>
    <w:autoRedefine/>
    <w:uiPriority w:val="39"/>
    <w:rsid w:val="00CE2C77"/>
    <w:pPr>
      <w:widowControl w:val="0"/>
      <w:ind w:left="1540"/>
    </w:pPr>
    <w:rPr>
      <w:rFonts w:asciiTheme="minorHAnsi" w:hAnsiTheme="minorHAnsi" w:cs="Arial"/>
      <w:snapToGrid w:val="0"/>
      <w:sz w:val="20"/>
      <w:szCs w:val="20"/>
    </w:rPr>
  </w:style>
  <w:style w:type="paragraph" w:styleId="TOC9">
    <w:name w:val="toc 9"/>
    <w:basedOn w:val="Normal"/>
    <w:next w:val="Normal"/>
    <w:autoRedefine/>
    <w:uiPriority w:val="39"/>
    <w:rsid w:val="00CE2C77"/>
    <w:pPr>
      <w:widowControl w:val="0"/>
      <w:ind w:left="1760"/>
    </w:pPr>
    <w:rPr>
      <w:rFonts w:asciiTheme="minorHAnsi" w:hAnsiTheme="minorHAnsi" w:cs="Arial"/>
      <w:snapToGrid w:val="0"/>
      <w:sz w:val="20"/>
      <w:szCs w:val="20"/>
    </w:rPr>
  </w:style>
  <w:style w:type="paragraph" w:styleId="BodyText2">
    <w:name w:val="Body Text 2"/>
    <w:basedOn w:val="Normal"/>
    <w:link w:val="BodyText2Char"/>
    <w:rsid w:val="00CE2C77"/>
    <w:pPr>
      <w:widowControl w:val="0"/>
      <w:spacing w:after="120" w:line="480" w:lineRule="auto"/>
      <w:jc w:val="both"/>
    </w:pPr>
    <w:rPr>
      <w:rFonts w:ascii="Arial" w:hAnsi="Arial" w:cs="Arial"/>
      <w:snapToGrid w:val="0"/>
      <w:sz w:val="22"/>
      <w:szCs w:val="20"/>
    </w:rPr>
  </w:style>
  <w:style w:type="character" w:customStyle="1" w:styleId="BodyText2Char">
    <w:name w:val="Body Text 2 Char"/>
    <w:basedOn w:val="DefaultParagraphFont"/>
    <w:link w:val="BodyText2"/>
    <w:rsid w:val="00CE2C77"/>
    <w:rPr>
      <w:rFonts w:ascii="Arial" w:hAnsi="Arial" w:cs="Arial"/>
      <w:snapToGrid w:val="0"/>
      <w:sz w:val="22"/>
      <w:lang w:eastAsia="en-US"/>
    </w:rPr>
  </w:style>
  <w:style w:type="paragraph" w:styleId="CommentText">
    <w:name w:val="annotation text"/>
    <w:basedOn w:val="Normal"/>
    <w:link w:val="CommentTextChar"/>
    <w:rsid w:val="00CE2C77"/>
    <w:pPr>
      <w:widowControl w:val="0"/>
      <w:jc w:val="both"/>
    </w:pPr>
    <w:rPr>
      <w:snapToGrid w:val="0"/>
      <w:sz w:val="20"/>
      <w:szCs w:val="20"/>
    </w:rPr>
  </w:style>
  <w:style w:type="character" w:customStyle="1" w:styleId="CommentTextChar">
    <w:name w:val="Comment Text Char"/>
    <w:basedOn w:val="DefaultParagraphFont"/>
    <w:link w:val="CommentText"/>
    <w:rsid w:val="00CE2C77"/>
    <w:rPr>
      <w:snapToGrid w:val="0"/>
      <w:lang w:eastAsia="en-US"/>
    </w:rPr>
  </w:style>
  <w:style w:type="paragraph" w:customStyle="1" w:styleId="TableText0">
    <w:name w:val="TableText"/>
    <w:basedOn w:val="Normal"/>
    <w:rsid w:val="00CE2C77"/>
    <w:pPr>
      <w:keepNext/>
      <w:spacing w:before="40" w:after="40"/>
    </w:pPr>
    <w:rPr>
      <w:rFonts w:ascii="Arial Narrow" w:hAnsi="Arial Narrow" w:cs="Arial Narrow"/>
      <w:sz w:val="20"/>
      <w:szCs w:val="20"/>
    </w:rPr>
  </w:style>
  <w:style w:type="paragraph" w:customStyle="1" w:styleId="TableName">
    <w:name w:val="TableName"/>
    <w:basedOn w:val="Normal"/>
    <w:rsid w:val="00CE2C77"/>
    <w:pPr>
      <w:keepNext/>
      <w:spacing w:before="120" w:after="120"/>
      <w:ind w:left="1800" w:hanging="1080"/>
    </w:pPr>
    <w:rPr>
      <w:rFonts w:ascii="Arial Narrow" w:hAnsi="Arial Narrow" w:cs="Arial Narrow"/>
      <w:b/>
      <w:bCs/>
      <w:sz w:val="22"/>
      <w:szCs w:val="22"/>
    </w:rPr>
  </w:style>
  <w:style w:type="paragraph" w:customStyle="1" w:styleId="TableNotes18">
    <w:name w:val="TableNotes+18"/>
    <w:basedOn w:val="TableText0"/>
    <w:rsid w:val="00CE2C77"/>
    <w:pPr>
      <w:keepNext w:val="0"/>
      <w:keepLines/>
      <w:spacing w:before="0" w:after="360"/>
      <w:ind w:left="720"/>
    </w:pPr>
    <w:rPr>
      <w:sz w:val="18"/>
      <w:szCs w:val="18"/>
    </w:rPr>
  </w:style>
  <w:style w:type="paragraph" w:customStyle="1" w:styleId="TableNotes0">
    <w:name w:val="TableNotes+0"/>
    <w:basedOn w:val="TableNotes18"/>
    <w:rsid w:val="00CE2C77"/>
    <w:pPr>
      <w:keepNext/>
      <w:spacing w:after="0"/>
    </w:pPr>
  </w:style>
  <w:style w:type="paragraph" w:styleId="CommentSubject">
    <w:name w:val="annotation subject"/>
    <w:basedOn w:val="CommentText"/>
    <w:next w:val="CommentText"/>
    <w:link w:val="CommentSubjectChar"/>
    <w:uiPriority w:val="99"/>
    <w:rsid w:val="00CE2C77"/>
    <w:rPr>
      <w:rFonts w:ascii="Arial" w:hAnsi="Arial" w:cs="Arial"/>
      <w:b/>
      <w:bCs/>
    </w:rPr>
  </w:style>
  <w:style w:type="character" w:customStyle="1" w:styleId="CommentSubjectChar">
    <w:name w:val="Comment Subject Char"/>
    <w:basedOn w:val="CommentTextChar"/>
    <w:link w:val="CommentSubject"/>
    <w:uiPriority w:val="99"/>
    <w:rsid w:val="00CE2C77"/>
    <w:rPr>
      <w:rFonts w:ascii="Arial" w:hAnsi="Arial" w:cs="Arial"/>
      <w:b/>
      <w:bCs/>
      <w:snapToGrid w:val="0"/>
      <w:lang w:eastAsia="en-US"/>
    </w:rPr>
  </w:style>
  <w:style w:type="paragraph" w:styleId="Revision">
    <w:name w:val="Revision"/>
    <w:hidden/>
    <w:uiPriority w:val="99"/>
    <w:semiHidden/>
    <w:rsid w:val="00CE2C77"/>
    <w:rPr>
      <w:rFonts w:ascii="Arial" w:hAnsi="Arial" w:cs="Arial"/>
      <w:snapToGrid w:val="0"/>
      <w:sz w:val="22"/>
      <w:lang w:eastAsia="en-US"/>
    </w:rPr>
  </w:style>
  <w:style w:type="paragraph" w:styleId="BodyTextIndent">
    <w:name w:val="Body Text Indent"/>
    <w:basedOn w:val="Normal"/>
    <w:link w:val="BodyTextIndentChar"/>
    <w:rsid w:val="00CE2C77"/>
    <w:pPr>
      <w:widowControl w:val="0"/>
      <w:spacing w:after="120"/>
      <w:ind w:left="283"/>
      <w:jc w:val="both"/>
    </w:pPr>
    <w:rPr>
      <w:rFonts w:ascii="Arial" w:hAnsi="Arial" w:cs="Arial"/>
      <w:snapToGrid w:val="0"/>
      <w:sz w:val="22"/>
      <w:szCs w:val="20"/>
    </w:rPr>
  </w:style>
  <w:style w:type="character" w:customStyle="1" w:styleId="BodyTextIndentChar">
    <w:name w:val="Body Text Indent Char"/>
    <w:basedOn w:val="DefaultParagraphFont"/>
    <w:link w:val="BodyTextIndent"/>
    <w:rsid w:val="00CE2C77"/>
    <w:rPr>
      <w:rFonts w:ascii="Arial" w:hAnsi="Arial" w:cs="Arial"/>
      <w:snapToGrid w:val="0"/>
      <w:sz w:val="22"/>
      <w:lang w:eastAsia="en-US"/>
    </w:rPr>
  </w:style>
  <w:style w:type="paragraph" w:customStyle="1" w:styleId="Char1CharCharChar">
    <w:name w:val="Char1 Char Char Char"/>
    <w:basedOn w:val="Normal"/>
    <w:rsid w:val="00CE2C77"/>
    <w:pPr>
      <w:spacing w:after="160" w:line="240" w:lineRule="exact"/>
    </w:pPr>
    <w:rPr>
      <w:rFonts w:ascii="Verdana" w:eastAsia="MS Mincho" w:hAnsi="Verdana" w:cs="Verdana"/>
      <w:sz w:val="20"/>
      <w:szCs w:val="20"/>
      <w:lang w:val="en-US"/>
    </w:rPr>
  </w:style>
  <w:style w:type="character" w:customStyle="1" w:styleId="SubtitleChar1">
    <w:name w:val="Subtitle Char1"/>
    <w:basedOn w:val="DefaultParagraphFont"/>
    <w:rsid w:val="00CE2C77"/>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CE2C77"/>
    <w:pPr>
      <w:numPr>
        <w:numId w:val="3"/>
      </w:numPr>
    </w:pPr>
    <w:rPr>
      <w:rFonts w:ascii="Arial" w:hAnsi="Arial" w:cs="Arial"/>
      <w:b/>
      <w:snapToGrid w:val="0"/>
      <w:sz w:val="22"/>
      <w:szCs w:val="22"/>
      <w:lang w:eastAsia="en-US"/>
    </w:rPr>
  </w:style>
  <w:style w:type="character" w:customStyle="1" w:styleId="apple-converted-space">
    <w:name w:val="apple-converted-space"/>
    <w:basedOn w:val="DefaultParagraphFont"/>
    <w:rsid w:val="00CE2C77"/>
  </w:style>
  <w:style w:type="paragraph" w:customStyle="1" w:styleId="MainBodyText">
    <w:name w:val="Main Body Text"/>
    <w:basedOn w:val="Normal"/>
    <w:link w:val="MainBodyTextChar"/>
    <w:rsid w:val="00CE2C77"/>
    <w:pPr>
      <w:spacing w:after="240" w:line="276" w:lineRule="auto"/>
      <w:jc w:val="both"/>
    </w:pPr>
    <w:rPr>
      <w:rFonts w:ascii="Arial" w:hAnsi="Arial"/>
      <w:sz w:val="22"/>
      <w:szCs w:val="22"/>
      <w:lang w:eastAsia="en-AU"/>
    </w:rPr>
  </w:style>
  <w:style w:type="character" w:customStyle="1" w:styleId="MainBodyTextChar">
    <w:name w:val="Main Body Text Char"/>
    <w:link w:val="MainBodyText"/>
    <w:rsid w:val="00CE2C77"/>
    <w:rPr>
      <w:rFonts w:ascii="Arial" w:hAnsi="Arial"/>
      <w:sz w:val="22"/>
      <w:szCs w:val="22"/>
    </w:rPr>
  </w:style>
  <w:style w:type="paragraph" w:customStyle="1" w:styleId="Default">
    <w:name w:val="Default"/>
    <w:rsid w:val="00CE2C77"/>
    <w:pPr>
      <w:autoSpaceDE w:val="0"/>
      <w:autoSpaceDN w:val="0"/>
      <w:adjustRightInd w:val="0"/>
    </w:pPr>
    <w:rPr>
      <w:color w:val="000000"/>
      <w:sz w:val="24"/>
      <w:szCs w:val="24"/>
      <w:lang w:val="en-US" w:eastAsia="en-US"/>
    </w:rPr>
  </w:style>
  <w:style w:type="paragraph" w:customStyle="1" w:styleId="TableText1">
    <w:name w:val="Table Text"/>
    <w:basedOn w:val="Normal"/>
    <w:rsid w:val="00CE2C77"/>
    <w:pPr>
      <w:spacing w:before="60" w:after="60"/>
    </w:pPr>
    <w:rPr>
      <w:rFonts w:ascii="Arial" w:hAnsi="Arial"/>
      <w:sz w:val="18"/>
      <w:szCs w:val="20"/>
      <w:lang w:eastAsia="en-AU"/>
    </w:rPr>
  </w:style>
  <w:style w:type="paragraph" w:customStyle="1" w:styleId="TableTextHeading">
    <w:name w:val="Table Text Heading"/>
    <w:basedOn w:val="Normal"/>
    <w:rsid w:val="00CE2C77"/>
    <w:pPr>
      <w:spacing w:before="60" w:after="60"/>
      <w:jc w:val="center"/>
    </w:pPr>
    <w:rPr>
      <w:rFonts w:ascii="Arial Bold" w:hAnsi="Arial Bold"/>
      <w:b/>
      <w:sz w:val="18"/>
      <w:szCs w:val="20"/>
      <w:lang w:eastAsia="en-AU"/>
    </w:rPr>
  </w:style>
  <w:style w:type="character" w:customStyle="1" w:styleId="TextChar">
    <w:name w:val="Text Char"/>
    <w:link w:val="Text"/>
    <w:rsid w:val="00CE2C77"/>
    <w:rPr>
      <w:rFonts w:ascii="Arial" w:hAnsi="Arial"/>
      <w:sz w:val="22"/>
      <w:szCs w:val="22"/>
    </w:rPr>
  </w:style>
  <w:style w:type="paragraph" w:customStyle="1" w:styleId="Text">
    <w:name w:val="Text"/>
    <w:basedOn w:val="Normal"/>
    <w:link w:val="TextChar"/>
    <w:rsid w:val="00CE2C77"/>
    <w:pPr>
      <w:spacing w:line="360" w:lineRule="auto"/>
      <w:jc w:val="both"/>
    </w:pPr>
    <w:rPr>
      <w:rFonts w:ascii="Arial" w:hAnsi="Arial"/>
      <w:sz w:val="22"/>
      <w:szCs w:val="22"/>
      <w:lang w:eastAsia="en-AU"/>
    </w:rPr>
  </w:style>
  <w:style w:type="paragraph" w:customStyle="1" w:styleId="Paragraph">
    <w:name w:val="Paragraph"/>
    <w:link w:val="ParagraphChar"/>
    <w:rsid w:val="00CE2C77"/>
    <w:pPr>
      <w:spacing w:after="240"/>
    </w:pPr>
    <w:rPr>
      <w:sz w:val="24"/>
      <w:szCs w:val="24"/>
      <w:lang w:val="en-US" w:eastAsia="en-US"/>
    </w:rPr>
  </w:style>
  <w:style w:type="paragraph" w:styleId="ListBullet">
    <w:name w:val="List Bullet"/>
    <w:rsid w:val="00CE2C77"/>
    <w:pPr>
      <w:numPr>
        <w:numId w:val="4"/>
      </w:numPr>
      <w:spacing w:after="240"/>
    </w:pPr>
    <w:rPr>
      <w:sz w:val="24"/>
      <w:szCs w:val="24"/>
      <w:lang w:val="en-US" w:eastAsia="en-US"/>
    </w:rPr>
  </w:style>
  <w:style w:type="character" w:customStyle="1" w:styleId="ParagraphChar">
    <w:name w:val="Paragraph Char"/>
    <w:basedOn w:val="DefaultParagraphFont"/>
    <w:link w:val="Paragraph"/>
    <w:rsid w:val="00CE2C77"/>
    <w:rPr>
      <w:sz w:val="24"/>
      <w:szCs w:val="24"/>
      <w:lang w:val="en-US" w:eastAsia="en-US"/>
    </w:rPr>
  </w:style>
  <w:style w:type="paragraph" w:customStyle="1" w:styleId="TableTextSpace">
    <w:name w:val="TableText Space"/>
    <w:rsid w:val="00CE2C77"/>
    <w:pPr>
      <w:spacing w:before="60" w:after="60"/>
    </w:pPr>
    <w:rPr>
      <w:lang w:val="en-US" w:eastAsia="en-US"/>
    </w:rPr>
  </w:style>
  <w:style w:type="paragraph" w:styleId="FootnoteText">
    <w:name w:val="footnote text"/>
    <w:basedOn w:val="Normal"/>
    <w:link w:val="FootnoteTextChar"/>
    <w:unhideWhenUsed/>
    <w:rsid w:val="00CE2C77"/>
    <w:pPr>
      <w:widowControl w:val="0"/>
      <w:jc w:val="both"/>
    </w:pPr>
    <w:rPr>
      <w:rFonts w:ascii="Arial" w:hAnsi="Arial" w:cs="Arial"/>
      <w:snapToGrid w:val="0"/>
      <w:sz w:val="20"/>
      <w:szCs w:val="20"/>
    </w:rPr>
  </w:style>
  <w:style w:type="character" w:customStyle="1" w:styleId="FootnoteTextChar">
    <w:name w:val="Footnote Text Char"/>
    <w:basedOn w:val="DefaultParagraphFont"/>
    <w:link w:val="FootnoteText"/>
    <w:rsid w:val="00CE2C77"/>
    <w:rPr>
      <w:rFonts w:ascii="Arial" w:hAnsi="Arial" w:cs="Arial"/>
      <w:snapToGrid w:val="0"/>
      <w:lang w:eastAsia="en-US"/>
    </w:rPr>
  </w:style>
  <w:style w:type="character" w:styleId="FootnoteReference">
    <w:name w:val="footnote reference"/>
    <w:basedOn w:val="DefaultParagraphFont"/>
    <w:unhideWhenUsed/>
    <w:rsid w:val="00CE2C77"/>
    <w:rPr>
      <w:vertAlign w:val="superscript"/>
    </w:rPr>
  </w:style>
  <w:style w:type="character" w:customStyle="1" w:styleId="Heading1Char">
    <w:name w:val="Heading 1 Char"/>
    <w:basedOn w:val="DefaultParagraphFont"/>
    <w:link w:val="Heading1"/>
    <w:uiPriority w:val="9"/>
    <w:rsid w:val="00CE2C77"/>
    <w:rPr>
      <w:rFonts w:ascii="Arial" w:hAnsi="Arial" w:cs="Arial"/>
      <w:b/>
      <w:bCs/>
      <w:kern w:val="28"/>
      <w:sz w:val="28"/>
      <w:szCs w:val="32"/>
      <w:lang w:eastAsia="en-US"/>
    </w:rPr>
  </w:style>
  <w:style w:type="character" w:customStyle="1" w:styleId="Heading3Char">
    <w:name w:val="Heading 3 Char"/>
    <w:basedOn w:val="DefaultParagraphFont"/>
    <w:link w:val="Heading3"/>
    <w:uiPriority w:val="9"/>
    <w:rsid w:val="00CE2C77"/>
    <w:rPr>
      <w:rFonts w:ascii="Arial" w:hAnsi="Arial" w:cs="Arial"/>
      <w:bCs/>
      <w:sz w:val="24"/>
      <w:szCs w:val="26"/>
      <w:lang w:eastAsia="en-US"/>
    </w:rPr>
  </w:style>
  <w:style w:type="character" w:customStyle="1" w:styleId="Heading5Char">
    <w:name w:val="Heading 5 Char"/>
    <w:basedOn w:val="DefaultParagraphFont"/>
    <w:link w:val="Heading5"/>
    <w:uiPriority w:val="9"/>
    <w:rsid w:val="00CE2C77"/>
    <w:rPr>
      <w:b/>
      <w:bCs/>
      <w:iCs/>
      <w:sz w:val="24"/>
      <w:szCs w:val="26"/>
      <w:lang w:eastAsia="en-US"/>
    </w:rPr>
  </w:style>
  <w:style w:type="character" w:customStyle="1" w:styleId="Heading4Char">
    <w:name w:val="Heading 4 Char"/>
    <w:link w:val="Heading4"/>
    <w:uiPriority w:val="9"/>
    <w:rsid w:val="00CE2C77"/>
    <w:rPr>
      <w:rFonts w:ascii="Arial" w:hAnsi="Arial"/>
      <w:bCs/>
      <w:sz w:val="28"/>
      <w:szCs w:val="28"/>
      <w:lang w:eastAsia="en-US"/>
    </w:rPr>
  </w:style>
  <w:style w:type="character" w:customStyle="1" w:styleId="Heading6Char">
    <w:name w:val="Heading 6 Char"/>
    <w:basedOn w:val="DefaultParagraphFont"/>
    <w:link w:val="Heading6"/>
    <w:uiPriority w:val="9"/>
    <w:rsid w:val="00CE2C77"/>
    <w:rPr>
      <w:b/>
      <w:bCs/>
      <w:i/>
      <w:sz w:val="24"/>
      <w:szCs w:val="22"/>
      <w:lang w:eastAsia="en-US"/>
    </w:rPr>
  </w:style>
  <w:style w:type="character" w:customStyle="1" w:styleId="MainBodyTextEmphasiswithBold">
    <w:name w:val="Main Body Text Emphasis with Bold"/>
    <w:qFormat/>
    <w:rsid w:val="00CE2C77"/>
    <w:rPr>
      <w:b/>
    </w:rPr>
  </w:style>
  <w:style w:type="paragraph" w:customStyle="1" w:styleId="SectionHeading">
    <w:name w:val="Section Heading"/>
    <w:basedOn w:val="Heading1"/>
    <w:rsid w:val="00CE2C77"/>
    <w:pPr>
      <w:spacing w:before="360" w:after="180"/>
    </w:pPr>
    <w:rPr>
      <w:caps/>
      <w:kern w:val="32"/>
      <w:sz w:val="32"/>
      <w:lang w:eastAsia="en-AU"/>
    </w:rPr>
  </w:style>
  <w:style w:type="table" w:customStyle="1" w:styleId="TableStyle">
    <w:name w:val="Table Style"/>
    <w:basedOn w:val="TableNormal"/>
    <w:rsid w:val="00CE2C77"/>
    <w:pPr>
      <w:spacing w:before="120"/>
    </w:pPr>
    <w:rPr>
      <w:rFonts w:ascii="Arial" w:hAnsi="Arial"/>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vAlign w:val="center"/>
    </w:tcPr>
    <w:tblStylePr w:type="firstRow">
      <w:pPr>
        <w:jc w:val="left"/>
      </w:pPr>
      <w:rPr>
        <w:b/>
        <w:bCs/>
        <w:color w:val="auto"/>
      </w:rPr>
      <w:tblPr/>
      <w:tcPr>
        <w:tcBorders>
          <w:tl2br w:val="none" w:sz="0" w:space="0" w:color="auto"/>
          <w:tr2bl w:val="none" w:sz="0" w:space="0" w:color="auto"/>
        </w:tcBorders>
        <w:shd w:val="clear" w:color="auto" w:fill="D9D9D9"/>
        <w:vAlign w:val="top"/>
      </w:tcPr>
    </w:tblStylePr>
  </w:style>
  <w:style w:type="paragraph" w:customStyle="1" w:styleId="TextUnderTable">
    <w:name w:val="Text Under Table"/>
    <w:basedOn w:val="Normal"/>
    <w:rsid w:val="00CE2C77"/>
    <w:pPr>
      <w:spacing w:before="60" w:after="120"/>
      <w:contextualSpacing/>
    </w:pPr>
    <w:rPr>
      <w:rFonts w:ascii="Arial" w:hAnsi="Arial"/>
      <w:i/>
      <w:sz w:val="16"/>
      <w:szCs w:val="22"/>
      <w:lang w:eastAsia="en-AU"/>
    </w:rPr>
  </w:style>
  <w:style w:type="paragraph" w:customStyle="1" w:styleId="Section">
    <w:name w:val="Section"/>
    <w:basedOn w:val="SectionHeading"/>
    <w:rsid w:val="00CE2C77"/>
    <w:pPr>
      <w:tabs>
        <w:tab w:val="right" w:pos="9000"/>
      </w:tabs>
    </w:pPr>
  </w:style>
  <w:style w:type="paragraph" w:customStyle="1" w:styleId="HiddenText">
    <w:name w:val="Hidden Text"/>
    <w:basedOn w:val="Normal"/>
    <w:link w:val="HiddenTextChar"/>
    <w:rsid w:val="00CE2C77"/>
    <w:pPr>
      <w:pBdr>
        <w:top w:val="single" w:sz="4" w:space="1" w:color="0000FF" w:shadow="1"/>
        <w:left w:val="single" w:sz="4" w:space="4" w:color="0000FF" w:shadow="1"/>
        <w:bottom w:val="single" w:sz="4" w:space="1" w:color="0000FF" w:shadow="1"/>
        <w:right w:val="single" w:sz="4" w:space="4" w:color="0000FF" w:shadow="1"/>
      </w:pBdr>
      <w:spacing w:after="80"/>
    </w:pPr>
    <w:rPr>
      <w:rFonts w:ascii="Arial" w:hAnsi="Arial"/>
      <w:vanish/>
      <w:color w:val="0000FF"/>
      <w:sz w:val="22"/>
      <w:szCs w:val="22"/>
      <w:lang w:eastAsia="en-AU"/>
    </w:rPr>
  </w:style>
  <w:style w:type="character" w:customStyle="1" w:styleId="HiddenTextChar">
    <w:name w:val="Hidden Text Char"/>
    <w:link w:val="HiddenText"/>
    <w:rsid w:val="00CE2C77"/>
    <w:rPr>
      <w:rFonts w:ascii="Arial" w:hAnsi="Arial"/>
      <w:vanish/>
      <w:color w:val="0000FF"/>
      <w:sz w:val="22"/>
      <w:szCs w:val="22"/>
    </w:rPr>
  </w:style>
  <w:style w:type="paragraph" w:customStyle="1" w:styleId="TextUnderFigure">
    <w:name w:val="Text Under Figure"/>
    <w:basedOn w:val="TextUnderTable"/>
    <w:next w:val="MainBodyText"/>
    <w:rsid w:val="00CE2C77"/>
  </w:style>
  <w:style w:type="paragraph" w:customStyle="1" w:styleId="LOTHeading">
    <w:name w:val="L.O.T Heading"/>
    <w:basedOn w:val="Normal"/>
    <w:next w:val="Normal"/>
    <w:rsid w:val="00CE2C77"/>
    <w:pPr>
      <w:keepNext/>
      <w:pageBreakBefore/>
      <w:spacing w:before="240" w:after="360"/>
    </w:pPr>
    <w:rPr>
      <w:rFonts w:ascii="Arial" w:hAnsi="Arial"/>
      <w:b/>
      <w:caps/>
      <w:sz w:val="28"/>
      <w:szCs w:val="28"/>
      <w:lang w:eastAsia="en-AU"/>
    </w:rPr>
  </w:style>
  <w:style w:type="paragraph" w:customStyle="1" w:styleId="LOFHeading">
    <w:name w:val="L.O.F Heading"/>
    <w:basedOn w:val="Normal"/>
    <w:next w:val="Normal"/>
    <w:rsid w:val="00CE2C77"/>
    <w:pPr>
      <w:keepNext/>
      <w:spacing w:before="240" w:after="360"/>
    </w:pPr>
    <w:rPr>
      <w:rFonts w:ascii="Arial" w:hAnsi="Arial"/>
      <w:b/>
      <w:caps/>
      <w:sz w:val="28"/>
      <w:szCs w:val="28"/>
      <w:lang w:eastAsia="en-AU"/>
    </w:rPr>
  </w:style>
  <w:style w:type="paragraph" w:styleId="TableofFigures">
    <w:name w:val="table of figures"/>
    <w:basedOn w:val="Normal"/>
    <w:next w:val="Normal"/>
    <w:uiPriority w:val="99"/>
    <w:rsid w:val="00CE2C77"/>
    <w:pPr>
      <w:spacing w:after="120"/>
      <w:ind w:left="1701" w:hanging="1701"/>
    </w:pPr>
    <w:rPr>
      <w:rFonts w:ascii="Arial" w:hAnsi="Arial"/>
      <w:sz w:val="20"/>
      <w:szCs w:val="22"/>
      <w:lang w:eastAsia="en-AU"/>
    </w:rPr>
  </w:style>
  <w:style w:type="paragraph" w:customStyle="1" w:styleId="BulletedText">
    <w:name w:val="Bulleted Text"/>
    <w:basedOn w:val="MainBodyText"/>
    <w:rsid w:val="00CE2C77"/>
    <w:pPr>
      <w:numPr>
        <w:numId w:val="9"/>
      </w:numPr>
      <w:spacing w:after="120"/>
      <w:ind w:left="1134" w:hanging="363"/>
    </w:pPr>
  </w:style>
  <w:style w:type="paragraph" w:customStyle="1" w:styleId="NumberedText0">
    <w:name w:val="Numbered Text"/>
    <w:basedOn w:val="MainBodyText"/>
    <w:rsid w:val="00CE2C77"/>
    <w:pPr>
      <w:numPr>
        <w:numId w:val="5"/>
      </w:numPr>
    </w:pPr>
  </w:style>
  <w:style w:type="paragraph" w:styleId="DocumentMap">
    <w:name w:val="Document Map"/>
    <w:basedOn w:val="Normal"/>
    <w:link w:val="DocumentMapChar"/>
    <w:uiPriority w:val="99"/>
    <w:rsid w:val="00CE2C77"/>
    <w:rPr>
      <w:rFonts w:ascii="Tahoma" w:hAnsi="Tahoma" w:cs="Tahoma"/>
      <w:sz w:val="16"/>
      <w:szCs w:val="16"/>
      <w:lang w:eastAsia="en-AU"/>
    </w:rPr>
  </w:style>
  <w:style w:type="character" w:customStyle="1" w:styleId="DocumentMapChar">
    <w:name w:val="Document Map Char"/>
    <w:basedOn w:val="DefaultParagraphFont"/>
    <w:link w:val="DocumentMap"/>
    <w:uiPriority w:val="99"/>
    <w:rsid w:val="00CE2C77"/>
    <w:rPr>
      <w:rFonts w:ascii="Tahoma" w:hAnsi="Tahoma" w:cs="Tahoma"/>
      <w:sz w:val="16"/>
      <w:szCs w:val="16"/>
    </w:rPr>
  </w:style>
  <w:style w:type="paragraph" w:customStyle="1" w:styleId="TableCaption">
    <w:name w:val="Table Caption"/>
    <w:basedOn w:val="Normal"/>
    <w:next w:val="Normal"/>
    <w:link w:val="TableCaptionChar"/>
    <w:rsid w:val="00CE2C77"/>
    <w:pPr>
      <w:keepNext/>
      <w:tabs>
        <w:tab w:val="left" w:pos="1701"/>
      </w:tabs>
      <w:spacing w:after="140"/>
      <w:ind w:left="1701" w:hanging="1701"/>
    </w:pPr>
    <w:rPr>
      <w:rFonts w:ascii="Arial" w:hAnsi="Arial"/>
      <w:b/>
      <w:bCs/>
      <w:sz w:val="22"/>
      <w:szCs w:val="20"/>
      <w:lang w:eastAsia="en-AU"/>
    </w:rPr>
  </w:style>
  <w:style w:type="character" w:customStyle="1" w:styleId="TableCaptionChar">
    <w:name w:val="Table Caption Char"/>
    <w:link w:val="TableCaption"/>
    <w:rsid w:val="00CE2C77"/>
    <w:rPr>
      <w:rFonts w:ascii="Arial" w:hAnsi="Arial"/>
      <w:b/>
      <w:bCs/>
      <w:sz w:val="22"/>
    </w:rPr>
  </w:style>
  <w:style w:type="paragraph" w:customStyle="1" w:styleId="FigureCaption">
    <w:name w:val="Figure Caption"/>
    <w:basedOn w:val="TableCaption"/>
    <w:rsid w:val="00CE2C77"/>
    <w:pPr>
      <w:keepNext w:val="0"/>
      <w:spacing w:before="330" w:after="0"/>
    </w:pPr>
  </w:style>
  <w:style w:type="character" w:customStyle="1" w:styleId="Style">
    <w:name w:val="Style"/>
    <w:semiHidden/>
    <w:rsid w:val="00CE2C77"/>
    <w:rPr>
      <w:rFonts w:ascii="Verdana" w:hAnsi="Verdana"/>
      <w:i/>
      <w:iCs/>
    </w:rPr>
  </w:style>
  <w:style w:type="paragraph" w:customStyle="1" w:styleId="Numberedtext">
    <w:name w:val="Numbered text"/>
    <w:basedOn w:val="Text"/>
    <w:rsid w:val="00CE2C77"/>
    <w:pPr>
      <w:numPr>
        <w:numId w:val="8"/>
      </w:numPr>
    </w:pPr>
  </w:style>
  <w:style w:type="paragraph" w:customStyle="1" w:styleId="TableBulletList">
    <w:name w:val="Table Bullet List"/>
    <w:basedOn w:val="BulletedText"/>
    <w:qFormat/>
    <w:rsid w:val="00CE2C77"/>
    <w:pPr>
      <w:numPr>
        <w:numId w:val="0"/>
      </w:numPr>
      <w:contextualSpacing/>
    </w:pPr>
    <w:rPr>
      <w:sz w:val="18"/>
    </w:rPr>
  </w:style>
  <w:style w:type="paragraph" w:customStyle="1" w:styleId="TableListBullet">
    <w:name w:val="Table List Bullet"/>
    <w:basedOn w:val="TableText1"/>
    <w:rsid w:val="00CE2C77"/>
    <w:pPr>
      <w:numPr>
        <w:numId w:val="6"/>
      </w:numPr>
      <w:tabs>
        <w:tab w:val="left" w:pos="280"/>
        <w:tab w:val="center" w:pos="4153"/>
        <w:tab w:val="right" w:pos="9015"/>
      </w:tabs>
      <w:spacing w:before="0" w:after="0"/>
    </w:pPr>
    <w:rPr>
      <w:sz w:val="16"/>
      <w:szCs w:val="16"/>
    </w:rPr>
  </w:style>
  <w:style w:type="paragraph" w:customStyle="1" w:styleId="TableListNumber">
    <w:name w:val="Table List Number"/>
    <w:basedOn w:val="TableText1"/>
    <w:rsid w:val="00CE2C77"/>
    <w:pPr>
      <w:numPr>
        <w:numId w:val="7"/>
      </w:numPr>
      <w:tabs>
        <w:tab w:val="center" w:pos="4153"/>
        <w:tab w:val="right" w:pos="9015"/>
      </w:tabs>
      <w:spacing w:before="0" w:after="0"/>
    </w:pPr>
    <w:rPr>
      <w:sz w:val="16"/>
      <w:szCs w:val="16"/>
    </w:rPr>
  </w:style>
  <w:style w:type="paragraph" w:customStyle="1" w:styleId="TableNumberList">
    <w:name w:val="Table Number List"/>
    <w:basedOn w:val="TableListNumber"/>
    <w:qFormat/>
    <w:rsid w:val="00CE2C77"/>
    <w:pPr>
      <w:numPr>
        <w:numId w:val="0"/>
      </w:numPr>
    </w:pPr>
  </w:style>
  <w:style w:type="character" w:customStyle="1" w:styleId="sdpair">
    <w:name w:val="sdpair"/>
    <w:basedOn w:val="DefaultParagraphFont"/>
    <w:rsid w:val="00CE2C77"/>
  </w:style>
  <w:style w:type="paragraph" w:styleId="EndnoteText">
    <w:name w:val="endnote text"/>
    <w:basedOn w:val="Normal"/>
    <w:link w:val="EndnoteTextChar"/>
    <w:unhideWhenUsed/>
    <w:rsid w:val="00CE2C77"/>
    <w:rPr>
      <w:rFonts w:asciiTheme="minorHAnsi" w:eastAsiaTheme="minorEastAsia" w:hAnsiTheme="minorHAnsi" w:cstheme="minorBidi"/>
      <w:sz w:val="20"/>
      <w:szCs w:val="20"/>
      <w:lang w:val="en-US" w:eastAsia="zh-TW"/>
    </w:rPr>
  </w:style>
  <w:style w:type="character" w:customStyle="1" w:styleId="EndnoteTextChar">
    <w:name w:val="Endnote Text Char"/>
    <w:basedOn w:val="DefaultParagraphFont"/>
    <w:link w:val="EndnoteText"/>
    <w:rsid w:val="00CE2C77"/>
    <w:rPr>
      <w:rFonts w:asciiTheme="minorHAnsi" w:eastAsiaTheme="minorEastAsia" w:hAnsiTheme="minorHAnsi" w:cstheme="minorBidi"/>
      <w:lang w:val="en-US" w:eastAsia="zh-TW"/>
    </w:rPr>
  </w:style>
  <w:style w:type="character" w:styleId="EndnoteReference">
    <w:name w:val="endnote reference"/>
    <w:basedOn w:val="DefaultParagraphFont"/>
    <w:unhideWhenUsed/>
    <w:rsid w:val="00CE2C77"/>
    <w:rPr>
      <w:vertAlign w:val="superscript"/>
    </w:rPr>
  </w:style>
  <w:style w:type="paragraph" w:styleId="ListNumber">
    <w:name w:val="List Number"/>
    <w:rsid w:val="00CE2C77"/>
    <w:pPr>
      <w:numPr>
        <w:numId w:val="10"/>
      </w:numPr>
      <w:spacing w:after="240"/>
    </w:pPr>
    <w:rPr>
      <w:rFonts w:eastAsia="SimSun"/>
      <w:sz w:val="24"/>
      <w:szCs w:val="24"/>
      <w:lang w:val="en-US" w:eastAsia="en-US"/>
    </w:rPr>
  </w:style>
  <w:style w:type="character" w:customStyle="1" w:styleId="BlueText">
    <w:name w:val="Blue Text"/>
    <w:basedOn w:val="DefaultParagraphFont"/>
    <w:rsid w:val="00CE2C77"/>
    <w:rPr>
      <w:color w:val="0000FF"/>
    </w:rPr>
  </w:style>
  <w:style w:type="character" w:customStyle="1" w:styleId="NoSpacingChar">
    <w:name w:val="No Spacing Char"/>
    <w:basedOn w:val="DefaultParagraphFont"/>
    <w:link w:val="NoSpacing"/>
    <w:uiPriority w:val="1"/>
    <w:rsid w:val="00CE2C77"/>
    <w:rPr>
      <w:sz w:val="24"/>
      <w:szCs w:val="24"/>
      <w:lang w:eastAsia="en-US"/>
    </w:rPr>
  </w:style>
  <w:style w:type="paragraph" w:customStyle="1" w:styleId="TableTextCentered">
    <w:name w:val="TableText Centered"/>
    <w:rsid w:val="00CE2C77"/>
    <w:pPr>
      <w:jc w:val="center"/>
    </w:pPr>
    <w:rPr>
      <w:lang w:val="en-US" w:eastAsia="en-US"/>
    </w:rPr>
  </w:style>
  <w:style w:type="paragraph" w:customStyle="1" w:styleId="title1">
    <w:name w:val="title1"/>
    <w:basedOn w:val="Normal"/>
    <w:rsid w:val="00CE2C77"/>
    <w:rPr>
      <w:sz w:val="27"/>
      <w:szCs w:val="27"/>
      <w:lang w:val="en-US"/>
    </w:rPr>
  </w:style>
  <w:style w:type="paragraph" w:customStyle="1" w:styleId="desc2">
    <w:name w:val="desc2"/>
    <w:basedOn w:val="Normal"/>
    <w:rsid w:val="00CE2C77"/>
    <w:rPr>
      <w:sz w:val="26"/>
      <w:szCs w:val="26"/>
      <w:lang w:val="en-US"/>
    </w:rPr>
  </w:style>
  <w:style w:type="paragraph" w:customStyle="1" w:styleId="details1">
    <w:name w:val="details1"/>
    <w:basedOn w:val="Normal"/>
    <w:rsid w:val="00CE2C77"/>
    <w:rPr>
      <w:sz w:val="22"/>
      <w:szCs w:val="22"/>
      <w:lang w:val="en-US"/>
    </w:rPr>
  </w:style>
  <w:style w:type="character" w:customStyle="1" w:styleId="jrnl">
    <w:name w:val="jrnl"/>
    <w:basedOn w:val="DefaultParagraphFont"/>
    <w:rsid w:val="00CE2C77"/>
  </w:style>
  <w:style w:type="character" w:customStyle="1" w:styleId="Table">
    <w:name w:val="Table"/>
    <w:basedOn w:val="DefaultParagraphFont"/>
    <w:qFormat/>
    <w:rsid w:val="00CE2C77"/>
    <w:rPr>
      <w:rFonts w:ascii="Arial Narrow" w:hAnsi="Arial Narrow" w:cs="Times New Roman"/>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able of figures" w:uiPriority="99"/>
    <w:lsdException w:name="annotation reference" w:uiPriority="99" w:qFormat="1"/>
    <w:lsdException w:name="Title" w:qFormat="1"/>
    <w:lsdException w:name="Body Text" w:qFormat="1"/>
    <w:lsdException w:name="Subtitle" w:qFormat="1"/>
    <w:lsdException w:name="Hyperlink" w:uiPriority="99"/>
    <w:lsdException w:name="Strong" w:qFormat="1"/>
    <w:lsdException w:name="Emphasis" w:qFormat="1"/>
    <w:lsdException w:name="Document Map" w:uiPriority="99"/>
    <w:lsdException w:name="Normal (Web)" w:uiPriority="99"/>
    <w:lsdException w:name="annotation subjec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65741"/>
    <w:rPr>
      <w:sz w:val="24"/>
      <w:szCs w:val="24"/>
      <w:lang w:eastAsia="en-US"/>
    </w:rPr>
  </w:style>
  <w:style w:type="paragraph" w:styleId="Heading1">
    <w:name w:val="heading 1"/>
    <w:basedOn w:val="Normal"/>
    <w:next w:val="Normal"/>
    <w:link w:val="Heading1Char"/>
    <w:uiPriority w:val="9"/>
    <w:qFormat/>
    <w:rsid w:val="00C8217F"/>
    <w:pPr>
      <w:keepNext/>
      <w:spacing w:before="240" w:after="60"/>
      <w:outlineLvl w:val="0"/>
    </w:pPr>
    <w:rPr>
      <w:rFonts w:ascii="Arial" w:hAnsi="Arial" w:cs="Arial"/>
      <w:b/>
      <w:bCs/>
      <w:kern w:val="28"/>
      <w:sz w:val="28"/>
      <w:szCs w:val="32"/>
    </w:rPr>
  </w:style>
  <w:style w:type="paragraph" w:styleId="Heading2">
    <w:name w:val="heading 2"/>
    <w:basedOn w:val="Normal"/>
    <w:next w:val="Normal"/>
    <w:link w:val="Heading2Char"/>
    <w:uiPriority w:val="9"/>
    <w:qFormat/>
    <w:rsid w:val="005125B6"/>
    <w:pPr>
      <w:jc w:val="both"/>
      <w:outlineLvl w:val="1"/>
    </w:pPr>
    <w:rPr>
      <w:rFonts w:ascii="Arial" w:hAnsi="Arial" w:cs="Arial"/>
      <w:b/>
      <w:snapToGrid w:val="0"/>
      <w:sz w:val="22"/>
      <w:szCs w:val="22"/>
    </w:rPr>
  </w:style>
  <w:style w:type="paragraph" w:styleId="Heading3">
    <w:name w:val="heading 3"/>
    <w:basedOn w:val="Normal"/>
    <w:next w:val="Normal"/>
    <w:link w:val="Heading3Char"/>
    <w:uiPriority w:val="9"/>
    <w:qFormat/>
    <w:rsid w:val="00C8217F"/>
    <w:pPr>
      <w:keepNext/>
      <w:spacing w:before="240" w:after="60"/>
      <w:outlineLvl w:val="2"/>
    </w:pPr>
    <w:rPr>
      <w:rFonts w:ascii="Arial" w:hAnsi="Arial" w:cs="Arial"/>
      <w:bCs/>
      <w:szCs w:val="26"/>
    </w:rPr>
  </w:style>
  <w:style w:type="paragraph" w:styleId="Heading4">
    <w:name w:val="heading 4"/>
    <w:basedOn w:val="Normal"/>
    <w:next w:val="Normal"/>
    <w:link w:val="Heading4Char"/>
    <w:uiPriority w:val="9"/>
    <w:qFormat/>
    <w:rsid w:val="00C8217F"/>
    <w:pPr>
      <w:keepNext/>
      <w:spacing w:before="240" w:after="60"/>
      <w:outlineLvl w:val="3"/>
    </w:pPr>
    <w:rPr>
      <w:rFonts w:ascii="Arial" w:hAnsi="Arial"/>
      <w:bCs/>
      <w:sz w:val="28"/>
      <w:szCs w:val="28"/>
    </w:rPr>
  </w:style>
  <w:style w:type="paragraph" w:styleId="Heading5">
    <w:name w:val="heading 5"/>
    <w:basedOn w:val="Normal"/>
    <w:next w:val="Normal"/>
    <w:link w:val="Heading5Char"/>
    <w:uiPriority w:val="9"/>
    <w:qFormat/>
    <w:rsid w:val="00C8217F"/>
    <w:pPr>
      <w:keepNext/>
      <w:spacing w:before="240" w:after="60"/>
      <w:outlineLvl w:val="4"/>
    </w:pPr>
    <w:rPr>
      <w:b/>
      <w:bCs/>
      <w:iCs/>
      <w:szCs w:val="26"/>
    </w:rPr>
  </w:style>
  <w:style w:type="paragraph" w:styleId="Heading6">
    <w:name w:val="heading 6"/>
    <w:basedOn w:val="Normal"/>
    <w:next w:val="Normal"/>
    <w:link w:val="Heading6Char"/>
    <w:uiPriority w:val="9"/>
    <w:qFormat/>
    <w:rsid w:val="00C8217F"/>
    <w:pPr>
      <w:keepNext/>
      <w:spacing w:before="240" w:after="60"/>
      <w:outlineLvl w:val="5"/>
    </w:pPr>
    <w:rPr>
      <w:b/>
      <w:bCs/>
      <w:i/>
      <w:szCs w:val="22"/>
    </w:rPr>
  </w:style>
  <w:style w:type="paragraph" w:styleId="Heading7">
    <w:name w:val="heading 7"/>
    <w:basedOn w:val="Normal"/>
    <w:next w:val="Normal"/>
    <w:link w:val="Heading7Char"/>
    <w:uiPriority w:val="9"/>
    <w:qFormat/>
    <w:rsid w:val="00CE2C77"/>
    <w:pPr>
      <w:keepNext/>
      <w:widowControl w:val="0"/>
      <w:jc w:val="center"/>
      <w:outlineLvl w:val="6"/>
    </w:pPr>
    <w:rPr>
      <w:rFonts w:ascii="Arial" w:hAnsi="Arial" w:cs="Arial"/>
      <w:b/>
      <w:snapToGrid w:val="0"/>
      <w:sz w:val="20"/>
      <w:szCs w:val="20"/>
    </w:rPr>
  </w:style>
  <w:style w:type="paragraph" w:styleId="Heading8">
    <w:name w:val="heading 8"/>
    <w:basedOn w:val="Normal"/>
    <w:next w:val="Normal"/>
    <w:link w:val="Heading8Char"/>
    <w:uiPriority w:val="9"/>
    <w:qFormat/>
    <w:rsid w:val="00CE2C77"/>
    <w:pPr>
      <w:keepNext/>
      <w:widowControl w:val="0"/>
      <w:jc w:val="right"/>
      <w:outlineLvl w:val="7"/>
    </w:pPr>
    <w:rPr>
      <w:rFonts w:ascii="Arial" w:hAnsi="Arial" w:cs="Arial"/>
      <w:b/>
      <w:snapToGrid w:val="0"/>
      <w:sz w:val="22"/>
      <w:szCs w:val="20"/>
    </w:rPr>
  </w:style>
  <w:style w:type="paragraph" w:styleId="Heading9">
    <w:name w:val="heading 9"/>
    <w:basedOn w:val="Normal"/>
    <w:next w:val="Normal"/>
    <w:link w:val="Heading9Char"/>
    <w:uiPriority w:val="9"/>
    <w:qFormat/>
    <w:rsid w:val="00CE2C77"/>
    <w:pPr>
      <w:keepNext/>
      <w:widowControl w:val="0"/>
      <w:jc w:val="center"/>
      <w:outlineLvl w:val="8"/>
    </w:pPr>
    <w:rPr>
      <w:rFonts w:ascii="Arial" w:hAnsi="Arial" w:cs="Arial"/>
      <w:b/>
      <w:snapToGrid w:val="0"/>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C8217F"/>
    <w:rPr>
      <w:i/>
      <w:iCs/>
    </w:rPr>
  </w:style>
  <w:style w:type="character" w:styleId="Strong">
    <w:name w:val="Strong"/>
    <w:basedOn w:val="DefaultParagraphFont"/>
    <w:qFormat/>
    <w:rsid w:val="00C8217F"/>
    <w:rPr>
      <w:b/>
      <w:bCs/>
    </w:rPr>
  </w:style>
  <w:style w:type="paragraph" w:styleId="Subtitle">
    <w:name w:val="Subtitle"/>
    <w:basedOn w:val="Normal"/>
    <w:next w:val="Normal"/>
    <w:link w:val="SubtitleChar"/>
    <w:qFormat/>
    <w:rsid w:val="00C8217F"/>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C8217F"/>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qFormat/>
    <w:rsid w:val="005125B6"/>
    <w:pPr>
      <w:jc w:val="both"/>
    </w:pPr>
    <w:rPr>
      <w:rFonts w:ascii="Arial" w:hAnsi="Arial" w:cs="Arial"/>
      <w:snapToGrid w:val="0"/>
      <w:sz w:val="22"/>
      <w:szCs w:val="20"/>
    </w:rPr>
  </w:style>
  <w:style w:type="character" w:customStyle="1" w:styleId="TitleChar">
    <w:name w:val="Title Char"/>
    <w:basedOn w:val="DefaultParagraphFont"/>
    <w:link w:val="Title"/>
    <w:rsid w:val="005125B6"/>
    <w:rPr>
      <w:rFonts w:ascii="Arial" w:hAnsi="Arial" w:cs="Arial"/>
      <w:snapToGrid w:val="0"/>
      <w:sz w:val="22"/>
      <w:lang w:eastAsia="en-US"/>
    </w:rPr>
  </w:style>
  <w:style w:type="paragraph" w:styleId="NoSpacing">
    <w:name w:val="No Spacing"/>
    <w:link w:val="NoSpacingChar"/>
    <w:uiPriority w:val="1"/>
    <w:qFormat/>
    <w:rsid w:val="00C8217F"/>
    <w:rPr>
      <w:sz w:val="24"/>
      <w:szCs w:val="24"/>
      <w:lang w:eastAsia="en-US"/>
    </w:rPr>
  </w:style>
  <w:style w:type="character" w:styleId="SubtleEmphasis">
    <w:name w:val="Subtle Emphasis"/>
    <w:basedOn w:val="DefaultParagraphFont"/>
    <w:uiPriority w:val="19"/>
    <w:qFormat/>
    <w:rsid w:val="00C8217F"/>
    <w:rPr>
      <w:i/>
      <w:iCs/>
      <w:color w:val="808080" w:themeColor="text1" w:themeTint="7F"/>
    </w:rPr>
  </w:style>
  <w:style w:type="character" w:styleId="IntenseEmphasis">
    <w:name w:val="Intense Emphasis"/>
    <w:basedOn w:val="DefaultParagraphFont"/>
    <w:uiPriority w:val="21"/>
    <w:qFormat/>
    <w:rsid w:val="00C8217F"/>
    <w:rPr>
      <w:b/>
      <w:bCs/>
      <w:i/>
      <w:iCs/>
      <w:color w:val="4F81BD" w:themeColor="accent1"/>
    </w:rPr>
  </w:style>
  <w:style w:type="paragraph" w:styleId="Quote">
    <w:name w:val="Quote"/>
    <w:basedOn w:val="Normal"/>
    <w:next w:val="Normal"/>
    <w:link w:val="QuoteChar"/>
    <w:uiPriority w:val="29"/>
    <w:qFormat/>
    <w:rsid w:val="00C8217F"/>
    <w:rPr>
      <w:i/>
      <w:iCs/>
      <w:color w:val="000000" w:themeColor="text1"/>
    </w:rPr>
  </w:style>
  <w:style w:type="character" w:customStyle="1" w:styleId="QuoteChar">
    <w:name w:val="Quote Char"/>
    <w:basedOn w:val="DefaultParagraphFont"/>
    <w:link w:val="Quote"/>
    <w:uiPriority w:val="29"/>
    <w:rsid w:val="00C8217F"/>
    <w:rPr>
      <w:i/>
      <w:iCs/>
      <w:color w:val="000000" w:themeColor="text1"/>
      <w:sz w:val="24"/>
      <w:szCs w:val="24"/>
      <w:lang w:eastAsia="en-US"/>
    </w:rPr>
  </w:style>
  <w:style w:type="paragraph" w:styleId="IntenseQuote">
    <w:name w:val="Intense Quote"/>
    <w:basedOn w:val="Normal"/>
    <w:next w:val="Normal"/>
    <w:link w:val="IntenseQuoteChar"/>
    <w:uiPriority w:val="30"/>
    <w:qFormat/>
    <w:rsid w:val="00C8217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C8217F"/>
    <w:rPr>
      <w:b/>
      <w:bCs/>
      <w:i/>
      <w:iCs/>
      <w:color w:val="4F81BD" w:themeColor="accent1"/>
      <w:sz w:val="24"/>
      <w:szCs w:val="24"/>
      <w:lang w:eastAsia="en-US"/>
    </w:rPr>
  </w:style>
  <w:style w:type="character" w:styleId="SubtleReference">
    <w:name w:val="Subtle Reference"/>
    <w:basedOn w:val="DefaultParagraphFont"/>
    <w:uiPriority w:val="31"/>
    <w:qFormat/>
    <w:rsid w:val="00C8217F"/>
    <w:rPr>
      <w:smallCaps/>
      <w:color w:val="C0504D" w:themeColor="accent2"/>
      <w:u w:val="single"/>
    </w:rPr>
  </w:style>
  <w:style w:type="character" w:styleId="IntenseReference">
    <w:name w:val="Intense Reference"/>
    <w:basedOn w:val="DefaultParagraphFont"/>
    <w:uiPriority w:val="32"/>
    <w:qFormat/>
    <w:rsid w:val="00C8217F"/>
    <w:rPr>
      <w:b/>
      <w:bCs/>
      <w:i/>
      <w:smallCaps/>
      <w:color w:val="C0504D" w:themeColor="accent2"/>
      <w:spacing w:val="5"/>
      <w:u w:val="none"/>
    </w:rPr>
  </w:style>
  <w:style w:type="character" w:styleId="BookTitle">
    <w:name w:val="Book Title"/>
    <w:basedOn w:val="DefaultParagraphFont"/>
    <w:uiPriority w:val="33"/>
    <w:qFormat/>
    <w:rsid w:val="00C8217F"/>
    <w:rPr>
      <w:b/>
      <w:bCs/>
      <w:smallCaps/>
      <w:spacing w:val="5"/>
    </w:rPr>
  </w:style>
  <w:style w:type="paragraph" w:styleId="ListParagraph">
    <w:name w:val="List Paragraph"/>
    <w:basedOn w:val="Normal"/>
    <w:uiPriority w:val="34"/>
    <w:qFormat/>
    <w:rsid w:val="00C8217F"/>
    <w:pPr>
      <w:ind w:left="720"/>
      <w:contextualSpacing/>
    </w:pPr>
  </w:style>
  <w:style w:type="character" w:customStyle="1" w:styleId="Heading7Char">
    <w:name w:val="Heading 7 Char"/>
    <w:basedOn w:val="DefaultParagraphFont"/>
    <w:link w:val="Heading7"/>
    <w:uiPriority w:val="9"/>
    <w:rsid w:val="00CE2C77"/>
    <w:rPr>
      <w:rFonts w:ascii="Arial" w:hAnsi="Arial" w:cs="Arial"/>
      <w:b/>
      <w:snapToGrid w:val="0"/>
      <w:lang w:eastAsia="en-US"/>
    </w:rPr>
  </w:style>
  <w:style w:type="character" w:customStyle="1" w:styleId="Heading8Char">
    <w:name w:val="Heading 8 Char"/>
    <w:basedOn w:val="DefaultParagraphFont"/>
    <w:link w:val="Heading8"/>
    <w:uiPriority w:val="9"/>
    <w:rsid w:val="00CE2C77"/>
    <w:rPr>
      <w:rFonts w:ascii="Arial" w:hAnsi="Arial" w:cs="Arial"/>
      <w:b/>
      <w:snapToGrid w:val="0"/>
      <w:sz w:val="22"/>
      <w:lang w:eastAsia="en-US"/>
    </w:rPr>
  </w:style>
  <w:style w:type="character" w:customStyle="1" w:styleId="Heading9Char">
    <w:name w:val="Heading 9 Char"/>
    <w:basedOn w:val="DefaultParagraphFont"/>
    <w:link w:val="Heading9"/>
    <w:uiPriority w:val="9"/>
    <w:rsid w:val="00CE2C77"/>
    <w:rPr>
      <w:rFonts w:ascii="Arial" w:hAnsi="Arial" w:cs="Arial"/>
      <w:b/>
      <w:snapToGrid w:val="0"/>
      <w:color w:val="000000"/>
      <w:lang w:eastAsia="en-US"/>
    </w:rPr>
  </w:style>
  <w:style w:type="numbering" w:customStyle="1" w:styleId="NoList1">
    <w:name w:val="No List1"/>
    <w:next w:val="NoList"/>
    <w:uiPriority w:val="99"/>
    <w:semiHidden/>
    <w:unhideWhenUsed/>
    <w:rsid w:val="00CE2C77"/>
  </w:style>
  <w:style w:type="paragraph" w:customStyle="1" w:styleId="TableFooter">
    <w:name w:val="Table Footer"/>
    <w:basedOn w:val="Normal"/>
    <w:qFormat/>
    <w:rsid w:val="00CE2C77"/>
    <w:pPr>
      <w:widowControl w:val="0"/>
      <w:jc w:val="both"/>
    </w:pPr>
    <w:rPr>
      <w:rFonts w:ascii="Arial Narrow" w:hAnsi="Arial Narrow" w:cs="Arial"/>
      <w:snapToGrid w:val="0"/>
      <w:sz w:val="18"/>
      <w:szCs w:val="20"/>
    </w:rPr>
  </w:style>
  <w:style w:type="paragraph" w:customStyle="1" w:styleId="TableHeader">
    <w:name w:val="Table Header"/>
    <w:basedOn w:val="Normal"/>
    <w:rsid w:val="00CE2C77"/>
    <w:pPr>
      <w:widowControl w:val="0"/>
      <w:jc w:val="both"/>
    </w:pPr>
    <w:rPr>
      <w:rFonts w:ascii="Arial" w:hAnsi="Arial" w:cs="Arial"/>
      <w:b/>
      <w:snapToGrid w:val="0"/>
      <w:sz w:val="20"/>
      <w:szCs w:val="20"/>
    </w:rPr>
  </w:style>
  <w:style w:type="character" w:customStyle="1" w:styleId="Heading2Char">
    <w:name w:val="Heading 2 Char"/>
    <w:link w:val="Heading2"/>
    <w:uiPriority w:val="9"/>
    <w:rsid w:val="005125B6"/>
    <w:rPr>
      <w:rFonts w:ascii="Arial" w:hAnsi="Arial" w:cs="Arial"/>
      <w:b/>
      <w:snapToGrid w:val="0"/>
      <w:sz w:val="22"/>
      <w:szCs w:val="22"/>
      <w:lang w:eastAsia="en-US"/>
    </w:rPr>
  </w:style>
  <w:style w:type="paragraph" w:styleId="Caption">
    <w:name w:val="caption"/>
    <w:basedOn w:val="Normal"/>
    <w:next w:val="Normal"/>
    <w:link w:val="CaptionChar"/>
    <w:unhideWhenUsed/>
    <w:qFormat/>
    <w:rsid w:val="00CE2C77"/>
    <w:pPr>
      <w:widowControl w:val="0"/>
      <w:spacing w:after="200"/>
      <w:jc w:val="both"/>
    </w:pPr>
    <w:rPr>
      <w:rFonts w:ascii="Arial" w:hAnsi="Arial" w:cs="Arial"/>
      <w:b/>
      <w:bCs/>
      <w:snapToGrid w:val="0"/>
      <w:color w:val="4F81BD" w:themeColor="accent1"/>
      <w:sz w:val="18"/>
      <w:szCs w:val="18"/>
    </w:rPr>
  </w:style>
  <w:style w:type="character" w:customStyle="1" w:styleId="CaptionChar">
    <w:name w:val="Caption Char"/>
    <w:link w:val="Caption"/>
    <w:rsid w:val="00CE2C77"/>
    <w:rPr>
      <w:rFonts w:ascii="Arial" w:hAnsi="Arial" w:cs="Arial"/>
      <w:b/>
      <w:bCs/>
      <w:snapToGrid w:val="0"/>
      <w:color w:val="4F81BD" w:themeColor="accent1"/>
      <w:sz w:val="18"/>
      <w:szCs w:val="18"/>
      <w:lang w:eastAsia="en-US"/>
    </w:rPr>
  </w:style>
  <w:style w:type="paragraph" w:styleId="BodyText">
    <w:name w:val="Body Text"/>
    <w:aliases w:val="Body Text Hang,BT,bt,Bullet Level 5,Body Hang,Body Text Char1,Body Text Char Char,Body Text Char1 Char1 Char,Body Text Char Char Char1 Char, Char Char Char Char1 Char,Body Text Char Char1 Char Char Char,Body Text Char1 Char Char Char, Char Cha"/>
    <w:basedOn w:val="Normal"/>
    <w:link w:val="BodyTextChar"/>
    <w:qFormat/>
    <w:rsid w:val="00CE2C77"/>
    <w:pPr>
      <w:widowControl w:val="0"/>
    </w:pPr>
    <w:rPr>
      <w:rFonts w:ascii="Arial" w:hAnsi="Arial" w:cs="Arial"/>
      <w:snapToGrid w:val="0"/>
      <w:sz w:val="22"/>
      <w:szCs w:val="20"/>
    </w:rPr>
  </w:style>
  <w:style w:type="character" w:customStyle="1" w:styleId="BodyTextChar">
    <w:name w:val="Body Text Char"/>
    <w:aliases w:val="Body Text Hang Char,BT Char,bt Char,Bullet Level 5 Char,Body Hang Char,Body Text Char1 Char,Body Text Char Char Char,Body Text Char1 Char1 Char Char,Body Text Char Char Char1 Char Char, Char Char Char Char1 Char Char, Char Cha Char"/>
    <w:basedOn w:val="DefaultParagraphFont"/>
    <w:link w:val="BodyText"/>
    <w:rsid w:val="00CE2C77"/>
    <w:rPr>
      <w:rFonts w:ascii="Arial" w:hAnsi="Arial" w:cs="Arial"/>
      <w:snapToGrid w:val="0"/>
      <w:sz w:val="22"/>
      <w:lang w:eastAsia="en-US"/>
    </w:rPr>
  </w:style>
  <w:style w:type="paragraph" w:customStyle="1" w:styleId="RegularText">
    <w:name w:val="Regular Text"/>
    <w:basedOn w:val="BodyText"/>
    <w:link w:val="RegularTextChar"/>
    <w:rsid w:val="00CE2C77"/>
    <w:rPr>
      <w:b/>
    </w:rPr>
  </w:style>
  <w:style w:type="character" w:customStyle="1" w:styleId="RegularTextChar">
    <w:name w:val="Regular Text Char"/>
    <w:basedOn w:val="BodyTextChar"/>
    <w:link w:val="RegularText"/>
    <w:rsid w:val="00CE2C77"/>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CE2C77"/>
    <w:pPr>
      <w:widowControl w:val="0"/>
      <w:tabs>
        <w:tab w:val="center" w:pos="4513"/>
        <w:tab w:val="right" w:pos="9026"/>
      </w:tabs>
      <w:jc w:val="both"/>
    </w:pPr>
    <w:rPr>
      <w:rFonts w:ascii="Arial" w:hAnsi="Arial" w:cs="Arial"/>
      <w:snapToGrid w:val="0"/>
      <w:sz w:val="22"/>
      <w:szCs w:val="20"/>
    </w:rPr>
  </w:style>
  <w:style w:type="character" w:customStyle="1" w:styleId="HeaderChar">
    <w:name w:val="Header Char"/>
    <w:aliases w:val="Page Header Char,Header title Char,he=header Char,cntr/bld Char"/>
    <w:basedOn w:val="DefaultParagraphFont"/>
    <w:link w:val="Header"/>
    <w:uiPriority w:val="99"/>
    <w:rsid w:val="00CE2C77"/>
    <w:rPr>
      <w:rFonts w:ascii="Arial" w:hAnsi="Arial" w:cs="Arial"/>
      <w:snapToGrid w:val="0"/>
      <w:sz w:val="22"/>
      <w:lang w:eastAsia="en-US"/>
    </w:rPr>
  </w:style>
  <w:style w:type="paragraph" w:styleId="Footer">
    <w:name w:val="footer"/>
    <w:basedOn w:val="Normal"/>
    <w:link w:val="FooterChar"/>
    <w:uiPriority w:val="99"/>
    <w:rsid w:val="00CE2C77"/>
    <w:pPr>
      <w:widowControl w:val="0"/>
      <w:tabs>
        <w:tab w:val="center" w:pos="4513"/>
        <w:tab w:val="right" w:pos="9026"/>
      </w:tabs>
      <w:jc w:val="both"/>
    </w:pPr>
    <w:rPr>
      <w:rFonts w:ascii="Arial" w:hAnsi="Arial" w:cs="Arial"/>
      <w:snapToGrid w:val="0"/>
      <w:sz w:val="22"/>
      <w:szCs w:val="20"/>
    </w:rPr>
  </w:style>
  <w:style w:type="character" w:customStyle="1" w:styleId="FooterChar">
    <w:name w:val="Footer Char"/>
    <w:basedOn w:val="DefaultParagraphFont"/>
    <w:link w:val="Footer"/>
    <w:uiPriority w:val="99"/>
    <w:rsid w:val="00CE2C77"/>
    <w:rPr>
      <w:rFonts w:ascii="Arial" w:hAnsi="Arial" w:cs="Arial"/>
      <w:snapToGrid w:val="0"/>
      <w:sz w:val="22"/>
      <w:lang w:eastAsia="en-US"/>
    </w:rPr>
  </w:style>
  <w:style w:type="table" w:styleId="TableGrid">
    <w:name w:val="Table Grid"/>
    <w:aliases w:val="Summary box"/>
    <w:basedOn w:val="TableNormal"/>
    <w:uiPriority w:val="59"/>
    <w:rsid w:val="00CE2C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CE2C77"/>
    <w:rPr>
      <w:rFonts w:ascii="Arial Narrow" w:hAnsi="Arial Narrow"/>
      <w:b/>
      <w:sz w:val="20"/>
      <w:szCs w:val="16"/>
    </w:rPr>
  </w:style>
  <w:style w:type="paragraph" w:customStyle="1" w:styleId="Tabletext">
    <w:name w:val="Table text"/>
    <w:basedOn w:val="Normal"/>
    <w:link w:val="TabletextChar"/>
    <w:rsid w:val="00CE2C77"/>
    <w:pPr>
      <w:spacing w:after="120"/>
    </w:pPr>
    <w:rPr>
      <w:rFonts w:ascii="Arial" w:hAnsi="Arial"/>
      <w:sz w:val="20"/>
      <w:szCs w:val="20"/>
    </w:rPr>
  </w:style>
  <w:style w:type="paragraph" w:customStyle="1" w:styleId="TableHeading">
    <w:name w:val="TableHeading"/>
    <w:basedOn w:val="Normal"/>
    <w:rsid w:val="00CE2C77"/>
    <w:pPr>
      <w:keepNext/>
      <w:spacing w:before="40" w:after="40"/>
    </w:pPr>
    <w:rPr>
      <w:rFonts w:ascii="Arial Narrow" w:hAnsi="Arial Narrow" w:cs="Arial Narrow"/>
      <w:b/>
      <w:bCs/>
      <w:sz w:val="20"/>
      <w:szCs w:val="20"/>
    </w:rPr>
  </w:style>
  <w:style w:type="character" w:customStyle="1" w:styleId="TabletextChar">
    <w:name w:val="Table text Char"/>
    <w:link w:val="Tabletext"/>
    <w:rsid w:val="00CE2C77"/>
    <w:rPr>
      <w:rFonts w:ascii="Arial" w:hAnsi="Arial"/>
      <w:lang w:eastAsia="en-US"/>
    </w:rPr>
  </w:style>
  <w:style w:type="paragraph" w:customStyle="1" w:styleId="Corpsdetextemarge">
    <w:name w:val="Corps de texte marge"/>
    <w:basedOn w:val="BodyText"/>
    <w:uiPriority w:val="99"/>
    <w:rsid w:val="00CE2C77"/>
    <w:pPr>
      <w:widowControl/>
      <w:jc w:val="both"/>
    </w:pPr>
    <w:rPr>
      <w:rFonts w:ascii="Times" w:hAnsi="Times" w:cs="Times New Roman"/>
      <w:snapToGrid/>
      <w:sz w:val="24"/>
      <w:lang w:val="en-US"/>
    </w:rPr>
  </w:style>
  <w:style w:type="paragraph" w:styleId="NormalWeb">
    <w:name w:val="Normal (Web)"/>
    <w:basedOn w:val="Normal"/>
    <w:uiPriority w:val="99"/>
    <w:rsid w:val="00CE2C77"/>
    <w:pPr>
      <w:spacing w:before="100" w:after="100"/>
    </w:pPr>
    <w:rPr>
      <w:szCs w:val="20"/>
      <w:lang w:val="en-GB"/>
    </w:rPr>
  </w:style>
  <w:style w:type="paragraph" w:styleId="TOC2">
    <w:name w:val="toc 2"/>
    <w:basedOn w:val="Normal"/>
    <w:next w:val="Normal"/>
    <w:autoRedefine/>
    <w:uiPriority w:val="39"/>
    <w:qFormat/>
    <w:rsid w:val="00CE2C77"/>
    <w:pPr>
      <w:widowControl w:val="0"/>
      <w:tabs>
        <w:tab w:val="left" w:pos="880"/>
        <w:tab w:val="right" w:leader="dot" w:pos="9016"/>
      </w:tabs>
      <w:spacing w:before="120"/>
      <w:ind w:left="220"/>
    </w:pPr>
    <w:rPr>
      <w:rFonts w:ascii="Arial" w:hAnsi="Arial" w:cs="Arial"/>
      <w:iCs/>
      <w:snapToGrid w:val="0"/>
      <w:sz w:val="20"/>
      <w:szCs w:val="20"/>
    </w:rPr>
  </w:style>
  <w:style w:type="paragraph" w:styleId="TOC1">
    <w:name w:val="toc 1"/>
    <w:basedOn w:val="Normal"/>
    <w:next w:val="Normal"/>
    <w:autoRedefine/>
    <w:uiPriority w:val="39"/>
    <w:qFormat/>
    <w:rsid w:val="00CE2C77"/>
    <w:pPr>
      <w:widowControl w:val="0"/>
      <w:spacing w:before="240" w:after="120"/>
    </w:pPr>
    <w:rPr>
      <w:rFonts w:ascii="Arial" w:hAnsi="Arial" w:cs="Arial"/>
      <w:bCs/>
      <w:snapToGrid w:val="0"/>
      <w:sz w:val="20"/>
      <w:szCs w:val="20"/>
    </w:rPr>
  </w:style>
  <w:style w:type="character" w:styleId="Hyperlink">
    <w:name w:val="Hyperlink"/>
    <w:basedOn w:val="DefaultParagraphFont"/>
    <w:uiPriority w:val="99"/>
    <w:unhideWhenUsed/>
    <w:rsid w:val="00CE2C77"/>
    <w:rPr>
      <w:color w:val="0000FF" w:themeColor="hyperlink"/>
      <w:u w:val="single"/>
    </w:rPr>
  </w:style>
  <w:style w:type="paragraph" w:styleId="TOCHeading">
    <w:name w:val="TOC Heading"/>
    <w:basedOn w:val="Heading1"/>
    <w:next w:val="Normal"/>
    <w:uiPriority w:val="39"/>
    <w:unhideWhenUsed/>
    <w:qFormat/>
    <w:rsid w:val="00CE2C77"/>
    <w:pPr>
      <w:keepLines/>
      <w:spacing w:before="480" w:after="0" w:line="276" w:lineRule="auto"/>
      <w:outlineLvl w:val="9"/>
    </w:pPr>
    <w:rPr>
      <w:rFonts w:asciiTheme="majorHAnsi" w:eastAsiaTheme="majorEastAsia" w:hAnsiTheme="majorHAnsi" w:cstheme="majorBidi"/>
      <w:caps/>
      <w:color w:val="365F91" w:themeColor="accent1" w:themeShade="BF"/>
      <w:kern w:val="0"/>
      <w:szCs w:val="28"/>
      <w:lang w:val="en-US" w:eastAsia="ja-JP"/>
    </w:rPr>
  </w:style>
  <w:style w:type="paragraph" w:styleId="TOC3">
    <w:name w:val="toc 3"/>
    <w:basedOn w:val="Normal"/>
    <w:next w:val="Normal"/>
    <w:autoRedefine/>
    <w:uiPriority w:val="39"/>
    <w:unhideWhenUsed/>
    <w:qFormat/>
    <w:rsid w:val="00CE2C77"/>
    <w:pPr>
      <w:widowControl w:val="0"/>
      <w:ind w:left="440"/>
    </w:pPr>
    <w:rPr>
      <w:rFonts w:asciiTheme="minorHAnsi" w:hAnsiTheme="minorHAnsi" w:cs="Arial"/>
      <w:snapToGrid w:val="0"/>
      <w:sz w:val="20"/>
      <w:szCs w:val="20"/>
    </w:rPr>
  </w:style>
  <w:style w:type="paragraph" w:styleId="BalloonText">
    <w:name w:val="Balloon Text"/>
    <w:basedOn w:val="Normal"/>
    <w:link w:val="BalloonTextChar"/>
    <w:uiPriority w:val="99"/>
    <w:rsid w:val="00CE2C77"/>
    <w:pPr>
      <w:widowControl w:val="0"/>
      <w:jc w:val="both"/>
    </w:pPr>
    <w:rPr>
      <w:rFonts w:ascii="Tahoma" w:hAnsi="Tahoma" w:cs="Tahoma"/>
      <w:snapToGrid w:val="0"/>
      <w:sz w:val="16"/>
      <w:szCs w:val="16"/>
    </w:rPr>
  </w:style>
  <w:style w:type="character" w:customStyle="1" w:styleId="BalloonTextChar">
    <w:name w:val="Balloon Text Char"/>
    <w:basedOn w:val="DefaultParagraphFont"/>
    <w:link w:val="BalloonText"/>
    <w:uiPriority w:val="99"/>
    <w:rsid w:val="00CE2C77"/>
    <w:rPr>
      <w:rFonts w:ascii="Tahoma" w:hAnsi="Tahoma" w:cs="Tahoma"/>
      <w:snapToGrid w:val="0"/>
      <w:sz w:val="16"/>
      <w:szCs w:val="16"/>
      <w:lang w:eastAsia="en-US"/>
    </w:rPr>
  </w:style>
  <w:style w:type="paragraph" w:styleId="BodyText3">
    <w:name w:val="Body Text 3"/>
    <w:basedOn w:val="Normal"/>
    <w:link w:val="BodyText3Char"/>
    <w:rsid w:val="00CE2C77"/>
    <w:pPr>
      <w:widowControl w:val="0"/>
      <w:spacing w:after="120"/>
      <w:jc w:val="both"/>
    </w:pPr>
    <w:rPr>
      <w:rFonts w:ascii="Arial" w:hAnsi="Arial" w:cs="Arial"/>
      <w:snapToGrid w:val="0"/>
      <w:sz w:val="16"/>
      <w:szCs w:val="16"/>
    </w:rPr>
  </w:style>
  <w:style w:type="character" w:customStyle="1" w:styleId="BodyText3Char">
    <w:name w:val="Body Text 3 Char"/>
    <w:basedOn w:val="DefaultParagraphFont"/>
    <w:link w:val="BodyText3"/>
    <w:rsid w:val="00CE2C77"/>
    <w:rPr>
      <w:rFonts w:ascii="Arial" w:hAnsi="Arial" w:cs="Arial"/>
      <w:snapToGrid w:val="0"/>
      <w:sz w:val="16"/>
      <w:szCs w:val="16"/>
      <w:lang w:eastAsia="en-US"/>
    </w:rPr>
  </w:style>
  <w:style w:type="paragraph" w:styleId="TOC4">
    <w:name w:val="toc 4"/>
    <w:basedOn w:val="Normal"/>
    <w:next w:val="Normal"/>
    <w:autoRedefine/>
    <w:uiPriority w:val="39"/>
    <w:rsid w:val="00CE2C77"/>
    <w:pPr>
      <w:widowControl w:val="0"/>
      <w:ind w:left="660"/>
    </w:pPr>
    <w:rPr>
      <w:rFonts w:asciiTheme="minorHAnsi" w:hAnsiTheme="minorHAnsi" w:cs="Arial"/>
      <w:snapToGrid w:val="0"/>
      <w:sz w:val="20"/>
      <w:szCs w:val="20"/>
    </w:rPr>
  </w:style>
  <w:style w:type="paragraph" w:styleId="TOC5">
    <w:name w:val="toc 5"/>
    <w:basedOn w:val="Normal"/>
    <w:next w:val="Normal"/>
    <w:autoRedefine/>
    <w:uiPriority w:val="39"/>
    <w:rsid w:val="00CE2C77"/>
    <w:pPr>
      <w:widowControl w:val="0"/>
      <w:ind w:left="880"/>
    </w:pPr>
    <w:rPr>
      <w:rFonts w:asciiTheme="minorHAnsi" w:hAnsiTheme="minorHAnsi" w:cs="Arial"/>
      <w:snapToGrid w:val="0"/>
      <w:sz w:val="20"/>
      <w:szCs w:val="20"/>
    </w:rPr>
  </w:style>
  <w:style w:type="paragraph" w:styleId="TOC6">
    <w:name w:val="toc 6"/>
    <w:basedOn w:val="Normal"/>
    <w:next w:val="Normal"/>
    <w:autoRedefine/>
    <w:uiPriority w:val="39"/>
    <w:rsid w:val="00CE2C77"/>
    <w:pPr>
      <w:widowControl w:val="0"/>
      <w:ind w:left="1100"/>
    </w:pPr>
    <w:rPr>
      <w:rFonts w:asciiTheme="minorHAnsi" w:hAnsiTheme="minorHAnsi" w:cs="Arial"/>
      <w:snapToGrid w:val="0"/>
      <w:sz w:val="20"/>
      <w:szCs w:val="20"/>
    </w:rPr>
  </w:style>
  <w:style w:type="paragraph" w:styleId="TOC7">
    <w:name w:val="toc 7"/>
    <w:basedOn w:val="Normal"/>
    <w:next w:val="Normal"/>
    <w:autoRedefine/>
    <w:uiPriority w:val="39"/>
    <w:rsid w:val="00CE2C77"/>
    <w:pPr>
      <w:widowControl w:val="0"/>
      <w:ind w:left="1320"/>
    </w:pPr>
    <w:rPr>
      <w:rFonts w:asciiTheme="minorHAnsi" w:hAnsiTheme="minorHAnsi" w:cs="Arial"/>
      <w:snapToGrid w:val="0"/>
      <w:sz w:val="20"/>
      <w:szCs w:val="20"/>
    </w:rPr>
  </w:style>
  <w:style w:type="paragraph" w:styleId="TOC8">
    <w:name w:val="toc 8"/>
    <w:basedOn w:val="Normal"/>
    <w:next w:val="Normal"/>
    <w:autoRedefine/>
    <w:uiPriority w:val="39"/>
    <w:rsid w:val="00CE2C77"/>
    <w:pPr>
      <w:widowControl w:val="0"/>
      <w:ind w:left="1540"/>
    </w:pPr>
    <w:rPr>
      <w:rFonts w:asciiTheme="minorHAnsi" w:hAnsiTheme="minorHAnsi" w:cs="Arial"/>
      <w:snapToGrid w:val="0"/>
      <w:sz w:val="20"/>
      <w:szCs w:val="20"/>
    </w:rPr>
  </w:style>
  <w:style w:type="paragraph" w:styleId="TOC9">
    <w:name w:val="toc 9"/>
    <w:basedOn w:val="Normal"/>
    <w:next w:val="Normal"/>
    <w:autoRedefine/>
    <w:uiPriority w:val="39"/>
    <w:rsid w:val="00CE2C77"/>
    <w:pPr>
      <w:widowControl w:val="0"/>
      <w:ind w:left="1760"/>
    </w:pPr>
    <w:rPr>
      <w:rFonts w:asciiTheme="minorHAnsi" w:hAnsiTheme="minorHAnsi" w:cs="Arial"/>
      <w:snapToGrid w:val="0"/>
      <w:sz w:val="20"/>
      <w:szCs w:val="20"/>
    </w:rPr>
  </w:style>
  <w:style w:type="paragraph" w:styleId="BodyText2">
    <w:name w:val="Body Text 2"/>
    <w:basedOn w:val="Normal"/>
    <w:link w:val="BodyText2Char"/>
    <w:rsid w:val="00CE2C77"/>
    <w:pPr>
      <w:widowControl w:val="0"/>
      <w:spacing w:after="120" w:line="480" w:lineRule="auto"/>
      <w:jc w:val="both"/>
    </w:pPr>
    <w:rPr>
      <w:rFonts w:ascii="Arial" w:hAnsi="Arial" w:cs="Arial"/>
      <w:snapToGrid w:val="0"/>
      <w:sz w:val="22"/>
      <w:szCs w:val="20"/>
    </w:rPr>
  </w:style>
  <w:style w:type="character" w:customStyle="1" w:styleId="BodyText2Char">
    <w:name w:val="Body Text 2 Char"/>
    <w:basedOn w:val="DefaultParagraphFont"/>
    <w:link w:val="BodyText2"/>
    <w:rsid w:val="00CE2C77"/>
    <w:rPr>
      <w:rFonts w:ascii="Arial" w:hAnsi="Arial" w:cs="Arial"/>
      <w:snapToGrid w:val="0"/>
      <w:sz w:val="22"/>
      <w:lang w:eastAsia="en-US"/>
    </w:rPr>
  </w:style>
  <w:style w:type="paragraph" w:styleId="CommentText">
    <w:name w:val="annotation text"/>
    <w:basedOn w:val="Normal"/>
    <w:link w:val="CommentTextChar"/>
    <w:rsid w:val="00CE2C77"/>
    <w:pPr>
      <w:widowControl w:val="0"/>
      <w:jc w:val="both"/>
    </w:pPr>
    <w:rPr>
      <w:snapToGrid w:val="0"/>
      <w:sz w:val="20"/>
      <w:szCs w:val="20"/>
    </w:rPr>
  </w:style>
  <w:style w:type="character" w:customStyle="1" w:styleId="CommentTextChar">
    <w:name w:val="Comment Text Char"/>
    <w:basedOn w:val="DefaultParagraphFont"/>
    <w:link w:val="CommentText"/>
    <w:rsid w:val="00CE2C77"/>
    <w:rPr>
      <w:snapToGrid w:val="0"/>
      <w:lang w:eastAsia="en-US"/>
    </w:rPr>
  </w:style>
  <w:style w:type="paragraph" w:customStyle="1" w:styleId="TableText0">
    <w:name w:val="TableText"/>
    <w:basedOn w:val="Normal"/>
    <w:rsid w:val="00CE2C77"/>
    <w:pPr>
      <w:keepNext/>
      <w:spacing w:before="40" w:after="40"/>
    </w:pPr>
    <w:rPr>
      <w:rFonts w:ascii="Arial Narrow" w:hAnsi="Arial Narrow" w:cs="Arial Narrow"/>
      <w:sz w:val="20"/>
      <w:szCs w:val="20"/>
    </w:rPr>
  </w:style>
  <w:style w:type="paragraph" w:customStyle="1" w:styleId="TableName">
    <w:name w:val="TableName"/>
    <w:basedOn w:val="Normal"/>
    <w:rsid w:val="00CE2C77"/>
    <w:pPr>
      <w:keepNext/>
      <w:spacing w:before="120" w:after="120"/>
      <w:ind w:left="1800" w:hanging="1080"/>
    </w:pPr>
    <w:rPr>
      <w:rFonts w:ascii="Arial Narrow" w:hAnsi="Arial Narrow" w:cs="Arial Narrow"/>
      <w:b/>
      <w:bCs/>
      <w:sz w:val="22"/>
      <w:szCs w:val="22"/>
    </w:rPr>
  </w:style>
  <w:style w:type="paragraph" w:customStyle="1" w:styleId="TableNotes18">
    <w:name w:val="TableNotes+18"/>
    <w:basedOn w:val="TableText0"/>
    <w:rsid w:val="00CE2C77"/>
    <w:pPr>
      <w:keepNext w:val="0"/>
      <w:keepLines/>
      <w:spacing w:before="0" w:after="360"/>
      <w:ind w:left="720"/>
    </w:pPr>
    <w:rPr>
      <w:sz w:val="18"/>
      <w:szCs w:val="18"/>
    </w:rPr>
  </w:style>
  <w:style w:type="paragraph" w:customStyle="1" w:styleId="TableNotes0">
    <w:name w:val="TableNotes+0"/>
    <w:basedOn w:val="TableNotes18"/>
    <w:rsid w:val="00CE2C77"/>
    <w:pPr>
      <w:keepNext/>
      <w:spacing w:after="0"/>
    </w:pPr>
  </w:style>
  <w:style w:type="paragraph" w:styleId="CommentSubject">
    <w:name w:val="annotation subject"/>
    <w:basedOn w:val="CommentText"/>
    <w:next w:val="CommentText"/>
    <w:link w:val="CommentSubjectChar"/>
    <w:uiPriority w:val="99"/>
    <w:rsid w:val="00CE2C77"/>
    <w:rPr>
      <w:rFonts w:ascii="Arial" w:hAnsi="Arial" w:cs="Arial"/>
      <w:b/>
      <w:bCs/>
    </w:rPr>
  </w:style>
  <w:style w:type="character" w:customStyle="1" w:styleId="CommentSubjectChar">
    <w:name w:val="Comment Subject Char"/>
    <w:basedOn w:val="CommentTextChar"/>
    <w:link w:val="CommentSubject"/>
    <w:uiPriority w:val="99"/>
    <w:rsid w:val="00CE2C77"/>
    <w:rPr>
      <w:rFonts w:ascii="Arial" w:hAnsi="Arial" w:cs="Arial"/>
      <w:b/>
      <w:bCs/>
      <w:snapToGrid w:val="0"/>
      <w:lang w:eastAsia="en-US"/>
    </w:rPr>
  </w:style>
  <w:style w:type="paragraph" w:styleId="Revision">
    <w:name w:val="Revision"/>
    <w:hidden/>
    <w:uiPriority w:val="99"/>
    <w:semiHidden/>
    <w:rsid w:val="00CE2C77"/>
    <w:rPr>
      <w:rFonts w:ascii="Arial" w:hAnsi="Arial" w:cs="Arial"/>
      <w:snapToGrid w:val="0"/>
      <w:sz w:val="22"/>
      <w:lang w:eastAsia="en-US"/>
    </w:rPr>
  </w:style>
  <w:style w:type="paragraph" w:styleId="BodyTextIndent">
    <w:name w:val="Body Text Indent"/>
    <w:basedOn w:val="Normal"/>
    <w:link w:val="BodyTextIndentChar"/>
    <w:rsid w:val="00CE2C77"/>
    <w:pPr>
      <w:widowControl w:val="0"/>
      <w:spacing w:after="120"/>
      <w:ind w:left="283"/>
      <w:jc w:val="both"/>
    </w:pPr>
    <w:rPr>
      <w:rFonts w:ascii="Arial" w:hAnsi="Arial" w:cs="Arial"/>
      <w:snapToGrid w:val="0"/>
      <w:sz w:val="22"/>
      <w:szCs w:val="20"/>
    </w:rPr>
  </w:style>
  <w:style w:type="character" w:customStyle="1" w:styleId="BodyTextIndentChar">
    <w:name w:val="Body Text Indent Char"/>
    <w:basedOn w:val="DefaultParagraphFont"/>
    <w:link w:val="BodyTextIndent"/>
    <w:rsid w:val="00CE2C77"/>
    <w:rPr>
      <w:rFonts w:ascii="Arial" w:hAnsi="Arial" w:cs="Arial"/>
      <w:snapToGrid w:val="0"/>
      <w:sz w:val="22"/>
      <w:lang w:eastAsia="en-US"/>
    </w:rPr>
  </w:style>
  <w:style w:type="paragraph" w:customStyle="1" w:styleId="Char1CharCharChar">
    <w:name w:val="Char1 Char Char Char"/>
    <w:basedOn w:val="Normal"/>
    <w:rsid w:val="00CE2C77"/>
    <w:pPr>
      <w:spacing w:after="160" w:line="240" w:lineRule="exact"/>
    </w:pPr>
    <w:rPr>
      <w:rFonts w:ascii="Verdana" w:eastAsia="MS Mincho" w:hAnsi="Verdana" w:cs="Verdana"/>
      <w:sz w:val="20"/>
      <w:szCs w:val="20"/>
      <w:lang w:val="en-US"/>
    </w:rPr>
  </w:style>
  <w:style w:type="character" w:customStyle="1" w:styleId="SubtitleChar1">
    <w:name w:val="Subtitle Char1"/>
    <w:basedOn w:val="DefaultParagraphFont"/>
    <w:rsid w:val="00CE2C77"/>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CE2C77"/>
    <w:pPr>
      <w:numPr>
        <w:numId w:val="3"/>
      </w:numPr>
    </w:pPr>
    <w:rPr>
      <w:rFonts w:ascii="Arial" w:hAnsi="Arial" w:cs="Arial"/>
      <w:b/>
      <w:snapToGrid w:val="0"/>
      <w:sz w:val="22"/>
      <w:szCs w:val="22"/>
      <w:lang w:eastAsia="en-US"/>
    </w:rPr>
  </w:style>
  <w:style w:type="character" w:customStyle="1" w:styleId="apple-converted-space">
    <w:name w:val="apple-converted-space"/>
    <w:basedOn w:val="DefaultParagraphFont"/>
    <w:rsid w:val="00CE2C77"/>
  </w:style>
  <w:style w:type="paragraph" w:customStyle="1" w:styleId="MainBodyText">
    <w:name w:val="Main Body Text"/>
    <w:basedOn w:val="Normal"/>
    <w:link w:val="MainBodyTextChar"/>
    <w:rsid w:val="00CE2C77"/>
    <w:pPr>
      <w:spacing w:after="240" w:line="276" w:lineRule="auto"/>
      <w:jc w:val="both"/>
    </w:pPr>
    <w:rPr>
      <w:rFonts w:ascii="Arial" w:hAnsi="Arial"/>
      <w:sz w:val="22"/>
      <w:szCs w:val="22"/>
      <w:lang w:eastAsia="en-AU"/>
    </w:rPr>
  </w:style>
  <w:style w:type="character" w:customStyle="1" w:styleId="MainBodyTextChar">
    <w:name w:val="Main Body Text Char"/>
    <w:link w:val="MainBodyText"/>
    <w:rsid w:val="00CE2C77"/>
    <w:rPr>
      <w:rFonts w:ascii="Arial" w:hAnsi="Arial"/>
      <w:sz w:val="22"/>
      <w:szCs w:val="22"/>
    </w:rPr>
  </w:style>
  <w:style w:type="paragraph" w:customStyle="1" w:styleId="Default">
    <w:name w:val="Default"/>
    <w:rsid w:val="00CE2C77"/>
    <w:pPr>
      <w:autoSpaceDE w:val="0"/>
      <w:autoSpaceDN w:val="0"/>
      <w:adjustRightInd w:val="0"/>
    </w:pPr>
    <w:rPr>
      <w:color w:val="000000"/>
      <w:sz w:val="24"/>
      <w:szCs w:val="24"/>
      <w:lang w:val="en-US" w:eastAsia="en-US"/>
    </w:rPr>
  </w:style>
  <w:style w:type="paragraph" w:customStyle="1" w:styleId="TableText1">
    <w:name w:val="Table Text"/>
    <w:basedOn w:val="Normal"/>
    <w:rsid w:val="00CE2C77"/>
    <w:pPr>
      <w:spacing w:before="60" w:after="60"/>
    </w:pPr>
    <w:rPr>
      <w:rFonts w:ascii="Arial" w:hAnsi="Arial"/>
      <w:sz w:val="18"/>
      <w:szCs w:val="20"/>
      <w:lang w:eastAsia="en-AU"/>
    </w:rPr>
  </w:style>
  <w:style w:type="paragraph" w:customStyle="1" w:styleId="TableTextHeading">
    <w:name w:val="Table Text Heading"/>
    <w:basedOn w:val="Normal"/>
    <w:rsid w:val="00CE2C77"/>
    <w:pPr>
      <w:spacing w:before="60" w:after="60"/>
      <w:jc w:val="center"/>
    </w:pPr>
    <w:rPr>
      <w:rFonts w:ascii="Arial Bold" w:hAnsi="Arial Bold"/>
      <w:b/>
      <w:sz w:val="18"/>
      <w:szCs w:val="20"/>
      <w:lang w:eastAsia="en-AU"/>
    </w:rPr>
  </w:style>
  <w:style w:type="character" w:customStyle="1" w:styleId="TextChar">
    <w:name w:val="Text Char"/>
    <w:link w:val="Text"/>
    <w:rsid w:val="00CE2C77"/>
    <w:rPr>
      <w:rFonts w:ascii="Arial" w:hAnsi="Arial"/>
      <w:sz w:val="22"/>
      <w:szCs w:val="22"/>
    </w:rPr>
  </w:style>
  <w:style w:type="paragraph" w:customStyle="1" w:styleId="Text">
    <w:name w:val="Text"/>
    <w:basedOn w:val="Normal"/>
    <w:link w:val="TextChar"/>
    <w:rsid w:val="00CE2C77"/>
    <w:pPr>
      <w:spacing w:line="360" w:lineRule="auto"/>
      <w:jc w:val="both"/>
    </w:pPr>
    <w:rPr>
      <w:rFonts w:ascii="Arial" w:hAnsi="Arial"/>
      <w:sz w:val="22"/>
      <w:szCs w:val="22"/>
      <w:lang w:eastAsia="en-AU"/>
    </w:rPr>
  </w:style>
  <w:style w:type="paragraph" w:customStyle="1" w:styleId="Paragraph">
    <w:name w:val="Paragraph"/>
    <w:link w:val="ParagraphChar"/>
    <w:rsid w:val="00CE2C77"/>
    <w:pPr>
      <w:spacing w:after="240"/>
    </w:pPr>
    <w:rPr>
      <w:sz w:val="24"/>
      <w:szCs w:val="24"/>
      <w:lang w:val="en-US" w:eastAsia="en-US"/>
    </w:rPr>
  </w:style>
  <w:style w:type="paragraph" w:styleId="ListBullet">
    <w:name w:val="List Bullet"/>
    <w:rsid w:val="00CE2C77"/>
    <w:pPr>
      <w:numPr>
        <w:numId w:val="4"/>
      </w:numPr>
      <w:spacing w:after="240"/>
    </w:pPr>
    <w:rPr>
      <w:sz w:val="24"/>
      <w:szCs w:val="24"/>
      <w:lang w:val="en-US" w:eastAsia="en-US"/>
    </w:rPr>
  </w:style>
  <w:style w:type="character" w:customStyle="1" w:styleId="ParagraphChar">
    <w:name w:val="Paragraph Char"/>
    <w:basedOn w:val="DefaultParagraphFont"/>
    <w:link w:val="Paragraph"/>
    <w:rsid w:val="00CE2C77"/>
    <w:rPr>
      <w:sz w:val="24"/>
      <w:szCs w:val="24"/>
      <w:lang w:val="en-US" w:eastAsia="en-US"/>
    </w:rPr>
  </w:style>
  <w:style w:type="paragraph" w:customStyle="1" w:styleId="TableTextSpace">
    <w:name w:val="TableText Space"/>
    <w:rsid w:val="00CE2C77"/>
    <w:pPr>
      <w:spacing w:before="60" w:after="60"/>
    </w:pPr>
    <w:rPr>
      <w:lang w:val="en-US" w:eastAsia="en-US"/>
    </w:rPr>
  </w:style>
  <w:style w:type="paragraph" w:styleId="FootnoteText">
    <w:name w:val="footnote text"/>
    <w:basedOn w:val="Normal"/>
    <w:link w:val="FootnoteTextChar"/>
    <w:unhideWhenUsed/>
    <w:rsid w:val="00CE2C77"/>
    <w:pPr>
      <w:widowControl w:val="0"/>
      <w:jc w:val="both"/>
    </w:pPr>
    <w:rPr>
      <w:rFonts w:ascii="Arial" w:hAnsi="Arial" w:cs="Arial"/>
      <w:snapToGrid w:val="0"/>
      <w:sz w:val="20"/>
      <w:szCs w:val="20"/>
    </w:rPr>
  </w:style>
  <w:style w:type="character" w:customStyle="1" w:styleId="FootnoteTextChar">
    <w:name w:val="Footnote Text Char"/>
    <w:basedOn w:val="DefaultParagraphFont"/>
    <w:link w:val="FootnoteText"/>
    <w:rsid w:val="00CE2C77"/>
    <w:rPr>
      <w:rFonts w:ascii="Arial" w:hAnsi="Arial" w:cs="Arial"/>
      <w:snapToGrid w:val="0"/>
      <w:lang w:eastAsia="en-US"/>
    </w:rPr>
  </w:style>
  <w:style w:type="character" w:styleId="FootnoteReference">
    <w:name w:val="footnote reference"/>
    <w:basedOn w:val="DefaultParagraphFont"/>
    <w:unhideWhenUsed/>
    <w:rsid w:val="00CE2C77"/>
    <w:rPr>
      <w:vertAlign w:val="superscript"/>
    </w:rPr>
  </w:style>
  <w:style w:type="character" w:customStyle="1" w:styleId="Heading1Char">
    <w:name w:val="Heading 1 Char"/>
    <w:basedOn w:val="DefaultParagraphFont"/>
    <w:link w:val="Heading1"/>
    <w:uiPriority w:val="9"/>
    <w:rsid w:val="00CE2C77"/>
    <w:rPr>
      <w:rFonts w:ascii="Arial" w:hAnsi="Arial" w:cs="Arial"/>
      <w:b/>
      <w:bCs/>
      <w:kern w:val="28"/>
      <w:sz w:val="28"/>
      <w:szCs w:val="32"/>
      <w:lang w:eastAsia="en-US"/>
    </w:rPr>
  </w:style>
  <w:style w:type="character" w:customStyle="1" w:styleId="Heading3Char">
    <w:name w:val="Heading 3 Char"/>
    <w:basedOn w:val="DefaultParagraphFont"/>
    <w:link w:val="Heading3"/>
    <w:uiPriority w:val="9"/>
    <w:rsid w:val="00CE2C77"/>
    <w:rPr>
      <w:rFonts w:ascii="Arial" w:hAnsi="Arial" w:cs="Arial"/>
      <w:bCs/>
      <w:sz w:val="24"/>
      <w:szCs w:val="26"/>
      <w:lang w:eastAsia="en-US"/>
    </w:rPr>
  </w:style>
  <w:style w:type="character" w:customStyle="1" w:styleId="Heading5Char">
    <w:name w:val="Heading 5 Char"/>
    <w:basedOn w:val="DefaultParagraphFont"/>
    <w:link w:val="Heading5"/>
    <w:uiPriority w:val="9"/>
    <w:rsid w:val="00CE2C77"/>
    <w:rPr>
      <w:b/>
      <w:bCs/>
      <w:iCs/>
      <w:sz w:val="24"/>
      <w:szCs w:val="26"/>
      <w:lang w:eastAsia="en-US"/>
    </w:rPr>
  </w:style>
  <w:style w:type="character" w:customStyle="1" w:styleId="Heading4Char">
    <w:name w:val="Heading 4 Char"/>
    <w:link w:val="Heading4"/>
    <w:uiPriority w:val="9"/>
    <w:rsid w:val="00CE2C77"/>
    <w:rPr>
      <w:rFonts w:ascii="Arial" w:hAnsi="Arial"/>
      <w:bCs/>
      <w:sz w:val="28"/>
      <w:szCs w:val="28"/>
      <w:lang w:eastAsia="en-US"/>
    </w:rPr>
  </w:style>
  <w:style w:type="character" w:customStyle="1" w:styleId="Heading6Char">
    <w:name w:val="Heading 6 Char"/>
    <w:basedOn w:val="DefaultParagraphFont"/>
    <w:link w:val="Heading6"/>
    <w:uiPriority w:val="9"/>
    <w:rsid w:val="00CE2C77"/>
    <w:rPr>
      <w:b/>
      <w:bCs/>
      <w:i/>
      <w:sz w:val="24"/>
      <w:szCs w:val="22"/>
      <w:lang w:eastAsia="en-US"/>
    </w:rPr>
  </w:style>
  <w:style w:type="character" w:customStyle="1" w:styleId="MainBodyTextEmphasiswithBold">
    <w:name w:val="Main Body Text Emphasis with Bold"/>
    <w:qFormat/>
    <w:rsid w:val="00CE2C77"/>
    <w:rPr>
      <w:b/>
    </w:rPr>
  </w:style>
  <w:style w:type="paragraph" w:customStyle="1" w:styleId="SectionHeading">
    <w:name w:val="Section Heading"/>
    <w:basedOn w:val="Heading1"/>
    <w:rsid w:val="00CE2C77"/>
    <w:pPr>
      <w:spacing w:before="360" w:after="180"/>
    </w:pPr>
    <w:rPr>
      <w:caps/>
      <w:kern w:val="32"/>
      <w:sz w:val="32"/>
      <w:lang w:eastAsia="en-AU"/>
    </w:rPr>
  </w:style>
  <w:style w:type="table" w:customStyle="1" w:styleId="TableStyle">
    <w:name w:val="Table Style"/>
    <w:basedOn w:val="TableNormal"/>
    <w:rsid w:val="00CE2C77"/>
    <w:pPr>
      <w:spacing w:before="120"/>
    </w:pPr>
    <w:rPr>
      <w:rFonts w:ascii="Arial" w:hAnsi="Arial"/>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vAlign w:val="center"/>
    </w:tcPr>
    <w:tblStylePr w:type="firstRow">
      <w:pPr>
        <w:jc w:val="left"/>
      </w:pPr>
      <w:rPr>
        <w:b/>
        <w:bCs/>
        <w:color w:val="auto"/>
      </w:rPr>
      <w:tblPr/>
      <w:tcPr>
        <w:tcBorders>
          <w:tl2br w:val="none" w:sz="0" w:space="0" w:color="auto"/>
          <w:tr2bl w:val="none" w:sz="0" w:space="0" w:color="auto"/>
        </w:tcBorders>
        <w:shd w:val="clear" w:color="auto" w:fill="D9D9D9"/>
        <w:vAlign w:val="top"/>
      </w:tcPr>
    </w:tblStylePr>
  </w:style>
  <w:style w:type="paragraph" w:customStyle="1" w:styleId="TextUnderTable">
    <w:name w:val="Text Under Table"/>
    <w:basedOn w:val="Normal"/>
    <w:rsid w:val="00CE2C77"/>
    <w:pPr>
      <w:spacing w:before="60" w:after="120"/>
      <w:contextualSpacing/>
    </w:pPr>
    <w:rPr>
      <w:rFonts w:ascii="Arial" w:hAnsi="Arial"/>
      <w:i/>
      <w:sz w:val="16"/>
      <w:szCs w:val="22"/>
      <w:lang w:eastAsia="en-AU"/>
    </w:rPr>
  </w:style>
  <w:style w:type="paragraph" w:customStyle="1" w:styleId="Section">
    <w:name w:val="Section"/>
    <w:basedOn w:val="SectionHeading"/>
    <w:rsid w:val="00CE2C77"/>
    <w:pPr>
      <w:tabs>
        <w:tab w:val="right" w:pos="9000"/>
      </w:tabs>
    </w:pPr>
  </w:style>
  <w:style w:type="paragraph" w:customStyle="1" w:styleId="HiddenText">
    <w:name w:val="Hidden Text"/>
    <w:basedOn w:val="Normal"/>
    <w:link w:val="HiddenTextChar"/>
    <w:rsid w:val="00CE2C77"/>
    <w:pPr>
      <w:pBdr>
        <w:top w:val="single" w:sz="4" w:space="1" w:color="0000FF" w:shadow="1"/>
        <w:left w:val="single" w:sz="4" w:space="4" w:color="0000FF" w:shadow="1"/>
        <w:bottom w:val="single" w:sz="4" w:space="1" w:color="0000FF" w:shadow="1"/>
        <w:right w:val="single" w:sz="4" w:space="4" w:color="0000FF" w:shadow="1"/>
      </w:pBdr>
      <w:spacing w:after="80"/>
    </w:pPr>
    <w:rPr>
      <w:rFonts w:ascii="Arial" w:hAnsi="Arial"/>
      <w:vanish/>
      <w:color w:val="0000FF"/>
      <w:sz w:val="22"/>
      <w:szCs w:val="22"/>
      <w:lang w:eastAsia="en-AU"/>
    </w:rPr>
  </w:style>
  <w:style w:type="character" w:customStyle="1" w:styleId="HiddenTextChar">
    <w:name w:val="Hidden Text Char"/>
    <w:link w:val="HiddenText"/>
    <w:rsid w:val="00CE2C77"/>
    <w:rPr>
      <w:rFonts w:ascii="Arial" w:hAnsi="Arial"/>
      <w:vanish/>
      <w:color w:val="0000FF"/>
      <w:sz w:val="22"/>
      <w:szCs w:val="22"/>
    </w:rPr>
  </w:style>
  <w:style w:type="paragraph" w:customStyle="1" w:styleId="TextUnderFigure">
    <w:name w:val="Text Under Figure"/>
    <w:basedOn w:val="TextUnderTable"/>
    <w:next w:val="MainBodyText"/>
    <w:rsid w:val="00CE2C77"/>
  </w:style>
  <w:style w:type="paragraph" w:customStyle="1" w:styleId="LOTHeading">
    <w:name w:val="L.O.T Heading"/>
    <w:basedOn w:val="Normal"/>
    <w:next w:val="Normal"/>
    <w:rsid w:val="00CE2C77"/>
    <w:pPr>
      <w:keepNext/>
      <w:pageBreakBefore/>
      <w:spacing w:before="240" w:after="360"/>
    </w:pPr>
    <w:rPr>
      <w:rFonts w:ascii="Arial" w:hAnsi="Arial"/>
      <w:b/>
      <w:caps/>
      <w:sz w:val="28"/>
      <w:szCs w:val="28"/>
      <w:lang w:eastAsia="en-AU"/>
    </w:rPr>
  </w:style>
  <w:style w:type="paragraph" w:customStyle="1" w:styleId="LOFHeading">
    <w:name w:val="L.O.F Heading"/>
    <w:basedOn w:val="Normal"/>
    <w:next w:val="Normal"/>
    <w:rsid w:val="00CE2C77"/>
    <w:pPr>
      <w:keepNext/>
      <w:spacing w:before="240" w:after="360"/>
    </w:pPr>
    <w:rPr>
      <w:rFonts w:ascii="Arial" w:hAnsi="Arial"/>
      <w:b/>
      <w:caps/>
      <w:sz w:val="28"/>
      <w:szCs w:val="28"/>
      <w:lang w:eastAsia="en-AU"/>
    </w:rPr>
  </w:style>
  <w:style w:type="paragraph" w:styleId="TableofFigures">
    <w:name w:val="table of figures"/>
    <w:basedOn w:val="Normal"/>
    <w:next w:val="Normal"/>
    <w:uiPriority w:val="99"/>
    <w:rsid w:val="00CE2C77"/>
    <w:pPr>
      <w:spacing w:after="120"/>
      <w:ind w:left="1701" w:hanging="1701"/>
    </w:pPr>
    <w:rPr>
      <w:rFonts w:ascii="Arial" w:hAnsi="Arial"/>
      <w:sz w:val="20"/>
      <w:szCs w:val="22"/>
      <w:lang w:eastAsia="en-AU"/>
    </w:rPr>
  </w:style>
  <w:style w:type="paragraph" w:customStyle="1" w:styleId="BulletedText">
    <w:name w:val="Bulleted Text"/>
    <w:basedOn w:val="MainBodyText"/>
    <w:rsid w:val="00CE2C77"/>
    <w:pPr>
      <w:numPr>
        <w:numId w:val="9"/>
      </w:numPr>
      <w:spacing w:after="120"/>
      <w:ind w:left="1134" w:hanging="363"/>
    </w:pPr>
  </w:style>
  <w:style w:type="paragraph" w:customStyle="1" w:styleId="NumberedText0">
    <w:name w:val="Numbered Text"/>
    <w:basedOn w:val="MainBodyText"/>
    <w:rsid w:val="00CE2C77"/>
    <w:pPr>
      <w:numPr>
        <w:numId w:val="5"/>
      </w:numPr>
    </w:pPr>
  </w:style>
  <w:style w:type="paragraph" w:styleId="DocumentMap">
    <w:name w:val="Document Map"/>
    <w:basedOn w:val="Normal"/>
    <w:link w:val="DocumentMapChar"/>
    <w:uiPriority w:val="99"/>
    <w:rsid w:val="00CE2C77"/>
    <w:rPr>
      <w:rFonts w:ascii="Tahoma" w:hAnsi="Tahoma" w:cs="Tahoma"/>
      <w:sz w:val="16"/>
      <w:szCs w:val="16"/>
      <w:lang w:eastAsia="en-AU"/>
    </w:rPr>
  </w:style>
  <w:style w:type="character" w:customStyle="1" w:styleId="DocumentMapChar">
    <w:name w:val="Document Map Char"/>
    <w:basedOn w:val="DefaultParagraphFont"/>
    <w:link w:val="DocumentMap"/>
    <w:uiPriority w:val="99"/>
    <w:rsid w:val="00CE2C77"/>
    <w:rPr>
      <w:rFonts w:ascii="Tahoma" w:hAnsi="Tahoma" w:cs="Tahoma"/>
      <w:sz w:val="16"/>
      <w:szCs w:val="16"/>
    </w:rPr>
  </w:style>
  <w:style w:type="paragraph" w:customStyle="1" w:styleId="TableCaption">
    <w:name w:val="Table Caption"/>
    <w:basedOn w:val="Normal"/>
    <w:next w:val="Normal"/>
    <w:link w:val="TableCaptionChar"/>
    <w:rsid w:val="00CE2C77"/>
    <w:pPr>
      <w:keepNext/>
      <w:tabs>
        <w:tab w:val="left" w:pos="1701"/>
      </w:tabs>
      <w:spacing w:after="140"/>
      <w:ind w:left="1701" w:hanging="1701"/>
    </w:pPr>
    <w:rPr>
      <w:rFonts w:ascii="Arial" w:hAnsi="Arial"/>
      <w:b/>
      <w:bCs/>
      <w:sz w:val="22"/>
      <w:szCs w:val="20"/>
      <w:lang w:eastAsia="en-AU"/>
    </w:rPr>
  </w:style>
  <w:style w:type="character" w:customStyle="1" w:styleId="TableCaptionChar">
    <w:name w:val="Table Caption Char"/>
    <w:link w:val="TableCaption"/>
    <w:rsid w:val="00CE2C77"/>
    <w:rPr>
      <w:rFonts w:ascii="Arial" w:hAnsi="Arial"/>
      <w:b/>
      <w:bCs/>
      <w:sz w:val="22"/>
    </w:rPr>
  </w:style>
  <w:style w:type="paragraph" w:customStyle="1" w:styleId="FigureCaption">
    <w:name w:val="Figure Caption"/>
    <w:basedOn w:val="TableCaption"/>
    <w:rsid w:val="00CE2C77"/>
    <w:pPr>
      <w:keepNext w:val="0"/>
      <w:spacing w:before="330" w:after="0"/>
    </w:pPr>
  </w:style>
  <w:style w:type="character" w:customStyle="1" w:styleId="Style">
    <w:name w:val="Style"/>
    <w:semiHidden/>
    <w:rsid w:val="00CE2C77"/>
    <w:rPr>
      <w:rFonts w:ascii="Verdana" w:hAnsi="Verdana"/>
      <w:i/>
      <w:iCs/>
    </w:rPr>
  </w:style>
  <w:style w:type="paragraph" w:customStyle="1" w:styleId="Numberedtext">
    <w:name w:val="Numbered text"/>
    <w:basedOn w:val="Text"/>
    <w:rsid w:val="00CE2C77"/>
    <w:pPr>
      <w:numPr>
        <w:numId w:val="8"/>
      </w:numPr>
    </w:pPr>
  </w:style>
  <w:style w:type="paragraph" w:customStyle="1" w:styleId="TableBulletList">
    <w:name w:val="Table Bullet List"/>
    <w:basedOn w:val="BulletedText"/>
    <w:qFormat/>
    <w:rsid w:val="00CE2C77"/>
    <w:pPr>
      <w:numPr>
        <w:numId w:val="0"/>
      </w:numPr>
      <w:contextualSpacing/>
    </w:pPr>
    <w:rPr>
      <w:sz w:val="18"/>
    </w:rPr>
  </w:style>
  <w:style w:type="paragraph" w:customStyle="1" w:styleId="TableListBullet">
    <w:name w:val="Table List Bullet"/>
    <w:basedOn w:val="TableText1"/>
    <w:rsid w:val="00CE2C77"/>
    <w:pPr>
      <w:numPr>
        <w:numId w:val="6"/>
      </w:numPr>
      <w:tabs>
        <w:tab w:val="left" w:pos="280"/>
        <w:tab w:val="center" w:pos="4153"/>
        <w:tab w:val="right" w:pos="9015"/>
      </w:tabs>
      <w:spacing w:before="0" w:after="0"/>
    </w:pPr>
    <w:rPr>
      <w:sz w:val="16"/>
      <w:szCs w:val="16"/>
    </w:rPr>
  </w:style>
  <w:style w:type="paragraph" w:customStyle="1" w:styleId="TableListNumber">
    <w:name w:val="Table List Number"/>
    <w:basedOn w:val="TableText1"/>
    <w:rsid w:val="00CE2C77"/>
    <w:pPr>
      <w:numPr>
        <w:numId w:val="7"/>
      </w:numPr>
      <w:tabs>
        <w:tab w:val="center" w:pos="4153"/>
        <w:tab w:val="right" w:pos="9015"/>
      </w:tabs>
      <w:spacing w:before="0" w:after="0"/>
    </w:pPr>
    <w:rPr>
      <w:sz w:val="16"/>
      <w:szCs w:val="16"/>
    </w:rPr>
  </w:style>
  <w:style w:type="paragraph" w:customStyle="1" w:styleId="TableNumberList">
    <w:name w:val="Table Number List"/>
    <w:basedOn w:val="TableListNumber"/>
    <w:qFormat/>
    <w:rsid w:val="00CE2C77"/>
    <w:pPr>
      <w:numPr>
        <w:numId w:val="0"/>
      </w:numPr>
    </w:pPr>
  </w:style>
  <w:style w:type="character" w:customStyle="1" w:styleId="sdpair">
    <w:name w:val="sdpair"/>
    <w:basedOn w:val="DefaultParagraphFont"/>
    <w:rsid w:val="00CE2C77"/>
  </w:style>
  <w:style w:type="paragraph" w:styleId="EndnoteText">
    <w:name w:val="endnote text"/>
    <w:basedOn w:val="Normal"/>
    <w:link w:val="EndnoteTextChar"/>
    <w:unhideWhenUsed/>
    <w:rsid w:val="00CE2C77"/>
    <w:rPr>
      <w:rFonts w:asciiTheme="minorHAnsi" w:eastAsiaTheme="minorEastAsia" w:hAnsiTheme="minorHAnsi" w:cstheme="minorBidi"/>
      <w:sz w:val="20"/>
      <w:szCs w:val="20"/>
      <w:lang w:val="en-US" w:eastAsia="zh-TW"/>
    </w:rPr>
  </w:style>
  <w:style w:type="character" w:customStyle="1" w:styleId="EndnoteTextChar">
    <w:name w:val="Endnote Text Char"/>
    <w:basedOn w:val="DefaultParagraphFont"/>
    <w:link w:val="EndnoteText"/>
    <w:rsid w:val="00CE2C77"/>
    <w:rPr>
      <w:rFonts w:asciiTheme="minorHAnsi" w:eastAsiaTheme="minorEastAsia" w:hAnsiTheme="minorHAnsi" w:cstheme="minorBidi"/>
      <w:lang w:val="en-US" w:eastAsia="zh-TW"/>
    </w:rPr>
  </w:style>
  <w:style w:type="character" w:styleId="EndnoteReference">
    <w:name w:val="endnote reference"/>
    <w:basedOn w:val="DefaultParagraphFont"/>
    <w:unhideWhenUsed/>
    <w:rsid w:val="00CE2C77"/>
    <w:rPr>
      <w:vertAlign w:val="superscript"/>
    </w:rPr>
  </w:style>
  <w:style w:type="paragraph" w:styleId="ListNumber">
    <w:name w:val="List Number"/>
    <w:rsid w:val="00CE2C77"/>
    <w:pPr>
      <w:numPr>
        <w:numId w:val="10"/>
      </w:numPr>
      <w:spacing w:after="240"/>
    </w:pPr>
    <w:rPr>
      <w:rFonts w:eastAsia="SimSun"/>
      <w:sz w:val="24"/>
      <w:szCs w:val="24"/>
      <w:lang w:val="en-US" w:eastAsia="en-US"/>
    </w:rPr>
  </w:style>
  <w:style w:type="character" w:customStyle="1" w:styleId="BlueText">
    <w:name w:val="Blue Text"/>
    <w:basedOn w:val="DefaultParagraphFont"/>
    <w:rsid w:val="00CE2C77"/>
    <w:rPr>
      <w:color w:val="0000FF"/>
    </w:rPr>
  </w:style>
  <w:style w:type="character" w:customStyle="1" w:styleId="NoSpacingChar">
    <w:name w:val="No Spacing Char"/>
    <w:basedOn w:val="DefaultParagraphFont"/>
    <w:link w:val="NoSpacing"/>
    <w:uiPriority w:val="1"/>
    <w:rsid w:val="00CE2C77"/>
    <w:rPr>
      <w:sz w:val="24"/>
      <w:szCs w:val="24"/>
      <w:lang w:eastAsia="en-US"/>
    </w:rPr>
  </w:style>
  <w:style w:type="paragraph" w:customStyle="1" w:styleId="TableTextCentered">
    <w:name w:val="TableText Centered"/>
    <w:rsid w:val="00CE2C77"/>
    <w:pPr>
      <w:jc w:val="center"/>
    </w:pPr>
    <w:rPr>
      <w:lang w:val="en-US" w:eastAsia="en-US"/>
    </w:rPr>
  </w:style>
  <w:style w:type="paragraph" w:customStyle="1" w:styleId="title1">
    <w:name w:val="title1"/>
    <w:basedOn w:val="Normal"/>
    <w:rsid w:val="00CE2C77"/>
    <w:rPr>
      <w:sz w:val="27"/>
      <w:szCs w:val="27"/>
      <w:lang w:val="en-US"/>
    </w:rPr>
  </w:style>
  <w:style w:type="paragraph" w:customStyle="1" w:styleId="desc2">
    <w:name w:val="desc2"/>
    <w:basedOn w:val="Normal"/>
    <w:rsid w:val="00CE2C77"/>
    <w:rPr>
      <w:sz w:val="26"/>
      <w:szCs w:val="26"/>
      <w:lang w:val="en-US"/>
    </w:rPr>
  </w:style>
  <w:style w:type="paragraph" w:customStyle="1" w:styleId="details1">
    <w:name w:val="details1"/>
    <w:basedOn w:val="Normal"/>
    <w:rsid w:val="00CE2C77"/>
    <w:rPr>
      <w:sz w:val="22"/>
      <w:szCs w:val="22"/>
      <w:lang w:val="en-US"/>
    </w:rPr>
  </w:style>
  <w:style w:type="character" w:customStyle="1" w:styleId="jrnl">
    <w:name w:val="jrnl"/>
    <w:basedOn w:val="DefaultParagraphFont"/>
    <w:rsid w:val="00CE2C77"/>
  </w:style>
  <w:style w:type="character" w:customStyle="1" w:styleId="Table">
    <w:name w:val="Table"/>
    <w:basedOn w:val="DefaultParagraphFont"/>
    <w:qFormat/>
    <w:rsid w:val="00CE2C77"/>
    <w:rPr>
      <w:rFonts w:ascii="Arial Narrow" w:hAnsi="Arial Narrow"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752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ADBAFBA6-C32E-4A7F-A884-805C68910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9367</Words>
  <Characters>52995</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6.06 Pneumococcal conjugate vaccine</vt:lpstr>
    </vt:vector>
  </TitlesOfParts>
  <LinksUpToDate>false</LinksUpToDate>
  <CharactersWithSpaces>62238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6.06 Pneumococcal conjugate vaccine</dc:title>
  <dc:creator/>
  <cp:lastModifiedBy/>
  <cp:revision>1</cp:revision>
  <dcterms:created xsi:type="dcterms:W3CDTF">2015-06-29T05:10:00Z</dcterms:created>
  <dcterms:modified xsi:type="dcterms:W3CDTF">2015-06-30T01:27:00Z</dcterms:modified>
</cp:coreProperties>
</file>