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F0B" w:rsidRPr="00881BD2" w:rsidRDefault="00726F0B" w:rsidP="00726F0B">
      <w:pPr>
        <w:pStyle w:val="BodyText"/>
      </w:pPr>
      <w:bookmarkStart w:id="0" w:name="_Toc341702043"/>
      <w:bookmarkStart w:id="1" w:name="_Toc380742621"/>
      <w:bookmarkStart w:id="2" w:name="_Toc380746188"/>
      <w:bookmarkStart w:id="3" w:name="_Toc380746314"/>
      <w:bookmarkStart w:id="4" w:name="_Toc380746595"/>
    </w:p>
    <w:p w:rsidR="00216B1C" w:rsidRPr="00216B1C" w:rsidRDefault="00D871F6" w:rsidP="00216B1C">
      <w:pPr>
        <w:pStyle w:val="Title"/>
      </w:pPr>
      <w:bookmarkStart w:id="5" w:name="_Toc409532700"/>
      <w:r w:rsidRPr="00216B1C">
        <w:t>7.</w:t>
      </w:r>
      <w:r w:rsidR="00B76716" w:rsidRPr="00216B1C">
        <w:t>0</w:t>
      </w:r>
      <w:r w:rsidRPr="00216B1C">
        <w:t>3</w:t>
      </w:r>
      <w:r w:rsidR="00216B1C" w:rsidRPr="00216B1C">
        <w:tab/>
        <w:t>OBINUTUZUMAB</w:t>
      </w:r>
      <w:r w:rsidR="00726F0B" w:rsidRPr="00216B1C">
        <w:t xml:space="preserve"> </w:t>
      </w:r>
    </w:p>
    <w:p w:rsidR="00216B1C" w:rsidRDefault="00726F0B" w:rsidP="00216B1C">
      <w:pPr>
        <w:pStyle w:val="Heading1"/>
        <w:ind w:firstLine="0"/>
        <w:rPr>
          <w:sz w:val="28"/>
        </w:rPr>
      </w:pPr>
      <w:r w:rsidRPr="00881BD2">
        <w:rPr>
          <w:caps w:val="0"/>
          <w:sz w:val="28"/>
        </w:rPr>
        <w:t>1000 mg/40 mL solution for infusion, 1 x 40 mL vial</w:t>
      </w:r>
      <w:r w:rsidR="00216B1C">
        <w:rPr>
          <w:sz w:val="28"/>
        </w:rPr>
        <w:t>;</w:t>
      </w:r>
      <w:r w:rsidRPr="00881BD2">
        <w:rPr>
          <w:sz w:val="28"/>
        </w:rPr>
        <w:t xml:space="preserve"> </w:t>
      </w:r>
    </w:p>
    <w:p w:rsidR="00726F0B" w:rsidRPr="00881BD2" w:rsidRDefault="00726F0B" w:rsidP="00216B1C">
      <w:pPr>
        <w:pStyle w:val="Heading1"/>
        <w:ind w:firstLine="0"/>
        <w:rPr>
          <w:sz w:val="28"/>
        </w:rPr>
      </w:pPr>
      <w:proofErr w:type="spellStart"/>
      <w:proofErr w:type="gramStart"/>
      <w:r w:rsidRPr="00881BD2">
        <w:rPr>
          <w:caps w:val="0"/>
          <w:sz w:val="28"/>
        </w:rPr>
        <w:t>Gazyva</w:t>
      </w:r>
      <w:proofErr w:type="spellEnd"/>
      <w:r w:rsidRPr="00881BD2">
        <w:rPr>
          <w:sz w:val="28"/>
          <w:vertAlign w:val="superscript"/>
        </w:rPr>
        <w:t>®</w:t>
      </w:r>
      <w:r w:rsidRPr="00881BD2">
        <w:rPr>
          <w:sz w:val="28"/>
        </w:rPr>
        <w:t xml:space="preserve">, </w:t>
      </w:r>
      <w:r w:rsidRPr="00881BD2">
        <w:rPr>
          <w:caps w:val="0"/>
          <w:sz w:val="28"/>
        </w:rPr>
        <w:t>Roche Products Pty Ltd</w:t>
      </w:r>
      <w:r w:rsidRPr="00881BD2">
        <w:rPr>
          <w:sz w:val="28"/>
        </w:rPr>
        <w:t>.</w:t>
      </w:r>
      <w:bookmarkEnd w:id="5"/>
      <w:proofErr w:type="gramEnd"/>
    </w:p>
    <w:p w:rsidR="00726F0B" w:rsidRDefault="00726F0B" w:rsidP="00726F0B">
      <w:pPr>
        <w:pStyle w:val="Heading2"/>
      </w:pPr>
    </w:p>
    <w:p w:rsidR="008E27AE" w:rsidRPr="008E27AE" w:rsidRDefault="008E27AE" w:rsidP="008E27AE"/>
    <w:p w:rsidR="009F6EF6" w:rsidRPr="00881BD2" w:rsidRDefault="009F6EF6" w:rsidP="001E4453">
      <w:pPr>
        <w:pStyle w:val="PBACheading10"/>
        <w:keepNext/>
        <w:keepLines/>
        <w:rPr>
          <w:b/>
        </w:rPr>
      </w:pPr>
      <w:bookmarkStart w:id="6" w:name="_Toc409532702"/>
      <w:r w:rsidRPr="00881BD2">
        <w:rPr>
          <w:b/>
        </w:rPr>
        <w:t>Purpose of Application</w:t>
      </w:r>
      <w:bookmarkEnd w:id="6"/>
    </w:p>
    <w:p w:rsidR="00726F0B" w:rsidRPr="00881BD2" w:rsidRDefault="00726F0B" w:rsidP="001E4453">
      <w:pPr>
        <w:keepNext/>
        <w:keepLines/>
        <w:rPr>
          <w:szCs w:val="22"/>
        </w:rPr>
      </w:pPr>
    </w:p>
    <w:p w:rsidR="00726F0B" w:rsidRPr="00881BD2" w:rsidRDefault="00726F0B" w:rsidP="001E4453">
      <w:pPr>
        <w:pStyle w:val="ListParagraph"/>
        <w:keepNext/>
        <w:keepLines/>
        <w:numPr>
          <w:ilvl w:val="1"/>
          <w:numId w:val="14"/>
        </w:numPr>
        <w:ind w:left="720" w:hanging="720"/>
        <w:rPr>
          <w:szCs w:val="22"/>
        </w:rPr>
      </w:pPr>
      <w:r w:rsidRPr="00881BD2">
        <w:rPr>
          <w:szCs w:val="22"/>
        </w:rPr>
        <w:t xml:space="preserve">The submission sought Section 100 Efficient funding of chemotherapy listing for </w:t>
      </w:r>
      <w:proofErr w:type="spellStart"/>
      <w:r w:rsidRPr="00881BD2">
        <w:rPr>
          <w:szCs w:val="22"/>
        </w:rPr>
        <w:t>obinutuzumab</w:t>
      </w:r>
      <w:proofErr w:type="spellEnd"/>
      <w:r w:rsidRPr="00881BD2">
        <w:rPr>
          <w:szCs w:val="22"/>
        </w:rPr>
        <w:t xml:space="preserve"> in combination with chlorambucil for </w:t>
      </w:r>
      <w:r w:rsidR="00C339CB">
        <w:rPr>
          <w:szCs w:val="22"/>
        </w:rPr>
        <w:t xml:space="preserve">the </w:t>
      </w:r>
      <w:r w:rsidRPr="00881BD2">
        <w:rPr>
          <w:szCs w:val="22"/>
        </w:rPr>
        <w:t>treatment of chronic lymphocytic</w:t>
      </w:r>
      <w:r w:rsidRPr="00881BD2">
        <w:t xml:space="preserve"> leukaemia (CLL) in unfit elderly patients with comorbidities. The first submission was considered by the PBAC in July 2014.</w:t>
      </w:r>
    </w:p>
    <w:p w:rsidR="00726F0B" w:rsidRDefault="00726F0B" w:rsidP="00726F0B"/>
    <w:p w:rsidR="008E27AE" w:rsidRPr="00881BD2" w:rsidRDefault="008E27AE" w:rsidP="00726F0B"/>
    <w:p w:rsidR="00726F0B" w:rsidRPr="00881BD2" w:rsidRDefault="00726F0B" w:rsidP="000872CE">
      <w:pPr>
        <w:pStyle w:val="PBACheading10"/>
        <w:rPr>
          <w:b/>
        </w:rPr>
      </w:pPr>
      <w:bookmarkStart w:id="7" w:name="_Toc409532703"/>
      <w:r w:rsidRPr="00881BD2">
        <w:rPr>
          <w:b/>
        </w:rPr>
        <w:t>Requested listing</w:t>
      </w:r>
      <w:bookmarkEnd w:id="7"/>
    </w:p>
    <w:p w:rsidR="00726F0B" w:rsidRPr="00881BD2" w:rsidRDefault="00726F0B" w:rsidP="00726F0B"/>
    <w:p w:rsidR="00726F0B" w:rsidRPr="00881BD2" w:rsidRDefault="002655AC" w:rsidP="001F2CBF">
      <w:pPr>
        <w:pStyle w:val="ListParagraph"/>
        <w:widowControl/>
        <w:numPr>
          <w:ilvl w:val="1"/>
          <w:numId w:val="5"/>
        </w:numPr>
        <w:rPr>
          <w:szCs w:val="22"/>
        </w:rPr>
      </w:pPr>
      <w:r>
        <w:rPr>
          <w:szCs w:val="22"/>
        </w:rPr>
        <w:t>A summary of the requested listing is outlined below.</w:t>
      </w:r>
    </w:p>
    <w:p w:rsidR="002162B6" w:rsidRPr="00881BD2" w:rsidRDefault="002162B6" w:rsidP="002162B6">
      <w:pPr>
        <w:pStyle w:val="ListParagraph"/>
        <w:widowControl/>
        <w:rPr>
          <w:szCs w:val="22"/>
        </w:rPr>
      </w:pPr>
    </w:p>
    <w:tbl>
      <w:tblPr>
        <w:tblW w:w="4605" w:type="pct"/>
        <w:tblInd w:w="736" w:type="dxa"/>
        <w:tblCellMar>
          <w:left w:w="28" w:type="dxa"/>
          <w:right w:w="28" w:type="dxa"/>
        </w:tblCellMar>
        <w:tblLook w:val="0000" w:firstRow="0" w:lastRow="0" w:firstColumn="0" w:lastColumn="0" w:noHBand="0" w:noVBand="0"/>
      </w:tblPr>
      <w:tblGrid>
        <w:gridCol w:w="2614"/>
        <w:gridCol w:w="82"/>
        <w:gridCol w:w="499"/>
        <w:gridCol w:w="495"/>
        <w:gridCol w:w="570"/>
        <w:gridCol w:w="1661"/>
        <w:gridCol w:w="294"/>
        <w:gridCol w:w="659"/>
        <w:gridCol w:w="1476"/>
        <w:gridCol w:w="15"/>
      </w:tblGrid>
      <w:tr w:rsidR="00726F0B" w:rsidRPr="00881BD2" w:rsidTr="00F70BD6">
        <w:trPr>
          <w:gridAfter w:val="1"/>
          <w:wAfter w:w="10" w:type="pct"/>
          <w:cantSplit/>
          <w:trHeight w:val="471"/>
        </w:trPr>
        <w:tc>
          <w:tcPr>
            <w:tcW w:w="1562" w:type="pct"/>
            <w:tcBorders>
              <w:bottom w:val="single" w:sz="4" w:space="0" w:color="auto"/>
            </w:tcBorders>
            <w:vAlign w:val="center"/>
          </w:tcPr>
          <w:p w:rsidR="00726F0B" w:rsidRPr="00881BD2" w:rsidRDefault="00726F0B" w:rsidP="00F70BD6">
            <w:pPr>
              <w:keepNext/>
              <w:jc w:val="left"/>
              <w:rPr>
                <w:sz w:val="20"/>
              </w:rPr>
            </w:pPr>
            <w:r w:rsidRPr="00881BD2">
              <w:rPr>
                <w:sz w:val="20"/>
              </w:rPr>
              <w:t>Name, Restriction,</w:t>
            </w:r>
          </w:p>
          <w:p w:rsidR="00726F0B" w:rsidRPr="00881BD2" w:rsidRDefault="00726F0B" w:rsidP="00F70BD6">
            <w:pPr>
              <w:keepNext/>
              <w:jc w:val="left"/>
              <w:rPr>
                <w:sz w:val="20"/>
              </w:rPr>
            </w:pPr>
            <w:r w:rsidRPr="00881BD2">
              <w:rPr>
                <w:sz w:val="20"/>
              </w:rPr>
              <w:t>Manner of administration and form</w:t>
            </w:r>
          </w:p>
        </w:tc>
        <w:tc>
          <w:tcPr>
            <w:tcW w:w="347" w:type="pct"/>
            <w:gridSpan w:val="2"/>
            <w:tcBorders>
              <w:bottom w:val="single" w:sz="4" w:space="0" w:color="auto"/>
            </w:tcBorders>
            <w:vAlign w:val="center"/>
          </w:tcPr>
          <w:p w:rsidR="00726F0B" w:rsidRPr="00881BD2" w:rsidRDefault="00726F0B" w:rsidP="00F70BD6">
            <w:pPr>
              <w:keepNext/>
              <w:jc w:val="center"/>
              <w:rPr>
                <w:sz w:val="20"/>
              </w:rPr>
            </w:pPr>
            <w:r w:rsidRPr="00881BD2">
              <w:rPr>
                <w:sz w:val="20"/>
              </w:rPr>
              <w:t>Max.</w:t>
            </w:r>
          </w:p>
          <w:p w:rsidR="00726F0B" w:rsidRPr="00881BD2" w:rsidRDefault="00726F0B" w:rsidP="00F70BD6">
            <w:pPr>
              <w:keepNext/>
              <w:jc w:val="center"/>
              <w:rPr>
                <w:sz w:val="20"/>
              </w:rPr>
            </w:pPr>
            <w:proofErr w:type="spellStart"/>
            <w:r w:rsidRPr="00881BD2">
              <w:rPr>
                <w:sz w:val="20"/>
              </w:rPr>
              <w:t>Qty</w:t>
            </w:r>
            <w:proofErr w:type="spellEnd"/>
          </w:p>
        </w:tc>
        <w:tc>
          <w:tcPr>
            <w:tcW w:w="636" w:type="pct"/>
            <w:gridSpan w:val="2"/>
            <w:tcBorders>
              <w:bottom w:val="single" w:sz="4" w:space="0" w:color="auto"/>
            </w:tcBorders>
            <w:vAlign w:val="center"/>
          </w:tcPr>
          <w:p w:rsidR="00726F0B" w:rsidRPr="00881BD2" w:rsidRDefault="00726F0B" w:rsidP="00F70BD6">
            <w:pPr>
              <w:keepNext/>
              <w:jc w:val="center"/>
              <w:rPr>
                <w:sz w:val="20"/>
              </w:rPr>
            </w:pPr>
            <w:r w:rsidRPr="00881BD2">
              <w:rPr>
                <w:sz w:val="20"/>
              </w:rPr>
              <w:t>№.of</w:t>
            </w:r>
          </w:p>
          <w:p w:rsidR="00726F0B" w:rsidRPr="00881BD2" w:rsidRDefault="00726F0B" w:rsidP="00F70BD6">
            <w:pPr>
              <w:keepNext/>
              <w:jc w:val="center"/>
              <w:rPr>
                <w:sz w:val="20"/>
              </w:rPr>
            </w:pPr>
            <w:proofErr w:type="spellStart"/>
            <w:r w:rsidRPr="00881BD2">
              <w:rPr>
                <w:sz w:val="20"/>
              </w:rPr>
              <w:t>Rpts</w:t>
            </w:r>
            <w:proofErr w:type="spellEnd"/>
          </w:p>
        </w:tc>
        <w:tc>
          <w:tcPr>
            <w:tcW w:w="993" w:type="pct"/>
            <w:tcBorders>
              <w:bottom w:val="single" w:sz="4" w:space="0" w:color="auto"/>
            </w:tcBorders>
            <w:vAlign w:val="center"/>
          </w:tcPr>
          <w:p w:rsidR="00726F0B" w:rsidRPr="00881BD2" w:rsidRDefault="00726F0B" w:rsidP="00F70BD6">
            <w:pPr>
              <w:keepNext/>
              <w:jc w:val="center"/>
              <w:rPr>
                <w:sz w:val="20"/>
              </w:rPr>
            </w:pPr>
            <w:r w:rsidRPr="00881BD2">
              <w:rPr>
                <w:sz w:val="20"/>
              </w:rPr>
              <w:t xml:space="preserve">Dispensed Price for Max. </w:t>
            </w:r>
            <w:proofErr w:type="spellStart"/>
            <w:r w:rsidRPr="00881BD2">
              <w:rPr>
                <w:sz w:val="20"/>
              </w:rPr>
              <w:t>Qty</w:t>
            </w:r>
            <w:proofErr w:type="spellEnd"/>
          </w:p>
        </w:tc>
        <w:tc>
          <w:tcPr>
            <w:tcW w:w="1452" w:type="pct"/>
            <w:gridSpan w:val="3"/>
            <w:tcBorders>
              <w:bottom w:val="single" w:sz="4" w:space="0" w:color="auto"/>
            </w:tcBorders>
            <w:vAlign w:val="center"/>
          </w:tcPr>
          <w:p w:rsidR="00726F0B" w:rsidRPr="00881BD2" w:rsidRDefault="00726F0B" w:rsidP="00F70BD6">
            <w:pPr>
              <w:keepNext/>
              <w:jc w:val="center"/>
              <w:rPr>
                <w:sz w:val="20"/>
              </w:rPr>
            </w:pPr>
            <w:r w:rsidRPr="00881BD2">
              <w:rPr>
                <w:sz w:val="20"/>
              </w:rPr>
              <w:t>Proprietary Name and Manufacturer</w:t>
            </w:r>
          </w:p>
        </w:tc>
      </w:tr>
      <w:tr w:rsidR="00726F0B" w:rsidRPr="00881BD2" w:rsidTr="00F70BD6">
        <w:trPr>
          <w:cantSplit/>
          <w:trHeight w:val="567"/>
        </w:trPr>
        <w:tc>
          <w:tcPr>
            <w:tcW w:w="1611" w:type="pct"/>
            <w:gridSpan w:val="2"/>
            <w:vAlign w:val="center"/>
          </w:tcPr>
          <w:p w:rsidR="00726F0B" w:rsidRPr="00881BD2" w:rsidRDefault="00726F0B" w:rsidP="00F70BD6">
            <w:pPr>
              <w:pStyle w:val="Tabletext"/>
            </w:pPr>
            <w:r w:rsidRPr="00881BD2">
              <w:rPr>
                <w:smallCaps/>
              </w:rPr>
              <w:t>OBINUTUZUMAB</w:t>
            </w:r>
          </w:p>
          <w:p w:rsidR="00726F0B" w:rsidRPr="00881BD2" w:rsidRDefault="00726F0B" w:rsidP="00F70BD6">
            <w:pPr>
              <w:pStyle w:val="Tabletext"/>
            </w:pPr>
            <w:r w:rsidRPr="00881BD2">
              <w:t>solution for intravenous infusion</w:t>
            </w:r>
          </w:p>
          <w:p w:rsidR="00726F0B" w:rsidRPr="00881BD2" w:rsidRDefault="00726F0B" w:rsidP="00F70BD6">
            <w:pPr>
              <w:pStyle w:val="Tabletext"/>
            </w:pPr>
            <w:r w:rsidRPr="00881BD2">
              <w:t>1,000 mg in 40 mL</w:t>
            </w:r>
          </w:p>
        </w:tc>
        <w:tc>
          <w:tcPr>
            <w:tcW w:w="594" w:type="pct"/>
            <w:gridSpan w:val="2"/>
            <w:vAlign w:val="center"/>
          </w:tcPr>
          <w:p w:rsidR="00726F0B" w:rsidRPr="00881BD2" w:rsidRDefault="00726F0B" w:rsidP="00F70BD6">
            <w:pPr>
              <w:pStyle w:val="Tabletext"/>
            </w:pPr>
            <w:r w:rsidRPr="00881BD2">
              <w:t>1,000 mg</w:t>
            </w:r>
          </w:p>
        </w:tc>
        <w:tc>
          <w:tcPr>
            <w:tcW w:w="341" w:type="pct"/>
            <w:vAlign w:val="center"/>
          </w:tcPr>
          <w:p w:rsidR="00726F0B" w:rsidRPr="00881BD2" w:rsidRDefault="00726F0B" w:rsidP="00F70BD6">
            <w:pPr>
              <w:pStyle w:val="Tabletext"/>
            </w:pPr>
            <w:r w:rsidRPr="00881BD2">
              <w:t>7</w:t>
            </w:r>
          </w:p>
        </w:tc>
        <w:tc>
          <w:tcPr>
            <w:tcW w:w="1169" w:type="pct"/>
            <w:gridSpan w:val="2"/>
            <w:vAlign w:val="center"/>
          </w:tcPr>
          <w:p w:rsidR="00726F0B" w:rsidRPr="00881BD2" w:rsidRDefault="00726F0B" w:rsidP="00F70BD6">
            <w:pPr>
              <w:pStyle w:val="Tabletext"/>
            </w:pPr>
            <w:r w:rsidRPr="00881BD2">
              <w:t>Public hospital:</w:t>
            </w:r>
          </w:p>
          <w:p w:rsidR="00726F0B" w:rsidRPr="00881BD2" w:rsidRDefault="00726F0B" w:rsidP="00F70BD6">
            <w:pPr>
              <w:pStyle w:val="Tabletext"/>
            </w:pPr>
            <w:r w:rsidRPr="00881BD2">
              <w:t>Published $</w:t>
            </w:r>
            <w:r w:rsidR="005079C4">
              <w:rPr>
                <w:noProof/>
                <w:color w:val="000000"/>
                <w:highlight w:val="black"/>
              </w:rPr>
              <w:t>''''''''''''''''''''</w:t>
            </w:r>
          </w:p>
          <w:p w:rsidR="00726F0B" w:rsidRPr="00881BD2" w:rsidRDefault="00726F0B" w:rsidP="00F70BD6">
            <w:pPr>
              <w:pStyle w:val="Tabletext"/>
            </w:pPr>
            <w:r w:rsidRPr="00881BD2">
              <w:t>Effective $</w:t>
            </w:r>
            <w:r w:rsidR="005079C4">
              <w:rPr>
                <w:noProof/>
                <w:color w:val="000000"/>
                <w:highlight w:val="black"/>
              </w:rPr>
              <w:t>''''''''''''''''''''''</w:t>
            </w:r>
          </w:p>
          <w:p w:rsidR="00726F0B" w:rsidRPr="00881BD2" w:rsidRDefault="00726F0B" w:rsidP="00F70BD6">
            <w:pPr>
              <w:pStyle w:val="Tabletext"/>
            </w:pPr>
          </w:p>
          <w:p w:rsidR="00726F0B" w:rsidRPr="00881BD2" w:rsidRDefault="00726F0B" w:rsidP="00F70BD6">
            <w:pPr>
              <w:pStyle w:val="Tabletext"/>
            </w:pPr>
            <w:r w:rsidRPr="00881BD2">
              <w:t>Private hospital:</w:t>
            </w:r>
          </w:p>
          <w:p w:rsidR="00726F0B" w:rsidRPr="00881BD2" w:rsidRDefault="00726F0B" w:rsidP="00F70BD6">
            <w:pPr>
              <w:pStyle w:val="Tabletext"/>
            </w:pPr>
            <w:r w:rsidRPr="00881BD2">
              <w:t>Published $</w:t>
            </w:r>
            <w:r w:rsidR="005079C4">
              <w:rPr>
                <w:noProof/>
                <w:color w:val="000000"/>
                <w:highlight w:val="black"/>
              </w:rPr>
              <w:t>''''''''''''''''''''''</w:t>
            </w:r>
          </w:p>
          <w:p w:rsidR="00726F0B" w:rsidRPr="00881BD2" w:rsidRDefault="00726F0B" w:rsidP="00F70BD6">
            <w:pPr>
              <w:pStyle w:val="Tabletext"/>
            </w:pPr>
            <w:r w:rsidRPr="00881BD2">
              <w:t>Effective $</w:t>
            </w:r>
            <w:r w:rsidR="005079C4">
              <w:rPr>
                <w:noProof/>
                <w:color w:val="000000"/>
                <w:highlight w:val="black"/>
              </w:rPr>
              <w:t>'''''''''''''''''''</w:t>
            </w:r>
          </w:p>
        </w:tc>
        <w:tc>
          <w:tcPr>
            <w:tcW w:w="394" w:type="pct"/>
            <w:vAlign w:val="center"/>
          </w:tcPr>
          <w:p w:rsidR="00726F0B" w:rsidRPr="00881BD2" w:rsidRDefault="00726F0B" w:rsidP="00F70BD6">
            <w:pPr>
              <w:pStyle w:val="Tabletext"/>
            </w:pPr>
            <w:proofErr w:type="spellStart"/>
            <w:r w:rsidRPr="00881BD2">
              <w:t>Gazyva</w:t>
            </w:r>
            <w:proofErr w:type="spellEnd"/>
          </w:p>
        </w:tc>
        <w:tc>
          <w:tcPr>
            <w:tcW w:w="892" w:type="pct"/>
            <w:gridSpan w:val="2"/>
            <w:vAlign w:val="center"/>
          </w:tcPr>
          <w:p w:rsidR="00726F0B" w:rsidRPr="00881BD2" w:rsidRDefault="00726F0B" w:rsidP="00F70BD6">
            <w:pPr>
              <w:pStyle w:val="Tabletext"/>
            </w:pPr>
            <w:r w:rsidRPr="00881BD2">
              <w:t>Roche Products Pty Ltd</w:t>
            </w:r>
          </w:p>
        </w:tc>
      </w:tr>
      <w:tr w:rsidR="00726F0B" w:rsidRPr="00881BD2" w:rsidTr="00F70BD6">
        <w:trPr>
          <w:cantSplit/>
          <w:trHeight w:val="354"/>
        </w:trPr>
        <w:tc>
          <w:tcPr>
            <w:tcW w:w="5000" w:type="pct"/>
            <w:gridSpan w:val="10"/>
            <w:vAlign w:val="center"/>
          </w:tcPr>
          <w:p w:rsidR="00726F0B" w:rsidRPr="002C2CE8" w:rsidRDefault="00726F0B" w:rsidP="00F70BD6">
            <w:pPr>
              <w:jc w:val="left"/>
              <w:rPr>
                <w:rFonts w:ascii="Arial Narrow" w:hAnsi="Arial Narrow"/>
                <w:b/>
                <w:sz w:val="20"/>
                <w:u w:val="single"/>
              </w:rPr>
            </w:pPr>
            <w:r w:rsidRPr="002C2CE8">
              <w:rPr>
                <w:rFonts w:ascii="Arial Narrow" w:hAnsi="Arial Narrow"/>
                <w:b/>
                <w:sz w:val="20"/>
                <w:u w:val="single"/>
              </w:rPr>
              <w:t>Section 100 Efficient funding of chemotherapy</w:t>
            </w:r>
          </w:p>
          <w:p w:rsidR="00726F0B" w:rsidRPr="002C2CE8" w:rsidRDefault="00726F0B" w:rsidP="00F70BD6">
            <w:pPr>
              <w:jc w:val="left"/>
              <w:rPr>
                <w:rFonts w:ascii="Arial Narrow" w:hAnsi="Arial Narrow"/>
                <w:sz w:val="20"/>
              </w:rPr>
            </w:pPr>
            <w:r w:rsidRPr="002C2CE8">
              <w:rPr>
                <w:rFonts w:ascii="Arial Narrow" w:hAnsi="Arial Narrow"/>
                <w:sz w:val="20"/>
              </w:rPr>
              <w:t>Patient must have CD20 positive chronic lymphocytic leukaemia (CLL), AND</w:t>
            </w:r>
          </w:p>
          <w:p w:rsidR="00726F0B" w:rsidRPr="002C2CE8" w:rsidRDefault="00726F0B" w:rsidP="00F70BD6">
            <w:pPr>
              <w:jc w:val="left"/>
              <w:rPr>
                <w:rFonts w:ascii="Arial Narrow" w:hAnsi="Arial Narrow"/>
                <w:sz w:val="20"/>
              </w:rPr>
            </w:pPr>
            <w:r w:rsidRPr="002C2CE8">
              <w:rPr>
                <w:rFonts w:ascii="Arial Narrow" w:hAnsi="Arial Narrow"/>
                <w:sz w:val="20"/>
              </w:rPr>
              <w:t>The condition must be previously untreated, AND</w:t>
            </w:r>
          </w:p>
          <w:p w:rsidR="00726F0B" w:rsidRPr="002C2CE8" w:rsidRDefault="00726F0B" w:rsidP="00F70BD6">
            <w:pPr>
              <w:jc w:val="left"/>
              <w:rPr>
                <w:rFonts w:ascii="Arial Narrow" w:hAnsi="Arial Narrow"/>
                <w:sz w:val="20"/>
              </w:rPr>
            </w:pPr>
            <w:r w:rsidRPr="002C2CE8">
              <w:rPr>
                <w:rFonts w:ascii="Arial Narrow" w:hAnsi="Arial Narrow"/>
                <w:sz w:val="20"/>
              </w:rPr>
              <w:t xml:space="preserve">The treatment must be in combination with chlorambucil, AND </w:t>
            </w:r>
          </w:p>
          <w:p w:rsidR="00726F0B" w:rsidRPr="002C2CE8" w:rsidRDefault="00726F0B" w:rsidP="00F70BD6">
            <w:pPr>
              <w:jc w:val="left"/>
              <w:rPr>
                <w:rFonts w:ascii="Arial Narrow" w:hAnsi="Arial Narrow"/>
                <w:sz w:val="20"/>
              </w:rPr>
            </w:pPr>
            <w:r w:rsidRPr="002C2CE8">
              <w:rPr>
                <w:rFonts w:ascii="Arial Narrow" w:hAnsi="Arial Narrow"/>
                <w:sz w:val="20"/>
              </w:rPr>
              <w:t>Patient must have a creatinine clearance 30 mL/min or greater, AND</w:t>
            </w:r>
          </w:p>
          <w:p w:rsidR="00726F0B" w:rsidRPr="002C2CE8" w:rsidRDefault="00726F0B" w:rsidP="00F70BD6">
            <w:pPr>
              <w:jc w:val="left"/>
              <w:rPr>
                <w:rFonts w:ascii="Arial Narrow" w:hAnsi="Arial Narrow"/>
                <w:sz w:val="20"/>
              </w:rPr>
            </w:pPr>
            <w:r w:rsidRPr="002C2CE8">
              <w:rPr>
                <w:rFonts w:ascii="Arial Narrow" w:hAnsi="Arial Narrow"/>
                <w:sz w:val="20"/>
              </w:rPr>
              <w:t>Patient must have a creatinine clearance less than 70 mL/min; OR</w:t>
            </w:r>
          </w:p>
          <w:p w:rsidR="00726F0B" w:rsidRPr="00881BD2" w:rsidRDefault="00726F0B" w:rsidP="00F70BD6">
            <w:pPr>
              <w:jc w:val="left"/>
              <w:rPr>
                <w:sz w:val="20"/>
              </w:rPr>
            </w:pPr>
            <w:r w:rsidRPr="002C2CE8">
              <w:rPr>
                <w:rFonts w:ascii="Arial Narrow" w:hAnsi="Arial Narrow"/>
                <w:sz w:val="20"/>
              </w:rPr>
              <w:t>Patient must have a total cumulative illness rating scale (CIRS) score of greater than 6 (excluding CLL-induced illness or organ damage).</w:t>
            </w:r>
          </w:p>
        </w:tc>
      </w:tr>
    </w:tbl>
    <w:p w:rsidR="00726F0B" w:rsidRPr="00881BD2" w:rsidRDefault="00726F0B" w:rsidP="00726F0B"/>
    <w:p w:rsidR="00726F0B" w:rsidRPr="00881BD2" w:rsidRDefault="00726F0B" w:rsidP="001F2CBF">
      <w:pPr>
        <w:pStyle w:val="ListParagraph"/>
        <w:widowControl/>
        <w:numPr>
          <w:ilvl w:val="1"/>
          <w:numId w:val="5"/>
        </w:numPr>
        <w:rPr>
          <w:szCs w:val="22"/>
        </w:rPr>
      </w:pPr>
      <w:r w:rsidRPr="00881BD2">
        <w:rPr>
          <w:szCs w:val="22"/>
        </w:rPr>
        <w:t xml:space="preserve">The basis for the requested PBS listing was a cost-utility </w:t>
      </w:r>
      <w:r w:rsidR="000E536C" w:rsidRPr="00881BD2">
        <w:rPr>
          <w:szCs w:val="22"/>
        </w:rPr>
        <w:t>analysis</w:t>
      </w:r>
      <w:r w:rsidRPr="00881BD2">
        <w:rPr>
          <w:szCs w:val="22"/>
        </w:rPr>
        <w:t xml:space="preserve"> </w:t>
      </w:r>
      <w:r w:rsidR="00AF490B">
        <w:rPr>
          <w:szCs w:val="22"/>
        </w:rPr>
        <w:t>using</w:t>
      </w:r>
      <w:r w:rsidRPr="00881BD2">
        <w:rPr>
          <w:szCs w:val="22"/>
        </w:rPr>
        <w:t xml:space="preserve"> two comparators: rituximab plus chlorambucil and chlorambucil monotherapy.</w:t>
      </w:r>
      <w:r w:rsidRPr="00881BD2">
        <w:rPr>
          <w:color w:val="0066FF"/>
          <w:szCs w:val="22"/>
        </w:rPr>
        <w:t xml:space="preserve"> </w:t>
      </w:r>
    </w:p>
    <w:p w:rsidR="00726F0B" w:rsidRDefault="00726F0B" w:rsidP="00726F0B"/>
    <w:p w:rsidR="00726F0B" w:rsidRPr="009A0A32" w:rsidRDefault="00726F0B" w:rsidP="001F2CBF">
      <w:pPr>
        <w:pStyle w:val="ListParagraph"/>
        <w:widowControl/>
        <w:numPr>
          <w:ilvl w:val="1"/>
          <w:numId w:val="5"/>
        </w:numPr>
        <w:rPr>
          <w:szCs w:val="22"/>
        </w:rPr>
      </w:pPr>
      <w:r w:rsidRPr="009A0A32">
        <w:rPr>
          <w:szCs w:val="22"/>
        </w:rPr>
        <w:t>In comparison with the previous submission, the proposed restriction</w:t>
      </w:r>
      <w:r w:rsidR="00404F35" w:rsidRPr="009A0A32">
        <w:rPr>
          <w:szCs w:val="22"/>
        </w:rPr>
        <w:t xml:space="preserve"> was amended to be based</w:t>
      </w:r>
      <w:r w:rsidR="00AF490B" w:rsidRPr="002C2CE8">
        <w:rPr>
          <w:szCs w:val="22"/>
        </w:rPr>
        <w:t xml:space="preserve"> on</w:t>
      </w:r>
      <w:r w:rsidR="00404F35" w:rsidRPr="002C2CE8">
        <w:rPr>
          <w:szCs w:val="22"/>
        </w:rPr>
        <w:t xml:space="preserve"> the CLL11 trial inclusion and exclusion criteria, as requested by the PBAC in July 2014. </w:t>
      </w:r>
      <w:r w:rsidR="00AF490B" w:rsidRPr="002C2CE8">
        <w:rPr>
          <w:szCs w:val="22"/>
        </w:rPr>
        <w:t>Therefore</w:t>
      </w:r>
      <w:r w:rsidR="00404F35" w:rsidRPr="002C2CE8">
        <w:rPr>
          <w:szCs w:val="22"/>
        </w:rPr>
        <w:t>, the proposed restriction included</w:t>
      </w:r>
      <w:r w:rsidRPr="009A0A32">
        <w:rPr>
          <w:szCs w:val="22"/>
        </w:rPr>
        <w:t>:</w:t>
      </w:r>
    </w:p>
    <w:p w:rsidR="00726F0B" w:rsidRPr="00881BD2" w:rsidRDefault="00404F35" w:rsidP="001F2CBF">
      <w:pPr>
        <w:pStyle w:val="ListParagraph"/>
        <w:numPr>
          <w:ilvl w:val="1"/>
          <w:numId w:val="10"/>
        </w:numPr>
        <w:rPr>
          <w:szCs w:val="22"/>
        </w:rPr>
      </w:pPr>
      <w:r w:rsidRPr="00881BD2">
        <w:rPr>
          <w:szCs w:val="22"/>
        </w:rPr>
        <w:t xml:space="preserve">The addition of </w:t>
      </w:r>
      <w:r w:rsidR="00726F0B" w:rsidRPr="00881BD2">
        <w:rPr>
          <w:szCs w:val="22"/>
        </w:rPr>
        <w:t>a criterion of creatinine clearance 30 mL/min or greater, in line with the key trial, which could prevent the use</w:t>
      </w:r>
      <w:r w:rsidR="00AF490B">
        <w:rPr>
          <w:szCs w:val="22"/>
        </w:rPr>
        <w:t xml:space="preserve"> of </w:t>
      </w:r>
      <w:proofErr w:type="spellStart"/>
      <w:r w:rsidR="00AF490B">
        <w:rPr>
          <w:szCs w:val="22"/>
        </w:rPr>
        <w:t>obinutuzumab</w:t>
      </w:r>
      <w:proofErr w:type="spellEnd"/>
      <w:r w:rsidR="00726F0B" w:rsidRPr="00881BD2">
        <w:rPr>
          <w:szCs w:val="22"/>
        </w:rPr>
        <w:t xml:space="preserve"> in medically frail patients;</w:t>
      </w:r>
    </w:p>
    <w:p w:rsidR="00E179CB" w:rsidRPr="00833A99" w:rsidRDefault="00726F0B" w:rsidP="00E179CB">
      <w:pPr>
        <w:pStyle w:val="ListParagraph"/>
        <w:numPr>
          <w:ilvl w:val="1"/>
          <w:numId w:val="10"/>
        </w:numPr>
      </w:pPr>
      <w:r w:rsidRPr="00881BD2">
        <w:rPr>
          <w:szCs w:val="22"/>
        </w:rPr>
        <w:t>Clarifi</w:t>
      </w:r>
      <w:r w:rsidR="00404F35" w:rsidRPr="00881BD2">
        <w:rPr>
          <w:szCs w:val="22"/>
        </w:rPr>
        <w:t>cation</w:t>
      </w:r>
      <w:r w:rsidRPr="00881BD2">
        <w:rPr>
          <w:szCs w:val="22"/>
        </w:rPr>
        <w:t xml:space="preserve"> that the cumulative illness rating scale (CIRS) score criterion excluded </w:t>
      </w:r>
      <w:r w:rsidRPr="00833A99">
        <w:rPr>
          <w:szCs w:val="22"/>
        </w:rPr>
        <w:t>illness or organ damage caused by CLL.</w:t>
      </w:r>
      <w:r w:rsidR="000E536C" w:rsidRPr="00833A99">
        <w:rPr>
          <w:szCs w:val="22"/>
        </w:rPr>
        <w:t xml:space="preserve"> </w:t>
      </w:r>
    </w:p>
    <w:p w:rsidR="00726F0B" w:rsidRPr="00833A99" w:rsidRDefault="00726F0B" w:rsidP="00726F0B"/>
    <w:p w:rsidR="00415B4E" w:rsidRPr="00833A99" w:rsidRDefault="00415B4E" w:rsidP="00B7043D">
      <w:pPr>
        <w:pStyle w:val="ListParagraph"/>
        <w:widowControl/>
        <w:numPr>
          <w:ilvl w:val="1"/>
          <w:numId w:val="5"/>
        </w:numPr>
        <w:rPr>
          <w:szCs w:val="22"/>
        </w:rPr>
      </w:pPr>
      <w:r w:rsidRPr="00833A99">
        <w:rPr>
          <w:szCs w:val="22"/>
        </w:rPr>
        <w:t xml:space="preserve">The PBAC recalled the concerns raised by the ESC and DUSC in relation to the July 2014 submission for </w:t>
      </w:r>
      <w:proofErr w:type="spellStart"/>
      <w:r w:rsidRPr="00833A99">
        <w:rPr>
          <w:szCs w:val="22"/>
        </w:rPr>
        <w:t>obinutuzumab</w:t>
      </w:r>
      <w:proofErr w:type="spellEnd"/>
      <w:r w:rsidRPr="00833A99">
        <w:rPr>
          <w:szCs w:val="22"/>
        </w:rPr>
        <w:t xml:space="preserve">, that “there is potential for patients who are </w:t>
      </w:r>
      <w:r w:rsidRPr="00833A99">
        <w:rPr>
          <w:szCs w:val="22"/>
        </w:rPr>
        <w:lastRenderedPageBreak/>
        <w:t xml:space="preserve">‘medically fit’ to be considered eligible for </w:t>
      </w:r>
      <w:proofErr w:type="spellStart"/>
      <w:r w:rsidRPr="00833A99">
        <w:rPr>
          <w:szCs w:val="22"/>
        </w:rPr>
        <w:t>obinutuzumab</w:t>
      </w:r>
      <w:proofErr w:type="spellEnd"/>
      <w:r w:rsidRPr="00833A99">
        <w:rPr>
          <w:szCs w:val="22"/>
        </w:rPr>
        <w:t xml:space="preserve"> because: the CIRS involves assessments that may be considered to be subjective; assessment of comorbidity other than CLL may be difficult to determine; and many patients would attain a score greater than six including some patients who may be eligible for fludarabine.” (Paragraph 2.2, July 2014 Minutes, </w:t>
      </w:r>
      <w:proofErr w:type="spellStart"/>
      <w:r w:rsidRPr="00833A99">
        <w:rPr>
          <w:szCs w:val="22"/>
        </w:rPr>
        <w:t>obinutuzumab</w:t>
      </w:r>
      <w:proofErr w:type="spellEnd"/>
      <w:r w:rsidRPr="00833A99">
        <w:rPr>
          <w:szCs w:val="22"/>
        </w:rPr>
        <w:t>).  Further, the PBAC had noted that the interpretation of comorbidities in clinical practice may be bro</w:t>
      </w:r>
      <w:r w:rsidR="00D008CE" w:rsidRPr="00833A99">
        <w:rPr>
          <w:szCs w:val="22"/>
        </w:rPr>
        <w:t>ader than in the clinical trial, and</w:t>
      </w:r>
      <w:r w:rsidR="000B70A5" w:rsidRPr="00833A99">
        <w:rPr>
          <w:szCs w:val="22"/>
        </w:rPr>
        <w:t xml:space="preserve"> also</w:t>
      </w:r>
      <w:r w:rsidR="00D008CE" w:rsidRPr="00833A99">
        <w:rPr>
          <w:szCs w:val="22"/>
        </w:rPr>
        <w:t xml:space="preserve"> that there is </w:t>
      </w:r>
      <w:r w:rsidR="00B7043D" w:rsidRPr="00833A99">
        <w:rPr>
          <w:szCs w:val="22"/>
        </w:rPr>
        <w:t xml:space="preserve">potential for retreatment with </w:t>
      </w:r>
      <w:proofErr w:type="spellStart"/>
      <w:r w:rsidR="00B7043D" w:rsidRPr="00833A99">
        <w:rPr>
          <w:szCs w:val="22"/>
        </w:rPr>
        <w:t>obinutuzumab</w:t>
      </w:r>
      <w:proofErr w:type="spellEnd"/>
      <w:r w:rsidR="00D008CE" w:rsidRPr="00833A99">
        <w:rPr>
          <w:szCs w:val="22"/>
        </w:rPr>
        <w:t>,</w:t>
      </w:r>
      <w:r w:rsidR="00B7043D" w:rsidRPr="00833A99">
        <w:rPr>
          <w:szCs w:val="22"/>
        </w:rPr>
        <w:t xml:space="preserve"> and potential for use after relapse or progression on other treatments.</w:t>
      </w:r>
    </w:p>
    <w:p w:rsidR="00415B4E" w:rsidRPr="00833A99" w:rsidRDefault="00415B4E" w:rsidP="00726F0B"/>
    <w:p w:rsidR="00075224" w:rsidRPr="00833A99" w:rsidRDefault="00075224" w:rsidP="00726F0B">
      <w:pPr>
        <w:rPr>
          <w:i/>
        </w:rPr>
      </w:pPr>
      <w:r w:rsidRPr="00833A99">
        <w:rPr>
          <w:i/>
        </w:rPr>
        <w:t>For more detail on PBAC’s view, see section 7 “PBAC outcome”</w:t>
      </w:r>
    </w:p>
    <w:p w:rsidR="00075224" w:rsidRDefault="00075224" w:rsidP="00726F0B"/>
    <w:p w:rsidR="008E27AE" w:rsidRPr="00833A99" w:rsidRDefault="008E27AE" w:rsidP="00726F0B"/>
    <w:p w:rsidR="000872CE" w:rsidRPr="00833A99" w:rsidRDefault="000872CE" w:rsidP="001F2CBF">
      <w:pPr>
        <w:pStyle w:val="PBACheading10"/>
        <w:numPr>
          <w:ilvl w:val="0"/>
          <w:numId w:val="5"/>
        </w:numPr>
        <w:rPr>
          <w:b/>
        </w:rPr>
      </w:pPr>
      <w:bookmarkStart w:id="8" w:name="_Toc409532704"/>
      <w:r w:rsidRPr="00833A99">
        <w:rPr>
          <w:b/>
        </w:rPr>
        <w:t>Background</w:t>
      </w:r>
      <w:bookmarkEnd w:id="8"/>
    </w:p>
    <w:p w:rsidR="001D59F6" w:rsidRPr="00833A99" w:rsidRDefault="001D59F6" w:rsidP="009F6EF6">
      <w:pPr>
        <w:pStyle w:val="ListParagraph"/>
        <w:widowControl/>
        <w:rPr>
          <w:szCs w:val="22"/>
        </w:rPr>
      </w:pPr>
    </w:p>
    <w:p w:rsidR="00726F0B" w:rsidRPr="00833A99" w:rsidRDefault="00726F0B" w:rsidP="001F2CBF">
      <w:pPr>
        <w:pStyle w:val="ListParagraph"/>
        <w:widowControl/>
        <w:numPr>
          <w:ilvl w:val="1"/>
          <w:numId w:val="5"/>
        </w:numPr>
        <w:rPr>
          <w:szCs w:val="22"/>
        </w:rPr>
      </w:pPr>
      <w:r w:rsidRPr="00833A99">
        <w:rPr>
          <w:szCs w:val="22"/>
        </w:rPr>
        <w:t>TGA status: regist</w:t>
      </w:r>
      <w:r w:rsidR="00C339CB" w:rsidRPr="00833A99">
        <w:rPr>
          <w:szCs w:val="22"/>
        </w:rPr>
        <w:t>ered</w:t>
      </w:r>
      <w:r w:rsidRPr="00833A99">
        <w:rPr>
          <w:szCs w:val="22"/>
        </w:rPr>
        <w:t xml:space="preserve"> in May 2014 for the treatment of patients with previously untreated chronic lymphocytic leukaemia.</w:t>
      </w:r>
    </w:p>
    <w:p w:rsidR="004E5ECA" w:rsidRPr="00833A99" w:rsidRDefault="004E5ECA" w:rsidP="004E5ECA">
      <w:pPr>
        <w:pStyle w:val="ListParagraph"/>
        <w:widowControl/>
        <w:rPr>
          <w:szCs w:val="22"/>
        </w:rPr>
      </w:pPr>
    </w:p>
    <w:p w:rsidR="004E5ECA" w:rsidRPr="00833A99" w:rsidRDefault="004E5ECA" w:rsidP="004E5ECA">
      <w:pPr>
        <w:pStyle w:val="ListParagraph"/>
        <w:widowControl/>
        <w:numPr>
          <w:ilvl w:val="1"/>
          <w:numId w:val="5"/>
        </w:numPr>
        <w:rPr>
          <w:szCs w:val="22"/>
        </w:rPr>
      </w:pPr>
      <w:r w:rsidRPr="00833A99">
        <w:rPr>
          <w:szCs w:val="22"/>
        </w:rPr>
        <w:t xml:space="preserve">The approved TGA indication is broader than the requested </w:t>
      </w:r>
      <w:r w:rsidR="000B70A5" w:rsidRPr="00833A99">
        <w:rPr>
          <w:szCs w:val="22"/>
        </w:rPr>
        <w:t xml:space="preserve">PBS </w:t>
      </w:r>
      <w:r w:rsidRPr="00833A99">
        <w:rPr>
          <w:szCs w:val="22"/>
        </w:rPr>
        <w:t>restriction because the TGA indication does not restrict use to patients with comorbidities (i.e. a creatinine clearance less than 70 mL/min or a total CIRS score of greater than 6).</w:t>
      </w:r>
    </w:p>
    <w:p w:rsidR="00726F0B" w:rsidRPr="00833A99" w:rsidRDefault="00726F0B" w:rsidP="001E4453">
      <w:pPr>
        <w:pStyle w:val="ListParagraph"/>
        <w:widowControl/>
        <w:rPr>
          <w:szCs w:val="22"/>
        </w:rPr>
      </w:pPr>
    </w:p>
    <w:p w:rsidR="00726F0B" w:rsidRPr="000D41E8" w:rsidRDefault="00726F0B" w:rsidP="001E4453">
      <w:pPr>
        <w:pStyle w:val="ListParagraph"/>
        <w:widowControl/>
        <w:numPr>
          <w:ilvl w:val="1"/>
          <w:numId w:val="5"/>
        </w:numPr>
        <w:rPr>
          <w:szCs w:val="22"/>
        </w:rPr>
      </w:pPr>
      <w:proofErr w:type="spellStart"/>
      <w:r w:rsidRPr="00833A99">
        <w:rPr>
          <w:szCs w:val="22"/>
        </w:rPr>
        <w:t>Obinutuzumab</w:t>
      </w:r>
      <w:proofErr w:type="spellEnd"/>
      <w:r w:rsidRPr="00833A99">
        <w:rPr>
          <w:szCs w:val="22"/>
        </w:rPr>
        <w:t xml:space="preserve"> in combination with chlorambucil for previously untreated CLL in unfit patients who had comorbidities was considered at the July 2014 PBAC meeting.</w:t>
      </w:r>
      <w:r w:rsidR="006C4803" w:rsidRPr="00833A99">
        <w:rPr>
          <w:szCs w:val="22"/>
        </w:rPr>
        <w:t xml:space="preserve"> The PBAC rejected th</w:t>
      </w:r>
      <w:r w:rsidR="005B43F9" w:rsidRPr="00833A99">
        <w:rPr>
          <w:szCs w:val="22"/>
        </w:rPr>
        <w:t>at</w:t>
      </w:r>
      <w:r w:rsidR="006C4803" w:rsidRPr="00833A99">
        <w:rPr>
          <w:szCs w:val="22"/>
        </w:rPr>
        <w:t xml:space="preserve"> submission </w:t>
      </w:r>
      <w:r w:rsidR="005B43F9" w:rsidRPr="00833A99">
        <w:rPr>
          <w:szCs w:val="22"/>
        </w:rPr>
        <w:t>on th</w:t>
      </w:r>
      <w:r w:rsidR="00AF490B" w:rsidRPr="00833A99">
        <w:rPr>
          <w:szCs w:val="22"/>
        </w:rPr>
        <w:t>e</w:t>
      </w:r>
      <w:r w:rsidR="005B43F9" w:rsidRPr="00833A99">
        <w:rPr>
          <w:szCs w:val="22"/>
        </w:rPr>
        <w:t xml:space="preserve"> basis that it had</w:t>
      </w:r>
      <w:r w:rsidR="006C4803" w:rsidRPr="00833A99">
        <w:rPr>
          <w:szCs w:val="22"/>
        </w:rPr>
        <w:t xml:space="preserve"> failed to demonstrate that </w:t>
      </w:r>
      <w:proofErr w:type="spellStart"/>
      <w:r w:rsidR="006C4803" w:rsidRPr="00833A99">
        <w:rPr>
          <w:szCs w:val="22"/>
        </w:rPr>
        <w:t>obinutuzumab</w:t>
      </w:r>
      <w:proofErr w:type="spellEnd"/>
      <w:r w:rsidR="006C4803" w:rsidRPr="00833A99">
        <w:rPr>
          <w:szCs w:val="22"/>
        </w:rPr>
        <w:t xml:space="preserve"> was cost-effective. </w:t>
      </w:r>
      <w:r w:rsidR="005B43F9" w:rsidRPr="00833A99">
        <w:rPr>
          <w:szCs w:val="22"/>
        </w:rPr>
        <w:t xml:space="preserve">The PBAC had considered </w:t>
      </w:r>
      <w:r w:rsidR="005B43F9" w:rsidRPr="002C2CE8">
        <w:rPr>
          <w:szCs w:val="22"/>
        </w:rPr>
        <w:t xml:space="preserve">that the model was unsuitable as a basis for determining the cost-effectiveness of </w:t>
      </w:r>
      <w:proofErr w:type="spellStart"/>
      <w:r w:rsidR="005B43F9" w:rsidRPr="002C2CE8">
        <w:rPr>
          <w:szCs w:val="22"/>
        </w:rPr>
        <w:t>obinutuzumab</w:t>
      </w:r>
      <w:proofErr w:type="spellEnd"/>
      <w:r w:rsidR="005B43F9">
        <w:t>.</w:t>
      </w:r>
    </w:p>
    <w:p w:rsidR="005B43F9" w:rsidRPr="00881BD2" w:rsidRDefault="005B43F9" w:rsidP="001E4453">
      <w:pPr>
        <w:pStyle w:val="ListParagraph"/>
      </w:pPr>
    </w:p>
    <w:p w:rsidR="00726F0B" w:rsidRPr="00881BD2" w:rsidRDefault="005A2F09" w:rsidP="00726F0B">
      <w:pPr>
        <w:keepNext/>
        <w:widowControl/>
        <w:ind w:firstLine="720"/>
        <w:rPr>
          <w:rStyle w:val="CommentReference"/>
        </w:rPr>
      </w:pPr>
      <w:r>
        <w:rPr>
          <w:rStyle w:val="CommentReference"/>
        </w:rPr>
        <w:t xml:space="preserve">Table 1: </w:t>
      </w:r>
      <w:r w:rsidR="00726F0B" w:rsidRPr="00881BD2">
        <w:rPr>
          <w:rStyle w:val="CommentReference"/>
        </w:rPr>
        <w:t>Summary of the previous 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Comparison between previous submission and current re-submission"/>
      </w:tblPr>
      <w:tblGrid>
        <w:gridCol w:w="851"/>
        <w:gridCol w:w="3796"/>
        <w:gridCol w:w="3796"/>
      </w:tblGrid>
      <w:tr w:rsidR="00726F0B" w:rsidRPr="00881BD2" w:rsidTr="00F70BD6">
        <w:trPr>
          <w:cantSplit/>
          <w:trHeight w:val="20"/>
          <w:tblHeader/>
        </w:trPr>
        <w:tc>
          <w:tcPr>
            <w:tcW w:w="851" w:type="dxa"/>
          </w:tcPr>
          <w:p w:rsidR="00726F0B" w:rsidRPr="002239F7" w:rsidRDefault="00726F0B" w:rsidP="00F70BD6">
            <w:pPr>
              <w:keepNext/>
              <w:widowControl/>
              <w:jc w:val="left"/>
              <w:rPr>
                <w:rFonts w:ascii="Arial Narrow" w:hAnsi="Arial Narrow"/>
                <w:sz w:val="19"/>
                <w:szCs w:val="19"/>
              </w:rPr>
            </w:pPr>
          </w:p>
        </w:tc>
        <w:tc>
          <w:tcPr>
            <w:tcW w:w="3796" w:type="dxa"/>
            <w:vAlign w:val="center"/>
          </w:tcPr>
          <w:p w:rsidR="00726F0B" w:rsidRPr="000A1967" w:rsidRDefault="00726F0B" w:rsidP="00F70BD6">
            <w:pPr>
              <w:keepNext/>
              <w:widowControl/>
              <w:jc w:val="center"/>
              <w:rPr>
                <w:rFonts w:ascii="Arial Narrow" w:hAnsi="Arial Narrow"/>
                <w:b/>
                <w:sz w:val="19"/>
                <w:szCs w:val="19"/>
              </w:rPr>
            </w:pPr>
            <w:proofErr w:type="spellStart"/>
            <w:r w:rsidRPr="000A1967">
              <w:rPr>
                <w:rFonts w:ascii="Arial Narrow" w:hAnsi="Arial Narrow"/>
                <w:b/>
                <w:sz w:val="19"/>
                <w:szCs w:val="19"/>
              </w:rPr>
              <w:t>Obinutuzumab</w:t>
            </w:r>
            <w:proofErr w:type="spellEnd"/>
            <w:r w:rsidRPr="000A1967">
              <w:rPr>
                <w:rFonts w:ascii="Arial Narrow" w:hAnsi="Arial Narrow"/>
                <w:b/>
                <w:sz w:val="19"/>
                <w:szCs w:val="19"/>
              </w:rPr>
              <w:t xml:space="preserve"> July 2014</w:t>
            </w:r>
          </w:p>
        </w:tc>
        <w:tc>
          <w:tcPr>
            <w:tcW w:w="3796" w:type="dxa"/>
            <w:vAlign w:val="center"/>
          </w:tcPr>
          <w:p w:rsidR="00726F0B" w:rsidRPr="000A1967" w:rsidRDefault="00726F0B" w:rsidP="00F70BD6">
            <w:pPr>
              <w:keepNext/>
              <w:widowControl/>
              <w:jc w:val="center"/>
              <w:rPr>
                <w:rFonts w:ascii="Arial Narrow" w:hAnsi="Arial Narrow"/>
                <w:b/>
                <w:sz w:val="19"/>
                <w:szCs w:val="19"/>
              </w:rPr>
            </w:pPr>
            <w:r w:rsidRPr="000A1967">
              <w:rPr>
                <w:rFonts w:ascii="Arial Narrow" w:hAnsi="Arial Narrow"/>
                <w:b/>
                <w:sz w:val="19"/>
                <w:szCs w:val="19"/>
              </w:rPr>
              <w:t>Current re-submission</w:t>
            </w:r>
          </w:p>
        </w:tc>
      </w:tr>
      <w:tr w:rsidR="00726F0B" w:rsidRPr="00881BD2" w:rsidTr="00F70BD6">
        <w:trPr>
          <w:cantSplit/>
          <w:trHeight w:val="20"/>
        </w:trPr>
        <w:tc>
          <w:tcPr>
            <w:tcW w:w="851" w:type="dxa"/>
          </w:tcPr>
          <w:p w:rsidR="00726F0B" w:rsidRPr="002239F7" w:rsidRDefault="00726F0B" w:rsidP="00F70BD6">
            <w:pPr>
              <w:keepNext/>
              <w:widowControl/>
              <w:jc w:val="left"/>
              <w:rPr>
                <w:rFonts w:ascii="Arial Narrow" w:hAnsi="Arial Narrow"/>
                <w:sz w:val="19"/>
                <w:szCs w:val="19"/>
              </w:rPr>
            </w:pPr>
            <w:r w:rsidRPr="002239F7">
              <w:rPr>
                <w:rFonts w:ascii="Arial Narrow" w:hAnsi="Arial Narrow"/>
                <w:sz w:val="19"/>
                <w:szCs w:val="19"/>
              </w:rPr>
              <w:t>Requested PBS listing</w:t>
            </w:r>
          </w:p>
        </w:tc>
        <w:tc>
          <w:tcPr>
            <w:tcW w:w="3796" w:type="dxa"/>
          </w:tcPr>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Patient must have CD20 positive CLL, AND</w:t>
            </w:r>
          </w:p>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The condition must be previously untreated, AND</w:t>
            </w:r>
          </w:p>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The treatment must be in combination with chlorambucil, AND</w:t>
            </w:r>
          </w:p>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Patient must have a total cumulative illness rating scale (CIRS) score of greater than 6; OR</w:t>
            </w:r>
          </w:p>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Patient must have a creatinine clearance less than 70 mL/min</w:t>
            </w:r>
          </w:p>
          <w:p w:rsidR="00726F0B" w:rsidRPr="000A1967" w:rsidRDefault="00726F0B" w:rsidP="00F70BD6">
            <w:pPr>
              <w:keepNext/>
              <w:widowControl/>
              <w:jc w:val="left"/>
              <w:rPr>
                <w:rFonts w:ascii="Arial Narrow" w:hAnsi="Arial Narrow"/>
                <w:sz w:val="19"/>
                <w:szCs w:val="19"/>
              </w:rPr>
            </w:pPr>
          </w:p>
          <w:p w:rsidR="00726F0B" w:rsidRPr="000A1967" w:rsidRDefault="00726F0B" w:rsidP="00F70BD6">
            <w:pPr>
              <w:keepNext/>
              <w:widowControl/>
              <w:jc w:val="left"/>
              <w:rPr>
                <w:rFonts w:ascii="Arial Narrow" w:hAnsi="Arial Narrow"/>
                <w:sz w:val="19"/>
                <w:szCs w:val="19"/>
              </w:rPr>
            </w:pPr>
            <w:r w:rsidRPr="000A1967">
              <w:rPr>
                <w:rFonts w:ascii="Arial Narrow" w:hAnsi="Arial Narrow"/>
                <w:b/>
                <w:sz w:val="19"/>
                <w:szCs w:val="19"/>
              </w:rPr>
              <w:t xml:space="preserve">PBAC Comment: </w:t>
            </w:r>
            <w:r w:rsidRPr="000A1967">
              <w:rPr>
                <w:rFonts w:ascii="Arial Narrow" w:hAnsi="Arial Narrow"/>
                <w:sz w:val="19"/>
                <w:szCs w:val="19"/>
              </w:rPr>
              <w:t>listing should be based around trial inclusion and exclusion criteria.</w:t>
            </w:r>
          </w:p>
        </w:tc>
        <w:tc>
          <w:tcPr>
            <w:tcW w:w="3796" w:type="dxa"/>
          </w:tcPr>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Added:</w:t>
            </w:r>
          </w:p>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Patient must have a creatinine clearance 30 mL/min or greater</w:t>
            </w:r>
          </w:p>
          <w:p w:rsidR="00726F0B" w:rsidRPr="000A1967" w:rsidRDefault="00726F0B" w:rsidP="00F70BD6">
            <w:pPr>
              <w:keepNext/>
              <w:widowControl/>
              <w:jc w:val="left"/>
              <w:rPr>
                <w:rFonts w:ascii="Arial Narrow" w:hAnsi="Arial Narrow"/>
                <w:sz w:val="19"/>
                <w:szCs w:val="19"/>
              </w:rPr>
            </w:pPr>
          </w:p>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Modified:</w:t>
            </w:r>
          </w:p>
          <w:p w:rsidR="00726F0B" w:rsidRPr="000A1967" w:rsidRDefault="00726F0B" w:rsidP="00F70BD6">
            <w:pPr>
              <w:keepNext/>
              <w:widowControl/>
              <w:jc w:val="left"/>
              <w:rPr>
                <w:rFonts w:ascii="Arial Narrow" w:hAnsi="Arial Narrow"/>
                <w:sz w:val="19"/>
                <w:szCs w:val="19"/>
              </w:rPr>
            </w:pPr>
            <w:r w:rsidRPr="000A1967">
              <w:rPr>
                <w:rFonts w:ascii="Arial Narrow" w:hAnsi="Arial Narrow"/>
                <w:sz w:val="19"/>
                <w:szCs w:val="19"/>
              </w:rPr>
              <w:t>Patient must have a total cumulative illness rating scale (CIRS) score of greater than 6 (excluding CLL-induced illness or organ damage).</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t>Requested price</w:t>
            </w:r>
          </w:p>
        </w:tc>
        <w:tc>
          <w:tcPr>
            <w:tcW w:w="3796" w:type="dxa"/>
          </w:tcPr>
          <w:p w:rsidR="00726F0B" w:rsidRPr="00622572" w:rsidRDefault="00726F0B" w:rsidP="00F70BD6">
            <w:pPr>
              <w:jc w:val="left"/>
              <w:rPr>
                <w:rFonts w:ascii="Arial Narrow" w:hAnsi="Arial Narrow"/>
                <w:sz w:val="19"/>
                <w:szCs w:val="19"/>
              </w:rPr>
            </w:pPr>
            <w:r w:rsidRPr="00622572">
              <w:rPr>
                <w:rFonts w:ascii="Arial Narrow" w:hAnsi="Arial Narrow"/>
                <w:sz w:val="19"/>
                <w:szCs w:val="19"/>
              </w:rPr>
              <w:t xml:space="preserve">Effective </w:t>
            </w:r>
            <w:r w:rsidR="002F4C14" w:rsidRPr="00622572">
              <w:rPr>
                <w:rFonts w:ascii="Arial Narrow" w:hAnsi="Arial Narrow"/>
                <w:sz w:val="19"/>
                <w:szCs w:val="19"/>
              </w:rPr>
              <w:t>DPMA</w:t>
            </w:r>
          </w:p>
          <w:p w:rsidR="00726F0B" w:rsidRPr="00622572" w:rsidRDefault="00726F0B" w:rsidP="00F70BD6">
            <w:pPr>
              <w:jc w:val="left"/>
              <w:rPr>
                <w:rFonts w:ascii="Arial Narrow" w:hAnsi="Arial Narrow"/>
                <w:sz w:val="19"/>
                <w:szCs w:val="19"/>
              </w:rPr>
            </w:pPr>
            <w:r w:rsidRPr="00622572">
              <w:rPr>
                <w:rFonts w:ascii="Arial Narrow" w:hAnsi="Arial Narrow"/>
                <w:sz w:val="19"/>
                <w:szCs w:val="19"/>
              </w:rPr>
              <w:t>Public hospital: $</w:t>
            </w:r>
            <w:r w:rsidR="005079C4">
              <w:rPr>
                <w:rFonts w:ascii="Arial Narrow" w:hAnsi="Arial Narrow"/>
                <w:noProof/>
                <w:color w:val="000000"/>
                <w:sz w:val="19"/>
                <w:szCs w:val="19"/>
                <w:highlight w:val="black"/>
              </w:rPr>
              <w:t>'''''''''''''''''''</w:t>
            </w:r>
          </w:p>
          <w:p w:rsidR="00726F0B" w:rsidRPr="00622572" w:rsidRDefault="00726F0B" w:rsidP="00F70BD6">
            <w:pPr>
              <w:jc w:val="left"/>
              <w:rPr>
                <w:rFonts w:ascii="Arial Narrow" w:hAnsi="Arial Narrow"/>
                <w:sz w:val="19"/>
                <w:szCs w:val="19"/>
              </w:rPr>
            </w:pPr>
            <w:r w:rsidRPr="00622572">
              <w:rPr>
                <w:rFonts w:ascii="Arial Narrow" w:hAnsi="Arial Narrow"/>
                <w:sz w:val="19"/>
                <w:szCs w:val="19"/>
              </w:rPr>
              <w:t>Private hospital: $</w:t>
            </w:r>
            <w:r w:rsidR="005079C4">
              <w:rPr>
                <w:rFonts w:ascii="Arial Narrow" w:hAnsi="Arial Narrow"/>
                <w:noProof/>
                <w:color w:val="000000"/>
                <w:sz w:val="19"/>
                <w:szCs w:val="19"/>
                <w:highlight w:val="black"/>
              </w:rPr>
              <w:t>'''''''''''''''''''''</w:t>
            </w:r>
          </w:p>
        </w:tc>
        <w:tc>
          <w:tcPr>
            <w:tcW w:w="3796" w:type="dxa"/>
          </w:tcPr>
          <w:p w:rsidR="00726F0B" w:rsidRPr="00622572" w:rsidRDefault="00726F0B" w:rsidP="00F70BD6">
            <w:pPr>
              <w:jc w:val="left"/>
              <w:rPr>
                <w:rFonts w:ascii="Arial Narrow" w:hAnsi="Arial Narrow"/>
                <w:sz w:val="19"/>
                <w:szCs w:val="19"/>
              </w:rPr>
            </w:pPr>
            <w:r w:rsidRPr="00622572">
              <w:rPr>
                <w:rFonts w:ascii="Arial Narrow" w:hAnsi="Arial Narrow"/>
                <w:sz w:val="19"/>
                <w:szCs w:val="19"/>
              </w:rPr>
              <w:t xml:space="preserve">Effective </w:t>
            </w:r>
            <w:r w:rsidR="002F4C14" w:rsidRPr="00622572">
              <w:rPr>
                <w:rFonts w:ascii="Arial Narrow" w:hAnsi="Arial Narrow"/>
                <w:sz w:val="19"/>
                <w:szCs w:val="19"/>
              </w:rPr>
              <w:t>DPMA</w:t>
            </w:r>
          </w:p>
          <w:p w:rsidR="00726F0B" w:rsidRPr="00622572" w:rsidRDefault="00726F0B" w:rsidP="00F70BD6">
            <w:pPr>
              <w:jc w:val="left"/>
              <w:rPr>
                <w:rFonts w:ascii="Arial Narrow" w:hAnsi="Arial Narrow"/>
                <w:sz w:val="19"/>
                <w:szCs w:val="19"/>
              </w:rPr>
            </w:pPr>
            <w:r w:rsidRPr="00622572">
              <w:rPr>
                <w:rFonts w:ascii="Arial Narrow" w:hAnsi="Arial Narrow"/>
                <w:sz w:val="19"/>
                <w:szCs w:val="19"/>
              </w:rPr>
              <w:t>Public hospital: $</w:t>
            </w:r>
            <w:r w:rsidR="005079C4">
              <w:rPr>
                <w:rFonts w:ascii="Arial Narrow" w:hAnsi="Arial Narrow"/>
                <w:noProof/>
                <w:color w:val="000000"/>
                <w:sz w:val="19"/>
                <w:szCs w:val="19"/>
                <w:highlight w:val="black"/>
              </w:rPr>
              <w:t>'''''''''''''''''''</w:t>
            </w:r>
          </w:p>
          <w:p w:rsidR="00726F0B" w:rsidRPr="00622572" w:rsidRDefault="00726F0B" w:rsidP="00F70BD6">
            <w:pPr>
              <w:jc w:val="left"/>
              <w:rPr>
                <w:rFonts w:ascii="Arial Narrow" w:hAnsi="Arial Narrow"/>
                <w:sz w:val="19"/>
                <w:szCs w:val="19"/>
              </w:rPr>
            </w:pPr>
            <w:r w:rsidRPr="00622572">
              <w:rPr>
                <w:rFonts w:ascii="Arial Narrow" w:hAnsi="Arial Narrow"/>
                <w:sz w:val="19"/>
                <w:szCs w:val="19"/>
              </w:rPr>
              <w:t>Private hospital: $</w:t>
            </w:r>
            <w:r w:rsidR="005079C4">
              <w:rPr>
                <w:rFonts w:ascii="Arial Narrow" w:hAnsi="Arial Narrow"/>
                <w:noProof/>
                <w:color w:val="000000"/>
                <w:sz w:val="19"/>
                <w:szCs w:val="19"/>
                <w:highlight w:val="black"/>
              </w:rPr>
              <w:t>'''''''''''''''''''''''</w:t>
            </w:r>
          </w:p>
          <w:p w:rsidR="00201949" w:rsidRPr="00622572" w:rsidRDefault="00201949" w:rsidP="002F4C14">
            <w:pPr>
              <w:jc w:val="left"/>
              <w:rPr>
                <w:rFonts w:ascii="Arial Narrow" w:hAnsi="Arial Narrow"/>
                <w:sz w:val="19"/>
                <w:szCs w:val="19"/>
              </w:rPr>
            </w:pPr>
          </w:p>
          <w:p w:rsidR="002F4C14" w:rsidRPr="00622572" w:rsidRDefault="002F4C14" w:rsidP="00201949">
            <w:pPr>
              <w:jc w:val="left"/>
              <w:rPr>
                <w:rFonts w:ascii="Arial Narrow" w:hAnsi="Arial Narrow"/>
                <w:sz w:val="19"/>
                <w:szCs w:val="19"/>
              </w:rPr>
            </w:pPr>
            <w:r w:rsidRPr="00622572">
              <w:rPr>
                <w:rFonts w:ascii="Arial Narrow" w:hAnsi="Arial Narrow"/>
                <w:b/>
                <w:sz w:val="19"/>
                <w:szCs w:val="19"/>
              </w:rPr>
              <w:t>The requested ex-manufacturer price was unchanged.</w:t>
            </w:r>
            <w:r w:rsidRPr="00622572">
              <w:rPr>
                <w:rFonts w:ascii="Arial Narrow" w:hAnsi="Arial Narrow"/>
                <w:sz w:val="19"/>
                <w:szCs w:val="19"/>
              </w:rPr>
              <w:t xml:space="preserve"> The ESC noted that the change in </w:t>
            </w:r>
            <w:r w:rsidR="00201949" w:rsidRPr="00622572">
              <w:rPr>
                <w:rFonts w:ascii="Arial Narrow" w:hAnsi="Arial Narrow"/>
                <w:sz w:val="19"/>
                <w:szCs w:val="19"/>
              </w:rPr>
              <w:t xml:space="preserve">the </w:t>
            </w:r>
            <w:r w:rsidRPr="00622572">
              <w:rPr>
                <w:rFonts w:ascii="Arial Narrow" w:hAnsi="Arial Narrow"/>
                <w:sz w:val="19"/>
                <w:szCs w:val="19"/>
              </w:rPr>
              <w:t xml:space="preserve">requested DPMA was </w:t>
            </w:r>
            <w:r w:rsidR="00201949" w:rsidRPr="00622572">
              <w:rPr>
                <w:rFonts w:ascii="Arial Narrow" w:hAnsi="Arial Narrow"/>
                <w:sz w:val="19"/>
                <w:szCs w:val="19"/>
              </w:rPr>
              <w:t>due to</w:t>
            </w:r>
            <w:r w:rsidRPr="00622572">
              <w:rPr>
                <w:rFonts w:ascii="Arial Narrow" w:hAnsi="Arial Narrow"/>
                <w:sz w:val="19"/>
                <w:szCs w:val="19"/>
              </w:rPr>
              <w:t xml:space="preserve"> changes to </w:t>
            </w:r>
            <w:r w:rsidR="00201949" w:rsidRPr="00622572">
              <w:rPr>
                <w:rFonts w:ascii="Arial Narrow" w:hAnsi="Arial Narrow"/>
                <w:sz w:val="19"/>
                <w:szCs w:val="19"/>
              </w:rPr>
              <w:t>various fees (diluent, preparation, distribution and dispensing fees).</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lastRenderedPageBreak/>
              <w:t>Main comparator</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Main comparator: chlorambucil</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 xml:space="preserve">Secondary comparator: rituximab + chlorambucil </w:t>
            </w:r>
          </w:p>
          <w:p w:rsidR="00726F0B" w:rsidRPr="000A1967" w:rsidRDefault="00726F0B" w:rsidP="00F70BD6">
            <w:pPr>
              <w:jc w:val="left"/>
              <w:rPr>
                <w:rFonts w:ascii="Arial Narrow" w:hAnsi="Arial Narrow"/>
                <w:sz w:val="19"/>
                <w:szCs w:val="19"/>
              </w:rPr>
            </w:pPr>
          </w:p>
          <w:p w:rsidR="00726F0B" w:rsidRPr="000A1967" w:rsidRDefault="00726F0B" w:rsidP="00F70BD6">
            <w:pPr>
              <w:jc w:val="left"/>
              <w:rPr>
                <w:rFonts w:ascii="Arial Narrow" w:hAnsi="Arial Narrow"/>
                <w:sz w:val="19"/>
                <w:szCs w:val="19"/>
              </w:rPr>
            </w:pPr>
            <w:r w:rsidRPr="000A1967">
              <w:rPr>
                <w:rFonts w:ascii="Arial Narrow" w:hAnsi="Arial Narrow"/>
                <w:b/>
                <w:sz w:val="19"/>
                <w:szCs w:val="19"/>
              </w:rPr>
              <w:t>PBAC Comment:</w:t>
            </w:r>
            <w:r w:rsidRPr="000A1967">
              <w:rPr>
                <w:rFonts w:ascii="Arial Narrow" w:hAnsi="Arial Narrow"/>
                <w:sz w:val="19"/>
                <w:szCs w:val="19"/>
              </w:rPr>
              <w:t xml:space="preserve"> Both chlorambucil and rituximab + chlorambucil appropriate comparators.</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Main comparators:</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 xml:space="preserve">- Rituximab + chlorambucil </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 xml:space="preserve">- Chlorambucil </w:t>
            </w:r>
          </w:p>
          <w:p w:rsidR="00726F0B" w:rsidRPr="000A1967" w:rsidRDefault="00726F0B" w:rsidP="00F70BD6">
            <w:pPr>
              <w:jc w:val="left"/>
              <w:rPr>
                <w:rFonts w:ascii="Arial Narrow" w:hAnsi="Arial Narrow"/>
                <w:sz w:val="19"/>
                <w:szCs w:val="19"/>
              </w:rPr>
            </w:pP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Supplementary comparator:</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 Ofatumumab + chlorambucil</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t>Clinical evidence</w:t>
            </w:r>
          </w:p>
        </w:tc>
        <w:tc>
          <w:tcPr>
            <w:tcW w:w="3796" w:type="dxa"/>
          </w:tcPr>
          <w:p w:rsidR="00726F0B" w:rsidRPr="002239F7" w:rsidRDefault="00726F0B" w:rsidP="00F70BD6">
            <w:pPr>
              <w:jc w:val="left"/>
              <w:rPr>
                <w:rFonts w:ascii="Arial Narrow" w:hAnsi="Arial Narrow"/>
                <w:sz w:val="19"/>
                <w:szCs w:val="19"/>
              </w:rPr>
            </w:pPr>
            <w:r w:rsidRPr="000A1967">
              <w:rPr>
                <w:rFonts w:ascii="Arial Narrow" w:hAnsi="Arial Narrow"/>
                <w:sz w:val="19"/>
                <w:szCs w:val="19"/>
              </w:rPr>
              <w:t>CLL11, clinical cut-off 9 May 2013</w:t>
            </w:r>
            <w:r w:rsidR="00CB7F4D" w:rsidRPr="000A1967">
              <w:rPr>
                <w:rFonts w:ascii="Arial Narrow" w:hAnsi="Arial Narrow"/>
                <w:sz w:val="19"/>
                <w:szCs w:val="19"/>
              </w:rPr>
              <w:t xml:space="preserve"> provided in </w:t>
            </w:r>
            <w:r w:rsidR="003C71D1" w:rsidRPr="000A1967">
              <w:rPr>
                <w:rFonts w:ascii="Arial Narrow" w:hAnsi="Arial Narrow"/>
                <w:sz w:val="19"/>
                <w:szCs w:val="19"/>
              </w:rPr>
              <w:t xml:space="preserve">the </w:t>
            </w:r>
            <w:r w:rsidR="00CB7F4D" w:rsidRPr="000A1967">
              <w:rPr>
                <w:rFonts w:ascii="Arial Narrow" w:hAnsi="Arial Narrow"/>
                <w:sz w:val="19"/>
                <w:szCs w:val="19"/>
              </w:rPr>
              <w:t>submission</w:t>
            </w:r>
            <w:r w:rsidR="00CB7F4D" w:rsidRPr="002C2CE8">
              <w:rPr>
                <w:rFonts w:ascii="Arial Narrow" w:hAnsi="Arial Narrow"/>
                <w:sz w:val="19"/>
                <w:szCs w:val="19"/>
              </w:rPr>
              <w:t xml:space="preserve">; 3 March 2014 data cut-off was provided in </w:t>
            </w:r>
            <w:r w:rsidR="00F24BD7" w:rsidRPr="002C2CE8">
              <w:rPr>
                <w:rFonts w:ascii="Arial Narrow" w:hAnsi="Arial Narrow"/>
                <w:sz w:val="19"/>
                <w:szCs w:val="19"/>
              </w:rPr>
              <w:t xml:space="preserve">the </w:t>
            </w:r>
            <w:r w:rsidR="00CB7F4D" w:rsidRPr="002C2CE8">
              <w:rPr>
                <w:rFonts w:ascii="Arial Narrow" w:hAnsi="Arial Narrow"/>
                <w:sz w:val="19"/>
                <w:szCs w:val="19"/>
              </w:rPr>
              <w:t>PSCR and pre-PBAC response:</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Stage 1a (vs chlorambucil), N=356</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Stage 2 (vs rituximab plus chlorambucil), N=663</w:t>
            </w:r>
          </w:p>
          <w:p w:rsidR="00726F0B" w:rsidRPr="000A1967" w:rsidRDefault="00726F0B" w:rsidP="00F70BD6">
            <w:pPr>
              <w:jc w:val="left"/>
              <w:rPr>
                <w:rFonts w:ascii="Arial Narrow" w:hAnsi="Arial Narrow"/>
                <w:sz w:val="19"/>
                <w:szCs w:val="19"/>
              </w:rPr>
            </w:pPr>
          </w:p>
          <w:p w:rsidR="00726F0B" w:rsidRPr="000A1967" w:rsidRDefault="00726F0B" w:rsidP="00F70BD6">
            <w:pPr>
              <w:jc w:val="left"/>
              <w:rPr>
                <w:rFonts w:ascii="Arial Narrow" w:hAnsi="Arial Narrow"/>
                <w:color w:val="0000FF"/>
                <w:sz w:val="19"/>
                <w:szCs w:val="19"/>
              </w:rPr>
            </w:pPr>
            <w:r w:rsidRPr="000A1967">
              <w:rPr>
                <w:rFonts w:ascii="Arial Narrow" w:hAnsi="Arial Narrow"/>
                <w:b/>
                <w:sz w:val="19"/>
                <w:szCs w:val="19"/>
              </w:rPr>
              <w:t xml:space="preserve">PBAC Comment: </w:t>
            </w:r>
            <w:r w:rsidRPr="000A1967">
              <w:rPr>
                <w:rFonts w:ascii="Arial Narrow" w:hAnsi="Arial Narrow"/>
                <w:sz w:val="19"/>
                <w:szCs w:val="19"/>
              </w:rPr>
              <w:t>CLL11 accepted as key trial</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CLL11, clinical cut-off 3 March 2014 (provided in PSCR for previous consideration)</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Stage 1a (vs chlorambucil), N=356</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Stage 2 (vs rituximab plus chlorambucil), N=663</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t>Key effectiveness data</w:t>
            </w:r>
          </w:p>
        </w:tc>
        <w:tc>
          <w:tcPr>
            <w:tcW w:w="3796" w:type="dxa"/>
          </w:tcPr>
          <w:p w:rsidR="00726F0B" w:rsidRPr="000A1967" w:rsidRDefault="00726F0B" w:rsidP="00F70BD6">
            <w:pPr>
              <w:jc w:val="left"/>
              <w:rPr>
                <w:rFonts w:ascii="Arial Narrow" w:hAnsi="Arial Narrow"/>
                <w:sz w:val="19"/>
                <w:szCs w:val="19"/>
              </w:rPr>
            </w:pPr>
            <w:proofErr w:type="spellStart"/>
            <w:r w:rsidRPr="000A1967">
              <w:rPr>
                <w:rFonts w:ascii="Arial Narrow" w:hAnsi="Arial Narrow"/>
                <w:sz w:val="19"/>
                <w:szCs w:val="19"/>
              </w:rPr>
              <w:t>Obinutuzumab</w:t>
            </w:r>
            <w:proofErr w:type="spellEnd"/>
            <w:r w:rsidRPr="000A1967">
              <w:rPr>
                <w:rFonts w:ascii="Arial Narrow" w:hAnsi="Arial Narrow"/>
                <w:sz w:val="19"/>
                <w:szCs w:val="19"/>
              </w:rPr>
              <w:t xml:space="preserve"> +chlorambucil vs rituximab +chlorambucil</w:t>
            </w:r>
          </w:p>
          <w:p w:rsidR="00CB7F4D" w:rsidRPr="000A1967" w:rsidRDefault="00CB7F4D" w:rsidP="00F70BD6">
            <w:pPr>
              <w:jc w:val="left"/>
              <w:rPr>
                <w:rFonts w:ascii="Arial Narrow" w:hAnsi="Arial Narrow"/>
                <w:sz w:val="19"/>
                <w:szCs w:val="19"/>
              </w:rPr>
            </w:pPr>
            <w:r w:rsidRPr="000A1967">
              <w:rPr>
                <w:rFonts w:ascii="Arial Narrow" w:hAnsi="Arial Narrow"/>
                <w:sz w:val="19"/>
                <w:szCs w:val="19"/>
              </w:rPr>
              <w:t>Data from 9 May 2013 data cut-off (per previous submission)</w:t>
            </w:r>
          </w:p>
          <w:p w:rsidR="00726F0B" w:rsidRPr="002C2CE8" w:rsidRDefault="00726F0B" w:rsidP="00F70BD6">
            <w:pPr>
              <w:jc w:val="left"/>
              <w:rPr>
                <w:rFonts w:ascii="Arial Narrow" w:hAnsi="Arial Narrow"/>
                <w:sz w:val="19"/>
                <w:szCs w:val="19"/>
              </w:rPr>
            </w:pPr>
            <w:r w:rsidRPr="002C2CE8">
              <w:rPr>
                <w:rFonts w:ascii="Arial Narrow" w:hAnsi="Arial Narrow"/>
                <w:sz w:val="19"/>
                <w:szCs w:val="19"/>
              </w:rPr>
              <w:t xml:space="preserve">PFS, RD (95% CI): </w:t>
            </w:r>
            <w:r w:rsidRPr="002C2CE8">
              <w:rPr>
                <w:rFonts w:ascii="Arial Narrow" w:hAnsi="Arial Narrow"/>
                <w:b/>
                <w:sz w:val="19"/>
                <w:szCs w:val="19"/>
              </w:rPr>
              <w:t>–29.1</w:t>
            </w:r>
            <w:r w:rsidR="000E4A05" w:rsidRPr="002C2CE8">
              <w:rPr>
                <w:rFonts w:ascii="Arial Narrow" w:hAnsi="Arial Narrow"/>
                <w:b/>
                <w:sz w:val="19"/>
                <w:szCs w:val="19"/>
              </w:rPr>
              <w:t>%</w:t>
            </w:r>
            <w:r w:rsidRPr="002C2CE8">
              <w:rPr>
                <w:rFonts w:ascii="Arial Narrow" w:hAnsi="Arial Narrow"/>
                <w:b/>
                <w:sz w:val="19"/>
                <w:szCs w:val="19"/>
              </w:rPr>
              <w:t xml:space="preserve"> (–36.3</w:t>
            </w:r>
            <w:r w:rsidR="000E4A05" w:rsidRPr="002C2CE8">
              <w:rPr>
                <w:rFonts w:ascii="Arial Narrow" w:hAnsi="Arial Narrow"/>
                <w:b/>
                <w:sz w:val="19"/>
                <w:szCs w:val="19"/>
              </w:rPr>
              <w:t>%</w:t>
            </w:r>
            <w:r w:rsidRPr="002C2CE8">
              <w:rPr>
                <w:rFonts w:ascii="Arial Narrow" w:hAnsi="Arial Narrow"/>
                <w:b/>
                <w:sz w:val="19"/>
                <w:szCs w:val="19"/>
              </w:rPr>
              <w:t>, –21.8</w:t>
            </w:r>
            <w:r w:rsidR="000E4A05" w:rsidRPr="002C2CE8">
              <w:rPr>
                <w:rFonts w:ascii="Arial Narrow" w:hAnsi="Arial Narrow"/>
                <w:b/>
                <w:sz w:val="19"/>
                <w:szCs w:val="19"/>
              </w:rPr>
              <w:t>%</w:t>
            </w:r>
            <w:r w:rsidRPr="002C2CE8">
              <w:rPr>
                <w:rFonts w:ascii="Arial Narrow" w:hAnsi="Arial Narrow"/>
                <w:b/>
                <w:sz w:val="19"/>
                <w:szCs w:val="19"/>
              </w:rPr>
              <w:t>)</w:t>
            </w:r>
          </w:p>
          <w:p w:rsidR="00726F0B" w:rsidRPr="000A1967" w:rsidRDefault="00726F0B" w:rsidP="00F70BD6">
            <w:pPr>
              <w:jc w:val="left"/>
              <w:rPr>
                <w:rFonts w:ascii="Arial Narrow" w:hAnsi="Arial Narrow"/>
                <w:sz w:val="19"/>
                <w:szCs w:val="19"/>
              </w:rPr>
            </w:pPr>
            <w:r w:rsidRPr="002239F7">
              <w:rPr>
                <w:rFonts w:ascii="Arial Narrow" w:hAnsi="Arial Narrow"/>
                <w:sz w:val="19"/>
                <w:szCs w:val="19"/>
              </w:rPr>
              <w:t>OS, HR (95% CI): 0.66 (</w:t>
            </w:r>
            <w:r w:rsidRPr="000A1967">
              <w:rPr>
                <w:rFonts w:ascii="Arial Narrow" w:hAnsi="Arial Narrow"/>
                <w:sz w:val="19"/>
                <w:szCs w:val="19"/>
              </w:rPr>
              <w:t>0.41, 1.06)</w:t>
            </w:r>
          </w:p>
          <w:p w:rsidR="00726F0B" w:rsidRPr="000A1967" w:rsidRDefault="00726F0B" w:rsidP="00F70BD6">
            <w:pPr>
              <w:jc w:val="left"/>
              <w:rPr>
                <w:rFonts w:ascii="Arial Narrow" w:hAnsi="Arial Narrow"/>
                <w:sz w:val="19"/>
                <w:szCs w:val="19"/>
              </w:rPr>
            </w:pPr>
          </w:p>
          <w:p w:rsidR="00726F0B" w:rsidRPr="000A1967" w:rsidRDefault="00726F0B" w:rsidP="00F70BD6">
            <w:pPr>
              <w:jc w:val="left"/>
              <w:rPr>
                <w:rFonts w:ascii="Arial Narrow" w:hAnsi="Arial Narrow"/>
                <w:sz w:val="19"/>
                <w:szCs w:val="19"/>
              </w:rPr>
            </w:pPr>
            <w:proofErr w:type="spellStart"/>
            <w:r w:rsidRPr="000A1967">
              <w:rPr>
                <w:rFonts w:ascii="Arial Narrow" w:hAnsi="Arial Narrow"/>
                <w:sz w:val="19"/>
                <w:szCs w:val="19"/>
              </w:rPr>
              <w:t>Obinutuzumab</w:t>
            </w:r>
            <w:proofErr w:type="spellEnd"/>
            <w:r w:rsidRPr="000A1967">
              <w:rPr>
                <w:rFonts w:ascii="Arial Narrow" w:hAnsi="Arial Narrow"/>
                <w:sz w:val="19"/>
                <w:szCs w:val="19"/>
              </w:rPr>
              <w:t xml:space="preserve"> +chlorambucil vs chlorambucil</w:t>
            </w:r>
          </w:p>
          <w:p w:rsidR="00726F0B" w:rsidRPr="002C2CE8" w:rsidRDefault="00726F0B" w:rsidP="00F70BD6">
            <w:pPr>
              <w:jc w:val="left"/>
              <w:rPr>
                <w:rFonts w:ascii="Arial Narrow" w:hAnsi="Arial Narrow"/>
                <w:sz w:val="19"/>
                <w:szCs w:val="19"/>
              </w:rPr>
            </w:pPr>
            <w:r w:rsidRPr="002C2CE8">
              <w:rPr>
                <w:rFonts w:ascii="Arial Narrow" w:hAnsi="Arial Narrow"/>
                <w:sz w:val="19"/>
                <w:szCs w:val="19"/>
              </w:rPr>
              <w:t xml:space="preserve">PFS, RD (95% CI): </w:t>
            </w:r>
            <w:r w:rsidRPr="002C2CE8">
              <w:rPr>
                <w:rFonts w:ascii="Arial Narrow" w:hAnsi="Arial Narrow"/>
                <w:b/>
                <w:sz w:val="19"/>
                <w:szCs w:val="19"/>
              </w:rPr>
              <w:t>–42.3</w:t>
            </w:r>
            <w:r w:rsidR="000E4A05" w:rsidRPr="002C2CE8">
              <w:rPr>
                <w:rFonts w:ascii="Arial Narrow" w:hAnsi="Arial Narrow"/>
                <w:b/>
                <w:sz w:val="19"/>
                <w:szCs w:val="19"/>
              </w:rPr>
              <w:t>%</w:t>
            </w:r>
            <w:r w:rsidRPr="002C2CE8">
              <w:rPr>
                <w:rFonts w:ascii="Arial Narrow" w:hAnsi="Arial Narrow"/>
                <w:b/>
                <w:sz w:val="19"/>
                <w:szCs w:val="19"/>
              </w:rPr>
              <w:t xml:space="preserve"> (–51.6</w:t>
            </w:r>
            <w:r w:rsidR="000E4A05" w:rsidRPr="002C2CE8">
              <w:rPr>
                <w:rFonts w:ascii="Arial Narrow" w:hAnsi="Arial Narrow"/>
                <w:b/>
                <w:sz w:val="19"/>
                <w:szCs w:val="19"/>
              </w:rPr>
              <w:t>%</w:t>
            </w:r>
            <w:r w:rsidRPr="002C2CE8">
              <w:rPr>
                <w:rFonts w:ascii="Arial Narrow" w:hAnsi="Arial Narrow"/>
                <w:b/>
                <w:sz w:val="19"/>
                <w:szCs w:val="19"/>
              </w:rPr>
              <w:t>, –32.9</w:t>
            </w:r>
            <w:r w:rsidR="000E4A05" w:rsidRPr="002C2CE8">
              <w:rPr>
                <w:rFonts w:ascii="Arial Narrow" w:hAnsi="Arial Narrow"/>
                <w:b/>
                <w:sz w:val="19"/>
                <w:szCs w:val="19"/>
              </w:rPr>
              <w:t>%</w:t>
            </w:r>
            <w:r w:rsidRPr="002C2CE8">
              <w:rPr>
                <w:rFonts w:ascii="Arial Narrow" w:hAnsi="Arial Narrow"/>
                <w:b/>
                <w:sz w:val="19"/>
                <w:szCs w:val="19"/>
              </w:rPr>
              <w:t>)</w:t>
            </w:r>
          </w:p>
          <w:p w:rsidR="00726F0B" w:rsidRPr="000A1967" w:rsidRDefault="00726F0B" w:rsidP="00F70BD6">
            <w:pPr>
              <w:jc w:val="left"/>
              <w:rPr>
                <w:rFonts w:ascii="Arial Narrow" w:hAnsi="Arial Narrow"/>
                <w:sz w:val="19"/>
                <w:szCs w:val="19"/>
              </w:rPr>
            </w:pPr>
            <w:r w:rsidRPr="002239F7">
              <w:rPr>
                <w:rFonts w:ascii="Arial Narrow" w:hAnsi="Arial Narrow"/>
                <w:sz w:val="19"/>
                <w:szCs w:val="19"/>
              </w:rPr>
              <w:t xml:space="preserve">OS, HR (95% CI): </w:t>
            </w:r>
            <w:r w:rsidRPr="000A1967">
              <w:rPr>
                <w:rFonts w:ascii="Arial Narrow" w:hAnsi="Arial Narrow"/>
                <w:b/>
                <w:sz w:val="19"/>
                <w:szCs w:val="19"/>
              </w:rPr>
              <w:t>0.41 (0.23, 0.74)</w:t>
            </w:r>
          </w:p>
          <w:p w:rsidR="00CB7F4D" w:rsidRPr="000A1967" w:rsidRDefault="00CB7F4D" w:rsidP="00F70BD6">
            <w:pPr>
              <w:jc w:val="left"/>
              <w:rPr>
                <w:rFonts w:ascii="Arial Narrow" w:hAnsi="Arial Narrow"/>
                <w:sz w:val="19"/>
                <w:szCs w:val="19"/>
              </w:rPr>
            </w:pPr>
          </w:p>
          <w:p w:rsidR="00726F0B" w:rsidRPr="002C2CE8" w:rsidRDefault="00726F0B" w:rsidP="003C71D1">
            <w:pPr>
              <w:jc w:val="left"/>
              <w:rPr>
                <w:rFonts w:ascii="Arial Narrow" w:hAnsi="Arial Narrow"/>
                <w:sz w:val="19"/>
                <w:szCs w:val="19"/>
              </w:rPr>
            </w:pPr>
            <w:r w:rsidRPr="000A1967">
              <w:rPr>
                <w:rFonts w:ascii="Arial Narrow" w:hAnsi="Arial Narrow"/>
                <w:b/>
                <w:sz w:val="19"/>
                <w:szCs w:val="19"/>
              </w:rPr>
              <w:t>PBAC Comment:</w:t>
            </w:r>
            <w:r w:rsidRPr="000A1967">
              <w:rPr>
                <w:rFonts w:ascii="Arial Narrow" w:hAnsi="Arial Narrow"/>
                <w:sz w:val="19"/>
                <w:szCs w:val="19"/>
              </w:rPr>
              <w:t xml:space="preserve"> In comparison with rituximab + chlorambucil, the OS outcome was not statistically significant however approached significance</w:t>
            </w:r>
            <w:r w:rsidRPr="002C2CE8">
              <w:rPr>
                <w:rFonts w:ascii="Arial Narrow" w:hAnsi="Arial Narrow"/>
                <w:sz w:val="19"/>
                <w:szCs w:val="19"/>
              </w:rPr>
              <w:t>.</w:t>
            </w:r>
            <w:r w:rsidR="00CB7F4D" w:rsidRPr="002C2CE8">
              <w:rPr>
                <w:rFonts w:ascii="Arial Narrow" w:hAnsi="Arial Narrow"/>
                <w:sz w:val="19"/>
                <w:szCs w:val="19"/>
              </w:rPr>
              <w:t xml:space="preserve"> </w:t>
            </w:r>
            <w:r w:rsidR="003C71D1" w:rsidRPr="002C2CE8">
              <w:rPr>
                <w:rFonts w:ascii="Arial Narrow" w:hAnsi="Arial Narrow"/>
                <w:sz w:val="19"/>
                <w:szCs w:val="19"/>
              </w:rPr>
              <w:t>In July 2014, t</w:t>
            </w:r>
            <w:r w:rsidR="00CB7F4D" w:rsidRPr="002C2CE8">
              <w:rPr>
                <w:rFonts w:ascii="Arial Narrow" w:hAnsi="Arial Narrow"/>
                <w:sz w:val="19"/>
                <w:szCs w:val="19"/>
              </w:rPr>
              <w:t>he PBAC noted that the more recent data (3 March 2014 data –cut) was approaching statistical significance.</w:t>
            </w:r>
          </w:p>
        </w:tc>
        <w:tc>
          <w:tcPr>
            <w:tcW w:w="3796" w:type="dxa"/>
          </w:tcPr>
          <w:p w:rsidR="00726F0B" w:rsidRPr="002239F7" w:rsidRDefault="00726F0B" w:rsidP="00F70BD6">
            <w:pPr>
              <w:jc w:val="left"/>
              <w:rPr>
                <w:rFonts w:ascii="Arial Narrow" w:hAnsi="Arial Narrow"/>
                <w:sz w:val="19"/>
                <w:szCs w:val="19"/>
              </w:rPr>
            </w:pPr>
            <w:proofErr w:type="spellStart"/>
            <w:r w:rsidRPr="002239F7">
              <w:rPr>
                <w:rFonts w:ascii="Arial Narrow" w:hAnsi="Arial Narrow"/>
                <w:sz w:val="19"/>
                <w:szCs w:val="19"/>
              </w:rPr>
              <w:t>Obinutuzumab</w:t>
            </w:r>
            <w:proofErr w:type="spellEnd"/>
            <w:r w:rsidRPr="002239F7">
              <w:rPr>
                <w:rFonts w:ascii="Arial Narrow" w:hAnsi="Arial Narrow"/>
                <w:sz w:val="19"/>
                <w:szCs w:val="19"/>
              </w:rPr>
              <w:t xml:space="preserve"> +chlorambucil vs rituximab +chlorambucil</w:t>
            </w:r>
          </w:p>
          <w:p w:rsidR="00CB7F4D" w:rsidRPr="00793EF3" w:rsidRDefault="00CB7F4D" w:rsidP="00F70BD6">
            <w:pPr>
              <w:jc w:val="left"/>
              <w:rPr>
                <w:rFonts w:ascii="Arial Narrow" w:hAnsi="Arial Narrow"/>
                <w:sz w:val="19"/>
                <w:szCs w:val="19"/>
              </w:rPr>
            </w:pPr>
            <w:r w:rsidRPr="000A1967">
              <w:rPr>
                <w:rFonts w:ascii="Arial Narrow" w:hAnsi="Arial Narrow"/>
                <w:sz w:val="19"/>
                <w:szCs w:val="19"/>
              </w:rPr>
              <w:t xml:space="preserve">Data from 3 March 2014 data cut-off (also provided in previous </w:t>
            </w:r>
            <w:r w:rsidRPr="00793EF3">
              <w:rPr>
                <w:rFonts w:ascii="Arial Narrow" w:hAnsi="Arial Narrow"/>
                <w:sz w:val="19"/>
                <w:szCs w:val="19"/>
              </w:rPr>
              <w:t>PSCR)</w:t>
            </w:r>
          </w:p>
          <w:p w:rsidR="00726F0B" w:rsidRPr="005079C4" w:rsidRDefault="00726F0B" w:rsidP="00F70BD6">
            <w:pPr>
              <w:jc w:val="left"/>
              <w:rPr>
                <w:rFonts w:ascii="Arial Narrow" w:hAnsi="Arial Narrow"/>
                <w:sz w:val="19"/>
                <w:szCs w:val="19"/>
              </w:rPr>
            </w:pPr>
            <w:r w:rsidRPr="00793EF3">
              <w:rPr>
                <w:rFonts w:ascii="Arial Narrow" w:hAnsi="Arial Narrow"/>
                <w:sz w:val="19"/>
                <w:szCs w:val="19"/>
              </w:rPr>
              <w:t xml:space="preserve">PFS, RD (95% CI): </w:t>
            </w:r>
            <w:r w:rsidR="005079C4">
              <w:rPr>
                <w:rFonts w:ascii="Arial Narrow" w:hAnsi="Arial Narrow"/>
                <w:b/>
                <w:noProof/>
                <w:color w:val="000000"/>
                <w:sz w:val="19"/>
                <w:szCs w:val="19"/>
                <w:highlight w:val="black"/>
              </w:rPr>
              <w:t>''''''''''''' ''''''''''''''''' '''''''''''''''</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OS, HR (95% CI): 0.70 (0.47, 1.02)</w:t>
            </w:r>
          </w:p>
          <w:p w:rsidR="000E4A05" w:rsidRPr="00793EF3" w:rsidRDefault="000E4A05" w:rsidP="00F70BD6">
            <w:pPr>
              <w:jc w:val="left"/>
              <w:rPr>
                <w:rFonts w:ascii="Arial Narrow" w:hAnsi="Arial Narrow"/>
                <w:sz w:val="19"/>
                <w:szCs w:val="19"/>
              </w:rPr>
            </w:pPr>
          </w:p>
          <w:p w:rsidR="00726F0B" w:rsidRPr="00793EF3" w:rsidRDefault="00726F0B" w:rsidP="00F70BD6">
            <w:pPr>
              <w:jc w:val="left"/>
              <w:rPr>
                <w:rFonts w:ascii="Arial Narrow" w:hAnsi="Arial Narrow"/>
                <w:sz w:val="19"/>
                <w:szCs w:val="19"/>
              </w:rPr>
            </w:pPr>
            <w:proofErr w:type="spellStart"/>
            <w:r w:rsidRPr="00793EF3">
              <w:rPr>
                <w:rFonts w:ascii="Arial Narrow" w:hAnsi="Arial Narrow"/>
                <w:sz w:val="19"/>
                <w:szCs w:val="19"/>
              </w:rPr>
              <w:t>Obinutuzumab</w:t>
            </w:r>
            <w:proofErr w:type="spellEnd"/>
            <w:r w:rsidRPr="00793EF3">
              <w:rPr>
                <w:rFonts w:ascii="Arial Narrow" w:hAnsi="Arial Narrow"/>
                <w:sz w:val="19"/>
                <w:szCs w:val="19"/>
              </w:rPr>
              <w:t xml:space="preserve"> +chlorambucil vs chlorambucil</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 xml:space="preserve">PFS, RD (95% CI): </w:t>
            </w:r>
            <w:r w:rsidR="005079C4">
              <w:rPr>
                <w:rFonts w:ascii="Arial Narrow" w:hAnsi="Arial Narrow"/>
                <w:b/>
                <w:noProof/>
                <w:color w:val="000000"/>
                <w:sz w:val="19"/>
                <w:szCs w:val="19"/>
                <w:highlight w:val="black"/>
              </w:rPr>
              <w:t>'''''''''''''' ''''''''''''''''' '''''''''''''''''</w:t>
            </w:r>
          </w:p>
          <w:p w:rsidR="00726F0B" w:rsidRPr="00793EF3" w:rsidRDefault="00726F0B" w:rsidP="00F70BD6">
            <w:pPr>
              <w:jc w:val="left"/>
              <w:rPr>
                <w:rFonts w:ascii="Arial Narrow" w:hAnsi="Arial Narrow"/>
                <w:b/>
                <w:sz w:val="19"/>
                <w:szCs w:val="19"/>
              </w:rPr>
            </w:pPr>
            <w:r w:rsidRPr="00793EF3">
              <w:rPr>
                <w:rFonts w:ascii="Arial Narrow" w:hAnsi="Arial Narrow"/>
                <w:sz w:val="19"/>
                <w:szCs w:val="19"/>
              </w:rPr>
              <w:t xml:space="preserve">OS, HR (95% CI): </w:t>
            </w:r>
            <w:r w:rsidRPr="00793EF3">
              <w:rPr>
                <w:rFonts w:ascii="Arial Narrow" w:hAnsi="Arial Narrow"/>
                <w:b/>
                <w:sz w:val="19"/>
                <w:szCs w:val="19"/>
              </w:rPr>
              <w:t>0.47 (0.29, 0.76)</w:t>
            </w:r>
          </w:p>
          <w:p w:rsidR="00726F0B" w:rsidRPr="00793EF3" w:rsidRDefault="00726F0B" w:rsidP="00F70BD6">
            <w:pPr>
              <w:jc w:val="left"/>
              <w:rPr>
                <w:rFonts w:ascii="Arial Narrow" w:hAnsi="Arial Narrow"/>
                <w:sz w:val="19"/>
                <w:szCs w:val="19"/>
              </w:rPr>
            </w:pPr>
          </w:p>
          <w:p w:rsidR="00726F0B" w:rsidRPr="00793EF3" w:rsidRDefault="00726F0B" w:rsidP="00F70BD6">
            <w:pPr>
              <w:jc w:val="left"/>
              <w:rPr>
                <w:rFonts w:ascii="Arial Narrow" w:hAnsi="Arial Narrow"/>
                <w:sz w:val="19"/>
                <w:szCs w:val="19"/>
              </w:rPr>
            </w:pPr>
            <w:proofErr w:type="spellStart"/>
            <w:r w:rsidRPr="00793EF3">
              <w:rPr>
                <w:rFonts w:ascii="Arial Narrow" w:hAnsi="Arial Narrow"/>
                <w:sz w:val="19"/>
                <w:szCs w:val="19"/>
              </w:rPr>
              <w:t>Obinutuzumab</w:t>
            </w:r>
            <w:proofErr w:type="spellEnd"/>
            <w:r w:rsidRPr="00793EF3">
              <w:rPr>
                <w:rFonts w:ascii="Arial Narrow" w:hAnsi="Arial Narrow"/>
                <w:sz w:val="19"/>
                <w:szCs w:val="19"/>
              </w:rPr>
              <w:t xml:space="preserve"> +chlorambucil vs ofatumumab +chlorambucil</w:t>
            </w:r>
          </w:p>
          <w:p w:rsidR="00726F0B" w:rsidRPr="00793EF3" w:rsidRDefault="00726F0B" w:rsidP="00F70BD6">
            <w:pPr>
              <w:jc w:val="left"/>
              <w:rPr>
                <w:rFonts w:ascii="Arial Narrow" w:hAnsi="Arial Narrow"/>
                <w:b/>
                <w:sz w:val="19"/>
                <w:szCs w:val="19"/>
              </w:rPr>
            </w:pPr>
            <w:r w:rsidRPr="00793EF3">
              <w:rPr>
                <w:rFonts w:ascii="Arial Narrow" w:hAnsi="Arial Narrow"/>
                <w:sz w:val="19"/>
                <w:szCs w:val="19"/>
              </w:rPr>
              <w:t xml:space="preserve">PFS, indirect HR (95% CI): </w:t>
            </w:r>
            <w:r w:rsidRPr="00793EF3">
              <w:rPr>
                <w:rFonts w:ascii="Arial Narrow" w:hAnsi="Arial Narrow"/>
                <w:b/>
                <w:sz w:val="19"/>
                <w:szCs w:val="19"/>
              </w:rPr>
              <w:t>0.32 (0.22, 0.45)</w:t>
            </w:r>
          </w:p>
          <w:p w:rsidR="00726F0B" w:rsidRPr="000A1967" w:rsidRDefault="00726F0B" w:rsidP="00F70BD6">
            <w:pPr>
              <w:jc w:val="left"/>
              <w:rPr>
                <w:rFonts w:ascii="Arial Narrow" w:hAnsi="Arial Narrow"/>
                <w:color w:val="0000FF"/>
                <w:sz w:val="19"/>
                <w:szCs w:val="19"/>
              </w:rPr>
            </w:pPr>
            <w:r w:rsidRPr="00793EF3">
              <w:rPr>
                <w:rFonts w:ascii="Arial Narrow" w:hAnsi="Arial Narrow"/>
                <w:sz w:val="19"/>
                <w:szCs w:val="19"/>
              </w:rPr>
              <w:t xml:space="preserve">TTNT, indirect HR (95% CI): </w:t>
            </w:r>
            <w:r w:rsidR="005079C4">
              <w:rPr>
                <w:rFonts w:ascii="Arial Narrow" w:hAnsi="Arial Narrow"/>
                <w:b/>
                <w:noProof/>
                <w:color w:val="000000"/>
                <w:sz w:val="19"/>
                <w:szCs w:val="19"/>
                <w:highlight w:val="black"/>
              </w:rPr>
              <w:t>'''''''''' ''''''''''' ''''''''''</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t>Key safety data</w:t>
            </w:r>
          </w:p>
        </w:tc>
        <w:tc>
          <w:tcPr>
            <w:tcW w:w="3796" w:type="dxa"/>
          </w:tcPr>
          <w:p w:rsidR="00726F0B" w:rsidRPr="00793EF3" w:rsidRDefault="00726F0B" w:rsidP="00F70BD6">
            <w:pPr>
              <w:jc w:val="left"/>
              <w:rPr>
                <w:rFonts w:ascii="Arial Narrow" w:hAnsi="Arial Narrow"/>
                <w:sz w:val="19"/>
                <w:szCs w:val="19"/>
              </w:rPr>
            </w:pPr>
            <w:proofErr w:type="spellStart"/>
            <w:r w:rsidRPr="00793EF3">
              <w:rPr>
                <w:rFonts w:ascii="Arial Narrow" w:hAnsi="Arial Narrow"/>
                <w:sz w:val="19"/>
                <w:szCs w:val="19"/>
              </w:rPr>
              <w:t>Obinutuzumab</w:t>
            </w:r>
            <w:proofErr w:type="spellEnd"/>
            <w:r w:rsidRPr="00793EF3">
              <w:rPr>
                <w:rFonts w:ascii="Arial Narrow" w:hAnsi="Arial Narrow"/>
                <w:sz w:val="19"/>
                <w:szCs w:val="19"/>
              </w:rPr>
              <w:t xml:space="preserve"> +chlorambucil vs rituximab +chlorambucil</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 xml:space="preserve">Serious infusion-related reactions, RD (95% CI): </w:t>
            </w:r>
            <w:r w:rsidRPr="00793EF3">
              <w:rPr>
                <w:rFonts w:ascii="Arial Narrow" w:hAnsi="Arial Narrow"/>
                <w:sz w:val="19"/>
                <w:szCs w:val="19"/>
              </w:rPr>
              <w:br/>
            </w:r>
            <w:r w:rsidR="005079C4">
              <w:rPr>
                <w:rFonts w:ascii="Arial Narrow" w:hAnsi="Arial Narrow"/>
                <w:b/>
                <w:noProof/>
                <w:color w:val="000000"/>
                <w:sz w:val="19"/>
                <w:szCs w:val="19"/>
                <w:highlight w:val="black"/>
              </w:rPr>
              <w:t>'''''' ''''''''' ''''''''''</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Serious neutropenia, RD (95% CI):</w:t>
            </w:r>
            <w:r w:rsidRPr="00793EF3">
              <w:t xml:space="preserve"> </w:t>
            </w:r>
            <w:r w:rsidRPr="00793EF3">
              <w:br/>
            </w:r>
            <w:r w:rsidR="005079C4">
              <w:rPr>
                <w:rFonts w:ascii="Arial Narrow" w:hAnsi="Arial Narrow"/>
                <w:noProof/>
                <w:color w:val="000000"/>
                <w:sz w:val="19"/>
                <w:szCs w:val="19"/>
                <w:highlight w:val="black"/>
              </w:rPr>
              <w:t>''''''''' '''''''''''''' ''''''''''</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 xml:space="preserve">Serious thrombocytopenia, RD (95% CI): </w:t>
            </w:r>
            <w:r w:rsidRPr="00793EF3">
              <w:rPr>
                <w:rFonts w:ascii="Arial Narrow" w:hAnsi="Arial Narrow"/>
                <w:sz w:val="19"/>
                <w:szCs w:val="19"/>
              </w:rPr>
              <w:br/>
            </w:r>
            <w:r w:rsidR="005079C4">
              <w:rPr>
                <w:rFonts w:ascii="Arial Narrow" w:hAnsi="Arial Narrow"/>
                <w:noProof/>
                <w:color w:val="000000"/>
                <w:sz w:val="19"/>
                <w:szCs w:val="19"/>
                <w:highlight w:val="black"/>
              </w:rPr>
              <w:t>''''''''' '''''''''''' ''''''''''</w:t>
            </w:r>
          </w:p>
          <w:p w:rsidR="00726F0B" w:rsidRPr="00793EF3" w:rsidRDefault="00726F0B" w:rsidP="00F70BD6">
            <w:pPr>
              <w:jc w:val="left"/>
              <w:rPr>
                <w:rFonts w:ascii="Arial Narrow" w:hAnsi="Arial Narrow"/>
                <w:sz w:val="19"/>
                <w:szCs w:val="19"/>
              </w:rPr>
            </w:pPr>
          </w:p>
          <w:p w:rsidR="00726F0B" w:rsidRPr="00793EF3" w:rsidRDefault="00726F0B" w:rsidP="00F70BD6">
            <w:pPr>
              <w:jc w:val="left"/>
              <w:rPr>
                <w:rFonts w:ascii="Arial Narrow" w:hAnsi="Arial Narrow"/>
                <w:sz w:val="19"/>
                <w:szCs w:val="19"/>
              </w:rPr>
            </w:pPr>
            <w:proofErr w:type="spellStart"/>
            <w:r w:rsidRPr="00793EF3">
              <w:rPr>
                <w:rFonts w:ascii="Arial Narrow" w:hAnsi="Arial Narrow"/>
                <w:sz w:val="19"/>
                <w:szCs w:val="19"/>
              </w:rPr>
              <w:t>Obinutuzumab</w:t>
            </w:r>
            <w:proofErr w:type="spellEnd"/>
            <w:r w:rsidRPr="00793EF3">
              <w:rPr>
                <w:rFonts w:ascii="Arial Narrow" w:hAnsi="Arial Narrow"/>
                <w:sz w:val="19"/>
                <w:szCs w:val="19"/>
              </w:rPr>
              <w:t xml:space="preserve"> +chlorambucil vs chlorambucil</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 xml:space="preserve">Serious infusion-related reactions, RD (95% CI): </w:t>
            </w:r>
            <w:r w:rsidRPr="00793EF3">
              <w:rPr>
                <w:rFonts w:ascii="Arial Narrow" w:hAnsi="Arial Narrow"/>
                <w:sz w:val="19"/>
                <w:szCs w:val="19"/>
              </w:rPr>
              <w:br/>
            </w:r>
            <w:r w:rsidR="005079C4">
              <w:rPr>
                <w:rFonts w:ascii="Arial Narrow" w:hAnsi="Arial Narrow"/>
                <w:b/>
                <w:noProof/>
                <w:color w:val="000000"/>
                <w:sz w:val="19"/>
                <w:szCs w:val="19"/>
                <w:highlight w:val="black"/>
              </w:rPr>
              <w:t>'''''''' ''''''''' '''''''''</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 xml:space="preserve">Serious neutropenia, RD (95% CI): </w:t>
            </w:r>
            <w:r w:rsidRPr="00793EF3">
              <w:rPr>
                <w:rFonts w:ascii="Arial Narrow" w:hAnsi="Arial Narrow"/>
                <w:sz w:val="19"/>
                <w:szCs w:val="19"/>
              </w:rPr>
              <w:br/>
              <w:t>-2.3 (-6.8, 2.3)</w:t>
            </w:r>
          </w:p>
          <w:p w:rsidR="00726F0B" w:rsidRPr="005079C4" w:rsidRDefault="00726F0B" w:rsidP="00F70BD6">
            <w:pPr>
              <w:jc w:val="left"/>
              <w:rPr>
                <w:rFonts w:ascii="Arial Narrow" w:hAnsi="Arial Narrow"/>
                <w:sz w:val="19"/>
                <w:szCs w:val="19"/>
              </w:rPr>
            </w:pPr>
            <w:r w:rsidRPr="00793EF3">
              <w:rPr>
                <w:rFonts w:ascii="Arial Narrow" w:hAnsi="Arial Narrow"/>
                <w:sz w:val="19"/>
                <w:szCs w:val="19"/>
              </w:rPr>
              <w:t xml:space="preserve">Serious thrombocytopenia, RD (95% CI): </w:t>
            </w:r>
            <w:r w:rsidRPr="00793EF3">
              <w:rPr>
                <w:rFonts w:ascii="Arial Narrow" w:hAnsi="Arial Narrow"/>
                <w:sz w:val="19"/>
                <w:szCs w:val="19"/>
              </w:rPr>
              <w:br/>
            </w:r>
            <w:r w:rsidR="005079C4">
              <w:rPr>
                <w:rFonts w:ascii="Arial Narrow" w:hAnsi="Arial Narrow"/>
                <w:noProof/>
                <w:color w:val="000000"/>
                <w:sz w:val="19"/>
                <w:szCs w:val="19"/>
                <w:highlight w:val="black"/>
              </w:rPr>
              <w:t>''' '''''''''''' '''''''''</w:t>
            </w:r>
          </w:p>
          <w:p w:rsidR="00726F0B" w:rsidRPr="00793EF3" w:rsidRDefault="00726F0B" w:rsidP="00F70BD6">
            <w:pPr>
              <w:jc w:val="left"/>
              <w:rPr>
                <w:rFonts w:ascii="Arial Narrow" w:hAnsi="Arial Narrow"/>
                <w:sz w:val="19"/>
                <w:szCs w:val="19"/>
              </w:rPr>
            </w:pPr>
          </w:p>
          <w:p w:rsidR="00726F0B" w:rsidRPr="00793EF3" w:rsidRDefault="00726F0B" w:rsidP="00F70BD6">
            <w:pPr>
              <w:jc w:val="left"/>
              <w:rPr>
                <w:rFonts w:ascii="Arial Narrow" w:hAnsi="Arial Narrow"/>
                <w:sz w:val="19"/>
                <w:szCs w:val="19"/>
              </w:rPr>
            </w:pPr>
            <w:r w:rsidRPr="00793EF3">
              <w:rPr>
                <w:rFonts w:ascii="Arial Narrow" w:hAnsi="Arial Narrow"/>
                <w:b/>
                <w:sz w:val="19"/>
                <w:szCs w:val="19"/>
              </w:rPr>
              <w:t>PBAC Comment:</w:t>
            </w:r>
            <w:r w:rsidRPr="00793EF3">
              <w:rPr>
                <w:rFonts w:ascii="Arial Narrow" w:hAnsi="Arial Narrow"/>
                <w:sz w:val="19"/>
                <w:szCs w:val="19"/>
              </w:rPr>
              <w:t xml:space="preserve"> Inferior safety profile accepted.</w:t>
            </w:r>
          </w:p>
        </w:tc>
        <w:tc>
          <w:tcPr>
            <w:tcW w:w="3796" w:type="dxa"/>
          </w:tcPr>
          <w:p w:rsidR="00726F0B" w:rsidRPr="00793EF3" w:rsidRDefault="00726F0B" w:rsidP="00F70BD6">
            <w:pPr>
              <w:jc w:val="left"/>
              <w:rPr>
                <w:rFonts w:ascii="Arial Narrow" w:hAnsi="Arial Narrow"/>
                <w:sz w:val="19"/>
                <w:szCs w:val="19"/>
              </w:rPr>
            </w:pPr>
            <w:proofErr w:type="spellStart"/>
            <w:r w:rsidRPr="00793EF3">
              <w:rPr>
                <w:rFonts w:ascii="Arial Narrow" w:hAnsi="Arial Narrow"/>
                <w:sz w:val="19"/>
                <w:szCs w:val="19"/>
              </w:rPr>
              <w:t>Obinutuzumab</w:t>
            </w:r>
            <w:proofErr w:type="spellEnd"/>
            <w:r w:rsidRPr="00793EF3">
              <w:rPr>
                <w:rFonts w:ascii="Arial Narrow" w:hAnsi="Arial Narrow"/>
                <w:sz w:val="19"/>
                <w:szCs w:val="19"/>
              </w:rPr>
              <w:t xml:space="preserve"> +chlorambucil vs rituximab +chlorambucil</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 xml:space="preserve">Serious infusion-related reactions, RD (95% CI): </w:t>
            </w:r>
            <w:r w:rsidRPr="00793EF3">
              <w:rPr>
                <w:rFonts w:ascii="Arial Narrow" w:hAnsi="Arial Narrow"/>
                <w:sz w:val="19"/>
                <w:szCs w:val="19"/>
              </w:rPr>
              <w:br/>
            </w:r>
            <w:r w:rsidR="005079C4">
              <w:rPr>
                <w:rFonts w:ascii="Arial Narrow" w:hAnsi="Arial Narrow"/>
                <w:b/>
                <w:noProof/>
                <w:color w:val="000000"/>
                <w:sz w:val="19"/>
                <w:szCs w:val="19"/>
                <w:highlight w:val="black"/>
              </w:rPr>
              <w:t>'''''' '''''''''''''''''''</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Serious neutropenia, RD (95% CI):</w:t>
            </w:r>
            <w:r w:rsidRPr="00793EF3">
              <w:t xml:space="preserve"> </w:t>
            </w:r>
            <w:r w:rsidRPr="00793EF3">
              <w:br/>
            </w:r>
            <w:r w:rsidR="005079C4">
              <w:rPr>
                <w:rFonts w:ascii="Arial Narrow" w:hAnsi="Arial Narrow"/>
                <w:noProof/>
                <w:color w:val="000000"/>
                <w:sz w:val="19"/>
                <w:szCs w:val="19"/>
                <w:highlight w:val="black"/>
              </w:rPr>
              <w:t>''''''' '''''''''''' '''''''''</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 xml:space="preserve">Serious thrombocytopenia, RD (95% CI): </w:t>
            </w:r>
            <w:r w:rsidRPr="00793EF3">
              <w:rPr>
                <w:rFonts w:ascii="Arial Narrow" w:hAnsi="Arial Narrow"/>
                <w:sz w:val="19"/>
                <w:szCs w:val="19"/>
              </w:rPr>
              <w:br/>
            </w:r>
            <w:r w:rsidR="005079C4">
              <w:rPr>
                <w:rFonts w:ascii="Arial Narrow" w:hAnsi="Arial Narrow"/>
                <w:noProof/>
                <w:color w:val="000000"/>
                <w:sz w:val="19"/>
                <w:szCs w:val="19"/>
                <w:highlight w:val="black"/>
              </w:rPr>
              <w:t>'''''''' ''''''''''''' ''''''''''</w:t>
            </w:r>
          </w:p>
          <w:p w:rsidR="00726F0B" w:rsidRPr="00793EF3" w:rsidRDefault="00726F0B" w:rsidP="00F70BD6">
            <w:pPr>
              <w:jc w:val="left"/>
              <w:rPr>
                <w:rFonts w:ascii="Arial Narrow" w:hAnsi="Arial Narrow"/>
                <w:sz w:val="19"/>
                <w:szCs w:val="19"/>
              </w:rPr>
            </w:pPr>
          </w:p>
          <w:p w:rsidR="00726F0B" w:rsidRPr="00793EF3" w:rsidRDefault="00726F0B" w:rsidP="00F70BD6">
            <w:pPr>
              <w:jc w:val="left"/>
              <w:rPr>
                <w:rFonts w:ascii="Arial Narrow" w:hAnsi="Arial Narrow"/>
                <w:sz w:val="19"/>
                <w:szCs w:val="19"/>
              </w:rPr>
            </w:pPr>
            <w:proofErr w:type="spellStart"/>
            <w:r w:rsidRPr="00793EF3">
              <w:rPr>
                <w:rFonts w:ascii="Arial Narrow" w:hAnsi="Arial Narrow"/>
                <w:sz w:val="19"/>
                <w:szCs w:val="19"/>
              </w:rPr>
              <w:t>Obinutuzumab</w:t>
            </w:r>
            <w:proofErr w:type="spellEnd"/>
            <w:r w:rsidRPr="00793EF3">
              <w:rPr>
                <w:rFonts w:ascii="Arial Narrow" w:hAnsi="Arial Narrow"/>
                <w:sz w:val="19"/>
                <w:szCs w:val="19"/>
              </w:rPr>
              <w:t xml:space="preserve"> +chlorambucil vs chlorambucil</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Serious infusion-related reactions, RD (95% CI):</w:t>
            </w:r>
            <w:r w:rsidRPr="00793EF3">
              <w:t xml:space="preserve"> </w:t>
            </w:r>
            <w:r w:rsidRPr="00793EF3">
              <w:br/>
            </w:r>
            <w:r w:rsidR="005079C4">
              <w:rPr>
                <w:rFonts w:ascii="Arial Narrow" w:hAnsi="Arial Narrow"/>
                <w:b/>
                <w:noProof/>
                <w:color w:val="000000"/>
                <w:sz w:val="19"/>
                <w:szCs w:val="19"/>
                <w:highlight w:val="black"/>
              </w:rPr>
              <w:t>''''''''' '''''''''' '''''''''''</w:t>
            </w:r>
          </w:p>
          <w:p w:rsidR="00726F0B" w:rsidRPr="00793EF3" w:rsidRDefault="00726F0B" w:rsidP="00F70BD6">
            <w:pPr>
              <w:jc w:val="left"/>
              <w:rPr>
                <w:rFonts w:ascii="Arial Narrow" w:hAnsi="Arial Narrow"/>
                <w:sz w:val="19"/>
                <w:szCs w:val="19"/>
              </w:rPr>
            </w:pPr>
            <w:r w:rsidRPr="00793EF3">
              <w:rPr>
                <w:rFonts w:ascii="Arial Narrow" w:hAnsi="Arial Narrow"/>
                <w:sz w:val="19"/>
                <w:szCs w:val="19"/>
              </w:rPr>
              <w:t xml:space="preserve">Serious neutropenia, RD (95% CI): </w:t>
            </w:r>
            <w:r w:rsidRPr="00793EF3">
              <w:rPr>
                <w:rFonts w:ascii="Arial Narrow" w:hAnsi="Arial Narrow"/>
                <w:sz w:val="19"/>
                <w:szCs w:val="19"/>
              </w:rPr>
              <w:br/>
            </w:r>
            <w:r w:rsidR="005079C4">
              <w:rPr>
                <w:rFonts w:ascii="Arial Narrow" w:hAnsi="Arial Narrow"/>
                <w:noProof/>
                <w:color w:val="000000"/>
                <w:sz w:val="19"/>
                <w:szCs w:val="19"/>
                <w:highlight w:val="black"/>
              </w:rPr>
              <w:t>'''''''''' ''''''''''' '''''''''</w:t>
            </w:r>
          </w:p>
          <w:p w:rsidR="00726F0B" w:rsidRPr="00793EF3" w:rsidRDefault="00726F0B" w:rsidP="00563397">
            <w:pPr>
              <w:jc w:val="left"/>
              <w:rPr>
                <w:rFonts w:ascii="Arial Narrow" w:hAnsi="Arial Narrow"/>
                <w:color w:val="0000FF"/>
                <w:sz w:val="19"/>
                <w:szCs w:val="19"/>
              </w:rPr>
            </w:pPr>
            <w:r w:rsidRPr="00793EF3">
              <w:rPr>
                <w:rFonts w:ascii="Arial Narrow" w:hAnsi="Arial Narrow"/>
                <w:sz w:val="19"/>
                <w:szCs w:val="19"/>
              </w:rPr>
              <w:t xml:space="preserve">Serious thrombocytopenia, RD (95% CI): </w:t>
            </w:r>
            <w:r w:rsidRPr="00793EF3">
              <w:rPr>
                <w:rFonts w:ascii="Arial Narrow" w:hAnsi="Arial Narrow"/>
                <w:sz w:val="19"/>
                <w:szCs w:val="19"/>
              </w:rPr>
              <w:br/>
            </w:r>
            <w:r w:rsidR="005079C4">
              <w:rPr>
                <w:rFonts w:ascii="Arial Narrow" w:hAnsi="Arial Narrow"/>
                <w:noProof/>
                <w:color w:val="000000"/>
                <w:sz w:val="19"/>
                <w:szCs w:val="19"/>
                <w:highlight w:val="black"/>
              </w:rPr>
              <w:t>''' '''''''''''' '''''''''</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t>Clinical claim</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Superior efficacy and inferior safety compared to chlorambucil</w:t>
            </w:r>
          </w:p>
          <w:p w:rsidR="00726F0B" w:rsidRPr="000A1967" w:rsidRDefault="00726F0B" w:rsidP="00F70BD6">
            <w:pPr>
              <w:jc w:val="left"/>
              <w:rPr>
                <w:rFonts w:ascii="Arial Narrow" w:hAnsi="Arial Narrow"/>
                <w:sz w:val="19"/>
                <w:szCs w:val="19"/>
              </w:rPr>
            </w:pP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Superior efficacy and inferior safety compared to rituximab plus chlorambucil</w:t>
            </w:r>
          </w:p>
          <w:p w:rsidR="00726F0B" w:rsidRPr="000A1967" w:rsidRDefault="00726F0B" w:rsidP="00F70BD6">
            <w:pPr>
              <w:jc w:val="left"/>
              <w:rPr>
                <w:rFonts w:ascii="Arial Narrow" w:hAnsi="Arial Narrow"/>
                <w:b/>
                <w:sz w:val="19"/>
                <w:szCs w:val="19"/>
              </w:rPr>
            </w:pPr>
          </w:p>
          <w:p w:rsidR="00726F0B" w:rsidRPr="000A1967" w:rsidRDefault="00726F0B" w:rsidP="00F70BD6">
            <w:pPr>
              <w:jc w:val="left"/>
              <w:rPr>
                <w:rFonts w:ascii="Arial Narrow" w:hAnsi="Arial Narrow"/>
                <w:sz w:val="19"/>
                <w:szCs w:val="19"/>
              </w:rPr>
            </w:pPr>
            <w:r w:rsidRPr="000A1967">
              <w:rPr>
                <w:rFonts w:ascii="Arial Narrow" w:hAnsi="Arial Narrow"/>
                <w:b/>
                <w:sz w:val="19"/>
                <w:szCs w:val="19"/>
              </w:rPr>
              <w:t>PBAC Comment:</w:t>
            </w:r>
            <w:r w:rsidRPr="000A1967">
              <w:rPr>
                <w:rFonts w:ascii="Arial Narrow" w:hAnsi="Arial Narrow"/>
                <w:sz w:val="19"/>
                <w:szCs w:val="19"/>
              </w:rPr>
              <w:t xml:space="preserve"> Claims accepted.</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 xml:space="preserve">No change </w:t>
            </w:r>
            <w:r w:rsidR="00416227" w:rsidRPr="000A1967">
              <w:rPr>
                <w:rFonts w:ascii="Arial Narrow" w:hAnsi="Arial Narrow"/>
                <w:sz w:val="19"/>
                <w:szCs w:val="19"/>
              </w:rPr>
              <w:t xml:space="preserve">to the </w:t>
            </w:r>
            <w:r w:rsidRPr="000A1967">
              <w:rPr>
                <w:rFonts w:ascii="Arial Narrow" w:hAnsi="Arial Narrow"/>
                <w:sz w:val="19"/>
                <w:szCs w:val="19"/>
              </w:rPr>
              <w:t xml:space="preserve">claim in </w:t>
            </w:r>
            <w:r w:rsidR="00416227" w:rsidRPr="000A1967">
              <w:rPr>
                <w:rFonts w:ascii="Arial Narrow" w:hAnsi="Arial Narrow"/>
                <w:sz w:val="19"/>
                <w:szCs w:val="19"/>
              </w:rPr>
              <w:t xml:space="preserve">relation to the </w:t>
            </w:r>
            <w:r w:rsidRPr="000A1967">
              <w:rPr>
                <w:rFonts w:ascii="Arial Narrow" w:hAnsi="Arial Narrow"/>
                <w:sz w:val="19"/>
                <w:szCs w:val="19"/>
              </w:rPr>
              <w:t>main comparators</w:t>
            </w:r>
          </w:p>
          <w:p w:rsidR="00726F0B" w:rsidRPr="000A1967" w:rsidRDefault="00726F0B" w:rsidP="00F70BD6">
            <w:pPr>
              <w:jc w:val="left"/>
              <w:rPr>
                <w:rFonts w:ascii="Arial Narrow" w:hAnsi="Arial Narrow"/>
                <w:sz w:val="19"/>
                <w:szCs w:val="19"/>
              </w:rPr>
            </w:pPr>
          </w:p>
          <w:p w:rsidR="00416227" w:rsidRPr="00793EF3" w:rsidRDefault="00416227" w:rsidP="00F70BD6">
            <w:pPr>
              <w:jc w:val="left"/>
              <w:rPr>
                <w:rFonts w:ascii="Arial Narrow" w:hAnsi="Arial Narrow"/>
                <w:sz w:val="19"/>
                <w:szCs w:val="19"/>
              </w:rPr>
            </w:pPr>
            <w:r w:rsidRPr="00793EF3">
              <w:rPr>
                <w:rFonts w:ascii="Arial Narrow" w:hAnsi="Arial Narrow"/>
                <w:sz w:val="19"/>
                <w:szCs w:val="19"/>
              </w:rPr>
              <w:t>For the comparison against ofatumumab:</w:t>
            </w:r>
          </w:p>
          <w:p w:rsidR="00726F0B" w:rsidRPr="002C2CE8" w:rsidRDefault="00416227" w:rsidP="00CC7394">
            <w:pPr>
              <w:jc w:val="left"/>
              <w:rPr>
                <w:rFonts w:ascii="Arial Narrow" w:hAnsi="Arial Narrow"/>
                <w:sz w:val="19"/>
                <w:szCs w:val="19"/>
              </w:rPr>
            </w:pPr>
            <w:r w:rsidRPr="00793EF3">
              <w:rPr>
                <w:rFonts w:ascii="Arial Narrow" w:hAnsi="Arial Narrow"/>
                <w:sz w:val="19"/>
                <w:szCs w:val="19"/>
              </w:rPr>
              <w:t>The PSCR claimed a statistically significant improvement in PFS (HR=0.32, 95% CI</w:t>
            </w:r>
            <w:proofErr w:type="gramStart"/>
            <w:r w:rsidRPr="00793EF3">
              <w:rPr>
                <w:rFonts w:ascii="Arial Narrow" w:hAnsi="Arial Narrow"/>
                <w:sz w:val="19"/>
                <w:szCs w:val="19"/>
              </w:rPr>
              <w:t>:0.</w:t>
            </w:r>
            <w:r w:rsidR="00CC7394" w:rsidRPr="00793EF3">
              <w:rPr>
                <w:rFonts w:ascii="Arial Narrow" w:hAnsi="Arial Narrow"/>
                <w:sz w:val="19"/>
                <w:szCs w:val="19"/>
              </w:rPr>
              <w:t>2</w:t>
            </w:r>
            <w:r w:rsidRPr="00793EF3">
              <w:rPr>
                <w:rFonts w:ascii="Arial Narrow" w:hAnsi="Arial Narrow"/>
                <w:sz w:val="19"/>
                <w:szCs w:val="19"/>
              </w:rPr>
              <w:t>2</w:t>
            </w:r>
            <w:proofErr w:type="gramEnd"/>
            <w:r w:rsidRPr="00793EF3">
              <w:rPr>
                <w:rFonts w:ascii="Arial Narrow" w:hAnsi="Arial Narrow"/>
                <w:sz w:val="19"/>
                <w:szCs w:val="19"/>
              </w:rPr>
              <w:t>, 0.45) and time to next anti-</w:t>
            </w:r>
            <w:r w:rsidR="00452B9E" w:rsidRPr="00793EF3">
              <w:rPr>
                <w:rFonts w:ascii="Arial Narrow" w:hAnsi="Arial Narrow"/>
                <w:sz w:val="19"/>
                <w:szCs w:val="19"/>
              </w:rPr>
              <w:t>leukaemia</w:t>
            </w:r>
            <w:r w:rsidRPr="00793EF3">
              <w:rPr>
                <w:rFonts w:ascii="Arial Narrow" w:hAnsi="Arial Narrow"/>
                <w:sz w:val="19"/>
                <w:szCs w:val="19"/>
              </w:rPr>
              <w:t xml:space="preserve"> treatment (HR=</w:t>
            </w:r>
            <w:r w:rsidR="005079C4">
              <w:rPr>
                <w:rFonts w:ascii="Arial Narrow" w:hAnsi="Arial Narrow"/>
                <w:noProof/>
                <w:color w:val="000000"/>
                <w:sz w:val="19"/>
                <w:szCs w:val="19"/>
                <w:highlight w:val="black"/>
              </w:rPr>
              <w:t>''''''''''''</w:t>
            </w:r>
            <w:r w:rsidRPr="00793EF3">
              <w:rPr>
                <w:rFonts w:ascii="Arial Narrow" w:hAnsi="Arial Narrow"/>
                <w:sz w:val="19"/>
                <w:szCs w:val="19"/>
              </w:rPr>
              <w:t xml:space="preserve">, 95% CI: </w:t>
            </w:r>
            <w:r w:rsidR="005079C4">
              <w:rPr>
                <w:rFonts w:ascii="Arial Narrow" w:hAnsi="Arial Narrow"/>
                <w:noProof/>
                <w:color w:val="000000"/>
                <w:sz w:val="19"/>
                <w:szCs w:val="19"/>
                <w:highlight w:val="black"/>
              </w:rPr>
              <w:t>''''''''''' ''''''''''</w:t>
            </w:r>
            <w:r w:rsidRPr="00793EF3">
              <w:rPr>
                <w:rFonts w:ascii="Arial Narrow" w:hAnsi="Arial Narrow"/>
                <w:sz w:val="19"/>
                <w:szCs w:val="19"/>
              </w:rPr>
              <w:t>)</w:t>
            </w:r>
            <w:r w:rsidR="00CC7394" w:rsidRPr="00793EF3">
              <w:rPr>
                <w:rFonts w:ascii="Arial Narrow" w:hAnsi="Arial Narrow"/>
                <w:sz w:val="19"/>
                <w:szCs w:val="19"/>
              </w:rPr>
              <w:t>, and similar safety compar</w:t>
            </w:r>
            <w:r w:rsidR="00913438" w:rsidRPr="00793EF3">
              <w:rPr>
                <w:rFonts w:ascii="Arial Narrow" w:hAnsi="Arial Narrow"/>
                <w:sz w:val="19"/>
                <w:szCs w:val="19"/>
              </w:rPr>
              <w:t>e</w:t>
            </w:r>
            <w:r w:rsidR="00CC7394" w:rsidRPr="00793EF3">
              <w:rPr>
                <w:rFonts w:ascii="Arial Narrow" w:hAnsi="Arial Narrow"/>
                <w:sz w:val="19"/>
                <w:szCs w:val="19"/>
              </w:rPr>
              <w:t>d to ofatumumab</w:t>
            </w:r>
            <w:r w:rsidR="00CC7394" w:rsidRPr="002C2CE8">
              <w:rPr>
                <w:rFonts w:ascii="Arial Narrow" w:hAnsi="Arial Narrow"/>
                <w:sz w:val="19"/>
                <w:szCs w:val="19"/>
              </w:rPr>
              <w:t xml:space="preserve"> plus chlorambucil.</w:t>
            </w:r>
          </w:p>
        </w:tc>
      </w:tr>
      <w:tr w:rsidR="00726F0B" w:rsidRPr="006317AA"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lastRenderedPageBreak/>
              <w:t>Economic evaluation</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Cost-utility model with incremental cost/QAL</w:t>
            </w:r>
            <w:r w:rsidR="00AC2537" w:rsidRPr="000A1967">
              <w:rPr>
                <w:rFonts w:ascii="Arial Narrow" w:hAnsi="Arial Narrow"/>
                <w:sz w:val="19"/>
                <w:szCs w:val="19"/>
              </w:rPr>
              <w:t>Y</w:t>
            </w:r>
          </w:p>
          <w:p w:rsidR="00AC2537" w:rsidRPr="000A1967" w:rsidRDefault="00AC2537" w:rsidP="00AC2537">
            <w:pPr>
              <w:jc w:val="left"/>
              <w:rPr>
                <w:rFonts w:ascii="Arial Narrow" w:hAnsi="Arial Narrow"/>
                <w:sz w:val="19"/>
                <w:szCs w:val="19"/>
              </w:rPr>
            </w:pPr>
          </w:p>
          <w:p w:rsidR="00726F0B" w:rsidRPr="000A1967" w:rsidRDefault="00DB50EB" w:rsidP="00AC2537">
            <w:pPr>
              <w:jc w:val="left"/>
              <w:rPr>
                <w:rFonts w:ascii="Arial Narrow" w:hAnsi="Arial Narrow"/>
                <w:sz w:val="19"/>
                <w:szCs w:val="19"/>
              </w:rPr>
            </w:pPr>
            <w:r w:rsidRPr="000A1967">
              <w:rPr>
                <w:rFonts w:ascii="Arial Narrow" w:hAnsi="Arial Narrow"/>
                <w:sz w:val="19"/>
                <w:szCs w:val="19"/>
              </w:rPr>
              <w:t xml:space="preserve">Model structure: </w:t>
            </w:r>
            <w:r w:rsidR="00AC2537" w:rsidRPr="000A1967">
              <w:rPr>
                <w:rFonts w:ascii="Arial Narrow" w:hAnsi="Arial Narrow"/>
                <w:sz w:val="19"/>
                <w:szCs w:val="19"/>
              </w:rPr>
              <w:t>Progression-free survival (on treatment, off treatment); Progressive disease; Death</w:t>
            </w:r>
            <w:r w:rsidR="002F22AC" w:rsidRPr="000A1967">
              <w:rPr>
                <w:rFonts w:ascii="Arial Narrow" w:hAnsi="Arial Narrow"/>
                <w:sz w:val="19"/>
                <w:szCs w:val="19"/>
              </w:rPr>
              <w:t>;</w:t>
            </w:r>
          </w:p>
          <w:p w:rsidR="00AC2537" w:rsidRPr="000A1967" w:rsidRDefault="00AC2537" w:rsidP="00F70BD6">
            <w:pPr>
              <w:jc w:val="left"/>
              <w:rPr>
                <w:rFonts w:ascii="Arial Narrow" w:hAnsi="Arial Narrow"/>
                <w:sz w:val="19"/>
                <w:szCs w:val="19"/>
              </w:rPr>
            </w:pPr>
          </w:p>
          <w:p w:rsidR="00DB50EB" w:rsidRPr="000A1967" w:rsidRDefault="00AC2537" w:rsidP="00F70BD6">
            <w:pPr>
              <w:jc w:val="left"/>
              <w:rPr>
                <w:rFonts w:ascii="Arial Narrow" w:hAnsi="Arial Narrow"/>
                <w:sz w:val="19"/>
                <w:szCs w:val="19"/>
              </w:rPr>
            </w:pPr>
            <w:r w:rsidRPr="000A1967">
              <w:rPr>
                <w:rFonts w:ascii="Arial Narrow" w:hAnsi="Arial Narrow"/>
                <w:sz w:val="19"/>
                <w:szCs w:val="19"/>
              </w:rPr>
              <w:t>O</w:t>
            </w:r>
            <w:r w:rsidR="00DB50EB" w:rsidRPr="000A1967">
              <w:rPr>
                <w:rFonts w:ascii="Arial Narrow" w:hAnsi="Arial Narrow"/>
                <w:sz w:val="19"/>
                <w:szCs w:val="19"/>
              </w:rPr>
              <w:t>verall survival:</w:t>
            </w:r>
            <w:r w:rsidRPr="000A1967">
              <w:rPr>
                <w:rFonts w:ascii="Arial Narrow" w:hAnsi="Arial Narrow"/>
                <w:sz w:val="19"/>
                <w:szCs w:val="19"/>
              </w:rPr>
              <w:t xml:space="preserve"> based on CLL11 and CLL5</w:t>
            </w:r>
            <w:r w:rsidR="002F22AC" w:rsidRPr="000A1967">
              <w:rPr>
                <w:rFonts w:ascii="Arial Narrow" w:hAnsi="Arial Narrow"/>
                <w:sz w:val="19"/>
                <w:szCs w:val="19"/>
              </w:rPr>
              <w:t>;</w:t>
            </w:r>
          </w:p>
          <w:p w:rsidR="00AC2537" w:rsidRPr="000A1967" w:rsidRDefault="00AC2537" w:rsidP="00F70BD6">
            <w:pPr>
              <w:jc w:val="left"/>
              <w:rPr>
                <w:rFonts w:ascii="Arial Narrow" w:hAnsi="Arial Narrow"/>
                <w:sz w:val="19"/>
                <w:szCs w:val="19"/>
              </w:rPr>
            </w:pPr>
          </w:p>
          <w:p w:rsidR="00DB50EB" w:rsidRPr="000A1967" w:rsidRDefault="00DB50EB" w:rsidP="00613CA8">
            <w:pPr>
              <w:jc w:val="left"/>
              <w:rPr>
                <w:rFonts w:ascii="Arial Narrow" w:hAnsi="Arial Narrow"/>
                <w:sz w:val="19"/>
                <w:szCs w:val="19"/>
              </w:rPr>
            </w:pPr>
            <w:r w:rsidRPr="000A1967">
              <w:rPr>
                <w:rFonts w:ascii="Arial Narrow" w:hAnsi="Arial Narrow"/>
                <w:sz w:val="19"/>
                <w:szCs w:val="19"/>
              </w:rPr>
              <w:t>Parametric extrapolation</w:t>
            </w:r>
            <w:r w:rsidR="005D46EB" w:rsidRPr="000A1967">
              <w:rPr>
                <w:rFonts w:ascii="Arial Narrow" w:hAnsi="Arial Narrow"/>
                <w:sz w:val="19"/>
                <w:szCs w:val="19"/>
              </w:rPr>
              <w:t xml:space="preserve">: </w:t>
            </w:r>
            <w:proofErr w:type="spellStart"/>
            <w:r w:rsidR="00613CA8" w:rsidRPr="000A1967">
              <w:rPr>
                <w:rFonts w:ascii="Arial Narrow" w:hAnsi="Arial Narrow"/>
                <w:sz w:val="19"/>
                <w:szCs w:val="19"/>
              </w:rPr>
              <w:t>Gompertz</w:t>
            </w:r>
            <w:proofErr w:type="spellEnd"/>
            <w:r w:rsidR="00613CA8" w:rsidRPr="000A1967">
              <w:rPr>
                <w:rFonts w:ascii="Arial Narrow" w:hAnsi="Arial Narrow"/>
                <w:sz w:val="19"/>
                <w:szCs w:val="19"/>
              </w:rPr>
              <w:t xml:space="preserve"> and gamma (Stage 1a); </w:t>
            </w:r>
            <w:proofErr w:type="spellStart"/>
            <w:r w:rsidR="00613CA8" w:rsidRPr="000A1967">
              <w:rPr>
                <w:rFonts w:ascii="Arial Narrow" w:hAnsi="Arial Narrow"/>
                <w:sz w:val="19"/>
                <w:szCs w:val="19"/>
              </w:rPr>
              <w:t>Gompertz</w:t>
            </w:r>
            <w:proofErr w:type="spellEnd"/>
            <w:r w:rsidR="00613CA8" w:rsidRPr="000A1967">
              <w:rPr>
                <w:rFonts w:ascii="Arial Narrow" w:hAnsi="Arial Narrow"/>
                <w:sz w:val="19"/>
                <w:szCs w:val="19"/>
              </w:rPr>
              <w:t xml:space="preserve"> and log-logistic (Stage 2);</w:t>
            </w:r>
          </w:p>
          <w:p w:rsidR="00516EFB" w:rsidRPr="000A1967" w:rsidRDefault="00516EFB" w:rsidP="00613CA8">
            <w:pPr>
              <w:jc w:val="left"/>
              <w:rPr>
                <w:rFonts w:ascii="Arial Narrow" w:hAnsi="Arial Narrow"/>
                <w:sz w:val="19"/>
                <w:szCs w:val="19"/>
              </w:rPr>
            </w:pPr>
          </w:p>
          <w:p w:rsidR="00516EFB" w:rsidRPr="000A1967" w:rsidRDefault="00516EFB" w:rsidP="00613CA8">
            <w:pPr>
              <w:jc w:val="left"/>
              <w:rPr>
                <w:rFonts w:ascii="Arial Narrow" w:hAnsi="Arial Narrow"/>
                <w:sz w:val="19"/>
                <w:szCs w:val="19"/>
              </w:rPr>
            </w:pPr>
            <w:r w:rsidRPr="000A1967">
              <w:rPr>
                <w:rFonts w:ascii="Arial Narrow" w:hAnsi="Arial Narrow"/>
                <w:sz w:val="19"/>
                <w:szCs w:val="19"/>
              </w:rPr>
              <w:t xml:space="preserve">Costs: </w:t>
            </w:r>
            <w:r w:rsidR="00F1430A" w:rsidRPr="000A1967">
              <w:rPr>
                <w:rFonts w:ascii="Arial Narrow" w:hAnsi="Arial Narrow"/>
                <w:sz w:val="19"/>
                <w:szCs w:val="19"/>
              </w:rPr>
              <w:t xml:space="preserve">drug acquisition, premedications, </w:t>
            </w:r>
            <w:r w:rsidR="007E3CD5" w:rsidRPr="000A1967">
              <w:rPr>
                <w:rFonts w:ascii="Arial Narrow" w:hAnsi="Arial Narrow"/>
                <w:sz w:val="19"/>
                <w:szCs w:val="19"/>
              </w:rPr>
              <w:t xml:space="preserve">IV </w:t>
            </w:r>
            <w:r w:rsidR="00F1430A" w:rsidRPr="000A1967">
              <w:rPr>
                <w:rFonts w:ascii="Arial Narrow" w:hAnsi="Arial Narrow"/>
                <w:sz w:val="19"/>
                <w:szCs w:val="19"/>
              </w:rPr>
              <w:t xml:space="preserve">administration, </w:t>
            </w:r>
            <w:r w:rsidR="00111913" w:rsidRPr="000A1967">
              <w:rPr>
                <w:rFonts w:ascii="Arial Narrow" w:hAnsi="Arial Narrow"/>
                <w:sz w:val="19"/>
                <w:szCs w:val="19"/>
              </w:rPr>
              <w:t xml:space="preserve">medical resource use, </w:t>
            </w:r>
            <w:r w:rsidR="00B01DE4" w:rsidRPr="000A1967">
              <w:rPr>
                <w:rFonts w:ascii="Arial Narrow" w:hAnsi="Arial Narrow"/>
                <w:sz w:val="19"/>
                <w:szCs w:val="19"/>
              </w:rPr>
              <w:t xml:space="preserve">selected </w:t>
            </w:r>
            <w:r w:rsidR="007E3CD5" w:rsidRPr="000A1967">
              <w:rPr>
                <w:rFonts w:ascii="Arial Narrow" w:hAnsi="Arial Narrow"/>
                <w:sz w:val="19"/>
                <w:szCs w:val="19"/>
              </w:rPr>
              <w:t xml:space="preserve">serious </w:t>
            </w:r>
            <w:r w:rsidR="00B01DE4" w:rsidRPr="000A1967">
              <w:rPr>
                <w:rFonts w:ascii="Arial Narrow" w:hAnsi="Arial Narrow"/>
                <w:sz w:val="19"/>
                <w:szCs w:val="19"/>
              </w:rPr>
              <w:t>adverse events</w:t>
            </w:r>
          </w:p>
          <w:p w:rsidR="00726F0B" w:rsidRPr="000A1967" w:rsidRDefault="00726F0B" w:rsidP="00F70BD6">
            <w:pPr>
              <w:jc w:val="left"/>
              <w:rPr>
                <w:rFonts w:ascii="Arial Narrow" w:hAnsi="Arial Narrow"/>
                <w:sz w:val="19"/>
                <w:szCs w:val="19"/>
              </w:rPr>
            </w:pPr>
          </w:p>
          <w:p w:rsidR="00726F0B" w:rsidRPr="000A1967" w:rsidRDefault="00726F0B" w:rsidP="00F70BD6">
            <w:pPr>
              <w:jc w:val="left"/>
              <w:rPr>
                <w:rFonts w:ascii="Arial Narrow" w:hAnsi="Arial Narrow"/>
                <w:sz w:val="19"/>
                <w:szCs w:val="19"/>
              </w:rPr>
            </w:pPr>
            <w:r w:rsidRPr="000A1967">
              <w:rPr>
                <w:rFonts w:ascii="Arial Narrow" w:hAnsi="Arial Narrow"/>
                <w:b/>
                <w:sz w:val="19"/>
                <w:szCs w:val="19"/>
              </w:rPr>
              <w:t xml:space="preserve">PBAC Comment: </w:t>
            </w:r>
            <w:r w:rsidRPr="000A1967">
              <w:rPr>
                <w:rFonts w:ascii="Arial Narrow" w:hAnsi="Arial Narrow"/>
                <w:sz w:val="19"/>
                <w:szCs w:val="19"/>
              </w:rPr>
              <w:t>ICERs not accepted because the economic model was deemed inappropriate in terms of structure, inputs and outcomes</w:t>
            </w:r>
          </w:p>
        </w:tc>
        <w:tc>
          <w:tcPr>
            <w:tcW w:w="3796" w:type="dxa"/>
          </w:tcPr>
          <w:p w:rsidR="00726F0B" w:rsidRPr="006317AA" w:rsidRDefault="00726F0B" w:rsidP="00F70BD6">
            <w:pPr>
              <w:jc w:val="left"/>
              <w:rPr>
                <w:rFonts w:ascii="Arial Narrow" w:hAnsi="Arial Narrow"/>
                <w:sz w:val="19"/>
                <w:szCs w:val="19"/>
              </w:rPr>
            </w:pPr>
            <w:r w:rsidRPr="006317AA">
              <w:rPr>
                <w:rFonts w:ascii="Arial Narrow" w:hAnsi="Arial Narrow"/>
                <w:sz w:val="19"/>
                <w:szCs w:val="19"/>
              </w:rPr>
              <w:t>Cost-utility model with incremental cost/QALY</w:t>
            </w:r>
          </w:p>
          <w:p w:rsidR="00AC2537" w:rsidRPr="006317AA" w:rsidRDefault="00AC2537" w:rsidP="00AC2537">
            <w:pPr>
              <w:jc w:val="left"/>
              <w:rPr>
                <w:rFonts w:ascii="Arial Narrow" w:hAnsi="Arial Narrow"/>
                <w:sz w:val="19"/>
                <w:szCs w:val="19"/>
              </w:rPr>
            </w:pPr>
          </w:p>
          <w:p w:rsidR="00AC2537" w:rsidRPr="006317AA" w:rsidRDefault="00AC2537" w:rsidP="00AC2537">
            <w:pPr>
              <w:jc w:val="left"/>
              <w:rPr>
                <w:rFonts w:ascii="Arial Narrow" w:hAnsi="Arial Narrow"/>
                <w:sz w:val="19"/>
                <w:szCs w:val="19"/>
              </w:rPr>
            </w:pPr>
            <w:r w:rsidRPr="006317AA">
              <w:rPr>
                <w:rFonts w:ascii="Arial Narrow" w:hAnsi="Arial Narrow"/>
                <w:sz w:val="19"/>
                <w:szCs w:val="19"/>
              </w:rPr>
              <w:t>Model structure: Progression-free survival (on treatment, off treatment); Asymptomatic progression; Symptomatic progression (on treatment, off treatment, subsequent progression); Death;</w:t>
            </w:r>
          </w:p>
          <w:p w:rsidR="00AC2537" w:rsidRPr="006317AA" w:rsidRDefault="00AC2537" w:rsidP="00AC2537">
            <w:pPr>
              <w:jc w:val="left"/>
              <w:rPr>
                <w:rFonts w:ascii="Arial Narrow" w:hAnsi="Arial Narrow"/>
                <w:sz w:val="19"/>
                <w:szCs w:val="19"/>
              </w:rPr>
            </w:pPr>
          </w:p>
          <w:p w:rsidR="00AC2537" w:rsidRPr="006317AA" w:rsidRDefault="00AC2537" w:rsidP="00AC2537">
            <w:pPr>
              <w:jc w:val="left"/>
              <w:rPr>
                <w:rFonts w:ascii="Arial Narrow" w:hAnsi="Arial Narrow"/>
                <w:sz w:val="19"/>
                <w:szCs w:val="19"/>
              </w:rPr>
            </w:pPr>
            <w:r w:rsidRPr="006317AA">
              <w:rPr>
                <w:rFonts w:ascii="Arial Narrow" w:hAnsi="Arial Narrow"/>
                <w:sz w:val="19"/>
                <w:szCs w:val="19"/>
              </w:rPr>
              <w:t>Overall survival: based on CLL11;</w:t>
            </w:r>
          </w:p>
          <w:p w:rsidR="00AC2537" w:rsidRPr="006317AA" w:rsidRDefault="00AC2537" w:rsidP="00AC2537">
            <w:pPr>
              <w:jc w:val="left"/>
              <w:rPr>
                <w:rFonts w:ascii="Arial Narrow" w:hAnsi="Arial Narrow"/>
                <w:sz w:val="19"/>
                <w:szCs w:val="19"/>
              </w:rPr>
            </w:pPr>
          </w:p>
          <w:p w:rsidR="00AC2537" w:rsidRPr="006317AA" w:rsidRDefault="00492779" w:rsidP="00492779">
            <w:pPr>
              <w:jc w:val="left"/>
              <w:rPr>
                <w:rFonts w:ascii="Arial Narrow" w:hAnsi="Arial Narrow"/>
                <w:sz w:val="19"/>
                <w:szCs w:val="19"/>
              </w:rPr>
            </w:pPr>
            <w:r w:rsidRPr="006317AA">
              <w:rPr>
                <w:rFonts w:ascii="Arial Narrow" w:hAnsi="Arial Narrow"/>
                <w:sz w:val="19"/>
                <w:szCs w:val="19"/>
              </w:rPr>
              <w:t>Parametric extrapolation: Weibull (Stage 1a); Gamma (Stage 2);</w:t>
            </w:r>
          </w:p>
          <w:p w:rsidR="00516EFB" w:rsidRPr="006317AA" w:rsidRDefault="00516EFB" w:rsidP="00492779">
            <w:pPr>
              <w:jc w:val="left"/>
              <w:rPr>
                <w:rFonts w:ascii="Arial Narrow" w:hAnsi="Arial Narrow"/>
                <w:sz w:val="19"/>
                <w:szCs w:val="19"/>
              </w:rPr>
            </w:pPr>
          </w:p>
          <w:p w:rsidR="00516EFB" w:rsidRPr="006317AA" w:rsidRDefault="0040593E" w:rsidP="0040593E">
            <w:pPr>
              <w:jc w:val="left"/>
              <w:rPr>
                <w:rFonts w:ascii="Arial Narrow" w:hAnsi="Arial Narrow"/>
                <w:sz w:val="19"/>
                <w:szCs w:val="19"/>
              </w:rPr>
            </w:pPr>
            <w:r w:rsidRPr="006317AA">
              <w:rPr>
                <w:rFonts w:ascii="Arial Narrow" w:hAnsi="Arial Narrow"/>
                <w:sz w:val="19"/>
                <w:szCs w:val="19"/>
              </w:rPr>
              <w:t xml:space="preserve">Costs: ADDED </w:t>
            </w:r>
            <w:r w:rsidR="00516EFB" w:rsidRPr="006317AA">
              <w:rPr>
                <w:rFonts w:ascii="Arial Narrow" w:hAnsi="Arial Narrow"/>
                <w:sz w:val="19"/>
                <w:szCs w:val="19"/>
              </w:rPr>
              <w:t>post-progression medical resource use, additional lines of treatment, end of life, adverse events related to secondary malignancies and cardiac events</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t>ICER</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versus rituximab plus chlorambucil;</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versus chlorambucil.</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versus rituximab plus chlorambucil;</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versus chlorambucil.</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t>Number of patients</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in Year 1 increasing to </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in Year 5.</w:t>
            </w:r>
          </w:p>
          <w:p w:rsidR="00726F0B" w:rsidRPr="000A1967" w:rsidRDefault="00726F0B" w:rsidP="00F70BD6">
            <w:pPr>
              <w:jc w:val="left"/>
              <w:rPr>
                <w:rFonts w:ascii="Arial Narrow" w:hAnsi="Arial Narrow"/>
                <w:b/>
                <w:sz w:val="19"/>
                <w:szCs w:val="19"/>
              </w:rPr>
            </w:pPr>
          </w:p>
          <w:p w:rsidR="00726F0B" w:rsidRPr="000A1967" w:rsidRDefault="00726F0B" w:rsidP="00F70BD6">
            <w:pPr>
              <w:jc w:val="left"/>
              <w:rPr>
                <w:rFonts w:ascii="Arial Narrow" w:hAnsi="Arial Narrow"/>
                <w:sz w:val="19"/>
                <w:szCs w:val="19"/>
              </w:rPr>
            </w:pPr>
            <w:r w:rsidRPr="000A1967">
              <w:rPr>
                <w:rFonts w:ascii="Arial Narrow" w:hAnsi="Arial Narrow"/>
                <w:b/>
                <w:sz w:val="19"/>
                <w:szCs w:val="19"/>
              </w:rPr>
              <w:t>PBAC Comment:</w:t>
            </w:r>
            <w:r w:rsidRPr="000A1967">
              <w:rPr>
                <w:rFonts w:ascii="Arial Narrow" w:hAnsi="Arial Narrow"/>
                <w:sz w:val="19"/>
                <w:szCs w:val="19"/>
              </w:rPr>
              <w:t xml:space="preserve"> difficult to reliably estimate the number of patients who are likely to use </w:t>
            </w:r>
            <w:proofErr w:type="spellStart"/>
            <w:r w:rsidRPr="000A1967">
              <w:rPr>
                <w:rFonts w:ascii="Arial Narrow" w:hAnsi="Arial Narrow"/>
                <w:sz w:val="19"/>
                <w:szCs w:val="19"/>
              </w:rPr>
              <w:t>obinutuzumab</w:t>
            </w:r>
            <w:proofErr w:type="spellEnd"/>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in Year 1 increasing to </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in Year 5.</w:t>
            </w:r>
          </w:p>
        </w:tc>
      </w:tr>
      <w:tr w:rsidR="00726F0B" w:rsidRPr="00881BD2" w:rsidTr="00F70BD6">
        <w:trPr>
          <w:cantSplit/>
          <w:trHeight w:val="20"/>
        </w:trPr>
        <w:tc>
          <w:tcPr>
            <w:tcW w:w="851" w:type="dxa"/>
          </w:tcPr>
          <w:p w:rsidR="00726F0B" w:rsidRPr="002239F7" w:rsidRDefault="00726F0B" w:rsidP="00F70BD6">
            <w:pPr>
              <w:jc w:val="left"/>
              <w:rPr>
                <w:rFonts w:ascii="Arial Narrow" w:hAnsi="Arial Narrow"/>
                <w:sz w:val="19"/>
                <w:szCs w:val="19"/>
              </w:rPr>
            </w:pPr>
            <w:r w:rsidRPr="002239F7">
              <w:rPr>
                <w:rFonts w:ascii="Arial Narrow" w:hAnsi="Arial Narrow"/>
                <w:sz w:val="19"/>
                <w:szCs w:val="19"/>
              </w:rPr>
              <w:t>Estimated cost to PBS</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in Year 1 increasing to $</w:t>
            </w:r>
            <w:r w:rsidR="005079C4">
              <w:rPr>
                <w:rFonts w:ascii="Arial Narrow" w:hAnsi="Arial Narrow"/>
                <w:noProof/>
                <w:color w:val="000000"/>
                <w:sz w:val="19"/>
                <w:szCs w:val="19"/>
                <w:highlight w:val="black"/>
              </w:rPr>
              <w:t>'''''''''''''''''''''''</w:t>
            </w:r>
            <w:r w:rsidRPr="000A1967">
              <w:rPr>
                <w:rFonts w:ascii="Arial Narrow" w:hAnsi="Arial Narrow"/>
                <w:sz w:val="19"/>
                <w:szCs w:val="19"/>
              </w:rPr>
              <w:t xml:space="preserve"> in Year 5 for a total of $</w:t>
            </w:r>
            <w:r w:rsidR="005079C4">
              <w:rPr>
                <w:rFonts w:ascii="Arial Narrow" w:hAnsi="Arial Narrow"/>
                <w:noProof/>
                <w:color w:val="000000"/>
                <w:sz w:val="19"/>
                <w:szCs w:val="19"/>
                <w:highlight w:val="black"/>
              </w:rPr>
              <w:t>'''''' ''''''''''''''</w:t>
            </w:r>
            <w:r w:rsidRPr="000A1967">
              <w:rPr>
                <w:rFonts w:ascii="Arial Narrow" w:hAnsi="Arial Narrow"/>
                <w:sz w:val="19"/>
                <w:szCs w:val="19"/>
              </w:rPr>
              <w:t xml:space="preserve"> over the first 5 years of listing (at effective price after rebate).</w:t>
            </w:r>
          </w:p>
          <w:p w:rsidR="00726F0B" w:rsidRPr="000A1967" w:rsidRDefault="00726F0B" w:rsidP="00F70BD6">
            <w:pPr>
              <w:jc w:val="left"/>
              <w:rPr>
                <w:rFonts w:ascii="Arial Narrow" w:hAnsi="Arial Narrow"/>
                <w:sz w:val="19"/>
                <w:szCs w:val="19"/>
              </w:rPr>
            </w:pPr>
          </w:p>
          <w:p w:rsidR="00726F0B" w:rsidRPr="000A1967" w:rsidRDefault="00726F0B" w:rsidP="00F70BD6">
            <w:pPr>
              <w:jc w:val="left"/>
              <w:rPr>
                <w:rFonts w:ascii="Arial Narrow" w:hAnsi="Arial Narrow"/>
                <w:sz w:val="19"/>
                <w:szCs w:val="19"/>
              </w:rPr>
            </w:pPr>
            <w:r w:rsidRPr="000A1967">
              <w:rPr>
                <w:rFonts w:ascii="Arial Narrow" w:hAnsi="Arial Narrow"/>
                <w:b/>
                <w:sz w:val="19"/>
                <w:szCs w:val="19"/>
              </w:rPr>
              <w:t>PBAC Comment:</w:t>
            </w:r>
            <w:r w:rsidRPr="000A1967">
              <w:rPr>
                <w:rFonts w:ascii="Arial Narrow" w:hAnsi="Arial Narrow"/>
                <w:sz w:val="19"/>
                <w:szCs w:val="19"/>
              </w:rPr>
              <w:t xml:space="preserve"> actual cost may be higher or lower due to uncertain estimate of patient numbers and the risk of use outside the restriction</w:t>
            </w:r>
          </w:p>
        </w:tc>
        <w:tc>
          <w:tcPr>
            <w:tcW w:w="3796" w:type="dxa"/>
          </w:tcPr>
          <w:p w:rsidR="00726F0B" w:rsidRPr="000A1967" w:rsidRDefault="00726F0B" w:rsidP="00CB7F4D">
            <w:pPr>
              <w:jc w:val="left"/>
              <w:rPr>
                <w:rFonts w:ascii="Arial Narrow" w:hAnsi="Arial Narrow"/>
                <w:color w:val="0000FF"/>
                <w:sz w:val="19"/>
                <w:szCs w:val="19"/>
              </w:rPr>
            </w:pPr>
            <w:r w:rsidRPr="000A1967">
              <w:rPr>
                <w:rFonts w:ascii="Arial Narrow" w:hAnsi="Arial Narrow"/>
                <w:sz w:val="19"/>
                <w:szCs w:val="19"/>
              </w:rPr>
              <w:t>•</w:t>
            </w:r>
            <w:r w:rsidRPr="00DE189D">
              <w:rPr>
                <w:rFonts w:ascii="Arial Narrow" w:hAnsi="Arial Narrow"/>
                <w:sz w:val="19"/>
                <w:szCs w:val="19"/>
              </w:rPr>
              <w:t>$</w:t>
            </w:r>
            <w:r w:rsidR="005079C4">
              <w:rPr>
                <w:rFonts w:ascii="Arial Narrow" w:hAnsi="Arial Narrow"/>
                <w:noProof/>
                <w:color w:val="000000"/>
                <w:sz w:val="19"/>
                <w:szCs w:val="19"/>
                <w:highlight w:val="black"/>
              </w:rPr>
              <w:t>'''''''''''''''''''''''</w:t>
            </w:r>
            <w:r w:rsidR="00165DDA" w:rsidRPr="00DE189D">
              <w:rPr>
                <w:rFonts w:ascii="Arial Narrow" w:hAnsi="Arial Narrow"/>
                <w:sz w:val="19"/>
                <w:szCs w:val="19"/>
              </w:rPr>
              <w:t xml:space="preserve"> </w:t>
            </w:r>
            <w:r w:rsidRPr="002C2CE8">
              <w:rPr>
                <w:rFonts w:ascii="Arial Narrow" w:hAnsi="Arial Narrow"/>
                <w:sz w:val="19"/>
                <w:szCs w:val="19"/>
              </w:rPr>
              <w:t xml:space="preserve">in Year 1 increasing to </w:t>
            </w:r>
            <w:r w:rsidR="00165DDA" w:rsidRPr="002C2CE8">
              <w:rPr>
                <w:rFonts w:ascii="Arial Narrow" w:hAnsi="Arial Narrow"/>
                <w:sz w:val="19"/>
                <w:szCs w:val="19"/>
              </w:rPr>
              <w:t>$</w:t>
            </w:r>
            <w:r w:rsidR="005079C4">
              <w:rPr>
                <w:rFonts w:ascii="Arial Narrow" w:hAnsi="Arial Narrow"/>
                <w:noProof/>
                <w:color w:val="000000"/>
                <w:sz w:val="19"/>
                <w:szCs w:val="19"/>
                <w:highlight w:val="black"/>
              </w:rPr>
              <w:t xml:space="preserve">'''''''''''''''''''''''''' </w:t>
            </w:r>
            <w:r w:rsidRPr="002239F7">
              <w:rPr>
                <w:rFonts w:ascii="Arial Narrow" w:hAnsi="Arial Narrow"/>
                <w:sz w:val="19"/>
                <w:szCs w:val="19"/>
              </w:rPr>
              <w:t>in Year 5 for a total of $</w:t>
            </w:r>
            <w:r w:rsidR="005079C4">
              <w:rPr>
                <w:rFonts w:ascii="Arial Narrow" w:hAnsi="Arial Narrow"/>
                <w:noProof/>
                <w:color w:val="000000"/>
                <w:sz w:val="19"/>
                <w:szCs w:val="19"/>
                <w:highlight w:val="black"/>
              </w:rPr>
              <w:t>''''''' '''''''''''''''</w:t>
            </w:r>
            <w:r w:rsidRPr="000A1967">
              <w:rPr>
                <w:rFonts w:ascii="Arial Narrow" w:hAnsi="Arial Narrow"/>
                <w:sz w:val="19"/>
                <w:szCs w:val="19"/>
              </w:rPr>
              <w:t xml:space="preserve"> over the first 5 years of listing (at effective price after rebate) </w:t>
            </w:r>
            <w:r w:rsidRPr="000A1967">
              <w:rPr>
                <w:rFonts w:ascii="Arial Narrow" w:hAnsi="Arial Narrow"/>
                <w:sz w:val="19"/>
                <w:szCs w:val="19"/>
              </w:rPr>
              <w:br/>
              <w:t>(values recalculated during evaluation )</w:t>
            </w:r>
          </w:p>
        </w:tc>
      </w:tr>
      <w:tr w:rsidR="00726F0B" w:rsidRPr="00881BD2" w:rsidTr="00F70BD6">
        <w:trPr>
          <w:cantSplit/>
          <w:trHeight w:val="20"/>
        </w:trPr>
        <w:tc>
          <w:tcPr>
            <w:tcW w:w="851" w:type="dxa"/>
          </w:tcPr>
          <w:p w:rsidR="00726F0B" w:rsidRPr="000A1967" w:rsidRDefault="00726F0B" w:rsidP="00F70BD6">
            <w:pPr>
              <w:jc w:val="left"/>
              <w:rPr>
                <w:rFonts w:ascii="Arial Narrow" w:hAnsi="Arial Narrow"/>
                <w:sz w:val="19"/>
                <w:szCs w:val="19"/>
              </w:rPr>
            </w:pPr>
            <w:r w:rsidRPr="002239F7">
              <w:rPr>
                <w:rFonts w:ascii="Arial Narrow" w:hAnsi="Arial Narrow"/>
              </w:rPr>
              <w:br w:type="page"/>
            </w:r>
            <w:r w:rsidRPr="000A1967">
              <w:rPr>
                <w:rFonts w:ascii="Arial Narrow" w:hAnsi="Arial Narrow"/>
                <w:sz w:val="19"/>
                <w:szCs w:val="19"/>
              </w:rPr>
              <w:t>PBAC decision</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•Reject</w:t>
            </w:r>
          </w:p>
          <w:p w:rsidR="00726F0B" w:rsidRPr="000A1967" w:rsidRDefault="00726F0B" w:rsidP="00F70BD6">
            <w:pPr>
              <w:jc w:val="left"/>
              <w:rPr>
                <w:rFonts w:ascii="Arial Narrow" w:hAnsi="Arial Narrow"/>
                <w:sz w:val="19"/>
                <w:szCs w:val="19"/>
              </w:rPr>
            </w:pPr>
            <w:r w:rsidRPr="000A1967">
              <w:rPr>
                <w:rFonts w:ascii="Arial Narrow" w:hAnsi="Arial Narrow"/>
                <w:sz w:val="19"/>
                <w:szCs w:val="19"/>
              </w:rPr>
              <w:t>Item 7.23. Evaluation of a revised economic model structure with appropriate inputs would require a major re submission</w:t>
            </w:r>
            <w:r w:rsidRPr="000A1967">
              <w:rPr>
                <w:rFonts w:ascii="Arial Narrow" w:hAnsi="Arial Narrow"/>
                <w:color w:val="0000FF"/>
                <w:sz w:val="19"/>
                <w:szCs w:val="19"/>
              </w:rPr>
              <w:t>.</w:t>
            </w:r>
          </w:p>
        </w:tc>
        <w:tc>
          <w:tcPr>
            <w:tcW w:w="3796" w:type="dxa"/>
          </w:tcPr>
          <w:p w:rsidR="00726F0B" w:rsidRPr="000A1967" w:rsidRDefault="00726F0B" w:rsidP="00F70BD6">
            <w:pPr>
              <w:jc w:val="left"/>
              <w:rPr>
                <w:rFonts w:ascii="Arial Narrow" w:hAnsi="Arial Narrow"/>
                <w:sz w:val="19"/>
                <w:szCs w:val="19"/>
              </w:rPr>
            </w:pPr>
            <w:r w:rsidRPr="000A1967">
              <w:rPr>
                <w:rFonts w:ascii="Arial Narrow" w:hAnsi="Arial Narrow"/>
                <w:sz w:val="19"/>
                <w:szCs w:val="19"/>
              </w:rPr>
              <w:t>-</w:t>
            </w:r>
          </w:p>
        </w:tc>
      </w:tr>
    </w:tbl>
    <w:p w:rsidR="00726F0B" w:rsidRPr="00881BD2" w:rsidRDefault="00726F0B" w:rsidP="00726F0B">
      <w:pPr>
        <w:pStyle w:val="TableFooter"/>
        <w:ind w:firstLine="720"/>
      </w:pPr>
      <w:r w:rsidRPr="00881BD2">
        <w:t>Source: Compiled during the evaluation</w:t>
      </w:r>
    </w:p>
    <w:p w:rsidR="00726F0B" w:rsidRPr="00881BD2" w:rsidRDefault="00726F0B" w:rsidP="00726F0B">
      <w:pPr>
        <w:pStyle w:val="TableFooter"/>
        <w:ind w:left="709" w:firstLine="11"/>
      </w:pPr>
      <w:r w:rsidRPr="00881BD2">
        <w:t>RD = risk difference; HR = hazard ratio; PFS = Progression-free survival; OS = Overall survival; PSCR = Pre-Sub</w:t>
      </w:r>
      <w:r w:rsidR="00BB3BB0" w:rsidRPr="00881BD2">
        <w:t xml:space="preserve"> </w:t>
      </w:r>
      <w:r w:rsidRPr="00881BD2">
        <w:t>Committee Response; TTNT = Time to next treatment;</w:t>
      </w:r>
      <w:r w:rsidR="00BB3BB0" w:rsidRPr="00881BD2">
        <w:t xml:space="preserve"> IV = intravenous</w:t>
      </w:r>
      <w:r w:rsidR="002F4C14" w:rsidRPr="00881BD2">
        <w:t xml:space="preserve">; DPMA = Dispensed Price for Maximum Amount. </w:t>
      </w:r>
    </w:p>
    <w:p w:rsidR="000872CE" w:rsidRPr="001E4453" w:rsidRDefault="000872CE" w:rsidP="000872CE">
      <w:pPr>
        <w:widowControl/>
      </w:pPr>
    </w:p>
    <w:p w:rsidR="00E45231" w:rsidRPr="002C2CE8" w:rsidRDefault="00E45231" w:rsidP="001E4453">
      <w:pPr>
        <w:pStyle w:val="ListParagraph"/>
        <w:widowControl/>
        <w:numPr>
          <w:ilvl w:val="1"/>
          <w:numId w:val="5"/>
        </w:numPr>
      </w:pPr>
      <w:r w:rsidRPr="002C2CE8">
        <w:t xml:space="preserve">In November 2014, the PBAC recommended ofatumumab for </w:t>
      </w:r>
      <w:r w:rsidR="00FC160C" w:rsidRPr="002C2CE8">
        <w:t>the</w:t>
      </w:r>
      <w:r w:rsidR="00DE0F53" w:rsidRPr="002C2CE8">
        <w:t xml:space="preserve"> </w:t>
      </w:r>
      <w:r w:rsidR="00FC160C" w:rsidRPr="002C2CE8">
        <w:t>treatment of CLL</w:t>
      </w:r>
      <w:r w:rsidR="00DE0F53" w:rsidRPr="002C2CE8">
        <w:t xml:space="preserve"> in previously untreated patients who are </w:t>
      </w:r>
      <w:r w:rsidR="000F0405" w:rsidRPr="002C2CE8">
        <w:t>unable to have</w:t>
      </w:r>
      <w:r w:rsidR="00DE0F53" w:rsidRPr="002C2CE8">
        <w:t xml:space="preserve"> fludarabine</w:t>
      </w:r>
      <w:r w:rsidR="00910ECC">
        <w:t>-</w:t>
      </w:r>
      <w:r w:rsidR="00DE0F53" w:rsidRPr="002C2CE8">
        <w:t>based therapy. Listing was recommended</w:t>
      </w:r>
      <w:r w:rsidR="00FC160C" w:rsidRPr="002C2CE8">
        <w:t xml:space="preserve"> on the basis of a cost-minimisation </w:t>
      </w:r>
      <w:r w:rsidR="00DB1930" w:rsidRPr="002C2CE8">
        <w:t xml:space="preserve">analysis </w:t>
      </w:r>
      <w:r w:rsidR="000F0405" w:rsidRPr="002C2CE8">
        <w:t>compared to</w:t>
      </w:r>
      <w:r w:rsidR="00FC160C" w:rsidRPr="002C2CE8">
        <w:t xml:space="preserve"> rituximab</w:t>
      </w:r>
      <w:r w:rsidR="00DE0F53" w:rsidRPr="002C2CE8">
        <w:t xml:space="preserve">. </w:t>
      </w:r>
      <w:r w:rsidR="00FC160C" w:rsidRPr="002C2CE8">
        <w:t>The PBAC considered tha</w:t>
      </w:r>
      <w:r w:rsidR="000F0405" w:rsidRPr="002C2CE8">
        <w:t>t</w:t>
      </w:r>
      <w:r w:rsidR="00FC160C" w:rsidRPr="002C2CE8">
        <w:t>, based on an indirect comparison using chlorambucil as the common compara</w:t>
      </w:r>
      <w:r w:rsidR="00207C31" w:rsidRPr="002C2CE8">
        <w:t>tor, ofatumumab + chlorambucil wa</w:t>
      </w:r>
      <w:r w:rsidR="00FC160C" w:rsidRPr="002C2CE8">
        <w:t>s unlikely to be superior to rituximab + chlorambucil in the treatment of previously untreated patients with CLL. The PBAC considered both ofatumumab and rituximab significantly prolong PFS when combined with chlorambucil in first line treatment of CLL, and both have an acceptable toxicity profile when combined with chlorambucil in patients unsuitable for fludarabine-based therapy.</w:t>
      </w:r>
    </w:p>
    <w:p w:rsidR="00881BD2" w:rsidRPr="002C2CE8" w:rsidRDefault="00881BD2" w:rsidP="001E4453">
      <w:pPr>
        <w:pStyle w:val="ListParagraph"/>
        <w:widowControl/>
      </w:pPr>
    </w:p>
    <w:p w:rsidR="00E45231" w:rsidRDefault="00FC160C" w:rsidP="002C2CE8">
      <w:pPr>
        <w:pStyle w:val="ListParagraph"/>
        <w:widowControl/>
        <w:numPr>
          <w:ilvl w:val="1"/>
          <w:numId w:val="5"/>
        </w:numPr>
      </w:pPr>
      <w:r w:rsidRPr="002C2CE8">
        <w:t xml:space="preserve">On 1 December 2014, rituximab was listed for the treatment of CLL in combination with chemotherapy. Prior to this, rituximab was </w:t>
      </w:r>
      <w:r w:rsidR="00DB1930" w:rsidRPr="002C2CE8">
        <w:t xml:space="preserve">only </w:t>
      </w:r>
      <w:r w:rsidRPr="002C2CE8">
        <w:t>listed for use in CLL in combination with fludarabine and cyclophosphamide.</w:t>
      </w:r>
    </w:p>
    <w:p w:rsidR="00894290" w:rsidRDefault="00894290" w:rsidP="00075224"/>
    <w:p w:rsidR="00075224" w:rsidRPr="005A2F09" w:rsidRDefault="00075224" w:rsidP="00075224">
      <w:pPr>
        <w:rPr>
          <w:i/>
        </w:rPr>
      </w:pPr>
      <w:r w:rsidRPr="005A2F09">
        <w:rPr>
          <w:i/>
        </w:rPr>
        <w:t>For more detail on PBAC’s view, see section 7 “PBAC outcome”</w:t>
      </w:r>
    </w:p>
    <w:p w:rsidR="00075224" w:rsidRDefault="00075224" w:rsidP="000872CE">
      <w:pPr>
        <w:widowControl/>
      </w:pPr>
    </w:p>
    <w:p w:rsidR="008E27AE" w:rsidRPr="001E4453" w:rsidRDefault="008E27AE" w:rsidP="000872CE">
      <w:pPr>
        <w:widowControl/>
      </w:pPr>
    </w:p>
    <w:p w:rsidR="000872CE" w:rsidRPr="00521D40" w:rsidRDefault="000872CE" w:rsidP="00521D40">
      <w:pPr>
        <w:pStyle w:val="PBACHeading1"/>
      </w:pPr>
      <w:r w:rsidRPr="00521D40">
        <w:t>Clinical place for the proposed therapy</w:t>
      </w:r>
    </w:p>
    <w:p w:rsidR="000872CE" w:rsidRPr="001E4453" w:rsidRDefault="000872CE" w:rsidP="000872CE">
      <w:pPr>
        <w:pStyle w:val="ListParagraph"/>
      </w:pPr>
    </w:p>
    <w:p w:rsidR="00726F0B" w:rsidRPr="00881BD2" w:rsidRDefault="005B43F9" w:rsidP="001F2CBF">
      <w:pPr>
        <w:pStyle w:val="ListParagraph"/>
        <w:widowControl/>
        <w:numPr>
          <w:ilvl w:val="1"/>
          <w:numId w:val="15"/>
        </w:numPr>
      </w:pPr>
      <w:r>
        <w:t>The c</w:t>
      </w:r>
      <w:r w:rsidR="00726F0B" w:rsidRPr="00881BD2">
        <w:t xml:space="preserve">linical place for the proposed therapy was unchanged from the previous submission. </w:t>
      </w:r>
      <w:proofErr w:type="spellStart"/>
      <w:r w:rsidR="00726F0B" w:rsidRPr="00881BD2">
        <w:t>Obinutuzumab</w:t>
      </w:r>
      <w:proofErr w:type="spellEnd"/>
      <w:r w:rsidR="000F0405">
        <w:t xml:space="preserve"> is</w:t>
      </w:r>
      <w:r w:rsidR="00726F0B" w:rsidRPr="00881BD2">
        <w:t xml:space="preserve"> to be used in combination with chlorambucil. It was proposed as a first</w:t>
      </w:r>
      <w:r w:rsidR="00BB3BB0" w:rsidRPr="00881BD2">
        <w:t>-</w:t>
      </w:r>
      <w:r w:rsidR="00726F0B" w:rsidRPr="00881BD2">
        <w:t xml:space="preserve">line treatment for previously untreated, unfit patients with CD20 positive CLL and comorbidities. The patients </w:t>
      </w:r>
      <w:r w:rsidR="000F0405">
        <w:t>are</w:t>
      </w:r>
      <w:r w:rsidR="00726F0B" w:rsidRPr="00881BD2">
        <w:t xml:space="preserve"> likely to be elderly. The comorbidities were defined as a total CIRS score of more than six, creatinine clearance (</w:t>
      </w:r>
      <w:proofErr w:type="spellStart"/>
      <w:r w:rsidR="00726F0B" w:rsidRPr="00881BD2">
        <w:t>CrCl</w:t>
      </w:r>
      <w:proofErr w:type="spellEnd"/>
      <w:r w:rsidR="00726F0B" w:rsidRPr="00881BD2">
        <w:t xml:space="preserve">) &lt;70 mL/min, or both. </w:t>
      </w:r>
      <w:r w:rsidR="004F72CA">
        <w:t>Further</w:t>
      </w:r>
      <w:r w:rsidR="00726F0B" w:rsidRPr="00881BD2">
        <w:t xml:space="preserve">, in the </w:t>
      </w:r>
      <w:r w:rsidR="004F72CA">
        <w:t xml:space="preserve">re-submission’s </w:t>
      </w:r>
      <w:r w:rsidR="00726F0B" w:rsidRPr="00881BD2">
        <w:t xml:space="preserve">updated restriction, patients </w:t>
      </w:r>
      <w:r w:rsidR="004F72CA">
        <w:t>we</w:t>
      </w:r>
      <w:r w:rsidR="000F0405">
        <w:t xml:space="preserve">re </w:t>
      </w:r>
      <w:r w:rsidR="004F72CA">
        <w:t xml:space="preserve">also </w:t>
      </w:r>
      <w:r w:rsidR="00A72753" w:rsidRPr="00881BD2">
        <w:t xml:space="preserve">required to have </w:t>
      </w:r>
      <w:r w:rsidR="00726F0B" w:rsidRPr="00881BD2">
        <w:t>a creatinine clearance 30 mL/min or greater, and the</w:t>
      </w:r>
      <w:r w:rsidR="004F72CA">
        <w:t xml:space="preserve"> rest</w:t>
      </w:r>
      <w:r w:rsidR="00804751">
        <w:t>riction specified that the</w:t>
      </w:r>
      <w:r w:rsidR="00726F0B" w:rsidRPr="00881BD2">
        <w:t xml:space="preserve"> CIRS score exclude</w:t>
      </w:r>
      <w:r w:rsidR="00804751">
        <w:t>s</w:t>
      </w:r>
      <w:r w:rsidR="00726F0B" w:rsidRPr="00881BD2">
        <w:t xml:space="preserve"> CLL-induced illness or organ damage.</w:t>
      </w:r>
    </w:p>
    <w:p w:rsidR="00CA3670" w:rsidRPr="00881BD2" w:rsidRDefault="00CA3670" w:rsidP="001E4453">
      <w:pPr>
        <w:pStyle w:val="ListParagraph"/>
        <w:widowControl/>
      </w:pPr>
    </w:p>
    <w:p w:rsidR="00E41237" w:rsidRPr="009A0A32" w:rsidRDefault="00DB1930">
      <w:pPr>
        <w:pStyle w:val="ListParagraph"/>
        <w:widowControl/>
        <w:numPr>
          <w:ilvl w:val="1"/>
          <w:numId w:val="15"/>
        </w:numPr>
      </w:pPr>
      <w:r w:rsidRPr="002C2CE8">
        <w:t xml:space="preserve">The ESC considered that the treatment algorithm for CLL is rapidly evolving, and noted that </w:t>
      </w:r>
      <w:r w:rsidR="00CA3670" w:rsidRPr="002C2CE8">
        <w:t>the place in therapy</w:t>
      </w:r>
      <w:r w:rsidRPr="002C2CE8">
        <w:t xml:space="preserve"> proposed for </w:t>
      </w:r>
      <w:proofErr w:type="spellStart"/>
      <w:r w:rsidRPr="002C2CE8">
        <w:t>obinutuzumab</w:t>
      </w:r>
      <w:proofErr w:type="spellEnd"/>
      <w:r w:rsidR="00CA3670" w:rsidRPr="002C2CE8">
        <w:t xml:space="preserve"> </w:t>
      </w:r>
      <w:r w:rsidRPr="002C2CE8">
        <w:t>was</w:t>
      </w:r>
      <w:r w:rsidR="00CA3670" w:rsidRPr="002C2CE8">
        <w:t xml:space="preserve"> similar to </w:t>
      </w:r>
      <w:r w:rsidR="0007740D" w:rsidRPr="002C2CE8">
        <w:t>that</w:t>
      </w:r>
      <w:r w:rsidR="00CA3670" w:rsidRPr="002C2CE8">
        <w:t xml:space="preserve"> requested for ofatumumab</w:t>
      </w:r>
      <w:r w:rsidR="000F0405" w:rsidRPr="002C2CE8">
        <w:t>:</w:t>
      </w:r>
      <w:r w:rsidR="0007740D" w:rsidRPr="002C2CE8">
        <w:t xml:space="preserve"> that is, </w:t>
      </w:r>
      <w:r w:rsidR="005B43F9" w:rsidRPr="002C2CE8">
        <w:t xml:space="preserve">for use in </w:t>
      </w:r>
      <w:r w:rsidR="0007740D" w:rsidRPr="002C2CE8">
        <w:t xml:space="preserve">previously untreated patients who are </w:t>
      </w:r>
      <w:proofErr w:type="gramStart"/>
      <w:r w:rsidRPr="002C2CE8">
        <w:t>unfit/</w:t>
      </w:r>
      <w:r w:rsidR="0007740D" w:rsidRPr="002C2CE8">
        <w:t>inappropriate</w:t>
      </w:r>
      <w:proofErr w:type="gramEnd"/>
      <w:r w:rsidR="0007740D" w:rsidRPr="002C2CE8">
        <w:t xml:space="preserve"> for fludarabine based therapy.</w:t>
      </w:r>
      <w:r w:rsidR="00E41237" w:rsidRPr="009A0A32">
        <w:t xml:space="preserve"> </w:t>
      </w:r>
    </w:p>
    <w:p w:rsidR="00726F0B" w:rsidRDefault="00726F0B" w:rsidP="00726F0B">
      <w:pPr>
        <w:pStyle w:val="ListParagraph"/>
        <w:ind w:left="0"/>
        <w:rPr>
          <w:szCs w:val="22"/>
        </w:rPr>
      </w:pPr>
    </w:p>
    <w:p w:rsidR="00075224" w:rsidRPr="005A2F09" w:rsidRDefault="00075224" w:rsidP="002C2CE8">
      <w:pPr>
        <w:rPr>
          <w:i/>
        </w:rPr>
      </w:pPr>
      <w:r w:rsidRPr="005A2F09">
        <w:rPr>
          <w:i/>
        </w:rPr>
        <w:t>For more detail on PBAC’s view, see section 7 “PBAC outcome”</w:t>
      </w:r>
    </w:p>
    <w:p w:rsidR="00075224" w:rsidRPr="00881BD2" w:rsidRDefault="00075224" w:rsidP="00726F0B">
      <w:pPr>
        <w:pStyle w:val="ListParagraph"/>
        <w:ind w:left="0"/>
        <w:rPr>
          <w:szCs w:val="22"/>
        </w:rPr>
      </w:pPr>
    </w:p>
    <w:p w:rsidR="000872CE" w:rsidRPr="001E4453" w:rsidRDefault="000872CE" w:rsidP="00521D40">
      <w:pPr>
        <w:pStyle w:val="PBACHeading1"/>
      </w:pPr>
      <w:r w:rsidRPr="001E4453">
        <w:t>Comparator</w:t>
      </w:r>
    </w:p>
    <w:p w:rsidR="00660769" w:rsidRPr="001E4453" w:rsidRDefault="00660769" w:rsidP="00660769">
      <w:pPr>
        <w:pStyle w:val="ListParagraph"/>
        <w:widowControl/>
        <w:rPr>
          <w:b/>
        </w:rPr>
      </w:pPr>
    </w:p>
    <w:p w:rsidR="00726F0B" w:rsidRPr="00881BD2" w:rsidRDefault="00726F0B" w:rsidP="001F2CBF">
      <w:pPr>
        <w:pStyle w:val="ListParagraph"/>
        <w:widowControl/>
        <w:numPr>
          <w:ilvl w:val="1"/>
          <w:numId w:val="15"/>
        </w:numPr>
      </w:pPr>
      <w:r w:rsidRPr="00881BD2">
        <w:t>The submission nominated two main comparators:</w:t>
      </w:r>
    </w:p>
    <w:p w:rsidR="00726F0B" w:rsidRPr="00881BD2" w:rsidRDefault="00726F0B" w:rsidP="001F2CBF">
      <w:pPr>
        <w:pStyle w:val="ListParagraph"/>
        <w:widowControl/>
        <w:numPr>
          <w:ilvl w:val="0"/>
          <w:numId w:val="12"/>
        </w:numPr>
      </w:pPr>
      <w:r w:rsidRPr="00881BD2">
        <w:t>Rituximab plus chlorambucil,</w:t>
      </w:r>
    </w:p>
    <w:p w:rsidR="00726F0B" w:rsidRPr="00881BD2" w:rsidRDefault="00726F0B" w:rsidP="001F2CBF">
      <w:pPr>
        <w:pStyle w:val="ListParagraph"/>
        <w:widowControl/>
        <w:numPr>
          <w:ilvl w:val="0"/>
          <w:numId w:val="12"/>
        </w:numPr>
      </w:pPr>
      <w:r w:rsidRPr="00881BD2">
        <w:t>Chlorambucil monotherapy.</w:t>
      </w:r>
    </w:p>
    <w:p w:rsidR="00DE0F53" w:rsidRPr="00881BD2" w:rsidRDefault="00DE0F53" w:rsidP="00726F0B">
      <w:pPr>
        <w:pStyle w:val="ListParagraph"/>
        <w:widowControl/>
      </w:pPr>
      <w:r w:rsidRPr="00881BD2">
        <w:t xml:space="preserve">Both comparators were accepted by the PBAC in July 2014. The submission stated that </w:t>
      </w:r>
      <w:proofErr w:type="spellStart"/>
      <w:r w:rsidRPr="00881BD2">
        <w:t>o</w:t>
      </w:r>
      <w:r w:rsidR="00726F0B" w:rsidRPr="00881BD2">
        <w:t>binutuzumab</w:t>
      </w:r>
      <w:proofErr w:type="spellEnd"/>
      <w:r w:rsidR="00726F0B" w:rsidRPr="00881BD2">
        <w:t xml:space="preserve"> plus chlorambucil was expected to replac</w:t>
      </w:r>
      <w:r w:rsidR="001A5223" w:rsidRPr="00881BD2">
        <w:t>e the nominated comparators in the first-</w:t>
      </w:r>
      <w:r w:rsidR="00726F0B" w:rsidRPr="00881BD2">
        <w:t xml:space="preserve">line treatment of patients with </w:t>
      </w:r>
      <w:r w:rsidRPr="00881BD2">
        <w:t>CLL</w:t>
      </w:r>
      <w:r w:rsidR="00726F0B" w:rsidRPr="00881BD2">
        <w:t xml:space="preserve"> who were elderly and/or had comorbidities. </w:t>
      </w:r>
    </w:p>
    <w:p w:rsidR="00DE0F53" w:rsidRPr="00881BD2" w:rsidRDefault="00DE0F53" w:rsidP="00726F0B">
      <w:pPr>
        <w:pStyle w:val="ListParagraph"/>
        <w:widowControl/>
      </w:pPr>
    </w:p>
    <w:p w:rsidR="00726F0B" w:rsidRPr="00881BD2" w:rsidRDefault="00726F0B" w:rsidP="00DE0F53">
      <w:pPr>
        <w:pStyle w:val="ListParagraph"/>
        <w:widowControl/>
        <w:numPr>
          <w:ilvl w:val="1"/>
          <w:numId w:val="15"/>
        </w:numPr>
      </w:pPr>
      <w:r w:rsidRPr="00881BD2">
        <w:t>The submission considered ofatumumab plus chlorambucil as a supportive comparator and provided comparative clinical efficacy and safety data.</w:t>
      </w:r>
    </w:p>
    <w:p w:rsidR="00726F0B" w:rsidRDefault="00726F0B" w:rsidP="00726F0B">
      <w:pPr>
        <w:rPr>
          <w:rFonts w:ascii="Arial Bold" w:hAnsi="Arial Bold"/>
        </w:rPr>
      </w:pPr>
    </w:p>
    <w:p w:rsidR="00075224" w:rsidRPr="005A2F09" w:rsidRDefault="00075224" w:rsidP="00075224">
      <w:pPr>
        <w:rPr>
          <w:i/>
        </w:rPr>
      </w:pPr>
      <w:r w:rsidRPr="005A2F09">
        <w:rPr>
          <w:i/>
        </w:rPr>
        <w:t>For more detail on PBAC’s view, see section 7 “PBAC outcome”</w:t>
      </w:r>
    </w:p>
    <w:p w:rsidR="00075224" w:rsidRDefault="00075224" w:rsidP="00726F0B">
      <w:pPr>
        <w:rPr>
          <w:rFonts w:ascii="Arial Bold" w:hAnsi="Arial Bold"/>
        </w:rPr>
      </w:pPr>
    </w:p>
    <w:p w:rsidR="008E27AE" w:rsidRPr="001E4453" w:rsidRDefault="008E27AE" w:rsidP="00726F0B">
      <w:pPr>
        <w:rPr>
          <w:rFonts w:ascii="Arial Bold" w:hAnsi="Arial Bold"/>
        </w:rPr>
      </w:pPr>
    </w:p>
    <w:p w:rsidR="00476FE3" w:rsidRPr="001E4453" w:rsidRDefault="00476FE3" w:rsidP="00521D40">
      <w:pPr>
        <w:pStyle w:val="PBACHeading1"/>
      </w:pPr>
      <w:r w:rsidRPr="001E4453">
        <w:t>Consideration of the evidence</w:t>
      </w:r>
    </w:p>
    <w:p w:rsidR="002F66D3" w:rsidRDefault="002F66D3" w:rsidP="002C2CE8">
      <w:pPr>
        <w:widowControl/>
      </w:pPr>
    </w:p>
    <w:p w:rsidR="002F66D3" w:rsidRPr="00BC26DB" w:rsidRDefault="002F66D3" w:rsidP="002C2CE8">
      <w:pPr>
        <w:widowControl/>
        <w:rPr>
          <w:b/>
        </w:rPr>
      </w:pPr>
      <w:r w:rsidRPr="00BC26DB">
        <w:rPr>
          <w:b/>
        </w:rPr>
        <w:t>Sponsor hearing</w:t>
      </w:r>
    </w:p>
    <w:p w:rsidR="002F66D3" w:rsidRPr="002C2CE8" w:rsidRDefault="002F66D3" w:rsidP="002C2CE8">
      <w:pPr>
        <w:widowControl/>
        <w:rPr>
          <w:b/>
          <w:i/>
        </w:rPr>
      </w:pPr>
    </w:p>
    <w:p w:rsidR="002F66D3" w:rsidRDefault="002F66D3" w:rsidP="002C2CE8">
      <w:pPr>
        <w:pStyle w:val="Heading2"/>
        <w:numPr>
          <w:ilvl w:val="1"/>
          <w:numId w:val="15"/>
        </w:numPr>
        <w:rPr>
          <w:b w:val="0"/>
        </w:rPr>
      </w:pPr>
      <w:bookmarkStart w:id="9" w:name="_Toc409532705"/>
      <w:r>
        <w:rPr>
          <w:b w:val="0"/>
        </w:rPr>
        <w:t>There was no hearing for this item.</w:t>
      </w:r>
    </w:p>
    <w:p w:rsidR="002F66D3" w:rsidRDefault="002F66D3" w:rsidP="002C2CE8"/>
    <w:p w:rsidR="002F66D3" w:rsidRPr="00BC26DB" w:rsidRDefault="002F66D3" w:rsidP="002C2CE8">
      <w:r w:rsidRPr="00BC26DB">
        <w:rPr>
          <w:b/>
        </w:rPr>
        <w:t>Consumer comments</w:t>
      </w:r>
    </w:p>
    <w:p w:rsidR="002F66D3" w:rsidRPr="00D80E9F" w:rsidRDefault="002F66D3" w:rsidP="002C2CE8">
      <w:pPr>
        <w:rPr>
          <w:i/>
        </w:rPr>
      </w:pPr>
    </w:p>
    <w:p w:rsidR="0035348F" w:rsidRPr="00D80E9F" w:rsidRDefault="002F66D3" w:rsidP="0035348F">
      <w:pPr>
        <w:pStyle w:val="ListParagraph"/>
        <w:numPr>
          <w:ilvl w:val="1"/>
          <w:numId w:val="15"/>
        </w:numPr>
      </w:pPr>
      <w:r w:rsidRPr="00D80E9F">
        <w:t xml:space="preserve">The PBAC noted and welcomed the input from individuals (6) and organisations (1) via the Consumer Comments facility on the PBS website. The comments described a range of benefits of treatment with </w:t>
      </w:r>
      <w:proofErr w:type="spellStart"/>
      <w:r w:rsidRPr="00D80E9F">
        <w:t>obinutuzumab</w:t>
      </w:r>
      <w:proofErr w:type="spellEnd"/>
      <w:r w:rsidR="006060C0" w:rsidRPr="00D80E9F">
        <w:t>, including that it allows people to be in remission</w:t>
      </w:r>
      <w:r w:rsidR="0035348F" w:rsidRPr="00D80E9F">
        <w:t xml:space="preserve"> for</w:t>
      </w:r>
      <w:r w:rsidR="006060C0" w:rsidRPr="00D80E9F">
        <w:t xml:space="preserve"> longer, improves quality of life, provides hope, re</w:t>
      </w:r>
      <w:r w:rsidR="0035348F" w:rsidRPr="00D80E9F">
        <w:t>duces</w:t>
      </w:r>
      <w:r w:rsidR="006060C0" w:rsidRPr="00D80E9F">
        <w:t xml:space="preserve"> fear and anxiety</w:t>
      </w:r>
      <w:r w:rsidR="0035348F" w:rsidRPr="00D80E9F">
        <w:t>,</w:t>
      </w:r>
      <w:r w:rsidR="006060C0" w:rsidRPr="00D80E9F">
        <w:t xml:space="preserve"> and ‘as treatment naive, the benefits will be when treatment is needed’.</w:t>
      </w:r>
      <w:r w:rsidR="0035348F" w:rsidRPr="00D80E9F">
        <w:t xml:space="preserve"> </w:t>
      </w:r>
    </w:p>
    <w:p w:rsidR="0035348F" w:rsidRPr="00D80E9F" w:rsidRDefault="0035348F" w:rsidP="002C2CE8">
      <w:pPr>
        <w:pStyle w:val="ListParagraph"/>
      </w:pPr>
    </w:p>
    <w:p w:rsidR="00FB5F96" w:rsidRPr="00D80E9F" w:rsidRDefault="00FB5F96" w:rsidP="00FB5F96">
      <w:pPr>
        <w:pStyle w:val="ListParagraph"/>
        <w:numPr>
          <w:ilvl w:val="1"/>
          <w:numId w:val="15"/>
        </w:numPr>
      </w:pPr>
      <w:r w:rsidRPr="00D80E9F">
        <w:lastRenderedPageBreak/>
        <w:t>Representatives of the PBAC met with Lymphoma Australia prior to the PBAC meeting, and reported the following key points to the PBAC</w:t>
      </w:r>
      <w:r w:rsidR="000B70A5" w:rsidRPr="00D80E9F">
        <w:t xml:space="preserve"> in relation to the agenda items for CLL and i</w:t>
      </w:r>
      <w:r w:rsidR="000A47F7" w:rsidRPr="00D80E9F">
        <w:t xml:space="preserve">ndolent </w:t>
      </w:r>
      <w:r w:rsidR="000B70A5" w:rsidRPr="00D80E9F">
        <w:t>NHL</w:t>
      </w:r>
      <w:r w:rsidRPr="00D80E9F">
        <w:t xml:space="preserve">:  </w:t>
      </w:r>
    </w:p>
    <w:p w:rsidR="001A5832" w:rsidRPr="00D80E9F" w:rsidRDefault="001A5832" w:rsidP="001A5832">
      <w:pPr>
        <w:pStyle w:val="ListParagraph"/>
        <w:ind w:left="1134"/>
      </w:pPr>
    </w:p>
    <w:p w:rsidR="00FB5F96" w:rsidRPr="00D80E9F" w:rsidRDefault="00FB5F96" w:rsidP="00FB5F96">
      <w:pPr>
        <w:pStyle w:val="ListParagraph"/>
        <w:numPr>
          <w:ilvl w:val="0"/>
          <w:numId w:val="34"/>
        </w:numPr>
        <w:ind w:left="1134" w:hanging="283"/>
      </w:pPr>
      <w:r w:rsidRPr="00D80E9F">
        <w:t xml:space="preserve">Consumers place high importance on having access to the best available treatments. </w:t>
      </w:r>
      <w:r w:rsidR="000A47F7" w:rsidRPr="00D80E9F">
        <w:t>Where cure is not possible, t</w:t>
      </w:r>
      <w:r w:rsidRPr="00D80E9F">
        <w:t>he eventual goal</w:t>
      </w:r>
      <w:r w:rsidR="000A47F7" w:rsidRPr="00D80E9F">
        <w:t xml:space="preserve"> </w:t>
      </w:r>
      <w:r w:rsidRPr="00D80E9F">
        <w:t>would be to enable indolent lymphomas</w:t>
      </w:r>
      <w:r w:rsidR="000A47F7" w:rsidRPr="00D80E9F">
        <w:t xml:space="preserve"> and CLL</w:t>
      </w:r>
      <w:r w:rsidRPr="00D80E9F">
        <w:t xml:space="preserve"> to be treated as chronic diseases.  Ultimately patients may die of conditions unrelated to their lymphoma.</w:t>
      </w:r>
    </w:p>
    <w:p w:rsidR="00FB5F96" w:rsidRPr="00D80E9F" w:rsidRDefault="00FB5F96" w:rsidP="00FB5F96">
      <w:pPr>
        <w:pStyle w:val="ListParagraph"/>
        <w:ind w:left="1134"/>
      </w:pPr>
    </w:p>
    <w:p w:rsidR="00FB5F96" w:rsidRPr="00D80E9F" w:rsidRDefault="00FB5F96" w:rsidP="00FB5F96">
      <w:pPr>
        <w:pStyle w:val="ListParagraph"/>
        <w:numPr>
          <w:ilvl w:val="0"/>
          <w:numId w:val="34"/>
        </w:numPr>
        <w:ind w:left="1134" w:hanging="283"/>
      </w:pPr>
      <w:r w:rsidRPr="00D80E9F">
        <w:t xml:space="preserve">Patients may relapse multiple times in the course of the disease, and will be treated on relapse. As PBS subsidy may influence the choice of treatment, subsidising the most clinically effective treatments is critical to ensure the best value for the taxpayer. </w:t>
      </w:r>
    </w:p>
    <w:p w:rsidR="00FB5F96" w:rsidRPr="00D80E9F" w:rsidRDefault="00FB5F96" w:rsidP="00FB5F96">
      <w:pPr>
        <w:pStyle w:val="ListParagraph"/>
        <w:ind w:left="1134"/>
      </w:pPr>
    </w:p>
    <w:p w:rsidR="00FB5F96" w:rsidRPr="00D80E9F" w:rsidRDefault="00FB5F96" w:rsidP="006979B6">
      <w:pPr>
        <w:pStyle w:val="ListParagraph"/>
        <w:numPr>
          <w:ilvl w:val="0"/>
          <w:numId w:val="34"/>
        </w:numPr>
        <w:ind w:left="1134" w:hanging="283"/>
      </w:pPr>
      <w:r w:rsidRPr="00D80E9F">
        <w:t>Patients may be diagnosed at a young age and live for years after diagnosis, and therefore place a high value on PFS</w:t>
      </w:r>
      <w:r w:rsidR="006979B6" w:rsidRPr="00D80E9F">
        <w:t>. Patients who are well during the progression free period can resume day-to day functions including participating in the workforce and family life.  I</w:t>
      </w:r>
      <w:r w:rsidRPr="00D80E9F">
        <w:t>n this context, the decision for the patient rests on a balance of the PFS gained against the quality of life impacts of drug toxicity. The psychological impact of patients’ fear of relapse can have a highly detrimental effect on their quality of life.</w:t>
      </w:r>
    </w:p>
    <w:p w:rsidR="00FB5F96" w:rsidRPr="00D80E9F" w:rsidRDefault="00FB5F96" w:rsidP="00FB5F96"/>
    <w:p w:rsidR="007F5A5F" w:rsidRPr="00D80E9F" w:rsidRDefault="00FB5F96" w:rsidP="00D80E9F">
      <w:pPr>
        <w:pStyle w:val="ListParagraph"/>
      </w:pPr>
      <w:r w:rsidRPr="00D80E9F">
        <w:t>The PBAC noted and welcomed this input.</w:t>
      </w:r>
      <w:r w:rsidR="007F5A5F" w:rsidRPr="00D80E9F">
        <w:t xml:space="preserve"> </w:t>
      </w:r>
      <w:r w:rsidR="001E14F3">
        <w:t xml:space="preserve">The </w:t>
      </w:r>
      <w:r w:rsidR="007F5A5F" w:rsidRPr="00D80E9F">
        <w:t xml:space="preserve">PBAC recognises that a drug may be </w:t>
      </w:r>
      <w:r w:rsidR="00EB0F05" w:rsidRPr="00D80E9F">
        <w:t>useful even when it does</w:t>
      </w:r>
      <w:r w:rsidR="007F5A5F" w:rsidRPr="00D80E9F">
        <w:t xml:space="preserve"> not provide a survival advantage, </w:t>
      </w:r>
      <w:r w:rsidR="00EB0F05" w:rsidRPr="00D80E9F">
        <w:t>but does</w:t>
      </w:r>
      <w:r w:rsidR="007F5A5F" w:rsidRPr="00D80E9F">
        <w:t xml:space="preserve"> provide quality of life benefits. In terms of using PFS to value the benefits of a drug, PBAC recalled that some of the most informative submissions seen to date </w:t>
      </w:r>
      <w:r w:rsidR="00D80E9F" w:rsidRPr="00D80E9F">
        <w:t xml:space="preserve">have presented economic models that incorporate the impacts on quality of life when patients are in a PFS state, capturing the fact that PFS is not </w:t>
      </w:r>
      <w:proofErr w:type="gramStart"/>
      <w:r w:rsidR="00D80E9F" w:rsidRPr="00D80E9F">
        <w:t>an</w:t>
      </w:r>
      <w:proofErr w:type="gramEnd"/>
      <w:r w:rsidR="00D80E9F" w:rsidRPr="00D80E9F">
        <w:t xml:space="preserve"> homogenous state</w:t>
      </w:r>
      <w:r w:rsidR="007F5A5F" w:rsidRPr="00D80E9F">
        <w:t xml:space="preserve">. It was noted that exploring how patients could provide more input to </w:t>
      </w:r>
      <w:r w:rsidR="00EB0F05" w:rsidRPr="00D80E9F">
        <w:t>rigorous measurement of</w:t>
      </w:r>
      <w:r w:rsidR="007F5A5F" w:rsidRPr="00D80E9F">
        <w:t xml:space="preserve"> Quality of Life would be valuable in future consumer submissions.</w:t>
      </w:r>
    </w:p>
    <w:p w:rsidR="00FB5F96" w:rsidRDefault="00FB5F96" w:rsidP="00FB5F96"/>
    <w:p w:rsidR="00FB5F96" w:rsidRPr="002C2CE8" w:rsidRDefault="00FB5F96" w:rsidP="00FB5F96"/>
    <w:p w:rsidR="00476FE3" w:rsidRPr="00BC26DB" w:rsidRDefault="00476FE3" w:rsidP="00476FE3">
      <w:pPr>
        <w:pStyle w:val="Heading2"/>
      </w:pPr>
      <w:r w:rsidRPr="00BC26DB">
        <w:t>Clinical trials</w:t>
      </w:r>
      <w:bookmarkEnd w:id="9"/>
    </w:p>
    <w:p w:rsidR="00476FE3" w:rsidRPr="00881BD2" w:rsidRDefault="00476FE3" w:rsidP="00476FE3">
      <w:pPr>
        <w:rPr>
          <w:szCs w:val="22"/>
        </w:rPr>
      </w:pPr>
    </w:p>
    <w:p w:rsidR="00726F0B" w:rsidRPr="001E4453" w:rsidRDefault="00726F0B" w:rsidP="001F2CBF">
      <w:pPr>
        <w:pStyle w:val="ListParagraph"/>
        <w:widowControl/>
        <w:numPr>
          <w:ilvl w:val="1"/>
          <w:numId w:val="15"/>
        </w:numPr>
        <w:rPr>
          <w:szCs w:val="22"/>
        </w:rPr>
      </w:pPr>
      <w:r w:rsidRPr="00881BD2">
        <w:t xml:space="preserve">The </w:t>
      </w:r>
      <w:r w:rsidR="00960676" w:rsidRPr="00881BD2">
        <w:t>re-submission</w:t>
      </w:r>
      <w:r w:rsidRPr="00881BD2">
        <w:t xml:space="preserve"> was based on one open-label head-to-head trial (CLL11) comparing </w:t>
      </w:r>
      <w:proofErr w:type="spellStart"/>
      <w:r w:rsidRPr="00881BD2">
        <w:t>obinutuzumab</w:t>
      </w:r>
      <w:proofErr w:type="spellEnd"/>
      <w:r w:rsidRPr="00881BD2">
        <w:t xml:space="preserve"> plus chlorambucil with rituximab plus chlorambucil in Stage</w:t>
      </w:r>
      <w:r w:rsidR="0007740D" w:rsidRPr="00881BD2">
        <w:t> </w:t>
      </w:r>
      <w:r w:rsidRPr="00881BD2">
        <w:t xml:space="preserve">2 </w:t>
      </w:r>
      <w:r w:rsidR="000B70A5">
        <w:t xml:space="preserve">of the trial </w:t>
      </w:r>
      <w:r w:rsidRPr="00881BD2">
        <w:t xml:space="preserve">and with chlorambucil monotherapy in Stage 1a. </w:t>
      </w:r>
      <w:r w:rsidRPr="001E4453">
        <w:t>The key trial was the same as in the previous submissio</w:t>
      </w:r>
      <w:r w:rsidRPr="009A0A32">
        <w:t>n</w:t>
      </w:r>
      <w:r w:rsidR="00F24BD7" w:rsidRPr="009A0A32">
        <w:t xml:space="preserve">. </w:t>
      </w:r>
      <w:r w:rsidR="002F456C" w:rsidRPr="002C2CE8">
        <w:t>T</w:t>
      </w:r>
      <w:r w:rsidR="00F24BD7" w:rsidRPr="002C2CE8">
        <w:t xml:space="preserve">he most recent data-cut for this trial (3 March 2014) had been provided in the </w:t>
      </w:r>
      <w:r w:rsidR="0035348F">
        <w:t>Pre-Sub-Committee Response (</w:t>
      </w:r>
      <w:r w:rsidR="00F24BD7" w:rsidRPr="002C2CE8">
        <w:t>PSCR</w:t>
      </w:r>
      <w:r w:rsidR="0035348F">
        <w:t>)</w:t>
      </w:r>
      <w:r w:rsidR="00F24BD7" w:rsidRPr="002C2CE8">
        <w:t xml:space="preserve"> and pre-PBAC response for the previous submission. </w:t>
      </w:r>
    </w:p>
    <w:p w:rsidR="00726F0B" w:rsidRPr="00881BD2" w:rsidRDefault="00726F0B" w:rsidP="00726F0B">
      <w:pPr>
        <w:widowControl/>
        <w:rPr>
          <w:szCs w:val="22"/>
        </w:rPr>
      </w:pPr>
    </w:p>
    <w:p w:rsidR="00726F0B" w:rsidRPr="00881BD2" w:rsidRDefault="00726F0B" w:rsidP="001F2CBF">
      <w:pPr>
        <w:pStyle w:val="ListParagraph"/>
        <w:widowControl/>
        <w:numPr>
          <w:ilvl w:val="1"/>
          <w:numId w:val="15"/>
        </w:numPr>
        <w:rPr>
          <w:szCs w:val="22"/>
        </w:rPr>
      </w:pPr>
      <w:r w:rsidRPr="00881BD2">
        <w:t>Details</w:t>
      </w:r>
      <w:r w:rsidRPr="00881BD2">
        <w:rPr>
          <w:szCs w:val="22"/>
        </w:rPr>
        <w:t xml:space="preserve"> of the trial presented in the </w:t>
      </w:r>
      <w:r w:rsidR="00960676" w:rsidRPr="00881BD2">
        <w:rPr>
          <w:szCs w:val="22"/>
        </w:rPr>
        <w:t>re-submission</w:t>
      </w:r>
      <w:r w:rsidRPr="00881BD2">
        <w:rPr>
          <w:szCs w:val="22"/>
        </w:rPr>
        <w:t xml:space="preserve"> are provided in </w:t>
      </w:r>
      <w:r w:rsidR="002A7FE1">
        <w:rPr>
          <w:szCs w:val="22"/>
        </w:rPr>
        <w:t>the table below</w:t>
      </w:r>
      <w:r w:rsidRPr="00881BD2">
        <w:rPr>
          <w:szCs w:val="22"/>
        </w:rPr>
        <w:t xml:space="preserve">. </w:t>
      </w:r>
    </w:p>
    <w:p w:rsidR="00FD376B" w:rsidRDefault="00FD376B" w:rsidP="001E4453">
      <w:pPr>
        <w:keepNext/>
        <w:keepLines/>
        <w:ind w:firstLine="720"/>
        <w:rPr>
          <w:szCs w:val="22"/>
        </w:rPr>
      </w:pPr>
    </w:p>
    <w:p w:rsidR="00726F0B" w:rsidRPr="00881BD2" w:rsidRDefault="005A2F09" w:rsidP="001E4453">
      <w:pPr>
        <w:keepNext/>
        <w:keepLines/>
        <w:ind w:firstLine="720"/>
        <w:rPr>
          <w:rStyle w:val="CommentReference"/>
        </w:rPr>
      </w:pPr>
      <w:r>
        <w:rPr>
          <w:rStyle w:val="CommentReference"/>
        </w:rPr>
        <w:t xml:space="preserve">Table 2: </w:t>
      </w:r>
      <w:r w:rsidR="00726F0B" w:rsidRPr="00881BD2">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9"/>
        <w:gridCol w:w="5863"/>
        <w:gridCol w:w="1063"/>
      </w:tblGrid>
      <w:tr w:rsidR="00726F0B" w:rsidRPr="00881BD2" w:rsidTr="00F70BD6">
        <w:trPr>
          <w:cantSplit/>
          <w:tblHeader/>
        </w:trPr>
        <w:tc>
          <w:tcPr>
            <w:tcW w:w="850" w:type="pct"/>
          </w:tcPr>
          <w:p w:rsidR="00726F0B" w:rsidRDefault="00726F0B" w:rsidP="001E4453">
            <w:pPr>
              <w:keepNext/>
              <w:keepLines/>
              <w:jc w:val="left"/>
              <w:rPr>
                <w:rFonts w:ascii="Arial Narrow" w:hAnsi="Arial Narrow"/>
                <w:b/>
                <w:sz w:val="20"/>
              </w:rPr>
            </w:pPr>
            <w:r w:rsidRPr="00881BD2">
              <w:rPr>
                <w:rFonts w:ascii="Arial Narrow" w:hAnsi="Arial Narrow"/>
                <w:b/>
                <w:sz w:val="20"/>
              </w:rPr>
              <w:t>Trial ID</w:t>
            </w:r>
            <w:r w:rsidR="00C970B4">
              <w:rPr>
                <w:rFonts w:ascii="Arial Narrow" w:hAnsi="Arial Narrow"/>
                <w:b/>
                <w:sz w:val="20"/>
              </w:rPr>
              <w:t>/</w:t>
            </w:r>
          </w:p>
          <w:p w:rsidR="00C970B4" w:rsidRPr="00881BD2" w:rsidRDefault="00C970B4" w:rsidP="001E4453">
            <w:pPr>
              <w:keepNext/>
              <w:keepLines/>
              <w:jc w:val="left"/>
              <w:rPr>
                <w:rFonts w:ascii="Arial Narrow" w:hAnsi="Arial Narrow"/>
                <w:b/>
                <w:sz w:val="20"/>
              </w:rPr>
            </w:pPr>
            <w:r>
              <w:rPr>
                <w:rFonts w:ascii="Arial Narrow" w:hAnsi="Arial Narrow"/>
                <w:b/>
                <w:sz w:val="20"/>
              </w:rPr>
              <w:t>First Author</w:t>
            </w:r>
          </w:p>
        </w:tc>
        <w:tc>
          <w:tcPr>
            <w:tcW w:w="3513" w:type="pct"/>
          </w:tcPr>
          <w:p w:rsidR="00726F0B" w:rsidRPr="00881BD2" w:rsidRDefault="00726F0B" w:rsidP="001E4453">
            <w:pPr>
              <w:keepNext/>
              <w:keepLines/>
              <w:jc w:val="center"/>
              <w:rPr>
                <w:rFonts w:ascii="Arial Narrow" w:hAnsi="Arial Narrow"/>
                <w:b/>
                <w:sz w:val="20"/>
              </w:rPr>
            </w:pPr>
            <w:r w:rsidRPr="00881BD2">
              <w:rPr>
                <w:rFonts w:ascii="Arial Narrow" w:hAnsi="Arial Narrow"/>
                <w:b/>
                <w:sz w:val="20"/>
              </w:rPr>
              <w:t>Protocol title/ Publication title</w:t>
            </w:r>
          </w:p>
        </w:tc>
        <w:tc>
          <w:tcPr>
            <w:tcW w:w="637" w:type="pct"/>
          </w:tcPr>
          <w:p w:rsidR="00726F0B" w:rsidRPr="00881BD2" w:rsidRDefault="00726F0B" w:rsidP="001E4453">
            <w:pPr>
              <w:keepNext/>
              <w:keepLines/>
              <w:jc w:val="center"/>
              <w:rPr>
                <w:rFonts w:ascii="Arial Narrow" w:hAnsi="Arial Narrow"/>
                <w:b/>
                <w:sz w:val="20"/>
              </w:rPr>
            </w:pPr>
            <w:r w:rsidRPr="00881BD2">
              <w:rPr>
                <w:rFonts w:ascii="Arial Narrow" w:hAnsi="Arial Narrow"/>
                <w:b/>
                <w:sz w:val="20"/>
              </w:rPr>
              <w:t>Publication citation</w:t>
            </w:r>
          </w:p>
        </w:tc>
      </w:tr>
      <w:tr w:rsidR="00726F0B" w:rsidRPr="00881BD2" w:rsidTr="00F70BD6">
        <w:trPr>
          <w:cantSplit/>
        </w:trPr>
        <w:tc>
          <w:tcPr>
            <w:tcW w:w="5000" w:type="pct"/>
            <w:gridSpan w:val="3"/>
          </w:tcPr>
          <w:p w:rsidR="00726F0B" w:rsidRPr="00881BD2" w:rsidRDefault="00726F0B" w:rsidP="001E4453">
            <w:pPr>
              <w:keepNext/>
              <w:keepLines/>
              <w:jc w:val="left"/>
              <w:rPr>
                <w:rFonts w:ascii="Arial Narrow" w:hAnsi="Arial Narrow"/>
                <w:b/>
                <w:sz w:val="20"/>
              </w:rPr>
            </w:pPr>
            <w:r w:rsidRPr="00881BD2">
              <w:rPr>
                <w:rFonts w:ascii="Arial Narrow" w:hAnsi="Arial Narrow"/>
                <w:b/>
                <w:sz w:val="20"/>
              </w:rPr>
              <w:t>Direct randomised trial (main comparators)</w:t>
            </w:r>
          </w:p>
        </w:tc>
      </w:tr>
      <w:tr w:rsidR="00726F0B" w:rsidRPr="00881BD2" w:rsidTr="00F70BD6">
        <w:trPr>
          <w:cantSplit/>
        </w:trPr>
        <w:tc>
          <w:tcPr>
            <w:tcW w:w="850" w:type="pct"/>
          </w:tcPr>
          <w:p w:rsidR="00726F0B" w:rsidRDefault="00726F0B">
            <w:pPr>
              <w:jc w:val="left"/>
              <w:rPr>
                <w:rFonts w:ascii="Arial Narrow" w:hAnsi="Arial Narrow"/>
                <w:sz w:val="20"/>
              </w:rPr>
            </w:pPr>
            <w:r w:rsidRPr="00881BD2">
              <w:rPr>
                <w:rFonts w:ascii="Arial Narrow" w:hAnsi="Arial Narrow"/>
                <w:sz w:val="20"/>
              </w:rPr>
              <w:t>CLL11</w:t>
            </w: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Default="00C970B4">
            <w:pPr>
              <w:jc w:val="left"/>
              <w:rPr>
                <w:rFonts w:ascii="Arial Narrow" w:hAnsi="Arial Narrow"/>
                <w:sz w:val="20"/>
              </w:rPr>
            </w:pPr>
          </w:p>
          <w:p w:rsidR="00C970B4" w:rsidRPr="00881BD2" w:rsidRDefault="00C970B4">
            <w:pPr>
              <w:jc w:val="left"/>
              <w:rPr>
                <w:rFonts w:ascii="Arial Narrow" w:hAnsi="Arial Narrow"/>
                <w:sz w:val="20"/>
              </w:rPr>
            </w:pPr>
            <w:proofErr w:type="spellStart"/>
            <w:r w:rsidRPr="00881BD2">
              <w:rPr>
                <w:rFonts w:ascii="Arial Narrow" w:hAnsi="Arial Narrow"/>
                <w:sz w:val="20"/>
              </w:rPr>
              <w:t>Goede</w:t>
            </w:r>
            <w:proofErr w:type="spellEnd"/>
          </w:p>
        </w:tc>
        <w:tc>
          <w:tcPr>
            <w:tcW w:w="3513" w:type="pct"/>
          </w:tcPr>
          <w:p w:rsidR="00726F0B" w:rsidRPr="00881BD2" w:rsidRDefault="00726F0B">
            <w:pPr>
              <w:jc w:val="left"/>
              <w:rPr>
                <w:rFonts w:ascii="Arial Narrow" w:hAnsi="Arial Narrow"/>
                <w:sz w:val="20"/>
              </w:rPr>
            </w:pPr>
            <w:r w:rsidRPr="00881BD2">
              <w:rPr>
                <w:rFonts w:ascii="Arial Narrow" w:hAnsi="Arial Narrow"/>
                <w:sz w:val="20"/>
              </w:rPr>
              <w:t>Primary Clinical Study Report - BO21004/CLL11 - Stage 1a (</w:t>
            </w:r>
            <w:proofErr w:type="spellStart"/>
            <w:r w:rsidRPr="00881BD2">
              <w:rPr>
                <w:rFonts w:ascii="Arial Narrow" w:hAnsi="Arial Narrow"/>
                <w:sz w:val="20"/>
              </w:rPr>
              <w:t>GClb</w:t>
            </w:r>
            <w:proofErr w:type="spellEnd"/>
            <w:r w:rsidRPr="00881BD2">
              <w:rPr>
                <w:rFonts w:ascii="Arial Narrow" w:hAnsi="Arial Narrow"/>
                <w:sz w:val="20"/>
              </w:rPr>
              <w:t xml:space="preserve"> vs. </w:t>
            </w:r>
            <w:proofErr w:type="spellStart"/>
            <w:r w:rsidRPr="00881BD2">
              <w:rPr>
                <w:rFonts w:ascii="Arial Narrow" w:hAnsi="Arial Narrow"/>
                <w:sz w:val="20"/>
              </w:rPr>
              <w:t>Clb</w:t>
            </w:r>
            <w:proofErr w:type="spellEnd"/>
            <w:r w:rsidRPr="00881BD2">
              <w:rPr>
                <w:rFonts w:ascii="Arial Narrow" w:hAnsi="Arial Narrow"/>
                <w:sz w:val="20"/>
              </w:rPr>
              <w:t>) – An open-label, multi-centre, three arm randomized, phase III study to compare the efficacy and safety of RO5072759 + chlorambucil (</w:t>
            </w:r>
            <w:proofErr w:type="spellStart"/>
            <w:r w:rsidRPr="00881BD2">
              <w:rPr>
                <w:rFonts w:ascii="Arial Narrow" w:hAnsi="Arial Narrow"/>
                <w:sz w:val="20"/>
              </w:rPr>
              <w:t>GClb</w:t>
            </w:r>
            <w:proofErr w:type="spellEnd"/>
            <w:r w:rsidRPr="00881BD2">
              <w:rPr>
                <w:rFonts w:ascii="Arial Narrow" w:hAnsi="Arial Narrow"/>
                <w:sz w:val="20"/>
              </w:rPr>
              <w:t>), rituximab + chlorambucil (</w:t>
            </w:r>
            <w:proofErr w:type="spellStart"/>
            <w:r w:rsidRPr="00881BD2">
              <w:rPr>
                <w:rFonts w:ascii="Arial Narrow" w:hAnsi="Arial Narrow"/>
                <w:sz w:val="20"/>
              </w:rPr>
              <w:t>RClb</w:t>
            </w:r>
            <w:proofErr w:type="spellEnd"/>
            <w:r w:rsidRPr="00881BD2">
              <w:rPr>
                <w:rFonts w:ascii="Arial Narrow" w:hAnsi="Arial Narrow"/>
                <w:sz w:val="20"/>
              </w:rPr>
              <w:t>) or chlorambucil (</w:t>
            </w:r>
            <w:proofErr w:type="spellStart"/>
            <w:r w:rsidRPr="00881BD2">
              <w:rPr>
                <w:rFonts w:ascii="Arial Narrow" w:hAnsi="Arial Narrow"/>
                <w:sz w:val="20"/>
              </w:rPr>
              <w:t>Clb</w:t>
            </w:r>
            <w:proofErr w:type="spellEnd"/>
            <w:r w:rsidRPr="00881BD2">
              <w:rPr>
                <w:rFonts w:ascii="Arial Narrow" w:hAnsi="Arial Narrow"/>
                <w:sz w:val="20"/>
              </w:rPr>
              <w:t>) alone in previously untreated CLL patients with comorbidities. Research Report Number 1038127.</w:t>
            </w: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r w:rsidRPr="00881BD2">
              <w:rPr>
                <w:rFonts w:ascii="Arial Narrow" w:hAnsi="Arial Narrow"/>
                <w:sz w:val="20"/>
              </w:rPr>
              <w:t>Update Clinical Study Report – BO21004: Stage 1a – 1b Update. Research Report Number 1057363.</w:t>
            </w: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r w:rsidRPr="00881BD2">
              <w:rPr>
                <w:rFonts w:ascii="Arial Narrow" w:hAnsi="Arial Narrow"/>
                <w:sz w:val="20"/>
              </w:rPr>
              <w:t>Primary Clinical Study Report − BO21004/CLL11 − Stage 2 (</w:t>
            </w:r>
            <w:proofErr w:type="spellStart"/>
            <w:r w:rsidRPr="00881BD2">
              <w:rPr>
                <w:rFonts w:ascii="Arial Narrow" w:hAnsi="Arial Narrow"/>
                <w:sz w:val="20"/>
              </w:rPr>
              <w:t>GClb</w:t>
            </w:r>
            <w:proofErr w:type="spellEnd"/>
            <w:r w:rsidRPr="00881BD2">
              <w:rPr>
                <w:rFonts w:ascii="Arial Narrow" w:hAnsi="Arial Narrow"/>
                <w:sz w:val="20"/>
              </w:rPr>
              <w:t xml:space="preserve"> vs. </w:t>
            </w:r>
            <w:proofErr w:type="spellStart"/>
            <w:r w:rsidRPr="00881BD2">
              <w:rPr>
                <w:rFonts w:ascii="Arial Narrow" w:hAnsi="Arial Narrow"/>
                <w:sz w:val="20"/>
              </w:rPr>
              <w:t>RClb</w:t>
            </w:r>
            <w:proofErr w:type="spellEnd"/>
            <w:r w:rsidRPr="00881BD2">
              <w:rPr>
                <w:rFonts w:ascii="Arial Narrow" w:hAnsi="Arial Narrow"/>
                <w:sz w:val="20"/>
              </w:rPr>
              <w:t>) –Research Report Number 1056550.</w:t>
            </w: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r w:rsidRPr="00881BD2">
              <w:rPr>
                <w:rFonts w:ascii="Arial Narrow" w:hAnsi="Arial Narrow"/>
                <w:sz w:val="20"/>
              </w:rPr>
              <w:t>Update Clinical Study Report – BO21004: Stage 2 – 1a Update. Report Number 1060313.</w:t>
            </w: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b/>
                <w:sz w:val="20"/>
              </w:rPr>
            </w:pPr>
            <w:proofErr w:type="spellStart"/>
            <w:r w:rsidRPr="00881BD2">
              <w:rPr>
                <w:rFonts w:ascii="Arial Narrow" w:hAnsi="Arial Narrow"/>
                <w:sz w:val="20"/>
              </w:rPr>
              <w:t>Obinutuzumab</w:t>
            </w:r>
            <w:proofErr w:type="spellEnd"/>
            <w:r w:rsidRPr="00881BD2">
              <w:rPr>
                <w:rFonts w:ascii="Arial Narrow" w:hAnsi="Arial Narrow"/>
                <w:sz w:val="20"/>
              </w:rPr>
              <w:t xml:space="preserve"> plus chlorambucil in patients with CLL and coexisting conditions.</w:t>
            </w:r>
          </w:p>
        </w:tc>
        <w:tc>
          <w:tcPr>
            <w:tcW w:w="637" w:type="pct"/>
          </w:tcPr>
          <w:p w:rsidR="00726F0B" w:rsidRPr="00881BD2" w:rsidRDefault="00726F0B">
            <w:pPr>
              <w:jc w:val="left"/>
              <w:rPr>
                <w:rFonts w:ascii="Arial Narrow" w:hAnsi="Arial Narrow"/>
                <w:sz w:val="20"/>
              </w:rPr>
            </w:pPr>
            <w:r w:rsidRPr="00881BD2">
              <w:rPr>
                <w:rFonts w:ascii="Arial Narrow" w:hAnsi="Arial Narrow"/>
                <w:sz w:val="20"/>
              </w:rPr>
              <w:t>March 2013</w:t>
            </w: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r w:rsidRPr="00881BD2">
              <w:rPr>
                <w:rFonts w:ascii="Arial Narrow" w:hAnsi="Arial Narrow"/>
                <w:sz w:val="20"/>
              </w:rPr>
              <w:t>December 2013</w:t>
            </w: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r w:rsidRPr="00881BD2">
              <w:rPr>
                <w:rFonts w:ascii="Arial Narrow" w:hAnsi="Arial Narrow"/>
                <w:sz w:val="20"/>
              </w:rPr>
              <w:t>December 2013</w:t>
            </w: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sz w:val="20"/>
              </w:rPr>
            </w:pPr>
            <w:r w:rsidRPr="00881BD2">
              <w:rPr>
                <w:rFonts w:ascii="Arial Narrow" w:hAnsi="Arial Narrow"/>
                <w:sz w:val="20"/>
              </w:rPr>
              <w:t>June 2014</w:t>
            </w:r>
          </w:p>
          <w:p w:rsidR="00726F0B" w:rsidRPr="00881BD2" w:rsidRDefault="00726F0B">
            <w:pPr>
              <w:jc w:val="left"/>
              <w:rPr>
                <w:rFonts w:ascii="Arial Narrow" w:hAnsi="Arial Narrow"/>
                <w:sz w:val="20"/>
              </w:rPr>
            </w:pPr>
          </w:p>
          <w:p w:rsidR="00726F0B" w:rsidRPr="00881BD2" w:rsidRDefault="00726F0B">
            <w:pPr>
              <w:jc w:val="left"/>
              <w:rPr>
                <w:rFonts w:ascii="Arial Narrow" w:hAnsi="Arial Narrow"/>
                <w:b/>
                <w:sz w:val="20"/>
              </w:rPr>
            </w:pPr>
            <w:r w:rsidRPr="00881BD2">
              <w:rPr>
                <w:rFonts w:ascii="Arial Narrow" w:hAnsi="Arial Narrow"/>
                <w:sz w:val="20"/>
              </w:rPr>
              <w:t xml:space="preserve">N </w:t>
            </w:r>
            <w:proofErr w:type="spellStart"/>
            <w:r w:rsidRPr="00881BD2">
              <w:rPr>
                <w:rFonts w:ascii="Arial Narrow" w:hAnsi="Arial Narrow"/>
                <w:sz w:val="20"/>
              </w:rPr>
              <w:t>Eng</w:t>
            </w:r>
            <w:proofErr w:type="spellEnd"/>
            <w:r w:rsidRPr="00881BD2">
              <w:rPr>
                <w:rFonts w:ascii="Arial Narrow" w:hAnsi="Arial Narrow"/>
                <w:sz w:val="20"/>
              </w:rPr>
              <w:t xml:space="preserve"> J Med 2014 370</w:t>
            </w:r>
            <w:r w:rsidR="001A5223" w:rsidRPr="00881BD2">
              <w:rPr>
                <w:rFonts w:ascii="Arial Narrow" w:hAnsi="Arial Narrow"/>
                <w:sz w:val="20"/>
              </w:rPr>
              <w:t xml:space="preserve"> </w:t>
            </w:r>
            <w:r w:rsidRPr="00881BD2">
              <w:rPr>
                <w:rFonts w:ascii="Arial Narrow" w:hAnsi="Arial Narrow"/>
                <w:sz w:val="20"/>
              </w:rPr>
              <w:t>(12):1101-10</w:t>
            </w:r>
          </w:p>
        </w:tc>
      </w:tr>
      <w:tr w:rsidR="00726F0B" w:rsidRPr="00881BD2" w:rsidTr="00F70BD6">
        <w:trPr>
          <w:cantSplit/>
        </w:trPr>
        <w:tc>
          <w:tcPr>
            <w:tcW w:w="5000" w:type="pct"/>
            <w:gridSpan w:val="3"/>
          </w:tcPr>
          <w:p w:rsidR="00726F0B" w:rsidRPr="00881BD2" w:rsidRDefault="00726F0B" w:rsidP="005A2F09">
            <w:pPr>
              <w:keepNext/>
              <w:keepLines/>
              <w:jc w:val="left"/>
              <w:rPr>
                <w:rFonts w:ascii="Arial Narrow" w:hAnsi="Arial Narrow"/>
                <w:b/>
                <w:sz w:val="20"/>
              </w:rPr>
            </w:pPr>
            <w:r w:rsidRPr="00881BD2">
              <w:rPr>
                <w:rFonts w:ascii="Arial Narrow" w:hAnsi="Arial Narrow"/>
                <w:b/>
                <w:sz w:val="20"/>
              </w:rPr>
              <w:t>Direct randomised trial (for indirect comparison)</w:t>
            </w:r>
          </w:p>
        </w:tc>
      </w:tr>
      <w:tr w:rsidR="00726F0B" w:rsidRPr="00881BD2" w:rsidTr="00F70BD6">
        <w:trPr>
          <w:cantSplit/>
        </w:trPr>
        <w:tc>
          <w:tcPr>
            <w:tcW w:w="850" w:type="pct"/>
          </w:tcPr>
          <w:p w:rsidR="00726F0B" w:rsidRPr="00881BD2" w:rsidRDefault="00726F0B" w:rsidP="005A2F09">
            <w:pPr>
              <w:keepNext/>
              <w:keepLines/>
              <w:jc w:val="left"/>
              <w:rPr>
                <w:rFonts w:ascii="Arial Narrow" w:hAnsi="Arial Narrow"/>
                <w:sz w:val="20"/>
              </w:rPr>
            </w:pPr>
            <w:r w:rsidRPr="00881BD2">
              <w:rPr>
                <w:rFonts w:ascii="Arial Narrow" w:hAnsi="Arial Narrow"/>
                <w:sz w:val="20"/>
              </w:rPr>
              <w:t>COMPLEMENT-1</w:t>
            </w:r>
          </w:p>
        </w:tc>
        <w:tc>
          <w:tcPr>
            <w:tcW w:w="3513" w:type="pct"/>
          </w:tcPr>
          <w:p w:rsidR="00726F0B" w:rsidRPr="00881BD2" w:rsidRDefault="00726F0B" w:rsidP="005A2F09">
            <w:pPr>
              <w:keepNext/>
              <w:keepLines/>
              <w:jc w:val="left"/>
              <w:rPr>
                <w:rFonts w:ascii="Arial Narrow" w:hAnsi="Arial Narrow"/>
                <w:sz w:val="20"/>
              </w:rPr>
            </w:pPr>
            <w:r w:rsidRPr="00881BD2">
              <w:rPr>
                <w:rFonts w:ascii="Arial Narrow" w:hAnsi="Arial Narrow"/>
                <w:sz w:val="20"/>
              </w:rPr>
              <w:t>ClinicalTrials.gov Identifier NCT00748189.</w:t>
            </w:r>
          </w:p>
          <w:p w:rsidR="00726F0B" w:rsidRPr="00881BD2" w:rsidRDefault="00726F0B" w:rsidP="005A2F09">
            <w:pPr>
              <w:keepNext/>
              <w:keepLines/>
              <w:jc w:val="left"/>
              <w:rPr>
                <w:rFonts w:ascii="Arial Narrow" w:hAnsi="Arial Narrow"/>
                <w:sz w:val="20"/>
              </w:rPr>
            </w:pPr>
          </w:p>
          <w:p w:rsidR="00726F0B" w:rsidRPr="00881BD2" w:rsidRDefault="00726F0B" w:rsidP="005A2F09">
            <w:pPr>
              <w:keepNext/>
              <w:keepLines/>
              <w:jc w:val="left"/>
              <w:rPr>
                <w:rFonts w:ascii="Arial Narrow" w:hAnsi="Arial Narrow"/>
                <w:sz w:val="20"/>
              </w:rPr>
            </w:pPr>
            <w:r w:rsidRPr="00881BD2">
              <w:rPr>
                <w:rFonts w:ascii="Arial Narrow" w:hAnsi="Arial Narrow"/>
                <w:sz w:val="20"/>
              </w:rPr>
              <w:t>Study OMB110911. Results summary for COMPLEMENT-1. GSK Clinical Trials Register.</w:t>
            </w:r>
          </w:p>
          <w:p w:rsidR="00726F0B" w:rsidRPr="00881BD2" w:rsidRDefault="00726F0B" w:rsidP="005A2F09">
            <w:pPr>
              <w:keepNext/>
              <w:keepLines/>
              <w:jc w:val="left"/>
              <w:rPr>
                <w:rFonts w:ascii="Arial Narrow" w:hAnsi="Arial Narrow"/>
                <w:sz w:val="20"/>
              </w:rPr>
            </w:pPr>
          </w:p>
          <w:p w:rsidR="00726F0B" w:rsidRPr="00881BD2" w:rsidRDefault="00726F0B" w:rsidP="005A2F09">
            <w:pPr>
              <w:keepNext/>
              <w:keepLines/>
              <w:jc w:val="left"/>
              <w:rPr>
                <w:rFonts w:ascii="Arial Narrow" w:hAnsi="Arial Narrow"/>
                <w:b/>
                <w:sz w:val="20"/>
              </w:rPr>
            </w:pPr>
            <w:r w:rsidRPr="00881BD2">
              <w:rPr>
                <w:rFonts w:ascii="Arial Narrow" w:hAnsi="Arial Narrow"/>
                <w:sz w:val="20"/>
              </w:rPr>
              <w:t xml:space="preserve">European Medicines Agency. CHMP assessment report for </w:t>
            </w:r>
            <w:proofErr w:type="spellStart"/>
            <w:r w:rsidRPr="00881BD2">
              <w:rPr>
                <w:rFonts w:ascii="Arial Narrow" w:hAnsi="Arial Narrow"/>
                <w:sz w:val="20"/>
              </w:rPr>
              <w:t>Arzerra</w:t>
            </w:r>
            <w:proofErr w:type="spellEnd"/>
            <w:r w:rsidRPr="00881BD2">
              <w:rPr>
                <w:rFonts w:ascii="Arial Narrow" w:hAnsi="Arial Narrow"/>
                <w:sz w:val="20"/>
              </w:rPr>
              <w:t>. Report number EMA/475698/2014.</w:t>
            </w:r>
          </w:p>
        </w:tc>
        <w:tc>
          <w:tcPr>
            <w:tcW w:w="637" w:type="pct"/>
          </w:tcPr>
          <w:p w:rsidR="00726F0B" w:rsidRPr="00881BD2" w:rsidRDefault="00726F0B" w:rsidP="005A2F09">
            <w:pPr>
              <w:keepNext/>
              <w:keepLines/>
              <w:jc w:val="left"/>
              <w:rPr>
                <w:rFonts w:ascii="Arial Narrow" w:hAnsi="Arial Narrow"/>
                <w:sz w:val="20"/>
              </w:rPr>
            </w:pPr>
            <w:r w:rsidRPr="00881BD2">
              <w:rPr>
                <w:rFonts w:ascii="Arial Narrow" w:hAnsi="Arial Narrow"/>
                <w:sz w:val="20"/>
              </w:rPr>
              <w:t>2014</w:t>
            </w:r>
          </w:p>
          <w:p w:rsidR="00726F0B" w:rsidRPr="00881BD2" w:rsidRDefault="00726F0B" w:rsidP="005A2F09">
            <w:pPr>
              <w:keepNext/>
              <w:keepLines/>
              <w:jc w:val="left"/>
              <w:rPr>
                <w:rFonts w:ascii="Arial Narrow" w:hAnsi="Arial Narrow"/>
                <w:sz w:val="20"/>
              </w:rPr>
            </w:pPr>
          </w:p>
          <w:p w:rsidR="00726F0B" w:rsidRPr="00881BD2" w:rsidRDefault="00726F0B" w:rsidP="005A2F09">
            <w:pPr>
              <w:keepNext/>
              <w:keepLines/>
              <w:jc w:val="left"/>
              <w:rPr>
                <w:rFonts w:ascii="Arial Narrow" w:hAnsi="Arial Narrow"/>
                <w:sz w:val="20"/>
              </w:rPr>
            </w:pPr>
            <w:r w:rsidRPr="00881BD2">
              <w:rPr>
                <w:rFonts w:ascii="Arial Narrow" w:hAnsi="Arial Narrow"/>
                <w:sz w:val="20"/>
              </w:rPr>
              <w:t>November 2013</w:t>
            </w:r>
          </w:p>
          <w:p w:rsidR="00726F0B" w:rsidRPr="00881BD2" w:rsidRDefault="00726F0B" w:rsidP="005A2F09">
            <w:pPr>
              <w:keepNext/>
              <w:keepLines/>
              <w:jc w:val="left"/>
              <w:rPr>
                <w:rFonts w:ascii="Arial Narrow" w:hAnsi="Arial Narrow"/>
                <w:sz w:val="20"/>
              </w:rPr>
            </w:pPr>
          </w:p>
          <w:p w:rsidR="00726F0B" w:rsidRPr="00881BD2" w:rsidRDefault="00726F0B" w:rsidP="005A2F09">
            <w:pPr>
              <w:keepNext/>
              <w:keepLines/>
              <w:jc w:val="left"/>
              <w:rPr>
                <w:rFonts w:ascii="Arial Narrow" w:hAnsi="Arial Narrow"/>
                <w:sz w:val="20"/>
              </w:rPr>
            </w:pPr>
            <w:r w:rsidRPr="00881BD2">
              <w:rPr>
                <w:rFonts w:ascii="Arial Narrow" w:hAnsi="Arial Narrow"/>
                <w:sz w:val="20"/>
              </w:rPr>
              <w:t>May 2014</w:t>
            </w:r>
          </w:p>
          <w:p w:rsidR="00726F0B" w:rsidRPr="00881BD2" w:rsidRDefault="00726F0B" w:rsidP="005A2F09">
            <w:pPr>
              <w:keepNext/>
              <w:keepLines/>
              <w:jc w:val="left"/>
              <w:rPr>
                <w:rFonts w:ascii="Arial Narrow" w:hAnsi="Arial Narrow"/>
                <w:sz w:val="20"/>
              </w:rPr>
            </w:pPr>
          </w:p>
        </w:tc>
      </w:tr>
    </w:tbl>
    <w:p w:rsidR="00726F0B" w:rsidRPr="00881BD2" w:rsidRDefault="00726F0B" w:rsidP="005A2F09">
      <w:pPr>
        <w:pStyle w:val="TableFooter"/>
        <w:keepNext/>
        <w:keepLines/>
        <w:ind w:firstLine="720"/>
      </w:pPr>
      <w:r w:rsidRPr="00881BD2">
        <w:t>Source: Table B.2.2 pp.4-5 of the commentary.</w:t>
      </w:r>
    </w:p>
    <w:p w:rsidR="00726F0B" w:rsidRPr="00881BD2" w:rsidRDefault="00726F0B">
      <w:pPr>
        <w:widowControl/>
        <w:rPr>
          <w:szCs w:val="22"/>
        </w:rPr>
      </w:pPr>
    </w:p>
    <w:p w:rsidR="00726F0B" w:rsidRPr="00881BD2" w:rsidRDefault="00726F0B" w:rsidP="002C2CE8">
      <w:pPr>
        <w:pStyle w:val="ListParagraph"/>
        <w:keepNext/>
        <w:keepLines/>
        <w:widowControl/>
        <w:numPr>
          <w:ilvl w:val="1"/>
          <w:numId w:val="15"/>
        </w:numPr>
        <w:rPr>
          <w:szCs w:val="22"/>
        </w:rPr>
      </w:pPr>
      <w:r w:rsidRPr="00881BD2">
        <w:rPr>
          <w:szCs w:val="22"/>
        </w:rPr>
        <w:t xml:space="preserve">The key features of the randomised trials are summarised in </w:t>
      </w:r>
      <w:r w:rsidR="00F9299D">
        <w:rPr>
          <w:szCs w:val="22"/>
        </w:rPr>
        <w:t>the table below</w:t>
      </w:r>
      <w:r w:rsidRPr="00881BD2">
        <w:rPr>
          <w:szCs w:val="22"/>
        </w:rPr>
        <w:t xml:space="preserve">. </w:t>
      </w:r>
    </w:p>
    <w:p w:rsidR="00726F0B" w:rsidRPr="00881BD2" w:rsidRDefault="00726F0B" w:rsidP="002C2CE8">
      <w:pPr>
        <w:keepNext/>
        <w:keepLines/>
        <w:widowControl/>
        <w:rPr>
          <w:szCs w:val="22"/>
        </w:rPr>
      </w:pPr>
    </w:p>
    <w:p w:rsidR="00726F0B" w:rsidRPr="00881BD2" w:rsidRDefault="005A2F09" w:rsidP="002C2CE8">
      <w:pPr>
        <w:keepNext/>
        <w:keepLines/>
        <w:ind w:firstLine="720"/>
        <w:rPr>
          <w:rStyle w:val="CommentReference"/>
        </w:rPr>
      </w:pPr>
      <w:r>
        <w:rPr>
          <w:rStyle w:val="CommentReference"/>
        </w:rPr>
        <w:t xml:space="preserve">Table 3: </w:t>
      </w:r>
      <w:r w:rsidR="00726F0B" w:rsidRPr="00881BD2">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3"/>
        <w:gridCol w:w="330"/>
        <w:gridCol w:w="1347"/>
        <w:gridCol w:w="1065"/>
        <w:gridCol w:w="1776"/>
        <w:gridCol w:w="1065"/>
        <w:gridCol w:w="1329"/>
      </w:tblGrid>
      <w:tr w:rsidR="00D52015" w:rsidRPr="00881BD2" w:rsidTr="00B449E7">
        <w:trPr>
          <w:cantSplit/>
          <w:tblHeader/>
        </w:trPr>
        <w:tc>
          <w:tcPr>
            <w:tcW w:w="859" w:type="pct"/>
            <w:shd w:val="clear" w:color="auto" w:fill="auto"/>
            <w:vAlign w:val="center"/>
          </w:tcPr>
          <w:p w:rsidR="00D52015" w:rsidRPr="00881BD2" w:rsidRDefault="00D52015" w:rsidP="002C2CE8">
            <w:pPr>
              <w:keepNext/>
              <w:keepLines/>
              <w:jc w:val="left"/>
              <w:rPr>
                <w:rFonts w:ascii="Arial Narrow" w:hAnsi="Arial Narrow"/>
                <w:b/>
                <w:sz w:val="20"/>
              </w:rPr>
            </w:pPr>
            <w:r w:rsidRPr="00881BD2">
              <w:rPr>
                <w:rFonts w:ascii="Arial Narrow" w:hAnsi="Arial Narrow"/>
                <w:b/>
                <w:sz w:val="20"/>
              </w:rPr>
              <w:t>Trial</w:t>
            </w:r>
          </w:p>
        </w:tc>
        <w:tc>
          <w:tcPr>
            <w:tcW w:w="198" w:type="pct"/>
            <w:shd w:val="clear" w:color="auto" w:fill="auto"/>
            <w:vAlign w:val="center"/>
          </w:tcPr>
          <w:p w:rsidR="00D52015" w:rsidRPr="00881BD2" w:rsidRDefault="00D52015" w:rsidP="002C2CE8">
            <w:pPr>
              <w:keepNext/>
              <w:keepLines/>
              <w:jc w:val="center"/>
              <w:rPr>
                <w:rFonts w:ascii="Arial Narrow" w:hAnsi="Arial Narrow"/>
                <w:b/>
                <w:sz w:val="20"/>
              </w:rPr>
            </w:pPr>
            <w:r w:rsidRPr="00881BD2">
              <w:rPr>
                <w:rFonts w:ascii="Arial Narrow" w:hAnsi="Arial Narrow"/>
                <w:b/>
                <w:sz w:val="20"/>
              </w:rPr>
              <w:t>N</w:t>
            </w:r>
          </w:p>
        </w:tc>
        <w:tc>
          <w:tcPr>
            <w:tcW w:w="807" w:type="pct"/>
            <w:shd w:val="clear" w:color="auto" w:fill="auto"/>
            <w:vAlign w:val="center"/>
          </w:tcPr>
          <w:p w:rsidR="00D52015" w:rsidRPr="00881BD2" w:rsidRDefault="00D52015" w:rsidP="002C2CE8">
            <w:pPr>
              <w:keepNext/>
              <w:keepLines/>
              <w:jc w:val="center"/>
              <w:rPr>
                <w:rFonts w:ascii="Arial Narrow" w:hAnsi="Arial Narrow"/>
                <w:b/>
                <w:sz w:val="20"/>
              </w:rPr>
            </w:pPr>
            <w:r w:rsidRPr="00881BD2">
              <w:rPr>
                <w:rFonts w:ascii="Arial Narrow" w:hAnsi="Arial Narrow"/>
                <w:b/>
                <w:sz w:val="20"/>
              </w:rPr>
              <w:t>Design/ duration</w:t>
            </w:r>
          </w:p>
        </w:tc>
        <w:tc>
          <w:tcPr>
            <w:tcW w:w="638" w:type="pct"/>
            <w:shd w:val="clear" w:color="auto" w:fill="auto"/>
            <w:vAlign w:val="center"/>
          </w:tcPr>
          <w:p w:rsidR="00D52015" w:rsidRPr="00881BD2" w:rsidRDefault="00D52015" w:rsidP="002C2CE8">
            <w:pPr>
              <w:keepNext/>
              <w:keepLines/>
              <w:jc w:val="center"/>
              <w:rPr>
                <w:rFonts w:ascii="Arial Narrow" w:hAnsi="Arial Narrow"/>
                <w:b/>
                <w:sz w:val="20"/>
              </w:rPr>
            </w:pPr>
            <w:r w:rsidRPr="00881BD2">
              <w:rPr>
                <w:rFonts w:ascii="Arial Narrow" w:hAnsi="Arial Narrow"/>
                <w:b/>
                <w:sz w:val="20"/>
              </w:rPr>
              <w:t>Risk of bias</w:t>
            </w:r>
          </w:p>
        </w:tc>
        <w:tc>
          <w:tcPr>
            <w:tcW w:w="1064" w:type="pct"/>
            <w:shd w:val="clear" w:color="auto" w:fill="auto"/>
            <w:vAlign w:val="center"/>
          </w:tcPr>
          <w:p w:rsidR="00D52015" w:rsidRPr="00881BD2" w:rsidRDefault="00D52015" w:rsidP="002C2CE8">
            <w:pPr>
              <w:keepNext/>
              <w:keepLines/>
              <w:jc w:val="center"/>
              <w:rPr>
                <w:rFonts w:ascii="Arial Narrow" w:hAnsi="Arial Narrow"/>
                <w:b/>
                <w:sz w:val="20"/>
              </w:rPr>
            </w:pPr>
            <w:r w:rsidRPr="00881BD2">
              <w:rPr>
                <w:rFonts w:ascii="Arial Narrow" w:hAnsi="Arial Narrow"/>
                <w:b/>
                <w:sz w:val="20"/>
              </w:rPr>
              <w:t>Patient population</w:t>
            </w:r>
          </w:p>
        </w:tc>
        <w:tc>
          <w:tcPr>
            <w:tcW w:w="638" w:type="pct"/>
            <w:shd w:val="clear" w:color="auto" w:fill="auto"/>
            <w:vAlign w:val="center"/>
          </w:tcPr>
          <w:p w:rsidR="00D52015" w:rsidRPr="00881BD2" w:rsidRDefault="00D52015" w:rsidP="002C2CE8">
            <w:pPr>
              <w:keepNext/>
              <w:keepLines/>
              <w:jc w:val="center"/>
              <w:rPr>
                <w:rFonts w:ascii="Arial Narrow" w:hAnsi="Arial Narrow"/>
                <w:b/>
                <w:sz w:val="20"/>
              </w:rPr>
            </w:pPr>
            <w:r w:rsidRPr="00881BD2">
              <w:rPr>
                <w:rFonts w:ascii="Arial Narrow" w:hAnsi="Arial Narrow"/>
                <w:b/>
                <w:sz w:val="20"/>
              </w:rPr>
              <w:t>Outcomes</w:t>
            </w:r>
          </w:p>
        </w:tc>
        <w:tc>
          <w:tcPr>
            <w:tcW w:w="796" w:type="pct"/>
            <w:shd w:val="clear" w:color="auto" w:fill="auto"/>
            <w:vAlign w:val="center"/>
          </w:tcPr>
          <w:p w:rsidR="00D52015" w:rsidRPr="00881BD2" w:rsidRDefault="00D52015" w:rsidP="002C2CE8">
            <w:pPr>
              <w:keepNext/>
              <w:keepLines/>
              <w:jc w:val="center"/>
              <w:rPr>
                <w:rFonts w:ascii="Arial Narrow" w:hAnsi="Arial Narrow"/>
                <w:b/>
                <w:sz w:val="20"/>
              </w:rPr>
            </w:pPr>
            <w:r w:rsidRPr="00881BD2">
              <w:rPr>
                <w:rFonts w:ascii="Arial Narrow" w:hAnsi="Arial Narrow"/>
                <w:b/>
                <w:sz w:val="20"/>
              </w:rPr>
              <w:t>Use in modelled evaluation</w:t>
            </w:r>
          </w:p>
        </w:tc>
      </w:tr>
      <w:tr w:rsidR="00D52015" w:rsidRPr="00881BD2" w:rsidTr="00B449E7">
        <w:trPr>
          <w:cantSplit/>
        </w:trPr>
        <w:tc>
          <w:tcPr>
            <w:tcW w:w="5000" w:type="pct"/>
            <w:gridSpan w:val="7"/>
            <w:shd w:val="clear" w:color="auto" w:fill="auto"/>
            <w:vAlign w:val="center"/>
          </w:tcPr>
          <w:p w:rsidR="00D52015" w:rsidRPr="00881BD2" w:rsidRDefault="00D52015" w:rsidP="002C2CE8">
            <w:pPr>
              <w:keepNext/>
              <w:keepLines/>
              <w:jc w:val="left"/>
              <w:rPr>
                <w:rFonts w:ascii="Arial Narrow" w:hAnsi="Arial Narrow"/>
                <w:b/>
                <w:sz w:val="20"/>
              </w:rPr>
            </w:pPr>
            <w:proofErr w:type="spellStart"/>
            <w:r w:rsidRPr="00881BD2">
              <w:rPr>
                <w:rFonts w:ascii="Arial Narrow" w:hAnsi="Arial Narrow"/>
                <w:b/>
                <w:sz w:val="20"/>
              </w:rPr>
              <w:t>Obinutuzumab</w:t>
            </w:r>
            <w:proofErr w:type="spellEnd"/>
            <w:r w:rsidRPr="00881BD2">
              <w:rPr>
                <w:rFonts w:ascii="Arial Narrow" w:hAnsi="Arial Narrow"/>
                <w:b/>
                <w:sz w:val="20"/>
              </w:rPr>
              <w:t xml:space="preserve"> +chlorambucil vs rituximab plus chlorambucil</w:t>
            </w:r>
          </w:p>
        </w:tc>
      </w:tr>
      <w:tr w:rsidR="00D52015" w:rsidRPr="00881BD2" w:rsidTr="00B449E7">
        <w:trPr>
          <w:cantSplit/>
        </w:trPr>
        <w:tc>
          <w:tcPr>
            <w:tcW w:w="859" w:type="pct"/>
            <w:shd w:val="clear" w:color="auto" w:fill="auto"/>
            <w:vAlign w:val="center"/>
          </w:tcPr>
          <w:p w:rsidR="00D52015" w:rsidRPr="00881BD2" w:rsidRDefault="00D52015" w:rsidP="002C2CE8">
            <w:pPr>
              <w:keepNext/>
              <w:keepLines/>
              <w:jc w:val="left"/>
              <w:rPr>
                <w:rFonts w:ascii="Arial Narrow" w:hAnsi="Arial Narrow"/>
                <w:sz w:val="20"/>
              </w:rPr>
            </w:pPr>
            <w:r w:rsidRPr="00881BD2">
              <w:rPr>
                <w:rFonts w:ascii="Arial Narrow" w:hAnsi="Arial Narrow"/>
                <w:sz w:val="20"/>
              </w:rPr>
              <w:t xml:space="preserve">CLL11 </w:t>
            </w:r>
            <w:r w:rsidRPr="00881BD2">
              <w:rPr>
                <w:rFonts w:ascii="Arial Narrow" w:hAnsi="Arial Narrow"/>
                <w:sz w:val="20"/>
              </w:rPr>
              <w:br/>
              <w:t>Stage 2</w:t>
            </w:r>
          </w:p>
        </w:tc>
        <w:tc>
          <w:tcPr>
            <w:tcW w:w="19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663</w:t>
            </w:r>
          </w:p>
        </w:tc>
        <w:tc>
          <w:tcPr>
            <w:tcW w:w="807"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R, OL, MC</w:t>
            </w:r>
          </w:p>
          <w:p w:rsidR="00D52015" w:rsidRPr="00881BD2" w:rsidRDefault="00D52015" w:rsidP="002C2CE8">
            <w:pPr>
              <w:keepNext/>
              <w:keepLines/>
              <w:jc w:val="center"/>
              <w:rPr>
                <w:rFonts w:ascii="Arial Narrow" w:hAnsi="Arial Narrow"/>
                <w:sz w:val="20"/>
              </w:rPr>
            </w:pPr>
            <w:r w:rsidRPr="00881BD2">
              <w:rPr>
                <w:rFonts w:ascii="Arial Narrow" w:hAnsi="Arial Narrow"/>
                <w:sz w:val="20"/>
              </w:rPr>
              <w:t xml:space="preserve">Median 6 </w:t>
            </w:r>
            <w:proofErr w:type="spellStart"/>
            <w:r w:rsidRPr="00881BD2">
              <w:rPr>
                <w:rFonts w:ascii="Arial Narrow" w:hAnsi="Arial Narrow"/>
                <w:sz w:val="20"/>
              </w:rPr>
              <w:t>mths</w:t>
            </w:r>
            <w:proofErr w:type="spellEnd"/>
          </w:p>
        </w:tc>
        <w:tc>
          <w:tcPr>
            <w:tcW w:w="63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Unclear</w:t>
            </w:r>
          </w:p>
        </w:tc>
        <w:tc>
          <w:tcPr>
            <w:tcW w:w="1064"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Previously untreated CLL with comorbidities</w:t>
            </w:r>
          </w:p>
        </w:tc>
        <w:tc>
          <w:tcPr>
            <w:tcW w:w="63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PFS, OS, TTNT</w:t>
            </w:r>
          </w:p>
        </w:tc>
        <w:tc>
          <w:tcPr>
            <w:tcW w:w="796"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Yes</w:t>
            </w:r>
          </w:p>
        </w:tc>
      </w:tr>
      <w:tr w:rsidR="00D52015" w:rsidRPr="00881BD2" w:rsidTr="00B449E7">
        <w:trPr>
          <w:cantSplit/>
        </w:trPr>
        <w:tc>
          <w:tcPr>
            <w:tcW w:w="5000" w:type="pct"/>
            <w:gridSpan w:val="7"/>
            <w:shd w:val="clear" w:color="auto" w:fill="auto"/>
            <w:vAlign w:val="center"/>
          </w:tcPr>
          <w:p w:rsidR="00D52015" w:rsidRPr="00881BD2" w:rsidRDefault="00D52015" w:rsidP="002C2CE8">
            <w:pPr>
              <w:keepNext/>
              <w:keepLines/>
              <w:jc w:val="left"/>
              <w:rPr>
                <w:rFonts w:ascii="Arial Narrow" w:hAnsi="Arial Narrow"/>
                <w:b/>
                <w:sz w:val="20"/>
              </w:rPr>
            </w:pPr>
            <w:proofErr w:type="spellStart"/>
            <w:r w:rsidRPr="00881BD2">
              <w:rPr>
                <w:rFonts w:ascii="Arial Narrow" w:hAnsi="Arial Narrow"/>
                <w:b/>
                <w:sz w:val="20"/>
              </w:rPr>
              <w:t>Obinutuzumab</w:t>
            </w:r>
            <w:proofErr w:type="spellEnd"/>
            <w:r w:rsidRPr="00881BD2">
              <w:rPr>
                <w:rFonts w:ascii="Arial Narrow" w:hAnsi="Arial Narrow"/>
                <w:b/>
                <w:sz w:val="20"/>
              </w:rPr>
              <w:t xml:space="preserve"> +chlorambucil vs chlorambucil</w:t>
            </w:r>
          </w:p>
        </w:tc>
      </w:tr>
      <w:tr w:rsidR="00D52015" w:rsidRPr="00881BD2" w:rsidTr="00B449E7">
        <w:trPr>
          <w:cantSplit/>
        </w:trPr>
        <w:tc>
          <w:tcPr>
            <w:tcW w:w="859" w:type="pct"/>
            <w:shd w:val="clear" w:color="auto" w:fill="auto"/>
            <w:vAlign w:val="center"/>
          </w:tcPr>
          <w:p w:rsidR="00D52015" w:rsidRPr="00881BD2" w:rsidRDefault="00D52015" w:rsidP="002C2CE8">
            <w:pPr>
              <w:keepNext/>
              <w:keepLines/>
              <w:jc w:val="left"/>
              <w:rPr>
                <w:rFonts w:ascii="Arial Narrow" w:hAnsi="Arial Narrow"/>
                <w:sz w:val="20"/>
              </w:rPr>
            </w:pPr>
            <w:r w:rsidRPr="00881BD2">
              <w:rPr>
                <w:rFonts w:ascii="Arial Narrow" w:hAnsi="Arial Narrow"/>
                <w:sz w:val="20"/>
              </w:rPr>
              <w:t xml:space="preserve">CLL11 </w:t>
            </w:r>
            <w:r w:rsidRPr="00881BD2">
              <w:rPr>
                <w:rFonts w:ascii="Arial Narrow" w:hAnsi="Arial Narrow"/>
                <w:sz w:val="20"/>
              </w:rPr>
              <w:br/>
              <w:t>Stage 1a</w:t>
            </w:r>
          </w:p>
        </w:tc>
        <w:tc>
          <w:tcPr>
            <w:tcW w:w="19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356</w:t>
            </w:r>
          </w:p>
        </w:tc>
        <w:tc>
          <w:tcPr>
            <w:tcW w:w="807"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R, OL, MC</w:t>
            </w:r>
          </w:p>
          <w:p w:rsidR="00D52015" w:rsidRPr="00881BD2" w:rsidRDefault="00D52015" w:rsidP="002C2CE8">
            <w:pPr>
              <w:keepNext/>
              <w:keepLines/>
              <w:jc w:val="center"/>
              <w:rPr>
                <w:rFonts w:ascii="Arial Narrow" w:hAnsi="Arial Narrow"/>
                <w:sz w:val="20"/>
              </w:rPr>
            </w:pPr>
            <w:r w:rsidRPr="00881BD2">
              <w:rPr>
                <w:rFonts w:ascii="Arial Narrow" w:hAnsi="Arial Narrow"/>
                <w:sz w:val="20"/>
              </w:rPr>
              <w:t xml:space="preserve">Median 6 </w:t>
            </w:r>
            <w:proofErr w:type="spellStart"/>
            <w:r w:rsidRPr="00881BD2">
              <w:rPr>
                <w:rFonts w:ascii="Arial Narrow" w:hAnsi="Arial Narrow"/>
                <w:sz w:val="20"/>
              </w:rPr>
              <w:t>mths</w:t>
            </w:r>
            <w:proofErr w:type="spellEnd"/>
          </w:p>
        </w:tc>
        <w:tc>
          <w:tcPr>
            <w:tcW w:w="63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Unclear</w:t>
            </w:r>
          </w:p>
        </w:tc>
        <w:tc>
          <w:tcPr>
            <w:tcW w:w="1064"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Previously untreated CLL with comorbidities</w:t>
            </w:r>
          </w:p>
        </w:tc>
        <w:tc>
          <w:tcPr>
            <w:tcW w:w="63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PFS, OS, TTNT</w:t>
            </w:r>
          </w:p>
        </w:tc>
        <w:tc>
          <w:tcPr>
            <w:tcW w:w="796"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Yes</w:t>
            </w:r>
          </w:p>
        </w:tc>
      </w:tr>
      <w:tr w:rsidR="00D52015" w:rsidRPr="00881BD2" w:rsidTr="00B449E7">
        <w:trPr>
          <w:cantSplit/>
        </w:trPr>
        <w:tc>
          <w:tcPr>
            <w:tcW w:w="5000" w:type="pct"/>
            <w:gridSpan w:val="7"/>
            <w:shd w:val="clear" w:color="auto" w:fill="auto"/>
            <w:vAlign w:val="center"/>
          </w:tcPr>
          <w:p w:rsidR="00D52015" w:rsidRPr="00881BD2" w:rsidRDefault="00D52015" w:rsidP="002C2CE8">
            <w:pPr>
              <w:keepNext/>
              <w:keepLines/>
              <w:jc w:val="left"/>
              <w:rPr>
                <w:rFonts w:ascii="Arial Narrow" w:hAnsi="Arial Narrow"/>
                <w:b/>
                <w:sz w:val="20"/>
              </w:rPr>
            </w:pPr>
            <w:proofErr w:type="spellStart"/>
            <w:r w:rsidRPr="00881BD2">
              <w:rPr>
                <w:rFonts w:ascii="Arial Narrow" w:hAnsi="Arial Narrow"/>
                <w:b/>
                <w:sz w:val="20"/>
              </w:rPr>
              <w:t>Obinutuzumab</w:t>
            </w:r>
            <w:proofErr w:type="spellEnd"/>
            <w:r w:rsidRPr="00881BD2">
              <w:rPr>
                <w:rFonts w:ascii="Arial Narrow" w:hAnsi="Arial Narrow"/>
                <w:b/>
                <w:sz w:val="20"/>
              </w:rPr>
              <w:t xml:space="preserve"> +chlorambucil vs ofatumumab + chlorambucil (indirect)</w:t>
            </w:r>
          </w:p>
        </w:tc>
      </w:tr>
      <w:tr w:rsidR="00D52015" w:rsidRPr="00881BD2" w:rsidTr="00B449E7">
        <w:trPr>
          <w:cantSplit/>
        </w:trPr>
        <w:tc>
          <w:tcPr>
            <w:tcW w:w="859" w:type="pct"/>
            <w:shd w:val="clear" w:color="auto" w:fill="auto"/>
            <w:vAlign w:val="center"/>
          </w:tcPr>
          <w:p w:rsidR="00D52015" w:rsidRPr="00881BD2" w:rsidRDefault="00D52015" w:rsidP="002C2CE8">
            <w:pPr>
              <w:keepNext/>
              <w:keepLines/>
              <w:jc w:val="left"/>
              <w:rPr>
                <w:rFonts w:ascii="Arial Narrow" w:hAnsi="Arial Narrow"/>
                <w:sz w:val="20"/>
              </w:rPr>
            </w:pPr>
            <w:r w:rsidRPr="00881BD2">
              <w:rPr>
                <w:rFonts w:ascii="Arial Narrow" w:hAnsi="Arial Narrow"/>
                <w:sz w:val="20"/>
              </w:rPr>
              <w:t>COMPLEMENT-1</w:t>
            </w:r>
          </w:p>
        </w:tc>
        <w:tc>
          <w:tcPr>
            <w:tcW w:w="19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447</w:t>
            </w:r>
          </w:p>
        </w:tc>
        <w:tc>
          <w:tcPr>
            <w:tcW w:w="807"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R, OL, MC</w:t>
            </w:r>
          </w:p>
          <w:p w:rsidR="00D52015" w:rsidRPr="00881BD2" w:rsidRDefault="00D52015" w:rsidP="002C2CE8">
            <w:pPr>
              <w:keepNext/>
              <w:keepLines/>
              <w:jc w:val="center"/>
              <w:rPr>
                <w:rFonts w:ascii="Arial Narrow" w:hAnsi="Arial Narrow"/>
                <w:sz w:val="20"/>
              </w:rPr>
            </w:pPr>
            <w:r w:rsidRPr="00881BD2">
              <w:rPr>
                <w:rFonts w:ascii="Arial Narrow" w:hAnsi="Arial Narrow"/>
                <w:sz w:val="20"/>
              </w:rPr>
              <w:t>median 159 days</w:t>
            </w:r>
          </w:p>
        </w:tc>
        <w:tc>
          <w:tcPr>
            <w:tcW w:w="63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Low</w:t>
            </w:r>
          </w:p>
        </w:tc>
        <w:tc>
          <w:tcPr>
            <w:tcW w:w="1064"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Previously untreated CLL and inappropriate for fludarabine-based therapy</w:t>
            </w:r>
          </w:p>
        </w:tc>
        <w:tc>
          <w:tcPr>
            <w:tcW w:w="638"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PFS, OS, TTNT</w:t>
            </w:r>
          </w:p>
        </w:tc>
        <w:tc>
          <w:tcPr>
            <w:tcW w:w="796" w:type="pct"/>
            <w:shd w:val="clear" w:color="auto" w:fill="auto"/>
            <w:vAlign w:val="center"/>
          </w:tcPr>
          <w:p w:rsidR="00D52015" w:rsidRPr="00881BD2" w:rsidRDefault="00D52015" w:rsidP="002C2CE8">
            <w:pPr>
              <w:keepNext/>
              <w:keepLines/>
              <w:jc w:val="center"/>
              <w:rPr>
                <w:rFonts w:ascii="Arial Narrow" w:hAnsi="Arial Narrow"/>
                <w:sz w:val="20"/>
              </w:rPr>
            </w:pPr>
            <w:r w:rsidRPr="00881BD2">
              <w:rPr>
                <w:rFonts w:ascii="Arial Narrow" w:hAnsi="Arial Narrow"/>
                <w:sz w:val="20"/>
              </w:rPr>
              <w:t>No</w:t>
            </w:r>
          </w:p>
        </w:tc>
      </w:tr>
    </w:tbl>
    <w:p w:rsidR="00726F0B" w:rsidRPr="00881BD2" w:rsidRDefault="00726F0B" w:rsidP="002C2CE8">
      <w:pPr>
        <w:pStyle w:val="TableFooter"/>
        <w:keepNext/>
        <w:keepLines/>
        <w:ind w:firstLine="720"/>
      </w:pPr>
      <w:r w:rsidRPr="00881BD2">
        <w:t>Source: compiled during the evaluation.</w:t>
      </w:r>
    </w:p>
    <w:p w:rsidR="00726F0B" w:rsidRPr="00881BD2" w:rsidRDefault="00726F0B" w:rsidP="002C2CE8">
      <w:pPr>
        <w:pStyle w:val="TableFooter"/>
        <w:keepNext/>
        <w:keepLines/>
        <w:ind w:left="720"/>
      </w:pPr>
      <w:r w:rsidRPr="00881BD2">
        <w:t>R = randomised; MC = multi-centre; OL = open label; OS = overall survival; PFS = progression-free survival; TTNT = time to next treatment; CLL = chronic lymphocytic leukaemia;</w:t>
      </w:r>
      <w:r w:rsidR="00D52015" w:rsidRPr="00881BD2">
        <w:t xml:space="preserve"> </w:t>
      </w:r>
      <w:proofErr w:type="spellStart"/>
      <w:r w:rsidR="00D52015" w:rsidRPr="00881BD2">
        <w:t>mths</w:t>
      </w:r>
      <w:proofErr w:type="spellEnd"/>
      <w:r w:rsidR="00D52015" w:rsidRPr="00881BD2">
        <w:t xml:space="preserve"> = months</w:t>
      </w:r>
    </w:p>
    <w:p w:rsidR="00726F0B" w:rsidRDefault="00726F0B" w:rsidP="00726F0B"/>
    <w:p w:rsidR="00726F0B" w:rsidRDefault="00726F0B" w:rsidP="002C2CE8">
      <w:pPr>
        <w:pStyle w:val="ListParagraph"/>
        <w:keepNext/>
        <w:keepLines/>
        <w:widowControl/>
        <w:numPr>
          <w:ilvl w:val="1"/>
          <w:numId w:val="15"/>
        </w:numPr>
      </w:pPr>
      <w:r w:rsidRPr="00881BD2">
        <w:rPr>
          <w:szCs w:val="22"/>
        </w:rPr>
        <w:t xml:space="preserve">Progression-free survival </w:t>
      </w:r>
      <w:r w:rsidR="005B43F9">
        <w:rPr>
          <w:szCs w:val="22"/>
        </w:rPr>
        <w:t xml:space="preserve">(PFS) </w:t>
      </w:r>
      <w:r w:rsidRPr="00881BD2">
        <w:rPr>
          <w:szCs w:val="22"/>
        </w:rPr>
        <w:t>was the primary outcome in the CLL11 trial. Overall survival</w:t>
      </w:r>
      <w:r w:rsidRPr="00881BD2">
        <w:t xml:space="preserve"> </w:t>
      </w:r>
      <w:r w:rsidR="005B43F9">
        <w:t xml:space="preserve">(OS) </w:t>
      </w:r>
      <w:r w:rsidRPr="00881BD2">
        <w:t>and time to next anti-leukaemia treatment were secondary outcomes.</w:t>
      </w:r>
    </w:p>
    <w:p w:rsidR="0035348F" w:rsidRPr="00D80E9F" w:rsidRDefault="0035348F" w:rsidP="001E4453">
      <w:pPr>
        <w:ind w:left="720" w:hanging="720"/>
      </w:pPr>
    </w:p>
    <w:p w:rsidR="0035348F" w:rsidRPr="00D80E9F" w:rsidRDefault="0035348F" w:rsidP="002C2CE8">
      <w:pPr>
        <w:pStyle w:val="ListParagraph"/>
        <w:keepNext/>
        <w:keepLines/>
        <w:widowControl/>
        <w:numPr>
          <w:ilvl w:val="1"/>
          <w:numId w:val="15"/>
        </w:numPr>
      </w:pPr>
      <w:r w:rsidRPr="00D80E9F">
        <w:lastRenderedPageBreak/>
        <w:t>The PBAC noted that the CLL11 trial was open-label and the primary outcome was investigator</w:t>
      </w:r>
      <w:r w:rsidR="005B4AB6" w:rsidRPr="00D80E9F">
        <w:t>-</w:t>
      </w:r>
      <w:r w:rsidRPr="00D80E9F">
        <w:t xml:space="preserve">assessed PFS. </w:t>
      </w:r>
    </w:p>
    <w:p w:rsidR="00726F0B" w:rsidRPr="00D80E9F" w:rsidRDefault="00726F0B" w:rsidP="00726F0B">
      <w:pPr>
        <w:rPr>
          <w:szCs w:val="22"/>
        </w:rPr>
      </w:pPr>
    </w:p>
    <w:p w:rsidR="00726F0B" w:rsidRPr="00BC26DB" w:rsidRDefault="00726F0B" w:rsidP="00726F0B">
      <w:pPr>
        <w:pStyle w:val="Heading2"/>
      </w:pPr>
      <w:bookmarkStart w:id="10" w:name="_Toc409532706"/>
      <w:r w:rsidRPr="00BC26DB">
        <w:t>Comparative effectiveness</w:t>
      </w:r>
      <w:bookmarkEnd w:id="10"/>
    </w:p>
    <w:p w:rsidR="00726F0B" w:rsidRPr="00881BD2" w:rsidRDefault="00726F0B" w:rsidP="00726F0B">
      <w:pPr>
        <w:rPr>
          <w:szCs w:val="22"/>
        </w:rPr>
      </w:pPr>
    </w:p>
    <w:p w:rsidR="00726F0B" w:rsidRPr="00881BD2" w:rsidRDefault="00726F0B" w:rsidP="006305C9">
      <w:pPr>
        <w:pStyle w:val="ListParagraph"/>
        <w:keepNext/>
        <w:keepLines/>
        <w:widowControl/>
        <w:numPr>
          <w:ilvl w:val="1"/>
          <w:numId w:val="15"/>
        </w:numPr>
        <w:rPr>
          <w:szCs w:val="22"/>
        </w:rPr>
      </w:pPr>
      <w:r w:rsidRPr="00881BD2">
        <w:rPr>
          <w:szCs w:val="22"/>
        </w:rPr>
        <w:t>The results for the comparison with chlorambucil are presented in Table 1, and not further reported below.</w:t>
      </w:r>
      <w:r w:rsidR="007567A0" w:rsidRPr="00881BD2">
        <w:rPr>
          <w:szCs w:val="22"/>
        </w:rPr>
        <w:t xml:space="preserve"> The results for the comparison with rituximab plus chlorambucil are presented in Table </w:t>
      </w:r>
      <w:r w:rsidR="00BF633C" w:rsidRPr="00881BD2">
        <w:rPr>
          <w:szCs w:val="22"/>
        </w:rPr>
        <w:t>4</w:t>
      </w:r>
      <w:r w:rsidR="007567A0" w:rsidRPr="00881BD2">
        <w:rPr>
          <w:szCs w:val="22"/>
        </w:rPr>
        <w:t>.</w:t>
      </w:r>
    </w:p>
    <w:p w:rsidR="00726F0B" w:rsidRPr="00881BD2" w:rsidRDefault="00726F0B" w:rsidP="00BE40CB">
      <w:pPr>
        <w:ind w:left="720"/>
        <w:rPr>
          <w:szCs w:val="22"/>
        </w:rPr>
      </w:pPr>
    </w:p>
    <w:p w:rsidR="00F24BD7" w:rsidRPr="00881BD2" w:rsidRDefault="00292D48" w:rsidP="006305C9">
      <w:pPr>
        <w:pStyle w:val="ListParagraph"/>
        <w:keepNext/>
        <w:keepLines/>
        <w:widowControl/>
        <w:numPr>
          <w:ilvl w:val="1"/>
          <w:numId w:val="15"/>
        </w:numPr>
        <w:rPr>
          <w:szCs w:val="22"/>
        </w:rPr>
      </w:pPr>
      <w:r w:rsidRPr="00881BD2">
        <w:rPr>
          <w:szCs w:val="22"/>
        </w:rPr>
        <w:t>R</w:t>
      </w:r>
      <w:r w:rsidR="00726F0B" w:rsidRPr="00881BD2">
        <w:rPr>
          <w:szCs w:val="22"/>
        </w:rPr>
        <w:t xml:space="preserve">elative to </w:t>
      </w:r>
      <w:proofErr w:type="gramStart"/>
      <w:r w:rsidR="00726F0B" w:rsidRPr="00881BD2">
        <w:rPr>
          <w:szCs w:val="22"/>
        </w:rPr>
        <w:t>both main</w:t>
      </w:r>
      <w:proofErr w:type="gramEnd"/>
      <w:r w:rsidR="00726F0B" w:rsidRPr="00881BD2">
        <w:rPr>
          <w:szCs w:val="22"/>
        </w:rPr>
        <w:t xml:space="preserve"> comparators, </w:t>
      </w:r>
      <w:proofErr w:type="spellStart"/>
      <w:r w:rsidR="00726F0B" w:rsidRPr="00881BD2">
        <w:rPr>
          <w:szCs w:val="22"/>
        </w:rPr>
        <w:t>obinutuzumab</w:t>
      </w:r>
      <w:proofErr w:type="spellEnd"/>
      <w:r w:rsidR="00726F0B" w:rsidRPr="00881BD2">
        <w:rPr>
          <w:szCs w:val="22"/>
        </w:rPr>
        <w:t xml:space="preserve"> plus chlorambucil resulted in significantly longer times to progression and times to next anti-leukaemia </w:t>
      </w:r>
      <w:r w:rsidR="00726F0B" w:rsidRPr="001E4453">
        <w:rPr>
          <w:szCs w:val="22"/>
        </w:rPr>
        <w:t>treatment. In</w:t>
      </w:r>
      <w:r w:rsidR="00726F0B" w:rsidRPr="00881BD2">
        <w:rPr>
          <w:szCs w:val="22"/>
        </w:rPr>
        <w:t xml:space="preserve"> comparison with rituximab plus chlorambucil, </w:t>
      </w:r>
      <w:r w:rsidR="00231E77" w:rsidRPr="00881BD2">
        <w:rPr>
          <w:szCs w:val="22"/>
        </w:rPr>
        <w:t xml:space="preserve">the hazard ratio for </w:t>
      </w:r>
      <w:r w:rsidR="005B43F9">
        <w:rPr>
          <w:szCs w:val="22"/>
        </w:rPr>
        <w:t>PFS</w:t>
      </w:r>
      <w:r w:rsidR="00231E77" w:rsidRPr="00881BD2">
        <w:rPr>
          <w:szCs w:val="22"/>
        </w:rPr>
        <w:t xml:space="preserve"> was 0.40 (95% CI: 0.33 to 0.50) and the hazard ratio for time to next treatment was 0.54 (95% CI: 0.40 to 0.72). </w:t>
      </w:r>
      <w:r w:rsidR="00375F0F" w:rsidRPr="00881BD2">
        <w:rPr>
          <w:szCs w:val="22"/>
        </w:rPr>
        <w:t xml:space="preserve">In July 2014, the PBAC considered that </w:t>
      </w:r>
      <w:proofErr w:type="spellStart"/>
      <w:r w:rsidR="00375F0F" w:rsidRPr="00881BD2">
        <w:rPr>
          <w:szCs w:val="22"/>
        </w:rPr>
        <w:t>obinutuzumab</w:t>
      </w:r>
      <w:proofErr w:type="spellEnd"/>
      <w:r w:rsidR="00375F0F" w:rsidRPr="00881BD2">
        <w:rPr>
          <w:szCs w:val="22"/>
        </w:rPr>
        <w:t xml:space="preserve"> was superior to rituximab (both in combination with chlorambucil) in terms of comparative effectiveness in relation to PFS. </w:t>
      </w:r>
      <w:r w:rsidR="00FD376B">
        <w:rPr>
          <w:szCs w:val="22"/>
        </w:rPr>
        <w:t>In July 2014, t</w:t>
      </w:r>
      <w:r w:rsidR="00375F0F" w:rsidRPr="00881BD2">
        <w:rPr>
          <w:szCs w:val="22"/>
        </w:rPr>
        <w:t xml:space="preserve">he PBAC noted that while the hazard ratio for OS was not statistically significant, the point estimate was in favour of </w:t>
      </w:r>
      <w:proofErr w:type="spellStart"/>
      <w:r w:rsidR="00375F0F" w:rsidRPr="00881BD2">
        <w:rPr>
          <w:szCs w:val="22"/>
        </w:rPr>
        <w:t>obinutuzumab</w:t>
      </w:r>
      <w:proofErr w:type="spellEnd"/>
      <w:r w:rsidR="00375F0F" w:rsidRPr="00881BD2">
        <w:rPr>
          <w:szCs w:val="22"/>
        </w:rPr>
        <w:t xml:space="preserve"> and approaching statistical significance (HR 0.70, 95% CI: 0.47 to 1.02) (paragraph 7.10, Ratified Minutes, July 2014). </w:t>
      </w:r>
    </w:p>
    <w:p w:rsidR="00F24BD7" w:rsidRPr="00881BD2" w:rsidRDefault="00F24BD7" w:rsidP="00F24BD7">
      <w:pPr>
        <w:pStyle w:val="ListParagraph"/>
        <w:widowControl/>
      </w:pPr>
    </w:p>
    <w:p w:rsidR="00454C00" w:rsidRDefault="00292D48" w:rsidP="006305C9">
      <w:pPr>
        <w:pStyle w:val="ListParagraph"/>
        <w:keepNext/>
        <w:keepLines/>
        <w:widowControl/>
        <w:numPr>
          <w:ilvl w:val="1"/>
          <w:numId w:val="15"/>
        </w:numPr>
        <w:rPr>
          <w:szCs w:val="22"/>
        </w:rPr>
      </w:pPr>
      <w:r w:rsidRPr="001E4453">
        <w:rPr>
          <w:szCs w:val="22"/>
        </w:rPr>
        <w:t xml:space="preserve">The results for the indirect comparison with ofatumumab are presented in Table 5. </w:t>
      </w:r>
      <w:r w:rsidR="00726F0B" w:rsidRPr="00881BD2">
        <w:rPr>
          <w:szCs w:val="22"/>
        </w:rPr>
        <w:t xml:space="preserve">The submission considered that </w:t>
      </w:r>
      <w:proofErr w:type="spellStart"/>
      <w:r w:rsidR="00726F0B" w:rsidRPr="00881BD2">
        <w:rPr>
          <w:szCs w:val="22"/>
        </w:rPr>
        <w:t>obinutuzumab</w:t>
      </w:r>
      <w:proofErr w:type="spellEnd"/>
      <w:r w:rsidR="00726F0B" w:rsidRPr="00881BD2">
        <w:rPr>
          <w:szCs w:val="22"/>
        </w:rPr>
        <w:t xml:space="preserve"> was superior to ofatumumab </w:t>
      </w:r>
      <w:r w:rsidR="00375F0F" w:rsidRPr="00881BD2">
        <w:rPr>
          <w:szCs w:val="22"/>
        </w:rPr>
        <w:t xml:space="preserve">(both in combination with </w:t>
      </w:r>
      <w:r w:rsidR="00726F0B" w:rsidRPr="00881BD2">
        <w:rPr>
          <w:szCs w:val="22"/>
        </w:rPr>
        <w:t>chlorambucil</w:t>
      </w:r>
      <w:r w:rsidR="00375F0F" w:rsidRPr="00881BD2">
        <w:rPr>
          <w:szCs w:val="22"/>
        </w:rPr>
        <w:t>)</w:t>
      </w:r>
      <w:r w:rsidR="00726F0B" w:rsidRPr="00881BD2">
        <w:rPr>
          <w:szCs w:val="22"/>
        </w:rPr>
        <w:t xml:space="preserve">. </w:t>
      </w:r>
      <w:r w:rsidR="00726F0B" w:rsidRPr="00881BD2">
        <w:t xml:space="preserve">Due to differences between the chlorambucil arms of the two trials, the statistically significant differences for </w:t>
      </w:r>
      <w:r w:rsidR="006034FD" w:rsidRPr="00881BD2">
        <w:t xml:space="preserve">PFS </w:t>
      </w:r>
      <w:r w:rsidR="00726F0B" w:rsidRPr="00881BD2">
        <w:t xml:space="preserve">and </w:t>
      </w:r>
      <w:r w:rsidR="00726F0B" w:rsidRPr="00881BD2">
        <w:rPr>
          <w:szCs w:val="22"/>
        </w:rPr>
        <w:t>time to next anti</w:t>
      </w:r>
      <w:r w:rsidR="006034FD" w:rsidRPr="00881BD2">
        <w:rPr>
          <w:szCs w:val="22"/>
        </w:rPr>
        <w:noBreakHyphen/>
      </w:r>
      <w:r w:rsidR="00726F0B" w:rsidRPr="00881BD2">
        <w:rPr>
          <w:szCs w:val="22"/>
        </w:rPr>
        <w:t xml:space="preserve">leukaemia treatment should be interpreted with caution. </w:t>
      </w:r>
    </w:p>
    <w:p w:rsidR="00454C00" w:rsidRDefault="00454C00" w:rsidP="001E4453">
      <w:pPr>
        <w:pStyle w:val="ListParagraph"/>
        <w:widowControl/>
        <w:rPr>
          <w:szCs w:val="22"/>
        </w:rPr>
      </w:pPr>
    </w:p>
    <w:p w:rsidR="00DA14F8" w:rsidRPr="002C2CE8" w:rsidRDefault="00991475" w:rsidP="006305C9">
      <w:pPr>
        <w:pStyle w:val="ListParagraph"/>
        <w:keepNext/>
        <w:keepLines/>
        <w:widowControl/>
        <w:numPr>
          <w:ilvl w:val="1"/>
          <w:numId w:val="15"/>
        </w:numPr>
        <w:rPr>
          <w:szCs w:val="22"/>
        </w:rPr>
      </w:pPr>
      <w:r w:rsidRPr="002C2CE8">
        <w:rPr>
          <w:szCs w:val="22"/>
        </w:rPr>
        <w:t xml:space="preserve">The </w:t>
      </w:r>
      <w:r w:rsidR="000E536C" w:rsidRPr="002C2CE8">
        <w:rPr>
          <w:szCs w:val="22"/>
        </w:rPr>
        <w:t xml:space="preserve">PSCR </w:t>
      </w:r>
      <w:r w:rsidR="00DA14F8" w:rsidRPr="002C2CE8">
        <w:rPr>
          <w:szCs w:val="22"/>
        </w:rPr>
        <w:t>stated</w:t>
      </w:r>
      <w:r w:rsidR="000E536C" w:rsidRPr="002C2CE8">
        <w:rPr>
          <w:szCs w:val="22"/>
        </w:rPr>
        <w:t xml:space="preserve"> that</w:t>
      </w:r>
      <w:r w:rsidR="00DA14F8" w:rsidRPr="002C2CE8">
        <w:rPr>
          <w:szCs w:val="22"/>
        </w:rPr>
        <w:t xml:space="preserve"> i</w:t>
      </w:r>
      <w:r w:rsidR="003C71D1" w:rsidRPr="002C2CE8">
        <w:rPr>
          <w:szCs w:val="22"/>
        </w:rPr>
        <w:t>t</w:t>
      </w:r>
      <w:r w:rsidR="00DA14F8" w:rsidRPr="002C2CE8">
        <w:rPr>
          <w:szCs w:val="22"/>
        </w:rPr>
        <w:t xml:space="preserve"> can be inferred that </w:t>
      </w:r>
      <w:proofErr w:type="spellStart"/>
      <w:r w:rsidR="00DA14F8" w:rsidRPr="002C2CE8">
        <w:rPr>
          <w:szCs w:val="22"/>
        </w:rPr>
        <w:t>obinutuzumab</w:t>
      </w:r>
      <w:proofErr w:type="spellEnd"/>
      <w:r w:rsidR="00DA14F8" w:rsidRPr="002C2CE8">
        <w:rPr>
          <w:szCs w:val="22"/>
        </w:rPr>
        <w:t xml:space="preserve"> is likely to be superior to ofatumumab</w:t>
      </w:r>
      <w:r w:rsidR="006034FD" w:rsidRPr="002C2CE8">
        <w:rPr>
          <w:szCs w:val="22"/>
        </w:rPr>
        <w:t xml:space="preserve"> (both in combination with chlorambucil)</w:t>
      </w:r>
      <w:r w:rsidR="00DA14F8" w:rsidRPr="002C2CE8">
        <w:rPr>
          <w:szCs w:val="22"/>
        </w:rPr>
        <w:t xml:space="preserve"> in relation to PFS because the PBAC has previously accepted</w:t>
      </w:r>
      <w:r w:rsidR="006034FD" w:rsidRPr="002C2CE8">
        <w:rPr>
          <w:szCs w:val="22"/>
        </w:rPr>
        <w:t xml:space="preserve"> that</w:t>
      </w:r>
      <w:r w:rsidR="00DA14F8" w:rsidRPr="002C2CE8">
        <w:rPr>
          <w:szCs w:val="22"/>
        </w:rPr>
        <w:t>:</w:t>
      </w:r>
    </w:p>
    <w:p w:rsidR="00DA14F8" w:rsidRPr="002C2CE8" w:rsidRDefault="000E536C" w:rsidP="001E4453">
      <w:pPr>
        <w:pStyle w:val="ListParagraph"/>
        <w:widowControl/>
        <w:numPr>
          <w:ilvl w:val="0"/>
          <w:numId w:val="12"/>
        </w:numPr>
        <w:rPr>
          <w:szCs w:val="22"/>
        </w:rPr>
      </w:pPr>
      <w:proofErr w:type="gramStart"/>
      <w:r w:rsidRPr="002C2CE8">
        <w:rPr>
          <w:szCs w:val="22"/>
        </w:rPr>
        <w:t>ofatumumab</w:t>
      </w:r>
      <w:proofErr w:type="gramEnd"/>
      <w:r w:rsidRPr="002C2CE8">
        <w:rPr>
          <w:szCs w:val="22"/>
        </w:rPr>
        <w:t xml:space="preserve"> </w:t>
      </w:r>
      <w:r w:rsidR="006034FD" w:rsidRPr="002C2CE8">
        <w:rPr>
          <w:szCs w:val="22"/>
        </w:rPr>
        <w:t xml:space="preserve">is non-inferior </w:t>
      </w:r>
      <w:r w:rsidRPr="002C2CE8">
        <w:rPr>
          <w:szCs w:val="22"/>
        </w:rPr>
        <w:t>to rituximab (</w:t>
      </w:r>
      <w:r w:rsidR="00991475" w:rsidRPr="002C2CE8">
        <w:rPr>
          <w:szCs w:val="22"/>
        </w:rPr>
        <w:t>citing the ‘Recommendations made by PBAC – November 2014</w:t>
      </w:r>
      <w:r w:rsidR="00FD376B" w:rsidRPr="002C2CE8">
        <w:rPr>
          <w:szCs w:val="22"/>
        </w:rPr>
        <w:t>’</w:t>
      </w:r>
      <w:r w:rsidR="00991475" w:rsidRPr="002C2CE8">
        <w:rPr>
          <w:szCs w:val="22"/>
        </w:rPr>
        <w:t>)</w:t>
      </w:r>
      <w:r w:rsidR="00DA14F8" w:rsidRPr="002C2CE8">
        <w:rPr>
          <w:szCs w:val="22"/>
        </w:rPr>
        <w:t xml:space="preserve">. </w:t>
      </w:r>
    </w:p>
    <w:p w:rsidR="00DA14F8" w:rsidRPr="002C2CE8" w:rsidRDefault="00DA14F8" w:rsidP="001E4453">
      <w:pPr>
        <w:pStyle w:val="ListParagraph"/>
        <w:widowControl/>
        <w:numPr>
          <w:ilvl w:val="0"/>
          <w:numId w:val="12"/>
        </w:numPr>
        <w:rPr>
          <w:szCs w:val="22"/>
        </w:rPr>
      </w:pPr>
      <w:proofErr w:type="spellStart"/>
      <w:proofErr w:type="gramStart"/>
      <w:r w:rsidRPr="002C2CE8">
        <w:rPr>
          <w:szCs w:val="22"/>
        </w:rPr>
        <w:t>obinutuzumab</w:t>
      </w:r>
      <w:proofErr w:type="spellEnd"/>
      <w:proofErr w:type="gramEnd"/>
      <w:r w:rsidRPr="002C2CE8">
        <w:rPr>
          <w:szCs w:val="22"/>
        </w:rPr>
        <w:t xml:space="preserve"> is superior to rituximab in terms of comparative effectiveness in relation to PFS (Paragraph 7.10, PBAC Minutes July 2014)</w:t>
      </w:r>
      <w:r w:rsidR="00375F0F" w:rsidRPr="002C2CE8">
        <w:rPr>
          <w:szCs w:val="22"/>
        </w:rPr>
        <w:t>.</w:t>
      </w:r>
    </w:p>
    <w:p w:rsidR="009066CA" w:rsidRPr="00881BD2" w:rsidRDefault="009066CA" w:rsidP="001E4453">
      <w:pPr>
        <w:pStyle w:val="ListParagraph"/>
        <w:widowControl/>
        <w:rPr>
          <w:i/>
          <w:szCs w:val="22"/>
        </w:rPr>
      </w:pPr>
    </w:p>
    <w:p w:rsidR="00580142" w:rsidRPr="002C2CE8" w:rsidRDefault="003C71D1" w:rsidP="006305C9">
      <w:pPr>
        <w:pStyle w:val="ListParagraph"/>
        <w:keepNext/>
        <w:keepLines/>
        <w:widowControl/>
        <w:numPr>
          <w:ilvl w:val="1"/>
          <w:numId w:val="15"/>
        </w:numPr>
        <w:rPr>
          <w:szCs w:val="22"/>
        </w:rPr>
      </w:pPr>
      <w:r w:rsidRPr="002C2CE8">
        <w:rPr>
          <w:szCs w:val="22"/>
        </w:rPr>
        <w:t>However, t</w:t>
      </w:r>
      <w:r w:rsidR="00FA72B0" w:rsidRPr="002C2CE8">
        <w:rPr>
          <w:szCs w:val="22"/>
        </w:rPr>
        <w:t>he</w:t>
      </w:r>
      <w:r w:rsidR="00375F0F" w:rsidRPr="002C2CE8">
        <w:rPr>
          <w:szCs w:val="22"/>
        </w:rPr>
        <w:t xml:space="preserve"> </w:t>
      </w:r>
      <w:r w:rsidR="005B4AB6">
        <w:rPr>
          <w:szCs w:val="22"/>
        </w:rPr>
        <w:t>ESC</w:t>
      </w:r>
      <w:r w:rsidR="001E324C" w:rsidRPr="002C2CE8">
        <w:rPr>
          <w:szCs w:val="22"/>
        </w:rPr>
        <w:t xml:space="preserve"> </w:t>
      </w:r>
      <w:r w:rsidR="00375F0F" w:rsidRPr="002C2CE8">
        <w:rPr>
          <w:szCs w:val="22"/>
        </w:rPr>
        <w:t xml:space="preserve">considered that the </w:t>
      </w:r>
      <w:r w:rsidR="006034FD" w:rsidRPr="002C2CE8">
        <w:rPr>
          <w:szCs w:val="22"/>
        </w:rPr>
        <w:t>submission had not</w:t>
      </w:r>
      <w:r w:rsidR="001E324C">
        <w:rPr>
          <w:szCs w:val="22"/>
        </w:rPr>
        <w:t xml:space="preserve"> </w:t>
      </w:r>
      <w:r w:rsidR="006034FD" w:rsidRPr="002C2CE8">
        <w:rPr>
          <w:szCs w:val="22"/>
        </w:rPr>
        <w:t xml:space="preserve">demonstrated </w:t>
      </w:r>
      <w:r w:rsidR="00375F0F" w:rsidRPr="002C2CE8">
        <w:rPr>
          <w:szCs w:val="22"/>
        </w:rPr>
        <w:t xml:space="preserve">superior effectiveness of </w:t>
      </w:r>
      <w:proofErr w:type="spellStart"/>
      <w:r w:rsidR="00375F0F" w:rsidRPr="002C2CE8">
        <w:rPr>
          <w:szCs w:val="22"/>
        </w:rPr>
        <w:t>obinutuzumab</w:t>
      </w:r>
      <w:proofErr w:type="spellEnd"/>
      <w:r w:rsidR="00375F0F" w:rsidRPr="002C2CE8">
        <w:rPr>
          <w:szCs w:val="22"/>
        </w:rPr>
        <w:t xml:space="preserve"> </w:t>
      </w:r>
      <w:r w:rsidR="006034FD" w:rsidRPr="002C2CE8">
        <w:rPr>
          <w:szCs w:val="22"/>
        </w:rPr>
        <w:t>compared to ofatumumab</w:t>
      </w:r>
      <w:r w:rsidR="00FD376B" w:rsidRPr="002C2CE8">
        <w:rPr>
          <w:szCs w:val="22"/>
        </w:rPr>
        <w:t xml:space="preserve"> (both in combination with chlorambucil)</w:t>
      </w:r>
      <w:r w:rsidR="009066CA" w:rsidRPr="002C2CE8">
        <w:rPr>
          <w:szCs w:val="22"/>
        </w:rPr>
        <w:t xml:space="preserve">. The </w:t>
      </w:r>
      <w:r w:rsidR="001E324C">
        <w:rPr>
          <w:szCs w:val="22"/>
        </w:rPr>
        <w:t xml:space="preserve">ESC </w:t>
      </w:r>
      <w:r w:rsidR="005B4AB6">
        <w:rPr>
          <w:szCs w:val="22"/>
        </w:rPr>
        <w:t xml:space="preserve">agreed with </w:t>
      </w:r>
      <w:r w:rsidR="009066CA" w:rsidRPr="002C2CE8">
        <w:rPr>
          <w:szCs w:val="22"/>
        </w:rPr>
        <w:t>the evaluation that</w:t>
      </w:r>
      <w:r w:rsidR="006034FD" w:rsidRPr="002C2CE8">
        <w:rPr>
          <w:szCs w:val="22"/>
        </w:rPr>
        <w:t xml:space="preserve"> </w:t>
      </w:r>
      <w:r w:rsidR="009066CA" w:rsidRPr="002C2CE8">
        <w:rPr>
          <w:szCs w:val="22"/>
        </w:rPr>
        <w:t>the indirect comparison m</w:t>
      </w:r>
      <w:r w:rsidR="0084226F" w:rsidRPr="002C2CE8">
        <w:rPr>
          <w:szCs w:val="22"/>
        </w:rPr>
        <w:t>ay</w:t>
      </w:r>
      <w:r w:rsidR="009066CA" w:rsidRPr="002C2CE8">
        <w:rPr>
          <w:szCs w:val="22"/>
        </w:rPr>
        <w:t xml:space="preserve"> not have been reliable due to differences in baseline characteristics and differing chlorambucil doses. </w:t>
      </w:r>
      <w:r w:rsidR="00257DBF" w:rsidRPr="002C2CE8">
        <w:rPr>
          <w:szCs w:val="22"/>
        </w:rPr>
        <w:t>Outcomes in the common reference arms did not seem comparable between CLL11 and COMPLEMENT-1, and some of these differences</w:t>
      </w:r>
      <w:r w:rsidR="00257DBF" w:rsidRPr="009A0A32">
        <w:t xml:space="preserve"> </w:t>
      </w:r>
      <w:r w:rsidR="00257DBF" w:rsidRPr="002C2CE8">
        <w:rPr>
          <w:szCs w:val="22"/>
        </w:rPr>
        <w:t>may have resulted from patient cross over in the CLL11 trial.</w:t>
      </w:r>
      <w:r w:rsidR="00580142" w:rsidRPr="002C2CE8">
        <w:rPr>
          <w:szCs w:val="22"/>
        </w:rPr>
        <w:t xml:space="preserve"> In particular, the ‘time to next treatment’ in the common reference arm (chlorambucil monotherapy) was </w:t>
      </w:r>
      <w:r w:rsidR="005079C4">
        <w:rPr>
          <w:noProof/>
          <w:color w:val="000000"/>
          <w:szCs w:val="22"/>
          <w:highlight w:val="black"/>
        </w:rPr>
        <w:t>''''''''''''</w:t>
      </w:r>
      <w:r w:rsidR="00580142" w:rsidRPr="002C2CE8">
        <w:rPr>
          <w:szCs w:val="22"/>
        </w:rPr>
        <w:t xml:space="preserve"> months in one trial an</w:t>
      </w:r>
      <w:r w:rsidR="004217AE">
        <w:rPr>
          <w:szCs w:val="22"/>
        </w:rPr>
        <w:t>d 24.7 months in the other. The</w:t>
      </w:r>
      <w:r w:rsidR="00580142" w:rsidRPr="002C2CE8">
        <w:rPr>
          <w:szCs w:val="22"/>
        </w:rPr>
        <w:t xml:space="preserve"> </w:t>
      </w:r>
      <w:r w:rsidR="00E000AD">
        <w:rPr>
          <w:szCs w:val="22"/>
        </w:rPr>
        <w:t xml:space="preserve">ESC considered that this </w:t>
      </w:r>
      <w:r w:rsidR="00580142" w:rsidRPr="002C2CE8">
        <w:rPr>
          <w:szCs w:val="22"/>
        </w:rPr>
        <w:t xml:space="preserve">difference may have led to the statistically significant hazard ratio favouring </w:t>
      </w:r>
      <w:proofErr w:type="spellStart"/>
      <w:r w:rsidR="00580142" w:rsidRPr="002C2CE8">
        <w:rPr>
          <w:szCs w:val="22"/>
        </w:rPr>
        <w:t>obinutuzumab</w:t>
      </w:r>
      <w:proofErr w:type="spellEnd"/>
      <w:r w:rsidR="00580142" w:rsidRPr="002C2CE8">
        <w:rPr>
          <w:szCs w:val="22"/>
        </w:rPr>
        <w:t xml:space="preserve"> for this outcome.   </w:t>
      </w:r>
    </w:p>
    <w:p w:rsidR="00257DBF" w:rsidRPr="000D41E8" w:rsidRDefault="00257DBF" w:rsidP="001E4453">
      <w:pPr>
        <w:pStyle w:val="ListParagraph"/>
        <w:widowControl/>
        <w:rPr>
          <w:i/>
          <w:szCs w:val="22"/>
        </w:rPr>
      </w:pPr>
    </w:p>
    <w:p w:rsidR="00454C00" w:rsidRPr="00454C00" w:rsidRDefault="00454C00" w:rsidP="006305C9">
      <w:pPr>
        <w:pStyle w:val="ListParagraph"/>
        <w:keepNext/>
        <w:keepLines/>
        <w:widowControl/>
        <w:numPr>
          <w:ilvl w:val="1"/>
          <w:numId w:val="15"/>
        </w:numPr>
        <w:rPr>
          <w:i/>
          <w:szCs w:val="22"/>
        </w:rPr>
      </w:pPr>
      <w:r w:rsidRPr="001E4453">
        <w:rPr>
          <w:szCs w:val="22"/>
        </w:rPr>
        <w:t>The submission did not present</w:t>
      </w:r>
      <w:r w:rsidR="00103613">
        <w:rPr>
          <w:szCs w:val="22"/>
        </w:rPr>
        <w:t xml:space="preserve"> OS</w:t>
      </w:r>
      <w:r w:rsidRPr="001E4453">
        <w:rPr>
          <w:szCs w:val="22"/>
        </w:rPr>
        <w:t xml:space="preserve"> </w:t>
      </w:r>
      <w:r w:rsidRPr="00E000AD">
        <w:rPr>
          <w:szCs w:val="22"/>
        </w:rPr>
        <w:t xml:space="preserve">results </w:t>
      </w:r>
      <w:r w:rsidR="00E000AD" w:rsidRPr="00E000AD">
        <w:rPr>
          <w:szCs w:val="22"/>
        </w:rPr>
        <w:t xml:space="preserve">in the indirect comparison against ofatumumab </w:t>
      </w:r>
      <w:r w:rsidRPr="00E000AD">
        <w:rPr>
          <w:szCs w:val="22"/>
        </w:rPr>
        <w:t>because OS results for ofatumumab</w:t>
      </w:r>
      <w:r w:rsidRPr="002C2CE8">
        <w:rPr>
          <w:szCs w:val="22"/>
        </w:rPr>
        <w:t xml:space="preserve"> </w:t>
      </w:r>
      <w:r w:rsidR="005B4AB6">
        <w:rPr>
          <w:szCs w:val="22"/>
        </w:rPr>
        <w:t>had</w:t>
      </w:r>
      <w:r w:rsidRPr="002C2CE8">
        <w:rPr>
          <w:szCs w:val="22"/>
        </w:rPr>
        <w:t xml:space="preserve"> not </w:t>
      </w:r>
      <w:r w:rsidR="005B4AB6">
        <w:rPr>
          <w:szCs w:val="22"/>
        </w:rPr>
        <w:t xml:space="preserve">been </w:t>
      </w:r>
      <w:r w:rsidRPr="002C2CE8">
        <w:rPr>
          <w:szCs w:val="22"/>
        </w:rPr>
        <w:t>published.</w:t>
      </w:r>
      <w:r w:rsidRPr="00454C00">
        <w:rPr>
          <w:i/>
          <w:szCs w:val="22"/>
        </w:rPr>
        <w:t xml:space="preserve"> </w:t>
      </w:r>
    </w:p>
    <w:p w:rsidR="00726F0B" w:rsidRDefault="00726F0B" w:rsidP="00726F0B">
      <w:pPr>
        <w:rPr>
          <w:szCs w:val="22"/>
        </w:rPr>
      </w:pPr>
    </w:p>
    <w:p w:rsidR="00521D40" w:rsidRDefault="00521D40" w:rsidP="00726F0B">
      <w:pPr>
        <w:pStyle w:val="Heading2"/>
      </w:pPr>
      <w:bookmarkStart w:id="11" w:name="_Toc409532707"/>
    </w:p>
    <w:p w:rsidR="00521D40" w:rsidRDefault="00521D40" w:rsidP="00726F0B">
      <w:pPr>
        <w:pStyle w:val="Heading2"/>
      </w:pPr>
    </w:p>
    <w:p w:rsidR="00726F0B" w:rsidRPr="00BC26DB" w:rsidRDefault="00726F0B" w:rsidP="00726F0B">
      <w:pPr>
        <w:pStyle w:val="Heading2"/>
      </w:pPr>
      <w:r w:rsidRPr="00BC26DB">
        <w:lastRenderedPageBreak/>
        <w:t>Comparative harms</w:t>
      </w:r>
      <w:bookmarkEnd w:id="11"/>
    </w:p>
    <w:p w:rsidR="00726F0B" w:rsidRPr="00881BD2" w:rsidRDefault="00726F0B" w:rsidP="00726F0B">
      <w:pPr>
        <w:ind w:left="720" w:hanging="720"/>
        <w:rPr>
          <w:szCs w:val="22"/>
        </w:rPr>
      </w:pPr>
    </w:p>
    <w:p w:rsidR="008A5DE5" w:rsidRPr="00881BD2" w:rsidRDefault="00144EFD" w:rsidP="006305C9">
      <w:pPr>
        <w:pStyle w:val="ListParagraph"/>
        <w:keepNext/>
        <w:keepLines/>
        <w:widowControl/>
        <w:numPr>
          <w:ilvl w:val="1"/>
          <w:numId w:val="15"/>
        </w:numPr>
        <w:rPr>
          <w:szCs w:val="22"/>
        </w:rPr>
      </w:pPr>
      <w:r w:rsidRPr="00881BD2">
        <w:rPr>
          <w:szCs w:val="22"/>
        </w:rPr>
        <w:t>For</w:t>
      </w:r>
      <w:r w:rsidR="008A5DE5" w:rsidRPr="00881BD2">
        <w:rPr>
          <w:szCs w:val="22"/>
        </w:rPr>
        <w:t xml:space="preserve"> the comparisons against chlorambucil and </w:t>
      </w:r>
      <w:proofErr w:type="spellStart"/>
      <w:r w:rsidR="008A5DE5" w:rsidRPr="00881BD2">
        <w:rPr>
          <w:szCs w:val="22"/>
        </w:rPr>
        <w:t>chlorambucil+rituximab</w:t>
      </w:r>
      <w:proofErr w:type="spellEnd"/>
      <w:r w:rsidR="008A5DE5" w:rsidRPr="00881BD2">
        <w:rPr>
          <w:szCs w:val="22"/>
        </w:rPr>
        <w:t>, t</w:t>
      </w:r>
      <w:r w:rsidR="00726F0B" w:rsidRPr="00881BD2">
        <w:rPr>
          <w:szCs w:val="22"/>
        </w:rPr>
        <w:t xml:space="preserve">he CLL11 trial data showed the </w:t>
      </w:r>
      <w:proofErr w:type="spellStart"/>
      <w:r w:rsidR="00726F0B" w:rsidRPr="00881BD2">
        <w:rPr>
          <w:szCs w:val="22"/>
        </w:rPr>
        <w:t>obinutuzumab</w:t>
      </w:r>
      <w:proofErr w:type="spellEnd"/>
      <w:r w:rsidR="00726F0B" w:rsidRPr="00881BD2">
        <w:rPr>
          <w:szCs w:val="22"/>
        </w:rPr>
        <w:t xml:space="preserve"> arm had an inferior safety profile relative to its comparators. The most common treatment-related Grade 3 to 5 (moderate to severe) adverse events were infusion-related reaction, neutropenia, and thrombocytopenia.</w:t>
      </w:r>
    </w:p>
    <w:p w:rsidR="00454C00" w:rsidRDefault="00454C00" w:rsidP="000D41E8">
      <w:pPr>
        <w:pStyle w:val="ListParagraph"/>
        <w:widowControl/>
        <w:rPr>
          <w:szCs w:val="22"/>
        </w:rPr>
      </w:pPr>
    </w:p>
    <w:p w:rsidR="00726F0B" w:rsidRPr="00881BD2" w:rsidRDefault="00144EFD" w:rsidP="006305C9">
      <w:pPr>
        <w:pStyle w:val="ListParagraph"/>
        <w:keepNext/>
        <w:keepLines/>
        <w:widowControl/>
        <w:numPr>
          <w:ilvl w:val="1"/>
          <w:numId w:val="15"/>
        </w:numPr>
        <w:rPr>
          <w:szCs w:val="22"/>
        </w:rPr>
      </w:pPr>
      <w:r w:rsidRPr="00881BD2">
        <w:rPr>
          <w:szCs w:val="22"/>
        </w:rPr>
        <w:t>For the comparison against ofatumumab, a</w:t>
      </w:r>
      <w:r w:rsidR="00726F0B" w:rsidRPr="00881BD2">
        <w:t>n indirect comparison of safety outcomes suggested that</w:t>
      </w:r>
      <w:r w:rsidR="00A473EE">
        <w:t xml:space="preserve"> </w:t>
      </w:r>
      <w:proofErr w:type="spellStart"/>
      <w:r w:rsidR="00726F0B" w:rsidRPr="00881BD2">
        <w:t>obinutuzumab</w:t>
      </w:r>
      <w:proofErr w:type="spellEnd"/>
      <w:r w:rsidR="00726F0B" w:rsidRPr="00881BD2">
        <w:t xml:space="preserve"> plus chlorambucil was more likely to result in adverse events leading to dose modification or interruption and in treatment-related adverse events. This was despite the fact that the ofatumumab intervention used a higher dose of chlorambucil.</w:t>
      </w:r>
    </w:p>
    <w:p w:rsidR="00726F0B" w:rsidRPr="00881BD2" w:rsidRDefault="00726F0B" w:rsidP="00726F0B">
      <w:pPr>
        <w:pStyle w:val="ListParagraph"/>
        <w:ind w:left="0"/>
        <w:rPr>
          <w:szCs w:val="22"/>
        </w:rPr>
      </w:pPr>
    </w:p>
    <w:p w:rsidR="00726F0B" w:rsidRPr="00BC26DB" w:rsidRDefault="00726F0B" w:rsidP="00726F0B">
      <w:pPr>
        <w:pStyle w:val="Heading2"/>
        <w:rPr>
          <w:szCs w:val="22"/>
        </w:rPr>
      </w:pPr>
      <w:bookmarkStart w:id="12" w:name="_Toc409532708"/>
      <w:r w:rsidRPr="00BC26DB">
        <w:t>Benefits/harms</w:t>
      </w:r>
      <w:bookmarkEnd w:id="12"/>
    </w:p>
    <w:p w:rsidR="00726F0B" w:rsidRPr="00881BD2" w:rsidRDefault="00726F0B" w:rsidP="00726F0B">
      <w:pPr>
        <w:pStyle w:val="ListParagraph"/>
        <w:ind w:left="0"/>
        <w:rPr>
          <w:szCs w:val="22"/>
        </w:rPr>
      </w:pPr>
    </w:p>
    <w:p w:rsidR="00726F0B" w:rsidRPr="00881BD2" w:rsidRDefault="00726F0B" w:rsidP="006305C9">
      <w:pPr>
        <w:pStyle w:val="ListParagraph"/>
        <w:keepNext/>
        <w:keepLines/>
        <w:widowControl/>
        <w:numPr>
          <w:ilvl w:val="1"/>
          <w:numId w:val="15"/>
        </w:numPr>
        <w:rPr>
          <w:szCs w:val="22"/>
        </w:rPr>
      </w:pPr>
      <w:r w:rsidRPr="00881BD2">
        <w:rPr>
          <w:szCs w:val="22"/>
        </w:rPr>
        <w:t xml:space="preserve">A summary of the comparative benefits and harms for </w:t>
      </w:r>
      <w:proofErr w:type="spellStart"/>
      <w:r w:rsidRPr="00881BD2">
        <w:rPr>
          <w:szCs w:val="22"/>
        </w:rPr>
        <w:t>obinutuzumab</w:t>
      </w:r>
      <w:proofErr w:type="spellEnd"/>
      <w:r w:rsidRPr="00881BD2">
        <w:rPr>
          <w:szCs w:val="22"/>
        </w:rPr>
        <w:t xml:space="preserve"> plus chlorambucil versus and rituximab plus chlorambucil is presented in </w:t>
      </w:r>
      <w:r w:rsidR="00F9299D">
        <w:rPr>
          <w:szCs w:val="22"/>
        </w:rPr>
        <w:t>the table below</w:t>
      </w:r>
      <w:r w:rsidRPr="00881BD2">
        <w:rPr>
          <w:szCs w:val="22"/>
        </w:rPr>
        <w:t>.</w:t>
      </w:r>
    </w:p>
    <w:p w:rsidR="0022115B" w:rsidRPr="00881BD2" w:rsidRDefault="0022115B">
      <w:pPr>
        <w:widowControl/>
        <w:jc w:val="left"/>
        <w:rPr>
          <w:szCs w:val="22"/>
        </w:rPr>
      </w:pPr>
    </w:p>
    <w:p w:rsidR="00726F0B" w:rsidRPr="00881BD2" w:rsidRDefault="005A2F09" w:rsidP="001E4453">
      <w:pPr>
        <w:pStyle w:val="ListParagraph"/>
        <w:keepNext/>
        <w:keepLines/>
        <w:rPr>
          <w:rStyle w:val="CommentReference"/>
        </w:rPr>
      </w:pPr>
      <w:r>
        <w:rPr>
          <w:rStyle w:val="CommentReference"/>
        </w:rPr>
        <w:t xml:space="preserve">Table 4: </w:t>
      </w:r>
      <w:r w:rsidR="00726F0B" w:rsidRPr="00881BD2">
        <w:rPr>
          <w:rStyle w:val="CommentReference"/>
        </w:rPr>
        <w:t xml:space="preserve">Summary of comparative benefits and harms for </w:t>
      </w:r>
      <w:proofErr w:type="spellStart"/>
      <w:r w:rsidR="00726F0B" w:rsidRPr="00881BD2">
        <w:rPr>
          <w:rStyle w:val="CommentReference"/>
        </w:rPr>
        <w:t>obinutuzumab</w:t>
      </w:r>
      <w:proofErr w:type="spellEnd"/>
      <w:r w:rsidR="00726F0B" w:rsidRPr="00881BD2">
        <w:rPr>
          <w:rStyle w:val="CommentReference"/>
        </w:rPr>
        <w:t xml:space="preserve"> plus chlorambucil and rituximab plus chlorambucil at median follow-up of 27.3 months</w:t>
      </w:r>
    </w:p>
    <w:tbl>
      <w:tblPr>
        <w:tblStyle w:val="TableGrid"/>
        <w:tblW w:w="4700" w:type="pct"/>
        <w:tblInd w:w="698" w:type="dxa"/>
        <w:tblLayout w:type="fixed"/>
        <w:tblCellMar>
          <w:left w:w="28" w:type="dxa"/>
          <w:right w:w="28" w:type="dxa"/>
        </w:tblCellMar>
        <w:tblLook w:val="04A0" w:firstRow="1" w:lastRow="0" w:firstColumn="1" w:lastColumn="0" w:noHBand="0" w:noVBand="1"/>
        <w:tblCaption w:val="Comparative benefits and harms"/>
      </w:tblPr>
      <w:tblGrid>
        <w:gridCol w:w="1598"/>
        <w:gridCol w:w="277"/>
        <w:gridCol w:w="996"/>
        <w:gridCol w:w="485"/>
        <w:gridCol w:w="705"/>
        <w:gridCol w:w="939"/>
        <w:gridCol w:w="169"/>
        <w:gridCol w:w="1224"/>
        <w:gridCol w:w="365"/>
        <w:gridCol w:w="825"/>
        <w:gridCol w:w="955"/>
      </w:tblGrid>
      <w:tr w:rsidR="00726F0B" w:rsidRPr="00881BD2" w:rsidTr="00F70BD6">
        <w:tc>
          <w:tcPr>
            <w:tcW w:w="5000" w:type="pct"/>
            <w:gridSpan w:val="11"/>
            <w:shd w:val="clear" w:color="auto" w:fill="auto"/>
            <w:vAlign w:val="center"/>
          </w:tcPr>
          <w:p w:rsidR="00726F0B" w:rsidRPr="00881BD2" w:rsidRDefault="00726F0B" w:rsidP="001E4453">
            <w:pPr>
              <w:keepNext/>
              <w:keepLines/>
              <w:rPr>
                <w:rFonts w:ascii="Arial Narrow" w:hAnsi="Arial Narrow"/>
                <w:b/>
                <w:color w:val="000000"/>
                <w:sz w:val="20"/>
                <w:szCs w:val="18"/>
              </w:rPr>
            </w:pPr>
            <w:r w:rsidRPr="00881BD2">
              <w:rPr>
                <w:rFonts w:ascii="Arial Narrow" w:hAnsi="Arial Narrow"/>
                <w:b/>
                <w:color w:val="000000"/>
                <w:sz w:val="20"/>
                <w:szCs w:val="18"/>
              </w:rPr>
              <w:t>Benefits</w:t>
            </w:r>
          </w:p>
        </w:tc>
      </w:tr>
      <w:tr w:rsidR="00726F0B" w:rsidRPr="00881BD2" w:rsidTr="00F70BD6">
        <w:tc>
          <w:tcPr>
            <w:tcW w:w="1098" w:type="pct"/>
            <w:gridSpan w:val="2"/>
            <w:shd w:val="clear" w:color="auto" w:fill="auto"/>
            <w:vAlign w:val="center"/>
          </w:tcPr>
          <w:p w:rsidR="00726F0B" w:rsidRPr="00881BD2" w:rsidRDefault="00726F0B" w:rsidP="001E4453">
            <w:pPr>
              <w:keepNext/>
              <w:keepLines/>
              <w:jc w:val="center"/>
              <w:rPr>
                <w:rFonts w:ascii="Arial Narrow" w:hAnsi="Arial Narrow"/>
                <w:color w:val="000000"/>
                <w:sz w:val="20"/>
                <w:szCs w:val="18"/>
              </w:rPr>
            </w:pPr>
          </w:p>
        </w:tc>
        <w:tc>
          <w:tcPr>
            <w:tcW w:w="867" w:type="pct"/>
            <w:gridSpan w:val="2"/>
            <w:vAlign w:val="center"/>
          </w:tcPr>
          <w:p w:rsidR="00726F0B" w:rsidRPr="00881BD2" w:rsidRDefault="00726F0B" w:rsidP="001E4453">
            <w:pPr>
              <w:keepNext/>
              <w:keepLines/>
              <w:jc w:val="center"/>
              <w:rPr>
                <w:rFonts w:ascii="Arial Narrow" w:hAnsi="Arial Narrow"/>
                <w:b/>
                <w:color w:val="000000"/>
                <w:sz w:val="20"/>
                <w:szCs w:val="18"/>
              </w:rPr>
            </w:pPr>
            <w:proofErr w:type="spellStart"/>
            <w:r w:rsidRPr="00881BD2">
              <w:rPr>
                <w:rFonts w:ascii="Arial Narrow" w:hAnsi="Arial Narrow"/>
                <w:b/>
                <w:color w:val="000000"/>
                <w:sz w:val="20"/>
                <w:szCs w:val="18"/>
              </w:rPr>
              <w:t>Obinutuzumab</w:t>
            </w:r>
            <w:proofErr w:type="spellEnd"/>
            <w:r w:rsidRPr="00881BD2">
              <w:rPr>
                <w:rFonts w:ascii="Arial Narrow" w:hAnsi="Arial Narrow"/>
                <w:b/>
                <w:color w:val="000000"/>
                <w:sz w:val="20"/>
                <w:szCs w:val="18"/>
              </w:rPr>
              <w:t xml:space="preserve"> +chlorambucil</w:t>
            </w:r>
          </w:p>
        </w:tc>
        <w:tc>
          <w:tcPr>
            <w:tcW w:w="963" w:type="pct"/>
            <w:gridSpan w:val="2"/>
            <w:vAlign w:val="center"/>
          </w:tcPr>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Rituximab +chlorambucil</w:t>
            </w:r>
          </w:p>
        </w:tc>
        <w:tc>
          <w:tcPr>
            <w:tcW w:w="1030" w:type="pct"/>
            <w:gridSpan w:val="3"/>
            <w:vAlign w:val="center"/>
          </w:tcPr>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RD</w:t>
            </w:r>
            <w:r w:rsidRPr="00881BD2">
              <w:rPr>
                <w:rFonts w:ascii="Arial Narrow" w:hAnsi="Arial Narrow"/>
                <w:b/>
                <w:color w:val="000000"/>
                <w:sz w:val="20"/>
                <w:szCs w:val="18"/>
              </w:rPr>
              <w:br/>
              <w:t>(95% CI)</w:t>
            </w:r>
          </w:p>
        </w:tc>
        <w:tc>
          <w:tcPr>
            <w:tcW w:w="1042" w:type="pct"/>
            <w:gridSpan w:val="2"/>
            <w:vAlign w:val="center"/>
          </w:tcPr>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 xml:space="preserve">HR </w:t>
            </w:r>
            <w:r w:rsidRPr="00881BD2">
              <w:rPr>
                <w:rFonts w:ascii="Arial Narrow" w:hAnsi="Arial Narrow"/>
                <w:b/>
                <w:color w:val="000000"/>
                <w:sz w:val="20"/>
                <w:szCs w:val="18"/>
              </w:rPr>
              <w:br/>
              <w:t>(95% CI)</w:t>
            </w:r>
          </w:p>
        </w:tc>
      </w:tr>
      <w:tr w:rsidR="00726F0B" w:rsidRPr="00881BD2" w:rsidTr="00F70BD6">
        <w:tc>
          <w:tcPr>
            <w:tcW w:w="5000" w:type="pct"/>
            <w:gridSpan w:val="11"/>
            <w:shd w:val="clear" w:color="auto" w:fill="auto"/>
            <w:vAlign w:val="center"/>
          </w:tcPr>
          <w:p w:rsidR="00726F0B" w:rsidRPr="00881BD2" w:rsidDel="002E3E70" w:rsidRDefault="00726F0B" w:rsidP="001E4453">
            <w:pPr>
              <w:keepNext/>
              <w:keepLines/>
              <w:jc w:val="left"/>
              <w:rPr>
                <w:rFonts w:ascii="Arial Narrow" w:hAnsi="Arial Narrow"/>
                <w:b/>
                <w:sz w:val="20"/>
              </w:rPr>
            </w:pPr>
            <w:r w:rsidRPr="00881BD2">
              <w:rPr>
                <w:rFonts w:ascii="Arial Narrow" w:hAnsi="Arial Narrow"/>
                <w:b/>
                <w:color w:val="000000"/>
                <w:sz w:val="20"/>
                <w:szCs w:val="18"/>
              </w:rPr>
              <w:t>Progression free survival</w:t>
            </w:r>
          </w:p>
        </w:tc>
      </w:tr>
      <w:tr w:rsidR="00726F0B" w:rsidRPr="00881BD2" w:rsidTr="00F70BD6">
        <w:tc>
          <w:tcPr>
            <w:tcW w:w="1098" w:type="pct"/>
            <w:gridSpan w:val="2"/>
            <w:shd w:val="clear" w:color="auto" w:fill="auto"/>
            <w:vAlign w:val="center"/>
          </w:tcPr>
          <w:p w:rsidR="00726F0B" w:rsidRPr="00793EF3" w:rsidRDefault="00726F0B" w:rsidP="001E4453">
            <w:pPr>
              <w:keepNext/>
              <w:keepLines/>
              <w:ind w:firstLine="153"/>
              <w:rPr>
                <w:rFonts w:ascii="Arial Narrow" w:hAnsi="Arial Narrow"/>
                <w:color w:val="000000"/>
                <w:sz w:val="20"/>
                <w:szCs w:val="18"/>
              </w:rPr>
            </w:pPr>
            <w:r w:rsidRPr="00793EF3">
              <w:rPr>
                <w:rFonts w:ascii="Arial Narrow" w:hAnsi="Arial Narrow"/>
                <w:color w:val="000000"/>
                <w:sz w:val="20"/>
                <w:szCs w:val="18"/>
              </w:rPr>
              <w:t>Progressed</w:t>
            </w:r>
          </w:p>
        </w:tc>
        <w:tc>
          <w:tcPr>
            <w:tcW w:w="867" w:type="pct"/>
            <w:gridSpan w:val="2"/>
            <w:vAlign w:val="center"/>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 ''''''''''''''''''</w:t>
            </w:r>
          </w:p>
        </w:tc>
        <w:tc>
          <w:tcPr>
            <w:tcW w:w="963" w:type="pct"/>
            <w:gridSpan w:val="2"/>
            <w:vAlign w:val="center"/>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 '''''''''''''''''</w:t>
            </w:r>
          </w:p>
        </w:tc>
        <w:tc>
          <w:tcPr>
            <w:tcW w:w="1030" w:type="pct"/>
            <w:gridSpan w:val="3"/>
            <w:vAlign w:val="center"/>
          </w:tcPr>
          <w:p w:rsidR="00726F0B" w:rsidRPr="00793EF3" w:rsidRDefault="00726F0B" w:rsidP="001E4453">
            <w:pPr>
              <w:keepNext/>
              <w:keepLines/>
              <w:jc w:val="center"/>
              <w:rPr>
                <w:rFonts w:ascii="Arial Narrow" w:hAnsi="Arial Narrow"/>
                <w:color w:val="000000"/>
                <w:sz w:val="20"/>
                <w:szCs w:val="18"/>
              </w:rPr>
            </w:pPr>
          </w:p>
        </w:tc>
        <w:tc>
          <w:tcPr>
            <w:tcW w:w="1042" w:type="pct"/>
            <w:gridSpan w:val="2"/>
            <w:vAlign w:val="center"/>
          </w:tcPr>
          <w:p w:rsidR="00726F0B" w:rsidRPr="00881BD2" w:rsidRDefault="00726F0B" w:rsidP="001E4453">
            <w:pPr>
              <w:keepNext/>
              <w:keepLines/>
              <w:jc w:val="center"/>
              <w:rPr>
                <w:rFonts w:ascii="Arial Narrow" w:hAnsi="Arial Narrow"/>
                <w:color w:val="000000"/>
                <w:sz w:val="20"/>
                <w:szCs w:val="18"/>
              </w:rPr>
            </w:pPr>
            <w:r w:rsidRPr="00881BD2">
              <w:rPr>
                <w:rFonts w:ascii="Arial Narrow" w:hAnsi="Arial Narrow"/>
                <w:b/>
                <w:sz w:val="20"/>
              </w:rPr>
              <w:t>0.40 (0.33, 0.50)</w:t>
            </w:r>
          </w:p>
        </w:tc>
      </w:tr>
      <w:tr w:rsidR="00726F0B" w:rsidRPr="00881BD2" w:rsidTr="00F70BD6">
        <w:tc>
          <w:tcPr>
            <w:tcW w:w="1098" w:type="pct"/>
            <w:gridSpan w:val="2"/>
            <w:shd w:val="clear" w:color="auto" w:fill="auto"/>
            <w:vAlign w:val="center"/>
          </w:tcPr>
          <w:p w:rsidR="00726F0B" w:rsidRPr="00793EF3" w:rsidRDefault="00726F0B" w:rsidP="001E4453">
            <w:pPr>
              <w:keepNext/>
              <w:keepLines/>
              <w:ind w:firstLine="153"/>
              <w:rPr>
                <w:rFonts w:ascii="Arial Narrow" w:hAnsi="Arial Narrow"/>
                <w:color w:val="000000"/>
                <w:sz w:val="20"/>
                <w:szCs w:val="18"/>
              </w:rPr>
            </w:pPr>
            <w:r w:rsidRPr="00793EF3">
              <w:rPr>
                <w:rFonts w:ascii="Arial Narrow" w:hAnsi="Arial Narrow"/>
                <w:color w:val="000000"/>
                <w:sz w:val="20"/>
                <w:szCs w:val="18"/>
              </w:rPr>
              <w:t>median PFS (</w:t>
            </w:r>
            <w:proofErr w:type="spellStart"/>
            <w:r w:rsidRPr="00793EF3">
              <w:rPr>
                <w:rFonts w:ascii="Arial Narrow" w:hAnsi="Arial Narrow"/>
                <w:color w:val="000000"/>
                <w:sz w:val="20"/>
                <w:szCs w:val="18"/>
              </w:rPr>
              <w:t>mths</w:t>
            </w:r>
            <w:proofErr w:type="spellEnd"/>
            <w:r w:rsidRPr="00793EF3">
              <w:rPr>
                <w:rFonts w:ascii="Arial Narrow" w:hAnsi="Arial Narrow"/>
                <w:color w:val="000000"/>
                <w:sz w:val="20"/>
                <w:szCs w:val="18"/>
              </w:rPr>
              <w:t>)</w:t>
            </w:r>
          </w:p>
        </w:tc>
        <w:tc>
          <w:tcPr>
            <w:tcW w:w="867" w:type="pct"/>
            <w:gridSpan w:val="2"/>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 xml:space="preserve">29.2 </w:t>
            </w:r>
            <w:r w:rsidR="005079C4">
              <w:rPr>
                <w:rFonts w:ascii="Arial Narrow" w:hAnsi="Arial Narrow"/>
                <w:noProof/>
                <w:color w:val="000000"/>
                <w:sz w:val="20"/>
                <w:highlight w:val="black"/>
              </w:rPr>
              <w:t>''''''''''''''' ''''''''''''''</w:t>
            </w:r>
          </w:p>
        </w:tc>
        <w:tc>
          <w:tcPr>
            <w:tcW w:w="963" w:type="pct"/>
            <w:gridSpan w:val="2"/>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 xml:space="preserve">15.4 </w:t>
            </w:r>
            <w:r w:rsidR="005079C4">
              <w:rPr>
                <w:rFonts w:ascii="Arial Narrow" w:hAnsi="Arial Narrow"/>
                <w:noProof/>
                <w:color w:val="000000"/>
                <w:sz w:val="20"/>
                <w:highlight w:val="black"/>
              </w:rPr>
              <w:t>''''''''''''''' ''''''''''''</w:t>
            </w:r>
          </w:p>
        </w:tc>
        <w:tc>
          <w:tcPr>
            <w:tcW w:w="1030" w:type="pct"/>
            <w:gridSpan w:val="3"/>
            <w:vAlign w:val="center"/>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042" w:type="pct"/>
            <w:gridSpan w:val="2"/>
            <w:vAlign w:val="center"/>
          </w:tcPr>
          <w:p w:rsidR="00726F0B" w:rsidRPr="00881BD2" w:rsidRDefault="00726F0B" w:rsidP="001E4453">
            <w:pPr>
              <w:keepNext/>
              <w:keepLines/>
              <w:jc w:val="center"/>
              <w:rPr>
                <w:rFonts w:ascii="Arial Narrow" w:hAnsi="Arial Narrow"/>
                <w:sz w:val="20"/>
              </w:rPr>
            </w:pPr>
          </w:p>
        </w:tc>
      </w:tr>
      <w:tr w:rsidR="00726F0B" w:rsidRPr="00881BD2" w:rsidTr="00F70BD6">
        <w:tc>
          <w:tcPr>
            <w:tcW w:w="1098" w:type="pct"/>
            <w:gridSpan w:val="2"/>
            <w:shd w:val="clear" w:color="auto" w:fill="auto"/>
            <w:vAlign w:val="center"/>
          </w:tcPr>
          <w:p w:rsidR="00726F0B" w:rsidRPr="00793EF3" w:rsidRDefault="00726F0B" w:rsidP="001E4453">
            <w:pPr>
              <w:keepNext/>
              <w:keepLines/>
              <w:rPr>
                <w:rFonts w:ascii="Arial Narrow" w:hAnsi="Arial Narrow"/>
                <w:b/>
                <w:color w:val="000000"/>
                <w:sz w:val="20"/>
                <w:szCs w:val="18"/>
              </w:rPr>
            </w:pPr>
            <w:r w:rsidRPr="00793EF3">
              <w:rPr>
                <w:rFonts w:ascii="Arial Narrow" w:hAnsi="Arial Narrow"/>
                <w:b/>
                <w:color w:val="000000"/>
                <w:sz w:val="20"/>
                <w:szCs w:val="18"/>
              </w:rPr>
              <w:t>Overall survival</w:t>
            </w:r>
          </w:p>
        </w:tc>
        <w:tc>
          <w:tcPr>
            <w:tcW w:w="867" w:type="pct"/>
            <w:gridSpan w:val="2"/>
            <w:vAlign w:val="center"/>
          </w:tcPr>
          <w:p w:rsidR="00726F0B" w:rsidRPr="00793EF3" w:rsidRDefault="00726F0B" w:rsidP="001E4453">
            <w:pPr>
              <w:keepNext/>
              <w:keepLines/>
              <w:jc w:val="center"/>
              <w:rPr>
                <w:rFonts w:ascii="Arial Narrow" w:hAnsi="Arial Narrow"/>
                <w:sz w:val="20"/>
              </w:rPr>
            </w:pPr>
          </w:p>
        </w:tc>
        <w:tc>
          <w:tcPr>
            <w:tcW w:w="963" w:type="pct"/>
            <w:gridSpan w:val="2"/>
            <w:vAlign w:val="center"/>
          </w:tcPr>
          <w:p w:rsidR="00726F0B" w:rsidRPr="00793EF3" w:rsidRDefault="00726F0B" w:rsidP="001E4453">
            <w:pPr>
              <w:keepNext/>
              <w:keepLines/>
              <w:jc w:val="center"/>
              <w:rPr>
                <w:rFonts w:ascii="Arial Narrow" w:hAnsi="Arial Narrow"/>
                <w:sz w:val="20"/>
              </w:rPr>
            </w:pPr>
          </w:p>
        </w:tc>
        <w:tc>
          <w:tcPr>
            <w:tcW w:w="1030" w:type="pct"/>
            <w:gridSpan w:val="3"/>
            <w:vAlign w:val="center"/>
          </w:tcPr>
          <w:p w:rsidR="00726F0B" w:rsidRPr="00793EF3" w:rsidRDefault="00726F0B" w:rsidP="001E4453">
            <w:pPr>
              <w:keepNext/>
              <w:keepLines/>
              <w:jc w:val="center"/>
              <w:rPr>
                <w:rFonts w:ascii="Arial Narrow" w:hAnsi="Arial Narrow"/>
                <w:sz w:val="20"/>
              </w:rPr>
            </w:pPr>
          </w:p>
        </w:tc>
        <w:tc>
          <w:tcPr>
            <w:tcW w:w="1042" w:type="pct"/>
            <w:gridSpan w:val="2"/>
            <w:vAlign w:val="center"/>
          </w:tcPr>
          <w:p w:rsidR="00726F0B" w:rsidRPr="00881BD2" w:rsidRDefault="00726F0B" w:rsidP="001E4453">
            <w:pPr>
              <w:keepNext/>
              <w:keepLines/>
              <w:jc w:val="center"/>
              <w:rPr>
                <w:rFonts w:ascii="Arial Narrow" w:hAnsi="Arial Narrow"/>
                <w:sz w:val="20"/>
              </w:rPr>
            </w:pPr>
          </w:p>
        </w:tc>
      </w:tr>
      <w:tr w:rsidR="00726F0B" w:rsidRPr="00881BD2" w:rsidTr="00F70BD6">
        <w:tc>
          <w:tcPr>
            <w:tcW w:w="1098" w:type="pct"/>
            <w:gridSpan w:val="2"/>
            <w:shd w:val="clear" w:color="auto" w:fill="auto"/>
            <w:vAlign w:val="center"/>
          </w:tcPr>
          <w:p w:rsidR="00726F0B" w:rsidRPr="00793EF3" w:rsidRDefault="00726F0B" w:rsidP="001E4453">
            <w:pPr>
              <w:keepNext/>
              <w:keepLines/>
              <w:ind w:firstLine="153"/>
              <w:rPr>
                <w:rFonts w:ascii="Arial Narrow" w:hAnsi="Arial Narrow"/>
                <w:color w:val="000000"/>
                <w:sz w:val="20"/>
                <w:szCs w:val="18"/>
              </w:rPr>
            </w:pPr>
            <w:r w:rsidRPr="00793EF3">
              <w:rPr>
                <w:rFonts w:ascii="Arial Narrow" w:hAnsi="Arial Narrow"/>
                <w:color w:val="000000"/>
                <w:sz w:val="20"/>
                <w:szCs w:val="18"/>
              </w:rPr>
              <w:t>died</w:t>
            </w:r>
          </w:p>
        </w:tc>
        <w:tc>
          <w:tcPr>
            <w:tcW w:w="867" w:type="pct"/>
            <w:gridSpan w:val="2"/>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45/333 (13.5%)</w:t>
            </w:r>
          </w:p>
        </w:tc>
        <w:tc>
          <w:tcPr>
            <w:tcW w:w="963" w:type="pct"/>
            <w:gridSpan w:val="2"/>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63/330 (19.1%)</w:t>
            </w:r>
          </w:p>
        </w:tc>
        <w:tc>
          <w:tcPr>
            <w:tcW w:w="1030" w:type="pct"/>
            <w:gridSpan w:val="3"/>
            <w:vAlign w:val="center"/>
          </w:tcPr>
          <w:p w:rsidR="00726F0B" w:rsidRPr="00793EF3" w:rsidRDefault="00726F0B" w:rsidP="001E4453">
            <w:pPr>
              <w:keepNext/>
              <w:keepLines/>
              <w:jc w:val="center"/>
              <w:rPr>
                <w:rFonts w:ascii="Arial Narrow" w:hAnsi="Arial Narrow"/>
                <w:sz w:val="20"/>
              </w:rPr>
            </w:pPr>
          </w:p>
        </w:tc>
        <w:tc>
          <w:tcPr>
            <w:tcW w:w="1042" w:type="pct"/>
            <w:gridSpan w:val="2"/>
            <w:vAlign w:val="center"/>
          </w:tcPr>
          <w:p w:rsidR="00726F0B" w:rsidRPr="00881BD2" w:rsidRDefault="00726F0B" w:rsidP="001E4453">
            <w:pPr>
              <w:keepNext/>
              <w:keepLines/>
              <w:jc w:val="center"/>
              <w:rPr>
                <w:rFonts w:ascii="Arial Narrow" w:hAnsi="Arial Narrow"/>
                <w:color w:val="000000"/>
                <w:sz w:val="20"/>
                <w:szCs w:val="18"/>
              </w:rPr>
            </w:pPr>
            <w:r w:rsidRPr="00881BD2">
              <w:rPr>
                <w:rFonts w:ascii="Arial Narrow" w:hAnsi="Arial Narrow"/>
                <w:sz w:val="20"/>
              </w:rPr>
              <w:t>0.70 (0.47, 1.02)</w:t>
            </w:r>
          </w:p>
        </w:tc>
      </w:tr>
      <w:tr w:rsidR="00726F0B" w:rsidRPr="00881BD2" w:rsidTr="00F70BD6">
        <w:tc>
          <w:tcPr>
            <w:tcW w:w="1098" w:type="pct"/>
            <w:gridSpan w:val="2"/>
            <w:shd w:val="clear" w:color="auto" w:fill="auto"/>
            <w:vAlign w:val="center"/>
          </w:tcPr>
          <w:p w:rsidR="00726F0B" w:rsidRPr="00793EF3" w:rsidRDefault="00726F0B" w:rsidP="001E4453">
            <w:pPr>
              <w:keepNext/>
              <w:keepLines/>
              <w:ind w:firstLine="153"/>
              <w:rPr>
                <w:rFonts w:ascii="Arial Narrow" w:hAnsi="Arial Narrow"/>
                <w:color w:val="000000"/>
                <w:sz w:val="20"/>
                <w:szCs w:val="18"/>
              </w:rPr>
            </w:pPr>
            <w:r w:rsidRPr="00793EF3">
              <w:rPr>
                <w:rFonts w:ascii="Arial Narrow" w:hAnsi="Arial Narrow"/>
                <w:color w:val="000000"/>
                <w:sz w:val="20"/>
                <w:szCs w:val="18"/>
              </w:rPr>
              <w:t>median OS (</w:t>
            </w:r>
            <w:proofErr w:type="spellStart"/>
            <w:r w:rsidRPr="00793EF3">
              <w:rPr>
                <w:rFonts w:ascii="Arial Narrow" w:hAnsi="Arial Narrow"/>
                <w:color w:val="000000"/>
                <w:sz w:val="20"/>
                <w:szCs w:val="18"/>
              </w:rPr>
              <w:t>mths</w:t>
            </w:r>
            <w:proofErr w:type="spellEnd"/>
            <w:r w:rsidRPr="00793EF3">
              <w:rPr>
                <w:rFonts w:ascii="Arial Narrow" w:hAnsi="Arial Narrow"/>
                <w:color w:val="000000"/>
                <w:sz w:val="20"/>
                <w:szCs w:val="18"/>
              </w:rPr>
              <w:t>)</w:t>
            </w:r>
          </w:p>
        </w:tc>
        <w:tc>
          <w:tcPr>
            <w:tcW w:w="867" w:type="pct"/>
            <w:gridSpan w:val="2"/>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 (</w:t>
            </w:r>
            <w:r w:rsidR="005079C4">
              <w:rPr>
                <w:rFonts w:ascii="Arial Narrow" w:hAnsi="Arial Narrow"/>
                <w:noProof/>
                <w:color w:val="000000"/>
                <w:sz w:val="20"/>
                <w:highlight w:val="black"/>
              </w:rPr>
              <w:t>''''''''''''</w:t>
            </w:r>
            <w:r w:rsidRPr="00793EF3">
              <w:rPr>
                <w:rFonts w:ascii="Arial Narrow" w:hAnsi="Arial Narrow"/>
                <w:sz w:val="20"/>
              </w:rPr>
              <w:t>, –)</w:t>
            </w:r>
          </w:p>
        </w:tc>
        <w:tc>
          <w:tcPr>
            <w:tcW w:w="963" w:type="pct"/>
            <w:gridSpan w:val="2"/>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 (–,–)</w:t>
            </w:r>
          </w:p>
        </w:tc>
        <w:tc>
          <w:tcPr>
            <w:tcW w:w="1030" w:type="pct"/>
            <w:gridSpan w:val="3"/>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NC</w:t>
            </w:r>
          </w:p>
        </w:tc>
        <w:tc>
          <w:tcPr>
            <w:tcW w:w="1042" w:type="pct"/>
            <w:gridSpan w:val="2"/>
            <w:vAlign w:val="center"/>
          </w:tcPr>
          <w:p w:rsidR="00726F0B" w:rsidRPr="00881BD2" w:rsidRDefault="00726F0B" w:rsidP="001E4453">
            <w:pPr>
              <w:keepNext/>
              <w:keepLines/>
              <w:jc w:val="center"/>
              <w:rPr>
                <w:rFonts w:ascii="Arial Narrow" w:hAnsi="Arial Narrow"/>
                <w:b/>
                <w:sz w:val="20"/>
              </w:rPr>
            </w:pPr>
          </w:p>
        </w:tc>
      </w:tr>
      <w:tr w:rsidR="00726F0B" w:rsidRPr="00881BD2" w:rsidTr="00F70BD6">
        <w:tc>
          <w:tcPr>
            <w:tcW w:w="1098" w:type="pct"/>
            <w:gridSpan w:val="2"/>
            <w:shd w:val="clear" w:color="auto" w:fill="auto"/>
            <w:vAlign w:val="center"/>
          </w:tcPr>
          <w:p w:rsidR="00726F0B" w:rsidRPr="00793EF3" w:rsidRDefault="00726F0B" w:rsidP="001E4453">
            <w:pPr>
              <w:keepNext/>
              <w:keepLines/>
              <w:rPr>
                <w:rFonts w:ascii="Arial Narrow" w:hAnsi="Arial Narrow"/>
                <w:b/>
                <w:color w:val="000000"/>
                <w:sz w:val="20"/>
                <w:szCs w:val="18"/>
              </w:rPr>
            </w:pPr>
            <w:r w:rsidRPr="00793EF3">
              <w:rPr>
                <w:rFonts w:ascii="Arial Narrow" w:hAnsi="Arial Narrow"/>
                <w:b/>
                <w:color w:val="000000"/>
                <w:sz w:val="20"/>
                <w:szCs w:val="18"/>
              </w:rPr>
              <w:t>Time to new treatment</w:t>
            </w:r>
          </w:p>
        </w:tc>
        <w:tc>
          <w:tcPr>
            <w:tcW w:w="867" w:type="pct"/>
            <w:gridSpan w:val="2"/>
            <w:vAlign w:val="center"/>
          </w:tcPr>
          <w:p w:rsidR="00726F0B" w:rsidRPr="00793EF3" w:rsidRDefault="00726F0B" w:rsidP="001E4453">
            <w:pPr>
              <w:keepNext/>
              <w:keepLines/>
              <w:jc w:val="center"/>
              <w:rPr>
                <w:rFonts w:ascii="Arial Narrow" w:hAnsi="Arial Narrow"/>
                <w:sz w:val="20"/>
              </w:rPr>
            </w:pPr>
          </w:p>
        </w:tc>
        <w:tc>
          <w:tcPr>
            <w:tcW w:w="963" w:type="pct"/>
            <w:gridSpan w:val="2"/>
            <w:vAlign w:val="center"/>
          </w:tcPr>
          <w:p w:rsidR="00726F0B" w:rsidRPr="00793EF3" w:rsidRDefault="00726F0B" w:rsidP="001E4453">
            <w:pPr>
              <w:keepNext/>
              <w:keepLines/>
              <w:jc w:val="center"/>
              <w:rPr>
                <w:rFonts w:ascii="Arial Narrow" w:hAnsi="Arial Narrow"/>
                <w:sz w:val="20"/>
              </w:rPr>
            </w:pPr>
          </w:p>
        </w:tc>
        <w:tc>
          <w:tcPr>
            <w:tcW w:w="1030" w:type="pct"/>
            <w:gridSpan w:val="3"/>
            <w:vAlign w:val="center"/>
          </w:tcPr>
          <w:p w:rsidR="00726F0B" w:rsidRPr="00793EF3" w:rsidRDefault="00726F0B" w:rsidP="001E4453">
            <w:pPr>
              <w:keepNext/>
              <w:keepLines/>
              <w:jc w:val="center"/>
              <w:rPr>
                <w:rFonts w:ascii="Arial Narrow" w:hAnsi="Arial Narrow"/>
                <w:b/>
                <w:sz w:val="20"/>
              </w:rPr>
            </w:pPr>
          </w:p>
        </w:tc>
        <w:tc>
          <w:tcPr>
            <w:tcW w:w="1042" w:type="pct"/>
            <w:gridSpan w:val="2"/>
            <w:vAlign w:val="center"/>
          </w:tcPr>
          <w:p w:rsidR="00726F0B" w:rsidRPr="00881BD2" w:rsidRDefault="00726F0B" w:rsidP="001E4453">
            <w:pPr>
              <w:keepNext/>
              <w:keepLines/>
              <w:jc w:val="center"/>
              <w:rPr>
                <w:rFonts w:ascii="Arial Narrow" w:hAnsi="Arial Narrow"/>
                <w:b/>
                <w:sz w:val="20"/>
              </w:rPr>
            </w:pPr>
          </w:p>
        </w:tc>
      </w:tr>
      <w:tr w:rsidR="00726F0B" w:rsidRPr="00881BD2" w:rsidTr="00F70BD6">
        <w:tc>
          <w:tcPr>
            <w:tcW w:w="1098" w:type="pct"/>
            <w:gridSpan w:val="2"/>
            <w:shd w:val="clear" w:color="auto" w:fill="auto"/>
            <w:vAlign w:val="center"/>
          </w:tcPr>
          <w:p w:rsidR="00726F0B" w:rsidRPr="00793EF3" w:rsidRDefault="00726F0B" w:rsidP="001E4453">
            <w:pPr>
              <w:keepNext/>
              <w:keepLines/>
              <w:ind w:firstLine="153"/>
              <w:rPr>
                <w:rFonts w:ascii="Arial Narrow" w:hAnsi="Arial Narrow"/>
                <w:color w:val="000000"/>
                <w:sz w:val="20"/>
                <w:szCs w:val="18"/>
              </w:rPr>
            </w:pPr>
            <w:r w:rsidRPr="00793EF3">
              <w:rPr>
                <w:rFonts w:ascii="Arial Narrow" w:hAnsi="Arial Narrow"/>
                <w:color w:val="000000"/>
                <w:sz w:val="20"/>
                <w:szCs w:val="18"/>
              </w:rPr>
              <w:t>events</w:t>
            </w:r>
          </w:p>
        </w:tc>
        <w:tc>
          <w:tcPr>
            <w:tcW w:w="867" w:type="pct"/>
            <w:gridSpan w:val="2"/>
            <w:vAlign w:val="center"/>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 ''''''''''''''''''''</w:t>
            </w:r>
          </w:p>
        </w:tc>
        <w:tc>
          <w:tcPr>
            <w:tcW w:w="963" w:type="pct"/>
            <w:gridSpan w:val="2"/>
            <w:vAlign w:val="center"/>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 ''''''''''''''''</w:t>
            </w:r>
          </w:p>
        </w:tc>
        <w:tc>
          <w:tcPr>
            <w:tcW w:w="1030" w:type="pct"/>
            <w:gridSpan w:val="3"/>
            <w:vAlign w:val="center"/>
          </w:tcPr>
          <w:p w:rsidR="00726F0B" w:rsidRPr="00793EF3" w:rsidRDefault="00726F0B" w:rsidP="001E4453">
            <w:pPr>
              <w:keepNext/>
              <w:keepLines/>
              <w:jc w:val="center"/>
              <w:rPr>
                <w:rFonts w:ascii="Arial Narrow" w:hAnsi="Arial Narrow"/>
                <w:b/>
                <w:sz w:val="20"/>
              </w:rPr>
            </w:pPr>
          </w:p>
        </w:tc>
        <w:tc>
          <w:tcPr>
            <w:tcW w:w="1042" w:type="pct"/>
            <w:gridSpan w:val="2"/>
            <w:vAlign w:val="center"/>
          </w:tcPr>
          <w:p w:rsidR="00726F0B" w:rsidRPr="00881BD2" w:rsidRDefault="00726F0B" w:rsidP="001E4453">
            <w:pPr>
              <w:keepNext/>
              <w:keepLines/>
              <w:jc w:val="center"/>
              <w:rPr>
                <w:rFonts w:ascii="Arial Narrow" w:hAnsi="Arial Narrow"/>
                <w:color w:val="000000"/>
                <w:sz w:val="20"/>
                <w:szCs w:val="18"/>
              </w:rPr>
            </w:pPr>
            <w:r w:rsidRPr="00881BD2">
              <w:rPr>
                <w:rFonts w:ascii="Arial Narrow" w:hAnsi="Arial Narrow"/>
                <w:b/>
                <w:sz w:val="20"/>
              </w:rPr>
              <w:t>0.54 (0.40, 0.72)</w:t>
            </w:r>
          </w:p>
        </w:tc>
      </w:tr>
      <w:tr w:rsidR="00726F0B" w:rsidRPr="00881BD2" w:rsidTr="00F70BD6">
        <w:tc>
          <w:tcPr>
            <w:tcW w:w="1098" w:type="pct"/>
            <w:gridSpan w:val="2"/>
            <w:shd w:val="clear" w:color="auto" w:fill="auto"/>
            <w:vAlign w:val="center"/>
          </w:tcPr>
          <w:p w:rsidR="00726F0B" w:rsidRPr="00793EF3" w:rsidDel="002E3E70" w:rsidRDefault="00726F0B" w:rsidP="001E4453">
            <w:pPr>
              <w:keepNext/>
              <w:keepLines/>
              <w:ind w:firstLine="153"/>
              <w:rPr>
                <w:rFonts w:ascii="Arial Narrow" w:hAnsi="Arial Narrow"/>
                <w:color w:val="000000"/>
                <w:sz w:val="20"/>
                <w:szCs w:val="18"/>
              </w:rPr>
            </w:pPr>
            <w:r w:rsidRPr="00793EF3">
              <w:rPr>
                <w:rFonts w:ascii="Arial Narrow" w:hAnsi="Arial Narrow"/>
                <w:color w:val="000000"/>
                <w:sz w:val="20"/>
                <w:szCs w:val="18"/>
              </w:rPr>
              <w:t>median TTNT (</w:t>
            </w:r>
            <w:proofErr w:type="spellStart"/>
            <w:r w:rsidRPr="00793EF3">
              <w:rPr>
                <w:rFonts w:ascii="Arial Narrow" w:hAnsi="Arial Narrow"/>
                <w:color w:val="000000"/>
                <w:sz w:val="20"/>
                <w:szCs w:val="18"/>
              </w:rPr>
              <w:t>mths</w:t>
            </w:r>
            <w:proofErr w:type="spellEnd"/>
            <w:r w:rsidRPr="00793EF3">
              <w:rPr>
                <w:rFonts w:ascii="Arial Narrow" w:hAnsi="Arial Narrow"/>
                <w:color w:val="000000"/>
                <w:sz w:val="20"/>
                <w:szCs w:val="18"/>
              </w:rPr>
              <w:t>)</w:t>
            </w:r>
          </w:p>
        </w:tc>
        <w:tc>
          <w:tcPr>
            <w:tcW w:w="867" w:type="pct"/>
            <w:gridSpan w:val="2"/>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42.7 (39.6, −)</w:t>
            </w:r>
          </w:p>
        </w:tc>
        <w:tc>
          <w:tcPr>
            <w:tcW w:w="963" w:type="pct"/>
            <w:gridSpan w:val="2"/>
            <w:vAlign w:val="center"/>
          </w:tcPr>
          <w:p w:rsidR="00726F0B" w:rsidRPr="00793EF3" w:rsidRDefault="00726F0B" w:rsidP="001E4453">
            <w:pPr>
              <w:keepNext/>
              <w:keepLines/>
              <w:jc w:val="center"/>
              <w:rPr>
                <w:rFonts w:ascii="Arial Narrow" w:hAnsi="Arial Narrow"/>
                <w:sz w:val="20"/>
              </w:rPr>
            </w:pPr>
            <w:r w:rsidRPr="00793EF3">
              <w:rPr>
                <w:rFonts w:ascii="Arial Narrow" w:hAnsi="Arial Narrow"/>
                <w:sz w:val="20"/>
              </w:rPr>
              <w:t>32.7 (27.8, −)</w:t>
            </w:r>
          </w:p>
        </w:tc>
        <w:tc>
          <w:tcPr>
            <w:tcW w:w="1030" w:type="pct"/>
            <w:gridSpan w:val="3"/>
            <w:vAlign w:val="center"/>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042" w:type="pct"/>
            <w:gridSpan w:val="2"/>
            <w:vAlign w:val="center"/>
          </w:tcPr>
          <w:p w:rsidR="00726F0B" w:rsidRPr="00881BD2" w:rsidRDefault="00726F0B" w:rsidP="001E4453">
            <w:pPr>
              <w:keepNext/>
              <w:keepLines/>
              <w:jc w:val="center"/>
              <w:rPr>
                <w:rFonts w:ascii="Arial Narrow" w:hAnsi="Arial Narrow"/>
                <w:b/>
                <w:sz w:val="20"/>
              </w:rPr>
            </w:pPr>
          </w:p>
        </w:tc>
      </w:tr>
      <w:tr w:rsidR="00726F0B" w:rsidRPr="00881BD2" w:rsidTr="00F70BD6">
        <w:tc>
          <w:tcPr>
            <w:tcW w:w="5000" w:type="pct"/>
            <w:gridSpan w:val="11"/>
            <w:tcBorders>
              <w:top w:val="double" w:sz="4" w:space="0" w:color="auto"/>
            </w:tcBorders>
            <w:shd w:val="clear" w:color="auto" w:fill="auto"/>
            <w:vAlign w:val="center"/>
          </w:tcPr>
          <w:p w:rsidR="00726F0B" w:rsidRPr="00881BD2" w:rsidRDefault="00726F0B" w:rsidP="001E4453">
            <w:pPr>
              <w:keepNext/>
              <w:keepLines/>
              <w:rPr>
                <w:rFonts w:ascii="Arial Narrow" w:hAnsi="Arial Narrow"/>
                <w:b/>
                <w:color w:val="000000"/>
                <w:sz w:val="20"/>
                <w:szCs w:val="18"/>
              </w:rPr>
            </w:pPr>
            <w:r w:rsidRPr="00881BD2">
              <w:rPr>
                <w:rFonts w:ascii="Arial Narrow" w:hAnsi="Arial Narrow"/>
                <w:b/>
                <w:color w:val="000000"/>
                <w:sz w:val="20"/>
                <w:szCs w:val="18"/>
              </w:rPr>
              <w:t xml:space="preserve">Harms </w:t>
            </w:r>
          </w:p>
        </w:tc>
      </w:tr>
      <w:tr w:rsidR="00726F0B" w:rsidRPr="00881BD2" w:rsidTr="00F70BD6">
        <w:trPr>
          <w:trHeight w:val="20"/>
        </w:trPr>
        <w:tc>
          <w:tcPr>
            <w:tcW w:w="936" w:type="pct"/>
            <w:vMerge w:val="restart"/>
            <w:shd w:val="clear" w:color="auto" w:fill="auto"/>
            <w:vAlign w:val="center"/>
          </w:tcPr>
          <w:p w:rsidR="00726F0B" w:rsidRPr="00881BD2" w:rsidRDefault="00726F0B" w:rsidP="001E4453">
            <w:pPr>
              <w:keepNext/>
              <w:keepLines/>
              <w:rPr>
                <w:rFonts w:ascii="Arial Narrow" w:hAnsi="Arial Narrow"/>
                <w:b/>
                <w:color w:val="000000"/>
                <w:sz w:val="20"/>
                <w:szCs w:val="18"/>
              </w:rPr>
            </w:pPr>
          </w:p>
        </w:tc>
        <w:tc>
          <w:tcPr>
            <w:tcW w:w="745" w:type="pct"/>
            <w:gridSpan w:val="2"/>
            <w:vMerge w:val="restart"/>
            <w:vAlign w:val="center"/>
          </w:tcPr>
          <w:p w:rsidR="00726F0B" w:rsidRPr="00881BD2" w:rsidRDefault="00726F0B" w:rsidP="001E4453">
            <w:pPr>
              <w:keepNext/>
              <w:keepLines/>
              <w:jc w:val="center"/>
              <w:rPr>
                <w:rFonts w:ascii="Arial Narrow" w:hAnsi="Arial Narrow"/>
                <w:b/>
                <w:color w:val="000000"/>
                <w:sz w:val="20"/>
                <w:szCs w:val="18"/>
              </w:rPr>
            </w:pPr>
            <w:proofErr w:type="spellStart"/>
            <w:r w:rsidRPr="00881BD2">
              <w:rPr>
                <w:rFonts w:ascii="Arial Narrow" w:hAnsi="Arial Narrow"/>
                <w:b/>
                <w:color w:val="000000"/>
                <w:sz w:val="20"/>
                <w:szCs w:val="18"/>
              </w:rPr>
              <w:t>Obinutuzumab</w:t>
            </w:r>
            <w:proofErr w:type="spellEnd"/>
            <w:r w:rsidRPr="00881BD2">
              <w:rPr>
                <w:rFonts w:ascii="Arial Narrow" w:hAnsi="Arial Narrow"/>
                <w:b/>
                <w:color w:val="000000"/>
                <w:sz w:val="20"/>
                <w:szCs w:val="18"/>
              </w:rPr>
              <w:t xml:space="preserve"> +chlorambucil</w:t>
            </w:r>
          </w:p>
        </w:tc>
        <w:tc>
          <w:tcPr>
            <w:tcW w:w="697" w:type="pct"/>
            <w:gridSpan w:val="2"/>
            <w:vMerge w:val="restart"/>
            <w:vAlign w:val="center"/>
          </w:tcPr>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Rituximab +chlorambucil</w:t>
            </w:r>
          </w:p>
        </w:tc>
        <w:tc>
          <w:tcPr>
            <w:tcW w:w="649" w:type="pct"/>
            <w:gridSpan w:val="2"/>
            <w:vMerge w:val="restart"/>
            <w:vAlign w:val="center"/>
          </w:tcPr>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RR</w:t>
            </w:r>
          </w:p>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(95% CI)</w:t>
            </w:r>
          </w:p>
        </w:tc>
        <w:tc>
          <w:tcPr>
            <w:tcW w:w="1414" w:type="pct"/>
            <w:gridSpan w:val="3"/>
            <w:vAlign w:val="center"/>
          </w:tcPr>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Event rate/100 patients</w:t>
            </w:r>
          </w:p>
        </w:tc>
        <w:tc>
          <w:tcPr>
            <w:tcW w:w="559" w:type="pct"/>
            <w:vMerge w:val="restart"/>
            <w:vAlign w:val="center"/>
          </w:tcPr>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RD</w:t>
            </w:r>
          </w:p>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(95% CI)</w:t>
            </w:r>
          </w:p>
        </w:tc>
      </w:tr>
      <w:tr w:rsidR="00726F0B" w:rsidRPr="00881BD2" w:rsidTr="00F70BD6">
        <w:trPr>
          <w:trHeight w:val="20"/>
        </w:trPr>
        <w:tc>
          <w:tcPr>
            <w:tcW w:w="936" w:type="pct"/>
            <w:vMerge/>
            <w:shd w:val="clear" w:color="auto" w:fill="auto"/>
            <w:vAlign w:val="center"/>
          </w:tcPr>
          <w:p w:rsidR="00726F0B" w:rsidRPr="00881BD2" w:rsidRDefault="00726F0B" w:rsidP="001E4453">
            <w:pPr>
              <w:keepNext/>
              <w:keepLines/>
              <w:rPr>
                <w:rFonts w:ascii="Arial Narrow" w:hAnsi="Arial Narrow"/>
                <w:b/>
                <w:color w:val="000000"/>
                <w:sz w:val="20"/>
                <w:szCs w:val="18"/>
              </w:rPr>
            </w:pPr>
          </w:p>
        </w:tc>
        <w:tc>
          <w:tcPr>
            <w:tcW w:w="745" w:type="pct"/>
            <w:gridSpan w:val="2"/>
            <w:vMerge/>
            <w:vAlign w:val="center"/>
          </w:tcPr>
          <w:p w:rsidR="00726F0B" w:rsidRPr="00881BD2" w:rsidRDefault="00726F0B" w:rsidP="001E4453">
            <w:pPr>
              <w:keepNext/>
              <w:keepLines/>
              <w:jc w:val="center"/>
              <w:rPr>
                <w:rFonts w:ascii="Arial Narrow" w:hAnsi="Arial Narrow"/>
                <w:b/>
                <w:color w:val="000000"/>
                <w:sz w:val="20"/>
                <w:szCs w:val="18"/>
              </w:rPr>
            </w:pPr>
          </w:p>
        </w:tc>
        <w:tc>
          <w:tcPr>
            <w:tcW w:w="697" w:type="pct"/>
            <w:gridSpan w:val="2"/>
            <w:vMerge/>
            <w:vAlign w:val="center"/>
          </w:tcPr>
          <w:p w:rsidR="00726F0B" w:rsidRPr="00881BD2" w:rsidRDefault="00726F0B" w:rsidP="001E4453">
            <w:pPr>
              <w:keepNext/>
              <w:keepLines/>
              <w:jc w:val="center"/>
              <w:rPr>
                <w:rFonts w:ascii="Arial Narrow" w:hAnsi="Arial Narrow"/>
                <w:b/>
                <w:color w:val="000000"/>
                <w:sz w:val="20"/>
                <w:szCs w:val="18"/>
              </w:rPr>
            </w:pPr>
          </w:p>
        </w:tc>
        <w:tc>
          <w:tcPr>
            <w:tcW w:w="649" w:type="pct"/>
            <w:gridSpan w:val="2"/>
            <w:vMerge/>
            <w:vAlign w:val="center"/>
          </w:tcPr>
          <w:p w:rsidR="00726F0B" w:rsidRPr="00881BD2" w:rsidRDefault="00726F0B" w:rsidP="001E4453">
            <w:pPr>
              <w:keepNext/>
              <w:keepLines/>
              <w:jc w:val="center"/>
              <w:rPr>
                <w:rFonts w:ascii="Arial Narrow" w:hAnsi="Arial Narrow"/>
                <w:b/>
                <w:color w:val="000000"/>
                <w:sz w:val="20"/>
                <w:szCs w:val="18"/>
              </w:rPr>
            </w:pPr>
          </w:p>
        </w:tc>
        <w:tc>
          <w:tcPr>
            <w:tcW w:w="717" w:type="pct"/>
            <w:vAlign w:val="center"/>
          </w:tcPr>
          <w:p w:rsidR="00726F0B" w:rsidRPr="00881BD2" w:rsidRDefault="00726F0B" w:rsidP="001E4453">
            <w:pPr>
              <w:keepNext/>
              <w:keepLines/>
              <w:jc w:val="center"/>
              <w:rPr>
                <w:rFonts w:ascii="Arial Narrow" w:hAnsi="Arial Narrow"/>
                <w:b/>
                <w:color w:val="000000"/>
                <w:sz w:val="20"/>
                <w:szCs w:val="18"/>
              </w:rPr>
            </w:pPr>
            <w:proofErr w:type="spellStart"/>
            <w:r w:rsidRPr="00881BD2">
              <w:rPr>
                <w:rFonts w:ascii="Arial Narrow" w:hAnsi="Arial Narrow"/>
                <w:b/>
                <w:color w:val="000000"/>
                <w:sz w:val="20"/>
                <w:szCs w:val="18"/>
              </w:rPr>
              <w:t>Obinutuzumab</w:t>
            </w:r>
            <w:proofErr w:type="spellEnd"/>
            <w:r w:rsidRPr="00881BD2">
              <w:rPr>
                <w:rFonts w:ascii="Arial Narrow" w:hAnsi="Arial Narrow"/>
                <w:b/>
                <w:color w:val="000000"/>
                <w:sz w:val="20"/>
                <w:szCs w:val="18"/>
              </w:rPr>
              <w:t xml:space="preserve"> +chlorambucil</w:t>
            </w:r>
          </w:p>
        </w:tc>
        <w:tc>
          <w:tcPr>
            <w:tcW w:w="697" w:type="pct"/>
            <w:gridSpan w:val="2"/>
            <w:vAlign w:val="center"/>
          </w:tcPr>
          <w:p w:rsidR="00726F0B" w:rsidRPr="00881BD2" w:rsidRDefault="00726F0B" w:rsidP="001E4453">
            <w:pPr>
              <w:keepNext/>
              <w:keepLines/>
              <w:jc w:val="center"/>
              <w:rPr>
                <w:rFonts w:ascii="Arial Narrow" w:hAnsi="Arial Narrow"/>
                <w:b/>
                <w:color w:val="000000"/>
                <w:sz w:val="20"/>
                <w:szCs w:val="18"/>
              </w:rPr>
            </w:pPr>
            <w:r w:rsidRPr="00881BD2">
              <w:rPr>
                <w:rFonts w:ascii="Arial Narrow" w:hAnsi="Arial Narrow"/>
                <w:b/>
                <w:color w:val="000000"/>
                <w:sz w:val="20"/>
                <w:szCs w:val="18"/>
              </w:rPr>
              <w:t>Rituximab +chlorambucil</w:t>
            </w:r>
          </w:p>
        </w:tc>
        <w:tc>
          <w:tcPr>
            <w:tcW w:w="559" w:type="pct"/>
            <w:vMerge/>
            <w:vAlign w:val="center"/>
          </w:tcPr>
          <w:p w:rsidR="00726F0B" w:rsidRPr="00881BD2" w:rsidRDefault="00726F0B" w:rsidP="001E4453">
            <w:pPr>
              <w:keepNext/>
              <w:keepLines/>
              <w:jc w:val="center"/>
              <w:rPr>
                <w:rFonts w:ascii="Arial Narrow" w:hAnsi="Arial Narrow"/>
                <w:b/>
                <w:color w:val="000000"/>
                <w:sz w:val="20"/>
                <w:szCs w:val="18"/>
              </w:rPr>
            </w:pPr>
          </w:p>
        </w:tc>
      </w:tr>
      <w:tr w:rsidR="00726F0B" w:rsidRPr="00881BD2" w:rsidTr="00F70BD6">
        <w:trPr>
          <w:trHeight w:val="20"/>
        </w:trPr>
        <w:tc>
          <w:tcPr>
            <w:tcW w:w="936" w:type="pct"/>
            <w:shd w:val="clear" w:color="auto" w:fill="auto"/>
            <w:vAlign w:val="center"/>
          </w:tcPr>
          <w:p w:rsidR="00726F0B" w:rsidRPr="00793EF3" w:rsidRDefault="00726F0B" w:rsidP="001E4453">
            <w:pPr>
              <w:keepNext/>
              <w:keepLines/>
              <w:rPr>
                <w:rFonts w:ascii="Arial Narrow" w:hAnsi="Arial Narrow"/>
                <w:color w:val="000000"/>
                <w:sz w:val="20"/>
                <w:szCs w:val="18"/>
              </w:rPr>
            </w:pPr>
            <w:r w:rsidRPr="00793EF3">
              <w:rPr>
                <w:rFonts w:ascii="Arial Narrow" w:hAnsi="Arial Narrow"/>
                <w:color w:val="000000"/>
                <w:sz w:val="20"/>
                <w:szCs w:val="18"/>
              </w:rPr>
              <w:t xml:space="preserve">Infusion-related reactions </w:t>
            </w:r>
            <w:r w:rsidR="006573AC" w:rsidRPr="00793EF3">
              <w:rPr>
                <w:rFonts w:ascii="Arial Narrow" w:hAnsi="Arial Narrow"/>
                <w:color w:val="000000"/>
                <w:sz w:val="20"/>
                <w:szCs w:val="18"/>
              </w:rPr>
              <w:t>(Grade 3</w:t>
            </w:r>
            <w:r w:rsidR="006573AC" w:rsidRPr="00793EF3">
              <w:rPr>
                <w:rFonts w:ascii="Arial Narrow" w:hAnsi="Arial Narrow"/>
                <w:color w:val="000000"/>
                <w:sz w:val="20"/>
                <w:szCs w:val="18"/>
              </w:rPr>
              <w:noBreakHyphen/>
              <w:t>5)</w:t>
            </w:r>
          </w:p>
        </w:tc>
        <w:tc>
          <w:tcPr>
            <w:tcW w:w="745" w:type="pct"/>
            <w:gridSpan w:val="2"/>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697" w:type="pct"/>
            <w:gridSpan w:val="2"/>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649" w:type="pct"/>
            <w:gridSpan w:val="2"/>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b/>
                <w:noProof/>
                <w:color w:val="000000"/>
                <w:sz w:val="20"/>
                <w:highlight w:val="black"/>
              </w:rPr>
              <w:t>'''''' ''''''''' ''''''''</w:t>
            </w:r>
          </w:p>
        </w:tc>
        <w:tc>
          <w:tcPr>
            <w:tcW w:w="717" w:type="pct"/>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97" w:type="pct"/>
            <w:gridSpan w:val="2"/>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9" w:type="pct"/>
            <w:vAlign w:val="center"/>
          </w:tcPr>
          <w:p w:rsidR="00726F0B" w:rsidRPr="005079C4" w:rsidRDefault="005079C4" w:rsidP="001E4453">
            <w:pPr>
              <w:keepNext/>
              <w:keepLines/>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xml:space="preserve">'''''''' </w:t>
            </w:r>
            <w:r>
              <w:rPr>
                <w:rFonts w:ascii="Arial Narrow" w:hAnsi="Arial Narrow"/>
                <w:b/>
                <w:noProof/>
                <w:color w:val="000000"/>
                <w:sz w:val="20"/>
                <w:szCs w:val="18"/>
                <w:highlight w:val="black"/>
              </w:rPr>
              <w:br/>
              <w:t>''''''''''' '''''''''''</w:t>
            </w:r>
          </w:p>
        </w:tc>
      </w:tr>
      <w:tr w:rsidR="00726F0B" w:rsidRPr="00881BD2" w:rsidTr="00F70BD6">
        <w:trPr>
          <w:trHeight w:val="20"/>
        </w:trPr>
        <w:tc>
          <w:tcPr>
            <w:tcW w:w="936" w:type="pct"/>
            <w:shd w:val="clear" w:color="auto" w:fill="auto"/>
            <w:vAlign w:val="center"/>
          </w:tcPr>
          <w:p w:rsidR="00726F0B" w:rsidRPr="00793EF3" w:rsidRDefault="00726F0B" w:rsidP="001E4453">
            <w:pPr>
              <w:keepNext/>
              <w:keepLines/>
              <w:rPr>
                <w:rFonts w:ascii="Arial Narrow" w:hAnsi="Arial Narrow"/>
                <w:color w:val="000000"/>
                <w:sz w:val="20"/>
                <w:szCs w:val="18"/>
              </w:rPr>
            </w:pPr>
            <w:r w:rsidRPr="00793EF3">
              <w:rPr>
                <w:rFonts w:ascii="Arial Narrow" w:hAnsi="Arial Narrow"/>
                <w:color w:val="000000"/>
                <w:sz w:val="20"/>
                <w:szCs w:val="18"/>
              </w:rPr>
              <w:t>Neutropenia</w:t>
            </w:r>
            <w:r w:rsidRPr="00793EF3" w:rsidDel="00C26ABF">
              <w:rPr>
                <w:rFonts w:ascii="Arial Narrow" w:hAnsi="Arial Narrow"/>
                <w:color w:val="000000"/>
                <w:sz w:val="20"/>
                <w:szCs w:val="18"/>
              </w:rPr>
              <w:t xml:space="preserve"> </w:t>
            </w:r>
          </w:p>
          <w:p w:rsidR="006573AC" w:rsidRPr="00793EF3" w:rsidRDefault="006573AC" w:rsidP="006573AC">
            <w:pPr>
              <w:keepNext/>
              <w:keepLines/>
              <w:rPr>
                <w:rFonts w:ascii="Arial Narrow" w:hAnsi="Arial Narrow"/>
                <w:color w:val="000000"/>
                <w:sz w:val="20"/>
                <w:szCs w:val="18"/>
                <w:vertAlign w:val="superscript"/>
              </w:rPr>
            </w:pPr>
            <w:r w:rsidRPr="00793EF3">
              <w:rPr>
                <w:rFonts w:ascii="Arial Narrow" w:hAnsi="Arial Narrow"/>
                <w:color w:val="000000"/>
                <w:sz w:val="20"/>
                <w:szCs w:val="18"/>
              </w:rPr>
              <w:t>(Grade 4)</w:t>
            </w:r>
            <w:r w:rsidRPr="00793EF3">
              <w:rPr>
                <w:rFonts w:ascii="Arial Narrow" w:hAnsi="Arial Narrow"/>
                <w:color w:val="000000"/>
                <w:sz w:val="20"/>
                <w:szCs w:val="18"/>
                <w:vertAlign w:val="superscript"/>
              </w:rPr>
              <w:t>a</w:t>
            </w:r>
          </w:p>
        </w:tc>
        <w:tc>
          <w:tcPr>
            <w:tcW w:w="745" w:type="pct"/>
            <w:gridSpan w:val="2"/>
            <w:vAlign w:val="center"/>
          </w:tcPr>
          <w:p w:rsidR="00726F0B" w:rsidRPr="005079C4" w:rsidRDefault="005079C4">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697" w:type="pct"/>
            <w:gridSpan w:val="2"/>
            <w:vAlign w:val="center"/>
          </w:tcPr>
          <w:p w:rsidR="00726F0B" w:rsidRPr="005079C4" w:rsidRDefault="005079C4" w:rsidP="006573AC">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649" w:type="pct"/>
            <w:gridSpan w:val="2"/>
            <w:vAlign w:val="center"/>
          </w:tcPr>
          <w:p w:rsidR="00726F0B" w:rsidRPr="005079C4" w:rsidRDefault="006573AC">
            <w:pPr>
              <w:keepNext/>
              <w:keepLines/>
              <w:jc w:val="center"/>
              <w:rPr>
                <w:rFonts w:ascii="Arial Narrow" w:hAnsi="Arial Narrow"/>
                <w:color w:val="000000"/>
                <w:sz w:val="20"/>
                <w:szCs w:val="18"/>
                <w:highlight w:val="black"/>
              </w:rPr>
            </w:pPr>
            <w:r w:rsidRPr="00793EF3">
              <w:rPr>
                <w:rFonts w:ascii="Arial Narrow" w:hAnsi="Arial Narrow"/>
                <w:sz w:val="20"/>
              </w:rPr>
              <w:t xml:space="preserve"> </w:t>
            </w:r>
            <w:r w:rsidR="005079C4">
              <w:rPr>
                <w:rFonts w:ascii="Arial Narrow" w:hAnsi="Arial Narrow"/>
                <w:b/>
                <w:noProof/>
                <w:color w:val="000000"/>
                <w:sz w:val="20"/>
                <w:highlight w:val="black"/>
              </w:rPr>
              <w:t>'''''' ''''''''' ''''''''</w:t>
            </w:r>
          </w:p>
        </w:tc>
        <w:tc>
          <w:tcPr>
            <w:tcW w:w="717" w:type="pct"/>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97" w:type="pct"/>
            <w:gridSpan w:val="2"/>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9" w:type="pct"/>
            <w:vAlign w:val="center"/>
          </w:tcPr>
          <w:p w:rsidR="006573AC" w:rsidRPr="005079C4" w:rsidRDefault="005079C4" w:rsidP="006573AC">
            <w:pPr>
              <w:keepNext/>
              <w:keepLines/>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xml:space="preserve">''''''' </w:t>
            </w:r>
          </w:p>
          <w:p w:rsidR="00726F0B" w:rsidRPr="005079C4" w:rsidRDefault="005079C4" w:rsidP="006573AC">
            <w:pPr>
              <w:keepNext/>
              <w:keepLines/>
              <w:jc w:val="center"/>
              <w:rPr>
                <w:rFonts w:ascii="Arial Narrow" w:hAnsi="Arial Narrow"/>
                <w:color w:val="000000"/>
                <w:sz w:val="20"/>
                <w:szCs w:val="18"/>
                <w:highlight w:val="black"/>
              </w:rPr>
            </w:pPr>
            <w:r>
              <w:rPr>
                <w:rFonts w:ascii="Arial Narrow" w:hAnsi="Arial Narrow"/>
                <w:b/>
                <w:noProof/>
                <w:color w:val="000000"/>
                <w:sz w:val="20"/>
                <w:szCs w:val="18"/>
                <w:highlight w:val="black"/>
              </w:rPr>
              <w:t>'''''''' '''''''''''</w:t>
            </w:r>
            <w:r w:rsidR="006573AC" w:rsidRPr="005079C4">
              <w:rPr>
                <w:rFonts w:ascii="Arial Narrow" w:hAnsi="Arial Narrow"/>
                <w:color w:val="000000"/>
                <w:sz w:val="20"/>
                <w:szCs w:val="18"/>
                <w:highlight w:val="black"/>
              </w:rPr>
              <w:t xml:space="preserve"> </w:t>
            </w:r>
          </w:p>
        </w:tc>
      </w:tr>
      <w:tr w:rsidR="00726F0B" w:rsidRPr="00881BD2" w:rsidTr="00F70BD6">
        <w:trPr>
          <w:trHeight w:val="20"/>
        </w:trPr>
        <w:tc>
          <w:tcPr>
            <w:tcW w:w="936" w:type="pct"/>
            <w:shd w:val="clear" w:color="auto" w:fill="auto"/>
            <w:vAlign w:val="center"/>
          </w:tcPr>
          <w:p w:rsidR="00726F0B" w:rsidRPr="00793EF3" w:rsidRDefault="00726F0B" w:rsidP="001E4453">
            <w:pPr>
              <w:keepNext/>
              <w:keepLines/>
              <w:rPr>
                <w:rFonts w:ascii="Arial Narrow" w:hAnsi="Arial Narrow"/>
                <w:color w:val="000000"/>
                <w:sz w:val="20"/>
                <w:szCs w:val="18"/>
              </w:rPr>
            </w:pPr>
            <w:r w:rsidRPr="00793EF3">
              <w:rPr>
                <w:rFonts w:ascii="Arial Narrow" w:hAnsi="Arial Narrow"/>
                <w:color w:val="000000"/>
                <w:sz w:val="20"/>
                <w:szCs w:val="18"/>
              </w:rPr>
              <w:t xml:space="preserve">Thrombocytopenia </w:t>
            </w:r>
          </w:p>
          <w:p w:rsidR="006573AC" w:rsidRPr="00793EF3" w:rsidRDefault="006573AC" w:rsidP="001E4453">
            <w:pPr>
              <w:keepNext/>
              <w:keepLines/>
              <w:rPr>
                <w:rFonts w:ascii="Arial Narrow" w:hAnsi="Arial Narrow"/>
                <w:color w:val="000000"/>
                <w:sz w:val="20"/>
                <w:szCs w:val="18"/>
                <w:vertAlign w:val="superscript"/>
              </w:rPr>
            </w:pPr>
            <w:r w:rsidRPr="00793EF3">
              <w:rPr>
                <w:rFonts w:ascii="Arial Narrow" w:hAnsi="Arial Narrow"/>
                <w:color w:val="000000"/>
                <w:sz w:val="20"/>
                <w:szCs w:val="18"/>
              </w:rPr>
              <w:t>(Grade 3-4)</w:t>
            </w:r>
            <w:r w:rsidRPr="00793EF3">
              <w:rPr>
                <w:rFonts w:ascii="Arial Narrow" w:hAnsi="Arial Narrow"/>
                <w:color w:val="000000"/>
                <w:sz w:val="20"/>
                <w:szCs w:val="18"/>
                <w:vertAlign w:val="superscript"/>
              </w:rPr>
              <w:t>a</w:t>
            </w:r>
          </w:p>
        </w:tc>
        <w:tc>
          <w:tcPr>
            <w:tcW w:w="745" w:type="pct"/>
            <w:gridSpan w:val="2"/>
            <w:vAlign w:val="center"/>
          </w:tcPr>
          <w:p w:rsidR="00726F0B" w:rsidRPr="005079C4" w:rsidRDefault="005079C4">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697" w:type="pct"/>
            <w:gridSpan w:val="2"/>
            <w:vAlign w:val="center"/>
          </w:tcPr>
          <w:p w:rsidR="00726F0B" w:rsidRPr="005079C4" w:rsidRDefault="005079C4">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w:t>
            </w:r>
          </w:p>
        </w:tc>
        <w:tc>
          <w:tcPr>
            <w:tcW w:w="649" w:type="pct"/>
            <w:gridSpan w:val="2"/>
            <w:vAlign w:val="center"/>
          </w:tcPr>
          <w:p w:rsidR="00726F0B" w:rsidRPr="005079C4" w:rsidRDefault="005079C4">
            <w:pPr>
              <w:keepNext/>
              <w:keepLines/>
              <w:jc w:val="center"/>
              <w:rPr>
                <w:rFonts w:ascii="Arial Narrow" w:hAnsi="Arial Narrow"/>
                <w:color w:val="000000"/>
                <w:sz w:val="20"/>
                <w:szCs w:val="18"/>
                <w:highlight w:val="black"/>
              </w:rPr>
            </w:pPr>
            <w:r>
              <w:rPr>
                <w:rFonts w:ascii="Arial Narrow" w:hAnsi="Arial Narrow"/>
                <w:b/>
                <w:noProof/>
                <w:color w:val="000000"/>
                <w:sz w:val="20"/>
                <w:highlight w:val="black"/>
              </w:rPr>
              <w:t>'''''' '''''''''' ''''''''</w:t>
            </w:r>
          </w:p>
        </w:tc>
        <w:tc>
          <w:tcPr>
            <w:tcW w:w="717" w:type="pct"/>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97" w:type="pct"/>
            <w:gridSpan w:val="2"/>
            <w:vAlign w:val="center"/>
          </w:tcPr>
          <w:p w:rsidR="00726F0B" w:rsidRPr="005079C4" w:rsidRDefault="005079C4" w:rsidP="001E4453">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9" w:type="pct"/>
            <w:vAlign w:val="center"/>
          </w:tcPr>
          <w:p w:rsidR="00726F0B" w:rsidRPr="005079C4" w:rsidRDefault="005079C4" w:rsidP="001E4453">
            <w:pPr>
              <w:keepNext/>
              <w:keepLines/>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xml:space="preserve">'''''' </w:t>
            </w:r>
            <w:r>
              <w:rPr>
                <w:rFonts w:ascii="Arial Narrow" w:hAnsi="Arial Narrow"/>
                <w:b/>
                <w:noProof/>
                <w:color w:val="000000"/>
                <w:sz w:val="20"/>
                <w:szCs w:val="18"/>
                <w:highlight w:val="black"/>
              </w:rPr>
              <w:br/>
              <w:t>''''''''' ''''''''''</w:t>
            </w:r>
          </w:p>
        </w:tc>
      </w:tr>
      <w:tr w:rsidR="006573AC" w:rsidRPr="00AE26ED" w:rsidTr="00F70BD6">
        <w:trPr>
          <w:trHeight w:val="20"/>
        </w:trPr>
        <w:tc>
          <w:tcPr>
            <w:tcW w:w="936" w:type="pct"/>
            <w:shd w:val="clear" w:color="auto" w:fill="auto"/>
            <w:vAlign w:val="center"/>
          </w:tcPr>
          <w:p w:rsidR="006573AC" w:rsidRPr="00793EF3" w:rsidRDefault="006573AC" w:rsidP="001E4453">
            <w:pPr>
              <w:keepNext/>
              <w:keepLines/>
              <w:rPr>
                <w:rFonts w:ascii="Arial Narrow" w:hAnsi="Arial Narrow"/>
                <w:color w:val="000000"/>
                <w:sz w:val="20"/>
              </w:rPr>
            </w:pPr>
            <w:r w:rsidRPr="00793EF3">
              <w:rPr>
                <w:rFonts w:ascii="Arial Narrow" w:hAnsi="Arial Narrow"/>
                <w:color w:val="000000"/>
                <w:sz w:val="20"/>
              </w:rPr>
              <w:t>All grade infections</w:t>
            </w:r>
          </w:p>
        </w:tc>
        <w:tc>
          <w:tcPr>
            <w:tcW w:w="745" w:type="pct"/>
            <w:gridSpan w:val="2"/>
            <w:vAlign w:val="center"/>
          </w:tcPr>
          <w:p w:rsidR="006573AC" w:rsidRPr="005079C4" w:rsidRDefault="005079C4">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697" w:type="pct"/>
            <w:gridSpan w:val="2"/>
            <w:vAlign w:val="center"/>
          </w:tcPr>
          <w:p w:rsidR="006573AC" w:rsidRPr="005079C4" w:rsidRDefault="005079C4">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649" w:type="pct"/>
            <w:gridSpan w:val="2"/>
            <w:vAlign w:val="center"/>
          </w:tcPr>
          <w:p w:rsidR="006573AC" w:rsidRPr="005079C4" w:rsidRDefault="005079C4">
            <w:pPr>
              <w:keepNext/>
              <w:keepLines/>
              <w:jc w:val="center"/>
              <w:rPr>
                <w:rFonts w:ascii="Arial Narrow" w:hAnsi="Arial Narrow"/>
                <w:b/>
                <w:sz w:val="20"/>
                <w:highlight w:val="black"/>
              </w:rPr>
            </w:pPr>
            <w:r>
              <w:rPr>
                <w:rFonts w:ascii="Arial Narrow" w:hAnsi="Arial Narrow"/>
                <w:noProof/>
                <w:color w:val="000000"/>
                <w:sz w:val="20"/>
                <w:highlight w:val="black"/>
              </w:rPr>
              <w:t>'''''''' ''''''''''' ''''''''''</w:t>
            </w:r>
          </w:p>
        </w:tc>
        <w:tc>
          <w:tcPr>
            <w:tcW w:w="717" w:type="pct"/>
            <w:vAlign w:val="center"/>
          </w:tcPr>
          <w:p w:rsidR="006573AC" w:rsidRPr="005079C4" w:rsidRDefault="005079C4" w:rsidP="001E4453">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697" w:type="pct"/>
            <w:gridSpan w:val="2"/>
            <w:vAlign w:val="center"/>
          </w:tcPr>
          <w:p w:rsidR="006573AC" w:rsidRPr="005079C4" w:rsidRDefault="005079C4" w:rsidP="001E4453">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tc>
        <w:tc>
          <w:tcPr>
            <w:tcW w:w="559" w:type="pct"/>
            <w:vAlign w:val="center"/>
          </w:tcPr>
          <w:p w:rsidR="006573AC" w:rsidRPr="005079C4" w:rsidRDefault="005079C4" w:rsidP="006573AC">
            <w:pPr>
              <w:keepNext/>
              <w:keepLines/>
              <w:jc w:val="center"/>
              <w:rPr>
                <w:rFonts w:ascii="Arial Narrow" w:hAnsi="Arial Narrow"/>
                <w:color w:val="000000"/>
                <w:sz w:val="20"/>
                <w:highlight w:val="black"/>
              </w:rPr>
            </w:pPr>
            <w:r>
              <w:rPr>
                <w:rFonts w:ascii="Arial Narrow" w:hAnsi="Arial Narrow"/>
                <w:noProof/>
                <w:color w:val="000000"/>
                <w:sz w:val="20"/>
                <w:highlight w:val="black"/>
              </w:rPr>
              <w:t>'''''''</w:t>
            </w:r>
          </w:p>
          <w:p w:rsidR="006573AC" w:rsidRPr="005079C4" w:rsidRDefault="005079C4" w:rsidP="001E4453">
            <w:pPr>
              <w:keepNext/>
              <w:keepLines/>
              <w:jc w:val="center"/>
              <w:rPr>
                <w:rFonts w:ascii="Arial Narrow" w:hAnsi="Arial Narrow"/>
                <w:b/>
                <w:color w:val="000000"/>
                <w:sz w:val="20"/>
                <w:highlight w:val="black"/>
              </w:rPr>
            </w:pPr>
            <w:r>
              <w:rPr>
                <w:rFonts w:ascii="Arial Narrow" w:hAnsi="Arial Narrow"/>
                <w:noProof/>
                <w:color w:val="000000"/>
                <w:sz w:val="20"/>
                <w:highlight w:val="black"/>
              </w:rPr>
              <w:t>'''''''''''' ''''''''''</w:t>
            </w:r>
          </w:p>
        </w:tc>
      </w:tr>
    </w:tbl>
    <w:p w:rsidR="00726F0B" w:rsidRPr="00881BD2" w:rsidRDefault="00726F0B" w:rsidP="001E4453">
      <w:pPr>
        <w:pStyle w:val="TableFooter"/>
        <w:keepNext/>
        <w:keepLines/>
        <w:ind w:left="720"/>
      </w:pPr>
      <w:r w:rsidRPr="00881BD2">
        <w:t>Source: Table B.6.3 p.37, Table B.6.5 p.41, Table B.6.7 p.43, Table B.6.20 p.61 and Table B.6.22 p.64 of the submission.</w:t>
      </w:r>
    </w:p>
    <w:p w:rsidR="006573AC" w:rsidRPr="006573AC" w:rsidRDefault="006573AC" w:rsidP="001E4453">
      <w:pPr>
        <w:pStyle w:val="TableFooter"/>
        <w:keepNext/>
        <w:keepLines/>
        <w:ind w:left="720"/>
      </w:pPr>
      <w:proofErr w:type="spellStart"/>
      <w:proofErr w:type="gramStart"/>
      <w:r>
        <w:rPr>
          <w:vertAlign w:val="superscript"/>
        </w:rPr>
        <w:t>a</w:t>
      </w:r>
      <w:r>
        <w:t>No</w:t>
      </w:r>
      <w:proofErr w:type="spellEnd"/>
      <w:proofErr w:type="gramEnd"/>
      <w:r>
        <w:t xml:space="preserve"> Grade 5 adverse events were recorded for </w:t>
      </w:r>
      <w:proofErr w:type="spellStart"/>
      <w:r>
        <w:t>neutoprenia</w:t>
      </w:r>
      <w:proofErr w:type="spellEnd"/>
      <w:r>
        <w:t xml:space="preserve"> and thrombocytopenia.</w:t>
      </w:r>
    </w:p>
    <w:p w:rsidR="00726F0B" w:rsidRPr="00881BD2" w:rsidRDefault="00726F0B" w:rsidP="001E4453">
      <w:pPr>
        <w:pStyle w:val="TableFooter"/>
        <w:keepNext/>
        <w:keepLines/>
        <w:ind w:left="720"/>
      </w:pPr>
      <w:r w:rsidRPr="00881BD2">
        <w:t xml:space="preserve">Abbreviations: RD = risk difference; HR = hazard ratio; CI = confidence interval; OS = overall survival; TTNT = time to next treatment; </w:t>
      </w:r>
      <w:proofErr w:type="spellStart"/>
      <w:r w:rsidRPr="00881BD2">
        <w:t>mths</w:t>
      </w:r>
      <w:proofErr w:type="spellEnd"/>
      <w:r w:rsidRPr="00881BD2">
        <w:t xml:space="preserve"> = months</w:t>
      </w:r>
      <w:r w:rsidR="001805C7" w:rsidRPr="00881BD2">
        <w:t xml:space="preserve">; NC = </w:t>
      </w:r>
      <w:proofErr w:type="spellStart"/>
      <w:r w:rsidR="001805C7" w:rsidRPr="00881BD2">
        <w:t>not</w:t>
      </w:r>
      <w:proofErr w:type="spellEnd"/>
      <w:r w:rsidR="001805C7" w:rsidRPr="00881BD2">
        <w:t xml:space="preserve"> calculated</w:t>
      </w:r>
      <w:r w:rsidR="00144EFD" w:rsidRPr="00881BD2">
        <w:t>.</w:t>
      </w:r>
      <w:r w:rsidR="001A0C40" w:rsidRPr="00881BD2">
        <w:t xml:space="preserve"> </w:t>
      </w:r>
    </w:p>
    <w:p w:rsidR="00726F0B" w:rsidRPr="00881BD2" w:rsidRDefault="00726F0B" w:rsidP="00726F0B">
      <w:pPr>
        <w:pStyle w:val="ListParagraph"/>
      </w:pPr>
    </w:p>
    <w:p w:rsidR="00726F0B" w:rsidRPr="00881BD2" w:rsidRDefault="00726F0B" w:rsidP="006305C9">
      <w:pPr>
        <w:pStyle w:val="ListParagraph"/>
        <w:keepNext/>
        <w:keepLines/>
        <w:widowControl/>
        <w:numPr>
          <w:ilvl w:val="1"/>
          <w:numId w:val="15"/>
        </w:numPr>
        <w:rPr>
          <w:szCs w:val="22"/>
        </w:rPr>
      </w:pPr>
      <w:r w:rsidRPr="00881BD2">
        <w:lastRenderedPageBreak/>
        <w:t xml:space="preserve">On the basis of direct evidence presented by the </w:t>
      </w:r>
      <w:r w:rsidR="00960676" w:rsidRPr="00881BD2">
        <w:t>re-submission</w:t>
      </w:r>
      <w:r w:rsidRPr="00881BD2">
        <w:t xml:space="preserve">, the comparison of </w:t>
      </w:r>
      <w:proofErr w:type="spellStart"/>
      <w:r w:rsidRPr="00881BD2">
        <w:t>obinutuzumab</w:t>
      </w:r>
      <w:proofErr w:type="spellEnd"/>
      <w:r w:rsidRPr="00881BD2">
        <w:t xml:space="preserve"> plus chlorambucil and rituximab plus chlorambucil </w:t>
      </w:r>
      <w:r w:rsidR="00016AD1" w:rsidRPr="008048AF">
        <w:rPr>
          <w:szCs w:val="22"/>
        </w:rPr>
        <w:t xml:space="preserve">over a median follow-up of </w:t>
      </w:r>
      <w:r w:rsidR="00016AD1">
        <w:rPr>
          <w:szCs w:val="22"/>
        </w:rPr>
        <w:t>27.3</w:t>
      </w:r>
      <w:r w:rsidR="00016AD1" w:rsidRPr="008048AF">
        <w:rPr>
          <w:szCs w:val="22"/>
        </w:rPr>
        <w:t xml:space="preserve"> months</w:t>
      </w:r>
      <w:r w:rsidR="00016AD1">
        <w:rPr>
          <w:szCs w:val="22"/>
        </w:rPr>
        <w:t xml:space="preserve">, </w:t>
      </w:r>
      <w:r w:rsidRPr="00881BD2">
        <w:t>resulted in:</w:t>
      </w:r>
    </w:p>
    <w:p w:rsidR="00726F0B" w:rsidRDefault="00016AD1" w:rsidP="00726F0B">
      <w:pPr>
        <w:pStyle w:val="ListParagraph"/>
        <w:widowControl/>
        <w:numPr>
          <w:ilvl w:val="0"/>
          <w:numId w:val="3"/>
        </w:numPr>
        <w:ind w:left="993"/>
      </w:pPr>
      <w:r w:rsidRPr="008048AF">
        <w:rPr>
          <w:szCs w:val="22"/>
        </w:rPr>
        <w:t>A</w:t>
      </w:r>
      <w:r>
        <w:rPr>
          <w:szCs w:val="22"/>
        </w:rPr>
        <w:t>n improvement in median PFS of</w:t>
      </w:r>
      <w:r w:rsidRPr="00881BD2" w:rsidDel="00016AD1">
        <w:t xml:space="preserve"> </w:t>
      </w:r>
      <w:r>
        <w:t>a</w:t>
      </w:r>
      <w:r w:rsidR="00726F0B" w:rsidRPr="00881BD2">
        <w:t>pproximately 13.8 months,</w:t>
      </w:r>
    </w:p>
    <w:p w:rsidR="00016AD1" w:rsidRPr="00881BD2" w:rsidRDefault="00016AD1" w:rsidP="00726F0B">
      <w:pPr>
        <w:pStyle w:val="ListParagraph"/>
        <w:widowControl/>
        <w:numPr>
          <w:ilvl w:val="0"/>
          <w:numId w:val="3"/>
        </w:numPr>
        <w:ind w:left="993"/>
      </w:pPr>
      <w:r>
        <w:rPr>
          <w:szCs w:val="22"/>
        </w:rPr>
        <w:t>Approximately 29 fewer patients per 100 having progressed,</w:t>
      </w:r>
    </w:p>
    <w:p w:rsidR="00726F0B" w:rsidRPr="00881BD2" w:rsidRDefault="00726F0B" w:rsidP="00726F0B">
      <w:pPr>
        <w:pStyle w:val="ListParagraph"/>
        <w:widowControl/>
        <w:numPr>
          <w:ilvl w:val="0"/>
          <w:numId w:val="3"/>
        </w:numPr>
        <w:ind w:left="993"/>
      </w:pPr>
      <w:r w:rsidRPr="00881BD2">
        <w:t>Approximately 13 fewer patients per 100 patients requiring a re-treatment</w:t>
      </w:r>
      <w:r w:rsidR="00926930" w:rsidRPr="00881BD2">
        <w:t>,</w:t>
      </w:r>
    </w:p>
    <w:p w:rsidR="00236372" w:rsidRPr="00881BD2" w:rsidRDefault="00236372" w:rsidP="00726F0B">
      <w:pPr>
        <w:pStyle w:val="ListParagraph"/>
        <w:widowControl/>
        <w:numPr>
          <w:ilvl w:val="0"/>
          <w:numId w:val="3"/>
        </w:numPr>
        <w:ind w:left="993"/>
      </w:pPr>
      <w:r w:rsidRPr="00881BD2">
        <w:t>No differences in overall survival.</w:t>
      </w:r>
    </w:p>
    <w:p w:rsidR="00726F0B" w:rsidRPr="00881BD2" w:rsidRDefault="00726F0B" w:rsidP="00726F0B">
      <w:pPr>
        <w:pStyle w:val="ListParagraph"/>
        <w:widowControl/>
        <w:rPr>
          <w:szCs w:val="22"/>
        </w:rPr>
      </w:pPr>
    </w:p>
    <w:p w:rsidR="00726F0B" w:rsidRPr="00881BD2" w:rsidRDefault="00726F0B" w:rsidP="00726F0B">
      <w:pPr>
        <w:pStyle w:val="ListParagraph"/>
        <w:widowControl/>
        <w:rPr>
          <w:szCs w:val="22"/>
        </w:rPr>
      </w:pPr>
      <w:r w:rsidRPr="00881BD2">
        <w:t xml:space="preserve">On the basis of direct evidence presented by the </w:t>
      </w:r>
      <w:r w:rsidR="00960676" w:rsidRPr="00881BD2">
        <w:t>re-submission</w:t>
      </w:r>
      <w:r w:rsidRPr="00881BD2">
        <w:t xml:space="preserve">, for every 100 patients treated with </w:t>
      </w:r>
      <w:proofErr w:type="spellStart"/>
      <w:r w:rsidRPr="00881BD2">
        <w:t>obinutuzumab</w:t>
      </w:r>
      <w:proofErr w:type="spellEnd"/>
      <w:r w:rsidRPr="00881BD2">
        <w:t xml:space="preserve"> plus chlorambucil, in comparison to rituximab plus chlorambucil, over a median duration of follow-up of 27.3 months</w:t>
      </w:r>
    </w:p>
    <w:p w:rsidR="00726F0B" w:rsidRDefault="00726F0B" w:rsidP="00726F0B">
      <w:pPr>
        <w:pStyle w:val="ListParagraph"/>
        <w:widowControl/>
        <w:numPr>
          <w:ilvl w:val="0"/>
          <w:numId w:val="4"/>
        </w:numPr>
        <w:ind w:left="993" w:hanging="284"/>
      </w:pPr>
      <w:r w:rsidRPr="00881BD2">
        <w:t xml:space="preserve">Approximately 16 additional patients would have </w:t>
      </w:r>
      <w:r w:rsidR="006573AC">
        <w:t xml:space="preserve">Grade 3-5 </w:t>
      </w:r>
      <w:r w:rsidRPr="00881BD2">
        <w:t>infusion-related reactions,</w:t>
      </w:r>
    </w:p>
    <w:p w:rsidR="00016AD1" w:rsidRPr="00881BD2" w:rsidRDefault="00016AD1" w:rsidP="00726F0B">
      <w:pPr>
        <w:pStyle w:val="ListParagraph"/>
        <w:widowControl/>
        <w:numPr>
          <w:ilvl w:val="0"/>
          <w:numId w:val="4"/>
        </w:numPr>
        <w:ind w:left="993" w:hanging="284"/>
      </w:pPr>
      <w:r w:rsidRPr="006573AC">
        <w:rPr>
          <w:szCs w:val="22"/>
        </w:rPr>
        <w:t>Approximately 7</w:t>
      </w:r>
      <w:r w:rsidRPr="00996676">
        <w:rPr>
          <w:szCs w:val="22"/>
        </w:rPr>
        <w:t xml:space="preserve"> additional episodes of grade 4 neutropenia</w:t>
      </w:r>
      <w:r w:rsidRPr="00994A26">
        <w:rPr>
          <w:szCs w:val="22"/>
        </w:rPr>
        <w:t xml:space="preserve"> </w:t>
      </w:r>
      <w:r>
        <w:rPr>
          <w:szCs w:val="22"/>
        </w:rPr>
        <w:t xml:space="preserve">but no </w:t>
      </w:r>
      <w:r w:rsidRPr="00AE57C9">
        <w:rPr>
          <w:szCs w:val="22"/>
        </w:rPr>
        <w:t>additional episodes</w:t>
      </w:r>
      <w:r>
        <w:rPr>
          <w:szCs w:val="22"/>
        </w:rPr>
        <w:t xml:space="preserve"> of</w:t>
      </w:r>
      <w:r w:rsidRPr="00AE57C9">
        <w:rPr>
          <w:szCs w:val="22"/>
        </w:rPr>
        <w:t xml:space="preserve"> infection (all-Grade</w:t>
      </w:r>
      <w:r>
        <w:rPr>
          <w:szCs w:val="22"/>
        </w:rPr>
        <w:t xml:space="preserve"> infection)</w:t>
      </w:r>
    </w:p>
    <w:p w:rsidR="00726F0B" w:rsidRPr="00881BD2" w:rsidRDefault="00726F0B" w:rsidP="00726F0B">
      <w:pPr>
        <w:pStyle w:val="ListParagraph"/>
        <w:widowControl/>
        <w:numPr>
          <w:ilvl w:val="0"/>
          <w:numId w:val="4"/>
        </w:numPr>
        <w:ind w:left="993" w:hanging="284"/>
      </w:pPr>
      <w:r w:rsidRPr="00881BD2">
        <w:t xml:space="preserve">Approximately 7 additional patients would have </w:t>
      </w:r>
      <w:r w:rsidR="00016AD1">
        <w:t xml:space="preserve">Grade 3- </w:t>
      </w:r>
      <w:proofErr w:type="gramStart"/>
      <w:r w:rsidR="006573AC">
        <w:t>4</w:t>
      </w:r>
      <w:r w:rsidR="00016AD1">
        <w:t xml:space="preserve"> </w:t>
      </w:r>
      <w:r w:rsidRPr="00881BD2">
        <w:t>thrombocytopenia</w:t>
      </w:r>
      <w:proofErr w:type="gramEnd"/>
      <w:r w:rsidRPr="00881BD2">
        <w:t>.</w:t>
      </w:r>
    </w:p>
    <w:p w:rsidR="00726F0B" w:rsidRPr="00881BD2" w:rsidRDefault="00726F0B" w:rsidP="00726F0B">
      <w:pPr>
        <w:pStyle w:val="ListParagraph"/>
        <w:rPr>
          <w:szCs w:val="22"/>
        </w:rPr>
      </w:pPr>
    </w:p>
    <w:p w:rsidR="00726F0B" w:rsidRPr="00881BD2" w:rsidRDefault="00726F0B" w:rsidP="006305C9">
      <w:pPr>
        <w:pStyle w:val="ListParagraph"/>
        <w:keepNext/>
        <w:keepLines/>
        <w:widowControl/>
        <w:numPr>
          <w:ilvl w:val="1"/>
          <w:numId w:val="15"/>
        </w:numPr>
        <w:rPr>
          <w:szCs w:val="22"/>
        </w:rPr>
      </w:pPr>
      <w:r w:rsidRPr="00881BD2">
        <w:rPr>
          <w:szCs w:val="22"/>
        </w:rPr>
        <w:t xml:space="preserve">A summary of the comparative benefits and harms for </w:t>
      </w:r>
      <w:proofErr w:type="spellStart"/>
      <w:r w:rsidRPr="00881BD2">
        <w:rPr>
          <w:szCs w:val="22"/>
        </w:rPr>
        <w:t>obinutuzumab</w:t>
      </w:r>
      <w:proofErr w:type="spellEnd"/>
      <w:r w:rsidRPr="00881BD2">
        <w:rPr>
          <w:szCs w:val="22"/>
        </w:rPr>
        <w:t xml:space="preserve"> plus chlorambucil versus and ofatumumab plus chlorambucil is presented in </w:t>
      </w:r>
      <w:r w:rsidR="00F9299D">
        <w:rPr>
          <w:szCs w:val="22"/>
        </w:rPr>
        <w:t>the table below</w:t>
      </w:r>
      <w:r w:rsidRPr="00881BD2">
        <w:rPr>
          <w:szCs w:val="22"/>
        </w:rPr>
        <w:t>.</w:t>
      </w:r>
    </w:p>
    <w:p w:rsidR="00452B9E" w:rsidRDefault="00452B9E">
      <w:pPr>
        <w:widowControl/>
        <w:jc w:val="left"/>
        <w:rPr>
          <w:rStyle w:val="CommentReference"/>
        </w:rPr>
      </w:pPr>
    </w:p>
    <w:p w:rsidR="00726F0B" w:rsidRPr="00881BD2" w:rsidRDefault="005A2F09" w:rsidP="002F007F">
      <w:pPr>
        <w:keepNext/>
        <w:keepLines/>
        <w:ind w:left="720"/>
        <w:rPr>
          <w:rStyle w:val="CommentReference"/>
        </w:rPr>
      </w:pPr>
      <w:r>
        <w:rPr>
          <w:rStyle w:val="CommentReference"/>
        </w:rPr>
        <w:lastRenderedPageBreak/>
        <w:t xml:space="preserve">Table 5: </w:t>
      </w:r>
      <w:r w:rsidR="005B4AB6">
        <w:rPr>
          <w:rStyle w:val="CommentReference"/>
        </w:rPr>
        <w:t xml:space="preserve">Summary of benefits and harms for </w:t>
      </w:r>
      <w:proofErr w:type="spellStart"/>
      <w:r w:rsidR="005B4AB6">
        <w:rPr>
          <w:rStyle w:val="CommentReference"/>
        </w:rPr>
        <w:t>obinutuzumab</w:t>
      </w:r>
      <w:proofErr w:type="spellEnd"/>
      <w:r w:rsidR="005B4AB6">
        <w:rPr>
          <w:rStyle w:val="CommentReference"/>
        </w:rPr>
        <w:t xml:space="preserve"> plus chlorambucil and ofatumumab plus chlorambucil based on an indirect comparison</w:t>
      </w:r>
    </w:p>
    <w:tbl>
      <w:tblPr>
        <w:tblStyle w:val="TableGrid1"/>
        <w:tblW w:w="4621" w:type="pct"/>
        <w:tblInd w:w="705" w:type="dxa"/>
        <w:tblLayout w:type="fixed"/>
        <w:tblCellMar>
          <w:left w:w="28" w:type="dxa"/>
          <w:right w:w="28" w:type="dxa"/>
        </w:tblCellMar>
        <w:tblLook w:val="04A0" w:firstRow="1" w:lastRow="0" w:firstColumn="1" w:lastColumn="0" w:noHBand="0" w:noVBand="1"/>
      </w:tblPr>
      <w:tblGrid>
        <w:gridCol w:w="1449"/>
        <w:gridCol w:w="282"/>
        <w:gridCol w:w="568"/>
        <w:gridCol w:w="710"/>
        <w:gridCol w:w="136"/>
        <w:gridCol w:w="813"/>
        <w:gridCol w:w="606"/>
        <w:gridCol w:w="289"/>
        <w:gridCol w:w="851"/>
        <w:gridCol w:w="134"/>
        <w:gridCol w:w="576"/>
        <w:gridCol w:w="700"/>
        <w:gridCol w:w="321"/>
        <w:gridCol w:w="960"/>
      </w:tblGrid>
      <w:tr w:rsidR="00726F0B" w:rsidRPr="00881BD2" w:rsidTr="00F9299D">
        <w:trPr>
          <w:trHeight w:val="20"/>
        </w:trPr>
        <w:tc>
          <w:tcPr>
            <w:tcW w:w="5000" w:type="pct"/>
            <w:gridSpan w:val="14"/>
            <w:shd w:val="clear" w:color="auto" w:fill="auto"/>
            <w:vAlign w:val="center"/>
          </w:tcPr>
          <w:p w:rsidR="00726F0B" w:rsidRPr="00881BD2" w:rsidRDefault="00726F0B" w:rsidP="002F007F">
            <w:pPr>
              <w:keepNext/>
              <w:keepLines/>
              <w:rPr>
                <w:rFonts w:ascii="Arial Narrow" w:hAnsi="Arial Narrow"/>
                <w:b/>
                <w:color w:val="000000"/>
                <w:sz w:val="20"/>
                <w:szCs w:val="18"/>
              </w:rPr>
            </w:pPr>
            <w:r w:rsidRPr="00881BD2">
              <w:rPr>
                <w:rFonts w:ascii="Arial Narrow" w:hAnsi="Arial Narrow"/>
                <w:b/>
                <w:color w:val="000000"/>
                <w:sz w:val="20"/>
                <w:szCs w:val="18"/>
              </w:rPr>
              <w:t>Benefits</w:t>
            </w:r>
          </w:p>
        </w:tc>
      </w:tr>
      <w:tr w:rsidR="00726F0B" w:rsidRPr="00881BD2" w:rsidTr="00F9299D">
        <w:trPr>
          <w:trHeight w:val="20"/>
        </w:trPr>
        <w:tc>
          <w:tcPr>
            <w:tcW w:w="1031" w:type="pct"/>
            <w:gridSpan w:val="2"/>
            <w:shd w:val="clear" w:color="auto" w:fill="auto"/>
            <w:vAlign w:val="center"/>
          </w:tcPr>
          <w:p w:rsidR="00726F0B" w:rsidRPr="00881BD2" w:rsidRDefault="00726F0B" w:rsidP="002F007F">
            <w:pPr>
              <w:keepNext/>
              <w:keepLines/>
              <w:jc w:val="center"/>
              <w:rPr>
                <w:rFonts w:ascii="Arial Narrow" w:hAnsi="Arial Narrow"/>
                <w:color w:val="000000"/>
                <w:sz w:val="20"/>
                <w:szCs w:val="18"/>
              </w:rPr>
            </w:pPr>
          </w:p>
        </w:tc>
        <w:tc>
          <w:tcPr>
            <w:tcW w:w="842" w:type="pct"/>
            <w:gridSpan w:val="3"/>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OBI +CLB</w:t>
            </w:r>
          </w:p>
        </w:tc>
        <w:tc>
          <w:tcPr>
            <w:tcW w:w="845" w:type="pct"/>
            <w:gridSpan w:val="2"/>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CLB</w:t>
            </w:r>
          </w:p>
        </w:tc>
        <w:tc>
          <w:tcPr>
            <w:tcW w:w="759" w:type="pct"/>
            <w:gridSpan w:val="3"/>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OFA + CLB</w:t>
            </w:r>
          </w:p>
        </w:tc>
        <w:tc>
          <w:tcPr>
            <w:tcW w:w="760" w:type="pct"/>
            <w:gridSpan w:val="2"/>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Absolute Difference</w:t>
            </w:r>
          </w:p>
        </w:tc>
        <w:tc>
          <w:tcPr>
            <w:tcW w:w="764" w:type="pct"/>
            <w:gridSpan w:val="2"/>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HR (95% CI)</w:t>
            </w:r>
          </w:p>
        </w:tc>
      </w:tr>
      <w:tr w:rsidR="00726F0B" w:rsidRPr="00881BD2" w:rsidTr="00F9299D">
        <w:trPr>
          <w:trHeight w:val="20"/>
        </w:trPr>
        <w:tc>
          <w:tcPr>
            <w:tcW w:w="5000" w:type="pct"/>
            <w:gridSpan w:val="14"/>
            <w:shd w:val="clear" w:color="auto" w:fill="auto"/>
            <w:vAlign w:val="center"/>
          </w:tcPr>
          <w:p w:rsidR="00726F0B" w:rsidRPr="00881BD2" w:rsidRDefault="00726F0B" w:rsidP="002F007F">
            <w:pPr>
              <w:keepNext/>
              <w:keepLines/>
              <w:jc w:val="left"/>
              <w:rPr>
                <w:rFonts w:ascii="Arial Narrow" w:hAnsi="Arial Narrow"/>
                <w:b/>
                <w:sz w:val="20"/>
              </w:rPr>
            </w:pPr>
            <w:r w:rsidRPr="00881BD2">
              <w:rPr>
                <w:rFonts w:ascii="Arial Narrow" w:hAnsi="Arial Narrow"/>
                <w:b/>
                <w:color w:val="000000"/>
                <w:sz w:val="20"/>
                <w:szCs w:val="18"/>
              </w:rPr>
              <w:t>Progression free survival</w:t>
            </w:r>
          </w:p>
        </w:tc>
      </w:tr>
      <w:tr w:rsidR="00726F0B" w:rsidRPr="00881BD2" w:rsidTr="00F9299D">
        <w:trPr>
          <w:trHeight w:val="20"/>
        </w:trPr>
        <w:tc>
          <w:tcPr>
            <w:tcW w:w="1031" w:type="pct"/>
            <w:gridSpan w:val="2"/>
            <w:shd w:val="clear" w:color="auto" w:fill="auto"/>
            <w:vAlign w:val="center"/>
          </w:tcPr>
          <w:p w:rsidR="00726F0B" w:rsidRPr="00881BD2" w:rsidRDefault="00726F0B" w:rsidP="002F007F">
            <w:pPr>
              <w:keepNext/>
              <w:keepLines/>
              <w:rPr>
                <w:rFonts w:ascii="Arial Narrow" w:hAnsi="Arial Narrow"/>
                <w:color w:val="000000"/>
                <w:sz w:val="20"/>
                <w:szCs w:val="18"/>
              </w:rPr>
            </w:pPr>
            <w:r w:rsidRPr="00881BD2">
              <w:rPr>
                <w:rFonts w:ascii="Arial Narrow" w:hAnsi="Arial Narrow"/>
                <w:color w:val="000000"/>
                <w:sz w:val="20"/>
                <w:szCs w:val="18"/>
              </w:rPr>
              <w:t>Progressed</w:t>
            </w:r>
          </w:p>
        </w:tc>
        <w:tc>
          <w:tcPr>
            <w:tcW w:w="842" w:type="pct"/>
            <w:gridSpan w:val="3"/>
            <w:vAlign w:val="center"/>
          </w:tcPr>
          <w:p w:rsidR="00726F0B" w:rsidRPr="00881BD2" w:rsidRDefault="00726F0B" w:rsidP="002F007F">
            <w:pPr>
              <w:keepNext/>
              <w:keepLines/>
              <w:jc w:val="center"/>
              <w:rPr>
                <w:rFonts w:ascii="Arial Narrow" w:hAnsi="Arial Narrow"/>
                <w:sz w:val="20"/>
                <w:szCs w:val="18"/>
              </w:rPr>
            </w:pPr>
          </w:p>
        </w:tc>
        <w:tc>
          <w:tcPr>
            <w:tcW w:w="845" w:type="pct"/>
            <w:gridSpan w:val="2"/>
            <w:vAlign w:val="center"/>
          </w:tcPr>
          <w:p w:rsidR="00726F0B" w:rsidRPr="00881BD2" w:rsidRDefault="00726F0B" w:rsidP="002F007F">
            <w:pPr>
              <w:keepNext/>
              <w:keepLines/>
              <w:jc w:val="center"/>
              <w:rPr>
                <w:rFonts w:ascii="Arial Narrow" w:hAnsi="Arial Narrow"/>
                <w:sz w:val="20"/>
                <w:szCs w:val="18"/>
              </w:rPr>
            </w:pPr>
          </w:p>
        </w:tc>
        <w:tc>
          <w:tcPr>
            <w:tcW w:w="759" w:type="pct"/>
            <w:gridSpan w:val="3"/>
            <w:vAlign w:val="center"/>
          </w:tcPr>
          <w:p w:rsidR="00726F0B" w:rsidRPr="00881BD2" w:rsidRDefault="00726F0B" w:rsidP="002F007F">
            <w:pPr>
              <w:keepNext/>
              <w:keepLines/>
              <w:jc w:val="center"/>
              <w:rPr>
                <w:rFonts w:ascii="Arial Narrow" w:hAnsi="Arial Narrow"/>
                <w:color w:val="000000"/>
                <w:sz w:val="20"/>
                <w:szCs w:val="18"/>
              </w:rPr>
            </w:pPr>
          </w:p>
        </w:tc>
        <w:tc>
          <w:tcPr>
            <w:tcW w:w="760" w:type="pct"/>
            <w:gridSpan w:val="2"/>
            <w:vAlign w:val="center"/>
          </w:tcPr>
          <w:p w:rsidR="00726F0B" w:rsidRPr="00881BD2"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881BD2" w:rsidRDefault="00726F0B" w:rsidP="002F007F">
            <w:pPr>
              <w:keepNext/>
              <w:keepLines/>
              <w:jc w:val="center"/>
              <w:rPr>
                <w:rFonts w:ascii="Arial Narrow" w:hAnsi="Arial Narrow"/>
                <w:sz w:val="20"/>
              </w:rPr>
            </w:pP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CLL-11</w:t>
            </w:r>
          </w:p>
        </w:tc>
        <w:tc>
          <w:tcPr>
            <w:tcW w:w="842" w:type="pct"/>
            <w:gridSpan w:val="3"/>
            <w:vAlign w:val="center"/>
          </w:tcPr>
          <w:p w:rsidR="00726F0B" w:rsidRPr="005079C4" w:rsidRDefault="005079C4" w:rsidP="002F007F">
            <w:pPr>
              <w:keepNext/>
              <w:keepLines/>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845" w:type="pct"/>
            <w:gridSpan w:val="2"/>
            <w:vAlign w:val="center"/>
          </w:tcPr>
          <w:p w:rsidR="00726F0B" w:rsidRPr="005079C4" w:rsidRDefault="005079C4" w:rsidP="002F007F">
            <w:pPr>
              <w:keepNext/>
              <w:keepLines/>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759"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olor w:val="000000"/>
                <w:sz w:val="20"/>
                <w:szCs w:val="18"/>
              </w:rPr>
              <w:t>-</w:t>
            </w:r>
          </w:p>
        </w:tc>
        <w:tc>
          <w:tcPr>
            <w:tcW w:w="764" w:type="pct"/>
            <w:gridSpan w:val="2"/>
            <w:vAlign w:val="center"/>
          </w:tcPr>
          <w:p w:rsidR="00726F0B" w:rsidRPr="00793EF3" w:rsidRDefault="00726F0B" w:rsidP="002F007F">
            <w:pPr>
              <w:keepNext/>
              <w:keepLines/>
              <w:jc w:val="center"/>
              <w:rPr>
                <w:rFonts w:ascii="Arial Narrow" w:hAnsi="Arial Narrow"/>
                <w:b/>
                <w:color w:val="000000"/>
                <w:sz w:val="20"/>
                <w:szCs w:val="18"/>
              </w:rPr>
            </w:pPr>
            <w:r w:rsidRPr="00793EF3">
              <w:rPr>
                <w:rFonts w:ascii="Arial Narrow" w:hAnsi="Arial Narrow" w:cs="Times New Roman"/>
                <w:b/>
                <w:snapToGrid/>
                <w:sz w:val="20"/>
                <w:lang w:eastAsia="en-AU"/>
              </w:rPr>
              <w:t>0.18 (0.14, 0.24)</w:t>
            </w: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COMPLEMENT-1</w:t>
            </w:r>
          </w:p>
        </w:tc>
        <w:tc>
          <w:tcPr>
            <w:tcW w:w="842"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845" w:type="pct"/>
            <w:gridSpan w:val="2"/>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olor w:val="000000"/>
                <w:sz w:val="20"/>
                <w:szCs w:val="18"/>
              </w:rPr>
              <w:t>151/226</w:t>
            </w:r>
          </w:p>
        </w:tc>
        <w:tc>
          <w:tcPr>
            <w:tcW w:w="759" w:type="pct"/>
            <w:gridSpan w:val="3"/>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olor w:val="000000"/>
                <w:sz w:val="20"/>
                <w:szCs w:val="18"/>
              </w:rPr>
              <w:t>136/221</w:t>
            </w: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793EF3" w:rsidRDefault="00726F0B" w:rsidP="002F007F">
            <w:pPr>
              <w:keepNext/>
              <w:keepLines/>
              <w:jc w:val="center"/>
              <w:rPr>
                <w:rFonts w:ascii="Arial Narrow" w:hAnsi="Arial Narrow"/>
                <w:b/>
                <w:color w:val="000000"/>
                <w:sz w:val="20"/>
                <w:szCs w:val="18"/>
              </w:rPr>
            </w:pPr>
            <w:r w:rsidRPr="00793EF3">
              <w:rPr>
                <w:rFonts w:ascii="Arial Narrow" w:hAnsi="Arial Narrow" w:cs="Times New Roman"/>
                <w:b/>
                <w:snapToGrid/>
                <w:sz w:val="20"/>
                <w:lang w:eastAsia="en-AU"/>
              </w:rPr>
              <w:t>0.57 (0.45, 0.72)</w:t>
            </w: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Indirect comparison</w:t>
            </w:r>
          </w:p>
        </w:tc>
        <w:tc>
          <w:tcPr>
            <w:tcW w:w="842"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845"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59"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s="Times New Roman"/>
                <w:b/>
                <w:snapToGrid/>
                <w:sz w:val="20"/>
                <w:lang w:eastAsia="en-AU"/>
              </w:rPr>
              <w:t>0.32 (0.22, 0.45)</w:t>
            </w: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rPr>
                <w:rFonts w:ascii="Arial Narrow" w:hAnsi="Arial Narrow"/>
                <w:color w:val="000000"/>
                <w:sz w:val="20"/>
                <w:szCs w:val="18"/>
              </w:rPr>
            </w:pPr>
            <w:r w:rsidRPr="00793EF3">
              <w:rPr>
                <w:rFonts w:ascii="Arial Narrow" w:hAnsi="Arial Narrow"/>
                <w:color w:val="000000"/>
                <w:sz w:val="20"/>
                <w:szCs w:val="18"/>
              </w:rPr>
              <w:t>Median PFS (</w:t>
            </w:r>
            <w:proofErr w:type="spellStart"/>
            <w:r w:rsidRPr="00793EF3">
              <w:rPr>
                <w:rFonts w:ascii="Arial Narrow" w:hAnsi="Arial Narrow"/>
                <w:color w:val="000000"/>
                <w:sz w:val="20"/>
                <w:szCs w:val="18"/>
              </w:rPr>
              <w:t>mths</w:t>
            </w:r>
            <w:proofErr w:type="spellEnd"/>
            <w:r w:rsidRPr="00793EF3">
              <w:rPr>
                <w:rFonts w:ascii="Arial Narrow" w:hAnsi="Arial Narrow"/>
                <w:color w:val="000000"/>
                <w:sz w:val="20"/>
                <w:szCs w:val="18"/>
              </w:rPr>
              <w:t>)</w:t>
            </w:r>
          </w:p>
        </w:tc>
        <w:tc>
          <w:tcPr>
            <w:tcW w:w="842"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845" w:type="pct"/>
            <w:gridSpan w:val="2"/>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59"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793EF3" w:rsidRDefault="00726F0B" w:rsidP="002F007F">
            <w:pPr>
              <w:keepNext/>
              <w:keepLines/>
              <w:jc w:val="center"/>
              <w:rPr>
                <w:rFonts w:ascii="Arial Narrow" w:hAnsi="Arial Narrow"/>
                <w:color w:val="000000"/>
                <w:sz w:val="20"/>
                <w:szCs w:val="18"/>
              </w:rPr>
            </w:pP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CLL-11</w:t>
            </w:r>
          </w:p>
        </w:tc>
        <w:tc>
          <w:tcPr>
            <w:tcW w:w="842"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r w:rsidRPr="00793EF3">
              <w:rPr>
                <w:rFonts w:ascii="Arial Narrow" w:hAnsi="Arial Narrow" w:cs="Times New Roman"/>
                <w:snapToGrid/>
                <w:sz w:val="20"/>
                <w:lang w:eastAsia="en-AU"/>
              </w:rPr>
              <w:t xml:space="preserve">29.9 </w:t>
            </w:r>
            <w:r w:rsidR="005079C4">
              <w:rPr>
                <w:rFonts w:ascii="Arial Narrow" w:hAnsi="Arial Narrow" w:cs="Times New Roman"/>
                <w:noProof/>
                <w:snapToGrid/>
                <w:color w:val="000000"/>
                <w:sz w:val="20"/>
                <w:highlight w:val="black"/>
                <w:lang w:eastAsia="en-AU"/>
              </w:rPr>
              <w:t>''''''''''''' ''''''''''''</w:t>
            </w:r>
          </w:p>
        </w:tc>
        <w:tc>
          <w:tcPr>
            <w:tcW w:w="845" w:type="pct"/>
            <w:gridSpan w:val="2"/>
            <w:vAlign w:val="center"/>
          </w:tcPr>
          <w:p w:rsidR="00726F0B" w:rsidRPr="00793EF3" w:rsidRDefault="00726F0B" w:rsidP="002F007F">
            <w:pPr>
              <w:keepNext/>
              <w:keepLines/>
              <w:widowControl/>
              <w:jc w:val="center"/>
              <w:rPr>
                <w:rFonts w:ascii="Arial Narrow" w:hAnsi="Arial Narrow" w:cs="Times New Roman"/>
                <w:snapToGrid/>
                <w:sz w:val="20"/>
                <w:lang w:eastAsia="en-AU"/>
              </w:rPr>
            </w:pPr>
            <w:r w:rsidRPr="00793EF3">
              <w:rPr>
                <w:rFonts w:ascii="Arial Narrow" w:hAnsi="Arial Narrow" w:cs="Times New Roman"/>
                <w:snapToGrid/>
                <w:sz w:val="20"/>
                <w:lang w:eastAsia="en-AU"/>
              </w:rPr>
              <w:t xml:space="preserve">11.1 </w:t>
            </w:r>
            <w:r w:rsidR="005079C4">
              <w:rPr>
                <w:rFonts w:ascii="Arial Narrow" w:hAnsi="Arial Narrow" w:cs="Times New Roman"/>
                <w:noProof/>
                <w:snapToGrid/>
                <w:color w:val="000000"/>
                <w:sz w:val="20"/>
                <w:highlight w:val="black"/>
                <w:lang w:eastAsia="en-AU"/>
              </w:rPr>
              <w:t>''''''''''''' '''''''''''''</w:t>
            </w:r>
          </w:p>
        </w:tc>
        <w:tc>
          <w:tcPr>
            <w:tcW w:w="759"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olor w:val="000000"/>
                <w:sz w:val="20"/>
                <w:szCs w:val="18"/>
              </w:rPr>
              <w:t>18.8</w:t>
            </w:r>
          </w:p>
        </w:tc>
        <w:tc>
          <w:tcPr>
            <w:tcW w:w="764" w:type="pct"/>
            <w:gridSpan w:val="2"/>
            <w:vAlign w:val="center"/>
          </w:tcPr>
          <w:p w:rsidR="00726F0B" w:rsidRPr="00793EF3" w:rsidRDefault="00726F0B" w:rsidP="002F007F">
            <w:pPr>
              <w:keepNext/>
              <w:keepLines/>
              <w:jc w:val="center"/>
              <w:rPr>
                <w:rFonts w:ascii="Arial Narrow" w:hAnsi="Arial Narrow"/>
                <w:color w:val="000000"/>
                <w:sz w:val="20"/>
                <w:szCs w:val="18"/>
              </w:rPr>
            </w:pP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COMPLEMENT-1</w:t>
            </w:r>
          </w:p>
        </w:tc>
        <w:tc>
          <w:tcPr>
            <w:tcW w:w="842"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845" w:type="pct"/>
            <w:gridSpan w:val="2"/>
            <w:vAlign w:val="center"/>
          </w:tcPr>
          <w:p w:rsidR="00726F0B" w:rsidRPr="00793EF3" w:rsidRDefault="00726F0B" w:rsidP="002F007F">
            <w:pPr>
              <w:keepNext/>
              <w:keepLines/>
              <w:widowControl/>
              <w:jc w:val="center"/>
              <w:rPr>
                <w:rFonts w:ascii="Arial Narrow" w:hAnsi="Arial Narrow" w:cs="Times New Roman"/>
                <w:snapToGrid/>
                <w:sz w:val="20"/>
                <w:lang w:eastAsia="en-AU"/>
              </w:rPr>
            </w:pPr>
            <w:r w:rsidRPr="00793EF3">
              <w:rPr>
                <w:rFonts w:ascii="Arial Narrow" w:hAnsi="Arial Narrow" w:cs="Times New Roman"/>
                <w:snapToGrid/>
                <w:sz w:val="20"/>
                <w:lang w:eastAsia="en-AU"/>
              </w:rPr>
              <w:t>13.1 (10.6, 13.8)</w:t>
            </w:r>
          </w:p>
        </w:tc>
        <w:tc>
          <w:tcPr>
            <w:tcW w:w="759"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r w:rsidRPr="00793EF3">
              <w:rPr>
                <w:rFonts w:ascii="Arial Narrow" w:hAnsi="Arial Narrow" w:cs="Times New Roman"/>
                <w:snapToGrid/>
                <w:sz w:val="20"/>
                <w:lang w:eastAsia="en-AU"/>
              </w:rPr>
              <w:t>22.4 (19.0, 25.2)</w:t>
            </w: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olor w:val="000000"/>
                <w:sz w:val="20"/>
                <w:szCs w:val="18"/>
              </w:rPr>
              <w:t>9.3</w:t>
            </w:r>
          </w:p>
        </w:tc>
        <w:tc>
          <w:tcPr>
            <w:tcW w:w="764" w:type="pct"/>
            <w:gridSpan w:val="2"/>
            <w:vAlign w:val="center"/>
          </w:tcPr>
          <w:p w:rsidR="00726F0B" w:rsidRPr="00793EF3" w:rsidRDefault="00726F0B" w:rsidP="002F007F">
            <w:pPr>
              <w:keepNext/>
              <w:keepLines/>
              <w:jc w:val="center"/>
              <w:rPr>
                <w:rFonts w:ascii="Arial Narrow" w:hAnsi="Arial Narrow"/>
                <w:color w:val="000000"/>
                <w:sz w:val="20"/>
                <w:szCs w:val="18"/>
              </w:rPr>
            </w:pPr>
          </w:p>
        </w:tc>
      </w:tr>
      <w:tr w:rsidR="00726F0B" w:rsidRPr="00881BD2" w:rsidTr="00F9299D">
        <w:trPr>
          <w:trHeight w:val="20"/>
        </w:trPr>
        <w:tc>
          <w:tcPr>
            <w:tcW w:w="5000" w:type="pct"/>
            <w:gridSpan w:val="14"/>
            <w:shd w:val="clear" w:color="auto" w:fill="auto"/>
            <w:vAlign w:val="center"/>
          </w:tcPr>
          <w:p w:rsidR="00726F0B" w:rsidRPr="00793EF3" w:rsidRDefault="00726F0B" w:rsidP="002F007F">
            <w:pPr>
              <w:keepNext/>
              <w:keepLines/>
              <w:jc w:val="left"/>
              <w:rPr>
                <w:rFonts w:ascii="Arial Narrow" w:hAnsi="Arial Narrow"/>
                <w:b/>
                <w:color w:val="000000"/>
                <w:sz w:val="20"/>
                <w:szCs w:val="18"/>
              </w:rPr>
            </w:pPr>
            <w:r w:rsidRPr="00793EF3">
              <w:rPr>
                <w:rFonts w:ascii="Arial Narrow" w:hAnsi="Arial Narrow"/>
                <w:b/>
                <w:color w:val="000000"/>
                <w:sz w:val="20"/>
                <w:szCs w:val="18"/>
              </w:rPr>
              <w:t>Time to next treatment</w:t>
            </w: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rPr>
                <w:rFonts w:ascii="Arial Narrow" w:hAnsi="Arial Narrow"/>
                <w:color w:val="000000"/>
                <w:sz w:val="20"/>
                <w:szCs w:val="18"/>
              </w:rPr>
            </w:pPr>
            <w:r w:rsidRPr="00793EF3">
              <w:rPr>
                <w:rFonts w:ascii="Arial Narrow" w:hAnsi="Arial Narrow"/>
                <w:color w:val="000000"/>
                <w:sz w:val="20"/>
                <w:szCs w:val="18"/>
              </w:rPr>
              <w:t>Events</w:t>
            </w:r>
          </w:p>
        </w:tc>
        <w:tc>
          <w:tcPr>
            <w:tcW w:w="842"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845" w:type="pct"/>
            <w:gridSpan w:val="2"/>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59"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793EF3" w:rsidRDefault="00726F0B" w:rsidP="002F007F">
            <w:pPr>
              <w:keepNext/>
              <w:keepLines/>
              <w:jc w:val="center"/>
              <w:rPr>
                <w:rFonts w:ascii="Arial Narrow" w:hAnsi="Arial Narrow"/>
                <w:color w:val="000000"/>
                <w:sz w:val="20"/>
                <w:szCs w:val="18"/>
              </w:rPr>
            </w:pP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CLL-11</w:t>
            </w:r>
          </w:p>
        </w:tc>
        <w:tc>
          <w:tcPr>
            <w:tcW w:w="842" w:type="pct"/>
            <w:gridSpan w:val="3"/>
            <w:vAlign w:val="center"/>
          </w:tcPr>
          <w:p w:rsidR="00726F0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5" w:type="pct"/>
            <w:gridSpan w:val="2"/>
            <w:vAlign w:val="center"/>
          </w:tcPr>
          <w:p w:rsidR="00726F0B" w:rsidRPr="005079C4" w:rsidRDefault="005079C4" w:rsidP="002F007F">
            <w:pPr>
              <w:keepNext/>
              <w:keepLines/>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759"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5079C4" w:rsidRDefault="005079C4" w:rsidP="002F007F">
            <w:pPr>
              <w:keepNext/>
              <w:keepLines/>
              <w:jc w:val="center"/>
              <w:rPr>
                <w:rFonts w:ascii="Arial Narrow" w:hAnsi="Arial Narrow"/>
                <w:b/>
                <w:color w:val="000000"/>
                <w:sz w:val="20"/>
                <w:szCs w:val="18"/>
                <w:highlight w:val="black"/>
              </w:rPr>
            </w:pPr>
            <w:r>
              <w:rPr>
                <w:rFonts w:ascii="Arial Narrow" w:hAnsi="Arial Narrow" w:cs="Times New Roman"/>
                <w:b/>
                <w:noProof/>
                <w:snapToGrid/>
                <w:color w:val="000000"/>
                <w:sz w:val="20"/>
                <w:highlight w:val="black"/>
                <w:lang w:eastAsia="en-AU"/>
              </w:rPr>
              <w:t>'''''''' ''''''''''' '''''''''''</w:t>
            </w: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COMPLEMENT-1</w:t>
            </w:r>
          </w:p>
        </w:tc>
        <w:tc>
          <w:tcPr>
            <w:tcW w:w="842"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845" w:type="pct"/>
            <w:gridSpan w:val="2"/>
            <w:vAlign w:val="center"/>
          </w:tcPr>
          <w:p w:rsidR="00726F0B" w:rsidRPr="00793EF3" w:rsidRDefault="00726F0B" w:rsidP="002F007F">
            <w:pPr>
              <w:keepNext/>
              <w:keepLines/>
              <w:widowControl/>
              <w:jc w:val="center"/>
              <w:rPr>
                <w:rFonts w:ascii="Arial Narrow" w:hAnsi="Arial Narrow" w:cs="Times New Roman"/>
                <w:snapToGrid/>
                <w:sz w:val="20"/>
                <w:lang w:eastAsia="en-AU"/>
              </w:rPr>
            </w:pPr>
            <w:r w:rsidRPr="00793EF3">
              <w:rPr>
                <w:rFonts w:ascii="Arial Narrow" w:hAnsi="Arial Narrow" w:cs="Times New Roman"/>
                <w:snapToGrid/>
                <w:sz w:val="20"/>
                <w:lang w:eastAsia="en-AU"/>
              </w:rPr>
              <w:t>99/226</w:t>
            </w:r>
          </w:p>
        </w:tc>
        <w:tc>
          <w:tcPr>
            <w:tcW w:w="759"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r w:rsidRPr="00793EF3">
              <w:rPr>
                <w:rFonts w:ascii="Arial Narrow" w:hAnsi="Arial Narrow" w:cs="Times New Roman"/>
                <w:snapToGrid/>
                <w:sz w:val="20"/>
                <w:lang w:eastAsia="en-AU"/>
              </w:rPr>
              <w:t>64/221</w:t>
            </w: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793EF3" w:rsidRDefault="00726F0B" w:rsidP="002F007F">
            <w:pPr>
              <w:keepNext/>
              <w:keepLines/>
              <w:jc w:val="center"/>
              <w:rPr>
                <w:rFonts w:ascii="Arial Narrow" w:hAnsi="Arial Narrow"/>
                <w:b/>
                <w:color w:val="000000"/>
                <w:sz w:val="20"/>
                <w:szCs w:val="18"/>
              </w:rPr>
            </w:pPr>
            <w:r w:rsidRPr="00793EF3">
              <w:rPr>
                <w:rFonts w:ascii="Arial Narrow" w:hAnsi="Arial Narrow" w:cs="Times New Roman"/>
                <w:b/>
                <w:snapToGrid/>
                <w:sz w:val="20"/>
                <w:lang w:eastAsia="en-AU"/>
              </w:rPr>
              <w:t>0.49 (0.36, 0.67)</w:t>
            </w: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Indirect comparison</w:t>
            </w:r>
          </w:p>
        </w:tc>
        <w:tc>
          <w:tcPr>
            <w:tcW w:w="842"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845" w:type="pct"/>
            <w:gridSpan w:val="2"/>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59"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5079C4" w:rsidRDefault="005079C4" w:rsidP="002F007F">
            <w:pPr>
              <w:keepNext/>
              <w:keepLines/>
              <w:widowControl/>
              <w:jc w:val="center"/>
              <w:rPr>
                <w:rFonts w:ascii="Arial Narrow" w:hAnsi="Arial Narrow" w:cs="Times New Roman"/>
                <w:b/>
                <w:snapToGrid/>
                <w:sz w:val="20"/>
                <w:highlight w:val="black"/>
                <w:lang w:eastAsia="en-AU"/>
              </w:rPr>
            </w:pPr>
            <w:r>
              <w:rPr>
                <w:rFonts w:ascii="Arial Narrow" w:hAnsi="Arial Narrow" w:cs="Times New Roman"/>
                <w:b/>
                <w:noProof/>
                <w:snapToGrid/>
                <w:color w:val="000000"/>
                <w:sz w:val="20"/>
                <w:highlight w:val="black"/>
                <w:lang w:eastAsia="en-AU"/>
              </w:rPr>
              <w:t>'''''''' '''''''''''' ''''''''''</w:t>
            </w: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rPr>
                <w:rFonts w:ascii="Arial Narrow" w:hAnsi="Arial Narrow"/>
                <w:color w:val="000000"/>
                <w:sz w:val="20"/>
                <w:szCs w:val="18"/>
              </w:rPr>
            </w:pPr>
            <w:r w:rsidRPr="00793EF3">
              <w:rPr>
                <w:rFonts w:ascii="Arial Narrow" w:hAnsi="Arial Narrow"/>
                <w:color w:val="000000"/>
                <w:sz w:val="20"/>
                <w:szCs w:val="18"/>
              </w:rPr>
              <w:t>Median TTNT (</w:t>
            </w:r>
            <w:proofErr w:type="spellStart"/>
            <w:r w:rsidRPr="00793EF3">
              <w:rPr>
                <w:rFonts w:ascii="Arial Narrow" w:hAnsi="Arial Narrow"/>
                <w:color w:val="000000"/>
                <w:sz w:val="20"/>
                <w:szCs w:val="18"/>
              </w:rPr>
              <w:t>mths</w:t>
            </w:r>
            <w:proofErr w:type="spellEnd"/>
            <w:r w:rsidRPr="00793EF3">
              <w:rPr>
                <w:rFonts w:ascii="Arial Narrow" w:hAnsi="Arial Narrow"/>
                <w:color w:val="000000"/>
                <w:sz w:val="20"/>
                <w:szCs w:val="18"/>
              </w:rPr>
              <w:t>)</w:t>
            </w:r>
          </w:p>
        </w:tc>
        <w:tc>
          <w:tcPr>
            <w:tcW w:w="842"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845" w:type="pct"/>
            <w:gridSpan w:val="2"/>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59"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p>
        </w:tc>
        <w:tc>
          <w:tcPr>
            <w:tcW w:w="764" w:type="pct"/>
            <w:gridSpan w:val="2"/>
            <w:vAlign w:val="center"/>
          </w:tcPr>
          <w:p w:rsidR="00726F0B" w:rsidRPr="00793EF3" w:rsidRDefault="00726F0B" w:rsidP="002F007F">
            <w:pPr>
              <w:keepNext/>
              <w:keepLines/>
              <w:jc w:val="center"/>
              <w:rPr>
                <w:rFonts w:ascii="Arial Narrow" w:hAnsi="Arial Narrow"/>
                <w:color w:val="000000"/>
                <w:sz w:val="20"/>
                <w:szCs w:val="18"/>
              </w:rPr>
            </w:pP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CLL-11</w:t>
            </w:r>
          </w:p>
        </w:tc>
        <w:tc>
          <w:tcPr>
            <w:tcW w:w="842" w:type="pct"/>
            <w:gridSpan w:val="3"/>
            <w:vAlign w:val="center"/>
          </w:tcPr>
          <w:p w:rsidR="00726F0B" w:rsidRPr="005079C4" w:rsidRDefault="005079C4" w:rsidP="002F007F">
            <w:pPr>
              <w:keepNext/>
              <w:keepLines/>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 ''''''</w:t>
            </w:r>
          </w:p>
        </w:tc>
        <w:tc>
          <w:tcPr>
            <w:tcW w:w="845" w:type="pct"/>
            <w:gridSpan w:val="2"/>
            <w:vAlign w:val="center"/>
          </w:tcPr>
          <w:p w:rsidR="00726F0B" w:rsidRPr="005079C4" w:rsidRDefault="005079C4" w:rsidP="002F007F">
            <w:pPr>
              <w:keepNext/>
              <w:keepLines/>
              <w:widowControl/>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 ''''''''''''' '''''''''''''</w:t>
            </w:r>
          </w:p>
        </w:tc>
        <w:tc>
          <w:tcPr>
            <w:tcW w:w="759" w:type="pct"/>
            <w:gridSpan w:val="3"/>
            <w:vAlign w:val="center"/>
          </w:tcPr>
          <w:p w:rsidR="00726F0B" w:rsidRPr="00793EF3" w:rsidRDefault="00726F0B" w:rsidP="002F007F">
            <w:pPr>
              <w:keepNext/>
              <w:keepLines/>
              <w:widowControl/>
              <w:jc w:val="center"/>
              <w:rPr>
                <w:rFonts w:ascii="Arial Narrow" w:hAnsi="Arial Narrow" w:cs="Times New Roman"/>
                <w:snapToGrid/>
                <w:sz w:val="20"/>
                <w:lang w:eastAsia="en-AU"/>
              </w:rPr>
            </w:pPr>
          </w:p>
        </w:tc>
        <w:tc>
          <w:tcPr>
            <w:tcW w:w="760" w:type="pct"/>
            <w:gridSpan w:val="2"/>
            <w:vAlign w:val="center"/>
          </w:tcPr>
          <w:p w:rsidR="00726F0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64" w:type="pct"/>
            <w:gridSpan w:val="2"/>
            <w:vAlign w:val="center"/>
          </w:tcPr>
          <w:p w:rsidR="00726F0B" w:rsidRPr="00793EF3" w:rsidRDefault="00726F0B" w:rsidP="002F007F">
            <w:pPr>
              <w:keepNext/>
              <w:keepLines/>
              <w:jc w:val="center"/>
              <w:rPr>
                <w:rFonts w:ascii="Arial Narrow" w:hAnsi="Arial Narrow"/>
                <w:color w:val="000000"/>
                <w:sz w:val="20"/>
                <w:szCs w:val="18"/>
              </w:rPr>
            </w:pPr>
          </w:p>
        </w:tc>
      </w:tr>
      <w:tr w:rsidR="00726F0B" w:rsidRPr="00881BD2" w:rsidTr="00F9299D">
        <w:trPr>
          <w:trHeight w:val="20"/>
        </w:trPr>
        <w:tc>
          <w:tcPr>
            <w:tcW w:w="1031" w:type="pct"/>
            <w:gridSpan w:val="2"/>
            <w:shd w:val="clear" w:color="auto" w:fill="auto"/>
            <w:vAlign w:val="center"/>
          </w:tcPr>
          <w:p w:rsidR="00726F0B" w:rsidRPr="00793EF3" w:rsidRDefault="00726F0B" w:rsidP="002F007F">
            <w:pPr>
              <w:keepNext/>
              <w:keepLines/>
              <w:ind w:firstLine="146"/>
              <w:rPr>
                <w:rFonts w:ascii="Arial Narrow" w:hAnsi="Arial Narrow"/>
                <w:color w:val="000000"/>
                <w:sz w:val="20"/>
                <w:szCs w:val="18"/>
              </w:rPr>
            </w:pPr>
            <w:r w:rsidRPr="00793EF3">
              <w:rPr>
                <w:rFonts w:ascii="Arial Narrow" w:hAnsi="Arial Narrow"/>
                <w:color w:val="000000"/>
                <w:sz w:val="20"/>
                <w:szCs w:val="18"/>
              </w:rPr>
              <w:t>COMPLEMENT-1</w:t>
            </w:r>
          </w:p>
        </w:tc>
        <w:tc>
          <w:tcPr>
            <w:tcW w:w="842" w:type="pct"/>
            <w:gridSpan w:val="3"/>
            <w:vAlign w:val="center"/>
          </w:tcPr>
          <w:p w:rsidR="00726F0B" w:rsidRPr="00793EF3" w:rsidRDefault="00726F0B" w:rsidP="002F007F">
            <w:pPr>
              <w:keepNext/>
              <w:keepLines/>
              <w:jc w:val="center"/>
              <w:rPr>
                <w:rFonts w:ascii="Arial Narrow" w:hAnsi="Arial Narrow"/>
                <w:color w:val="000000"/>
                <w:sz w:val="20"/>
                <w:szCs w:val="18"/>
              </w:rPr>
            </w:pPr>
          </w:p>
        </w:tc>
        <w:tc>
          <w:tcPr>
            <w:tcW w:w="845" w:type="pct"/>
            <w:gridSpan w:val="2"/>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s="Times New Roman"/>
                <w:snapToGrid/>
                <w:sz w:val="20"/>
                <w:lang w:eastAsia="en-AU"/>
              </w:rPr>
              <w:t>24.7 (22.6, 29.1)</w:t>
            </w:r>
          </w:p>
        </w:tc>
        <w:tc>
          <w:tcPr>
            <w:tcW w:w="759" w:type="pct"/>
            <w:gridSpan w:val="3"/>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s="Times New Roman"/>
                <w:snapToGrid/>
                <w:sz w:val="20"/>
                <w:lang w:eastAsia="en-AU"/>
              </w:rPr>
              <w:t>39.8 (34.7, 48.8)</w:t>
            </w:r>
          </w:p>
        </w:tc>
        <w:tc>
          <w:tcPr>
            <w:tcW w:w="760" w:type="pct"/>
            <w:gridSpan w:val="2"/>
            <w:vAlign w:val="center"/>
          </w:tcPr>
          <w:p w:rsidR="00726F0B" w:rsidRPr="00793EF3" w:rsidRDefault="00726F0B" w:rsidP="002F007F">
            <w:pPr>
              <w:keepNext/>
              <w:keepLines/>
              <w:jc w:val="center"/>
              <w:rPr>
                <w:rFonts w:ascii="Arial Narrow" w:hAnsi="Arial Narrow"/>
                <w:color w:val="000000"/>
                <w:sz w:val="20"/>
                <w:szCs w:val="18"/>
              </w:rPr>
            </w:pPr>
            <w:r w:rsidRPr="00793EF3">
              <w:rPr>
                <w:rFonts w:ascii="Arial Narrow" w:hAnsi="Arial Narrow"/>
                <w:color w:val="000000"/>
                <w:sz w:val="20"/>
                <w:szCs w:val="18"/>
              </w:rPr>
              <w:t>15.1</w:t>
            </w:r>
          </w:p>
        </w:tc>
        <w:tc>
          <w:tcPr>
            <w:tcW w:w="764" w:type="pct"/>
            <w:gridSpan w:val="2"/>
            <w:vAlign w:val="center"/>
          </w:tcPr>
          <w:p w:rsidR="00726F0B" w:rsidRPr="00793EF3" w:rsidRDefault="00726F0B" w:rsidP="002F007F">
            <w:pPr>
              <w:keepNext/>
              <w:keepLines/>
              <w:jc w:val="center"/>
              <w:rPr>
                <w:rFonts w:ascii="Arial Narrow" w:hAnsi="Arial Narrow"/>
                <w:color w:val="000000"/>
                <w:sz w:val="20"/>
                <w:szCs w:val="18"/>
              </w:rPr>
            </w:pPr>
          </w:p>
        </w:tc>
      </w:tr>
      <w:tr w:rsidR="00726F0B" w:rsidRPr="00881BD2" w:rsidTr="00F9299D">
        <w:trPr>
          <w:trHeight w:val="20"/>
        </w:trPr>
        <w:tc>
          <w:tcPr>
            <w:tcW w:w="5000" w:type="pct"/>
            <w:gridSpan w:val="14"/>
            <w:tcBorders>
              <w:top w:val="double" w:sz="4" w:space="0" w:color="auto"/>
            </w:tcBorders>
            <w:shd w:val="clear" w:color="auto" w:fill="auto"/>
            <w:vAlign w:val="center"/>
          </w:tcPr>
          <w:p w:rsidR="00726F0B" w:rsidRPr="00881BD2" w:rsidRDefault="00726F0B" w:rsidP="002F007F">
            <w:pPr>
              <w:keepNext/>
              <w:keepLines/>
              <w:rPr>
                <w:rFonts w:ascii="Arial Narrow" w:hAnsi="Arial Narrow"/>
                <w:b/>
                <w:color w:val="000000"/>
                <w:sz w:val="20"/>
                <w:szCs w:val="18"/>
              </w:rPr>
            </w:pPr>
            <w:r w:rsidRPr="00881BD2">
              <w:rPr>
                <w:rFonts w:ascii="Arial Narrow" w:hAnsi="Arial Narrow"/>
                <w:b/>
                <w:color w:val="000000"/>
                <w:sz w:val="20"/>
                <w:szCs w:val="18"/>
              </w:rPr>
              <w:t xml:space="preserve">Harms </w:t>
            </w:r>
          </w:p>
        </w:tc>
      </w:tr>
      <w:tr w:rsidR="003C48B0" w:rsidRPr="00881BD2" w:rsidTr="00F9299D">
        <w:trPr>
          <w:trHeight w:val="20"/>
        </w:trPr>
        <w:tc>
          <w:tcPr>
            <w:tcW w:w="863" w:type="pct"/>
            <w:vMerge w:val="restart"/>
            <w:shd w:val="clear" w:color="auto" w:fill="auto"/>
            <w:vAlign w:val="center"/>
          </w:tcPr>
          <w:p w:rsidR="00726F0B" w:rsidRPr="00881BD2" w:rsidRDefault="00726F0B" w:rsidP="002F007F">
            <w:pPr>
              <w:keepNext/>
              <w:keepLines/>
              <w:rPr>
                <w:rFonts w:ascii="Arial Narrow" w:hAnsi="Arial Narrow"/>
                <w:b/>
                <w:color w:val="000000"/>
                <w:sz w:val="20"/>
                <w:szCs w:val="18"/>
              </w:rPr>
            </w:pPr>
          </w:p>
        </w:tc>
        <w:tc>
          <w:tcPr>
            <w:tcW w:w="506" w:type="pct"/>
            <w:gridSpan w:val="2"/>
            <w:vMerge w:val="restart"/>
            <w:vAlign w:val="center"/>
          </w:tcPr>
          <w:p w:rsidR="008D40C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OBI +CLB</w:t>
            </w:r>
          </w:p>
        </w:tc>
        <w:tc>
          <w:tcPr>
            <w:tcW w:w="423" w:type="pct"/>
            <w:vMerge w:val="restart"/>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CLB</w:t>
            </w:r>
          </w:p>
        </w:tc>
        <w:tc>
          <w:tcPr>
            <w:tcW w:w="565" w:type="pct"/>
            <w:gridSpan w:val="2"/>
            <w:vMerge w:val="restart"/>
            <w:vAlign w:val="center"/>
          </w:tcPr>
          <w:p w:rsidR="00726F0B" w:rsidRPr="00881BD2" w:rsidRDefault="003C48B0"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OFA +</w:t>
            </w:r>
            <w:r w:rsidR="00726F0B" w:rsidRPr="00881BD2">
              <w:rPr>
                <w:rFonts w:ascii="Arial Narrow" w:hAnsi="Arial Narrow"/>
                <w:b/>
                <w:color w:val="000000"/>
                <w:sz w:val="20"/>
                <w:szCs w:val="18"/>
              </w:rPr>
              <w:t>CLB</w:t>
            </w:r>
          </w:p>
        </w:tc>
        <w:tc>
          <w:tcPr>
            <w:tcW w:w="533" w:type="pct"/>
            <w:gridSpan w:val="2"/>
            <w:vMerge w:val="restart"/>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RR</w:t>
            </w:r>
          </w:p>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(95% CI)</w:t>
            </w:r>
          </w:p>
        </w:tc>
        <w:tc>
          <w:tcPr>
            <w:tcW w:w="1538" w:type="pct"/>
            <w:gridSpan w:val="5"/>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Event rate/100 patients</w:t>
            </w:r>
          </w:p>
        </w:tc>
        <w:tc>
          <w:tcPr>
            <w:tcW w:w="572" w:type="pct"/>
            <w:vMerge w:val="restart"/>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RD</w:t>
            </w:r>
          </w:p>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(95% CI)</w:t>
            </w:r>
          </w:p>
        </w:tc>
      </w:tr>
      <w:tr w:rsidR="003C48B0" w:rsidRPr="00881BD2" w:rsidTr="00F9299D">
        <w:trPr>
          <w:trHeight w:val="20"/>
        </w:trPr>
        <w:tc>
          <w:tcPr>
            <w:tcW w:w="863" w:type="pct"/>
            <w:vMerge/>
            <w:shd w:val="clear" w:color="auto" w:fill="auto"/>
            <w:vAlign w:val="center"/>
          </w:tcPr>
          <w:p w:rsidR="00726F0B" w:rsidRPr="00881BD2" w:rsidRDefault="00726F0B" w:rsidP="002F007F">
            <w:pPr>
              <w:keepNext/>
              <w:keepLines/>
              <w:rPr>
                <w:rFonts w:ascii="Arial Narrow" w:hAnsi="Arial Narrow"/>
                <w:b/>
                <w:color w:val="000000"/>
                <w:sz w:val="20"/>
                <w:szCs w:val="18"/>
              </w:rPr>
            </w:pPr>
          </w:p>
        </w:tc>
        <w:tc>
          <w:tcPr>
            <w:tcW w:w="506" w:type="pct"/>
            <w:gridSpan w:val="2"/>
            <w:vMerge/>
            <w:vAlign w:val="center"/>
          </w:tcPr>
          <w:p w:rsidR="00726F0B" w:rsidRPr="00881BD2" w:rsidRDefault="00726F0B" w:rsidP="002F007F">
            <w:pPr>
              <w:keepNext/>
              <w:keepLines/>
              <w:jc w:val="center"/>
              <w:rPr>
                <w:rFonts w:ascii="Arial Narrow" w:hAnsi="Arial Narrow"/>
                <w:b/>
                <w:color w:val="000000"/>
                <w:sz w:val="20"/>
                <w:szCs w:val="18"/>
              </w:rPr>
            </w:pPr>
          </w:p>
        </w:tc>
        <w:tc>
          <w:tcPr>
            <w:tcW w:w="423" w:type="pct"/>
            <w:vMerge/>
            <w:vAlign w:val="center"/>
          </w:tcPr>
          <w:p w:rsidR="00726F0B" w:rsidRPr="00881BD2" w:rsidRDefault="00726F0B" w:rsidP="002F007F">
            <w:pPr>
              <w:keepNext/>
              <w:keepLines/>
              <w:jc w:val="center"/>
              <w:rPr>
                <w:rFonts w:ascii="Arial Narrow" w:hAnsi="Arial Narrow"/>
                <w:b/>
                <w:color w:val="000000"/>
                <w:sz w:val="20"/>
                <w:szCs w:val="18"/>
              </w:rPr>
            </w:pPr>
          </w:p>
        </w:tc>
        <w:tc>
          <w:tcPr>
            <w:tcW w:w="565" w:type="pct"/>
            <w:gridSpan w:val="2"/>
            <w:vMerge/>
            <w:vAlign w:val="center"/>
          </w:tcPr>
          <w:p w:rsidR="00726F0B" w:rsidRPr="00881BD2" w:rsidRDefault="00726F0B" w:rsidP="002F007F">
            <w:pPr>
              <w:keepNext/>
              <w:keepLines/>
              <w:jc w:val="center"/>
              <w:rPr>
                <w:rFonts w:ascii="Arial Narrow" w:hAnsi="Arial Narrow"/>
                <w:b/>
                <w:color w:val="000000"/>
                <w:sz w:val="20"/>
                <w:szCs w:val="18"/>
              </w:rPr>
            </w:pPr>
          </w:p>
        </w:tc>
        <w:tc>
          <w:tcPr>
            <w:tcW w:w="533" w:type="pct"/>
            <w:gridSpan w:val="2"/>
            <w:vMerge/>
            <w:vAlign w:val="center"/>
          </w:tcPr>
          <w:p w:rsidR="00726F0B" w:rsidRPr="00881BD2" w:rsidRDefault="00726F0B" w:rsidP="002F007F">
            <w:pPr>
              <w:keepNext/>
              <w:keepLines/>
              <w:jc w:val="center"/>
              <w:rPr>
                <w:rFonts w:ascii="Arial Narrow" w:hAnsi="Arial Narrow"/>
                <w:b/>
                <w:color w:val="000000"/>
                <w:sz w:val="20"/>
                <w:szCs w:val="18"/>
              </w:rPr>
            </w:pPr>
          </w:p>
        </w:tc>
        <w:tc>
          <w:tcPr>
            <w:tcW w:w="507" w:type="pct"/>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OBI +CLB</w:t>
            </w:r>
          </w:p>
        </w:tc>
        <w:tc>
          <w:tcPr>
            <w:tcW w:w="423" w:type="pct"/>
            <w:gridSpan w:val="2"/>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CLB</w:t>
            </w:r>
          </w:p>
        </w:tc>
        <w:tc>
          <w:tcPr>
            <w:tcW w:w="608" w:type="pct"/>
            <w:gridSpan w:val="2"/>
            <w:vAlign w:val="center"/>
          </w:tcPr>
          <w:p w:rsidR="00726F0B" w:rsidRPr="00881BD2" w:rsidRDefault="00726F0B"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OFA + CLB</w:t>
            </w:r>
          </w:p>
        </w:tc>
        <w:tc>
          <w:tcPr>
            <w:tcW w:w="572" w:type="pct"/>
            <w:vMerge/>
            <w:vAlign w:val="center"/>
          </w:tcPr>
          <w:p w:rsidR="00726F0B" w:rsidRPr="00881BD2" w:rsidRDefault="00726F0B" w:rsidP="002F007F">
            <w:pPr>
              <w:keepNext/>
              <w:keepLines/>
              <w:jc w:val="center"/>
              <w:rPr>
                <w:rFonts w:ascii="Arial Narrow" w:hAnsi="Arial Narrow"/>
                <w:b/>
                <w:color w:val="000000"/>
                <w:sz w:val="20"/>
                <w:szCs w:val="18"/>
              </w:rPr>
            </w:pPr>
          </w:p>
        </w:tc>
      </w:tr>
      <w:tr w:rsidR="001B5B6D" w:rsidRPr="00881BD2" w:rsidTr="00F9299D">
        <w:trPr>
          <w:trHeight w:val="20"/>
        </w:trPr>
        <w:tc>
          <w:tcPr>
            <w:tcW w:w="5000" w:type="pct"/>
            <w:gridSpan w:val="14"/>
            <w:shd w:val="clear" w:color="auto" w:fill="auto"/>
            <w:vAlign w:val="center"/>
          </w:tcPr>
          <w:p w:rsidR="001B5B6D" w:rsidRPr="00881BD2" w:rsidRDefault="001B5B6D" w:rsidP="002F007F">
            <w:pPr>
              <w:keepNext/>
              <w:keepLines/>
              <w:rPr>
                <w:rFonts w:ascii="Arial Narrow" w:hAnsi="Arial Narrow"/>
                <w:color w:val="000000"/>
                <w:sz w:val="20"/>
                <w:szCs w:val="18"/>
              </w:rPr>
            </w:pPr>
            <w:r w:rsidRPr="00881BD2">
              <w:rPr>
                <w:rFonts w:ascii="Arial Narrow" w:hAnsi="Arial Narrow"/>
                <w:b/>
                <w:color w:val="000000"/>
                <w:sz w:val="20"/>
                <w:szCs w:val="18"/>
              </w:rPr>
              <w:t>Any AE</w:t>
            </w:r>
          </w:p>
        </w:tc>
      </w:tr>
      <w:tr w:rsidR="003C48B0" w:rsidRPr="00881BD2" w:rsidTr="00F9299D">
        <w:trPr>
          <w:trHeight w:val="20"/>
        </w:trPr>
        <w:tc>
          <w:tcPr>
            <w:tcW w:w="863" w:type="pct"/>
            <w:shd w:val="clear" w:color="auto" w:fill="auto"/>
            <w:vAlign w:val="center"/>
          </w:tcPr>
          <w:p w:rsidR="006E052B" w:rsidRPr="00881BD2" w:rsidRDefault="006E052B" w:rsidP="002F007F">
            <w:pPr>
              <w:keepNext/>
              <w:keepLines/>
              <w:rPr>
                <w:rFonts w:ascii="Arial Narrow" w:hAnsi="Arial Narrow"/>
                <w:color w:val="000000"/>
                <w:sz w:val="20"/>
                <w:szCs w:val="18"/>
              </w:rPr>
            </w:pPr>
            <w:r w:rsidRPr="00881BD2">
              <w:rPr>
                <w:rFonts w:ascii="Arial Narrow" w:hAnsi="Arial Narrow"/>
                <w:color w:val="000000"/>
                <w:sz w:val="20"/>
                <w:szCs w:val="18"/>
              </w:rPr>
              <w:t>CLL-11</w:t>
            </w:r>
          </w:p>
        </w:tc>
        <w:tc>
          <w:tcPr>
            <w:tcW w:w="506" w:type="pct"/>
            <w:gridSpan w:val="2"/>
            <w:vAlign w:val="center"/>
          </w:tcPr>
          <w:p w:rsidR="006E052B" w:rsidRPr="005079C4" w:rsidRDefault="005079C4" w:rsidP="002F007F">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423" w:type="pct"/>
            <w:vAlign w:val="center"/>
          </w:tcPr>
          <w:p w:rsidR="006E052B" w:rsidRPr="005079C4" w:rsidRDefault="005079C4" w:rsidP="002F007F">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565" w:type="pct"/>
            <w:gridSpan w:val="2"/>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533" w:type="pct"/>
            <w:gridSpan w:val="2"/>
            <w:vAlign w:val="center"/>
          </w:tcPr>
          <w:p w:rsidR="006E052B" w:rsidRPr="005079C4" w:rsidRDefault="005079C4" w:rsidP="002F007F">
            <w:pPr>
              <w:keepNext/>
              <w:keepLines/>
              <w:jc w:val="center"/>
              <w:rPr>
                <w:rFonts w:ascii="Arial Narrow" w:hAnsi="Arial Narrow"/>
                <w:b/>
                <w:color w:val="000000"/>
                <w:sz w:val="20"/>
                <w:szCs w:val="18"/>
                <w:highlight w:val="black"/>
              </w:rPr>
            </w:pPr>
            <w:r>
              <w:rPr>
                <w:rFonts w:ascii="Arial Narrow" w:hAnsi="Arial Narrow"/>
                <w:b/>
                <w:noProof/>
                <w:color w:val="000000"/>
                <w:sz w:val="20"/>
                <w:highlight w:val="black"/>
              </w:rPr>
              <w:t xml:space="preserve">'''''' </w:t>
            </w:r>
            <w:r>
              <w:rPr>
                <w:rFonts w:ascii="Arial Narrow" w:hAnsi="Arial Narrow"/>
                <w:b/>
                <w:noProof/>
                <w:color w:val="000000"/>
                <w:sz w:val="20"/>
                <w:highlight w:val="black"/>
              </w:rPr>
              <w:br/>
              <w:t>''''''''' '''''''</w:t>
            </w:r>
          </w:p>
        </w:tc>
        <w:tc>
          <w:tcPr>
            <w:tcW w:w="507" w:type="pct"/>
            <w:vAlign w:val="center"/>
          </w:tcPr>
          <w:p w:rsidR="006E052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3" w:type="pct"/>
            <w:gridSpan w:val="2"/>
            <w:vAlign w:val="center"/>
          </w:tcPr>
          <w:p w:rsidR="006E052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08" w:type="pct"/>
            <w:gridSpan w:val="2"/>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572" w:type="pct"/>
            <w:vAlign w:val="center"/>
          </w:tcPr>
          <w:p w:rsidR="006E052B" w:rsidRPr="005079C4" w:rsidRDefault="005079C4" w:rsidP="002F007F">
            <w:pPr>
              <w:keepNext/>
              <w:keepLines/>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xml:space="preserve">''''''''' </w:t>
            </w:r>
            <w:r>
              <w:rPr>
                <w:rFonts w:ascii="Arial Narrow" w:hAnsi="Arial Narrow"/>
                <w:b/>
                <w:noProof/>
                <w:color w:val="000000"/>
                <w:sz w:val="20"/>
                <w:szCs w:val="18"/>
                <w:highlight w:val="black"/>
              </w:rPr>
              <w:br/>
              <w:t>'''''''' '''''''''</w:t>
            </w:r>
          </w:p>
        </w:tc>
      </w:tr>
      <w:tr w:rsidR="003C48B0" w:rsidRPr="00881BD2" w:rsidTr="00F9299D">
        <w:trPr>
          <w:trHeight w:val="20"/>
        </w:trPr>
        <w:tc>
          <w:tcPr>
            <w:tcW w:w="863" w:type="pct"/>
            <w:shd w:val="clear" w:color="auto" w:fill="auto"/>
            <w:vAlign w:val="center"/>
          </w:tcPr>
          <w:p w:rsidR="00726F0B" w:rsidRPr="00881BD2" w:rsidRDefault="00726F0B" w:rsidP="002F007F">
            <w:pPr>
              <w:keepNext/>
              <w:keepLines/>
              <w:rPr>
                <w:rFonts w:ascii="Arial Narrow" w:hAnsi="Arial Narrow"/>
                <w:color w:val="000000"/>
                <w:sz w:val="20"/>
                <w:szCs w:val="18"/>
              </w:rPr>
            </w:pPr>
            <w:r w:rsidRPr="00881BD2">
              <w:rPr>
                <w:rFonts w:ascii="Arial Narrow" w:hAnsi="Arial Narrow"/>
                <w:color w:val="000000"/>
                <w:sz w:val="20"/>
                <w:szCs w:val="18"/>
              </w:rPr>
              <w:t>COMPLEMENT-1</w:t>
            </w:r>
          </w:p>
        </w:tc>
        <w:tc>
          <w:tcPr>
            <w:tcW w:w="506" w:type="pct"/>
            <w:gridSpan w:val="2"/>
            <w:vAlign w:val="center"/>
          </w:tcPr>
          <w:p w:rsidR="00726F0B" w:rsidRPr="00881BD2" w:rsidRDefault="00726F0B" w:rsidP="002F007F">
            <w:pPr>
              <w:keepNext/>
              <w:keepLines/>
              <w:jc w:val="center"/>
              <w:rPr>
                <w:rFonts w:ascii="Arial Narrow" w:hAnsi="Arial Narrow"/>
                <w:color w:val="000000"/>
                <w:sz w:val="20"/>
                <w:szCs w:val="18"/>
              </w:rPr>
            </w:pPr>
          </w:p>
        </w:tc>
        <w:tc>
          <w:tcPr>
            <w:tcW w:w="423" w:type="pct"/>
            <w:vAlign w:val="center"/>
          </w:tcPr>
          <w:p w:rsidR="00726F0B" w:rsidRPr="00881BD2" w:rsidRDefault="006E052B" w:rsidP="002F007F">
            <w:pPr>
              <w:keepNext/>
              <w:keepLines/>
              <w:jc w:val="center"/>
              <w:rPr>
                <w:rFonts w:ascii="Arial Narrow" w:hAnsi="Arial Narrow"/>
                <w:color w:val="000000"/>
                <w:sz w:val="20"/>
                <w:szCs w:val="18"/>
              </w:rPr>
            </w:pPr>
            <w:r w:rsidRPr="00881BD2">
              <w:rPr>
                <w:rFonts w:ascii="Arial Narrow" w:hAnsi="Arial Narrow"/>
                <w:sz w:val="20"/>
              </w:rPr>
              <w:t>203</w:t>
            </w:r>
            <w:r w:rsidR="00185BB2" w:rsidRPr="00881BD2">
              <w:rPr>
                <w:rFonts w:ascii="Arial Narrow" w:hAnsi="Arial Narrow"/>
                <w:sz w:val="20"/>
              </w:rPr>
              <w:t>/227</w:t>
            </w:r>
          </w:p>
        </w:tc>
        <w:tc>
          <w:tcPr>
            <w:tcW w:w="565" w:type="pct"/>
            <w:gridSpan w:val="2"/>
            <w:vAlign w:val="center"/>
          </w:tcPr>
          <w:p w:rsidR="00726F0B" w:rsidRPr="00881BD2" w:rsidRDefault="006E052B" w:rsidP="002F007F">
            <w:pPr>
              <w:keepNext/>
              <w:keepLines/>
              <w:jc w:val="center"/>
              <w:rPr>
                <w:rFonts w:ascii="Arial Narrow" w:hAnsi="Arial Narrow"/>
                <w:color w:val="000000"/>
                <w:sz w:val="20"/>
                <w:szCs w:val="18"/>
              </w:rPr>
            </w:pPr>
            <w:r w:rsidRPr="00881BD2">
              <w:rPr>
                <w:rFonts w:ascii="Arial Narrow" w:hAnsi="Arial Narrow"/>
                <w:sz w:val="20"/>
              </w:rPr>
              <w:t>206</w:t>
            </w:r>
            <w:r w:rsidR="008D40CB" w:rsidRPr="00881BD2">
              <w:rPr>
                <w:rFonts w:ascii="Arial Narrow" w:hAnsi="Arial Narrow"/>
                <w:sz w:val="20"/>
              </w:rPr>
              <w:t>/217</w:t>
            </w:r>
          </w:p>
        </w:tc>
        <w:tc>
          <w:tcPr>
            <w:tcW w:w="533" w:type="pct"/>
            <w:gridSpan w:val="2"/>
            <w:vAlign w:val="center"/>
          </w:tcPr>
          <w:p w:rsidR="00726F0B" w:rsidRPr="00881BD2" w:rsidRDefault="006E052B" w:rsidP="002F007F">
            <w:pPr>
              <w:keepNext/>
              <w:keepLines/>
              <w:jc w:val="center"/>
              <w:rPr>
                <w:rFonts w:ascii="Arial Narrow" w:hAnsi="Arial Narrow"/>
                <w:b/>
                <w:color w:val="000000"/>
                <w:sz w:val="20"/>
                <w:szCs w:val="18"/>
              </w:rPr>
            </w:pPr>
            <w:r w:rsidRPr="00881BD2">
              <w:rPr>
                <w:rFonts w:ascii="Arial Narrow" w:hAnsi="Arial Narrow"/>
                <w:b/>
                <w:sz w:val="20"/>
              </w:rPr>
              <w:t xml:space="preserve">1.1 </w:t>
            </w:r>
            <w:r w:rsidRPr="00881BD2">
              <w:rPr>
                <w:rFonts w:ascii="Arial Narrow" w:hAnsi="Arial Narrow"/>
                <w:b/>
                <w:sz w:val="20"/>
              </w:rPr>
              <w:br/>
              <w:t>(1.0, 1.1)</w:t>
            </w:r>
          </w:p>
        </w:tc>
        <w:tc>
          <w:tcPr>
            <w:tcW w:w="507" w:type="pct"/>
            <w:vAlign w:val="center"/>
          </w:tcPr>
          <w:p w:rsidR="00726F0B" w:rsidRPr="00881BD2" w:rsidRDefault="00726F0B" w:rsidP="002F007F">
            <w:pPr>
              <w:keepNext/>
              <w:keepLines/>
              <w:jc w:val="center"/>
              <w:rPr>
                <w:rFonts w:ascii="Arial Narrow" w:hAnsi="Arial Narrow"/>
                <w:color w:val="000000"/>
                <w:sz w:val="20"/>
                <w:szCs w:val="18"/>
              </w:rPr>
            </w:pPr>
          </w:p>
        </w:tc>
        <w:tc>
          <w:tcPr>
            <w:tcW w:w="423" w:type="pct"/>
            <w:gridSpan w:val="2"/>
            <w:vAlign w:val="center"/>
          </w:tcPr>
          <w:p w:rsidR="00726F0B" w:rsidRPr="00881BD2" w:rsidRDefault="00C33524" w:rsidP="002F007F">
            <w:pPr>
              <w:keepNext/>
              <w:keepLines/>
              <w:jc w:val="center"/>
              <w:rPr>
                <w:rFonts w:ascii="Arial Narrow" w:hAnsi="Arial Narrow"/>
                <w:color w:val="000000"/>
                <w:sz w:val="20"/>
                <w:szCs w:val="18"/>
              </w:rPr>
            </w:pPr>
            <w:r w:rsidRPr="00881BD2">
              <w:rPr>
                <w:rFonts w:ascii="Arial Narrow" w:hAnsi="Arial Narrow"/>
                <w:color w:val="000000"/>
                <w:sz w:val="20"/>
                <w:szCs w:val="18"/>
              </w:rPr>
              <w:t>89</w:t>
            </w:r>
          </w:p>
        </w:tc>
        <w:tc>
          <w:tcPr>
            <w:tcW w:w="608" w:type="pct"/>
            <w:gridSpan w:val="2"/>
            <w:vAlign w:val="center"/>
          </w:tcPr>
          <w:p w:rsidR="00726F0B" w:rsidRPr="00881BD2" w:rsidRDefault="00C33524" w:rsidP="002F007F">
            <w:pPr>
              <w:keepNext/>
              <w:keepLines/>
              <w:jc w:val="center"/>
              <w:rPr>
                <w:rFonts w:ascii="Arial Narrow" w:hAnsi="Arial Narrow"/>
                <w:color w:val="000000"/>
                <w:sz w:val="20"/>
                <w:szCs w:val="18"/>
              </w:rPr>
            </w:pPr>
            <w:r w:rsidRPr="00881BD2">
              <w:rPr>
                <w:rFonts w:ascii="Arial Narrow" w:hAnsi="Arial Narrow"/>
                <w:color w:val="000000"/>
                <w:sz w:val="20"/>
                <w:szCs w:val="18"/>
              </w:rPr>
              <w:t>95</w:t>
            </w:r>
          </w:p>
        </w:tc>
        <w:tc>
          <w:tcPr>
            <w:tcW w:w="572" w:type="pct"/>
            <w:vAlign w:val="center"/>
          </w:tcPr>
          <w:p w:rsidR="00726F0B" w:rsidRPr="00881BD2" w:rsidRDefault="00A35C58"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 xml:space="preserve">5.5 </w:t>
            </w:r>
            <w:r w:rsidRPr="00881BD2">
              <w:rPr>
                <w:rFonts w:ascii="Arial Narrow" w:hAnsi="Arial Narrow"/>
                <w:b/>
                <w:color w:val="000000"/>
                <w:sz w:val="20"/>
                <w:szCs w:val="18"/>
              </w:rPr>
              <w:br/>
              <w:t>(</w:t>
            </w:r>
            <w:r w:rsidR="00C55463" w:rsidRPr="00881BD2">
              <w:rPr>
                <w:rFonts w:ascii="Arial Narrow" w:hAnsi="Arial Narrow"/>
                <w:b/>
                <w:color w:val="000000"/>
                <w:sz w:val="20"/>
                <w:szCs w:val="18"/>
              </w:rPr>
              <w:t>0</w:t>
            </w:r>
            <w:r w:rsidRPr="00881BD2">
              <w:rPr>
                <w:rFonts w:ascii="Arial Narrow" w:hAnsi="Arial Narrow"/>
                <w:b/>
                <w:color w:val="000000"/>
                <w:sz w:val="20"/>
                <w:szCs w:val="18"/>
              </w:rPr>
              <w:t>.6, 10.5)</w:t>
            </w:r>
          </w:p>
        </w:tc>
      </w:tr>
      <w:tr w:rsidR="003C48B0" w:rsidRPr="00881BD2" w:rsidTr="00F9299D">
        <w:trPr>
          <w:trHeight w:val="20"/>
        </w:trPr>
        <w:tc>
          <w:tcPr>
            <w:tcW w:w="863" w:type="pct"/>
            <w:shd w:val="clear" w:color="auto" w:fill="auto"/>
            <w:vAlign w:val="center"/>
          </w:tcPr>
          <w:p w:rsidR="00726F0B" w:rsidRPr="00881BD2" w:rsidRDefault="00726F0B" w:rsidP="002F007F">
            <w:pPr>
              <w:keepNext/>
              <w:keepLines/>
              <w:rPr>
                <w:rFonts w:ascii="Arial Narrow" w:hAnsi="Arial Narrow"/>
                <w:color w:val="000000"/>
                <w:sz w:val="20"/>
                <w:szCs w:val="18"/>
              </w:rPr>
            </w:pPr>
            <w:r w:rsidRPr="00881BD2">
              <w:rPr>
                <w:rFonts w:ascii="Arial Narrow" w:hAnsi="Arial Narrow"/>
                <w:color w:val="000000"/>
                <w:sz w:val="20"/>
                <w:szCs w:val="18"/>
              </w:rPr>
              <w:t>Indirect comparison</w:t>
            </w:r>
          </w:p>
        </w:tc>
        <w:tc>
          <w:tcPr>
            <w:tcW w:w="506" w:type="pct"/>
            <w:gridSpan w:val="2"/>
            <w:vAlign w:val="center"/>
          </w:tcPr>
          <w:p w:rsidR="00726F0B" w:rsidRPr="00881BD2" w:rsidRDefault="00726F0B" w:rsidP="002F007F">
            <w:pPr>
              <w:keepNext/>
              <w:keepLines/>
              <w:jc w:val="center"/>
              <w:rPr>
                <w:rFonts w:ascii="Arial Narrow" w:hAnsi="Arial Narrow"/>
                <w:color w:val="000000"/>
                <w:sz w:val="20"/>
                <w:szCs w:val="18"/>
              </w:rPr>
            </w:pPr>
          </w:p>
        </w:tc>
        <w:tc>
          <w:tcPr>
            <w:tcW w:w="423" w:type="pct"/>
            <w:vAlign w:val="center"/>
          </w:tcPr>
          <w:p w:rsidR="00726F0B" w:rsidRPr="00881BD2" w:rsidRDefault="00726F0B" w:rsidP="002F007F">
            <w:pPr>
              <w:keepNext/>
              <w:keepLines/>
              <w:jc w:val="center"/>
              <w:rPr>
                <w:rFonts w:ascii="Arial Narrow" w:hAnsi="Arial Narrow"/>
                <w:color w:val="000000"/>
                <w:sz w:val="20"/>
                <w:szCs w:val="18"/>
              </w:rPr>
            </w:pPr>
          </w:p>
        </w:tc>
        <w:tc>
          <w:tcPr>
            <w:tcW w:w="565" w:type="pct"/>
            <w:gridSpan w:val="2"/>
            <w:vAlign w:val="center"/>
          </w:tcPr>
          <w:p w:rsidR="00726F0B" w:rsidRPr="00881BD2" w:rsidRDefault="00726F0B" w:rsidP="002F007F">
            <w:pPr>
              <w:keepNext/>
              <w:keepLines/>
              <w:jc w:val="center"/>
              <w:rPr>
                <w:rFonts w:ascii="Arial Narrow" w:hAnsi="Arial Narrow"/>
                <w:color w:val="000000"/>
                <w:sz w:val="20"/>
                <w:szCs w:val="18"/>
              </w:rPr>
            </w:pPr>
          </w:p>
        </w:tc>
        <w:tc>
          <w:tcPr>
            <w:tcW w:w="533" w:type="pct"/>
            <w:gridSpan w:val="2"/>
            <w:vAlign w:val="center"/>
          </w:tcPr>
          <w:p w:rsidR="00726F0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c>
          <w:tcPr>
            <w:tcW w:w="507" w:type="pct"/>
            <w:vAlign w:val="center"/>
          </w:tcPr>
          <w:p w:rsidR="00726F0B" w:rsidRPr="00E52564" w:rsidRDefault="00726F0B" w:rsidP="002F007F">
            <w:pPr>
              <w:keepNext/>
              <w:keepLines/>
              <w:jc w:val="center"/>
              <w:rPr>
                <w:rFonts w:ascii="Arial Narrow" w:hAnsi="Arial Narrow"/>
                <w:color w:val="000000"/>
                <w:sz w:val="20"/>
                <w:szCs w:val="18"/>
                <w:highlight w:val="yellow"/>
              </w:rPr>
            </w:pPr>
          </w:p>
        </w:tc>
        <w:tc>
          <w:tcPr>
            <w:tcW w:w="423" w:type="pct"/>
            <w:gridSpan w:val="2"/>
            <w:vAlign w:val="center"/>
          </w:tcPr>
          <w:p w:rsidR="00726F0B" w:rsidRPr="00E52564" w:rsidRDefault="00726F0B" w:rsidP="002F007F">
            <w:pPr>
              <w:keepNext/>
              <w:keepLines/>
              <w:jc w:val="center"/>
              <w:rPr>
                <w:rFonts w:ascii="Arial Narrow" w:hAnsi="Arial Narrow"/>
                <w:color w:val="000000"/>
                <w:sz w:val="20"/>
                <w:szCs w:val="18"/>
                <w:highlight w:val="yellow"/>
              </w:rPr>
            </w:pPr>
          </w:p>
        </w:tc>
        <w:tc>
          <w:tcPr>
            <w:tcW w:w="608" w:type="pct"/>
            <w:gridSpan w:val="2"/>
            <w:vAlign w:val="center"/>
          </w:tcPr>
          <w:p w:rsidR="00726F0B" w:rsidRPr="00E52564" w:rsidRDefault="00726F0B" w:rsidP="002F007F">
            <w:pPr>
              <w:keepNext/>
              <w:keepLines/>
              <w:jc w:val="center"/>
              <w:rPr>
                <w:rFonts w:ascii="Arial Narrow" w:hAnsi="Arial Narrow"/>
                <w:color w:val="000000"/>
                <w:sz w:val="20"/>
                <w:szCs w:val="18"/>
                <w:highlight w:val="yellow"/>
              </w:rPr>
            </w:pPr>
          </w:p>
        </w:tc>
        <w:tc>
          <w:tcPr>
            <w:tcW w:w="572" w:type="pct"/>
            <w:vAlign w:val="center"/>
          </w:tcPr>
          <w:p w:rsidR="00726F0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 '''''''''''</w:t>
            </w:r>
          </w:p>
        </w:tc>
      </w:tr>
      <w:tr w:rsidR="001B5B6D" w:rsidRPr="00881BD2" w:rsidTr="00F9299D">
        <w:trPr>
          <w:trHeight w:val="20"/>
        </w:trPr>
        <w:tc>
          <w:tcPr>
            <w:tcW w:w="5000" w:type="pct"/>
            <w:gridSpan w:val="14"/>
            <w:shd w:val="clear" w:color="auto" w:fill="auto"/>
            <w:vAlign w:val="center"/>
          </w:tcPr>
          <w:p w:rsidR="001B5B6D" w:rsidRPr="00881BD2" w:rsidRDefault="001B5B6D" w:rsidP="002F007F">
            <w:pPr>
              <w:keepNext/>
              <w:keepLines/>
              <w:rPr>
                <w:rFonts w:ascii="Arial Narrow" w:hAnsi="Arial Narrow"/>
                <w:b/>
                <w:color w:val="000000"/>
                <w:sz w:val="20"/>
                <w:szCs w:val="18"/>
              </w:rPr>
            </w:pPr>
            <w:r w:rsidRPr="00881BD2">
              <w:rPr>
                <w:rFonts w:ascii="Arial Narrow" w:hAnsi="Arial Narrow"/>
                <w:b/>
                <w:color w:val="000000"/>
                <w:sz w:val="20"/>
                <w:szCs w:val="18"/>
              </w:rPr>
              <w:t>Severe AEs</w:t>
            </w:r>
          </w:p>
        </w:tc>
      </w:tr>
      <w:tr w:rsidR="003C48B0" w:rsidRPr="00881BD2" w:rsidTr="00F9299D">
        <w:trPr>
          <w:trHeight w:val="20"/>
        </w:trPr>
        <w:tc>
          <w:tcPr>
            <w:tcW w:w="863" w:type="pct"/>
            <w:shd w:val="clear" w:color="auto" w:fill="auto"/>
            <w:vAlign w:val="center"/>
          </w:tcPr>
          <w:p w:rsidR="00E425C6" w:rsidRPr="00881BD2" w:rsidRDefault="00E425C6" w:rsidP="002F007F">
            <w:pPr>
              <w:keepNext/>
              <w:keepLines/>
              <w:rPr>
                <w:rFonts w:ascii="Arial Narrow" w:hAnsi="Arial Narrow"/>
                <w:color w:val="000000"/>
                <w:sz w:val="20"/>
                <w:szCs w:val="18"/>
              </w:rPr>
            </w:pPr>
            <w:r w:rsidRPr="00881BD2">
              <w:rPr>
                <w:rFonts w:ascii="Arial Narrow" w:hAnsi="Arial Narrow"/>
                <w:color w:val="000000"/>
                <w:sz w:val="20"/>
                <w:szCs w:val="18"/>
              </w:rPr>
              <w:t>CLL-11</w:t>
            </w:r>
          </w:p>
        </w:tc>
        <w:tc>
          <w:tcPr>
            <w:tcW w:w="506" w:type="pct"/>
            <w:gridSpan w:val="2"/>
            <w:vAlign w:val="center"/>
          </w:tcPr>
          <w:p w:rsidR="00E425C6" w:rsidRPr="005079C4" w:rsidRDefault="005079C4" w:rsidP="002F007F">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423" w:type="pct"/>
            <w:vAlign w:val="center"/>
          </w:tcPr>
          <w:p w:rsidR="00E425C6" w:rsidRPr="005079C4" w:rsidRDefault="005079C4" w:rsidP="002F007F">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565" w:type="pct"/>
            <w:gridSpan w:val="2"/>
            <w:vAlign w:val="center"/>
          </w:tcPr>
          <w:p w:rsidR="00E425C6" w:rsidRPr="00E52564" w:rsidRDefault="00E425C6" w:rsidP="002F007F">
            <w:pPr>
              <w:keepNext/>
              <w:keepLines/>
              <w:jc w:val="center"/>
              <w:rPr>
                <w:rFonts w:ascii="Arial Narrow" w:hAnsi="Arial Narrow"/>
                <w:color w:val="000000"/>
                <w:sz w:val="20"/>
                <w:szCs w:val="18"/>
                <w:highlight w:val="yellow"/>
              </w:rPr>
            </w:pPr>
          </w:p>
        </w:tc>
        <w:tc>
          <w:tcPr>
            <w:tcW w:w="533" w:type="pct"/>
            <w:gridSpan w:val="2"/>
            <w:vAlign w:val="center"/>
          </w:tcPr>
          <w:p w:rsidR="00E425C6" w:rsidRPr="005079C4" w:rsidRDefault="005079C4" w:rsidP="002F007F">
            <w:pPr>
              <w:keepNext/>
              <w:keepLines/>
              <w:jc w:val="center"/>
              <w:rPr>
                <w:rFonts w:ascii="Arial Narrow" w:hAnsi="Arial Narrow"/>
                <w:b/>
                <w:color w:val="000000"/>
                <w:sz w:val="20"/>
                <w:szCs w:val="18"/>
                <w:highlight w:val="black"/>
              </w:rPr>
            </w:pPr>
            <w:r>
              <w:rPr>
                <w:rFonts w:ascii="Arial Narrow" w:hAnsi="Arial Narrow"/>
                <w:b/>
                <w:noProof/>
                <w:color w:val="000000"/>
                <w:sz w:val="20"/>
                <w:highlight w:val="black"/>
              </w:rPr>
              <w:t xml:space="preserve">'''''' </w:t>
            </w:r>
            <w:r>
              <w:rPr>
                <w:rFonts w:ascii="Arial Narrow" w:hAnsi="Arial Narrow"/>
                <w:b/>
                <w:noProof/>
                <w:color w:val="000000"/>
                <w:sz w:val="20"/>
                <w:highlight w:val="black"/>
              </w:rPr>
              <w:br/>
              <w:t>''''''''' ''''''''</w:t>
            </w:r>
          </w:p>
        </w:tc>
        <w:tc>
          <w:tcPr>
            <w:tcW w:w="507" w:type="pct"/>
            <w:vAlign w:val="center"/>
          </w:tcPr>
          <w:p w:rsidR="00E425C6"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3" w:type="pct"/>
            <w:gridSpan w:val="2"/>
            <w:vAlign w:val="center"/>
          </w:tcPr>
          <w:p w:rsidR="00E425C6"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08" w:type="pct"/>
            <w:gridSpan w:val="2"/>
            <w:vAlign w:val="center"/>
          </w:tcPr>
          <w:p w:rsidR="00E425C6" w:rsidRPr="00E52564" w:rsidRDefault="00E425C6" w:rsidP="002F007F">
            <w:pPr>
              <w:keepNext/>
              <w:keepLines/>
              <w:jc w:val="center"/>
              <w:rPr>
                <w:rFonts w:ascii="Arial Narrow" w:hAnsi="Arial Narrow"/>
                <w:color w:val="000000"/>
                <w:sz w:val="20"/>
                <w:szCs w:val="18"/>
                <w:highlight w:val="yellow"/>
              </w:rPr>
            </w:pPr>
          </w:p>
        </w:tc>
        <w:tc>
          <w:tcPr>
            <w:tcW w:w="572" w:type="pct"/>
            <w:vAlign w:val="center"/>
          </w:tcPr>
          <w:p w:rsidR="00E425C6" w:rsidRPr="005079C4" w:rsidRDefault="005079C4" w:rsidP="002F007F">
            <w:pPr>
              <w:keepNext/>
              <w:keepLines/>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xml:space="preserve">''''''''' </w:t>
            </w:r>
            <w:r>
              <w:rPr>
                <w:rFonts w:ascii="Arial Narrow" w:hAnsi="Arial Narrow"/>
                <w:b/>
                <w:noProof/>
                <w:color w:val="000000"/>
                <w:sz w:val="20"/>
                <w:szCs w:val="18"/>
                <w:highlight w:val="black"/>
              </w:rPr>
              <w:br/>
              <w:t>''''''''''' ''''''''''</w:t>
            </w:r>
          </w:p>
        </w:tc>
      </w:tr>
      <w:tr w:rsidR="003C48B0" w:rsidRPr="00881BD2" w:rsidTr="00F9299D">
        <w:trPr>
          <w:trHeight w:val="20"/>
        </w:trPr>
        <w:tc>
          <w:tcPr>
            <w:tcW w:w="863" w:type="pct"/>
            <w:shd w:val="clear" w:color="auto" w:fill="auto"/>
            <w:vAlign w:val="center"/>
          </w:tcPr>
          <w:p w:rsidR="006E052B" w:rsidRPr="00881BD2" w:rsidRDefault="006E052B" w:rsidP="002F007F">
            <w:pPr>
              <w:keepNext/>
              <w:keepLines/>
              <w:rPr>
                <w:rFonts w:ascii="Arial Narrow" w:hAnsi="Arial Narrow"/>
                <w:color w:val="000000"/>
                <w:sz w:val="20"/>
                <w:szCs w:val="18"/>
              </w:rPr>
            </w:pPr>
            <w:r w:rsidRPr="00881BD2">
              <w:rPr>
                <w:rFonts w:ascii="Arial Narrow" w:hAnsi="Arial Narrow"/>
                <w:color w:val="000000"/>
                <w:sz w:val="20"/>
                <w:szCs w:val="18"/>
              </w:rPr>
              <w:t>COMPLEMENT-1</w:t>
            </w:r>
          </w:p>
        </w:tc>
        <w:tc>
          <w:tcPr>
            <w:tcW w:w="506" w:type="pct"/>
            <w:gridSpan w:val="2"/>
            <w:vAlign w:val="center"/>
          </w:tcPr>
          <w:p w:rsidR="006E052B" w:rsidRPr="00881BD2" w:rsidRDefault="006E052B" w:rsidP="002F007F">
            <w:pPr>
              <w:keepNext/>
              <w:keepLines/>
              <w:jc w:val="center"/>
              <w:rPr>
                <w:rFonts w:ascii="Arial Narrow" w:hAnsi="Arial Narrow"/>
                <w:color w:val="000000"/>
                <w:sz w:val="20"/>
                <w:szCs w:val="18"/>
              </w:rPr>
            </w:pPr>
          </w:p>
        </w:tc>
        <w:tc>
          <w:tcPr>
            <w:tcW w:w="423" w:type="pct"/>
            <w:vAlign w:val="center"/>
          </w:tcPr>
          <w:p w:rsidR="006E052B" w:rsidRPr="00881BD2" w:rsidRDefault="00E425C6" w:rsidP="002F007F">
            <w:pPr>
              <w:keepNext/>
              <w:keepLines/>
              <w:jc w:val="center"/>
              <w:rPr>
                <w:rFonts w:ascii="Arial Narrow" w:hAnsi="Arial Narrow"/>
                <w:color w:val="000000"/>
                <w:sz w:val="20"/>
                <w:szCs w:val="18"/>
              </w:rPr>
            </w:pPr>
            <w:r w:rsidRPr="00881BD2">
              <w:rPr>
                <w:rFonts w:ascii="Arial Narrow" w:hAnsi="Arial Narrow"/>
                <w:sz w:val="20"/>
              </w:rPr>
              <w:t>103</w:t>
            </w:r>
            <w:r w:rsidR="00185BB2" w:rsidRPr="00881BD2">
              <w:rPr>
                <w:rFonts w:ascii="Arial Narrow" w:hAnsi="Arial Narrow"/>
                <w:sz w:val="20"/>
              </w:rPr>
              <w:t>/227</w:t>
            </w:r>
          </w:p>
        </w:tc>
        <w:tc>
          <w:tcPr>
            <w:tcW w:w="565" w:type="pct"/>
            <w:gridSpan w:val="2"/>
            <w:vAlign w:val="center"/>
          </w:tcPr>
          <w:p w:rsidR="006E052B" w:rsidRPr="00881BD2" w:rsidRDefault="00E425C6" w:rsidP="002F007F">
            <w:pPr>
              <w:keepNext/>
              <w:keepLines/>
              <w:jc w:val="center"/>
              <w:rPr>
                <w:rFonts w:ascii="Arial Narrow" w:hAnsi="Arial Narrow"/>
                <w:color w:val="000000"/>
                <w:sz w:val="20"/>
                <w:szCs w:val="18"/>
              </w:rPr>
            </w:pPr>
            <w:r w:rsidRPr="00881BD2">
              <w:rPr>
                <w:rFonts w:ascii="Arial Narrow" w:hAnsi="Arial Narrow"/>
                <w:sz w:val="20"/>
              </w:rPr>
              <w:t>131</w:t>
            </w:r>
            <w:r w:rsidR="008D40CB" w:rsidRPr="00881BD2">
              <w:rPr>
                <w:rFonts w:ascii="Arial Narrow" w:hAnsi="Arial Narrow"/>
                <w:sz w:val="20"/>
              </w:rPr>
              <w:t>/217</w:t>
            </w:r>
          </w:p>
        </w:tc>
        <w:tc>
          <w:tcPr>
            <w:tcW w:w="533" w:type="pct"/>
            <w:gridSpan w:val="2"/>
            <w:vAlign w:val="center"/>
          </w:tcPr>
          <w:p w:rsidR="006E052B" w:rsidRPr="00881BD2" w:rsidRDefault="00E425C6" w:rsidP="002F007F">
            <w:pPr>
              <w:keepNext/>
              <w:keepLines/>
              <w:jc w:val="center"/>
              <w:rPr>
                <w:rFonts w:ascii="Arial Narrow" w:hAnsi="Arial Narrow"/>
                <w:b/>
                <w:color w:val="000000"/>
                <w:sz w:val="20"/>
                <w:szCs w:val="18"/>
              </w:rPr>
            </w:pPr>
            <w:r w:rsidRPr="00881BD2">
              <w:rPr>
                <w:rFonts w:ascii="Arial Narrow" w:hAnsi="Arial Narrow"/>
                <w:b/>
                <w:sz w:val="20"/>
              </w:rPr>
              <w:t xml:space="preserve">1.3 </w:t>
            </w:r>
            <w:r w:rsidRPr="00881BD2">
              <w:rPr>
                <w:rFonts w:ascii="Arial Narrow" w:hAnsi="Arial Narrow"/>
                <w:b/>
                <w:sz w:val="20"/>
              </w:rPr>
              <w:br/>
              <w:t>(1.1, 1.6)</w:t>
            </w:r>
          </w:p>
        </w:tc>
        <w:tc>
          <w:tcPr>
            <w:tcW w:w="507" w:type="pct"/>
            <w:vAlign w:val="center"/>
          </w:tcPr>
          <w:p w:rsidR="006E052B" w:rsidRPr="00881BD2" w:rsidRDefault="006E052B" w:rsidP="002F007F">
            <w:pPr>
              <w:keepNext/>
              <w:keepLines/>
              <w:jc w:val="center"/>
              <w:rPr>
                <w:rFonts w:ascii="Arial Narrow" w:hAnsi="Arial Narrow"/>
                <w:color w:val="000000"/>
                <w:sz w:val="20"/>
                <w:szCs w:val="18"/>
              </w:rPr>
            </w:pPr>
          </w:p>
        </w:tc>
        <w:tc>
          <w:tcPr>
            <w:tcW w:w="423" w:type="pct"/>
            <w:gridSpan w:val="2"/>
            <w:vAlign w:val="center"/>
          </w:tcPr>
          <w:p w:rsidR="006E052B" w:rsidRPr="00881BD2" w:rsidRDefault="00C33524" w:rsidP="002F007F">
            <w:pPr>
              <w:keepNext/>
              <w:keepLines/>
              <w:jc w:val="center"/>
              <w:rPr>
                <w:rFonts w:ascii="Arial Narrow" w:hAnsi="Arial Narrow"/>
                <w:color w:val="000000"/>
                <w:sz w:val="20"/>
                <w:szCs w:val="18"/>
              </w:rPr>
            </w:pPr>
            <w:r w:rsidRPr="00881BD2">
              <w:rPr>
                <w:rFonts w:ascii="Arial Narrow" w:hAnsi="Arial Narrow"/>
                <w:color w:val="000000"/>
                <w:sz w:val="20"/>
                <w:szCs w:val="18"/>
              </w:rPr>
              <w:t>45</w:t>
            </w:r>
          </w:p>
        </w:tc>
        <w:tc>
          <w:tcPr>
            <w:tcW w:w="608" w:type="pct"/>
            <w:gridSpan w:val="2"/>
            <w:vAlign w:val="center"/>
          </w:tcPr>
          <w:p w:rsidR="006E052B" w:rsidRPr="00881BD2" w:rsidRDefault="00C33524" w:rsidP="002F007F">
            <w:pPr>
              <w:keepNext/>
              <w:keepLines/>
              <w:jc w:val="center"/>
              <w:rPr>
                <w:rFonts w:ascii="Arial Narrow" w:hAnsi="Arial Narrow"/>
                <w:color w:val="000000"/>
                <w:sz w:val="20"/>
                <w:szCs w:val="18"/>
              </w:rPr>
            </w:pPr>
            <w:r w:rsidRPr="00881BD2">
              <w:rPr>
                <w:rFonts w:ascii="Arial Narrow" w:hAnsi="Arial Narrow"/>
                <w:color w:val="000000"/>
                <w:sz w:val="20"/>
                <w:szCs w:val="18"/>
              </w:rPr>
              <w:t>60</w:t>
            </w:r>
          </w:p>
        </w:tc>
        <w:tc>
          <w:tcPr>
            <w:tcW w:w="572" w:type="pct"/>
            <w:vAlign w:val="center"/>
          </w:tcPr>
          <w:p w:rsidR="006E052B" w:rsidRPr="00881BD2" w:rsidRDefault="00863F46" w:rsidP="002F007F">
            <w:pPr>
              <w:keepNext/>
              <w:keepLines/>
              <w:jc w:val="center"/>
              <w:rPr>
                <w:rFonts w:ascii="Arial Narrow" w:hAnsi="Arial Narrow"/>
                <w:b/>
                <w:color w:val="000000"/>
                <w:sz w:val="20"/>
                <w:szCs w:val="18"/>
              </w:rPr>
            </w:pPr>
            <w:r w:rsidRPr="00881BD2">
              <w:rPr>
                <w:rFonts w:ascii="Arial Narrow" w:hAnsi="Arial Narrow"/>
                <w:b/>
                <w:color w:val="000000"/>
                <w:sz w:val="20"/>
                <w:szCs w:val="18"/>
              </w:rPr>
              <w:t xml:space="preserve">15.0 </w:t>
            </w:r>
            <w:r w:rsidRPr="00881BD2">
              <w:rPr>
                <w:rFonts w:ascii="Arial Narrow" w:hAnsi="Arial Narrow"/>
                <w:b/>
                <w:color w:val="000000"/>
                <w:sz w:val="20"/>
                <w:szCs w:val="18"/>
              </w:rPr>
              <w:br/>
              <w:t>(5.8, 24.2)</w:t>
            </w:r>
          </w:p>
        </w:tc>
      </w:tr>
      <w:tr w:rsidR="003C48B0" w:rsidRPr="00881BD2" w:rsidTr="00F9299D">
        <w:trPr>
          <w:trHeight w:val="20"/>
        </w:trPr>
        <w:tc>
          <w:tcPr>
            <w:tcW w:w="863" w:type="pct"/>
            <w:shd w:val="clear" w:color="auto" w:fill="auto"/>
            <w:vAlign w:val="center"/>
          </w:tcPr>
          <w:p w:rsidR="006E052B" w:rsidRPr="00881BD2" w:rsidRDefault="006E052B" w:rsidP="002F007F">
            <w:pPr>
              <w:keepNext/>
              <w:keepLines/>
              <w:rPr>
                <w:rFonts w:ascii="Arial Narrow" w:hAnsi="Arial Narrow"/>
                <w:color w:val="000000"/>
                <w:sz w:val="20"/>
                <w:szCs w:val="18"/>
              </w:rPr>
            </w:pPr>
            <w:r w:rsidRPr="00881BD2">
              <w:rPr>
                <w:rFonts w:ascii="Arial Narrow" w:hAnsi="Arial Narrow"/>
                <w:color w:val="000000"/>
                <w:sz w:val="20"/>
                <w:szCs w:val="18"/>
              </w:rPr>
              <w:t>Indirect comparison</w:t>
            </w:r>
          </w:p>
        </w:tc>
        <w:tc>
          <w:tcPr>
            <w:tcW w:w="506" w:type="pct"/>
            <w:gridSpan w:val="2"/>
            <w:vAlign w:val="center"/>
          </w:tcPr>
          <w:p w:rsidR="006E052B" w:rsidRPr="00881BD2" w:rsidRDefault="006E052B" w:rsidP="002F007F">
            <w:pPr>
              <w:keepNext/>
              <w:keepLines/>
              <w:jc w:val="center"/>
              <w:rPr>
                <w:rFonts w:ascii="Arial Narrow" w:hAnsi="Arial Narrow"/>
                <w:color w:val="000000"/>
                <w:sz w:val="20"/>
                <w:szCs w:val="18"/>
              </w:rPr>
            </w:pPr>
          </w:p>
        </w:tc>
        <w:tc>
          <w:tcPr>
            <w:tcW w:w="423" w:type="pct"/>
            <w:vAlign w:val="center"/>
          </w:tcPr>
          <w:p w:rsidR="006E052B" w:rsidRPr="00881BD2" w:rsidRDefault="006E052B" w:rsidP="002F007F">
            <w:pPr>
              <w:keepNext/>
              <w:keepLines/>
              <w:jc w:val="center"/>
              <w:rPr>
                <w:rFonts w:ascii="Arial Narrow" w:hAnsi="Arial Narrow"/>
                <w:color w:val="000000"/>
                <w:sz w:val="20"/>
                <w:szCs w:val="18"/>
              </w:rPr>
            </w:pPr>
          </w:p>
        </w:tc>
        <w:tc>
          <w:tcPr>
            <w:tcW w:w="565" w:type="pct"/>
            <w:gridSpan w:val="2"/>
            <w:vAlign w:val="center"/>
          </w:tcPr>
          <w:p w:rsidR="006E052B" w:rsidRPr="00881BD2" w:rsidRDefault="006E052B" w:rsidP="002F007F">
            <w:pPr>
              <w:keepNext/>
              <w:keepLines/>
              <w:jc w:val="center"/>
              <w:rPr>
                <w:rFonts w:ascii="Arial Narrow" w:hAnsi="Arial Narrow"/>
                <w:color w:val="000000"/>
                <w:sz w:val="20"/>
                <w:szCs w:val="18"/>
              </w:rPr>
            </w:pPr>
          </w:p>
        </w:tc>
        <w:tc>
          <w:tcPr>
            <w:tcW w:w="533" w:type="pct"/>
            <w:gridSpan w:val="2"/>
            <w:vAlign w:val="center"/>
          </w:tcPr>
          <w:p w:rsidR="006E052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c>
          <w:tcPr>
            <w:tcW w:w="507" w:type="pct"/>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423" w:type="pct"/>
            <w:gridSpan w:val="2"/>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608" w:type="pct"/>
            <w:gridSpan w:val="2"/>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572" w:type="pct"/>
            <w:vAlign w:val="center"/>
          </w:tcPr>
          <w:p w:rsidR="006E052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 ''''''''''''</w:t>
            </w:r>
          </w:p>
        </w:tc>
      </w:tr>
      <w:tr w:rsidR="001B5B6D" w:rsidRPr="00881BD2" w:rsidTr="00F9299D">
        <w:trPr>
          <w:trHeight w:val="20"/>
        </w:trPr>
        <w:tc>
          <w:tcPr>
            <w:tcW w:w="5000" w:type="pct"/>
            <w:gridSpan w:val="14"/>
            <w:shd w:val="clear" w:color="auto" w:fill="auto"/>
            <w:vAlign w:val="center"/>
          </w:tcPr>
          <w:p w:rsidR="001B5B6D" w:rsidRPr="00881BD2" w:rsidRDefault="001B5B6D" w:rsidP="002F007F">
            <w:pPr>
              <w:keepNext/>
              <w:keepLines/>
              <w:rPr>
                <w:rFonts w:ascii="Arial Narrow" w:hAnsi="Arial Narrow"/>
                <w:color w:val="000000"/>
                <w:sz w:val="20"/>
                <w:szCs w:val="18"/>
              </w:rPr>
            </w:pPr>
            <w:r w:rsidRPr="00881BD2">
              <w:rPr>
                <w:rFonts w:ascii="Arial Narrow" w:hAnsi="Arial Narrow"/>
                <w:b/>
                <w:color w:val="000000"/>
                <w:sz w:val="20"/>
                <w:szCs w:val="18"/>
              </w:rPr>
              <w:t>Deaths</w:t>
            </w:r>
          </w:p>
        </w:tc>
      </w:tr>
      <w:tr w:rsidR="003C48B0" w:rsidRPr="00881BD2" w:rsidTr="00F9299D">
        <w:trPr>
          <w:trHeight w:val="20"/>
        </w:trPr>
        <w:tc>
          <w:tcPr>
            <w:tcW w:w="863" w:type="pct"/>
            <w:shd w:val="clear" w:color="auto" w:fill="auto"/>
            <w:vAlign w:val="center"/>
          </w:tcPr>
          <w:p w:rsidR="006E052B" w:rsidRPr="00881BD2" w:rsidRDefault="006E052B" w:rsidP="002F007F">
            <w:pPr>
              <w:keepNext/>
              <w:keepLines/>
              <w:rPr>
                <w:rFonts w:ascii="Arial Narrow" w:hAnsi="Arial Narrow"/>
                <w:color w:val="000000"/>
                <w:sz w:val="20"/>
                <w:szCs w:val="18"/>
              </w:rPr>
            </w:pPr>
            <w:r w:rsidRPr="00881BD2">
              <w:rPr>
                <w:rFonts w:ascii="Arial Narrow" w:hAnsi="Arial Narrow"/>
                <w:color w:val="000000"/>
                <w:sz w:val="20"/>
                <w:szCs w:val="18"/>
              </w:rPr>
              <w:t>CLL-11</w:t>
            </w:r>
          </w:p>
        </w:tc>
        <w:tc>
          <w:tcPr>
            <w:tcW w:w="506" w:type="pct"/>
            <w:gridSpan w:val="2"/>
            <w:vAlign w:val="center"/>
          </w:tcPr>
          <w:p w:rsidR="006E052B" w:rsidRPr="005079C4" w:rsidRDefault="005079C4" w:rsidP="002F007F">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423" w:type="pct"/>
            <w:vAlign w:val="center"/>
          </w:tcPr>
          <w:p w:rsidR="006E052B" w:rsidRPr="005079C4" w:rsidRDefault="005079C4" w:rsidP="002F007F">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565" w:type="pct"/>
            <w:gridSpan w:val="2"/>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533" w:type="pct"/>
            <w:gridSpan w:val="2"/>
            <w:vAlign w:val="center"/>
          </w:tcPr>
          <w:p w:rsidR="006E052B" w:rsidRPr="005079C4" w:rsidRDefault="005079C4" w:rsidP="002F007F">
            <w:pPr>
              <w:keepNext/>
              <w:keepLines/>
              <w:jc w:val="center"/>
              <w:rPr>
                <w:rFonts w:ascii="Arial Narrow" w:hAnsi="Arial Narrow"/>
                <w:b/>
                <w:color w:val="000000"/>
                <w:sz w:val="20"/>
                <w:szCs w:val="18"/>
                <w:highlight w:val="black"/>
              </w:rPr>
            </w:pPr>
            <w:r>
              <w:rPr>
                <w:rFonts w:ascii="Arial Narrow" w:hAnsi="Arial Narrow"/>
                <w:b/>
                <w:noProof/>
                <w:color w:val="000000"/>
                <w:sz w:val="20"/>
                <w:highlight w:val="black"/>
              </w:rPr>
              <w:t xml:space="preserve">'''''' </w:t>
            </w:r>
            <w:r>
              <w:rPr>
                <w:rFonts w:ascii="Arial Narrow" w:hAnsi="Arial Narrow"/>
                <w:b/>
                <w:noProof/>
                <w:color w:val="000000"/>
                <w:sz w:val="20"/>
                <w:highlight w:val="black"/>
              </w:rPr>
              <w:br/>
              <w:t>'''''''' '''''''</w:t>
            </w:r>
          </w:p>
        </w:tc>
        <w:tc>
          <w:tcPr>
            <w:tcW w:w="507" w:type="pct"/>
            <w:vAlign w:val="center"/>
          </w:tcPr>
          <w:p w:rsidR="006E052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423" w:type="pct"/>
            <w:gridSpan w:val="2"/>
            <w:vAlign w:val="center"/>
          </w:tcPr>
          <w:p w:rsidR="006E052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08" w:type="pct"/>
            <w:gridSpan w:val="2"/>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572" w:type="pct"/>
            <w:vAlign w:val="center"/>
          </w:tcPr>
          <w:p w:rsidR="006E052B" w:rsidRPr="005079C4" w:rsidRDefault="005079C4" w:rsidP="002F007F">
            <w:pPr>
              <w:keepNext/>
              <w:keepLines/>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xml:space="preserve">''''''''''' </w:t>
            </w:r>
            <w:r>
              <w:rPr>
                <w:rFonts w:ascii="Arial Narrow" w:hAnsi="Arial Narrow"/>
                <w:b/>
                <w:noProof/>
                <w:color w:val="000000"/>
                <w:sz w:val="20"/>
                <w:szCs w:val="18"/>
                <w:highlight w:val="black"/>
              </w:rPr>
              <w:br/>
              <w:t>'''''''''''' ''''''''''</w:t>
            </w:r>
          </w:p>
        </w:tc>
      </w:tr>
      <w:tr w:rsidR="003C48B0" w:rsidRPr="00881BD2" w:rsidTr="00F9299D">
        <w:trPr>
          <w:trHeight w:val="20"/>
        </w:trPr>
        <w:tc>
          <w:tcPr>
            <w:tcW w:w="863" w:type="pct"/>
            <w:shd w:val="clear" w:color="auto" w:fill="auto"/>
            <w:vAlign w:val="center"/>
          </w:tcPr>
          <w:p w:rsidR="006E052B" w:rsidRPr="00881BD2" w:rsidRDefault="006E052B" w:rsidP="002F007F">
            <w:pPr>
              <w:keepNext/>
              <w:keepLines/>
              <w:rPr>
                <w:rFonts w:ascii="Arial Narrow" w:hAnsi="Arial Narrow"/>
                <w:color w:val="000000"/>
                <w:sz w:val="20"/>
                <w:szCs w:val="18"/>
              </w:rPr>
            </w:pPr>
            <w:r w:rsidRPr="00881BD2">
              <w:rPr>
                <w:rFonts w:ascii="Arial Narrow" w:hAnsi="Arial Narrow"/>
                <w:color w:val="000000"/>
                <w:sz w:val="20"/>
                <w:szCs w:val="18"/>
              </w:rPr>
              <w:t>COMPLEMENT-1</w:t>
            </w:r>
          </w:p>
        </w:tc>
        <w:tc>
          <w:tcPr>
            <w:tcW w:w="506" w:type="pct"/>
            <w:gridSpan w:val="2"/>
            <w:vAlign w:val="center"/>
          </w:tcPr>
          <w:p w:rsidR="006E052B" w:rsidRPr="00881BD2" w:rsidRDefault="006E052B" w:rsidP="002F007F">
            <w:pPr>
              <w:keepNext/>
              <w:keepLines/>
              <w:jc w:val="center"/>
              <w:rPr>
                <w:rFonts w:ascii="Arial Narrow" w:hAnsi="Arial Narrow"/>
                <w:color w:val="000000"/>
                <w:sz w:val="20"/>
                <w:szCs w:val="18"/>
              </w:rPr>
            </w:pPr>
          </w:p>
        </w:tc>
        <w:tc>
          <w:tcPr>
            <w:tcW w:w="423" w:type="pct"/>
            <w:vAlign w:val="center"/>
          </w:tcPr>
          <w:p w:rsidR="006E052B" w:rsidRPr="00881BD2" w:rsidRDefault="006E052B" w:rsidP="002F007F">
            <w:pPr>
              <w:keepNext/>
              <w:keepLines/>
              <w:jc w:val="center"/>
              <w:rPr>
                <w:rFonts w:ascii="Arial Narrow" w:hAnsi="Arial Narrow"/>
                <w:color w:val="000000"/>
                <w:sz w:val="20"/>
                <w:szCs w:val="18"/>
              </w:rPr>
            </w:pPr>
            <w:r w:rsidRPr="00881BD2">
              <w:rPr>
                <w:rFonts w:ascii="Arial Narrow" w:hAnsi="Arial Narrow"/>
                <w:sz w:val="20"/>
              </w:rPr>
              <w:t>40</w:t>
            </w:r>
            <w:r w:rsidR="00185BB2" w:rsidRPr="00881BD2">
              <w:rPr>
                <w:rFonts w:ascii="Arial Narrow" w:hAnsi="Arial Narrow"/>
                <w:sz w:val="20"/>
              </w:rPr>
              <w:t>/227</w:t>
            </w:r>
          </w:p>
        </w:tc>
        <w:tc>
          <w:tcPr>
            <w:tcW w:w="565" w:type="pct"/>
            <w:gridSpan w:val="2"/>
            <w:vAlign w:val="center"/>
          </w:tcPr>
          <w:p w:rsidR="006E052B" w:rsidRPr="00881BD2" w:rsidRDefault="006E052B" w:rsidP="002F007F">
            <w:pPr>
              <w:keepNext/>
              <w:keepLines/>
              <w:jc w:val="center"/>
              <w:rPr>
                <w:rFonts w:ascii="Arial Narrow" w:hAnsi="Arial Narrow"/>
                <w:color w:val="000000"/>
                <w:sz w:val="20"/>
                <w:szCs w:val="18"/>
              </w:rPr>
            </w:pPr>
            <w:r w:rsidRPr="00881BD2">
              <w:rPr>
                <w:rFonts w:ascii="Arial Narrow" w:hAnsi="Arial Narrow"/>
                <w:sz w:val="20"/>
              </w:rPr>
              <w:t>34</w:t>
            </w:r>
            <w:r w:rsidR="008D40CB" w:rsidRPr="00881BD2">
              <w:rPr>
                <w:rFonts w:ascii="Arial Narrow" w:hAnsi="Arial Narrow"/>
                <w:sz w:val="20"/>
              </w:rPr>
              <w:t>/217</w:t>
            </w:r>
          </w:p>
        </w:tc>
        <w:tc>
          <w:tcPr>
            <w:tcW w:w="533" w:type="pct"/>
            <w:gridSpan w:val="2"/>
            <w:vAlign w:val="center"/>
          </w:tcPr>
          <w:p w:rsidR="006E052B" w:rsidRPr="00881BD2" w:rsidRDefault="006E052B" w:rsidP="002F007F">
            <w:pPr>
              <w:keepNext/>
              <w:keepLines/>
              <w:jc w:val="center"/>
              <w:rPr>
                <w:rFonts w:ascii="Arial Narrow" w:hAnsi="Arial Narrow"/>
                <w:color w:val="000000"/>
                <w:sz w:val="20"/>
                <w:szCs w:val="18"/>
              </w:rPr>
            </w:pPr>
            <w:r w:rsidRPr="00881BD2">
              <w:rPr>
                <w:rFonts w:ascii="Arial Narrow" w:hAnsi="Arial Narrow"/>
                <w:sz w:val="20"/>
              </w:rPr>
              <w:t xml:space="preserve">0.9 </w:t>
            </w:r>
            <w:r w:rsidRPr="00881BD2">
              <w:rPr>
                <w:rFonts w:ascii="Arial Narrow" w:hAnsi="Arial Narrow"/>
                <w:sz w:val="20"/>
              </w:rPr>
              <w:br/>
              <w:t>(0.6, 1.4)</w:t>
            </w:r>
          </w:p>
        </w:tc>
        <w:tc>
          <w:tcPr>
            <w:tcW w:w="507" w:type="pct"/>
            <w:vAlign w:val="center"/>
          </w:tcPr>
          <w:p w:rsidR="006E052B" w:rsidRPr="00881BD2" w:rsidRDefault="006E052B" w:rsidP="002F007F">
            <w:pPr>
              <w:keepNext/>
              <w:keepLines/>
              <w:jc w:val="center"/>
              <w:rPr>
                <w:rFonts w:ascii="Arial Narrow" w:hAnsi="Arial Narrow"/>
                <w:color w:val="000000"/>
                <w:sz w:val="20"/>
                <w:szCs w:val="18"/>
              </w:rPr>
            </w:pPr>
          </w:p>
        </w:tc>
        <w:tc>
          <w:tcPr>
            <w:tcW w:w="423" w:type="pct"/>
            <w:gridSpan w:val="2"/>
            <w:vAlign w:val="center"/>
          </w:tcPr>
          <w:p w:rsidR="006E052B" w:rsidRPr="00881BD2" w:rsidRDefault="00C33524" w:rsidP="002F007F">
            <w:pPr>
              <w:keepNext/>
              <w:keepLines/>
              <w:jc w:val="center"/>
              <w:rPr>
                <w:rFonts w:ascii="Arial Narrow" w:hAnsi="Arial Narrow"/>
                <w:color w:val="000000"/>
                <w:sz w:val="20"/>
                <w:szCs w:val="18"/>
              </w:rPr>
            </w:pPr>
            <w:r w:rsidRPr="00881BD2">
              <w:rPr>
                <w:rFonts w:ascii="Arial Narrow" w:hAnsi="Arial Narrow"/>
                <w:color w:val="000000"/>
                <w:sz w:val="20"/>
                <w:szCs w:val="18"/>
              </w:rPr>
              <w:t>18</w:t>
            </w:r>
          </w:p>
        </w:tc>
        <w:tc>
          <w:tcPr>
            <w:tcW w:w="608" w:type="pct"/>
            <w:gridSpan w:val="2"/>
            <w:vAlign w:val="center"/>
          </w:tcPr>
          <w:p w:rsidR="006E052B" w:rsidRPr="00881BD2" w:rsidRDefault="00C33524" w:rsidP="002F007F">
            <w:pPr>
              <w:keepNext/>
              <w:keepLines/>
              <w:jc w:val="center"/>
              <w:rPr>
                <w:rFonts w:ascii="Arial Narrow" w:hAnsi="Arial Narrow"/>
                <w:color w:val="000000"/>
                <w:sz w:val="20"/>
                <w:szCs w:val="18"/>
              </w:rPr>
            </w:pPr>
            <w:r w:rsidRPr="00881BD2">
              <w:rPr>
                <w:rFonts w:ascii="Arial Narrow" w:hAnsi="Arial Narrow"/>
                <w:color w:val="000000"/>
                <w:sz w:val="20"/>
                <w:szCs w:val="18"/>
              </w:rPr>
              <w:t>16</w:t>
            </w:r>
          </w:p>
        </w:tc>
        <w:tc>
          <w:tcPr>
            <w:tcW w:w="572" w:type="pct"/>
            <w:vAlign w:val="center"/>
          </w:tcPr>
          <w:p w:rsidR="006E052B" w:rsidRPr="00881BD2" w:rsidRDefault="00152703" w:rsidP="002F007F">
            <w:pPr>
              <w:keepNext/>
              <w:keepLines/>
              <w:jc w:val="center"/>
              <w:rPr>
                <w:rFonts w:ascii="Arial Narrow" w:hAnsi="Arial Narrow"/>
                <w:color w:val="000000"/>
                <w:sz w:val="20"/>
                <w:szCs w:val="18"/>
              </w:rPr>
            </w:pPr>
            <w:r w:rsidRPr="00881BD2">
              <w:rPr>
                <w:rFonts w:ascii="Arial Narrow" w:hAnsi="Arial Narrow"/>
                <w:color w:val="000000"/>
                <w:sz w:val="20"/>
                <w:szCs w:val="18"/>
              </w:rPr>
              <w:t xml:space="preserve">-2.0 </w:t>
            </w:r>
            <w:r w:rsidRPr="00881BD2">
              <w:rPr>
                <w:rFonts w:ascii="Arial Narrow" w:hAnsi="Arial Narrow"/>
                <w:color w:val="000000"/>
                <w:sz w:val="20"/>
                <w:szCs w:val="18"/>
              </w:rPr>
              <w:br/>
            </w:r>
            <w:r w:rsidRPr="001E4453">
              <w:rPr>
                <w:rFonts w:ascii="Arial Narrow" w:hAnsi="Arial Narrow"/>
                <w:i/>
                <w:color w:val="000000"/>
                <w:sz w:val="20"/>
                <w:szCs w:val="18"/>
              </w:rPr>
              <w:t>(-8.</w:t>
            </w:r>
            <w:r w:rsidR="00144EFD" w:rsidRPr="001E4453">
              <w:rPr>
                <w:rFonts w:ascii="Arial Narrow" w:hAnsi="Arial Narrow"/>
                <w:i/>
                <w:color w:val="000000"/>
                <w:sz w:val="20"/>
                <w:szCs w:val="18"/>
              </w:rPr>
              <w:t>9</w:t>
            </w:r>
            <w:r w:rsidRPr="001E4453">
              <w:rPr>
                <w:rFonts w:ascii="Arial Narrow" w:hAnsi="Arial Narrow"/>
                <w:i/>
                <w:color w:val="000000"/>
                <w:sz w:val="20"/>
                <w:szCs w:val="18"/>
              </w:rPr>
              <w:t>,</w:t>
            </w:r>
            <w:r w:rsidRPr="00881BD2">
              <w:rPr>
                <w:rFonts w:ascii="Arial Narrow" w:hAnsi="Arial Narrow"/>
                <w:color w:val="000000"/>
                <w:sz w:val="20"/>
                <w:szCs w:val="18"/>
              </w:rPr>
              <w:t xml:space="preserve"> </w:t>
            </w:r>
            <w:r w:rsidR="00144EFD" w:rsidRPr="001E4453">
              <w:rPr>
                <w:rFonts w:ascii="Arial Narrow" w:hAnsi="Arial Narrow"/>
                <w:i/>
                <w:color w:val="000000"/>
                <w:sz w:val="20"/>
                <w:szCs w:val="18"/>
              </w:rPr>
              <w:t>5.0</w:t>
            </w:r>
            <w:r w:rsidRPr="00881BD2">
              <w:rPr>
                <w:rFonts w:ascii="Arial Narrow" w:hAnsi="Arial Narrow"/>
                <w:color w:val="000000"/>
                <w:sz w:val="20"/>
                <w:szCs w:val="18"/>
              </w:rPr>
              <w:t>)</w:t>
            </w:r>
          </w:p>
        </w:tc>
      </w:tr>
      <w:tr w:rsidR="003C48B0" w:rsidRPr="00881BD2" w:rsidTr="00F9299D">
        <w:trPr>
          <w:trHeight w:val="20"/>
        </w:trPr>
        <w:tc>
          <w:tcPr>
            <w:tcW w:w="863" w:type="pct"/>
            <w:shd w:val="clear" w:color="auto" w:fill="auto"/>
            <w:vAlign w:val="center"/>
          </w:tcPr>
          <w:p w:rsidR="006E052B" w:rsidRPr="00881BD2" w:rsidRDefault="006E052B" w:rsidP="002F007F">
            <w:pPr>
              <w:keepNext/>
              <w:keepLines/>
              <w:rPr>
                <w:rFonts w:ascii="Arial Narrow" w:hAnsi="Arial Narrow"/>
                <w:color w:val="000000"/>
                <w:sz w:val="20"/>
                <w:szCs w:val="18"/>
              </w:rPr>
            </w:pPr>
            <w:r w:rsidRPr="00881BD2">
              <w:rPr>
                <w:rFonts w:ascii="Arial Narrow" w:hAnsi="Arial Narrow"/>
                <w:color w:val="000000"/>
                <w:sz w:val="20"/>
                <w:szCs w:val="18"/>
              </w:rPr>
              <w:t>Indirect comparison</w:t>
            </w:r>
          </w:p>
        </w:tc>
        <w:tc>
          <w:tcPr>
            <w:tcW w:w="506" w:type="pct"/>
            <w:gridSpan w:val="2"/>
            <w:vAlign w:val="center"/>
          </w:tcPr>
          <w:p w:rsidR="006E052B" w:rsidRPr="00881BD2" w:rsidRDefault="006E052B" w:rsidP="002F007F">
            <w:pPr>
              <w:keepNext/>
              <w:keepLines/>
              <w:jc w:val="center"/>
              <w:rPr>
                <w:rFonts w:ascii="Arial Narrow" w:hAnsi="Arial Narrow"/>
                <w:color w:val="000000"/>
                <w:sz w:val="20"/>
                <w:szCs w:val="18"/>
              </w:rPr>
            </w:pPr>
          </w:p>
        </w:tc>
        <w:tc>
          <w:tcPr>
            <w:tcW w:w="423" w:type="pct"/>
            <w:vAlign w:val="center"/>
          </w:tcPr>
          <w:p w:rsidR="006E052B" w:rsidRPr="00881BD2" w:rsidRDefault="006E052B" w:rsidP="002F007F">
            <w:pPr>
              <w:keepNext/>
              <w:keepLines/>
              <w:jc w:val="center"/>
              <w:rPr>
                <w:rFonts w:ascii="Arial Narrow" w:hAnsi="Arial Narrow"/>
                <w:color w:val="000000"/>
                <w:sz w:val="20"/>
                <w:szCs w:val="18"/>
              </w:rPr>
            </w:pPr>
          </w:p>
        </w:tc>
        <w:tc>
          <w:tcPr>
            <w:tcW w:w="565" w:type="pct"/>
            <w:gridSpan w:val="2"/>
            <w:vAlign w:val="center"/>
          </w:tcPr>
          <w:p w:rsidR="006E052B" w:rsidRPr="00881BD2" w:rsidRDefault="006E052B" w:rsidP="002F007F">
            <w:pPr>
              <w:keepNext/>
              <w:keepLines/>
              <w:jc w:val="center"/>
              <w:rPr>
                <w:rFonts w:ascii="Arial Narrow" w:hAnsi="Arial Narrow"/>
                <w:color w:val="000000"/>
                <w:sz w:val="20"/>
                <w:szCs w:val="18"/>
              </w:rPr>
            </w:pPr>
          </w:p>
        </w:tc>
        <w:tc>
          <w:tcPr>
            <w:tcW w:w="533" w:type="pct"/>
            <w:gridSpan w:val="2"/>
            <w:vAlign w:val="center"/>
          </w:tcPr>
          <w:p w:rsidR="006E052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c>
          <w:tcPr>
            <w:tcW w:w="507" w:type="pct"/>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423" w:type="pct"/>
            <w:gridSpan w:val="2"/>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608" w:type="pct"/>
            <w:gridSpan w:val="2"/>
            <w:vAlign w:val="center"/>
          </w:tcPr>
          <w:p w:rsidR="006E052B" w:rsidRPr="00E52564" w:rsidRDefault="006E052B" w:rsidP="002F007F">
            <w:pPr>
              <w:keepNext/>
              <w:keepLines/>
              <w:jc w:val="center"/>
              <w:rPr>
                <w:rFonts w:ascii="Arial Narrow" w:hAnsi="Arial Narrow"/>
                <w:color w:val="000000"/>
                <w:sz w:val="20"/>
                <w:szCs w:val="18"/>
                <w:highlight w:val="yellow"/>
              </w:rPr>
            </w:pPr>
          </w:p>
        </w:tc>
        <w:tc>
          <w:tcPr>
            <w:tcW w:w="572" w:type="pct"/>
            <w:vAlign w:val="center"/>
          </w:tcPr>
          <w:p w:rsidR="006E052B" w:rsidRPr="005079C4" w:rsidRDefault="005079C4" w:rsidP="002F007F">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 '''''''''</w:t>
            </w:r>
          </w:p>
        </w:tc>
      </w:tr>
    </w:tbl>
    <w:p w:rsidR="00726F0B" w:rsidRPr="00881BD2" w:rsidRDefault="00726F0B" w:rsidP="002F007F">
      <w:pPr>
        <w:pStyle w:val="TableFooter"/>
        <w:keepNext/>
        <w:keepLines/>
        <w:ind w:left="709"/>
      </w:pPr>
      <w:r w:rsidRPr="00881BD2">
        <w:t xml:space="preserve">Source: Table </w:t>
      </w:r>
      <w:proofErr w:type="gramStart"/>
      <w:r w:rsidRPr="00881BD2">
        <w:t>B(</w:t>
      </w:r>
      <w:proofErr w:type="gramEnd"/>
      <w:r w:rsidRPr="00881BD2">
        <w:t>a).6.1 p.28 of the submission.</w:t>
      </w:r>
      <w:r w:rsidR="00207C31">
        <w:t xml:space="preserve"> </w:t>
      </w:r>
      <w:r w:rsidRPr="00881BD2">
        <w:t xml:space="preserve">HR = hazard ratio; CI = confidence interval; OBI = </w:t>
      </w:r>
      <w:proofErr w:type="spellStart"/>
      <w:r w:rsidRPr="00881BD2">
        <w:t>obinutuzumab</w:t>
      </w:r>
      <w:proofErr w:type="spellEnd"/>
      <w:r w:rsidRPr="00881BD2">
        <w:t>; CLB = chlorambucil; OFA = ofatumumab;</w:t>
      </w:r>
      <w:r w:rsidR="00996C2F" w:rsidRPr="00881BD2">
        <w:t xml:space="preserve"> AE = adverse event</w:t>
      </w:r>
      <w:r w:rsidR="00207C31">
        <w:t>.</w:t>
      </w:r>
      <w:r w:rsidR="002C238C" w:rsidRPr="00881BD2">
        <w:t xml:space="preserve"> </w:t>
      </w:r>
    </w:p>
    <w:p w:rsidR="00726F0B" w:rsidRPr="00881BD2" w:rsidRDefault="00726F0B" w:rsidP="00726F0B">
      <w:pPr>
        <w:ind w:left="709"/>
      </w:pPr>
    </w:p>
    <w:p w:rsidR="00726F0B" w:rsidRPr="000D41E8" w:rsidRDefault="00726F0B" w:rsidP="006305C9">
      <w:pPr>
        <w:pStyle w:val="ListParagraph"/>
        <w:keepNext/>
        <w:keepLines/>
        <w:widowControl/>
        <w:numPr>
          <w:ilvl w:val="1"/>
          <w:numId w:val="15"/>
        </w:numPr>
        <w:rPr>
          <w:rFonts w:cs="Calibri"/>
          <w:i/>
          <w:u w:val="single"/>
        </w:rPr>
      </w:pPr>
      <w:r w:rsidRPr="00881BD2">
        <w:lastRenderedPageBreak/>
        <w:t xml:space="preserve">Based on an indirect comparison using </w:t>
      </w:r>
      <w:r w:rsidR="00D44148" w:rsidRPr="00881BD2">
        <w:t>chlorambucil</w:t>
      </w:r>
      <w:r w:rsidRPr="00881BD2">
        <w:t xml:space="preserve"> as the common comparator, the comparison of </w:t>
      </w:r>
      <w:proofErr w:type="spellStart"/>
      <w:r w:rsidR="00D44148" w:rsidRPr="00881BD2">
        <w:t>obinutuzumab</w:t>
      </w:r>
      <w:proofErr w:type="spellEnd"/>
      <w:r w:rsidRPr="00881BD2">
        <w:t xml:space="preserve"> and </w:t>
      </w:r>
      <w:r w:rsidR="002877BA" w:rsidRPr="00881BD2">
        <w:t>ofatumumab</w:t>
      </w:r>
      <w:r w:rsidRPr="00881BD2">
        <w:t xml:space="preserve"> </w:t>
      </w:r>
      <w:r w:rsidRPr="00881BD2">
        <w:rPr>
          <w:rFonts w:cs="Calibri"/>
        </w:rPr>
        <w:t>result</w:t>
      </w:r>
      <w:r w:rsidR="002877BA" w:rsidRPr="00881BD2">
        <w:rPr>
          <w:rFonts w:cs="Calibri"/>
        </w:rPr>
        <w:t xml:space="preserve">ed in a statistically significant </w:t>
      </w:r>
      <w:r w:rsidRPr="00881BD2">
        <w:rPr>
          <w:rFonts w:cs="Calibri"/>
        </w:rPr>
        <w:t xml:space="preserve">difference in </w:t>
      </w:r>
      <w:r w:rsidR="005B43F9">
        <w:rPr>
          <w:rFonts w:cs="Calibri"/>
        </w:rPr>
        <w:t>PFS</w:t>
      </w:r>
      <w:r w:rsidR="002877BA" w:rsidRPr="00881BD2">
        <w:rPr>
          <w:rFonts w:cs="Calibri"/>
        </w:rPr>
        <w:t xml:space="preserve"> and time to next treatment.</w:t>
      </w:r>
      <w:r w:rsidR="00257DBF">
        <w:rPr>
          <w:rFonts w:cs="Calibri"/>
        </w:rPr>
        <w:t xml:space="preserve"> </w:t>
      </w:r>
      <w:r w:rsidR="00257DBF" w:rsidRPr="007043F4">
        <w:rPr>
          <w:rFonts w:cs="Calibri"/>
        </w:rPr>
        <w:t xml:space="preserve">The ESC </w:t>
      </w:r>
      <w:r w:rsidR="00FD376B" w:rsidRPr="007043F4">
        <w:rPr>
          <w:rFonts w:cs="Calibri"/>
        </w:rPr>
        <w:t>considered</w:t>
      </w:r>
      <w:r w:rsidR="00257DBF" w:rsidRPr="007043F4">
        <w:rPr>
          <w:rFonts w:cs="Calibri"/>
        </w:rPr>
        <w:t xml:space="preserve"> that this indirect evidence may not have been reliable, as outlined in </w:t>
      </w:r>
      <w:r w:rsidR="006305C9" w:rsidRPr="007043F4">
        <w:rPr>
          <w:rFonts w:cs="Calibri"/>
        </w:rPr>
        <w:t>P</w:t>
      </w:r>
      <w:r w:rsidR="00257DBF" w:rsidRPr="007043F4">
        <w:rPr>
          <w:rFonts w:cs="Calibri"/>
        </w:rPr>
        <w:t>aragraph 6.</w:t>
      </w:r>
      <w:r w:rsidR="00B631C6">
        <w:rPr>
          <w:rFonts w:cs="Calibri"/>
        </w:rPr>
        <w:t>13</w:t>
      </w:r>
      <w:r w:rsidR="0008283D" w:rsidRPr="007043F4">
        <w:rPr>
          <w:rFonts w:cs="Calibri"/>
          <w:i/>
        </w:rPr>
        <w:t>.</w:t>
      </w:r>
    </w:p>
    <w:p w:rsidR="00726F0B" w:rsidRPr="001E4453" w:rsidRDefault="00726F0B" w:rsidP="00726F0B">
      <w:pPr>
        <w:rPr>
          <w:i/>
        </w:rPr>
      </w:pPr>
    </w:p>
    <w:p w:rsidR="00521D40" w:rsidRDefault="00521D40" w:rsidP="00726F0B">
      <w:pPr>
        <w:pStyle w:val="Heading2"/>
      </w:pPr>
      <w:bookmarkStart w:id="13" w:name="_Toc409532709"/>
    </w:p>
    <w:p w:rsidR="00726F0B" w:rsidRPr="00F9299D" w:rsidRDefault="00726F0B" w:rsidP="00726F0B">
      <w:pPr>
        <w:pStyle w:val="Heading2"/>
      </w:pPr>
      <w:r w:rsidRPr="00F9299D">
        <w:t>Clinical claim</w:t>
      </w:r>
      <w:bookmarkEnd w:id="13"/>
    </w:p>
    <w:p w:rsidR="00726F0B" w:rsidRPr="00881BD2" w:rsidRDefault="00726F0B" w:rsidP="00726F0B">
      <w:pPr>
        <w:pStyle w:val="BodyText"/>
      </w:pPr>
    </w:p>
    <w:p w:rsidR="00726F0B" w:rsidRPr="00881BD2" w:rsidRDefault="00726F0B" w:rsidP="006305C9">
      <w:pPr>
        <w:pStyle w:val="ListParagraph"/>
        <w:keepNext/>
        <w:keepLines/>
        <w:widowControl/>
        <w:numPr>
          <w:ilvl w:val="1"/>
          <w:numId w:val="15"/>
        </w:numPr>
        <w:rPr>
          <w:szCs w:val="22"/>
        </w:rPr>
      </w:pPr>
      <w:r w:rsidRPr="00881BD2">
        <w:t xml:space="preserve">The </w:t>
      </w:r>
      <w:r w:rsidR="00960676" w:rsidRPr="00881BD2">
        <w:t>re-submission</w:t>
      </w:r>
      <w:r w:rsidRPr="00881BD2">
        <w:t xml:space="preserve"> </w:t>
      </w:r>
      <w:r w:rsidR="002E13AE">
        <w:t xml:space="preserve">claimed </w:t>
      </w:r>
      <w:r w:rsidRPr="00881BD2">
        <w:t xml:space="preserve">that </w:t>
      </w:r>
      <w:proofErr w:type="spellStart"/>
      <w:r w:rsidRPr="00881BD2">
        <w:t>obinutuzumab</w:t>
      </w:r>
      <w:proofErr w:type="spellEnd"/>
      <w:r w:rsidRPr="00881BD2">
        <w:t xml:space="preserve"> plus chlorambucil was superior in terms of effectiveness, and was inferior in terms of safety, when compared to</w:t>
      </w:r>
      <w:r w:rsidR="00CC7394" w:rsidRPr="00881BD2">
        <w:t>:</w:t>
      </w:r>
      <w:r w:rsidRPr="00881BD2">
        <w:t xml:space="preserve"> </w:t>
      </w:r>
    </w:p>
    <w:p w:rsidR="00726F0B" w:rsidRPr="00881BD2" w:rsidRDefault="00CC7394" w:rsidP="001F2CBF">
      <w:pPr>
        <w:pStyle w:val="ListParagraph"/>
        <w:widowControl/>
        <w:numPr>
          <w:ilvl w:val="0"/>
          <w:numId w:val="11"/>
        </w:numPr>
        <w:rPr>
          <w:szCs w:val="22"/>
        </w:rPr>
      </w:pPr>
      <w:r w:rsidRPr="00881BD2">
        <w:t>r</w:t>
      </w:r>
      <w:r w:rsidR="00726F0B" w:rsidRPr="00881BD2">
        <w:t>ituximab plus chlorambucil,</w:t>
      </w:r>
    </w:p>
    <w:p w:rsidR="00726F0B" w:rsidRPr="00881BD2" w:rsidRDefault="00CC7394" w:rsidP="001F2CBF">
      <w:pPr>
        <w:pStyle w:val="ListParagraph"/>
        <w:widowControl/>
        <w:numPr>
          <w:ilvl w:val="0"/>
          <w:numId w:val="11"/>
        </w:numPr>
        <w:rPr>
          <w:szCs w:val="22"/>
        </w:rPr>
      </w:pPr>
      <w:proofErr w:type="gramStart"/>
      <w:r w:rsidRPr="00881BD2">
        <w:t>c</w:t>
      </w:r>
      <w:r w:rsidR="00726F0B" w:rsidRPr="00881BD2">
        <w:t>hlorambucil</w:t>
      </w:r>
      <w:proofErr w:type="gramEnd"/>
      <w:r w:rsidR="00726F0B" w:rsidRPr="00881BD2">
        <w:t xml:space="preserve"> monotherapy.</w:t>
      </w:r>
    </w:p>
    <w:p w:rsidR="00726F0B" w:rsidRPr="00881BD2" w:rsidRDefault="00726F0B" w:rsidP="00726F0B">
      <w:pPr>
        <w:widowControl/>
        <w:ind w:left="720"/>
        <w:rPr>
          <w:szCs w:val="22"/>
        </w:rPr>
      </w:pPr>
      <w:r w:rsidRPr="00881BD2">
        <w:rPr>
          <w:szCs w:val="22"/>
        </w:rPr>
        <w:t xml:space="preserve">The claim was unchanged from the previous submission. This claim </w:t>
      </w:r>
      <w:r w:rsidR="005B4AB6">
        <w:rPr>
          <w:szCs w:val="22"/>
        </w:rPr>
        <w:t>had been</w:t>
      </w:r>
      <w:r w:rsidRPr="00881BD2">
        <w:rPr>
          <w:szCs w:val="22"/>
        </w:rPr>
        <w:t xml:space="preserve"> accepted by the PBAC in July 2014. </w:t>
      </w:r>
    </w:p>
    <w:p w:rsidR="00726F0B" w:rsidRPr="00881BD2" w:rsidRDefault="00726F0B" w:rsidP="00726F0B">
      <w:pPr>
        <w:ind w:left="720" w:hanging="720"/>
        <w:rPr>
          <w:szCs w:val="22"/>
        </w:rPr>
      </w:pPr>
    </w:p>
    <w:p w:rsidR="00CC7394" w:rsidRPr="002C2CE8" w:rsidRDefault="00CC7394" w:rsidP="006305C9">
      <w:pPr>
        <w:pStyle w:val="ListParagraph"/>
        <w:keepNext/>
        <w:keepLines/>
        <w:widowControl/>
        <w:numPr>
          <w:ilvl w:val="1"/>
          <w:numId w:val="15"/>
        </w:numPr>
        <w:rPr>
          <w:szCs w:val="22"/>
        </w:rPr>
      </w:pPr>
      <w:r w:rsidRPr="002C2CE8">
        <w:t>T</w:t>
      </w:r>
      <w:r w:rsidR="00726F0B" w:rsidRPr="002C2CE8">
        <w:t xml:space="preserve">he submission </w:t>
      </w:r>
      <w:r w:rsidRPr="002C2CE8">
        <w:t xml:space="preserve">also claimed that </w:t>
      </w:r>
      <w:proofErr w:type="spellStart"/>
      <w:r w:rsidRPr="002C2CE8">
        <w:t>obinutuzumab</w:t>
      </w:r>
      <w:proofErr w:type="spellEnd"/>
      <w:r w:rsidRPr="002C2CE8">
        <w:t xml:space="preserve"> plus chlorambucil resulted in a statistically significant improvement in PFS (HR=0.32, 95% CI</w:t>
      </w:r>
      <w:proofErr w:type="gramStart"/>
      <w:r w:rsidRPr="002C2CE8">
        <w:t>:0.22</w:t>
      </w:r>
      <w:proofErr w:type="gramEnd"/>
      <w:r w:rsidRPr="002C2CE8">
        <w:t>, 0.45) and time to next anti-</w:t>
      </w:r>
      <w:r w:rsidR="00452B9E" w:rsidRPr="002C2CE8">
        <w:t>leukaemia</w:t>
      </w:r>
      <w:r w:rsidRPr="002C2CE8">
        <w:t xml:space="preserve"> </w:t>
      </w:r>
      <w:r w:rsidRPr="00793EF3">
        <w:t>treatment (HR=</w:t>
      </w:r>
      <w:r w:rsidR="005079C4">
        <w:rPr>
          <w:noProof/>
          <w:color w:val="000000"/>
          <w:highlight w:val="black"/>
        </w:rPr>
        <w:t>'''''''''''</w:t>
      </w:r>
      <w:r w:rsidRPr="00793EF3">
        <w:t xml:space="preserve">, 95% CI: </w:t>
      </w:r>
      <w:r w:rsidR="005079C4">
        <w:rPr>
          <w:noProof/>
          <w:color w:val="000000"/>
          <w:highlight w:val="black"/>
        </w:rPr>
        <w:t>''''''''''' ''''''''''</w:t>
      </w:r>
      <w:r w:rsidRPr="00793EF3">
        <w:t>), and similar safety compared to ofatumumab plus chlorambucil.</w:t>
      </w:r>
    </w:p>
    <w:p w:rsidR="00CC7394" w:rsidRPr="00881BD2" w:rsidRDefault="00CC7394" w:rsidP="001E4453">
      <w:pPr>
        <w:pStyle w:val="ListParagraph"/>
        <w:widowControl/>
        <w:rPr>
          <w:i/>
          <w:szCs w:val="22"/>
        </w:rPr>
      </w:pPr>
    </w:p>
    <w:p w:rsidR="00726F0B" w:rsidRPr="00881BD2" w:rsidRDefault="00726F0B" w:rsidP="006305C9">
      <w:pPr>
        <w:pStyle w:val="ListParagraph"/>
        <w:keepNext/>
        <w:keepLines/>
        <w:widowControl/>
        <w:numPr>
          <w:ilvl w:val="1"/>
          <w:numId w:val="15"/>
        </w:numPr>
        <w:rPr>
          <w:szCs w:val="22"/>
        </w:rPr>
      </w:pPr>
      <w:r w:rsidRPr="00881BD2">
        <w:t xml:space="preserve">This claim </w:t>
      </w:r>
      <w:r w:rsidR="005B4AB6">
        <w:t xml:space="preserve">against ofatumumab </w:t>
      </w:r>
      <w:r w:rsidRPr="00881BD2">
        <w:t xml:space="preserve">was potentially </w:t>
      </w:r>
      <w:r w:rsidR="00236372" w:rsidRPr="00881BD2">
        <w:t>in</w:t>
      </w:r>
      <w:r w:rsidRPr="00881BD2">
        <w:t>adequately supported due to:</w:t>
      </w:r>
    </w:p>
    <w:p w:rsidR="00726F0B" w:rsidRPr="00881BD2" w:rsidRDefault="00726F0B" w:rsidP="001F2CBF">
      <w:pPr>
        <w:pStyle w:val="ListParagraph"/>
        <w:numPr>
          <w:ilvl w:val="0"/>
          <w:numId w:val="11"/>
        </w:numPr>
      </w:pPr>
      <w:r w:rsidRPr="00881BD2">
        <w:t>Differences between trials in baseline characteristics (age, comorbidity) and chlorambucil dosage (considerably higher in COMPLEMENT-1);</w:t>
      </w:r>
    </w:p>
    <w:p w:rsidR="00726F0B" w:rsidRPr="00881BD2" w:rsidRDefault="00726F0B" w:rsidP="001F2CBF">
      <w:pPr>
        <w:pStyle w:val="ListParagraph"/>
        <w:numPr>
          <w:ilvl w:val="0"/>
          <w:numId w:val="11"/>
        </w:numPr>
      </w:pPr>
      <w:r w:rsidRPr="00881BD2">
        <w:t>Differences in the clinical outcomes in the reference arms of the two trials were substantial, which made the analysis questionable;</w:t>
      </w:r>
    </w:p>
    <w:p w:rsidR="00726F0B" w:rsidRDefault="00726F0B" w:rsidP="001F2CBF">
      <w:pPr>
        <w:pStyle w:val="ListParagraph"/>
        <w:numPr>
          <w:ilvl w:val="0"/>
          <w:numId w:val="11"/>
        </w:numPr>
      </w:pPr>
      <w:r w:rsidRPr="00881BD2">
        <w:t>Evidence of effectiveness in terms of overall survival was not available.</w:t>
      </w:r>
    </w:p>
    <w:p w:rsidR="00726F0B" w:rsidRDefault="00726F0B" w:rsidP="00726F0B">
      <w:pPr>
        <w:ind w:left="720" w:hanging="720"/>
        <w:rPr>
          <w:szCs w:val="22"/>
        </w:rPr>
      </w:pPr>
    </w:p>
    <w:p w:rsidR="007357E3" w:rsidRPr="005A2F09" w:rsidRDefault="007357E3" w:rsidP="007357E3">
      <w:pPr>
        <w:rPr>
          <w:i/>
        </w:rPr>
      </w:pPr>
      <w:r w:rsidRPr="005A2F09">
        <w:rPr>
          <w:i/>
        </w:rPr>
        <w:t>For more detail on PBAC’s view, see section 7 “PBAC outcome”</w:t>
      </w:r>
    </w:p>
    <w:p w:rsidR="007357E3" w:rsidRDefault="007357E3" w:rsidP="00726F0B">
      <w:pPr>
        <w:ind w:left="720" w:hanging="720"/>
        <w:rPr>
          <w:szCs w:val="22"/>
        </w:rPr>
      </w:pPr>
    </w:p>
    <w:p w:rsidR="007357E3" w:rsidRPr="00881BD2" w:rsidRDefault="007357E3" w:rsidP="00726F0B">
      <w:pPr>
        <w:ind w:left="720" w:hanging="720"/>
        <w:rPr>
          <w:szCs w:val="22"/>
        </w:rPr>
      </w:pPr>
    </w:p>
    <w:p w:rsidR="00726F0B" w:rsidRPr="00F9299D" w:rsidRDefault="00726F0B" w:rsidP="00726F0B">
      <w:pPr>
        <w:pStyle w:val="Heading2"/>
      </w:pPr>
      <w:bookmarkStart w:id="14" w:name="_Toc409532710"/>
      <w:r w:rsidRPr="00F9299D">
        <w:t>Economic analysis</w:t>
      </w:r>
      <w:bookmarkEnd w:id="14"/>
      <w:r w:rsidRPr="00F9299D">
        <w:t xml:space="preserve"> </w:t>
      </w:r>
    </w:p>
    <w:p w:rsidR="000E536C" w:rsidRPr="00881BD2" w:rsidRDefault="000E536C" w:rsidP="000E536C">
      <w:pPr>
        <w:ind w:left="720" w:hanging="720"/>
        <w:rPr>
          <w:szCs w:val="22"/>
        </w:rPr>
      </w:pPr>
    </w:p>
    <w:p w:rsidR="002E13AE" w:rsidRDefault="00726F0B" w:rsidP="006305C9">
      <w:pPr>
        <w:pStyle w:val="ListParagraph"/>
        <w:keepNext/>
        <w:keepLines/>
        <w:widowControl/>
        <w:numPr>
          <w:ilvl w:val="1"/>
          <w:numId w:val="15"/>
        </w:numPr>
      </w:pPr>
      <w:r w:rsidRPr="00881BD2">
        <w:t xml:space="preserve">The </w:t>
      </w:r>
      <w:r w:rsidR="00B71AC3" w:rsidRPr="00881BD2">
        <w:t>re-</w:t>
      </w:r>
      <w:r w:rsidRPr="00881BD2">
        <w:t>submission presented a modelled evaluation for the comparison</w:t>
      </w:r>
      <w:r w:rsidR="00B71AC3" w:rsidRPr="00881BD2">
        <w:t>s</w:t>
      </w:r>
      <w:r w:rsidRPr="00881BD2">
        <w:t xml:space="preserve"> with rituximab plus chlorambucil</w:t>
      </w:r>
      <w:r w:rsidR="00B71AC3" w:rsidRPr="00881BD2">
        <w:t xml:space="preserve">, </w:t>
      </w:r>
      <w:r w:rsidRPr="00881BD2">
        <w:t>and chlorambucil</w:t>
      </w:r>
      <w:r w:rsidR="00B71AC3" w:rsidRPr="00881BD2">
        <w:t xml:space="preserve"> monotherapy</w:t>
      </w:r>
      <w:r w:rsidRPr="00881BD2">
        <w:t>. The</w:t>
      </w:r>
      <w:r w:rsidR="00B71AC3" w:rsidRPr="00881BD2">
        <w:t xml:space="preserve"> re-</w:t>
      </w:r>
      <w:r w:rsidRPr="00881BD2">
        <w:t xml:space="preserve">submission did not provide an economic evaluation comparing </w:t>
      </w:r>
      <w:proofErr w:type="spellStart"/>
      <w:r w:rsidRPr="00881BD2">
        <w:t>obinutuzumab</w:t>
      </w:r>
      <w:proofErr w:type="spellEnd"/>
      <w:r w:rsidRPr="00881BD2">
        <w:t xml:space="preserve"> plus chlorambucil with ofatumumab plus chlorambucil. </w:t>
      </w:r>
    </w:p>
    <w:p w:rsidR="002E13AE" w:rsidRDefault="002E13AE" w:rsidP="001E4453">
      <w:pPr>
        <w:pStyle w:val="ListParagraph"/>
        <w:widowControl/>
      </w:pPr>
    </w:p>
    <w:p w:rsidR="005C6696" w:rsidRPr="005C6696" w:rsidRDefault="005C6696" w:rsidP="006305C9">
      <w:pPr>
        <w:pStyle w:val="ListParagraph"/>
        <w:keepNext/>
        <w:keepLines/>
        <w:widowControl/>
        <w:numPr>
          <w:ilvl w:val="1"/>
          <w:numId w:val="15"/>
        </w:numPr>
      </w:pPr>
      <w:r w:rsidRPr="005C6696">
        <w:t xml:space="preserve">In July 2014, the PBAC had raised a number of concerns about the economic evaluation submitted for </w:t>
      </w:r>
      <w:proofErr w:type="spellStart"/>
      <w:r w:rsidRPr="0025521C">
        <w:t>obinutuzumab</w:t>
      </w:r>
      <w:proofErr w:type="spellEnd"/>
      <w:r w:rsidRPr="0025521C">
        <w:t xml:space="preserve"> versus </w:t>
      </w:r>
      <w:proofErr w:type="spellStart"/>
      <w:r w:rsidRPr="0025521C">
        <w:t>rituximab+chlorambucil</w:t>
      </w:r>
      <w:proofErr w:type="spellEnd"/>
      <w:r w:rsidRPr="0025521C">
        <w:t xml:space="preserve">, and chlorambucil monotherapy. Table </w:t>
      </w:r>
      <w:r w:rsidR="0025521C" w:rsidRPr="0025521C">
        <w:t>6</w:t>
      </w:r>
      <w:r w:rsidRPr="0025521C">
        <w:t xml:space="preserve"> outlines the</w:t>
      </w:r>
      <w:r w:rsidRPr="005C6696">
        <w:t xml:space="preserve"> </w:t>
      </w:r>
      <w:r w:rsidR="006305C9">
        <w:t>change</w:t>
      </w:r>
      <w:r w:rsidRPr="005C6696">
        <w:t>s</w:t>
      </w:r>
      <w:r w:rsidR="006305C9">
        <w:t xml:space="preserve"> that </w:t>
      </w:r>
      <w:r w:rsidR="00E000AD">
        <w:t>were</w:t>
      </w:r>
      <w:r w:rsidRPr="005C6696">
        <w:t xml:space="preserve"> made to the model to address each of these concerns.  </w:t>
      </w:r>
    </w:p>
    <w:p w:rsidR="00726F0B" w:rsidRPr="005C6696" w:rsidRDefault="00726F0B" w:rsidP="00726F0B">
      <w:pPr>
        <w:widowControl/>
        <w:rPr>
          <w:color w:val="FF0000"/>
          <w:szCs w:val="22"/>
        </w:rPr>
      </w:pPr>
    </w:p>
    <w:p w:rsidR="005C6696" w:rsidRPr="000B685C" w:rsidRDefault="005A2F09" w:rsidP="009D6C8D">
      <w:pPr>
        <w:keepNext/>
        <w:keepLines/>
        <w:widowControl/>
        <w:ind w:left="720"/>
        <w:rPr>
          <w:rFonts w:ascii="Arial Narrow" w:hAnsi="Arial Narrow"/>
          <w:sz w:val="20"/>
        </w:rPr>
      </w:pPr>
      <w:r>
        <w:rPr>
          <w:rFonts w:ascii="Arial Narrow" w:hAnsi="Arial Narrow"/>
          <w:b/>
          <w:sz w:val="20"/>
        </w:rPr>
        <w:lastRenderedPageBreak/>
        <w:t xml:space="preserve">Table 6: </w:t>
      </w:r>
      <w:r w:rsidR="005C6696" w:rsidRPr="000B685C">
        <w:rPr>
          <w:rFonts w:ascii="Arial Narrow" w:hAnsi="Arial Narrow"/>
          <w:b/>
          <w:sz w:val="20"/>
        </w:rPr>
        <w:t>Economic evaluation: Matters raised by the PBAC in July 2014 and how these were addressed in the re</w:t>
      </w:r>
      <w:r w:rsidR="005C6696" w:rsidRPr="000B685C">
        <w:rPr>
          <w:rFonts w:ascii="Arial Narrow" w:hAnsi="Arial Narrow"/>
          <w:b/>
          <w:sz w:val="20"/>
        </w:rPr>
        <w:noBreakHyphen/>
        <w:t>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36"/>
        <w:gridCol w:w="3809"/>
      </w:tblGrid>
      <w:tr w:rsidR="005C6696" w:rsidRPr="000B685C" w:rsidTr="005C6696">
        <w:trPr>
          <w:trHeight w:val="20"/>
        </w:trPr>
        <w:tc>
          <w:tcPr>
            <w:tcW w:w="2718" w:type="pct"/>
            <w:shd w:val="clear" w:color="auto" w:fill="auto"/>
          </w:tcPr>
          <w:p w:rsidR="005C6696" w:rsidRPr="000B685C" w:rsidRDefault="005C6696" w:rsidP="009D6C8D">
            <w:pPr>
              <w:keepNext/>
              <w:keepLines/>
              <w:jc w:val="left"/>
              <w:rPr>
                <w:rFonts w:ascii="Arial Narrow" w:hAnsi="Arial Narrow"/>
                <w:b/>
                <w:sz w:val="20"/>
              </w:rPr>
            </w:pPr>
            <w:r w:rsidRPr="000B685C">
              <w:rPr>
                <w:rFonts w:ascii="Arial Narrow" w:hAnsi="Arial Narrow"/>
                <w:b/>
                <w:sz w:val="20"/>
              </w:rPr>
              <w:t>Issues identified with the model submitted in July 2014</w:t>
            </w:r>
          </w:p>
        </w:tc>
        <w:tc>
          <w:tcPr>
            <w:tcW w:w="2282" w:type="pct"/>
            <w:shd w:val="clear" w:color="auto" w:fill="auto"/>
          </w:tcPr>
          <w:p w:rsidR="005C6696" w:rsidRPr="000B685C" w:rsidRDefault="005C6696" w:rsidP="009D6C8D">
            <w:pPr>
              <w:keepNext/>
              <w:keepLines/>
              <w:jc w:val="left"/>
              <w:rPr>
                <w:rFonts w:ascii="Arial Narrow" w:hAnsi="Arial Narrow"/>
                <w:b/>
                <w:sz w:val="20"/>
              </w:rPr>
            </w:pPr>
            <w:r w:rsidRPr="000B685C">
              <w:rPr>
                <w:rFonts w:ascii="Arial Narrow" w:hAnsi="Arial Narrow"/>
                <w:b/>
                <w:sz w:val="20"/>
              </w:rPr>
              <w:t>How the issue was addressed in the re</w:t>
            </w:r>
            <w:r w:rsidRPr="000B685C">
              <w:rPr>
                <w:rFonts w:ascii="Arial Narrow" w:hAnsi="Arial Narrow"/>
                <w:b/>
                <w:sz w:val="20"/>
              </w:rPr>
              <w:noBreakHyphen/>
              <w:t>submission</w:t>
            </w:r>
          </w:p>
        </w:tc>
      </w:tr>
      <w:tr w:rsidR="005C6696" w:rsidRPr="000B685C" w:rsidTr="005C6696">
        <w:trPr>
          <w:trHeight w:val="20"/>
        </w:trPr>
        <w:tc>
          <w:tcPr>
            <w:tcW w:w="2718"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 xml:space="preserve">The method used to derive the probability of post-progression survival, using data from the CLL5 trial, led to inconsistency between the modelled and observed OS (Para 7.12 of July 2014 Minutes). </w:t>
            </w: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r w:rsidRPr="000B685C">
              <w:rPr>
                <w:rFonts w:ascii="Arial Narrow" w:hAnsi="Arial Narrow"/>
                <w:sz w:val="20"/>
              </w:rPr>
              <w:t>T</w:t>
            </w:r>
            <w:r w:rsidRPr="000B685C">
              <w:rPr>
                <w:rFonts w:ascii="Arial Narrow" w:hAnsi="Arial Narrow" w:cs="Times New Roman"/>
                <w:snapToGrid/>
                <w:sz w:val="20"/>
                <w:lang w:eastAsia="en-AU"/>
              </w:rPr>
              <w:t>he PBAC suggested that an appropriate model should ensure modelled OS is consistent with the trial-based data (Para 7.17)</w:t>
            </w:r>
          </w:p>
        </w:tc>
        <w:tc>
          <w:tcPr>
            <w:tcW w:w="2282"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CLL11 data were relied on for the modelling of post-progression survival probabilities.</w:t>
            </w: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tc>
      </w:tr>
      <w:tr w:rsidR="005C6696" w:rsidRPr="000B685C" w:rsidTr="005C6696">
        <w:trPr>
          <w:trHeight w:val="20"/>
        </w:trPr>
        <w:tc>
          <w:tcPr>
            <w:tcW w:w="2718"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The structure of the economic model did not appropriately reflect different levels of disease progression, and required an additional health state to account for patients who are progressed but well.  (Para 7.13)</w:t>
            </w: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r w:rsidRPr="000B685C">
              <w:rPr>
                <w:rFonts w:ascii="Arial Narrow" w:hAnsi="Arial Narrow"/>
                <w:sz w:val="20"/>
              </w:rPr>
              <w:t>The PBAC suggested that an appropriate model should include a progressed but well health state with an appropriate utility value.</w:t>
            </w:r>
          </w:p>
        </w:tc>
        <w:tc>
          <w:tcPr>
            <w:tcW w:w="2282" w:type="pct"/>
            <w:shd w:val="clear" w:color="auto" w:fill="auto"/>
          </w:tcPr>
          <w:p w:rsidR="005C6696" w:rsidRPr="006317AA" w:rsidRDefault="005C6696" w:rsidP="009D6C8D">
            <w:pPr>
              <w:keepNext/>
              <w:keepLines/>
              <w:jc w:val="left"/>
              <w:rPr>
                <w:rFonts w:ascii="Arial Narrow" w:hAnsi="Arial Narrow"/>
                <w:sz w:val="20"/>
              </w:rPr>
            </w:pPr>
            <w:r w:rsidRPr="000B685C">
              <w:rPr>
                <w:rFonts w:ascii="Arial Narrow" w:hAnsi="Arial Narrow"/>
                <w:sz w:val="20"/>
              </w:rPr>
              <w:t xml:space="preserve">The model structure was modified to more appropriately reflect the paths of disease progression. </w:t>
            </w:r>
            <w:r w:rsidRPr="006317AA">
              <w:rPr>
                <w:rFonts w:ascii="Arial Narrow" w:hAnsi="Arial Narrow"/>
                <w:sz w:val="20"/>
              </w:rPr>
              <w:t>The health state of ‘post-progression’ were replaced with:</w:t>
            </w:r>
          </w:p>
          <w:p w:rsidR="005C6696" w:rsidRPr="006317AA" w:rsidRDefault="005C6696" w:rsidP="009D6C8D">
            <w:pPr>
              <w:pStyle w:val="ListParagraph"/>
              <w:keepNext/>
              <w:keepLines/>
              <w:numPr>
                <w:ilvl w:val="0"/>
                <w:numId w:val="11"/>
              </w:numPr>
              <w:ind w:left="397" w:hanging="283"/>
              <w:jc w:val="left"/>
              <w:rPr>
                <w:rFonts w:ascii="Arial Narrow" w:hAnsi="Arial Narrow"/>
                <w:sz w:val="20"/>
              </w:rPr>
            </w:pPr>
            <w:r w:rsidRPr="006317AA">
              <w:rPr>
                <w:rFonts w:ascii="Arial Narrow" w:hAnsi="Arial Narrow"/>
                <w:sz w:val="20"/>
              </w:rPr>
              <w:t>Asymptomatic progression</w:t>
            </w:r>
          </w:p>
          <w:p w:rsidR="005C6696" w:rsidRPr="006317AA" w:rsidRDefault="005C6696" w:rsidP="009D6C8D">
            <w:pPr>
              <w:pStyle w:val="ListParagraph"/>
              <w:keepNext/>
              <w:keepLines/>
              <w:numPr>
                <w:ilvl w:val="0"/>
                <w:numId w:val="11"/>
              </w:numPr>
              <w:ind w:left="397" w:hanging="283"/>
              <w:jc w:val="left"/>
              <w:rPr>
                <w:rFonts w:ascii="Arial Narrow" w:hAnsi="Arial Narrow"/>
                <w:sz w:val="20"/>
              </w:rPr>
            </w:pPr>
            <w:r w:rsidRPr="006317AA">
              <w:rPr>
                <w:rFonts w:ascii="Arial Narrow" w:hAnsi="Arial Narrow"/>
                <w:sz w:val="20"/>
              </w:rPr>
              <w:t xml:space="preserve">Symptomatic progression (on treatment, without treatment) </w:t>
            </w:r>
          </w:p>
          <w:p w:rsidR="005C6696" w:rsidRPr="006317AA" w:rsidRDefault="005C6696" w:rsidP="009D6C8D">
            <w:pPr>
              <w:pStyle w:val="ListParagraph"/>
              <w:keepNext/>
              <w:keepLines/>
              <w:numPr>
                <w:ilvl w:val="0"/>
                <w:numId w:val="11"/>
              </w:numPr>
              <w:ind w:left="397" w:hanging="283"/>
              <w:jc w:val="left"/>
              <w:rPr>
                <w:rFonts w:ascii="Arial Narrow" w:hAnsi="Arial Narrow"/>
                <w:sz w:val="20"/>
              </w:rPr>
            </w:pPr>
            <w:r w:rsidRPr="006317AA">
              <w:rPr>
                <w:rFonts w:ascii="Arial Narrow" w:hAnsi="Arial Narrow"/>
                <w:sz w:val="20"/>
              </w:rPr>
              <w:t>Subsequent progression</w:t>
            </w: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r w:rsidRPr="000B685C">
              <w:rPr>
                <w:rFonts w:ascii="Arial Narrow" w:hAnsi="Arial Narrow"/>
                <w:sz w:val="20"/>
              </w:rPr>
              <w:t>Additional utility weig</w:t>
            </w:r>
            <w:r w:rsidR="009D6C8D" w:rsidRPr="000B685C">
              <w:rPr>
                <w:rFonts w:ascii="Arial Narrow" w:hAnsi="Arial Narrow"/>
                <w:sz w:val="20"/>
              </w:rPr>
              <w:t>hts were used from Kosmas et al</w:t>
            </w:r>
            <w:r w:rsidRPr="000B685C">
              <w:rPr>
                <w:rFonts w:ascii="Arial Narrow" w:hAnsi="Arial Narrow"/>
                <w:sz w:val="20"/>
              </w:rPr>
              <w:t xml:space="preserve"> (2014) for the health states that had been added in the model.</w:t>
            </w:r>
          </w:p>
        </w:tc>
      </w:tr>
      <w:tr w:rsidR="005C6696" w:rsidRPr="000B685C" w:rsidTr="005C6696">
        <w:trPr>
          <w:trHeight w:val="20"/>
        </w:trPr>
        <w:tc>
          <w:tcPr>
            <w:tcW w:w="2718"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The model must include the impact of post progression therapy, given the likelihood that patients with progressive disease may receive second and subsequent lines of treatment; a reliable model structure would need to appropriately reflect the possibility of additional lines of treatment, with their costs and health benefits. (Para 7.14)</w:t>
            </w: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r w:rsidRPr="000B685C">
              <w:rPr>
                <w:rFonts w:ascii="Arial Narrow" w:hAnsi="Arial Narrow"/>
                <w:sz w:val="20"/>
              </w:rPr>
              <w:t>The PBAC suggested that an appropriate model should include post-progression therapy in the base case, with this excluded in a sensitivity analysis;</w:t>
            </w:r>
          </w:p>
        </w:tc>
        <w:tc>
          <w:tcPr>
            <w:tcW w:w="2282"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 xml:space="preserve">The cost of an additional line of treatment was assumed to be equal to </w:t>
            </w:r>
            <w:r w:rsidR="005079C4">
              <w:rPr>
                <w:rFonts w:ascii="Arial Narrow" w:hAnsi="Arial Narrow"/>
                <w:noProof/>
                <w:color w:val="000000"/>
                <w:sz w:val="20"/>
                <w:highlight w:val="black"/>
              </w:rPr>
              <w:t xml:space="preserve">''''''' </w:t>
            </w:r>
            <w:r w:rsidRPr="000B685C">
              <w:rPr>
                <w:rFonts w:ascii="Arial Narrow" w:hAnsi="Arial Narrow"/>
                <w:sz w:val="20"/>
              </w:rPr>
              <w:t>cycles of rituximab plus chlorambucil. Only one additional line of treatment was accounted for in the model.</w:t>
            </w: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r w:rsidRPr="000B685C">
              <w:rPr>
                <w:rFonts w:ascii="Arial Narrow" w:hAnsi="Arial Narrow"/>
                <w:sz w:val="20"/>
              </w:rPr>
              <w:t>The effectiveness of additional lines of treatment was not explicitly modelled. The re-submission argued the health benefits were inherently reflected by the CLL11 data used to model post-progression probabilities. The impact on health state utilities was supposed to be incorporated in the relevant weights used in the model. Th</w:t>
            </w:r>
            <w:r w:rsidR="009D6C8D" w:rsidRPr="000B685C">
              <w:rPr>
                <w:rFonts w:ascii="Arial Narrow" w:hAnsi="Arial Narrow"/>
                <w:sz w:val="20"/>
              </w:rPr>
              <w:t xml:space="preserve">e evaluation considered that this was </w:t>
            </w:r>
            <w:r w:rsidRPr="000B685C">
              <w:rPr>
                <w:rFonts w:ascii="Arial Narrow" w:hAnsi="Arial Narrow"/>
                <w:sz w:val="20"/>
              </w:rPr>
              <w:t>probably reasonable.</w:t>
            </w:r>
          </w:p>
          <w:p w:rsidR="005C6696" w:rsidRPr="000B685C" w:rsidRDefault="005C6696" w:rsidP="009D6C8D">
            <w:pPr>
              <w:keepNext/>
              <w:keepLines/>
              <w:jc w:val="left"/>
              <w:rPr>
                <w:rFonts w:ascii="Arial Narrow" w:hAnsi="Arial Narrow"/>
                <w:sz w:val="20"/>
              </w:rPr>
            </w:pPr>
          </w:p>
          <w:p w:rsidR="005C6696" w:rsidRPr="000B685C" w:rsidRDefault="005C6696" w:rsidP="009D6C8D">
            <w:pPr>
              <w:keepNext/>
              <w:keepLines/>
              <w:jc w:val="left"/>
              <w:rPr>
                <w:rFonts w:ascii="Arial Narrow" w:hAnsi="Arial Narrow"/>
                <w:sz w:val="20"/>
              </w:rPr>
            </w:pPr>
            <w:r w:rsidRPr="000B685C">
              <w:rPr>
                <w:rFonts w:ascii="Arial Narrow" w:hAnsi="Arial Narrow"/>
                <w:sz w:val="20"/>
              </w:rPr>
              <w:t>Sensitivity analyses were undertaken by doubling the cost of second-line treatment, and also by assuming zero weeks on second-line therapy.</w:t>
            </w:r>
          </w:p>
        </w:tc>
      </w:tr>
      <w:tr w:rsidR="005C6696" w:rsidRPr="000B685C" w:rsidTr="005C6696">
        <w:trPr>
          <w:trHeight w:val="20"/>
        </w:trPr>
        <w:tc>
          <w:tcPr>
            <w:tcW w:w="2718"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The model was highly sensitive to the choice of parametric function used to extrapolate PFS when the more recent data cut is used; moreover, the model was highly sensitive to the choice of data cut. (Para 7.15)</w:t>
            </w:r>
          </w:p>
        </w:tc>
        <w:tc>
          <w:tcPr>
            <w:tcW w:w="2282"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The outcomes of economic evaluation were still somewhat sensitive to the choice of the parametric form for data extrapolation. Relevant sensitivity analyses were presented.</w:t>
            </w:r>
          </w:p>
        </w:tc>
      </w:tr>
      <w:tr w:rsidR="005C6696" w:rsidRPr="000B685C" w:rsidTr="005C6696">
        <w:trPr>
          <w:trHeight w:val="20"/>
        </w:trPr>
        <w:tc>
          <w:tcPr>
            <w:tcW w:w="2718"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The costs of adverse events should be included in the model (para 7.17)</w:t>
            </w:r>
          </w:p>
        </w:tc>
        <w:tc>
          <w:tcPr>
            <w:tcW w:w="2282" w:type="pct"/>
            <w:shd w:val="clear" w:color="auto" w:fill="auto"/>
          </w:tcPr>
          <w:p w:rsidR="005C6696" w:rsidRPr="000B685C" w:rsidRDefault="005C6696" w:rsidP="009D6C8D">
            <w:pPr>
              <w:keepNext/>
              <w:keepLines/>
              <w:jc w:val="left"/>
              <w:rPr>
                <w:rFonts w:ascii="Arial Narrow" w:hAnsi="Arial Narrow"/>
                <w:sz w:val="20"/>
              </w:rPr>
            </w:pPr>
            <w:r w:rsidRPr="000B685C">
              <w:rPr>
                <w:rFonts w:ascii="Arial Narrow" w:hAnsi="Arial Narrow"/>
                <w:sz w:val="20"/>
              </w:rPr>
              <w:t>The costs of adverse events were accounted for in a more comprehensive manner and included infusion-related reactions, neutropenia, thrombocytopenia, secondary malignancies, and cardiac events.</w:t>
            </w:r>
          </w:p>
        </w:tc>
      </w:tr>
    </w:tbl>
    <w:p w:rsidR="005C6696" w:rsidRPr="000B685C" w:rsidRDefault="005C6696" w:rsidP="009D6C8D">
      <w:pPr>
        <w:pStyle w:val="TableFooter"/>
        <w:keepNext/>
        <w:keepLines/>
        <w:ind w:firstLine="720"/>
        <w:rPr>
          <w:sz w:val="20"/>
        </w:rPr>
      </w:pPr>
      <w:r w:rsidRPr="000B685C">
        <w:rPr>
          <w:sz w:val="20"/>
        </w:rPr>
        <w:t xml:space="preserve">Source: </w:t>
      </w:r>
      <w:r w:rsidR="009D6C8D" w:rsidRPr="000B685C">
        <w:rPr>
          <w:sz w:val="20"/>
        </w:rPr>
        <w:t>compiled during evaluation</w:t>
      </w:r>
      <w:r w:rsidRPr="000B685C">
        <w:rPr>
          <w:sz w:val="20"/>
        </w:rPr>
        <w:t xml:space="preserve"> </w:t>
      </w:r>
    </w:p>
    <w:p w:rsidR="005C6696" w:rsidRPr="000B685C" w:rsidRDefault="005C6696" w:rsidP="009D6C8D">
      <w:pPr>
        <w:pStyle w:val="TableFooter"/>
        <w:keepNext/>
        <w:keepLines/>
        <w:ind w:left="720"/>
        <w:rPr>
          <w:sz w:val="20"/>
        </w:rPr>
      </w:pPr>
      <w:r w:rsidRPr="000B685C">
        <w:rPr>
          <w:sz w:val="20"/>
        </w:rPr>
        <w:t>CIRS = cumulative illness rating scale; CLL = chronic lymphocytic leukaemia; PBAC = Pharmaceutical Benefits Advisory Committee; PFS = progression free survival; PSCR =pre sub-committee report</w:t>
      </w:r>
    </w:p>
    <w:p w:rsidR="005C6696" w:rsidRPr="000B685C" w:rsidRDefault="005C6696" w:rsidP="005C6696">
      <w:pPr>
        <w:widowControl/>
        <w:jc w:val="left"/>
        <w:rPr>
          <w:rFonts w:ascii="Arial Bold" w:hAnsi="Arial Bold"/>
          <w:b/>
          <w:caps/>
        </w:rPr>
      </w:pPr>
    </w:p>
    <w:p w:rsidR="00623E0F" w:rsidRPr="00623E0F" w:rsidRDefault="00623E0F" w:rsidP="006305C9">
      <w:pPr>
        <w:pStyle w:val="ListParagraph"/>
        <w:keepNext/>
        <w:keepLines/>
        <w:widowControl/>
        <w:numPr>
          <w:ilvl w:val="1"/>
          <w:numId w:val="15"/>
        </w:numPr>
      </w:pPr>
      <w:r w:rsidRPr="00623E0F">
        <w:lastRenderedPageBreak/>
        <w:t>Key changes made to the model to address the PBAC’s concerns from July 2014 included:</w:t>
      </w:r>
    </w:p>
    <w:p w:rsidR="00623E0F" w:rsidRPr="00623E0F" w:rsidRDefault="00623E0F" w:rsidP="00623E0F">
      <w:pPr>
        <w:pStyle w:val="ListParagraph"/>
        <w:widowControl/>
        <w:numPr>
          <w:ilvl w:val="0"/>
          <w:numId w:val="35"/>
        </w:numPr>
      </w:pPr>
      <w:r w:rsidRPr="00623E0F">
        <w:t>the inclusion of additional health states, i.e. the progressed state subdivided into asymptomatic, symptomatic on treatment, symptomatic off treatment, and subsequent progression;</w:t>
      </w:r>
    </w:p>
    <w:p w:rsidR="00623E0F" w:rsidRPr="00623E0F" w:rsidRDefault="00623E0F" w:rsidP="00623E0F">
      <w:pPr>
        <w:pStyle w:val="ListParagraph"/>
        <w:widowControl/>
        <w:numPr>
          <w:ilvl w:val="0"/>
          <w:numId w:val="35"/>
        </w:numPr>
      </w:pPr>
      <w:r w:rsidRPr="00623E0F">
        <w:t>the use of more recent data for the modelling of overall survival (CLL11 rather than CLL5);</w:t>
      </w:r>
    </w:p>
    <w:p w:rsidR="00623E0F" w:rsidRPr="00623E0F" w:rsidRDefault="00623E0F" w:rsidP="00623E0F">
      <w:pPr>
        <w:pStyle w:val="ListParagraph"/>
        <w:widowControl/>
        <w:numPr>
          <w:ilvl w:val="0"/>
          <w:numId w:val="35"/>
        </w:numPr>
      </w:pPr>
      <w:proofErr w:type="gramStart"/>
      <w:r w:rsidRPr="00623E0F">
        <w:t>the</w:t>
      </w:r>
      <w:proofErr w:type="gramEnd"/>
      <w:r w:rsidRPr="00623E0F">
        <w:t xml:space="preserve"> inclusion of additional cost categories i.e. end of life, adverse events, medical resource use in post-progression, additional line of treatment. </w:t>
      </w:r>
    </w:p>
    <w:p w:rsidR="005C6696" w:rsidRPr="00623E0F" w:rsidRDefault="00623E0F" w:rsidP="00623E0F">
      <w:pPr>
        <w:pStyle w:val="ListParagraph"/>
        <w:widowControl/>
      </w:pPr>
      <w:r w:rsidRPr="00623E0F">
        <w:t>The evaluator and the ESC considered that these changes were appropriate.</w:t>
      </w:r>
    </w:p>
    <w:p w:rsidR="004926FA" w:rsidRPr="00623E0F" w:rsidRDefault="004926FA" w:rsidP="00623E0F">
      <w:pPr>
        <w:pStyle w:val="ListParagraph"/>
        <w:widowControl/>
      </w:pPr>
    </w:p>
    <w:p w:rsidR="00726F0B" w:rsidRPr="00881BD2" w:rsidRDefault="005A2F09" w:rsidP="001E4453">
      <w:pPr>
        <w:keepNext/>
        <w:keepLines/>
        <w:ind w:firstLine="720"/>
        <w:rPr>
          <w:rStyle w:val="CommentReference"/>
        </w:rPr>
      </w:pPr>
      <w:r>
        <w:rPr>
          <w:rStyle w:val="CommentReference"/>
        </w:rPr>
        <w:t xml:space="preserve">Table 7: </w:t>
      </w:r>
      <w:r w:rsidR="00726F0B" w:rsidRPr="00881BD2">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the economic model structure"/>
      </w:tblPr>
      <w:tblGrid>
        <w:gridCol w:w="2552"/>
        <w:gridCol w:w="5793"/>
      </w:tblGrid>
      <w:tr w:rsidR="00726F0B" w:rsidRPr="00881BD2" w:rsidTr="00F70BD6">
        <w:trPr>
          <w:tblHeader/>
        </w:trPr>
        <w:tc>
          <w:tcPr>
            <w:tcW w:w="1529" w:type="pct"/>
            <w:shd w:val="clear" w:color="auto" w:fill="auto"/>
            <w:vAlign w:val="center"/>
          </w:tcPr>
          <w:p w:rsidR="00726F0B" w:rsidRPr="00881BD2" w:rsidRDefault="00726F0B" w:rsidP="001E4453">
            <w:pPr>
              <w:keepNext/>
              <w:keepLines/>
              <w:jc w:val="left"/>
              <w:rPr>
                <w:rFonts w:ascii="Arial Narrow" w:hAnsi="Arial Narrow"/>
                <w:b/>
                <w:sz w:val="20"/>
              </w:rPr>
            </w:pPr>
            <w:r w:rsidRPr="00881BD2">
              <w:rPr>
                <w:rFonts w:ascii="Arial Narrow" w:hAnsi="Arial Narrow"/>
                <w:b/>
                <w:sz w:val="20"/>
              </w:rPr>
              <w:t>Component</w:t>
            </w:r>
          </w:p>
        </w:tc>
        <w:tc>
          <w:tcPr>
            <w:tcW w:w="3471" w:type="pct"/>
            <w:shd w:val="clear" w:color="auto" w:fill="auto"/>
            <w:vAlign w:val="center"/>
          </w:tcPr>
          <w:p w:rsidR="00726F0B" w:rsidRPr="00881BD2" w:rsidRDefault="00726F0B" w:rsidP="001E4453">
            <w:pPr>
              <w:keepNext/>
              <w:keepLines/>
              <w:jc w:val="center"/>
              <w:rPr>
                <w:rFonts w:ascii="Arial Narrow" w:hAnsi="Arial Narrow"/>
                <w:b/>
                <w:sz w:val="20"/>
              </w:rPr>
            </w:pPr>
            <w:r w:rsidRPr="00881BD2">
              <w:rPr>
                <w:rFonts w:ascii="Arial Narrow" w:hAnsi="Arial Narrow"/>
                <w:b/>
                <w:sz w:val="20"/>
              </w:rPr>
              <w:t>Summary</w:t>
            </w:r>
          </w:p>
        </w:tc>
      </w:tr>
      <w:tr w:rsidR="00726F0B" w:rsidRPr="00881BD2" w:rsidTr="00F70BD6">
        <w:tc>
          <w:tcPr>
            <w:tcW w:w="1529"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Time horizon</w:t>
            </w:r>
          </w:p>
        </w:tc>
        <w:tc>
          <w:tcPr>
            <w:tcW w:w="3471"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10 years extrapolated from CLL11 median follow ups of 31.8 months (CLL11 Stage 1a) and 27.3 months (CLL11 Stage 2)</w:t>
            </w:r>
          </w:p>
        </w:tc>
      </w:tr>
      <w:tr w:rsidR="00726F0B" w:rsidRPr="00881BD2" w:rsidTr="00F70BD6">
        <w:tc>
          <w:tcPr>
            <w:tcW w:w="1529"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Outcomes</w:t>
            </w:r>
          </w:p>
        </w:tc>
        <w:tc>
          <w:tcPr>
            <w:tcW w:w="3471"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Mean QALYs, mean LYs, total cost</w:t>
            </w:r>
          </w:p>
        </w:tc>
      </w:tr>
      <w:tr w:rsidR="00726F0B" w:rsidRPr="00881BD2" w:rsidTr="00F70BD6">
        <w:tc>
          <w:tcPr>
            <w:tcW w:w="1529"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Methods used to generate results</w:t>
            </w:r>
          </w:p>
        </w:tc>
        <w:tc>
          <w:tcPr>
            <w:tcW w:w="3471"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Markov model, cohort expected value analysis, extrapolated trial data</w:t>
            </w:r>
          </w:p>
        </w:tc>
      </w:tr>
      <w:tr w:rsidR="00726F0B" w:rsidRPr="00881BD2" w:rsidTr="00F70BD6">
        <w:tc>
          <w:tcPr>
            <w:tcW w:w="1529"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Health states</w:t>
            </w:r>
          </w:p>
        </w:tc>
        <w:tc>
          <w:tcPr>
            <w:tcW w:w="3471"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Progression-free survival (on treatment or without treatment)</w:t>
            </w:r>
          </w:p>
          <w:p w:rsidR="00726F0B" w:rsidRPr="006317AA" w:rsidRDefault="00726F0B" w:rsidP="001E4453">
            <w:pPr>
              <w:keepNext/>
              <w:keepLines/>
              <w:jc w:val="left"/>
              <w:rPr>
                <w:rFonts w:ascii="Arial Narrow" w:hAnsi="Arial Narrow"/>
                <w:sz w:val="20"/>
              </w:rPr>
            </w:pPr>
            <w:r w:rsidRPr="006317AA">
              <w:rPr>
                <w:rFonts w:ascii="Arial Narrow" w:hAnsi="Arial Narrow"/>
                <w:sz w:val="20"/>
              </w:rPr>
              <w:t>Asymptomatic progression</w:t>
            </w:r>
          </w:p>
          <w:p w:rsidR="00726F0B" w:rsidRPr="00881BD2" w:rsidRDefault="00726F0B" w:rsidP="001E4453">
            <w:pPr>
              <w:keepNext/>
              <w:keepLines/>
              <w:jc w:val="left"/>
              <w:rPr>
                <w:rFonts w:ascii="Arial Narrow" w:hAnsi="Arial Narrow"/>
                <w:sz w:val="20"/>
              </w:rPr>
            </w:pPr>
            <w:r w:rsidRPr="006317AA">
              <w:rPr>
                <w:rFonts w:ascii="Arial Narrow" w:hAnsi="Arial Narrow"/>
                <w:sz w:val="20"/>
              </w:rPr>
              <w:t>Symptomatic progression (on treatment or without treatment)</w:t>
            </w:r>
            <w:r w:rsidRPr="00881BD2">
              <w:rPr>
                <w:rFonts w:ascii="Arial Narrow" w:hAnsi="Arial Narrow"/>
                <w:sz w:val="20"/>
              </w:rPr>
              <w:t xml:space="preserve"> </w:t>
            </w:r>
          </w:p>
          <w:p w:rsidR="00726F0B" w:rsidRPr="00881BD2" w:rsidRDefault="00726F0B" w:rsidP="001E4453">
            <w:pPr>
              <w:keepNext/>
              <w:keepLines/>
              <w:jc w:val="left"/>
              <w:rPr>
                <w:rFonts w:ascii="Arial Narrow" w:hAnsi="Arial Narrow"/>
                <w:sz w:val="20"/>
              </w:rPr>
            </w:pPr>
            <w:r w:rsidRPr="00881BD2">
              <w:rPr>
                <w:rFonts w:ascii="Arial Narrow" w:hAnsi="Arial Narrow"/>
                <w:sz w:val="20"/>
              </w:rPr>
              <w:t>Subsequent progression</w:t>
            </w:r>
          </w:p>
          <w:p w:rsidR="00726F0B" w:rsidRPr="00881BD2" w:rsidRDefault="00726F0B" w:rsidP="001E4453">
            <w:pPr>
              <w:keepNext/>
              <w:keepLines/>
              <w:jc w:val="left"/>
              <w:rPr>
                <w:rFonts w:ascii="Arial Narrow" w:hAnsi="Arial Narrow"/>
                <w:sz w:val="20"/>
              </w:rPr>
            </w:pPr>
            <w:r w:rsidRPr="00881BD2">
              <w:rPr>
                <w:rFonts w:ascii="Arial Narrow" w:hAnsi="Arial Narrow"/>
                <w:sz w:val="20"/>
              </w:rPr>
              <w:t>Death</w:t>
            </w:r>
          </w:p>
        </w:tc>
      </w:tr>
      <w:tr w:rsidR="00726F0B" w:rsidRPr="00881BD2" w:rsidTr="00F70BD6">
        <w:tc>
          <w:tcPr>
            <w:tcW w:w="1529"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Cycle length</w:t>
            </w:r>
          </w:p>
        </w:tc>
        <w:tc>
          <w:tcPr>
            <w:tcW w:w="3471"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1 week with half-cycle correction</w:t>
            </w:r>
          </w:p>
        </w:tc>
      </w:tr>
      <w:tr w:rsidR="00726F0B" w:rsidRPr="00881BD2" w:rsidTr="00F70BD6">
        <w:tc>
          <w:tcPr>
            <w:tcW w:w="1529"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Transition probabilities</w:t>
            </w:r>
          </w:p>
        </w:tc>
        <w:tc>
          <w:tcPr>
            <w:tcW w:w="3471" w:type="pct"/>
            <w:shd w:val="clear" w:color="auto" w:fill="auto"/>
            <w:vAlign w:val="center"/>
          </w:tcPr>
          <w:p w:rsidR="00726F0B" w:rsidRPr="00881BD2" w:rsidRDefault="00726F0B" w:rsidP="001E4453">
            <w:pPr>
              <w:keepNext/>
              <w:keepLines/>
              <w:jc w:val="left"/>
              <w:rPr>
                <w:rFonts w:ascii="Arial Narrow" w:hAnsi="Arial Narrow"/>
                <w:sz w:val="20"/>
              </w:rPr>
            </w:pPr>
            <w:r w:rsidRPr="00881BD2">
              <w:rPr>
                <w:rFonts w:ascii="Arial Narrow" w:hAnsi="Arial Narrow"/>
                <w:sz w:val="20"/>
              </w:rPr>
              <w:t>Derived from CLL11</w:t>
            </w:r>
          </w:p>
        </w:tc>
      </w:tr>
    </w:tbl>
    <w:p w:rsidR="00726F0B" w:rsidRPr="00881BD2" w:rsidRDefault="00726F0B">
      <w:pPr>
        <w:pStyle w:val="TableFooter"/>
        <w:keepNext/>
        <w:keepLines/>
        <w:ind w:firstLine="720"/>
      </w:pPr>
      <w:r w:rsidRPr="00881BD2">
        <w:t>Source: compiled during the evaluation</w:t>
      </w:r>
      <w:r w:rsidR="00B71AC3" w:rsidRPr="00881BD2">
        <w:t xml:space="preserve">. </w:t>
      </w:r>
      <w:r w:rsidRPr="00881BD2">
        <w:t xml:space="preserve">LY = life year; QALY </w:t>
      </w:r>
      <w:r w:rsidR="00F97C74" w:rsidRPr="00881BD2">
        <w:t>= quality adjusted life year</w:t>
      </w:r>
    </w:p>
    <w:p w:rsidR="00726F0B" w:rsidRDefault="00726F0B" w:rsidP="00726F0B">
      <w:pPr>
        <w:widowControl/>
        <w:rPr>
          <w:szCs w:val="22"/>
        </w:rPr>
      </w:pPr>
    </w:p>
    <w:p w:rsidR="005E72D5" w:rsidRDefault="005E72D5" w:rsidP="006305C9">
      <w:pPr>
        <w:pStyle w:val="ListParagraph"/>
        <w:keepNext/>
        <w:keepLines/>
        <w:widowControl/>
        <w:numPr>
          <w:ilvl w:val="1"/>
          <w:numId w:val="15"/>
        </w:numPr>
        <w:rPr>
          <w:szCs w:val="22"/>
        </w:rPr>
      </w:pPr>
      <w:r w:rsidRPr="005E72D5">
        <w:rPr>
          <w:szCs w:val="22"/>
        </w:rPr>
        <w:t>The main</w:t>
      </w:r>
      <w:r w:rsidR="003153E6">
        <w:rPr>
          <w:szCs w:val="22"/>
        </w:rPr>
        <w:t xml:space="preserve"> influences on the</w:t>
      </w:r>
      <w:r w:rsidRPr="005E72D5">
        <w:rPr>
          <w:szCs w:val="22"/>
        </w:rPr>
        <w:t xml:space="preserve"> ICER identified in the stepped analyses were</w:t>
      </w:r>
      <w:r w:rsidR="00E000AD">
        <w:rPr>
          <w:szCs w:val="22"/>
        </w:rPr>
        <w:t>:</w:t>
      </w:r>
      <w:r w:rsidRPr="005E72D5">
        <w:rPr>
          <w:szCs w:val="22"/>
        </w:rPr>
        <w:t xml:space="preserve"> extending the model beyond</w:t>
      </w:r>
      <w:r w:rsidR="003153E6">
        <w:rPr>
          <w:szCs w:val="22"/>
        </w:rPr>
        <w:t xml:space="preserve"> the</w:t>
      </w:r>
      <w:r w:rsidRPr="005E72D5">
        <w:rPr>
          <w:szCs w:val="22"/>
        </w:rPr>
        <w:t xml:space="preserve"> trial duration</w:t>
      </w:r>
      <w:r w:rsidR="00E000AD">
        <w:rPr>
          <w:szCs w:val="22"/>
        </w:rPr>
        <w:t>;</w:t>
      </w:r>
      <w:r w:rsidRPr="005E72D5">
        <w:rPr>
          <w:szCs w:val="22"/>
        </w:rPr>
        <w:t xml:space="preserve"> and the inclusion of an additional line of therapy after disease progression. The price of rituximab applied in the economic evaluation was the effective non-fludarabine</w:t>
      </w:r>
      <w:r w:rsidR="00E000AD">
        <w:rPr>
          <w:szCs w:val="22"/>
        </w:rPr>
        <w:t xml:space="preserve"> + </w:t>
      </w:r>
      <w:r w:rsidRPr="005E72D5">
        <w:rPr>
          <w:szCs w:val="22"/>
        </w:rPr>
        <w:t>cyclophosphamide ex-manufacturer price in CLL as listed on 1 December 2014.</w:t>
      </w:r>
    </w:p>
    <w:p w:rsidR="005E72D5" w:rsidRPr="00881BD2" w:rsidRDefault="005E72D5" w:rsidP="00726F0B">
      <w:pPr>
        <w:widowControl/>
        <w:rPr>
          <w:szCs w:val="22"/>
        </w:rPr>
      </w:pPr>
    </w:p>
    <w:p w:rsidR="00726F0B" w:rsidRPr="00881BD2" w:rsidRDefault="005A2F09" w:rsidP="00726F0B">
      <w:pPr>
        <w:ind w:firstLine="720"/>
        <w:rPr>
          <w:rStyle w:val="CommentReference"/>
        </w:rPr>
      </w:pPr>
      <w:r>
        <w:rPr>
          <w:rStyle w:val="CommentReference"/>
        </w:rPr>
        <w:t xml:space="preserve">Table 8: </w:t>
      </w:r>
      <w:r w:rsidR="00726F0B" w:rsidRPr="00881BD2">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552"/>
        <w:gridCol w:w="3543"/>
        <w:gridCol w:w="2250"/>
      </w:tblGrid>
      <w:tr w:rsidR="00726F0B" w:rsidRPr="00881BD2" w:rsidTr="00F70BD6">
        <w:trPr>
          <w:tblHeader/>
        </w:trPr>
        <w:tc>
          <w:tcPr>
            <w:tcW w:w="1529" w:type="pct"/>
            <w:shd w:val="clear" w:color="auto" w:fill="auto"/>
            <w:vAlign w:val="center"/>
          </w:tcPr>
          <w:p w:rsidR="00726F0B" w:rsidRPr="00881BD2" w:rsidRDefault="00726F0B" w:rsidP="00F70BD6">
            <w:pPr>
              <w:jc w:val="left"/>
              <w:rPr>
                <w:rFonts w:ascii="Arial Narrow" w:hAnsi="Arial Narrow"/>
                <w:b/>
                <w:sz w:val="20"/>
              </w:rPr>
            </w:pPr>
            <w:r w:rsidRPr="00881BD2">
              <w:rPr>
                <w:rFonts w:ascii="Arial Narrow" w:hAnsi="Arial Narrow"/>
                <w:b/>
                <w:sz w:val="20"/>
              </w:rPr>
              <w:t>Description</w:t>
            </w:r>
          </w:p>
        </w:tc>
        <w:tc>
          <w:tcPr>
            <w:tcW w:w="2123" w:type="pct"/>
            <w:shd w:val="clear" w:color="auto" w:fill="auto"/>
            <w:vAlign w:val="center"/>
          </w:tcPr>
          <w:p w:rsidR="00726F0B" w:rsidRPr="00881BD2" w:rsidRDefault="00726F0B" w:rsidP="00F70BD6">
            <w:pPr>
              <w:jc w:val="center"/>
              <w:rPr>
                <w:rFonts w:ascii="Arial Narrow" w:hAnsi="Arial Narrow"/>
                <w:b/>
                <w:sz w:val="20"/>
              </w:rPr>
            </w:pPr>
            <w:r w:rsidRPr="00881BD2">
              <w:rPr>
                <w:rFonts w:ascii="Arial Narrow" w:hAnsi="Arial Narrow"/>
                <w:b/>
                <w:sz w:val="20"/>
              </w:rPr>
              <w:t>Method/Value</w:t>
            </w:r>
          </w:p>
        </w:tc>
        <w:tc>
          <w:tcPr>
            <w:tcW w:w="1348" w:type="pct"/>
            <w:shd w:val="clear" w:color="auto" w:fill="auto"/>
            <w:vAlign w:val="center"/>
          </w:tcPr>
          <w:p w:rsidR="00726F0B" w:rsidRPr="00881BD2" w:rsidRDefault="00726F0B" w:rsidP="00F70BD6">
            <w:pPr>
              <w:jc w:val="center"/>
              <w:rPr>
                <w:rFonts w:ascii="Arial Narrow" w:hAnsi="Arial Narrow"/>
                <w:b/>
                <w:sz w:val="20"/>
              </w:rPr>
            </w:pPr>
            <w:r w:rsidRPr="00881BD2">
              <w:rPr>
                <w:rFonts w:ascii="Arial Narrow" w:hAnsi="Arial Narrow"/>
                <w:b/>
                <w:sz w:val="20"/>
              </w:rPr>
              <w:t>Impact</w:t>
            </w:r>
          </w:p>
        </w:tc>
      </w:tr>
      <w:tr w:rsidR="00726F0B" w:rsidRPr="00881BD2" w:rsidTr="00F70BD6">
        <w:tc>
          <w:tcPr>
            <w:tcW w:w="1529" w:type="pct"/>
            <w:shd w:val="clear" w:color="auto" w:fill="auto"/>
          </w:tcPr>
          <w:p w:rsidR="00726F0B" w:rsidRPr="00881BD2" w:rsidRDefault="00726F0B" w:rsidP="00F70BD6">
            <w:pPr>
              <w:jc w:val="left"/>
              <w:rPr>
                <w:rFonts w:ascii="Arial Narrow" w:hAnsi="Arial Narrow"/>
                <w:sz w:val="20"/>
              </w:rPr>
            </w:pPr>
            <w:r w:rsidRPr="00881BD2">
              <w:rPr>
                <w:rFonts w:ascii="Arial Narrow" w:hAnsi="Arial Narrow"/>
                <w:sz w:val="20"/>
              </w:rPr>
              <w:t>Time horizon</w:t>
            </w:r>
          </w:p>
        </w:tc>
        <w:tc>
          <w:tcPr>
            <w:tcW w:w="2123" w:type="pct"/>
            <w:shd w:val="clear" w:color="auto" w:fill="auto"/>
          </w:tcPr>
          <w:p w:rsidR="00726F0B" w:rsidRPr="00881BD2" w:rsidRDefault="00726F0B" w:rsidP="00F70BD6">
            <w:pPr>
              <w:jc w:val="left"/>
              <w:rPr>
                <w:rFonts w:ascii="Arial Narrow" w:hAnsi="Arial Narrow"/>
                <w:sz w:val="20"/>
              </w:rPr>
            </w:pPr>
            <w:r w:rsidRPr="00881BD2">
              <w:rPr>
                <w:rFonts w:ascii="Arial Narrow" w:hAnsi="Arial Narrow"/>
                <w:sz w:val="20"/>
              </w:rPr>
              <w:t>10 years extrapolated from 31.8 or 27.3 months</w:t>
            </w:r>
          </w:p>
        </w:tc>
        <w:tc>
          <w:tcPr>
            <w:tcW w:w="1348" w:type="pct"/>
            <w:shd w:val="clear" w:color="auto" w:fill="auto"/>
          </w:tcPr>
          <w:p w:rsidR="00726F0B" w:rsidRPr="00881BD2" w:rsidRDefault="00726F0B" w:rsidP="00F70BD6">
            <w:pPr>
              <w:jc w:val="left"/>
              <w:rPr>
                <w:rFonts w:ascii="Arial Narrow" w:hAnsi="Arial Narrow"/>
                <w:sz w:val="20"/>
              </w:rPr>
            </w:pPr>
            <w:r w:rsidRPr="00881BD2">
              <w:rPr>
                <w:rFonts w:ascii="Arial Narrow" w:hAnsi="Arial Narrow"/>
                <w:sz w:val="20"/>
              </w:rPr>
              <w:t xml:space="preserve">High, favours </w:t>
            </w:r>
            <w:proofErr w:type="spellStart"/>
            <w:r w:rsidRPr="00881BD2">
              <w:rPr>
                <w:rFonts w:ascii="Arial Narrow" w:hAnsi="Arial Narrow"/>
                <w:sz w:val="20"/>
              </w:rPr>
              <w:t>obinutuzumab</w:t>
            </w:r>
            <w:proofErr w:type="spellEnd"/>
          </w:p>
        </w:tc>
      </w:tr>
      <w:tr w:rsidR="00726F0B" w:rsidRPr="00881BD2" w:rsidTr="00F70BD6">
        <w:tc>
          <w:tcPr>
            <w:tcW w:w="1529" w:type="pct"/>
            <w:shd w:val="clear" w:color="auto" w:fill="auto"/>
          </w:tcPr>
          <w:p w:rsidR="00726F0B" w:rsidRPr="00881BD2" w:rsidRDefault="00726F0B" w:rsidP="00F70BD6">
            <w:pPr>
              <w:jc w:val="left"/>
              <w:rPr>
                <w:rFonts w:ascii="Arial Narrow" w:hAnsi="Arial Narrow"/>
                <w:sz w:val="20"/>
              </w:rPr>
            </w:pPr>
            <w:r w:rsidRPr="00881BD2">
              <w:rPr>
                <w:rFonts w:ascii="Arial Narrow" w:hAnsi="Arial Narrow"/>
                <w:sz w:val="20"/>
              </w:rPr>
              <w:t>Extrapolation beyond trial duration</w:t>
            </w:r>
          </w:p>
        </w:tc>
        <w:tc>
          <w:tcPr>
            <w:tcW w:w="2123" w:type="pct"/>
            <w:shd w:val="clear" w:color="auto" w:fill="auto"/>
          </w:tcPr>
          <w:p w:rsidR="00726F0B" w:rsidRPr="00881BD2" w:rsidRDefault="00726F0B" w:rsidP="00F70BD6">
            <w:pPr>
              <w:jc w:val="left"/>
              <w:rPr>
                <w:rFonts w:ascii="Arial Narrow" w:hAnsi="Arial Narrow"/>
                <w:sz w:val="20"/>
              </w:rPr>
            </w:pPr>
            <w:r w:rsidRPr="00881BD2">
              <w:rPr>
                <w:rFonts w:ascii="Arial Narrow" w:hAnsi="Arial Narrow"/>
                <w:sz w:val="20"/>
              </w:rPr>
              <w:t xml:space="preserve">The choice of parametric function based on a visual inspection of Kaplan-Meier curves rather than on </w:t>
            </w:r>
            <w:proofErr w:type="spellStart"/>
            <w:r w:rsidRPr="00881BD2">
              <w:rPr>
                <w:rFonts w:ascii="Arial Narrow" w:hAnsi="Arial Narrow"/>
                <w:sz w:val="20"/>
              </w:rPr>
              <w:t>Akaike</w:t>
            </w:r>
            <w:proofErr w:type="spellEnd"/>
            <w:r w:rsidRPr="00881BD2">
              <w:rPr>
                <w:rFonts w:ascii="Arial Narrow" w:hAnsi="Arial Narrow"/>
                <w:sz w:val="20"/>
              </w:rPr>
              <w:t xml:space="preserve"> Information Criterion</w:t>
            </w:r>
          </w:p>
        </w:tc>
        <w:tc>
          <w:tcPr>
            <w:tcW w:w="1348" w:type="pct"/>
            <w:shd w:val="clear" w:color="auto" w:fill="auto"/>
          </w:tcPr>
          <w:p w:rsidR="00726F0B" w:rsidRPr="00881BD2" w:rsidRDefault="00726F0B" w:rsidP="00F70BD6">
            <w:pPr>
              <w:jc w:val="left"/>
              <w:rPr>
                <w:rFonts w:ascii="Arial Narrow" w:hAnsi="Arial Narrow"/>
                <w:sz w:val="20"/>
              </w:rPr>
            </w:pPr>
            <w:r w:rsidRPr="00881BD2">
              <w:rPr>
                <w:rFonts w:ascii="Arial Narrow" w:hAnsi="Arial Narrow"/>
                <w:sz w:val="20"/>
              </w:rPr>
              <w:t>Moderate, favours comparators</w:t>
            </w:r>
          </w:p>
        </w:tc>
      </w:tr>
      <w:tr w:rsidR="00726F0B" w:rsidRPr="00881BD2" w:rsidTr="00F70BD6">
        <w:tc>
          <w:tcPr>
            <w:tcW w:w="1529" w:type="pct"/>
            <w:shd w:val="clear" w:color="auto" w:fill="auto"/>
          </w:tcPr>
          <w:p w:rsidR="00726F0B" w:rsidRPr="00881BD2" w:rsidRDefault="00726F0B" w:rsidP="00F70BD6">
            <w:pPr>
              <w:jc w:val="left"/>
              <w:rPr>
                <w:rFonts w:ascii="Arial Narrow" w:hAnsi="Arial Narrow"/>
                <w:sz w:val="20"/>
              </w:rPr>
            </w:pPr>
            <w:r w:rsidRPr="00881BD2">
              <w:rPr>
                <w:rFonts w:ascii="Arial Narrow" w:hAnsi="Arial Narrow"/>
                <w:sz w:val="20"/>
              </w:rPr>
              <w:t>Inclusion of costs of an additional line of treatment</w:t>
            </w:r>
          </w:p>
        </w:tc>
        <w:tc>
          <w:tcPr>
            <w:tcW w:w="2123" w:type="pct"/>
            <w:shd w:val="clear" w:color="auto" w:fill="auto"/>
          </w:tcPr>
          <w:p w:rsidR="00726F0B" w:rsidRPr="00881BD2" w:rsidRDefault="005079C4" w:rsidP="00F70BD6">
            <w:pPr>
              <w:jc w:val="left"/>
              <w:rPr>
                <w:rFonts w:ascii="Arial Narrow" w:hAnsi="Arial Narrow"/>
                <w:sz w:val="20"/>
              </w:rPr>
            </w:pPr>
            <w:r>
              <w:rPr>
                <w:rFonts w:ascii="Arial Narrow" w:hAnsi="Arial Narrow"/>
                <w:noProof/>
                <w:color w:val="000000"/>
                <w:sz w:val="20"/>
                <w:highlight w:val="black"/>
              </w:rPr>
              <w:t>'''</w:t>
            </w:r>
            <w:r w:rsidR="00726F0B" w:rsidRPr="00881BD2">
              <w:rPr>
                <w:rFonts w:ascii="Arial Narrow" w:hAnsi="Arial Narrow"/>
                <w:sz w:val="20"/>
              </w:rPr>
              <w:t xml:space="preserve"> cycles of rituximab plus chlorambucil therapy applied in symptomatic post-progression</w:t>
            </w:r>
          </w:p>
        </w:tc>
        <w:tc>
          <w:tcPr>
            <w:tcW w:w="1348" w:type="pct"/>
            <w:shd w:val="clear" w:color="auto" w:fill="auto"/>
          </w:tcPr>
          <w:p w:rsidR="00726F0B" w:rsidRPr="00881BD2" w:rsidRDefault="00726F0B" w:rsidP="00F70BD6">
            <w:pPr>
              <w:jc w:val="left"/>
              <w:rPr>
                <w:rFonts w:ascii="Arial Narrow" w:hAnsi="Arial Narrow"/>
                <w:sz w:val="20"/>
              </w:rPr>
            </w:pPr>
            <w:r w:rsidRPr="00881BD2">
              <w:rPr>
                <w:rFonts w:ascii="Arial Narrow" w:hAnsi="Arial Narrow"/>
                <w:sz w:val="20"/>
              </w:rPr>
              <w:t xml:space="preserve">Moderate, favours </w:t>
            </w:r>
            <w:proofErr w:type="spellStart"/>
            <w:r w:rsidRPr="00881BD2">
              <w:rPr>
                <w:rFonts w:ascii="Arial Narrow" w:hAnsi="Arial Narrow"/>
                <w:sz w:val="20"/>
              </w:rPr>
              <w:t>obinutuzumab</w:t>
            </w:r>
            <w:proofErr w:type="spellEnd"/>
          </w:p>
        </w:tc>
      </w:tr>
    </w:tbl>
    <w:p w:rsidR="00726F0B" w:rsidRPr="00881BD2" w:rsidRDefault="00726F0B" w:rsidP="00726F0B">
      <w:pPr>
        <w:pStyle w:val="TableFooter"/>
        <w:ind w:firstLine="720"/>
      </w:pPr>
      <w:r w:rsidRPr="00881BD2">
        <w:t>Source: compiled during the evaluation.</w:t>
      </w:r>
    </w:p>
    <w:p w:rsidR="00B71AC3" w:rsidRPr="00881BD2" w:rsidRDefault="00B71AC3" w:rsidP="00726F0B">
      <w:pPr>
        <w:pStyle w:val="TableFooter"/>
        <w:ind w:firstLine="720"/>
      </w:pPr>
    </w:p>
    <w:p w:rsidR="00726F0B" w:rsidRPr="00881BD2" w:rsidRDefault="00726F0B" w:rsidP="006305C9">
      <w:pPr>
        <w:pStyle w:val="ListParagraph"/>
        <w:keepNext/>
        <w:keepLines/>
        <w:widowControl/>
        <w:numPr>
          <w:ilvl w:val="1"/>
          <w:numId w:val="15"/>
        </w:numPr>
      </w:pPr>
      <w:r w:rsidRPr="00881BD2">
        <w:t xml:space="preserve">The submission used a stepped evaluation to calculate the incremental cost per quality-adjusted life year (QALY) gained and incremental cost per life year gained. </w:t>
      </w:r>
    </w:p>
    <w:p w:rsidR="00726F0B" w:rsidRPr="00881BD2" w:rsidRDefault="00726F0B" w:rsidP="00726F0B">
      <w:pPr>
        <w:widowControl/>
        <w:rPr>
          <w:szCs w:val="22"/>
        </w:rPr>
      </w:pPr>
    </w:p>
    <w:p w:rsidR="00726F0B" w:rsidRPr="00881BD2" w:rsidRDefault="005A2F09" w:rsidP="001E4453">
      <w:pPr>
        <w:keepNext/>
        <w:keepLines/>
        <w:ind w:firstLine="720"/>
        <w:rPr>
          <w:rStyle w:val="CommentReference"/>
        </w:rPr>
      </w:pPr>
      <w:r>
        <w:rPr>
          <w:rStyle w:val="CommentReference"/>
        </w:rPr>
        <w:lastRenderedPageBreak/>
        <w:t xml:space="preserve">Table 9: </w:t>
      </w:r>
      <w:r w:rsidR="00726F0B" w:rsidRPr="00881BD2">
        <w:rPr>
          <w:rStyle w:val="CommentReference"/>
        </w:rPr>
        <w:t>Results of the stepped economic evaluation</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sults of the economic evaluation"/>
      </w:tblPr>
      <w:tblGrid>
        <w:gridCol w:w="1843"/>
        <w:gridCol w:w="1097"/>
        <w:gridCol w:w="1097"/>
        <w:gridCol w:w="1097"/>
        <w:gridCol w:w="1097"/>
        <w:gridCol w:w="1097"/>
        <w:gridCol w:w="1098"/>
      </w:tblGrid>
      <w:tr w:rsidR="00726F0B" w:rsidRPr="00881BD2" w:rsidTr="00F70BD6">
        <w:trPr>
          <w:cantSplit/>
          <w:trHeight w:val="20"/>
          <w:tblHeader/>
        </w:trPr>
        <w:tc>
          <w:tcPr>
            <w:tcW w:w="1843" w:type="dxa"/>
            <w:vMerge w:val="restart"/>
            <w:tcBorders>
              <w:top w:val="single" w:sz="4" w:space="0" w:color="auto"/>
              <w:left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b/>
                <w:sz w:val="20"/>
              </w:rPr>
            </w:pPr>
            <w:r w:rsidRPr="00881BD2">
              <w:rPr>
                <w:rFonts w:ascii="Arial Narrow" w:hAnsi="Arial Narrow" w:cs="Times New Roman"/>
                <w:b/>
                <w:sz w:val="20"/>
              </w:rPr>
              <w:t>Step and component</w:t>
            </w:r>
          </w:p>
        </w:tc>
        <w:tc>
          <w:tcPr>
            <w:tcW w:w="3291" w:type="dxa"/>
            <w:gridSpan w:val="3"/>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726F0B" w:rsidRPr="00881BD2" w:rsidRDefault="00726F0B" w:rsidP="001E4453">
            <w:pPr>
              <w:keepNext/>
              <w:keepLines/>
              <w:ind w:right="-20"/>
              <w:jc w:val="center"/>
              <w:rPr>
                <w:rFonts w:ascii="Arial Narrow" w:hAnsi="Arial Narrow" w:cs="Times New Roman"/>
                <w:b/>
                <w:sz w:val="20"/>
              </w:rPr>
            </w:pPr>
            <w:r w:rsidRPr="00881BD2">
              <w:rPr>
                <w:rFonts w:ascii="Arial Narrow" w:hAnsi="Arial Narrow" w:cs="Times New Roman"/>
                <w:b/>
                <w:sz w:val="20"/>
              </w:rPr>
              <w:t>Stage 2</w:t>
            </w:r>
          </w:p>
        </w:tc>
        <w:tc>
          <w:tcPr>
            <w:tcW w:w="3292" w:type="dxa"/>
            <w:gridSpan w:val="3"/>
            <w:tcBorders>
              <w:top w:val="single" w:sz="4" w:space="0" w:color="auto"/>
              <w:left w:val="double" w:sz="4" w:space="0" w:color="auto"/>
              <w:right w:val="single" w:sz="4" w:space="0" w:color="auto"/>
            </w:tcBorders>
          </w:tcPr>
          <w:p w:rsidR="00726F0B" w:rsidRPr="00881BD2" w:rsidRDefault="00726F0B" w:rsidP="001E4453">
            <w:pPr>
              <w:keepNext/>
              <w:keepLines/>
              <w:ind w:right="-20"/>
              <w:jc w:val="center"/>
              <w:rPr>
                <w:rFonts w:ascii="Arial Narrow" w:hAnsi="Arial Narrow" w:cs="Times New Roman"/>
                <w:b/>
                <w:sz w:val="20"/>
              </w:rPr>
            </w:pPr>
            <w:r w:rsidRPr="00881BD2">
              <w:rPr>
                <w:rFonts w:ascii="Arial Narrow" w:hAnsi="Arial Narrow" w:cs="Times New Roman"/>
                <w:b/>
                <w:sz w:val="20"/>
              </w:rPr>
              <w:t>Stage 1a</w:t>
            </w:r>
          </w:p>
        </w:tc>
      </w:tr>
      <w:tr w:rsidR="00726F0B" w:rsidRPr="00881BD2" w:rsidTr="00F70BD6">
        <w:trPr>
          <w:cantSplit/>
          <w:trHeight w:val="20"/>
          <w:tblHeader/>
        </w:trPr>
        <w:tc>
          <w:tcPr>
            <w:tcW w:w="1843" w:type="dxa"/>
            <w:vMerge/>
            <w:tcBorders>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center"/>
              <w:rPr>
                <w:rFonts w:ascii="Arial Narrow" w:hAnsi="Arial Narrow" w:cs="Times New Roman"/>
                <w:b/>
                <w:sz w:val="20"/>
              </w:rPr>
            </w:pPr>
            <w:r w:rsidRPr="00881BD2">
              <w:rPr>
                <w:rFonts w:ascii="Arial Narrow" w:hAnsi="Arial Narrow" w:cs="Times New Roman"/>
                <w:b/>
                <w:sz w:val="20"/>
              </w:rPr>
              <w:t>OBI + CLB</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center"/>
              <w:rPr>
                <w:rFonts w:ascii="Arial Narrow" w:hAnsi="Arial Narrow" w:cs="Times New Roman"/>
                <w:b/>
                <w:sz w:val="20"/>
              </w:rPr>
            </w:pPr>
            <w:r w:rsidRPr="00881BD2">
              <w:rPr>
                <w:rFonts w:ascii="Arial Narrow" w:hAnsi="Arial Narrow" w:cs="Times New Roman"/>
                <w:b/>
                <w:sz w:val="20"/>
              </w:rPr>
              <w:t>RIT + CLB</w:t>
            </w:r>
          </w:p>
        </w:tc>
        <w:tc>
          <w:tcPr>
            <w:tcW w:w="1097"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726F0B" w:rsidRPr="00881BD2" w:rsidRDefault="00726F0B" w:rsidP="001E4453">
            <w:pPr>
              <w:keepNext/>
              <w:keepLines/>
              <w:ind w:right="-20"/>
              <w:jc w:val="center"/>
              <w:rPr>
                <w:rFonts w:ascii="Arial Narrow" w:hAnsi="Arial Narrow" w:cs="Times New Roman"/>
                <w:b/>
                <w:sz w:val="20"/>
              </w:rPr>
            </w:pPr>
            <w:r w:rsidRPr="00881BD2">
              <w:rPr>
                <w:rFonts w:ascii="Arial Narrow" w:hAnsi="Arial Narrow" w:cs="Times New Roman"/>
                <w:b/>
                <w:sz w:val="20"/>
              </w:rPr>
              <w:t>Δ outcome</w:t>
            </w:r>
          </w:p>
        </w:tc>
        <w:tc>
          <w:tcPr>
            <w:tcW w:w="1097" w:type="dxa"/>
            <w:tcBorders>
              <w:top w:val="single" w:sz="4" w:space="0" w:color="auto"/>
              <w:left w:val="double" w:sz="4" w:space="0" w:color="auto"/>
              <w:right w:val="single" w:sz="4" w:space="0" w:color="auto"/>
            </w:tcBorders>
            <w:vAlign w:val="center"/>
          </w:tcPr>
          <w:p w:rsidR="00726F0B" w:rsidRPr="00881BD2" w:rsidRDefault="00726F0B" w:rsidP="001E4453">
            <w:pPr>
              <w:keepNext/>
              <w:keepLines/>
              <w:jc w:val="center"/>
              <w:rPr>
                <w:rFonts w:ascii="Arial Narrow" w:hAnsi="Arial Narrow" w:cs="Times New Roman"/>
                <w:b/>
                <w:sz w:val="20"/>
              </w:rPr>
            </w:pPr>
            <w:r w:rsidRPr="00881BD2">
              <w:rPr>
                <w:rFonts w:ascii="Arial Narrow" w:hAnsi="Arial Narrow" w:cs="Times New Roman"/>
                <w:b/>
                <w:sz w:val="20"/>
              </w:rPr>
              <w:t>OBI + CLB</w:t>
            </w:r>
          </w:p>
        </w:tc>
        <w:tc>
          <w:tcPr>
            <w:tcW w:w="1097" w:type="dxa"/>
            <w:tcBorders>
              <w:top w:val="single" w:sz="4" w:space="0" w:color="auto"/>
              <w:left w:val="single" w:sz="4" w:space="0" w:color="auto"/>
              <w:right w:val="single" w:sz="4" w:space="0" w:color="auto"/>
            </w:tcBorders>
            <w:vAlign w:val="center"/>
          </w:tcPr>
          <w:p w:rsidR="00726F0B" w:rsidRPr="00881BD2" w:rsidRDefault="00726F0B" w:rsidP="001E4453">
            <w:pPr>
              <w:keepNext/>
              <w:keepLines/>
              <w:jc w:val="center"/>
              <w:rPr>
                <w:rFonts w:ascii="Arial Narrow" w:hAnsi="Arial Narrow" w:cs="Times New Roman"/>
                <w:b/>
                <w:sz w:val="20"/>
              </w:rPr>
            </w:pPr>
            <w:r w:rsidRPr="00881BD2">
              <w:rPr>
                <w:rFonts w:ascii="Arial Narrow" w:hAnsi="Arial Narrow" w:cs="Times New Roman"/>
                <w:b/>
                <w:sz w:val="20"/>
              </w:rPr>
              <w:t>CLB</w:t>
            </w:r>
          </w:p>
        </w:tc>
        <w:tc>
          <w:tcPr>
            <w:tcW w:w="1098" w:type="dxa"/>
            <w:tcBorders>
              <w:top w:val="single" w:sz="4" w:space="0" w:color="auto"/>
              <w:left w:val="single" w:sz="4" w:space="0" w:color="auto"/>
              <w:right w:val="single" w:sz="4" w:space="0" w:color="auto"/>
            </w:tcBorders>
            <w:vAlign w:val="center"/>
          </w:tcPr>
          <w:p w:rsidR="00726F0B" w:rsidRPr="00881BD2" w:rsidRDefault="00726F0B" w:rsidP="001E4453">
            <w:pPr>
              <w:keepNext/>
              <w:keepLines/>
              <w:ind w:right="-20"/>
              <w:jc w:val="center"/>
              <w:rPr>
                <w:rFonts w:ascii="Arial Narrow" w:hAnsi="Arial Narrow" w:cs="Times New Roman"/>
                <w:b/>
                <w:sz w:val="20"/>
              </w:rPr>
            </w:pPr>
            <w:r w:rsidRPr="00881BD2">
              <w:rPr>
                <w:rFonts w:ascii="Arial Narrow" w:hAnsi="Arial Narrow" w:cs="Times New Roman"/>
                <w:b/>
                <w:sz w:val="20"/>
              </w:rPr>
              <w:t>Δ outcome</w:t>
            </w:r>
          </w:p>
        </w:tc>
      </w:tr>
      <w:tr w:rsidR="00726F0B" w:rsidRPr="00881BD2" w:rsidTr="00F70BD6">
        <w:trPr>
          <w:cantSplit/>
          <w:trHeight w:val="20"/>
        </w:trPr>
        <w:tc>
          <w:tcPr>
            <w:tcW w:w="0" w:type="auto"/>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b/>
                <w:sz w:val="20"/>
              </w:rPr>
            </w:pPr>
            <w:r w:rsidRPr="00881BD2">
              <w:rPr>
                <w:rFonts w:ascii="Arial Narrow" w:hAnsi="Arial Narrow" w:cs="Times New Roman"/>
                <w:b/>
                <w:sz w:val="20"/>
              </w:rPr>
              <w:t>Step 1: trial based costs and outcomes</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Cost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602D0" w:rsidRDefault="00726F0B" w:rsidP="001E4453">
            <w:pPr>
              <w:pStyle w:val="TableText0"/>
              <w:keepLines/>
              <w:spacing w:before="0" w:after="0"/>
              <w:jc w:val="center"/>
              <w:rPr>
                <w:rFonts w:cs="Times New Roman"/>
                <w:snapToGrid w:val="0"/>
              </w:rPr>
            </w:pPr>
            <w:r w:rsidRPr="005602D0">
              <w:rPr>
                <w:rFonts w:cs="Times New Roman"/>
                <w:snapToGrid w:val="0"/>
              </w:rPr>
              <w:t>$</w:t>
            </w:r>
            <w:r w:rsidR="005079C4">
              <w:rPr>
                <w:rFonts w:cs="Times New Roman"/>
                <w:noProof/>
                <w:snapToGrid w:val="0"/>
                <w:color w:val="000000"/>
                <w:highlight w:val="black"/>
              </w:rPr>
              <w: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3D6571" w:rsidRDefault="00726F0B" w:rsidP="001E4453">
            <w:pPr>
              <w:pStyle w:val="TableText0"/>
              <w:keepLines/>
              <w:spacing w:before="0" w:after="0"/>
              <w:jc w:val="center"/>
              <w:rPr>
                <w:rFonts w:cs="Times New Roman"/>
                <w:snapToGrid w:val="0"/>
              </w:rPr>
            </w:pPr>
            <w:r w:rsidRPr="003D6571">
              <w:rPr>
                <w:rFonts w:cs="Times New Roman"/>
                <w:snapToGrid w:val="0"/>
              </w:rPr>
              <w:t>$</w:t>
            </w:r>
            <w:r w:rsidR="005079C4">
              <w:rPr>
                <w:rFonts w:cs="Times New Roman"/>
                <w:noProof/>
                <w:snapToGrid w:val="0"/>
                <w:color w:val="000000"/>
                <w:highlight w:val="black"/>
              </w:rPr>
              <w:t>'''''''''''''''</w:t>
            </w:r>
          </w:p>
        </w:tc>
        <w:tc>
          <w:tcPr>
            <w:tcW w:w="1097" w:type="dxa"/>
            <w:tcBorders>
              <w:top w:val="single" w:sz="4" w:space="0" w:color="auto"/>
              <w:left w:val="single" w:sz="4" w:space="0" w:color="auto"/>
              <w:bottom w:val="single" w:sz="4" w:space="0" w:color="auto"/>
              <w:right w:val="double" w:sz="4" w:space="0" w:color="auto"/>
            </w:tcBorders>
            <w:tcMar>
              <w:left w:w="57" w:type="dxa"/>
              <w:right w:w="57" w:type="dxa"/>
            </w:tcMar>
          </w:tcPr>
          <w:p w:rsidR="00726F0B" w:rsidRPr="003D6571" w:rsidRDefault="00726F0B" w:rsidP="001E4453">
            <w:pPr>
              <w:pStyle w:val="TableText0"/>
              <w:keepLines/>
              <w:spacing w:before="0" w:after="0"/>
              <w:jc w:val="center"/>
              <w:rPr>
                <w:rFonts w:cs="Times New Roman"/>
                <w:snapToGrid w:val="0"/>
              </w:rPr>
            </w:pPr>
            <w:r w:rsidRPr="003D6571">
              <w:rPr>
                <w:rFonts w:cs="Times New Roman"/>
                <w:snapToGrid w:val="0"/>
              </w:rPr>
              <w:t>$</w:t>
            </w:r>
            <w:r w:rsidR="005079C4">
              <w:rPr>
                <w:rFonts w:cs="Times New Roman"/>
                <w:noProof/>
                <w:snapToGrid w:val="0"/>
                <w:color w:val="000000"/>
                <w:highlight w:val="black"/>
              </w:rPr>
              <w:t>''''''''''''''''</w:t>
            </w:r>
          </w:p>
        </w:tc>
        <w:tc>
          <w:tcPr>
            <w:tcW w:w="1097" w:type="dxa"/>
            <w:tcBorders>
              <w:left w:val="double" w:sz="4" w:space="0" w:color="auto"/>
              <w:right w:val="single" w:sz="4" w:space="0" w:color="auto"/>
            </w:tcBorders>
          </w:tcPr>
          <w:p w:rsidR="00726F0B" w:rsidRPr="003D6571" w:rsidRDefault="00726F0B" w:rsidP="001E4453">
            <w:pPr>
              <w:pStyle w:val="TableText0"/>
              <w:keepLines/>
              <w:spacing w:before="0" w:after="0"/>
              <w:jc w:val="center"/>
              <w:rPr>
                <w:rFonts w:cs="Times New Roman"/>
                <w:snapToGrid w:val="0"/>
              </w:rPr>
            </w:pPr>
            <w:r w:rsidRPr="003D6571">
              <w:rPr>
                <w:rFonts w:cs="Times New Roman"/>
                <w:snapToGrid w:val="0"/>
              </w:rPr>
              <w:t>$</w:t>
            </w:r>
            <w:r w:rsidR="005079C4">
              <w:rPr>
                <w:rFonts w:cs="Times New Roman"/>
                <w:noProof/>
                <w:snapToGrid w:val="0"/>
                <w:color w:val="000000"/>
                <w:highlight w:val="black"/>
              </w:rPr>
              <w:t>''''''''''''''''</w:t>
            </w:r>
          </w:p>
        </w:tc>
        <w:tc>
          <w:tcPr>
            <w:tcW w:w="1097" w:type="dxa"/>
            <w:tcBorders>
              <w:left w:val="single" w:sz="4" w:space="0" w:color="auto"/>
              <w:right w:val="single" w:sz="4" w:space="0" w:color="auto"/>
            </w:tcBorders>
          </w:tcPr>
          <w:p w:rsidR="00726F0B" w:rsidRPr="003D6571" w:rsidRDefault="00726F0B" w:rsidP="001E4453">
            <w:pPr>
              <w:pStyle w:val="TableText0"/>
              <w:keepLines/>
              <w:spacing w:before="0" w:after="0"/>
              <w:jc w:val="center"/>
              <w:rPr>
                <w:rFonts w:cs="Times New Roman"/>
                <w:snapToGrid w:val="0"/>
              </w:rPr>
            </w:pPr>
            <w:r w:rsidRPr="003D6571">
              <w:rPr>
                <w:rFonts w:cs="Times New Roman"/>
                <w:snapToGrid w:val="0"/>
              </w:rPr>
              <w:t>$272</w:t>
            </w:r>
          </w:p>
        </w:tc>
        <w:tc>
          <w:tcPr>
            <w:tcW w:w="1098" w:type="dxa"/>
            <w:tcBorders>
              <w:left w:val="single" w:sz="4" w:space="0" w:color="auto"/>
              <w:right w:val="single" w:sz="4" w:space="0" w:color="auto"/>
            </w:tcBorders>
          </w:tcPr>
          <w:p w:rsidR="00726F0B" w:rsidRPr="003D6571" w:rsidRDefault="00726F0B" w:rsidP="001E4453">
            <w:pPr>
              <w:pStyle w:val="TableText0"/>
              <w:keepLines/>
              <w:spacing w:before="0" w:after="0"/>
              <w:jc w:val="center"/>
              <w:rPr>
                <w:rFonts w:cs="Times New Roman"/>
                <w:snapToGrid w:val="0"/>
              </w:rPr>
            </w:pPr>
            <w:r w:rsidRPr="003D6571">
              <w:rPr>
                <w:rFonts w:cs="Times New Roman"/>
                <w:snapToGrid w:val="0"/>
              </w:rPr>
              <w:t>$</w:t>
            </w:r>
            <w:r w:rsidR="005079C4">
              <w:rPr>
                <w:rFonts w:cs="Times New Roman"/>
                <w:noProof/>
                <w:snapToGrid w:val="0"/>
                <w:color w:val="000000"/>
                <w:highlight w:val="black"/>
              </w:rPr>
              <w:t>''''''''''''''''</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QALYs</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079C4" w:rsidRDefault="005079C4" w:rsidP="001E4453">
            <w:pPr>
              <w:pStyle w:val="TableText0"/>
              <w:keepLines/>
              <w:spacing w:before="0" w:after="0"/>
              <w:jc w:val="center"/>
              <w:rPr>
                <w:rFonts w:cs="Times New Roman"/>
                <w:snapToGrid w:val="0"/>
                <w:highlight w:val="black"/>
              </w:rPr>
            </w:pPr>
            <w:r>
              <w:rPr>
                <w:rFonts w:cs="Times New Roman"/>
                <w:noProof/>
                <w:snapToGrid w:val="0"/>
                <w:color w:val="000000"/>
                <w:highlight w:val="black"/>
              </w:rPr>
              <w: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079C4" w:rsidRDefault="005079C4" w:rsidP="001E4453">
            <w:pPr>
              <w:pStyle w:val="TableText0"/>
              <w:keepLines/>
              <w:spacing w:before="0" w:after="0"/>
              <w:jc w:val="center"/>
              <w:rPr>
                <w:rFonts w:cs="Times New Roman"/>
                <w:snapToGrid w:val="0"/>
                <w:highlight w:val="black"/>
              </w:rPr>
            </w:pPr>
            <w:r>
              <w:rPr>
                <w:rFonts w:cs="Times New Roman"/>
                <w:noProof/>
                <w:snapToGrid w:val="0"/>
                <w:color w:val="000000"/>
                <w:highlight w:val="black"/>
              </w:rPr>
              <w:t>''''''''''''</w:t>
            </w:r>
          </w:p>
        </w:tc>
        <w:tc>
          <w:tcPr>
            <w:tcW w:w="1097" w:type="dxa"/>
            <w:tcBorders>
              <w:top w:val="single" w:sz="4" w:space="0" w:color="auto"/>
              <w:left w:val="single" w:sz="4" w:space="0" w:color="auto"/>
              <w:bottom w:val="single" w:sz="4" w:space="0" w:color="auto"/>
              <w:right w:val="double" w:sz="4" w:space="0" w:color="auto"/>
            </w:tcBorders>
            <w:tcMar>
              <w:left w:w="57" w:type="dxa"/>
              <w:right w:w="57" w:type="dxa"/>
            </w:tcMar>
          </w:tcPr>
          <w:p w:rsidR="00726F0B" w:rsidRPr="005079C4" w:rsidRDefault="005079C4" w:rsidP="001E4453">
            <w:pPr>
              <w:pStyle w:val="TableText0"/>
              <w:keepLines/>
              <w:spacing w:before="0" w:after="0"/>
              <w:jc w:val="center"/>
              <w:rPr>
                <w:rFonts w:cs="Times New Roman"/>
                <w:snapToGrid w:val="0"/>
                <w:highlight w:val="black"/>
              </w:rPr>
            </w:pPr>
            <w:r>
              <w:rPr>
                <w:rFonts w:cs="Times New Roman"/>
                <w:noProof/>
                <w:snapToGrid w:val="0"/>
                <w:color w:val="000000"/>
                <w:highlight w:val="black"/>
              </w:rPr>
              <w:t>'''''''''''''</w:t>
            </w:r>
          </w:p>
        </w:tc>
        <w:tc>
          <w:tcPr>
            <w:tcW w:w="1097" w:type="dxa"/>
            <w:tcBorders>
              <w:left w:val="double" w:sz="4" w:space="0" w:color="auto"/>
              <w:right w:val="single" w:sz="4" w:space="0" w:color="auto"/>
            </w:tcBorders>
          </w:tcPr>
          <w:p w:rsidR="00726F0B" w:rsidRPr="005079C4" w:rsidRDefault="005079C4" w:rsidP="001E4453">
            <w:pPr>
              <w:pStyle w:val="TableText0"/>
              <w:keepLines/>
              <w:spacing w:before="0" w:after="0"/>
              <w:jc w:val="center"/>
              <w:rPr>
                <w:rFonts w:cs="Times New Roman"/>
                <w:snapToGrid w:val="0"/>
                <w:highlight w:val="black"/>
              </w:rPr>
            </w:pPr>
            <w:r>
              <w:rPr>
                <w:rFonts w:cs="Times New Roman"/>
                <w:noProof/>
                <w:snapToGrid w:val="0"/>
                <w:color w:val="000000"/>
                <w:highlight w:val="black"/>
              </w:rPr>
              <w:t>'''''''''''''''</w:t>
            </w:r>
          </w:p>
        </w:tc>
        <w:tc>
          <w:tcPr>
            <w:tcW w:w="1097" w:type="dxa"/>
            <w:tcBorders>
              <w:left w:val="single" w:sz="4" w:space="0" w:color="auto"/>
              <w:right w:val="single" w:sz="4" w:space="0" w:color="auto"/>
            </w:tcBorders>
          </w:tcPr>
          <w:p w:rsidR="00726F0B" w:rsidRPr="005079C4" w:rsidRDefault="005079C4" w:rsidP="001E4453">
            <w:pPr>
              <w:pStyle w:val="TableText0"/>
              <w:keepLines/>
              <w:spacing w:before="0" w:after="0"/>
              <w:jc w:val="center"/>
              <w:rPr>
                <w:rFonts w:cs="Times New Roman"/>
                <w:snapToGrid w:val="0"/>
                <w:highlight w:val="black"/>
              </w:rPr>
            </w:pPr>
            <w:r>
              <w:rPr>
                <w:rFonts w:cs="Times New Roman"/>
                <w:noProof/>
                <w:snapToGrid w:val="0"/>
                <w:color w:val="000000"/>
                <w:highlight w:val="black"/>
              </w:rPr>
              <w:t>'''''''''''''</w:t>
            </w:r>
          </w:p>
        </w:tc>
        <w:tc>
          <w:tcPr>
            <w:tcW w:w="1098" w:type="dxa"/>
            <w:tcBorders>
              <w:left w:val="single" w:sz="4" w:space="0" w:color="auto"/>
              <w:right w:val="single" w:sz="4" w:space="0" w:color="auto"/>
            </w:tcBorders>
          </w:tcPr>
          <w:p w:rsidR="00726F0B" w:rsidRPr="005079C4" w:rsidRDefault="005079C4" w:rsidP="001E4453">
            <w:pPr>
              <w:pStyle w:val="TableText0"/>
              <w:keepLines/>
              <w:spacing w:before="0" w:after="0"/>
              <w:jc w:val="center"/>
              <w:rPr>
                <w:rFonts w:cs="Times New Roman"/>
                <w:snapToGrid w:val="0"/>
                <w:highlight w:val="black"/>
              </w:rPr>
            </w:pPr>
            <w:r>
              <w:rPr>
                <w:rFonts w:cs="Times New Roman"/>
                <w:noProof/>
                <w:snapToGrid w:val="0"/>
                <w:color w:val="000000"/>
                <w:highlight w:val="black"/>
              </w:rPr>
              <w:t>''''''''''''''</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ICER</w:t>
            </w:r>
          </w:p>
        </w:tc>
        <w:tc>
          <w:tcPr>
            <w:tcW w:w="3291" w:type="dxa"/>
            <w:gridSpan w:val="3"/>
            <w:tcBorders>
              <w:top w:val="single" w:sz="4" w:space="0" w:color="auto"/>
              <w:left w:val="single" w:sz="4" w:space="0" w:color="auto"/>
              <w:bottom w:val="single" w:sz="4" w:space="0" w:color="auto"/>
              <w:right w:val="double" w:sz="4" w:space="0" w:color="auto"/>
            </w:tcBorders>
            <w:tcMar>
              <w:left w:w="57" w:type="dxa"/>
              <w:right w:w="57" w:type="dxa"/>
            </w:tcMar>
          </w:tcPr>
          <w:p w:rsidR="00726F0B" w:rsidRPr="003D6571" w:rsidRDefault="00726F0B" w:rsidP="001E4453">
            <w:pPr>
              <w:pStyle w:val="TableText0"/>
              <w:keepLines/>
              <w:spacing w:before="0" w:after="0"/>
              <w:jc w:val="center"/>
              <w:rPr>
                <w:rFonts w:cs="Times New Roman"/>
                <w:snapToGrid w:val="0"/>
              </w:rPr>
            </w:pPr>
            <w:r w:rsidRPr="003D6571">
              <w:rPr>
                <w:rFonts w:cs="Times New Roman"/>
                <w:snapToGrid w:val="0"/>
              </w:rPr>
              <w:t>$</w:t>
            </w:r>
            <w:r w:rsidR="005079C4">
              <w:rPr>
                <w:rFonts w:cs="Times New Roman"/>
                <w:noProof/>
                <w:snapToGrid w:val="0"/>
                <w:color w:val="000000"/>
                <w:highlight w:val="black"/>
              </w:rPr>
              <w:t>'''''''''''''''''</w:t>
            </w:r>
          </w:p>
        </w:tc>
        <w:tc>
          <w:tcPr>
            <w:tcW w:w="3292" w:type="dxa"/>
            <w:gridSpan w:val="3"/>
            <w:tcBorders>
              <w:left w:val="double" w:sz="4" w:space="0" w:color="auto"/>
              <w:right w:val="single" w:sz="4" w:space="0" w:color="auto"/>
            </w:tcBorders>
          </w:tcPr>
          <w:p w:rsidR="00726F0B" w:rsidRPr="003D6571" w:rsidRDefault="00726F0B" w:rsidP="001E4453">
            <w:pPr>
              <w:pStyle w:val="TableText0"/>
              <w:keepLines/>
              <w:spacing w:before="0" w:after="0"/>
              <w:jc w:val="center"/>
              <w:rPr>
                <w:rFonts w:cs="Times New Roman"/>
                <w:snapToGrid w:val="0"/>
              </w:rPr>
            </w:pPr>
            <w:r w:rsidRPr="003D6571">
              <w:rPr>
                <w:rFonts w:cs="Times New Roman"/>
                <w:snapToGrid w:val="0"/>
              </w:rPr>
              <w:t>$</w:t>
            </w:r>
            <w:r w:rsidR="005079C4">
              <w:rPr>
                <w:rFonts w:cs="Times New Roman"/>
                <w:noProof/>
                <w:snapToGrid w:val="0"/>
                <w:color w:val="000000"/>
                <w:highlight w:val="black"/>
              </w:rPr>
              <w:t>''''''''''''''''''''</w:t>
            </w:r>
          </w:p>
        </w:tc>
      </w:tr>
      <w:tr w:rsidR="00726F0B" w:rsidRPr="00881BD2" w:rsidTr="00F70BD6">
        <w:trPr>
          <w:cantSplit/>
          <w:trHeight w:val="20"/>
        </w:trPr>
        <w:tc>
          <w:tcPr>
            <w:tcW w:w="0" w:type="auto"/>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3D6571" w:rsidRDefault="00726F0B" w:rsidP="001E4453">
            <w:pPr>
              <w:keepNext/>
              <w:keepLines/>
              <w:jc w:val="left"/>
              <w:rPr>
                <w:rFonts w:ascii="Arial Narrow" w:hAnsi="Arial Narrow" w:cs="Times New Roman"/>
                <w:b/>
                <w:sz w:val="20"/>
              </w:rPr>
            </w:pPr>
            <w:r w:rsidRPr="003D6571">
              <w:rPr>
                <w:rFonts w:ascii="Arial Narrow" w:hAnsi="Arial Narrow" w:cs="Times New Roman"/>
                <w:b/>
                <w:sz w:val="20"/>
              </w:rPr>
              <w:t>Step 2: parametric extrapolation from median follow ups of 27.3 and 31.8 months to 10 years</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Cost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602D0" w:rsidRDefault="00726F0B" w:rsidP="001E4453">
            <w:pPr>
              <w:pStyle w:val="TableText0"/>
              <w:keepLines/>
              <w:spacing w:before="0" w:after="0"/>
              <w:jc w:val="center"/>
            </w:pPr>
            <w:r w:rsidRPr="005602D0">
              <w:t>$</w:t>
            </w:r>
            <w:r w:rsidR="005079C4">
              <w:rPr>
                <w:noProof/>
                <w:color w:val="000000"/>
                <w:highlight w:val="black"/>
              </w:rPr>
              <w: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c>
          <w:tcPr>
            <w:tcW w:w="1097" w:type="dxa"/>
            <w:tcBorders>
              <w:top w:val="single" w:sz="4" w:space="0" w:color="auto"/>
              <w:left w:val="single" w:sz="4" w:space="0" w:color="auto"/>
              <w:bottom w:val="single" w:sz="4" w:space="0" w:color="auto"/>
              <w:right w:val="double" w:sz="4" w:space="0" w:color="auto"/>
            </w:tcBorders>
            <w:tcMar>
              <w:left w:w="57" w:type="dxa"/>
              <w:right w:w="57" w:type="dxa"/>
            </w:tcMar>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c>
          <w:tcPr>
            <w:tcW w:w="1097" w:type="dxa"/>
            <w:tcBorders>
              <w:left w:val="double" w:sz="4" w:space="0" w:color="auto"/>
              <w:right w:val="single" w:sz="4" w:space="0" w:color="auto"/>
            </w:tcBorders>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c>
          <w:tcPr>
            <w:tcW w:w="1097" w:type="dxa"/>
            <w:tcBorders>
              <w:left w:val="single" w:sz="4" w:space="0" w:color="auto"/>
              <w:right w:val="single" w:sz="4" w:space="0" w:color="auto"/>
            </w:tcBorders>
          </w:tcPr>
          <w:p w:rsidR="00726F0B" w:rsidRPr="003D6571" w:rsidRDefault="00726F0B" w:rsidP="001E4453">
            <w:pPr>
              <w:pStyle w:val="TableText0"/>
              <w:keepLines/>
              <w:spacing w:before="0" w:after="0"/>
              <w:jc w:val="center"/>
            </w:pPr>
            <w:r w:rsidRPr="003D6571">
              <w:t>$272</w:t>
            </w:r>
          </w:p>
        </w:tc>
        <w:tc>
          <w:tcPr>
            <w:tcW w:w="1098" w:type="dxa"/>
            <w:tcBorders>
              <w:left w:val="single" w:sz="4" w:space="0" w:color="auto"/>
              <w:right w:val="single" w:sz="4" w:space="0" w:color="auto"/>
            </w:tcBorders>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QALYs</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7" w:type="dxa"/>
            <w:tcBorders>
              <w:top w:val="single" w:sz="4" w:space="0" w:color="auto"/>
              <w:left w:val="single" w:sz="4" w:space="0" w:color="auto"/>
              <w:bottom w:val="single" w:sz="4" w:space="0" w:color="auto"/>
              <w:right w:val="double" w:sz="4" w:space="0" w:color="auto"/>
            </w:tcBorders>
            <w:tcMar>
              <w:left w:w="57" w:type="dxa"/>
              <w:right w:w="57" w:type="dxa"/>
            </w:tcMar>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7" w:type="dxa"/>
            <w:tcBorders>
              <w:left w:val="double" w:sz="4" w:space="0" w:color="auto"/>
              <w:right w:val="single" w:sz="4" w:space="0" w:color="auto"/>
            </w:tcBorders>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7" w:type="dxa"/>
            <w:tcBorders>
              <w:left w:val="single" w:sz="4" w:space="0" w:color="auto"/>
              <w:right w:val="single" w:sz="4" w:space="0" w:color="auto"/>
            </w:tcBorders>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8" w:type="dxa"/>
            <w:tcBorders>
              <w:left w:val="single" w:sz="4" w:space="0" w:color="auto"/>
              <w:right w:val="single" w:sz="4" w:space="0" w:color="auto"/>
            </w:tcBorders>
          </w:tcPr>
          <w:p w:rsidR="00726F0B" w:rsidRPr="005079C4" w:rsidRDefault="005079C4" w:rsidP="001E4453">
            <w:pPr>
              <w:pStyle w:val="TableText0"/>
              <w:keepLines/>
              <w:spacing w:before="0" w:after="0"/>
              <w:jc w:val="center"/>
              <w:rPr>
                <w:highlight w:val="black"/>
              </w:rPr>
            </w:pPr>
            <w:r>
              <w:rPr>
                <w:noProof/>
                <w:color w:val="000000"/>
                <w:highlight w:val="black"/>
              </w:rPr>
              <w:t>'''''''''''''</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ICER</w:t>
            </w:r>
          </w:p>
        </w:tc>
        <w:tc>
          <w:tcPr>
            <w:tcW w:w="3291" w:type="dxa"/>
            <w:gridSpan w:val="3"/>
            <w:tcBorders>
              <w:top w:val="single" w:sz="4" w:space="0" w:color="auto"/>
              <w:left w:val="single" w:sz="4" w:space="0" w:color="auto"/>
              <w:bottom w:val="single" w:sz="4" w:space="0" w:color="auto"/>
              <w:right w:val="double" w:sz="4" w:space="0" w:color="auto"/>
            </w:tcBorders>
            <w:tcMar>
              <w:left w:w="57" w:type="dxa"/>
              <w:right w:w="57" w:type="dxa"/>
            </w:tcMar>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c>
          <w:tcPr>
            <w:tcW w:w="3292" w:type="dxa"/>
            <w:gridSpan w:val="3"/>
            <w:tcBorders>
              <w:left w:val="double" w:sz="4" w:space="0" w:color="auto"/>
              <w:right w:val="single" w:sz="4" w:space="0" w:color="auto"/>
            </w:tcBorders>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r>
      <w:tr w:rsidR="00726F0B" w:rsidRPr="00881BD2" w:rsidTr="00F70BD6">
        <w:trPr>
          <w:cantSplit/>
          <w:trHeight w:val="20"/>
        </w:trPr>
        <w:tc>
          <w:tcPr>
            <w:tcW w:w="0" w:type="auto"/>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3D6571" w:rsidRDefault="00726F0B" w:rsidP="001E4453">
            <w:pPr>
              <w:keepNext/>
              <w:keepLines/>
              <w:jc w:val="left"/>
              <w:rPr>
                <w:rFonts w:ascii="Arial Narrow" w:hAnsi="Arial Narrow" w:cs="Times New Roman"/>
                <w:b/>
                <w:sz w:val="20"/>
              </w:rPr>
            </w:pPr>
            <w:r w:rsidRPr="003D6571">
              <w:rPr>
                <w:rFonts w:ascii="Arial Narrow" w:hAnsi="Arial Narrow" w:cs="Times New Roman"/>
                <w:b/>
                <w:sz w:val="20"/>
              </w:rPr>
              <w:t>Base case</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Cost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602D0" w:rsidRDefault="00726F0B" w:rsidP="001E4453">
            <w:pPr>
              <w:pStyle w:val="TableText0"/>
              <w:keepLines/>
              <w:spacing w:before="0" w:after="0"/>
              <w:jc w:val="center"/>
            </w:pPr>
            <w:r w:rsidRPr="005602D0">
              <w:t>$</w:t>
            </w:r>
            <w:r w:rsidR="005079C4">
              <w:rPr>
                <w:noProof/>
                <w:color w:val="000000"/>
                <w:highlight w:val="black"/>
              </w:rPr>
              <w: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c>
          <w:tcPr>
            <w:tcW w:w="1097" w:type="dxa"/>
            <w:tcBorders>
              <w:top w:val="single" w:sz="4" w:space="0" w:color="auto"/>
              <w:left w:val="single" w:sz="4" w:space="0" w:color="auto"/>
              <w:bottom w:val="single" w:sz="4" w:space="0" w:color="auto"/>
              <w:right w:val="double" w:sz="4" w:space="0" w:color="auto"/>
            </w:tcBorders>
            <w:tcMar>
              <w:left w:w="57" w:type="dxa"/>
              <w:right w:w="57" w:type="dxa"/>
            </w:tcMar>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c>
          <w:tcPr>
            <w:tcW w:w="1097" w:type="dxa"/>
            <w:tcBorders>
              <w:left w:val="double" w:sz="4" w:space="0" w:color="auto"/>
              <w:right w:val="single" w:sz="4" w:space="0" w:color="auto"/>
            </w:tcBorders>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c>
          <w:tcPr>
            <w:tcW w:w="1097" w:type="dxa"/>
            <w:tcBorders>
              <w:left w:val="single" w:sz="4" w:space="0" w:color="auto"/>
              <w:right w:val="single" w:sz="4" w:space="0" w:color="auto"/>
            </w:tcBorders>
          </w:tcPr>
          <w:p w:rsidR="00726F0B" w:rsidRPr="003D6571" w:rsidRDefault="00726F0B" w:rsidP="001E4453">
            <w:pPr>
              <w:pStyle w:val="TableText0"/>
              <w:keepLines/>
              <w:spacing w:before="0" w:after="0"/>
              <w:jc w:val="center"/>
            </w:pPr>
            <w:r w:rsidRPr="003D6571">
              <w:t>$19,270</w:t>
            </w:r>
          </w:p>
        </w:tc>
        <w:tc>
          <w:tcPr>
            <w:tcW w:w="1098" w:type="dxa"/>
            <w:tcBorders>
              <w:left w:val="single" w:sz="4" w:space="0" w:color="auto"/>
              <w:right w:val="single" w:sz="4" w:space="0" w:color="auto"/>
            </w:tcBorders>
          </w:tcPr>
          <w:p w:rsidR="00726F0B" w:rsidRPr="003D6571" w:rsidRDefault="00726F0B" w:rsidP="001E4453">
            <w:pPr>
              <w:pStyle w:val="TableText0"/>
              <w:keepLines/>
              <w:spacing w:before="0" w:after="0"/>
              <w:jc w:val="center"/>
            </w:pPr>
            <w:r w:rsidRPr="003D6571">
              <w:t>$</w:t>
            </w:r>
            <w:r w:rsidR="005079C4">
              <w:rPr>
                <w:noProof/>
                <w:color w:val="000000"/>
                <w:highlight w:val="black"/>
              </w:rPr>
              <w:t>'''''''''''''''</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QALYs</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7" w:type="dxa"/>
            <w:tcBorders>
              <w:top w:val="single" w:sz="4" w:space="0" w:color="auto"/>
              <w:left w:val="single" w:sz="4" w:space="0" w:color="auto"/>
              <w:bottom w:val="single" w:sz="4" w:space="0" w:color="auto"/>
              <w:right w:val="single" w:sz="4" w:space="0" w:color="auto"/>
            </w:tcBorders>
            <w:tcMar>
              <w:left w:w="57" w:type="dxa"/>
              <w:right w:w="57" w:type="dxa"/>
            </w:tcMar>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7" w:type="dxa"/>
            <w:tcBorders>
              <w:top w:val="single" w:sz="4" w:space="0" w:color="auto"/>
              <w:left w:val="single" w:sz="4" w:space="0" w:color="auto"/>
              <w:bottom w:val="single" w:sz="4" w:space="0" w:color="auto"/>
              <w:right w:val="double" w:sz="4" w:space="0" w:color="auto"/>
            </w:tcBorders>
            <w:tcMar>
              <w:left w:w="57" w:type="dxa"/>
              <w:right w:w="57" w:type="dxa"/>
            </w:tcMar>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7" w:type="dxa"/>
            <w:tcBorders>
              <w:left w:val="double" w:sz="4" w:space="0" w:color="auto"/>
              <w:right w:val="single" w:sz="4" w:space="0" w:color="auto"/>
            </w:tcBorders>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7" w:type="dxa"/>
            <w:tcBorders>
              <w:left w:val="single" w:sz="4" w:space="0" w:color="auto"/>
              <w:right w:val="single" w:sz="4" w:space="0" w:color="auto"/>
            </w:tcBorders>
          </w:tcPr>
          <w:p w:rsidR="00726F0B" w:rsidRPr="005079C4" w:rsidRDefault="005079C4" w:rsidP="001E4453">
            <w:pPr>
              <w:pStyle w:val="TableText0"/>
              <w:keepLines/>
              <w:spacing w:before="0" w:after="0"/>
              <w:jc w:val="center"/>
              <w:rPr>
                <w:highlight w:val="black"/>
              </w:rPr>
            </w:pPr>
            <w:r>
              <w:rPr>
                <w:noProof/>
                <w:color w:val="000000"/>
                <w:highlight w:val="black"/>
              </w:rPr>
              <w:t>''''''''''''''</w:t>
            </w:r>
          </w:p>
        </w:tc>
        <w:tc>
          <w:tcPr>
            <w:tcW w:w="1098" w:type="dxa"/>
            <w:tcBorders>
              <w:left w:val="single" w:sz="4" w:space="0" w:color="auto"/>
              <w:right w:val="single" w:sz="4" w:space="0" w:color="auto"/>
            </w:tcBorders>
          </w:tcPr>
          <w:p w:rsidR="00726F0B" w:rsidRPr="005079C4" w:rsidRDefault="005079C4" w:rsidP="001E4453">
            <w:pPr>
              <w:pStyle w:val="TableText0"/>
              <w:keepLines/>
              <w:spacing w:before="0" w:after="0"/>
              <w:jc w:val="center"/>
              <w:rPr>
                <w:highlight w:val="black"/>
              </w:rPr>
            </w:pPr>
            <w:r>
              <w:rPr>
                <w:noProof/>
                <w:color w:val="000000"/>
                <w:highlight w:val="black"/>
              </w:rPr>
              <w:t>''''''''''''''</w:t>
            </w:r>
          </w:p>
        </w:tc>
      </w:tr>
      <w:tr w:rsidR="00726F0B" w:rsidRPr="00881BD2" w:rsidTr="00F70BD6">
        <w:trPr>
          <w:cantSplit/>
          <w:trHeight w:val="20"/>
        </w:trPr>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6F0B" w:rsidRPr="00881BD2" w:rsidRDefault="00726F0B" w:rsidP="001E4453">
            <w:pPr>
              <w:keepNext/>
              <w:keepLines/>
              <w:jc w:val="left"/>
              <w:rPr>
                <w:rFonts w:ascii="Arial Narrow" w:hAnsi="Arial Narrow" w:cs="Times New Roman"/>
                <w:b/>
                <w:sz w:val="20"/>
              </w:rPr>
            </w:pPr>
            <w:r w:rsidRPr="00881BD2">
              <w:rPr>
                <w:rFonts w:ascii="Arial Narrow" w:hAnsi="Arial Narrow" w:cs="Times New Roman"/>
                <w:b/>
                <w:sz w:val="20"/>
              </w:rPr>
              <w:t>ICER</w:t>
            </w:r>
          </w:p>
        </w:tc>
        <w:tc>
          <w:tcPr>
            <w:tcW w:w="3291" w:type="dxa"/>
            <w:gridSpan w:val="3"/>
            <w:tcBorders>
              <w:top w:val="single" w:sz="4" w:space="0" w:color="auto"/>
              <w:left w:val="single" w:sz="4" w:space="0" w:color="auto"/>
              <w:bottom w:val="single" w:sz="4" w:space="0" w:color="auto"/>
              <w:right w:val="double" w:sz="4" w:space="0" w:color="auto"/>
            </w:tcBorders>
            <w:tcMar>
              <w:left w:w="57" w:type="dxa"/>
              <w:right w:w="57" w:type="dxa"/>
            </w:tcMar>
          </w:tcPr>
          <w:p w:rsidR="00726F0B" w:rsidRPr="003D6571" w:rsidRDefault="00726F0B" w:rsidP="001E4453">
            <w:pPr>
              <w:pStyle w:val="TableText0"/>
              <w:keepLines/>
              <w:spacing w:before="0" w:after="0"/>
              <w:jc w:val="center"/>
              <w:rPr>
                <w:b/>
              </w:rPr>
            </w:pPr>
            <w:r w:rsidRPr="003D6571">
              <w:rPr>
                <w:b/>
              </w:rPr>
              <w:t>$</w:t>
            </w:r>
            <w:r w:rsidR="005079C4">
              <w:rPr>
                <w:b/>
                <w:noProof/>
                <w:color w:val="000000"/>
                <w:highlight w:val="black"/>
              </w:rPr>
              <w:t>'''''''''''''</w:t>
            </w:r>
          </w:p>
        </w:tc>
        <w:tc>
          <w:tcPr>
            <w:tcW w:w="3292" w:type="dxa"/>
            <w:gridSpan w:val="3"/>
            <w:tcBorders>
              <w:left w:val="double" w:sz="4" w:space="0" w:color="auto"/>
              <w:right w:val="single" w:sz="4" w:space="0" w:color="auto"/>
            </w:tcBorders>
          </w:tcPr>
          <w:p w:rsidR="00726F0B" w:rsidRPr="003D6571" w:rsidRDefault="00726F0B" w:rsidP="001E4453">
            <w:pPr>
              <w:pStyle w:val="TableText0"/>
              <w:keepLines/>
              <w:spacing w:before="0" w:after="0"/>
              <w:jc w:val="center"/>
              <w:rPr>
                <w:b/>
              </w:rPr>
            </w:pPr>
            <w:r w:rsidRPr="003D6571">
              <w:rPr>
                <w:b/>
              </w:rPr>
              <w:t>$</w:t>
            </w:r>
            <w:r w:rsidR="005079C4">
              <w:rPr>
                <w:b/>
                <w:noProof/>
                <w:color w:val="000000"/>
                <w:highlight w:val="black"/>
              </w:rPr>
              <w:t>'''''''''''''''</w:t>
            </w:r>
          </w:p>
        </w:tc>
      </w:tr>
      <w:tr w:rsidR="00726F0B" w:rsidRPr="00881BD2" w:rsidTr="002C2CE8">
        <w:trPr>
          <w:cantSplit/>
          <w:trHeight w:val="20"/>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rsidR="00726F0B" w:rsidRPr="003D6571" w:rsidRDefault="00726F0B" w:rsidP="001E4453">
            <w:pPr>
              <w:keepNext/>
              <w:keepLines/>
              <w:jc w:val="left"/>
              <w:rPr>
                <w:rFonts w:ascii="Arial Narrow" w:hAnsi="Arial Narrow" w:cs="Times New Roman"/>
                <w:b/>
                <w:sz w:val="20"/>
              </w:rPr>
            </w:pPr>
            <w:r w:rsidRPr="003D6571">
              <w:rPr>
                <w:rFonts w:ascii="Arial Narrow" w:hAnsi="Arial Narrow" w:cs="Times New Roman"/>
                <w:b/>
                <w:sz w:val="20"/>
              </w:rPr>
              <w:t>PREVIOUS SUBMISSION</w:t>
            </w:r>
          </w:p>
        </w:tc>
      </w:tr>
      <w:tr w:rsidR="00726F0B" w:rsidRPr="00881BD2" w:rsidTr="006305C9">
        <w:trPr>
          <w:cantSplit/>
          <w:trHeight w:val="2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Cost</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rsidR="00726F0B" w:rsidRPr="005602D0" w:rsidRDefault="00726F0B" w:rsidP="001E4453">
            <w:pPr>
              <w:keepNext/>
              <w:keepLines/>
              <w:jc w:val="center"/>
              <w:rPr>
                <w:rFonts w:ascii="Arial Narrow" w:hAnsi="Arial Narrow" w:cs="Times New Roman"/>
                <w:sz w:val="20"/>
              </w:rPr>
            </w:pPr>
            <w:r w:rsidRPr="005602D0">
              <w:rPr>
                <w:rFonts w:ascii="Arial Narrow" w:hAnsi="Arial Narrow" w:cs="Times New Roman"/>
                <w:sz w:val="20"/>
              </w:rPr>
              <w:t>$</w:t>
            </w:r>
            <w:r w:rsidR="005079C4">
              <w:rPr>
                <w:rFonts w:ascii="Arial Narrow" w:hAnsi="Arial Narrow" w:cs="Times New Roman"/>
                <w:noProof/>
                <w:color w:val="000000"/>
                <w:sz w:val="20"/>
                <w:highlight w:val="black"/>
              </w:rPr>
              <w:t>''''''''''''''''</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rsidR="00726F0B" w:rsidRPr="003D6571" w:rsidRDefault="00726F0B" w:rsidP="001E4453">
            <w:pPr>
              <w:keepNext/>
              <w:keepLines/>
              <w:jc w:val="center"/>
              <w:rPr>
                <w:rFonts w:ascii="Arial Narrow" w:hAnsi="Arial Narrow" w:cs="Times New Roman"/>
                <w:sz w:val="20"/>
              </w:rPr>
            </w:pPr>
            <w:r w:rsidRPr="003D6571">
              <w:rPr>
                <w:rFonts w:ascii="Arial Narrow" w:hAnsi="Arial Narrow" w:cs="Times New Roman"/>
                <w:sz w:val="20"/>
              </w:rPr>
              <w:t>$</w:t>
            </w:r>
            <w:r w:rsidR="005079C4">
              <w:rPr>
                <w:rFonts w:ascii="Arial Narrow" w:hAnsi="Arial Narrow" w:cs="Times New Roman"/>
                <w:noProof/>
                <w:color w:val="000000"/>
                <w:sz w:val="20"/>
                <w:highlight w:val="black"/>
              </w:rPr>
              <w:t>''''''''''''''''</w:t>
            </w:r>
          </w:p>
        </w:tc>
        <w:tc>
          <w:tcPr>
            <w:tcW w:w="1097" w:type="dxa"/>
            <w:tcBorders>
              <w:top w:val="single" w:sz="4" w:space="0" w:color="auto"/>
              <w:left w:val="single" w:sz="4" w:space="0" w:color="auto"/>
              <w:bottom w:val="single" w:sz="4" w:space="0" w:color="auto"/>
              <w:right w:val="double" w:sz="4" w:space="0" w:color="auto"/>
            </w:tcBorders>
            <w:shd w:val="clear" w:color="auto" w:fill="FFFFFF" w:themeFill="background1"/>
            <w:tcMar>
              <w:left w:w="57" w:type="dxa"/>
              <w:right w:w="57" w:type="dxa"/>
            </w:tcMar>
          </w:tcPr>
          <w:p w:rsidR="00726F0B" w:rsidRPr="003D6571" w:rsidRDefault="00726F0B" w:rsidP="001E4453">
            <w:pPr>
              <w:keepNext/>
              <w:keepLines/>
              <w:jc w:val="center"/>
              <w:rPr>
                <w:rFonts w:ascii="Arial Narrow" w:hAnsi="Arial Narrow" w:cs="Times New Roman"/>
                <w:sz w:val="20"/>
              </w:rPr>
            </w:pPr>
            <w:r w:rsidRPr="003D6571">
              <w:rPr>
                <w:rFonts w:ascii="Arial Narrow" w:hAnsi="Arial Narrow" w:cs="Times New Roman"/>
                <w:sz w:val="20"/>
              </w:rPr>
              <w:t>$</w:t>
            </w:r>
            <w:r w:rsidR="005079C4">
              <w:rPr>
                <w:rFonts w:ascii="Arial Narrow" w:hAnsi="Arial Narrow" w:cs="Times New Roman"/>
                <w:noProof/>
                <w:color w:val="000000"/>
                <w:sz w:val="20"/>
                <w:highlight w:val="black"/>
              </w:rPr>
              <w:t>''''''''''''''''</w:t>
            </w:r>
          </w:p>
        </w:tc>
        <w:tc>
          <w:tcPr>
            <w:tcW w:w="1097" w:type="dxa"/>
            <w:tcBorders>
              <w:left w:val="double" w:sz="4" w:space="0" w:color="auto"/>
              <w:right w:val="single" w:sz="4" w:space="0" w:color="auto"/>
            </w:tcBorders>
            <w:shd w:val="clear" w:color="auto" w:fill="FFFFFF" w:themeFill="background1"/>
          </w:tcPr>
          <w:p w:rsidR="00726F0B" w:rsidRPr="003D6571" w:rsidRDefault="00726F0B" w:rsidP="001E4453">
            <w:pPr>
              <w:keepNext/>
              <w:keepLines/>
              <w:jc w:val="center"/>
              <w:rPr>
                <w:rFonts w:ascii="Arial Narrow" w:hAnsi="Arial Narrow" w:cs="Times New Roman"/>
                <w:sz w:val="20"/>
              </w:rPr>
            </w:pPr>
            <w:r w:rsidRPr="003D6571">
              <w:rPr>
                <w:rFonts w:ascii="Arial Narrow" w:hAnsi="Arial Narrow" w:cs="Times New Roman"/>
                <w:sz w:val="20"/>
              </w:rPr>
              <w:t>$</w:t>
            </w:r>
            <w:r w:rsidR="005079C4">
              <w:rPr>
                <w:rFonts w:ascii="Arial Narrow" w:hAnsi="Arial Narrow" w:cs="Times New Roman"/>
                <w:noProof/>
                <w:color w:val="000000"/>
                <w:sz w:val="20"/>
                <w:highlight w:val="black"/>
              </w:rPr>
              <w:t>'''''''''''''''''</w:t>
            </w:r>
          </w:p>
        </w:tc>
        <w:tc>
          <w:tcPr>
            <w:tcW w:w="1097" w:type="dxa"/>
            <w:tcBorders>
              <w:left w:val="single" w:sz="4" w:space="0" w:color="auto"/>
              <w:right w:val="single" w:sz="4" w:space="0" w:color="auto"/>
            </w:tcBorders>
            <w:shd w:val="clear" w:color="auto" w:fill="FFFFFF" w:themeFill="background1"/>
          </w:tcPr>
          <w:p w:rsidR="00726F0B" w:rsidRPr="003D6571" w:rsidRDefault="00726F0B" w:rsidP="001E4453">
            <w:pPr>
              <w:keepNext/>
              <w:keepLines/>
              <w:jc w:val="center"/>
              <w:rPr>
                <w:rFonts w:ascii="Arial Narrow" w:hAnsi="Arial Narrow" w:cs="Times New Roman"/>
                <w:sz w:val="20"/>
              </w:rPr>
            </w:pPr>
            <w:r w:rsidRPr="003D6571">
              <w:rPr>
                <w:rFonts w:ascii="Arial Narrow" w:hAnsi="Arial Narrow" w:cs="Times New Roman"/>
                <w:sz w:val="20"/>
              </w:rPr>
              <w:t>$1,252</w:t>
            </w:r>
          </w:p>
        </w:tc>
        <w:tc>
          <w:tcPr>
            <w:tcW w:w="1098" w:type="dxa"/>
            <w:tcBorders>
              <w:left w:val="single" w:sz="4" w:space="0" w:color="auto"/>
              <w:right w:val="single" w:sz="4" w:space="0" w:color="auto"/>
            </w:tcBorders>
            <w:shd w:val="clear" w:color="auto" w:fill="FFFFFF" w:themeFill="background1"/>
          </w:tcPr>
          <w:p w:rsidR="00726F0B" w:rsidRPr="003D6571" w:rsidRDefault="00726F0B" w:rsidP="001E4453">
            <w:pPr>
              <w:keepNext/>
              <w:keepLines/>
              <w:jc w:val="center"/>
              <w:rPr>
                <w:rFonts w:ascii="Arial Narrow" w:hAnsi="Arial Narrow" w:cs="Times New Roman"/>
                <w:sz w:val="20"/>
              </w:rPr>
            </w:pPr>
            <w:r w:rsidRPr="003D6571">
              <w:rPr>
                <w:rFonts w:ascii="Arial Narrow" w:hAnsi="Arial Narrow" w:cs="Times New Roman"/>
                <w:sz w:val="20"/>
              </w:rPr>
              <w:t>$</w:t>
            </w:r>
            <w:r w:rsidR="005079C4">
              <w:rPr>
                <w:rFonts w:ascii="Arial Narrow" w:hAnsi="Arial Narrow" w:cs="Times New Roman"/>
                <w:noProof/>
                <w:color w:val="000000"/>
                <w:sz w:val="20"/>
                <w:highlight w:val="black"/>
              </w:rPr>
              <w:t>''''''''''''''''</w:t>
            </w:r>
          </w:p>
        </w:tc>
      </w:tr>
      <w:tr w:rsidR="00726F0B" w:rsidRPr="00881BD2" w:rsidTr="006305C9">
        <w:trPr>
          <w:cantSplit/>
          <w:trHeight w:val="2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rsidR="00726F0B" w:rsidRPr="00881BD2" w:rsidRDefault="00726F0B" w:rsidP="001E4453">
            <w:pPr>
              <w:keepNext/>
              <w:keepLines/>
              <w:jc w:val="left"/>
              <w:rPr>
                <w:rFonts w:ascii="Arial Narrow" w:hAnsi="Arial Narrow" w:cs="Times New Roman"/>
                <w:sz w:val="20"/>
              </w:rPr>
            </w:pPr>
            <w:r w:rsidRPr="00881BD2">
              <w:rPr>
                <w:rFonts w:ascii="Arial Narrow" w:hAnsi="Arial Narrow" w:cs="Times New Roman"/>
                <w:sz w:val="20"/>
              </w:rPr>
              <w:t>QALYs</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rsidR="00726F0B" w:rsidRPr="005079C4" w:rsidRDefault="005079C4" w:rsidP="001E4453">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rsidR="00726F0B" w:rsidRPr="005079C4" w:rsidRDefault="005079C4" w:rsidP="001E4453">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97" w:type="dxa"/>
            <w:tcBorders>
              <w:top w:val="single" w:sz="4" w:space="0" w:color="auto"/>
              <w:left w:val="single" w:sz="4" w:space="0" w:color="auto"/>
              <w:bottom w:val="single" w:sz="4" w:space="0" w:color="auto"/>
              <w:right w:val="double" w:sz="4" w:space="0" w:color="auto"/>
            </w:tcBorders>
            <w:shd w:val="clear" w:color="auto" w:fill="FFFFFF" w:themeFill="background1"/>
            <w:tcMar>
              <w:left w:w="57" w:type="dxa"/>
              <w:right w:w="57" w:type="dxa"/>
            </w:tcMar>
          </w:tcPr>
          <w:p w:rsidR="00726F0B" w:rsidRPr="005079C4" w:rsidRDefault="005079C4" w:rsidP="001E4453">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97" w:type="dxa"/>
            <w:tcBorders>
              <w:left w:val="double" w:sz="4" w:space="0" w:color="auto"/>
              <w:right w:val="single" w:sz="4" w:space="0" w:color="auto"/>
            </w:tcBorders>
            <w:shd w:val="clear" w:color="auto" w:fill="FFFFFF" w:themeFill="background1"/>
          </w:tcPr>
          <w:p w:rsidR="00726F0B" w:rsidRPr="005079C4" w:rsidRDefault="005079C4" w:rsidP="001E4453">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97" w:type="dxa"/>
            <w:tcBorders>
              <w:left w:val="single" w:sz="4" w:space="0" w:color="auto"/>
              <w:right w:val="single" w:sz="4" w:space="0" w:color="auto"/>
            </w:tcBorders>
            <w:shd w:val="clear" w:color="auto" w:fill="FFFFFF" w:themeFill="background1"/>
          </w:tcPr>
          <w:p w:rsidR="00726F0B" w:rsidRPr="005079C4" w:rsidRDefault="005079C4" w:rsidP="001E4453">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98" w:type="dxa"/>
            <w:tcBorders>
              <w:left w:val="single" w:sz="4" w:space="0" w:color="auto"/>
              <w:right w:val="single" w:sz="4" w:space="0" w:color="auto"/>
            </w:tcBorders>
            <w:shd w:val="clear" w:color="auto" w:fill="FFFFFF" w:themeFill="background1"/>
          </w:tcPr>
          <w:p w:rsidR="00726F0B" w:rsidRPr="005079C4" w:rsidRDefault="005079C4" w:rsidP="001E4453">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26F0B" w:rsidRPr="00881BD2" w:rsidTr="006305C9">
        <w:trPr>
          <w:cantSplit/>
          <w:trHeight w:val="2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vAlign w:val="center"/>
          </w:tcPr>
          <w:p w:rsidR="00726F0B" w:rsidRPr="00881BD2" w:rsidRDefault="00726F0B" w:rsidP="001E4453">
            <w:pPr>
              <w:keepNext/>
              <w:keepLines/>
              <w:jc w:val="left"/>
              <w:rPr>
                <w:rFonts w:ascii="Arial Narrow" w:hAnsi="Arial Narrow" w:cs="Times New Roman"/>
                <w:b/>
                <w:sz w:val="20"/>
              </w:rPr>
            </w:pPr>
            <w:r w:rsidRPr="00881BD2">
              <w:rPr>
                <w:rFonts w:ascii="Arial Narrow" w:hAnsi="Arial Narrow" w:cs="Times New Roman"/>
                <w:b/>
                <w:sz w:val="20"/>
              </w:rPr>
              <w:t>ICER</w:t>
            </w:r>
          </w:p>
        </w:tc>
        <w:tc>
          <w:tcPr>
            <w:tcW w:w="3291" w:type="dxa"/>
            <w:gridSpan w:val="3"/>
            <w:tcBorders>
              <w:top w:val="single" w:sz="4" w:space="0" w:color="auto"/>
              <w:left w:val="single" w:sz="4" w:space="0" w:color="auto"/>
              <w:bottom w:val="single" w:sz="4" w:space="0" w:color="auto"/>
              <w:right w:val="double" w:sz="4" w:space="0" w:color="auto"/>
            </w:tcBorders>
            <w:shd w:val="clear" w:color="auto" w:fill="FFFFFF" w:themeFill="background1"/>
            <w:tcMar>
              <w:left w:w="57" w:type="dxa"/>
              <w:right w:w="57" w:type="dxa"/>
            </w:tcMar>
          </w:tcPr>
          <w:p w:rsidR="00726F0B" w:rsidRPr="005602D0" w:rsidRDefault="00726F0B" w:rsidP="001E4453">
            <w:pPr>
              <w:pStyle w:val="TableText0"/>
              <w:keepLines/>
              <w:spacing w:before="0" w:after="0"/>
              <w:jc w:val="center"/>
              <w:rPr>
                <w:b/>
              </w:rPr>
            </w:pPr>
            <w:r w:rsidRPr="005602D0">
              <w:rPr>
                <w:b/>
              </w:rPr>
              <w:t>$</w:t>
            </w:r>
            <w:r w:rsidR="005079C4">
              <w:rPr>
                <w:b/>
                <w:noProof/>
                <w:color w:val="000000"/>
                <w:highlight w:val="black"/>
              </w:rPr>
              <w:t>'''''''''''''</w:t>
            </w:r>
          </w:p>
        </w:tc>
        <w:tc>
          <w:tcPr>
            <w:tcW w:w="3292" w:type="dxa"/>
            <w:gridSpan w:val="3"/>
            <w:tcBorders>
              <w:left w:val="double" w:sz="4" w:space="0" w:color="auto"/>
              <w:right w:val="single" w:sz="4" w:space="0" w:color="auto"/>
            </w:tcBorders>
            <w:shd w:val="clear" w:color="auto" w:fill="FFFFFF" w:themeFill="background1"/>
          </w:tcPr>
          <w:p w:rsidR="00726F0B" w:rsidRPr="005602D0" w:rsidRDefault="00726F0B" w:rsidP="001E4453">
            <w:pPr>
              <w:pStyle w:val="TableText0"/>
              <w:keepLines/>
              <w:spacing w:before="0" w:after="0"/>
              <w:jc w:val="center"/>
              <w:rPr>
                <w:b/>
              </w:rPr>
            </w:pPr>
            <w:r w:rsidRPr="005602D0">
              <w:rPr>
                <w:b/>
              </w:rPr>
              <w:t>$</w:t>
            </w:r>
            <w:r w:rsidR="005079C4">
              <w:rPr>
                <w:b/>
                <w:noProof/>
                <w:color w:val="000000"/>
                <w:highlight w:val="black"/>
              </w:rPr>
              <w:t>''''''''''''''</w:t>
            </w:r>
          </w:p>
        </w:tc>
      </w:tr>
    </w:tbl>
    <w:p w:rsidR="00726F0B" w:rsidRPr="00881BD2" w:rsidRDefault="00726F0B" w:rsidP="001E4453">
      <w:pPr>
        <w:pStyle w:val="TableFooter"/>
        <w:keepNext/>
        <w:keepLines/>
        <w:ind w:firstLine="709"/>
      </w:pPr>
      <w:r w:rsidRPr="00881BD2">
        <w:t>Source: Tables D.5.1 to D.5.7 pp.31-35 of the submission.</w:t>
      </w:r>
    </w:p>
    <w:p w:rsidR="00726F0B" w:rsidRPr="00881BD2" w:rsidRDefault="00726F0B" w:rsidP="001E4453">
      <w:pPr>
        <w:pStyle w:val="TableFooter"/>
        <w:keepNext/>
        <w:keepLines/>
        <w:ind w:firstLine="709"/>
        <w:rPr>
          <w:szCs w:val="18"/>
        </w:rPr>
      </w:pPr>
      <w:r w:rsidRPr="00881BD2">
        <w:t xml:space="preserve">QALY = quality-adjusted life year; Incr. = incremental; OBI = </w:t>
      </w:r>
      <w:proofErr w:type="spellStart"/>
      <w:r w:rsidRPr="00881BD2">
        <w:t>obinutuzumab</w:t>
      </w:r>
      <w:proofErr w:type="spellEnd"/>
      <w:r w:rsidRPr="00881BD2">
        <w:t xml:space="preserve">; CLB </w:t>
      </w:r>
      <w:r w:rsidR="00F97C74" w:rsidRPr="00881BD2">
        <w:t>= chlorambucil; RIT = rituximab</w:t>
      </w:r>
    </w:p>
    <w:p w:rsidR="00726F0B" w:rsidRPr="00881BD2" w:rsidRDefault="00726F0B" w:rsidP="001E4453">
      <w:pPr>
        <w:rPr>
          <w:szCs w:val="22"/>
        </w:rPr>
      </w:pPr>
    </w:p>
    <w:p w:rsidR="005E72D5" w:rsidRPr="005E72D5" w:rsidRDefault="00584FBF" w:rsidP="005F6C0F">
      <w:pPr>
        <w:pStyle w:val="ListParagraph"/>
        <w:keepNext/>
        <w:keepLines/>
        <w:widowControl/>
        <w:numPr>
          <w:ilvl w:val="1"/>
          <w:numId w:val="15"/>
        </w:numPr>
        <w:rPr>
          <w:i/>
          <w:szCs w:val="22"/>
        </w:rPr>
      </w:pPr>
      <w:r w:rsidRPr="005602D0">
        <w:t xml:space="preserve">The economic evaluation resulted in an incremental cost per QALY gained of </w:t>
      </w:r>
      <w:r w:rsidR="005F6C0F" w:rsidRPr="005602D0">
        <w:t xml:space="preserve">$15,000/QALY - $45,000/QALY </w:t>
      </w:r>
      <w:r w:rsidRPr="005602D0">
        <w:t xml:space="preserve">(versus rituximab plus chlorambucil) and </w:t>
      </w:r>
      <w:r w:rsidR="005F6C0F" w:rsidRPr="005602D0">
        <w:t xml:space="preserve">$15,000/QALY - $45,000/QALY </w:t>
      </w:r>
      <w:r w:rsidRPr="005602D0">
        <w:t xml:space="preserve">(versus chlorambucil). The </w:t>
      </w:r>
      <w:r w:rsidR="00580142" w:rsidRPr="005602D0">
        <w:t xml:space="preserve">ICERs </w:t>
      </w:r>
      <w:r w:rsidRPr="005602D0">
        <w:t xml:space="preserve">reported in the previous submission were </w:t>
      </w:r>
      <w:r w:rsidR="005F6C0F" w:rsidRPr="005602D0">
        <w:t xml:space="preserve">$45,000/QALY – $75,000/QALY </w:t>
      </w:r>
      <w:r w:rsidRPr="005602D0">
        <w:t xml:space="preserve">and </w:t>
      </w:r>
      <w:r w:rsidR="005F6C0F" w:rsidRPr="005602D0">
        <w:t>$45,000/QALY – $75,000/QALY</w:t>
      </w:r>
      <w:r w:rsidRPr="005602D0">
        <w:t>, respectively.</w:t>
      </w:r>
      <w:r w:rsidR="00881BD2" w:rsidRPr="005602D0">
        <w:rPr>
          <w:i/>
          <w:szCs w:val="22"/>
        </w:rPr>
        <w:t xml:space="preserve"> </w:t>
      </w:r>
      <w:r w:rsidR="005E72D5" w:rsidRPr="005602D0">
        <w:rPr>
          <w:szCs w:val="22"/>
        </w:rPr>
        <w:t>C</w:t>
      </w:r>
      <w:r w:rsidR="00881BD2" w:rsidRPr="005602D0">
        <w:rPr>
          <w:szCs w:val="22"/>
        </w:rPr>
        <w:t>ompared to the previous submission,</w:t>
      </w:r>
      <w:r w:rsidR="002E57C0" w:rsidRPr="005602D0">
        <w:rPr>
          <w:szCs w:val="22"/>
        </w:rPr>
        <w:t xml:space="preserve"> the</w:t>
      </w:r>
      <w:r w:rsidR="0034506C" w:rsidRPr="005602D0">
        <w:rPr>
          <w:szCs w:val="22"/>
        </w:rPr>
        <w:t xml:space="preserve"> </w:t>
      </w:r>
      <w:r w:rsidR="00881BD2" w:rsidRPr="005602D0">
        <w:rPr>
          <w:szCs w:val="22"/>
        </w:rPr>
        <w:t>re</w:t>
      </w:r>
      <w:r w:rsidR="00881BD2" w:rsidRPr="005602D0">
        <w:rPr>
          <w:szCs w:val="22"/>
        </w:rPr>
        <w:noBreakHyphen/>
      </w:r>
      <w:r w:rsidR="00B71AC3" w:rsidRPr="005602D0">
        <w:rPr>
          <w:szCs w:val="22"/>
        </w:rPr>
        <w:t>submission’s</w:t>
      </w:r>
      <w:r w:rsidR="00C56A08" w:rsidRPr="005602D0">
        <w:rPr>
          <w:szCs w:val="22"/>
        </w:rPr>
        <w:t xml:space="preserve"> economic evaluation </w:t>
      </w:r>
      <w:r w:rsidR="008E72B7" w:rsidRPr="005602D0">
        <w:rPr>
          <w:szCs w:val="22"/>
        </w:rPr>
        <w:t>resulted</w:t>
      </w:r>
      <w:r w:rsidR="008E72B7" w:rsidRPr="002C2CE8">
        <w:rPr>
          <w:szCs w:val="22"/>
        </w:rPr>
        <w:t xml:space="preserve"> in</w:t>
      </w:r>
      <w:r w:rsidR="002E57C0" w:rsidRPr="002C2CE8">
        <w:rPr>
          <w:szCs w:val="22"/>
        </w:rPr>
        <w:t xml:space="preserve"> a</w:t>
      </w:r>
      <w:r w:rsidRPr="002C2CE8">
        <w:rPr>
          <w:szCs w:val="22"/>
        </w:rPr>
        <w:t xml:space="preserve">n </w:t>
      </w:r>
      <w:r w:rsidR="00CA1284" w:rsidRPr="002C2CE8">
        <w:rPr>
          <w:szCs w:val="22"/>
        </w:rPr>
        <w:t xml:space="preserve">improvement </w:t>
      </w:r>
      <w:r w:rsidRPr="002C2CE8">
        <w:rPr>
          <w:szCs w:val="22"/>
        </w:rPr>
        <w:t xml:space="preserve">in the cost-effectiveness of </w:t>
      </w:r>
      <w:proofErr w:type="spellStart"/>
      <w:r w:rsidRPr="002C2CE8">
        <w:rPr>
          <w:szCs w:val="22"/>
        </w:rPr>
        <w:t>obinutuzumab</w:t>
      </w:r>
      <w:proofErr w:type="spellEnd"/>
      <w:r w:rsidR="00A82F6B" w:rsidRPr="002C2CE8">
        <w:rPr>
          <w:szCs w:val="22"/>
        </w:rPr>
        <w:t xml:space="preserve">. </w:t>
      </w:r>
      <w:r w:rsidR="005E72D5" w:rsidRPr="002C2CE8">
        <w:rPr>
          <w:szCs w:val="22"/>
        </w:rPr>
        <w:t>The ESC noted that t</w:t>
      </w:r>
      <w:r w:rsidR="0034506C" w:rsidRPr="002C2CE8">
        <w:rPr>
          <w:szCs w:val="22"/>
        </w:rPr>
        <w:t>his was driven by an increase in the incremental effectiveness, rather than a difference in the costs.</w:t>
      </w:r>
      <w:r w:rsidR="0034506C" w:rsidRPr="005E72D5">
        <w:rPr>
          <w:i/>
          <w:szCs w:val="22"/>
        </w:rPr>
        <w:t xml:space="preserve"> </w:t>
      </w:r>
    </w:p>
    <w:p w:rsidR="0034506C" w:rsidRPr="001E4453" w:rsidRDefault="0034506C" w:rsidP="001E4453">
      <w:pPr>
        <w:pStyle w:val="ListParagraph"/>
        <w:widowControl/>
        <w:rPr>
          <w:szCs w:val="22"/>
        </w:rPr>
      </w:pPr>
    </w:p>
    <w:p w:rsidR="00C23F85" w:rsidRPr="001E4453" w:rsidRDefault="00C23F85" w:rsidP="006305C9">
      <w:pPr>
        <w:pStyle w:val="ListParagraph"/>
        <w:keepNext/>
        <w:keepLines/>
        <w:widowControl/>
        <w:numPr>
          <w:ilvl w:val="1"/>
          <w:numId w:val="15"/>
        </w:numPr>
        <w:rPr>
          <w:szCs w:val="22"/>
        </w:rPr>
      </w:pPr>
      <w:r w:rsidRPr="001E4453">
        <w:rPr>
          <w:szCs w:val="22"/>
        </w:rPr>
        <w:t xml:space="preserve">With respect to other changes suggested by the PBAC in July 2014: </w:t>
      </w:r>
    </w:p>
    <w:p w:rsidR="00C23F85" w:rsidRPr="001E4453" w:rsidRDefault="00C23F85" w:rsidP="002239F7">
      <w:pPr>
        <w:pStyle w:val="ListParagraph"/>
        <w:numPr>
          <w:ilvl w:val="0"/>
          <w:numId w:val="22"/>
        </w:numPr>
        <w:rPr>
          <w:szCs w:val="22"/>
        </w:rPr>
      </w:pPr>
      <w:r w:rsidRPr="001E4453">
        <w:rPr>
          <w:szCs w:val="22"/>
        </w:rPr>
        <w:t xml:space="preserve">Effectiveness of additional lines of treatment was not explicitly modelled. </w:t>
      </w:r>
      <w:r w:rsidR="002239F7" w:rsidRPr="002239F7">
        <w:rPr>
          <w:szCs w:val="22"/>
        </w:rPr>
        <w:t xml:space="preserve">However the impact of additional lines of treatment on efficacy outcomes was inherently captured by post-progression survival and overall survival in the CLL11 trial. These outcomes reflected the impact of additional lines of treatment that patients received in this trial (e.g. </w:t>
      </w:r>
      <w:r w:rsidR="005079C4">
        <w:rPr>
          <w:noProof/>
          <w:color w:val="000000"/>
          <w:szCs w:val="22"/>
          <w:highlight w:val="black"/>
        </w:rPr>
        <w:t>'''''''</w:t>
      </w:r>
      <w:r w:rsidR="002239F7" w:rsidRPr="002239F7">
        <w:rPr>
          <w:szCs w:val="22"/>
        </w:rPr>
        <w:t xml:space="preserve">% of patients initially treated with </w:t>
      </w:r>
      <w:proofErr w:type="spellStart"/>
      <w:r w:rsidR="002239F7" w:rsidRPr="002239F7">
        <w:rPr>
          <w:szCs w:val="22"/>
        </w:rPr>
        <w:t>obinutuzumab</w:t>
      </w:r>
      <w:proofErr w:type="spellEnd"/>
      <w:r w:rsidR="002239F7" w:rsidRPr="002239F7">
        <w:rPr>
          <w:szCs w:val="22"/>
        </w:rPr>
        <w:t xml:space="preserve"> went on to receive rituximab-based treatment in a later line of therapy). Therefore</w:t>
      </w:r>
      <w:r w:rsidR="002239F7">
        <w:rPr>
          <w:szCs w:val="22"/>
        </w:rPr>
        <w:t>,</w:t>
      </w:r>
      <w:r w:rsidR="002239F7" w:rsidRPr="002239F7">
        <w:rPr>
          <w:szCs w:val="22"/>
        </w:rPr>
        <w:t xml:space="preserve"> the </w:t>
      </w:r>
      <w:r w:rsidR="002239F7">
        <w:rPr>
          <w:szCs w:val="22"/>
        </w:rPr>
        <w:t xml:space="preserve">evaluator and the </w:t>
      </w:r>
      <w:r w:rsidR="002239F7" w:rsidRPr="002239F7">
        <w:rPr>
          <w:szCs w:val="22"/>
        </w:rPr>
        <w:t xml:space="preserve">ESC </w:t>
      </w:r>
      <w:r w:rsidR="002239F7">
        <w:rPr>
          <w:szCs w:val="22"/>
        </w:rPr>
        <w:t xml:space="preserve">considered </w:t>
      </w:r>
      <w:r w:rsidR="002239F7" w:rsidRPr="002239F7">
        <w:rPr>
          <w:szCs w:val="22"/>
        </w:rPr>
        <w:t>that the revised model had appropriately accounted for the effectiveness of additional lines of treatment</w:t>
      </w:r>
      <w:r w:rsidR="002239F7">
        <w:rPr>
          <w:szCs w:val="22"/>
        </w:rPr>
        <w:t xml:space="preserve">.  </w:t>
      </w:r>
    </w:p>
    <w:p w:rsidR="00C23F85" w:rsidRPr="002C2CE8" w:rsidRDefault="00D14DF4" w:rsidP="001E4453">
      <w:pPr>
        <w:pStyle w:val="ListParagraph"/>
        <w:numPr>
          <w:ilvl w:val="0"/>
          <w:numId w:val="22"/>
        </w:numPr>
        <w:rPr>
          <w:szCs w:val="22"/>
        </w:rPr>
      </w:pPr>
      <w:r>
        <w:rPr>
          <w:szCs w:val="22"/>
        </w:rPr>
        <w:t>O</w:t>
      </w:r>
      <w:r w:rsidRPr="009A0A32">
        <w:rPr>
          <w:szCs w:val="22"/>
        </w:rPr>
        <w:t xml:space="preserve">nly </w:t>
      </w:r>
      <w:r w:rsidR="00C23F85" w:rsidRPr="009A0A32">
        <w:rPr>
          <w:szCs w:val="22"/>
        </w:rPr>
        <w:t xml:space="preserve">one line of additional treatment was accounted for after progression. The ESC agreed with the evaluation that this approach was conservative as adding further lines would have favoured </w:t>
      </w:r>
      <w:proofErr w:type="spellStart"/>
      <w:r w:rsidR="00C23F85" w:rsidRPr="009A0A32">
        <w:rPr>
          <w:szCs w:val="22"/>
        </w:rPr>
        <w:t>obinutuzumab</w:t>
      </w:r>
      <w:proofErr w:type="spellEnd"/>
      <w:r w:rsidR="00C23F85" w:rsidRPr="009A0A32">
        <w:rPr>
          <w:szCs w:val="22"/>
        </w:rPr>
        <w:t xml:space="preserve">. The PSCR argued that this means that the ICER presented represents “ceiling results”. </w:t>
      </w:r>
    </w:p>
    <w:p w:rsidR="00C23F85" w:rsidRPr="001E4453" w:rsidRDefault="00C23F85" w:rsidP="001E4453">
      <w:pPr>
        <w:pStyle w:val="ListParagraph"/>
        <w:rPr>
          <w:i/>
          <w:szCs w:val="22"/>
        </w:rPr>
      </w:pPr>
    </w:p>
    <w:p w:rsidR="002E57C0" w:rsidRPr="002C2CE8" w:rsidRDefault="00396430" w:rsidP="006305C9">
      <w:pPr>
        <w:pStyle w:val="ListParagraph"/>
        <w:keepNext/>
        <w:keepLines/>
        <w:widowControl/>
        <w:numPr>
          <w:ilvl w:val="1"/>
          <w:numId w:val="15"/>
        </w:numPr>
        <w:rPr>
          <w:szCs w:val="22"/>
        </w:rPr>
      </w:pPr>
      <w:r w:rsidRPr="002C2CE8">
        <w:rPr>
          <w:szCs w:val="22"/>
        </w:rPr>
        <w:t xml:space="preserve">The submission extrapolated PFS beyond median follow-up using the </w:t>
      </w:r>
      <w:r w:rsidR="00EC1E48" w:rsidRPr="002C2CE8">
        <w:rPr>
          <w:szCs w:val="22"/>
        </w:rPr>
        <w:t>“</w:t>
      </w:r>
      <w:r w:rsidRPr="002C2CE8">
        <w:rPr>
          <w:szCs w:val="22"/>
        </w:rPr>
        <w:t>best fitting</w:t>
      </w:r>
      <w:r w:rsidR="00EC1E48" w:rsidRPr="002C2CE8">
        <w:rPr>
          <w:szCs w:val="22"/>
        </w:rPr>
        <w:t>”</w:t>
      </w:r>
      <w:r w:rsidRPr="002C2CE8">
        <w:rPr>
          <w:szCs w:val="22"/>
        </w:rPr>
        <w:t xml:space="preserve"> parametric model. </w:t>
      </w:r>
      <w:r w:rsidR="00EC1E48" w:rsidRPr="002C2CE8">
        <w:rPr>
          <w:szCs w:val="22"/>
        </w:rPr>
        <w:t xml:space="preserve">This was determined </w:t>
      </w:r>
      <w:r w:rsidRPr="002C2CE8">
        <w:rPr>
          <w:szCs w:val="22"/>
        </w:rPr>
        <w:t>based on the best visual inspection of fit, rather than the best statistical fit</w:t>
      </w:r>
      <w:r w:rsidR="00CA1284" w:rsidRPr="002C2CE8">
        <w:rPr>
          <w:szCs w:val="22"/>
        </w:rPr>
        <w:t xml:space="preserve"> using the </w:t>
      </w:r>
      <w:proofErr w:type="spellStart"/>
      <w:r w:rsidR="00CA1284" w:rsidRPr="002C2CE8">
        <w:rPr>
          <w:szCs w:val="22"/>
        </w:rPr>
        <w:t>Akaike</w:t>
      </w:r>
      <w:proofErr w:type="spellEnd"/>
      <w:r w:rsidR="00CA1284" w:rsidRPr="002C2CE8">
        <w:rPr>
          <w:szCs w:val="22"/>
        </w:rPr>
        <w:t xml:space="preserve"> Information Criterion</w:t>
      </w:r>
      <w:r w:rsidRPr="002C2CE8">
        <w:rPr>
          <w:szCs w:val="22"/>
        </w:rPr>
        <w:t xml:space="preserve">. </w:t>
      </w:r>
      <w:r w:rsidR="00A82F6B" w:rsidRPr="002C2CE8">
        <w:rPr>
          <w:szCs w:val="22"/>
        </w:rPr>
        <w:t>However, t</w:t>
      </w:r>
      <w:r w:rsidR="00AF0CBC" w:rsidRPr="002C2CE8">
        <w:rPr>
          <w:szCs w:val="22"/>
        </w:rPr>
        <w:t xml:space="preserve">his choice </w:t>
      </w:r>
      <w:r w:rsidR="00CA1284" w:rsidRPr="002C2CE8">
        <w:rPr>
          <w:szCs w:val="22"/>
        </w:rPr>
        <w:t xml:space="preserve">can be considered </w:t>
      </w:r>
      <w:r w:rsidR="00AF0CBC" w:rsidRPr="002C2CE8">
        <w:rPr>
          <w:szCs w:val="22"/>
        </w:rPr>
        <w:t xml:space="preserve">conservative </w:t>
      </w:r>
      <w:r w:rsidR="006E22B0" w:rsidRPr="002C2CE8">
        <w:rPr>
          <w:szCs w:val="22"/>
        </w:rPr>
        <w:t>because</w:t>
      </w:r>
      <w:r w:rsidR="00AF0CBC" w:rsidRPr="002C2CE8">
        <w:rPr>
          <w:szCs w:val="22"/>
        </w:rPr>
        <w:t xml:space="preserve"> </w:t>
      </w:r>
      <w:r w:rsidR="00CA1284" w:rsidRPr="002C2CE8">
        <w:rPr>
          <w:szCs w:val="22"/>
        </w:rPr>
        <w:t xml:space="preserve">it did not favour </w:t>
      </w:r>
      <w:proofErr w:type="spellStart"/>
      <w:r w:rsidR="00AF0CBC" w:rsidRPr="002C2CE8">
        <w:rPr>
          <w:szCs w:val="22"/>
        </w:rPr>
        <w:t>obinutuzumab</w:t>
      </w:r>
      <w:proofErr w:type="spellEnd"/>
      <w:r w:rsidR="00AF0CBC" w:rsidRPr="002C2CE8">
        <w:rPr>
          <w:szCs w:val="22"/>
        </w:rPr>
        <w:t xml:space="preserve">. </w:t>
      </w:r>
      <w:r w:rsidR="00A82F6B" w:rsidRPr="002C2CE8">
        <w:rPr>
          <w:szCs w:val="22"/>
        </w:rPr>
        <w:t>Therefore</w:t>
      </w:r>
      <w:r w:rsidR="006E22B0" w:rsidRPr="002C2CE8">
        <w:rPr>
          <w:szCs w:val="22"/>
        </w:rPr>
        <w:t>,</w:t>
      </w:r>
      <w:r w:rsidR="00A82F6B" w:rsidRPr="002C2CE8">
        <w:rPr>
          <w:szCs w:val="22"/>
        </w:rPr>
        <w:t xml:space="preserve"> the </w:t>
      </w:r>
      <w:r w:rsidR="001E324C">
        <w:rPr>
          <w:szCs w:val="22"/>
        </w:rPr>
        <w:t>PBAC</w:t>
      </w:r>
      <w:r w:rsidR="001E324C" w:rsidRPr="002C2CE8">
        <w:rPr>
          <w:szCs w:val="22"/>
        </w:rPr>
        <w:t xml:space="preserve"> </w:t>
      </w:r>
      <w:r w:rsidR="00A82F6B" w:rsidRPr="002C2CE8">
        <w:rPr>
          <w:szCs w:val="22"/>
        </w:rPr>
        <w:t xml:space="preserve">did not consider this to be </w:t>
      </w:r>
      <w:r w:rsidR="00CA1284" w:rsidRPr="002C2CE8">
        <w:rPr>
          <w:szCs w:val="22"/>
        </w:rPr>
        <w:t>a concern in this instance</w:t>
      </w:r>
      <w:r w:rsidR="00A82F6B" w:rsidRPr="002C2CE8">
        <w:rPr>
          <w:szCs w:val="22"/>
        </w:rPr>
        <w:t xml:space="preserve">. </w:t>
      </w:r>
    </w:p>
    <w:p w:rsidR="00C23F85" w:rsidRPr="002C2CE8" w:rsidRDefault="00C23F85" w:rsidP="002C2CE8">
      <w:pPr>
        <w:rPr>
          <w:szCs w:val="22"/>
        </w:rPr>
      </w:pPr>
    </w:p>
    <w:p w:rsidR="00C23F85" w:rsidRPr="002C2CE8" w:rsidRDefault="00C23F85" w:rsidP="006305C9">
      <w:pPr>
        <w:pStyle w:val="ListParagraph"/>
        <w:keepNext/>
        <w:keepLines/>
        <w:widowControl/>
        <w:numPr>
          <w:ilvl w:val="1"/>
          <w:numId w:val="15"/>
        </w:numPr>
        <w:rPr>
          <w:szCs w:val="22"/>
        </w:rPr>
      </w:pPr>
      <w:r w:rsidRPr="002C2CE8">
        <w:rPr>
          <w:szCs w:val="22"/>
        </w:rPr>
        <w:lastRenderedPageBreak/>
        <w:t>Overall the</w:t>
      </w:r>
      <w:r w:rsidR="001E324C">
        <w:rPr>
          <w:szCs w:val="22"/>
        </w:rPr>
        <w:t xml:space="preserve"> </w:t>
      </w:r>
      <w:r w:rsidRPr="002C2CE8">
        <w:rPr>
          <w:szCs w:val="22"/>
        </w:rPr>
        <w:t xml:space="preserve">ESC considered that the updated economic evaluation was more reliable than the model presented in July 2014, and that it addressed the main issues </w:t>
      </w:r>
      <w:proofErr w:type="gramStart"/>
      <w:r w:rsidRPr="002C2CE8">
        <w:rPr>
          <w:szCs w:val="22"/>
        </w:rPr>
        <w:t>raised</w:t>
      </w:r>
      <w:proofErr w:type="gramEnd"/>
      <w:r w:rsidRPr="002C2CE8">
        <w:rPr>
          <w:szCs w:val="22"/>
        </w:rPr>
        <w:t xml:space="preserve"> by the PBAC in July 2014. </w:t>
      </w:r>
    </w:p>
    <w:p w:rsidR="009D446E" w:rsidRDefault="009D446E" w:rsidP="009D446E">
      <w:pPr>
        <w:pStyle w:val="ListParagraph"/>
        <w:rPr>
          <w:i/>
          <w:szCs w:val="22"/>
        </w:rPr>
      </w:pPr>
    </w:p>
    <w:p w:rsidR="007357E3" w:rsidRPr="007357E3" w:rsidRDefault="007357E3" w:rsidP="007357E3">
      <w:pPr>
        <w:widowControl/>
        <w:rPr>
          <w:i/>
          <w:szCs w:val="22"/>
        </w:rPr>
      </w:pPr>
      <w:r w:rsidRPr="007357E3">
        <w:rPr>
          <w:i/>
          <w:szCs w:val="22"/>
        </w:rPr>
        <w:t>For more detail on PBAC’s view, see section 7 “PBAC outcome”</w:t>
      </w:r>
    </w:p>
    <w:p w:rsidR="009D446E" w:rsidRDefault="009D446E" w:rsidP="009D446E">
      <w:pPr>
        <w:pStyle w:val="ListParagraph"/>
        <w:rPr>
          <w:i/>
          <w:szCs w:val="22"/>
        </w:rPr>
      </w:pPr>
    </w:p>
    <w:p w:rsidR="009D446E" w:rsidRPr="005602D0" w:rsidRDefault="009D446E" w:rsidP="009D446E">
      <w:pPr>
        <w:rPr>
          <w:b/>
        </w:rPr>
      </w:pPr>
      <w:r w:rsidRPr="00F9299D">
        <w:rPr>
          <w:b/>
        </w:rPr>
        <w:t>Drug cost/patient per average course</w:t>
      </w:r>
      <w:r w:rsidRPr="005602D0">
        <w:rPr>
          <w:b/>
        </w:rPr>
        <w:t>: $</w:t>
      </w:r>
      <w:r w:rsidR="005079C4">
        <w:rPr>
          <w:b/>
          <w:noProof/>
          <w:color w:val="000000"/>
          <w:highlight w:val="black"/>
        </w:rPr>
        <w:t>''''''''''''''</w:t>
      </w:r>
    </w:p>
    <w:p w:rsidR="009D446E" w:rsidRPr="005602D0" w:rsidRDefault="009D446E" w:rsidP="009D446E">
      <w:pPr>
        <w:rPr>
          <w:i/>
          <w:szCs w:val="22"/>
        </w:rPr>
      </w:pPr>
    </w:p>
    <w:p w:rsidR="009D446E" w:rsidRPr="009D446E" w:rsidRDefault="009D446E" w:rsidP="006305C9">
      <w:pPr>
        <w:pStyle w:val="ListParagraph"/>
        <w:keepNext/>
        <w:keepLines/>
        <w:widowControl/>
        <w:numPr>
          <w:ilvl w:val="1"/>
          <w:numId w:val="15"/>
        </w:numPr>
        <w:rPr>
          <w:szCs w:val="22"/>
        </w:rPr>
      </w:pPr>
      <w:r w:rsidRPr="005602D0">
        <w:rPr>
          <w:szCs w:val="22"/>
        </w:rPr>
        <w:t xml:space="preserve">This is based on an average of </w:t>
      </w:r>
      <w:r w:rsidR="005079C4">
        <w:rPr>
          <w:noProof/>
          <w:color w:val="000000"/>
          <w:szCs w:val="22"/>
          <w:highlight w:val="black"/>
        </w:rPr>
        <w:t>'''''''</w:t>
      </w:r>
      <w:r w:rsidRPr="005602D0">
        <w:rPr>
          <w:szCs w:val="22"/>
        </w:rPr>
        <w:t xml:space="preserve"> scripts</w:t>
      </w:r>
      <w:r w:rsidRPr="009D446E">
        <w:rPr>
          <w:szCs w:val="22"/>
        </w:rPr>
        <w:t xml:space="preserve"> per patient.</w:t>
      </w:r>
    </w:p>
    <w:p w:rsidR="00726F0B" w:rsidRPr="00881BD2" w:rsidRDefault="00726F0B" w:rsidP="00726F0B">
      <w:pPr>
        <w:widowControl/>
        <w:rPr>
          <w:szCs w:val="22"/>
        </w:rPr>
      </w:pPr>
    </w:p>
    <w:p w:rsidR="00726F0B" w:rsidRPr="00881BD2" w:rsidRDefault="00726F0B" w:rsidP="006305C9">
      <w:pPr>
        <w:pStyle w:val="ListParagraph"/>
        <w:keepNext/>
        <w:keepLines/>
        <w:widowControl/>
        <w:numPr>
          <w:ilvl w:val="1"/>
          <w:numId w:val="15"/>
        </w:numPr>
      </w:pPr>
      <w:r w:rsidRPr="00881BD2">
        <w:t xml:space="preserve">A complete </w:t>
      </w:r>
      <w:proofErr w:type="spellStart"/>
      <w:r w:rsidRPr="00881BD2">
        <w:t>obinutuzumab</w:t>
      </w:r>
      <w:proofErr w:type="spellEnd"/>
      <w:r w:rsidRPr="00881BD2">
        <w:t xml:space="preserve"> treatment comprise</w:t>
      </w:r>
      <w:r w:rsidR="003F5649">
        <w:t>s</w:t>
      </w:r>
      <w:r w:rsidRPr="00881BD2">
        <w:t xml:space="preserve"> six cycles of 28 days.</w:t>
      </w:r>
      <w:r w:rsidR="00803023" w:rsidRPr="00881BD2">
        <w:t xml:space="preserve"> </w:t>
      </w:r>
      <w:proofErr w:type="spellStart"/>
      <w:r w:rsidR="00803023" w:rsidRPr="00881BD2">
        <w:t>Obinutuzumab</w:t>
      </w:r>
      <w:proofErr w:type="spellEnd"/>
      <w:r w:rsidR="00803023" w:rsidRPr="00881BD2">
        <w:t xml:space="preserve"> </w:t>
      </w:r>
      <w:r w:rsidR="003153E6">
        <w:t>i</w:t>
      </w:r>
      <w:r w:rsidR="00064AF6" w:rsidRPr="00881BD2">
        <w:t>s</w:t>
      </w:r>
      <w:r w:rsidR="00803023" w:rsidRPr="00881BD2">
        <w:t xml:space="preserve"> administered three times within the first cycle and once in</w:t>
      </w:r>
      <w:r w:rsidR="00CC6A63" w:rsidRPr="00881BD2">
        <w:t xml:space="preserve"> each of </w:t>
      </w:r>
      <w:r w:rsidR="00803023" w:rsidRPr="00881BD2">
        <w:t xml:space="preserve">the remaining </w:t>
      </w:r>
      <w:r w:rsidR="00584FBF" w:rsidRPr="00881BD2">
        <w:t xml:space="preserve">six </w:t>
      </w:r>
      <w:r w:rsidR="00803023" w:rsidRPr="00881BD2">
        <w:t>cycles</w:t>
      </w:r>
      <w:r w:rsidR="00CC6A63" w:rsidRPr="00881BD2">
        <w:t xml:space="preserve"> (</w:t>
      </w:r>
      <w:r w:rsidR="00584FBF" w:rsidRPr="00881BD2">
        <w:t xml:space="preserve">maximum of eight doses in </w:t>
      </w:r>
      <w:r w:rsidR="00CC6A63" w:rsidRPr="00881BD2">
        <w:t>total)</w:t>
      </w:r>
      <w:r w:rsidR="00803023" w:rsidRPr="00881BD2">
        <w:t>.</w:t>
      </w:r>
    </w:p>
    <w:p w:rsidR="00726F0B" w:rsidRPr="00881BD2" w:rsidRDefault="00726F0B" w:rsidP="00726F0B">
      <w:pPr>
        <w:rPr>
          <w:szCs w:val="22"/>
        </w:rPr>
      </w:pPr>
    </w:p>
    <w:p w:rsidR="00726F0B" w:rsidRPr="00F9299D" w:rsidRDefault="00726F0B" w:rsidP="00726F0B">
      <w:pPr>
        <w:pStyle w:val="Heading2"/>
      </w:pPr>
      <w:bookmarkStart w:id="15" w:name="_Toc409532711"/>
      <w:r w:rsidRPr="00F9299D">
        <w:t>Estimated PBS usage &amp; financial implications</w:t>
      </w:r>
      <w:bookmarkEnd w:id="15"/>
    </w:p>
    <w:p w:rsidR="00726F0B" w:rsidRPr="00881BD2" w:rsidRDefault="00726F0B" w:rsidP="00726F0B"/>
    <w:p w:rsidR="00726F0B" w:rsidRPr="00881BD2" w:rsidRDefault="00726F0B" w:rsidP="006305C9">
      <w:pPr>
        <w:pStyle w:val="ListParagraph"/>
        <w:keepNext/>
        <w:keepLines/>
        <w:widowControl/>
        <w:numPr>
          <w:ilvl w:val="1"/>
          <w:numId w:val="15"/>
        </w:numPr>
        <w:rPr>
          <w:szCs w:val="22"/>
        </w:rPr>
      </w:pPr>
      <w:r w:rsidRPr="00881BD2">
        <w:t xml:space="preserve">This </w:t>
      </w:r>
      <w:r w:rsidR="00960676" w:rsidRPr="00881BD2">
        <w:t>re-submission</w:t>
      </w:r>
      <w:r w:rsidRPr="00881BD2">
        <w:t xml:space="preserve"> was not considered by DUSC. The </w:t>
      </w:r>
      <w:r w:rsidR="0084226F" w:rsidRPr="00881BD2">
        <w:t xml:space="preserve">estimation of </w:t>
      </w:r>
      <w:r w:rsidRPr="00881BD2">
        <w:t>financial impacts used both incidence data and market share data. The key sources included AIHW, PBS, IPSOS market research, the key t</w:t>
      </w:r>
      <w:r w:rsidR="00F704AE" w:rsidRPr="00881BD2">
        <w:t>rial, and Advisory Board advice</w:t>
      </w:r>
      <w:r w:rsidRPr="00881BD2">
        <w:t>.</w:t>
      </w:r>
    </w:p>
    <w:p w:rsidR="00726F0B" w:rsidRPr="00881BD2" w:rsidRDefault="00726F0B" w:rsidP="00726F0B">
      <w:pPr>
        <w:widowControl/>
        <w:rPr>
          <w:szCs w:val="22"/>
        </w:rPr>
      </w:pPr>
    </w:p>
    <w:p w:rsidR="00726F0B" w:rsidRPr="00881BD2" w:rsidRDefault="005A2F09" w:rsidP="001E4453">
      <w:pPr>
        <w:keepNext/>
        <w:keepLines/>
        <w:widowControl/>
        <w:ind w:firstLine="709"/>
        <w:rPr>
          <w:rStyle w:val="CommentReference"/>
          <w:rFonts w:cs="Arial Narrow"/>
          <w:snapToGrid/>
        </w:rPr>
      </w:pPr>
      <w:r>
        <w:rPr>
          <w:rStyle w:val="CommentReference"/>
        </w:rPr>
        <w:t xml:space="preserve">Table 10: </w:t>
      </w:r>
      <w:r w:rsidR="00726F0B" w:rsidRPr="00881BD2">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1 to 5"/>
      </w:tblPr>
      <w:tblGrid>
        <w:gridCol w:w="1835"/>
        <w:gridCol w:w="1302"/>
        <w:gridCol w:w="1304"/>
        <w:gridCol w:w="1302"/>
        <w:gridCol w:w="1304"/>
        <w:gridCol w:w="1300"/>
      </w:tblGrid>
      <w:tr w:rsidR="00726F0B" w:rsidRPr="00881BD2" w:rsidTr="00F70BD6">
        <w:trPr>
          <w:tblHeader/>
        </w:trPr>
        <w:tc>
          <w:tcPr>
            <w:tcW w:w="1099" w:type="pct"/>
            <w:shd w:val="clear" w:color="auto" w:fill="auto"/>
            <w:vAlign w:val="center"/>
          </w:tcPr>
          <w:p w:rsidR="00726F0B" w:rsidRPr="00881BD2" w:rsidRDefault="00726F0B" w:rsidP="001E4453">
            <w:pPr>
              <w:keepNext/>
              <w:keepLines/>
              <w:widowControl/>
              <w:tabs>
                <w:tab w:val="left" w:pos="142"/>
              </w:tabs>
              <w:jc w:val="left"/>
              <w:rPr>
                <w:rFonts w:ascii="Arial Narrow" w:hAnsi="Arial Narrow"/>
                <w:b/>
                <w:sz w:val="20"/>
              </w:rPr>
            </w:pPr>
          </w:p>
        </w:tc>
        <w:tc>
          <w:tcPr>
            <w:tcW w:w="780" w:type="pct"/>
            <w:shd w:val="clear" w:color="auto" w:fill="auto"/>
            <w:vAlign w:val="center"/>
          </w:tcPr>
          <w:p w:rsidR="00726F0B" w:rsidRPr="00881BD2" w:rsidRDefault="00726F0B" w:rsidP="001E4453">
            <w:pPr>
              <w:keepNext/>
              <w:keepLines/>
              <w:widowControl/>
              <w:jc w:val="center"/>
              <w:rPr>
                <w:rFonts w:ascii="Arial Narrow" w:hAnsi="Arial Narrow" w:cs="Times New Roman"/>
                <w:b/>
                <w:sz w:val="20"/>
              </w:rPr>
            </w:pPr>
            <w:r w:rsidRPr="00881BD2">
              <w:rPr>
                <w:rFonts w:ascii="Arial Narrow" w:hAnsi="Arial Narrow" w:cs="Times New Roman"/>
                <w:b/>
                <w:sz w:val="20"/>
              </w:rPr>
              <w:t>2015</w:t>
            </w:r>
          </w:p>
        </w:tc>
        <w:tc>
          <w:tcPr>
            <w:tcW w:w="781" w:type="pct"/>
            <w:shd w:val="clear" w:color="auto" w:fill="auto"/>
            <w:vAlign w:val="center"/>
          </w:tcPr>
          <w:p w:rsidR="00726F0B" w:rsidRPr="00881BD2" w:rsidRDefault="00726F0B" w:rsidP="001E4453">
            <w:pPr>
              <w:keepNext/>
              <w:keepLines/>
              <w:widowControl/>
              <w:jc w:val="center"/>
              <w:rPr>
                <w:rFonts w:ascii="Arial Narrow" w:hAnsi="Arial Narrow" w:cs="Times New Roman"/>
                <w:b/>
                <w:sz w:val="20"/>
              </w:rPr>
            </w:pPr>
            <w:r w:rsidRPr="00881BD2">
              <w:rPr>
                <w:rFonts w:ascii="Arial Narrow" w:hAnsi="Arial Narrow" w:cs="Times New Roman"/>
                <w:b/>
                <w:sz w:val="20"/>
              </w:rPr>
              <w:t>2016</w:t>
            </w:r>
          </w:p>
        </w:tc>
        <w:tc>
          <w:tcPr>
            <w:tcW w:w="780" w:type="pct"/>
            <w:shd w:val="clear" w:color="auto" w:fill="auto"/>
            <w:vAlign w:val="center"/>
          </w:tcPr>
          <w:p w:rsidR="00726F0B" w:rsidRPr="00881BD2" w:rsidRDefault="00726F0B" w:rsidP="001E4453">
            <w:pPr>
              <w:keepNext/>
              <w:keepLines/>
              <w:widowControl/>
              <w:jc w:val="center"/>
              <w:rPr>
                <w:rFonts w:ascii="Arial Narrow" w:hAnsi="Arial Narrow" w:cs="Times New Roman"/>
                <w:b/>
                <w:sz w:val="20"/>
              </w:rPr>
            </w:pPr>
            <w:r w:rsidRPr="00881BD2">
              <w:rPr>
                <w:rFonts w:ascii="Arial Narrow" w:hAnsi="Arial Narrow" w:cs="Times New Roman"/>
                <w:b/>
                <w:sz w:val="20"/>
              </w:rPr>
              <w:t>2017</w:t>
            </w:r>
          </w:p>
        </w:tc>
        <w:tc>
          <w:tcPr>
            <w:tcW w:w="781" w:type="pct"/>
            <w:shd w:val="clear" w:color="auto" w:fill="auto"/>
            <w:vAlign w:val="center"/>
          </w:tcPr>
          <w:p w:rsidR="00726F0B" w:rsidRPr="00881BD2" w:rsidRDefault="00726F0B" w:rsidP="001E4453">
            <w:pPr>
              <w:keepNext/>
              <w:keepLines/>
              <w:widowControl/>
              <w:jc w:val="center"/>
              <w:rPr>
                <w:rFonts w:ascii="Arial Narrow" w:hAnsi="Arial Narrow" w:cs="Times New Roman"/>
                <w:b/>
                <w:sz w:val="20"/>
              </w:rPr>
            </w:pPr>
            <w:r w:rsidRPr="00881BD2">
              <w:rPr>
                <w:rFonts w:ascii="Arial Narrow" w:hAnsi="Arial Narrow" w:cs="Times New Roman"/>
                <w:b/>
                <w:sz w:val="20"/>
              </w:rPr>
              <w:t>2018</w:t>
            </w:r>
          </w:p>
        </w:tc>
        <w:tc>
          <w:tcPr>
            <w:tcW w:w="779" w:type="pct"/>
            <w:shd w:val="clear" w:color="auto" w:fill="auto"/>
            <w:vAlign w:val="center"/>
          </w:tcPr>
          <w:p w:rsidR="00726F0B" w:rsidRPr="00881BD2" w:rsidRDefault="00726F0B" w:rsidP="001E4453">
            <w:pPr>
              <w:keepNext/>
              <w:keepLines/>
              <w:widowControl/>
              <w:jc w:val="center"/>
              <w:rPr>
                <w:rFonts w:ascii="Arial Narrow" w:hAnsi="Arial Narrow" w:cs="Times New Roman"/>
                <w:b/>
                <w:sz w:val="20"/>
              </w:rPr>
            </w:pPr>
            <w:r w:rsidRPr="00881BD2">
              <w:rPr>
                <w:rFonts w:ascii="Arial Narrow" w:hAnsi="Arial Narrow" w:cs="Times New Roman"/>
                <w:b/>
                <w:sz w:val="20"/>
              </w:rPr>
              <w:t>2019</w:t>
            </w:r>
          </w:p>
        </w:tc>
      </w:tr>
      <w:tr w:rsidR="00726F0B" w:rsidRPr="00881BD2" w:rsidTr="00F70BD6">
        <w:tc>
          <w:tcPr>
            <w:tcW w:w="5000" w:type="pct"/>
            <w:gridSpan w:val="6"/>
            <w:shd w:val="clear" w:color="auto" w:fill="auto"/>
            <w:vAlign w:val="center"/>
          </w:tcPr>
          <w:p w:rsidR="00726F0B" w:rsidRPr="00881BD2" w:rsidRDefault="00726F0B" w:rsidP="001E4453">
            <w:pPr>
              <w:keepNext/>
              <w:keepLines/>
              <w:widowControl/>
              <w:jc w:val="left"/>
              <w:rPr>
                <w:rFonts w:ascii="Arial Narrow" w:hAnsi="Arial Narrow"/>
                <w:b/>
                <w:bCs/>
                <w:color w:val="000000"/>
                <w:sz w:val="20"/>
              </w:rPr>
            </w:pPr>
            <w:r w:rsidRPr="00881BD2">
              <w:rPr>
                <w:rFonts w:ascii="Arial Narrow" w:hAnsi="Arial Narrow"/>
                <w:b/>
                <w:bCs/>
                <w:color w:val="000000"/>
                <w:sz w:val="20"/>
              </w:rPr>
              <w:t>Estimated extent of use</w:t>
            </w:r>
          </w:p>
        </w:tc>
      </w:tr>
      <w:tr w:rsidR="00726F0B" w:rsidRPr="00881BD2" w:rsidTr="00F70BD6">
        <w:tc>
          <w:tcPr>
            <w:tcW w:w="1099" w:type="pct"/>
            <w:shd w:val="clear" w:color="auto" w:fill="auto"/>
            <w:vAlign w:val="center"/>
          </w:tcPr>
          <w:p w:rsidR="00726F0B" w:rsidRPr="00881BD2" w:rsidRDefault="00726F0B" w:rsidP="001E4453">
            <w:pPr>
              <w:keepNext/>
              <w:keepLines/>
              <w:widowControl/>
              <w:tabs>
                <w:tab w:val="left" w:pos="142"/>
              </w:tabs>
              <w:jc w:val="left"/>
              <w:rPr>
                <w:rFonts w:ascii="Arial Narrow" w:hAnsi="Arial Narrow"/>
                <w:sz w:val="20"/>
              </w:rPr>
            </w:pPr>
            <w:r w:rsidRPr="00881BD2">
              <w:rPr>
                <w:rFonts w:ascii="Arial Narrow" w:hAnsi="Arial Narrow"/>
                <w:sz w:val="20"/>
              </w:rPr>
              <w:t>Number treated</w:t>
            </w:r>
          </w:p>
        </w:tc>
        <w:tc>
          <w:tcPr>
            <w:tcW w:w="780" w:type="pct"/>
            <w:shd w:val="clear" w:color="auto" w:fill="auto"/>
          </w:tcPr>
          <w:p w:rsidR="00726F0B" w:rsidRPr="005079C4" w:rsidRDefault="005079C4" w:rsidP="001E4453">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781" w:type="pct"/>
            <w:shd w:val="clear" w:color="auto" w:fill="auto"/>
          </w:tcPr>
          <w:p w:rsidR="00726F0B" w:rsidRPr="005079C4" w:rsidRDefault="005079C4" w:rsidP="001E4453">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780" w:type="pct"/>
            <w:shd w:val="clear" w:color="auto" w:fill="auto"/>
          </w:tcPr>
          <w:p w:rsidR="00726F0B" w:rsidRPr="005079C4" w:rsidRDefault="005079C4" w:rsidP="001E4453">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781" w:type="pct"/>
            <w:shd w:val="clear" w:color="auto" w:fill="auto"/>
          </w:tcPr>
          <w:p w:rsidR="00726F0B" w:rsidRPr="005079C4" w:rsidRDefault="005079C4" w:rsidP="001E4453">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c>
          <w:tcPr>
            <w:tcW w:w="779" w:type="pct"/>
            <w:shd w:val="clear" w:color="auto" w:fill="auto"/>
          </w:tcPr>
          <w:p w:rsidR="00726F0B" w:rsidRPr="005079C4" w:rsidRDefault="005079C4" w:rsidP="001E4453">
            <w:pPr>
              <w:keepNext/>
              <w:keepLines/>
              <w:widowControl/>
              <w:jc w:val="center"/>
              <w:rPr>
                <w:rFonts w:ascii="Arial Narrow" w:hAnsi="Arial Narrow"/>
                <w:sz w:val="20"/>
                <w:highlight w:val="black"/>
              </w:rPr>
            </w:pPr>
            <w:r>
              <w:rPr>
                <w:rFonts w:ascii="Arial Narrow" w:hAnsi="Arial Narrow"/>
                <w:noProof/>
                <w:color w:val="000000"/>
                <w:sz w:val="20"/>
                <w:highlight w:val="black"/>
              </w:rPr>
              <w:t>''''''''''</w:t>
            </w:r>
          </w:p>
        </w:tc>
      </w:tr>
      <w:tr w:rsidR="00726F0B" w:rsidRPr="00881BD2" w:rsidTr="00F70BD6">
        <w:tc>
          <w:tcPr>
            <w:tcW w:w="1099" w:type="pct"/>
            <w:shd w:val="clear" w:color="auto" w:fill="auto"/>
            <w:vAlign w:val="center"/>
          </w:tcPr>
          <w:p w:rsidR="00726F0B" w:rsidRPr="00881BD2" w:rsidRDefault="00726F0B" w:rsidP="001E4453">
            <w:pPr>
              <w:keepNext/>
              <w:keepLines/>
              <w:widowControl/>
              <w:tabs>
                <w:tab w:val="left" w:pos="142"/>
              </w:tabs>
              <w:jc w:val="left"/>
              <w:rPr>
                <w:rFonts w:ascii="Arial Narrow" w:hAnsi="Arial Narrow"/>
                <w:sz w:val="20"/>
              </w:rPr>
            </w:pPr>
            <w:r w:rsidRPr="00881BD2">
              <w:rPr>
                <w:rFonts w:ascii="Arial Narrow" w:hAnsi="Arial Narrow"/>
                <w:sz w:val="20"/>
              </w:rPr>
              <w:t>Market share</w:t>
            </w:r>
            <w:r w:rsidR="00F97C74" w:rsidRPr="00881BD2">
              <w:rPr>
                <w:rFonts w:ascii="Arial Narrow" w:hAnsi="Arial Narrow"/>
                <w:sz w:val="20"/>
              </w:rPr>
              <w:t xml:space="preserve"> </w:t>
            </w:r>
            <w:r w:rsidRPr="00881BD2">
              <w:rPr>
                <w:rFonts w:ascii="Arial Narrow" w:hAnsi="Arial Narrow"/>
                <w:sz w:val="20"/>
                <w:vertAlign w:val="superscript"/>
              </w:rPr>
              <w:t>a</w:t>
            </w:r>
          </w:p>
        </w:tc>
        <w:tc>
          <w:tcPr>
            <w:tcW w:w="780" w:type="pct"/>
            <w:shd w:val="clear" w:color="auto" w:fill="auto"/>
            <w:vAlign w:val="center"/>
          </w:tcPr>
          <w:p w:rsidR="00726F0B" w:rsidRPr="00881BD2" w:rsidRDefault="005079C4" w:rsidP="001E4453">
            <w:pPr>
              <w:keepNext/>
              <w:keepLines/>
              <w:widowControl/>
              <w:jc w:val="center"/>
              <w:rPr>
                <w:rFonts w:ascii="Arial Narrow" w:hAnsi="Arial Narrow"/>
                <w:bCs/>
                <w:snapToGrid/>
                <w:color w:val="000000"/>
                <w:sz w:val="20"/>
              </w:rPr>
            </w:pPr>
            <w:r>
              <w:rPr>
                <w:rFonts w:ascii="Arial Narrow" w:hAnsi="Arial Narrow"/>
                <w:bCs/>
                <w:noProof/>
                <w:color w:val="000000"/>
                <w:sz w:val="20"/>
                <w:highlight w:val="black"/>
              </w:rPr>
              <w:t>''''''</w:t>
            </w:r>
            <w:r w:rsidR="00726F0B" w:rsidRPr="00881BD2">
              <w:rPr>
                <w:rFonts w:ascii="Arial Narrow" w:hAnsi="Arial Narrow"/>
                <w:bCs/>
                <w:color w:val="000000"/>
                <w:sz w:val="20"/>
              </w:rPr>
              <w:t>%</w:t>
            </w:r>
          </w:p>
        </w:tc>
        <w:tc>
          <w:tcPr>
            <w:tcW w:w="781" w:type="pct"/>
            <w:shd w:val="clear" w:color="auto" w:fill="auto"/>
            <w:vAlign w:val="center"/>
          </w:tcPr>
          <w:p w:rsidR="00726F0B" w:rsidRPr="00881BD2" w:rsidRDefault="005079C4" w:rsidP="001E4453">
            <w:pPr>
              <w:keepNext/>
              <w:keepLines/>
              <w:widowControl/>
              <w:jc w:val="center"/>
            </w:pPr>
            <w:r>
              <w:rPr>
                <w:rFonts w:ascii="Arial Narrow" w:hAnsi="Arial Narrow"/>
                <w:bCs/>
                <w:noProof/>
                <w:color w:val="000000"/>
                <w:sz w:val="20"/>
                <w:highlight w:val="black"/>
              </w:rPr>
              <w:t>'''''''</w:t>
            </w:r>
            <w:r w:rsidR="00726F0B" w:rsidRPr="00881BD2">
              <w:rPr>
                <w:rFonts w:ascii="Arial Narrow" w:hAnsi="Arial Narrow"/>
                <w:bCs/>
                <w:color w:val="000000"/>
                <w:sz w:val="20"/>
              </w:rPr>
              <w:t>%</w:t>
            </w:r>
          </w:p>
        </w:tc>
        <w:tc>
          <w:tcPr>
            <w:tcW w:w="780" w:type="pct"/>
            <w:shd w:val="clear" w:color="auto" w:fill="auto"/>
            <w:vAlign w:val="center"/>
          </w:tcPr>
          <w:p w:rsidR="00726F0B" w:rsidRPr="00881BD2" w:rsidRDefault="005079C4" w:rsidP="001E4453">
            <w:pPr>
              <w:keepNext/>
              <w:keepLines/>
              <w:widowControl/>
              <w:jc w:val="center"/>
            </w:pPr>
            <w:r>
              <w:rPr>
                <w:rFonts w:ascii="Arial Narrow" w:hAnsi="Arial Narrow"/>
                <w:bCs/>
                <w:noProof/>
                <w:color w:val="000000"/>
                <w:sz w:val="20"/>
                <w:highlight w:val="black"/>
              </w:rPr>
              <w:t>''''''</w:t>
            </w:r>
            <w:r w:rsidR="00726F0B" w:rsidRPr="00881BD2">
              <w:rPr>
                <w:rFonts w:ascii="Arial Narrow" w:hAnsi="Arial Narrow"/>
                <w:bCs/>
                <w:color w:val="000000"/>
                <w:sz w:val="20"/>
              </w:rPr>
              <w:t>%</w:t>
            </w:r>
          </w:p>
        </w:tc>
        <w:tc>
          <w:tcPr>
            <w:tcW w:w="781" w:type="pct"/>
            <w:shd w:val="clear" w:color="auto" w:fill="auto"/>
            <w:vAlign w:val="center"/>
          </w:tcPr>
          <w:p w:rsidR="00726F0B" w:rsidRPr="00881BD2" w:rsidRDefault="005079C4" w:rsidP="001E4453">
            <w:pPr>
              <w:keepNext/>
              <w:keepLines/>
              <w:widowControl/>
              <w:jc w:val="center"/>
            </w:pPr>
            <w:r>
              <w:rPr>
                <w:rFonts w:ascii="Arial Narrow" w:hAnsi="Arial Narrow"/>
                <w:bCs/>
                <w:noProof/>
                <w:color w:val="000000"/>
                <w:sz w:val="20"/>
                <w:highlight w:val="black"/>
              </w:rPr>
              <w:t>''''''</w:t>
            </w:r>
            <w:r w:rsidR="00726F0B" w:rsidRPr="00881BD2">
              <w:rPr>
                <w:rFonts w:ascii="Arial Narrow" w:hAnsi="Arial Narrow"/>
                <w:bCs/>
                <w:color w:val="000000"/>
                <w:sz w:val="20"/>
              </w:rPr>
              <w:t>%</w:t>
            </w:r>
          </w:p>
        </w:tc>
        <w:tc>
          <w:tcPr>
            <w:tcW w:w="779" w:type="pct"/>
            <w:shd w:val="clear" w:color="auto" w:fill="auto"/>
            <w:vAlign w:val="center"/>
          </w:tcPr>
          <w:p w:rsidR="00726F0B" w:rsidRPr="00881BD2" w:rsidRDefault="005079C4" w:rsidP="001E4453">
            <w:pPr>
              <w:keepNext/>
              <w:keepLines/>
              <w:widowControl/>
              <w:jc w:val="center"/>
            </w:pPr>
            <w:r>
              <w:rPr>
                <w:rFonts w:ascii="Arial Narrow" w:hAnsi="Arial Narrow"/>
                <w:bCs/>
                <w:noProof/>
                <w:color w:val="000000"/>
                <w:sz w:val="20"/>
                <w:highlight w:val="black"/>
              </w:rPr>
              <w:t>'''''</w:t>
            </w:r>
            <w:r w:rsidR="00726F0B" w:rsidRPr="00881BD2">
              <w:rPr>
                <w:rFonts w:ascii="Arial Narrow" w:hAnsi="Arial Narrow"/>
                <w:bCs/>
                <w:color w:val="000000"/>
                <w:sz w:val="20"/>
              </w:rPr>
              <w:t>%</w:t>
            </w:r>
          </w:p>
        </w:tc>
      </w:tr>
      <w:tr w:rsidR="00726F0B" w:rsidRPr="00881BD2" w:rsidTr="00F70BD6">
        <w:tc>
          <w:tcPr>
            <w:tcW w:w="1099" w:type="pct"/>
            <w:shd w:val="clear" w:color="auto" w:fill="auto"/>
            <w:vAlign w:val="center"/>
          </w:tcPr>
          <w:p w:rsidR="00726F0B" w:rsidRPr="00881BD2" w:rsidRDefault="00726F0B" w:rsidP="001E4453">
            <w:pPr>
              <w:keepNext/>
              <w:keepLines/>
              <w:tabs>
                <w:tab w:val="left" w:pos="142"/>
              </w:tabs>
              <w:jc w:val="left"/>
              <w:rPr>
                <w:rFonts w:ascii="Arial Narrow" w:hAnsi="Arial Narrow"/>
                <w:sz w:val="20"/>
              </w:rPr>
            </w:pPr>
            <w:r w:rsidRPr="00881BD2">
              <w:rPr>
                <w:rFonts w:ascii="Arial Narrow" w:hAnsi="Arial Narrow"/>
                <w:sz w:val="20"/>
              </w:rPr>
              <w:t>Scripts</w:t>
            </w:r>
            <w:r w:rsidR="00F97C74" w:rsidRPr="00881BD2">
              <w:rPr>
                <w:rFonts w:ascii="Arial Narrow" w:hAnsi="Arial Narrow"/>
                <w:sz w:val="20"/>
              </w:rPr>
              <w:t xml:space="preserve"> </w:t>
            </w:r>
            <w:r w:rsidRPr="00881BD2">
              <w:rPr>
                <w:rFonts w:ascii="Arial Narrow" w:hAnsi="Arial Narrow"/>
                <w:sz w:val="20"/>
                <w:vertAlign w:val="superscript"/>
              </w:rPr>
              <w:t>b</w:t>
            </w:r>
          </w:p>
        </w:tc>
        <w:tc>
          <w:tcPr>
            <w:tcW w:w="780"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81"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80"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81"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79"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726F0B" w:rsidRPr="00881BD2" w:rsidTr="00F70BD6">
        <w:tc>
          <w:tcPr>
            <w:tcW w:w="5000" w:type="pct"/>
            <w:gridSpan w:val="6"/>
            <w:shd w:val="clear" w:color="auto" w:fill="auto"/>
            <w:vAlign w:val="center"/>
          </w:tcPr>
          <w:p w:rsidR="00726F0B" w:rsidRPr="00881BD2" w:rsidRDefault="00726F0B" w:rsidP="001E4453">
            <w:pPr>
              <w:keepNext/>
              <w:keepLines/>
              <w:jc w:val="left"/>
              <w:rPr>
                <w:rFonts w:ascii="Arial Narrow" w:hAnsi="Arial Narrow"/>
                <w:b/>
                <w:bCs/>
                <w:color w:val="000000"/>
                <w:sz w:val="20"/>
              </w:rPr>
            </w:pPr>
            <w:r w:rsidRPr="00881BD2">
              <w:rPr>
                <w:rFonts w:ascii="Arial Narrow" w:hAnsi="Arial Narrow"/>
                <w:b/>
                <w:bCs/>
                <w:color w:val="000000"/>
                <w:sz w:val="20"/>
              </w:rPr>
              <w:t xml:space="preserve">Estimated net cost </w:t>
            </w:r>
            <w:r w:rsidRPr="00881BD2">
              <w:rPr>
                <w:rFonts w:ascii="Arial Narrow" w:hAnsi="Arial Narrow"/>
                <w:b/>
                <w:bCs/>
                <w:color w:val="000000"/>
                <w:sz w:val="20"/>
                <w:vertAlign w:val="superscript"/>
              </w:rPr>
              <w:t>c</w:t>
            </w:r>
          </w:p>
        </w:tc>
      </w:tr>
      <w:tr w:rsidR="00C10DE1" w:rsidRPr="00881BD2" w:rsidTr="0038578A">
        <w:trPr>
          <w:trHeight w:val="20"/>
        </w:trPr>
        <w:tc>
          <w:tcPr>
            <w:tcW w:w="1099" w:type="pct"/>
            <w:shd w:val="clear" w:color="auto" w:fill="auto"/>
            <w:vAlign w:val="center"/>
          </w:tcPr>
          <w:p w:rsidR="00C10DE1" w:rsidRPr="00881BD2" w:rsidRDefault="00C10DE1" w:rsidP="001E4453">
            <w:pPr>
              <w:keepNext/>
              <w:keepLines/>
              <w:tabs>
                <w:tab w:val="left" w:pos="142"/>
              </w:tabs>
              <w:jc w:val="left"/>
              <w:rPr>
                <w:rFonts w:ascii="Arial Narrow" w:hAnsi="Arial Narrow"/>
                <w:sz w:val="20"/>
              </w:rPr>
            </w:pPr>
            <w:r w:rsidRPr="00881BD2">
              <w:rPr>
                <w:rFonts w:ascii="Arial Narrow" w:hAnsi="Arial Narrow"/>
                <w:sz w:val="19"/>
                <w:szCs w:val="19"/>
              </w:rPr>
              <w:t>to PBS/RPBS</w:t>
            </w:r>
          </w:p>
        </w:tc>
        <w:tc>
          <w:tcPr>
            <w:tcW w:w="780" w:type="pct"/>
            <w:shd w:val="clear" w:color="auto" w:fill="auto"/>
            <w:vAlign w:val="center"/>
          </w:tcPr>
          <w:p w:rsidR="00C10DE1" w:rsidRPr="00881BD2" w:rsidRDefault="00C10DE1" w:rsidP="001E4453">
            <w:pPr>
              <w:pStyle w:val="TableText0"/>
              <w:keepLines/>
              <w:spacing w:before="0" w:after="0"/>
              <w:jc w:val="right"/>
              <w:rPr>
                <w:i/>
              </w:rPr>
            </w:pPr>
            <w:r w:rsidRPr="00881BD2">
              <w:rPr>
                <w:i/>
              </w:rPr>
              <w:t>$</w:t>
            </w:r>
            <w:r w:rsidR="005079C4">
              <w:rPr>
                <w:i/>
                <w:noProof/>
                <w:color w:val="000000"/>
                <w:highlight w:val="black"/>
              </w:rPr>
              <w:t>'''''''''''''''''''''''''</w:t>
            </w:r>
          </w:p>
        </w:tc>
        <w:tc>
          <w:tcPr>
            <w:tcW w:w="781" w:type="pct"/>
            <w:shd w:val="clear" w:color="auto" w:fill="auto"/>
            <w:vAlign w:val="center"/>
          </w:tcPr>
          <w:p w:rsidR="00C10DE1" w:rsidRPr="00881BD2" w:rsidRDefault="00C10DE1" w:rsidP="001E4453">
            <w:pPr>
              <w:pStyle w:val="TableText0"/>
              <w:keepLines/>
              <w:spacing w:before="0" w:after="0"/>
              <w:jc w:val="right"/>
              <w:rPr>
                <w:i/>
              </w:rPr>
            </w:pPr>
            <w:r w:rsidRPr="00881BD2">
              <w:rPr>
                <w:i/>
              </w:rPr>
              <w:t>$</w:t>
            </w:r>
            <w:r w:rsidR="005079C4">
              <w:rPr>
                <w:i/>
                <w:noProof/>
                <w:color w:val="000000"/>
                <w:highlight w:val="black"/>
              </w:rPr>
              <w:t>''''''''''''''''''''''</w:t>
            </w:r>
          </w:p>
        </w:tc>
        <w:tc>
          <w:tcPr>
            <w:tcW w:w="780" w:type="pct"/>
            <w:shd w:val="clear" w:color="auto" w:fill="auto"/>
            <w:vAlign w:val="center"/>
          </w:tcPr>
          <w:p w:rsidR="00C10DE1" w:rsidRPr="00881BD2" w:rsidRDefault="00C10DE1" w:rsidP="001E4453">
            <w:pPr>
              <w:pStyle w:val="TableText0"/>
              <w:keepLines/>
              <w:spacing w:before="0" w:after="0"/>
              <w:jc w:val="right"/>
              <w:rPr>
                <w:i/>
              </w:rPr>
            </w:pPr>
            <w:r w:rsidRPr="00881BD2">
              <w:rPr>
                <w:i/>
              </w:rPr>
              <w:t>$</w:t>
            </w:r>
            <w:r w:rsidR="005079C4">
              <w:rPr>
                <w:i/>
                <w:noProof/>
                <w:color w:val="000000"/>
                <w:highlight w:val="black"/>
              </w:rPr>
              <w:t>''''''''''''''''''''''</w:t>
            </w:r>
          </w:p>
        </w:tc>
        <w:tc>
          <w:tcPr>
            <w:tcW w:w="781" w:type="pct"/>
            <w:shd w:val="clear" w:color="auto" w:fill="auto"/>
            <w:vAlign w:val="center"/>
          </w:tcPr>
          <w:p w:rsidR="00C10DE1" w:rsidRPr="00881BD2" w:rsidRDefault="00C10DE1" w:rsidP="001E4453">
            <w:pPr>
              <w:pStyle w:val="TableText0"/>
              <w:keepLines/>
              <w:spacing w:before="0" w:after="0"/>
              <w:jc w:val="right"/>
              <w:rPr>
                <w:i/>
              </w:rPr>
            </w:pPr>
            <w:r w:rsidRPr="00881BD2">
              <w:rPr>
                <w:i/>
              </w:rPr>
              <w:t>$</w:t>
            </w:r>
            <w:r w:rsidR="005079C4">
              <w:rPr>
                <w:i/>
                <w:noProof/>
                <w:color w:val="000000"/>
                <w:highlight w:val="black"/>
              </w:rPr>
              <w:t>'''''''''''''''''''''''''</w:t>
            </w:r>
          </w:p>
        </w:tc>
        <w:tc>
          <w:tcPr>
            <w:tcW w:w="779" w:type="pct"/>
            <w:shd w:val="clear" w:color="auto" w:fill="auto"/>
            <w:vAlign w:val="center"/>
          </w:tcPr>
          <w:p w:rsidR="00C10DE1" w:rsidRPr="00881BD2" w:rsidRDefault="00C10DE1" w:rsidP="001E4453">
            <w:pPr>
              <w:pStyle w:val="TableText0"/>
              <w:keepLines/>
              <w:spacing w:before="0" w:after="0"/>
              <w:jc w:val="right"/>
              <w:rPr>
                <w:i/>
              </w:rPr>
            </w:pPr>
            <w:r w:rsidRPr="00881BD2">
              <w:rPr>
                <w:i/>
              </w:rPr>
              <w:t>$</w:t>
            </w:r>
            <w:r w:rsidR="005079C4">
              <w:rPr>
                <w:i/>
                <w:noProof/>
                <w:color w:val="000000"/>
                <w:highlight w:val="black"/>
              </w:rPr>
              <w:t>'''''''''''''''''''''''''''</w:t>
            </w:r>
          </w:p>
        </w:tc>
      </w:tr>
      <w:tr w:rsidR="001413C8" w:rsidRPr="00881BD2" w:rsidTr="0038578A">
        <w:trPr>
          <w:trHeight w:val="20"/>
        </w:trPr>
        <w:tc>
          <w:tcPr>
            <w:tcW w:w="1099" w:type="pct"/>
            <w:shd w:val="clear" w:color="auto" w:fill="auto"/>
            <w:vAlign w:val="center"/>
          </w:tcPr>
          <w:p w:rsidR="001413C8" w:rsidRPr="00881BD2" w:rsidRDefault="001413C8" w:rsidP="001E4453">
            <w:pPr>
              <w:keepNext/>
              <w:keepLines/>
              <w:tabs>
                <w:tab w:val="left" w:pos="142"/>
              </w:tabs>
              <w:jc w:val="left"/>
              <w:rPr>
                <w:rFonts w:ascii="Arial Narrow" w:hAnsi="Arial Narrow"/>
                <w:sz w:val="20"/>
              </w:rPr>
            </w:pPr>
            <w:r w:rsidRPr="00881BD2">
              <w:rPr>
                <w:rFonts w:ascii="Arial Narrow" w:hAnsi="Arial Narrow"/>
                <w:sz w:val="19"/>
                <w:szCs w:val="19"/>
              </w:rPr>
              <w:t>to MBS</w:t>
            </w:r>
          </w:p>
        </w:tc>
        <w:tc>
          <w:tcPr>
            <w:tcW w:w="780" w:type="pct"/>
            <w:shd w:val="clear" w:color="auto" w:fill="auto"/>
            <w:vAlign w:val="center"/>
          </w:tcPr>
          <w:p w:rsidR="001413C8" w:rsidRPr="00881BD2" w:rsidRDefault="001413C8" w:rsidP="001E4453">
            <w:pPr>
              <w:pStyle w:val="TableText0"/>
              <w:keepLines/>
              <w:spacing w:before="0" w:after="0"/>
              <w:jc w:val="right"/>
            </w:pPr>
            <w:r w:rsidRPr="00881BD2">
              <w:t>$</w:t>
            </w:r>
            <w:r w:rsidR="005079C4">
              <w:rPr>
                <w:noProof/>
                <w:color w:val="000000"/>
                <w:highlight w:val="black"/>
              </w:rPr>
              <w:t>''''''''''''''''</w:t>
            </w:r>
          </w:p>
        </w:tc>
        <w:tc>
          <w:tcPr>
            <w:tcW w:w="781" w:type="pct"/>
            <w:shd w:val="clear" w:color="auto" w:fill="auto"/>
            <w:vAlign w:val="center"/>
          </w:tcPr>
          <w:p w:rsidR="001413C8" w:rsidRPr="00881BD2" w:rsidRDefault="001413C8" w:rsidP="001E4453">
            <w:pPr>
              <w:pStyle w:val="TableText0"/>
              <w:keepLines/>
              <w:spacing w:before="0" w:after="0"/>
              <w:jc w:val="right"/>
            </w:pPr>
            <w:r w:rsidRPr="00881BD2">
              <w:t>$</w:t>
            </w:r>
            <w:r w:rsidR="005079C4">
              <w:rPr>
                <w:noProof/>
                <w:color w:val="000000"/>
                <w:highlight w:val="black"/>
              </w:rPr>
              <w:t>'''''''''''''''''</w:t>
            </w:r>
          </w:p>
        </w:tc>
        <w:tc>
          <w:tcPr>
            <w:tcW w:w="780" w:type="pct"/>
            <w:shd w:val="clear" w:color="auto" w:fill="auto"/>
            <w:vAlign w:val="center"/>
          </w:tcPr>
          <w:p w:rsidR="001413C8" w:rsidRPr="00881BD2" w:rsidRDefault="001413C8" w:rsidP="001E4453">
            <w:pPr>
              <w:pStyle w:val="TableText0"/>
              <w:keepLines/>
              <w:spacing w:before="0" w:after="0"/>
              <w:jc w:val="right"/>
            </w:pPr>
            <w:r w:rsidRPr="00881BD2">
              <w:t>$</w:t>
            </w:r>
            <w:r w:rsidR="005079C4">
              <w:rPr>
                <w:noProof/>
                <w:color w:val="000000"/>
                <w:highlight w:val="black"/>
              </w:rPr>
              <w:t>''''''''''''''''</w:t>
            </w:r>
          </w:p>
        </w:tc>
        <w:tc>
          <w:tcPr>
            <w:tcW w:w="781" w:type="pct"/>
            <w:shd w:val="clear" w:color="auto" w:fill="auto"/>
            <w:vAlign w:val="center"/>
          </w:tcPr>
          <w:p w:rsidR="001413C8" w:rsidRPr="00881BD2" w:rsidRDefault="001413C8" w:rsidP="001E4453">
            <w:pPr>
              <w:pStyle w:val="TableText0"/>
              <w:keepLines/>
              <w:spacing w:before="0" w:after="0"/>
              <w:jc w:val="right"/>
            </w:pPr>
            <w:r w:rsidRPr="00881BD2">
              <w:t>$</w:t>
            </w:r>
            <w:r w:rsidR="005079C4">
              <w:rPr>
                <w:noProof/>
                <w:color w:val="000000"/>
                <w:highlight w:val="black"/>
              </w:rPr>
              <w:t>''''''''''''''''''</w:t>
            </w:r>
          </w:p>
        </w:tc>
        <w:tc>
          <w:tcPr>
            <w:tcW w:w="779" w:type="pct"/>
            <w:shd w:val="clear" w:color="auto" w:fill="auto"/>
            <w:vAlign w:val="center"/>
          </w:tcPr>
          <w:p w:rsidR="001413C8" w:rsidRPr="00881BD2" w:rsidRDefault="001413C8" w:rsidP="001E4453">
            <w:pPr>
              <w:pStyle w:val="TableText0"/>
              <w:keepLines/>
              <w:spacing w:before="0" w:after="0"/>
              <w:jc w:val="right"/>
            </w:pPr>
            <w:r w:rsidRPr="00881BD2">
              <w:t>$</w:t>
            </w:r>
            <w:r w:rsidR="005079C4">
              <w:rPr>
                <w:noProof/>
                <w:color w:val="000000"/>
                <w:highlight w:val="black"/>
              </w:rPr>
              <w:t>''''''''''''''''</w:t>
            </w:r>
          </w:p>
        </w:tc>
      </w:tr>
      <w:tr w:rsidR="001413C8" w:rsidRPr="00881BD2" w:rsidTr="001413C8">
        <w:tc>
          <w:tcPr>
            <w:tcW w:w="1099" w:type="pct"/>
            <w:shd w:val="clear" w:color="auto" w:fill="auto"/>
            <w:vAlign w:val="center"/>
          </w:tcPr>
          <w:p w:rsidR="001413C8" w:rsidRPr="00881BD2" w:rsidRDefault="001413C8" w:rsidP="001E4453">
            <w:pPr>
              <w:keepNext/>
              <w:keepLines/>
              <w:tabs>
                <w:tab w:val="left" w:pos="142"/>
              </w:tabs>
              <w:jc w:val="left"/>
              <w:rPr>
                <w:rFonts w:ascii="Arial Narrow" w:hAnsi="Arial Narrow"/>
                <w:sz w:val="20"/>
              </w:rPr>
            </w:pPr>
            <w:r w:rsidRPr="00881BD2">
              <w:rPr>
                <w:rFonts w:ascii="Arial Narrow" w:hAnsi="Arial Narrow"/>
                <w:sz w:val="20"/>
              </w:rPr>
              <w:t>to State and Territory health budget services</w:t>
            </w:r>
          </w:p>
        </w:tc>
        <w:tc>
          <w:tcPr>
            <w:tcW w:w="780" w:type="pct"/>
            <w:shd w:val="clear" w:color="auto" w:fill="auto"/>
            <w:vAlign w:val="center"/>
          </w:tcPr>
          <w:p w:rsidR="001413C8" w:rsidRPr="00881BD2" w:rsidRDefault="001413C8" w:rsidP="001E4453">
            <w:pPr>
              <w:pStyle w:val="TableText0"/>
              <w:keepLines/>
              <w:jc w:val="right"/>
            </w:pPr>
            <w:r w:rsidRPr="00881BD2">
              <w:t>$</w:t>
            </w:r>
            <w:r w:rsidR="005079C4">
              <w:rPr>
                <w:noProof/>
                <w:color w:val="000000"/>
                <w:highlight w:val="black"/>
              </w:rPr>
              <w:t>''''''''''''''''''''''</w:t>
            </w:r>
          </w:p>
        </w:tc>
        <w:tc>
          <w:tcPr>
            <w:tcW w:w="781" w:type="pct"/>
            <w:shd w:val="clear" w:color="auto" w:fill="auto"/>
            <w:vAlign w:val="center"/>
          </w:tcPr>
          <w:p w:rsidR="001413C8" w:rsidRPr="00881BD2" w:rsidRDefault="001413C8" w:rsidP="001E4453">
            <w:pPr>
              <w:pStyle w:val="TableText0"/>
              <w:keepLines/>
              <w:jc w:val="right"/>
            </w:pPr>
            <w:r w:rsidRPr="00881BD2">
              <w:t>$</w:t>
            </w:r>
            <w:r w:rsidR="005079C4">
              <w:rPr>
                <w:noProof/>
                <w:color w:val="000000"/>
                <w:highlight w:val="black"/>
              </w:rPr>
              <w:t>''''''''''''''''''''</w:t>
            </w:r>
          </w:p>
        </w:tc>
        <w:tc>
          <w:tcPr>
            <w:tcW w:w="780" w:type="pct"/>
            <w:shd w:val="clear" w:color="auto" w:fill="auto"/>
            <w:vAlign w:val="center"/>
          </w:tcPr>
          <w:p w:rsidR="001413C8" w:rsidRPr="00881BD2" w:rsidRDefault="001413C8" w:rsidP="001E4453">
            <w:pPr>
              <w:pStyle w:val="TableText0"/>
              <w:keepLines/>
              <w:jc w:val="right"/>
            </w:pPr>
            <w:r w:rsidRPr="00881BD2">
              <w:t>$</w:t>
            </w:r>
            <w:r w:rsidR="005079C4">
              <w:rPr>
                <w:noProof/>
                <w:color w:val="000000"/>
                <w:highlight w:val="black"/>
              </w:rPr>
              <w:t>''''''''''''''''''''''</w:t>
            </w:r>
          </w:p>
        </w:tc>
        <w:tc>
          <w:tcPr>
            <w:tcW w:w="781" w:type="pct"/>
            <w:shd w:val="clear" w:color="auto" w:fill="auto"/>
            <w:vAlign w:val="center"/>
          </w:tcPr>
          <w:p w:rsidR="001413C8" w:rsidRPr="00881BD2" w:rsidRDefault="001413C8" w:rsidP="001E4453">
            <w:pPr>
              <w:pStyle w:val="TableText0"/>
              <w:keepLines/>
              <w:jc w:val="right"/>
            </w:pPr>
            <w:r w:rsidRPr="00881BD2">
              <w:t>$</w:t>
            </w:r>
            <w:r w:rsidR="005079C4">
              <w:rPr>
                <w:noProof/>
                <w:color w:val="000000"/>
                <w:highlight w:val="black"/>
              </w:rPr>
              <w:t>''''''''''''''''''''''''</w:t>
            </w:r>
          </w:p>
        </w:tc>
        <w:tc>
          <w:tcPr>
            <w:tcW w:w="779" w:type="pct"/>
            <w:shd w:val="clear" w:color="auto" w:fill="auto"/>
            <w:vAlign w:val="center"/>
          </w:tcPr>
          <w:p w:rsidR="001413C8" w:rsidRPr="00881BD2" w:rsidRDefault="001413C8" w:rsidP="001E4453">
            <w:pPr>
              <w:pStyle w:val="TableText0"/>
              <w:keepLines/>
              <w:jc w:val="right"/>
            </w:pPr>
            <w:r w:rsidRPr="00881BD2">
              <w:t>$</w:t>
            </w:r>
            <w:r w:rsidR="005079C4">
              <w:rPr>
                <w:noProof/>
                <w:color w:val="000000"/>
                <w:highlight w:val="black"/>
              </w:rPr>
              <w:t>'''''''''''''''''''''''</w:t>
            </w:r>
          </w:p>
        </w:tc>
      </w:tr>
      <w:tr w:rsidR="00726F0B" w:rsidRPr="00881BD2" w:rsidTr="00F70BD6">
        <w:tc>
          <w:tcPr>
            <w:tcW w:w="5000" w:type="pct"/>
            <w:gridSpan w:val="6"/>
            <w:shd w:val="clear" w:color="auto" w:fill="auto"/>
            <w:vAlign w:val="center"/>
          </w:tcPr>
          <w:p w:rsidR="00726F0B" w:rsidRPr="00881BD2" w:rsidRDefault="00726F0B" w:rsidP="001E4453">
            <w:pPr>
              <w:keepNext/>
              <w:keepLines/>
              <w:jc w:val="left"/>
              <w:rPr>
                <w:rFonts w:ascii="Arial Narrow" w:hAnsi="Arial Narrow"/>
                <w:b/>
                <w:color w:val="000000"/>
                <w:sz w:val="20"/>
              </w:rPr>
            </w:pPr>
            <w:r w:rsidRPr="00881BD2">
              <w:rPr>
                <w:rFonts w:ascii="Arial Narrow" w:hAnsi="Arial Narrow"/>
                <w:b/>
                <w:color w:val="000000"/>
                <w:sz w:val="20"/>
              </w:rPr>
              <w:t>Estimated total net cost</w:t>
            </w:r>
          </w:p>
        </w:tc>
      </w:tr>
      <w:tr w:rsidR="001413C8" w:rsidRPr="00881BD2" w:rsidTr="00E03F2C">
        <w:tc>
          <w:tcPr>
            <w:tcW w:w="1099" w:type="pct"/>
            <w:shd w:val="clear" w:color="auto" w:fill="auto"/>
            <w:vAlign w:val="center"/>
          </w:tcPr>
          <w:p w:rsidR="001413C8" w:rsidRPr="00881BD2" w:rsidRDefault="001413C8" w:rsidP="001E4453">
            <w:pPr>
              <w:keepNext/>
              <w:keepLines/>
              <w:tabs>
                <w:tab w:val="left" w:pos="142"/>
              </w:tabs>
              <w:jc w:val="left"/>
              <w:rPr>
                <w:rFonts w:ascii="Arial Narrow" w:hAnsi="Arial Narrow"/>
                <w:b/>
                <w:sz w:val="20"/>
              </w:rPr>
            </w:pPr>
            <w:r w:rsidRPr="00881BD2">
              <w:rPr>
                <w:rFonts w:ascii="Arial Narrow" w:hAnsi="Arial Narrow"/>
                <w:b/>
                <w:sz w:val="20"/>
              </w:rPr>
              <w:t>Re-submission</w:t>
            </w:r>
          </w:p>
        </w:tc>
        <w:tc>
          <w:tcPr>
            <w:tcW w:w="780" w:type="pct"/>
            <w:shd w:val="clear" w:color="auto" w:fill="auto"/>
            <w:vAlign w:val="bottom"/>
          </w:tcPr>
          <w:p w:rsidR="001413C8" w:rsidRPr="00881BD2" w:rsidRDefault="001413C8" w:rsidP="001E4453">
            <w:pPr>
              <w:keepNext/>
              <w:keepLines/>
              <w:jc w:val="right"/>
              <w:rPr>
                <w:rFonts w:ascii="Arial Narrow" w:hAnsi="Arial Narrow"/>
                <w:b/>
                <w:i/>
                <w:sz w:val="20"/>
              </w:rPr>
            </w:pPr>
            <w:r w:rsidRPr="00881BD2">
              <w:rPr>
                <w:rFonts w:ascii="Arial Narrow" w:hAnsi="Arial Narrow"/>
                <w:b/>
                <w:i/>
                <w:sz w:val="20"/>
              </w:rPr>
              <w:t>$</w:t>
            </w:r>
            <w:r w:rsidR="005079C4">
              <w:rPr>
                <w:rFonts w:ascii="Arial Narrow" w:hAnsi="Arial Narrow"/>
                <w:b/>
                <w:i/>
                <w:noProof/>
                <w:color w:val="000000"/>
                <w:sz w:val="20"/>
                <w:highlight w:val="black"/>
              </w:rPr>
              <w:t>'''''''''''''''''''''</w:t>
            </w:r>
          </w:p>
        </w:tc>
        <w:tc>
          <w:tcPr>
            <w:tcW w:w="781" w:type="pct"/>
            <w:shd w:val="clear" w:color="auto" w:fill="auto"/>
            <w:vAlign w:val="bottom"/>
          </w:tcPr>
          <w:p w:rsidR="001413C8" w:rsidRPr="00881BD2" w:rsidRDefault="001413C8" w:rsidP="001E4453">
            <w:pPr>
              <w:keepNext/>
              <w:keepLines/>
              <w:jc w:val="right"/>
              <w:rPr>
                <w:rFonts w:ascii="Arial Narrow" w:hAnsi="Arial Narrow"/>
                <w:b/>
                <w:i/>
                <w:sz w:val="20"/>
              </w:rPr>
            </w:pPr>
            <w:r w:rsidRPr="00881BD2">
              <w:rPr>
                <w:rFonts w:ascii="Arial Narrow" w:hAnsi="Arial Narrow"/>
                <w:b/>
                <w:i/>
                <w:sz w:val="20"/>
              </w:rPr>
              <w:t>$</w:t>
            </w:r>
            <w:r w:rsidR="005079C4">
              <w:rPr>
                <w:rFonts w:ascii="Arial Narrow" w:hAnsi="Arial Narrow"/>
                <w:b/>
                <w:i/>
                <w:noProof/>
                <w:color w:val="000000"/>
                <w:sz w:val="20"/>
                <w:highlight w:val="black"/>
              </w:rPr>
              <w:t>''''''''''''''''''''</w:t>
            </w:r>
          </w:p>
        </w:tc>
        <w:tc>
          <w:tcPr>
            <w:tcW w:w="780" w:type="pct"/>
            <w:shd w:val="clear" w:color="auto" w:fill="auto"/>
            <w:vAlign w:val="bottom"/>
          </w:tcPr>
          <w:p w:rsidR="001413C8" w:rsidRPr="00881BD2" w:rsidRDefault="001413C8" w:rsidP="001E4453">
            <w:pPr>
              <w:keepNext/>
              <w:keepLines/>
              <w:jc w:val="right"/>
              <w:rPr>
                <w:rFonts w:ascii="Arial Narrow" w:hAnsi="Arial Narrow"/>
                <w:b/>
                <w:i/>
                <w:sz w:val="20"/>
              </w:rPr>
            </w:pPr>
            <w:r w:rsidRPr="00881BD2">
              <w:rPr>
                <w:rFonts w:ascii="Arial Narrow" w:hAnsi="Arial Narrow"/>
                <w:b/>
                <w:i/>
                <w:sz w:val="20"/>
              </w:rPr>
              <w:t>$</w:t>
            </w:r>
            <w:r w:rsidR="005079C4">
              <w:rPr>
                <w:rFonts w:ascii="Arial Narrow" w:hAnsi="Arial Narrow"/>
                <w:b/>
                <w:i/>
                <w:noProof/>
                <w:color w:val="000000"/>
                <w:sz w:val="20"/>
                <w:highlight w:val="black"/>
              </w:rPr>
              <w:t>'''''''''''''''''''''</w:t>
            </w:r>
          </w:p>
        </w:tc>
        <w:tc>
          <w:tcPr>
            <w:tcW w:w="781" w:type="pct"/>
            <w:shd w:val="clear" w:color="auto" w:fill="auto"/>
            <w:vAlign w:val="bottom"/>
          </w:tcPr>
          <w:p w:rsidR="001413C8" w:rsidRPr="00881BD2" w:rsidRDefault="001413C8" w:rsidP="001E4453">
            <w:pPr>
              <w:keepNext/>
              <w:keepLines/>
              <w:jc w:val="right"/>
              <w:rPr>
                <w:rFonts w:ascii="Arial Narrow" w:hAnsi="Arial Narrow"/>
                <w:b/>
                <w:i/>
                <w:sz w:val="20"/>
              </w:rPr>
            </w:pPr>
            <w:r w:rsidRPr="00881BD2">
              <w:rPr>
                <w:rFonts w:ascii="Arial Narrow" w:hAnsi="Arial Narrow"/>
                <w:b/>
                <w:i/>
                <w:sz w:val="20"/>
              </w:rPr>
              <w:t>$</w:t>
            </w:r>
            <w:r w:rsidR="005079C4">
              <w:rPr>
                <w:rFonts w:ascii="Arial Narrow" w:hAnsi="Arial Narrow"/>
                <w:b/>
                <w:i/>
                <w:noProof/>
                <w:color w:val="000000"/>
                <w:sz w:val="20"/>
                <w:highlight w:val="black"/>
              </w:rPr>
              <w:t>''''''''''''''''''''</w:t>
            </w:r>
          </w:p>
        </w:tc>
        <w:tc>
          <w:tcPr>
            <w:tcW w:w="779" w:type="pct"/>
            <w:shd w:val="clear" w:color="auto" w:fill="auto"/>
            <w:vAlign w:val="bottom"/>
          </w:tcPr>
          <w:p w:rsidR="001413C8" w:rsidRPr="00881BD2" w:rsidRDefault="001413C8" w:rsidP="001E4453">
            <w:pPr>
              <w:keepNext/>
              <w:keepLines/>
              <w:jc w:val="right"/>
              <w:rPr>
                <w:rFonts w:ascii="Arial Narrow" w:hAnsi="Arial Narrow"/>
                <w:b/>
                <w:i/>
                <w:sz w:val="20"/>
              </w:rPr>
            </w:pPr>
            <w:r w:rsidRPr="00881BD2">
              <w:rPr>
                <w:rFonts w:ascii="Arial Narrow" w:hAnsi="Arial Narrow"/>
                <w:b/>
                <w:i/>
                <w:sz w:val="20"/>
              </w:rPr>
              <w:t>$</w:t>
            </w:r>
            <w:r w:rsidR="005079C4">
              <w:rPr>
                <w:rFonts w:ascii="Arial Narrow" w:hAnsi="Arial Narrow"/>
                <w:b/>
                <w:i/>
                <w:noProof/>
                <w:color w:val="000000"/>
                <w:sz w:val="20"/>
                <w:highlight w:val="black"/>
              </w:rPr>
              <w:t>''''''''''''''''''''''</w:t>
            </w:r>
          </w:p>
        </w:tc>
      </w:tr>
      <w:tr w:rsidR="00726F0B" w:rsidRPr="00881BD2" w:rsidTr="00F70BD6">
        <w:tc>
          <w:tcPr>
            <w:tcW w:w="5000" w:type="pct"/>
            <w:gridSpan w:val="6"/>
            <w:shd w:val="clear" w:color="auto" w:fill="auto"/>
            <w:vAlign w:val="center"/>
          </w:tcPr>
          <w:p w:rsidR="00726F0B" w:rsidRPr="00881BD2" w:rsidRDefault="00726F0B" w:rsidP="001E4453">
            <w:pPr>
              <w:keepNext/>
              <w:keepLines/>
              <w:jc w:val="left"/>
              <w:rPr>
                <w:rFonts w:ascii="Arial Narrow" w:hAnsi="Arial Narrow"/>
                <w:b/>
                <w:color w:val="000000"/>
                <w:sz w:val="20"/>
              </w:rPr>
            </w:pPr>
            <w:r w:rsidRPr="00881BD2">
              <w:rPr>
                <w:rFonts w:ascii="Arial Narrow" w:hAnsi="Arial Narrow"/>
                <w:b/>
                <w:color w:val="000000"/>
                <w:sz w:val="20"/>
              </w:rPr>
              <w:t>Previous submission</w:t>
            </w:r>
          </w:p>
        </w:tc>
      </w:tr>
      <w:tr w:rsidR="00726F0B" w:rsidRPr="00881BD2" w:rsidTr="00F70BD6">
        <w:tc>
          <w:tcPr>
            <w:tcW w:w="1099" w:type="pct"/>
            <w:shd w:val="clear" w:color="auto" w:fill="auto"/>
            <w:vAlign w:val="center"/>
          </w:tcPr>
          <w:p w:rsidR="00726F0B" w:rsidRPr="00881BD2" w:rsidRDefault="00726F0B" w:rsidP="001E4453">
            <w:pPr>
              <w:keepNext/>
              <w:keepLines/>
              <w:tabs>
                <w:tab w:val="left" w:pos="142"/>
              </w:tabs>
              <w:jc w:val="left"/>
              <w:rPr>
                <w:rFonts w:ascii="Arial Narrow" w:hAnsi="Arial Narrow"/>
                <w:sz w:val="20"/>
              </w:rPr>
            </w:pPr>
            <w:r w:rsidRPr="00881BD2">
              <w:rPr>
                <w:rFonts w:ascii="Arial Narrow" w:hAnsi="Arial Narrow"/>
                <w:sz w:val="20"/>
              </w:rPr>
              <w:t>Number treated</w:t>
            </w:r>
          </w:p>
        </w:tc>
        <w:tc>
          <w:tcPr>
            <w:tcW w:w="780"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81"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80"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81"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79" w:type="pct"/>
            <w:shd w:val="clear" w:color="auto" w:fill="auto"/>
          </w:tcPr>
          <w:p w:rsidR="00726F0B" w:rsidRPr="005079C4" w:rsidRDefault="005079C4" w:rsidP="001E4453">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726F0B" w:rsidRPr="00881BD2" w:rsidTr="00F70BD6">
        <w:tc>
          <w:tcPr>
            <w:tcW w:w="1099" w:type="pct"/>
            <w:shd w:val="clear" w:color="auto" w:fill="auto"/>
            <w:vAlign w:val="center"/>
          </w:tcPr>
          <w:p w:rsidR="00726F0B" w:rsidRPr="00881BD2" w:rsidRDefault="00726F0B" w:rsidP="001E4453">
            <w:pPr>
              <w:keepNext/>
              <w:keepLines/>
              <w:tabs>
                <w:tab w:val="left" w:pos="142"/>
              </w:tabs>
              <w:jc w:val="left"/>
              <w:rPr>
                <w:rFonts w:ascii="Arial Narrow" w:hAnsi="Arial Narrow"/>
                <w:sz w:val="20"/>
              </w:rPr>
            </w:pPr>
            <w:r w:rsidRPr="00881BD2">
              <w:rPr>
                <w:rFonts w:ascii="Arial Narrow" w:hAnsi="Arial Narrow"/>
                <w:sz w:val="20"/>
              </w:rPr>
              <w:t>Estimated total net cost</w:t>
            </w:r>
          </w:p>
        </w:tc>
        <w:tc>
          <w:tcPr>
            <w:tcW w:w="780" w:type="pct"/>
            <w:shd w:val="clear" w:color="auto" w:fill="auto"/>
            <w:vAlign w:val="center"/>
          </w:tcPr>
          <w:p w:rsidR="00726F0B" w:rsidRPr="00881BD2" w:rsidRDefault="00726F0B" w:rsidP="001E4453">
            <w:pPr>
              <w:keepNext/>
              <w:keepLines/>
              <w:jc w:val="right"/>
              <w:rPr>
                <w:rFonts w:ascii="Arial Narrow" w:hAnsi="Arial Narrow" w:cs="Times New Roman"/>
                <w:sz w:val="20"/>
              </w:rPr>
            </w:pPr>
            <w:r w:rsidRPr="00881BD2">
              <w:rPr>
                <w:rFonts w:ascii="Arial Narrow" w:hAnsi="Arial Narrow" w:cs="Times New Roman"/>
                <w:sz w:val="20"/>
              </w:rPr>
              <w:t>$</w:t>
            </w:r>
            <w:r w:rsidR="005079C4">
              <w:rPr>
                <w:rFonts w:ascii="Arial Narrow" w:hAnsi="Arial Narrow" w:cs="Times New Roman"/>
                <w:noProof/>
                <w:color w:val="000000"/>
                <w:sz w:val="20"/>
                <w:highlight w:val="black"/>
              </w:rPr>
              <w:t>'''''''''''''''''''''''</w:t>
            </w:r>
          </w:p>
        </w:tc>
        <w:tc>
          <w:tcPr>
            <w:tcW w:w="781" w:type="pct"/>
            <w:shd w:val="clear" w:color="auto" w:fill="auto"/>
            <w:vAlign w:val="center"/>
          </w:tcPr>
          <w:p w:rsidR="00726F0B" w:rsidRPr="00881BD2" w:rsidRDefault="00726F0B" w:rsidP="001E4453">
            <w:pPr>
              <w:keepNext/>
              <w:keepLines/>
              <w:jc w:val="right"/>
              <w:rPr>
                <w:rFonts w:ascii="Arial Narrow" w:hAnsi="Arial Narrow" w:cs="Times New Roman"/>
                <w:sz w:val="20"/>
              </w:rPr>
            </w:pPr>
            <w:r w:rsidRPr="00881BD2">
              <w:rPr>
                <w:rFonts w:ascii="Arial Narrow" w:hAnsi="Arial Narrow" w:cs="Times New Roman"/>
                <w:sz w:val="20"/>
              </w:rPr>
              <w:t>$</w:t>
            </w:r>
            <w:r w:rsidR="005079C4">
              <w:rPr>
                <w:rFonts w:ascii="Arial Narrow" w:hAnsi="Arial Narrow" w:cs="Times New Roman"/>
                <w:noProof/>
                <w:color w:val="000000"/>
                <w:sz w:val="20"/>
                <w:highlight w:val="black"/>
              </w:rPr>
              <w:t>'''''''''''''''''''''''</w:t>
            </w:r>
          </w:p>
        </w:tc>
        <w:tc>
          <w:tcPr>
            <w:tcW w:w="780" w:type="pct"/>
            <w:shd w:val="clear" w:color="auto" w:fill="auto"/>
            <w:vAlign w:val="center"/>
          </w:tcPr>
          <w:p w:rsidR="00726F0B" w:rsidRPr="00881BD2" w:rsidRDefault="00726F0B" w:rsidP="001E4453">
            <w:pPr>
              <w:keepNext/>
              <w:keepLines/>
              <w:jc w:val="right"/>
              <w:rPr>
                <w:rFonts w:ascii="Arial Narrow" w:hAnsi="Arial Narrow" w:cs="Times New Roman"/>
                <w:sz w:val="20"/>
              </w:rPr>
            </w:pPr>
            <w:r w:rsidRPr="00881BD2">
              <w:rPr>
                <w:rFonts w:ascii="Arial Narrow" w:hAnsi="Arial Narrow" w:cs="Times New Roman"/>
                <w:sz w:val="20"/>
              </w:rPr>
              <w:t>$</w:t>
            </w:r>
            <w:r w:rsidR="005079C4">
              <w:rPr>
                <w:rFonts w:ascii="Arial Narrow" w:hAnsi="Arial Narrow" w:cs="Times New Roman"/>
                <w:noProof/>
                <w:color w:val="000000"/>
                <w:sz w:val="20"/>
                <w:highlight w:val="black"/>
              </w:rPr>
              <w:t>'''''''''''''''''''''''</w:t>
            </w:r>
          </w:p>
        </w:tc>
        <w:tc>
          <w:tcPr>
            <w:tcW w:w="781" w:type="pct"/>
            <w:shd w:val="clear" w:color="auto" w:fill="auto"/>
            <w:vAlign w:val="center"/>
          </w:tcPr>
          <w:p w:rsidR="00726F0B" w:rsidRPr="00881BD2" w:rsidRDefault="00726F0B" w:rsidP="001E4453">
            <w:pPr>
              <w:keepNext/>
              <w:keepLines/>
              <w:jc w:val="right"/>
              <w:rPr>
                <w:rFonts w:ascii="Arial Narrow" w:hAnsi="Arial Narrow" w:cs="Times New Roman"/>
                <w:sz w:val="20"/>
              </w:rPr>
            </w:pPr>
            <w:r w:rsidRPr="00881BD2">
              <w:rPr>
                <w:rFonts w:ascii="Arial Narrow" w:hAnsi="Arial Narrow" w:cs="Times New Roman"/>
                <w:sz w:val="20"/>
              </w:rPr>
              <w:t>$</w:t>
            </w:r>
            <w:r w:rsidR="005079C4">
              <w:rPr>
                <w:rFonts w:ascii="Arial Narrow" w:hAnsi="Arial Narrow" w:cs="Times New Roman"/>
                <w:noProof/>
                <w:color w:val="000000"/>
                <w:sz w:val="20"/>
                <w:highlight w:val="black"/>
              </w:rPr>
              <w:t>'''''''''''''''''''''''</w:t>
            </w:r>
          </w:p>
        </w:tc>
        <w:tc>
          <w:tcPr>
            <w:tcW w:w="779" w:type="pct"/>
            <w:shd w:val="clear" w:color="auto" w:fill="auto"/>
            <w:vAlign w:val="center"/>
          </w:tcPr>
          <w:p w:rsidR="00726F0B" w:rsidRPr="00881BD2" w:rsidRDefault="00726F0B" w:rsidP="001E4453">
            <w:pPr>
              <w:keepNext/>
              <w:keepLines/>
              <w:jc w:val="right"/>
              <w:rPr>
                <w:rFonts w:ascii="Arial Narrow" w:hAnsi="Arial Narrow" w:cs="Times New Roman"/>
                <w:sz w:val="20"/>
              </w:rPr>
            </w:pPr>
            <w:r w:rsidRPr="00881BD2">
              <w:rPr>
                <w:rFonts w:ascii="Arial Narrow" w:hAnsi="Arial Narrow" w:cs="Times New Roman"/>
                <w:sz w:val="20"/>
              </w:rPr>
              <w:t>$</w:t>
            </w:r>
            <w:r w:rsidR="005079C4">
              <w:rPr>
                <w:rFonts w:ascii="Arial Narrow" w:hAnsi="Arial Narrow" w:cs="Times New Roman"/>
                <w:noProof/>
                <w:color w:val="000000"/>
                <w:sz w:val="20"/>
                <w:highlight w:val="black"/>
              </w:rPr>
              <w:t>''''''''''''''''''''''''</w:t>
            </w:r>
          </w:p>
        </w:tc>
      </w:tr>
    </w:tbl>
    <w:p w:rsidR="00726F0B" w:rsidRPr="003D6571" w:rsidRDefault="00726F0B" w:rsidP="001E4453">
      <w:pPr>
        <w:pStyle w:val="TableFooter"/>
        <w:keepNext/>
        <w:keepLines/>
        <w:ind w:left="709"/>
        <w:rPr>
          <w:i/>
        </w:rPr>
      </w:pPr>
      <w:r w:rsidRPr="00881BD2">
        <w:t xml:space="preserve">Source: </w:t>
      </w:r>
      <w:r w:rsidRPr="003D6571">
        <w:t>Compiled during the evaluation.</w:t>
      </w:r>
      <w:r w:rsidR="00565EF4" w:rsidRPr="003D6571">
        <w:t xml:space="preserve"> </w:t>
      </w:r>
      <w:r w:rsidR="00565EF4" w:rsidRPr="003D6571">
        <w:rPr>
          <w:i/>
        </w:rPr>
        <w:t xml:space="preserve">An error in calculation of </w:t>
      </w:r>
      <w:r w:rsidR="00BE2AC7" w:rsidRPr="003D6571">
        <w:rPr>
          <w:i/>
        </w:rPr>
        <w:t>cost offsets was corrected during the evaluation and accepted in the PSCR.</w:t>
      </w:r>
      <w:r w:rsidR="00207C31" w:rsidRPr="003D6571">
        <w:rPr>
          <w:i/>
        </w:rPr>
        <w:t xml:space="preserve"> </w:t>
      </w:r>
      <w:r w:rsidRPr="003D6571">
        <w:rPr>
          <w:i/>
        </w:rPr>
        <w:t>Italics</w:t>
      </w:r>
      <w:r w:rsidRPr="003D6571">
        <w:t xml:space="preserve"> = </w:t>
      </w:r>
      <w:r w:rsidR="008945E6" w:rsidRPr="003D6571">
        <w:rPr>
          <w:i/>
        </w:rPr>
        <w:t xml:space="preserve">revised during ESC advice to account for small difference in rounding. </w:t>
      </w:r>
    </w:p>
    <w:p w:rsidR="00726F0B" w:rsidRPr="003D6571" w:rsidRDefault="00726F0B" w:rsidP="001E4453">
      <w:pPr>
        <w:pStyle w:val="TableFooter"/>
        <w:keepNext/>
        <w:keepLines/>
        <w:ind w:left="993" w:hanging="284"/>
      </w:pPr>
      <w:r w:rsidRPr="003D6571">
        <w:t xml:space="preserve">a – assumed uptake: </w:t>
      </w:r>
      <w:r w:rsidR="005079C4">
        <w:rPr>
          <w:noProof/>
          <w:color w:val="000000"/>
          <w:highlight w:val="black"/>
        </w:rPr>
        <w:t>''''''</w:t>
      </w:r>
      <w:r w:rsidRPr="003D6571">
        <w:t xml:space="preserve">% from chlorambucil monotherapy, rituximab plus chlorambucil, and other rituximab regimens, </w:t>
      </w:r>
      <w:r w:rsidR="005079C4">
        <w:rPr>
          <w:noProof/>
          <w:color w:val="000000"/>
          <w:highlight w:val="black"/>
        </w:rPr>
        <w:t>''''''</w:t>
      </w:r>
      <w:r w:rsidRPr="003D6571">
        <w:t>% from FCR-</w:t>
      </w:r>
      <w:proofErr w:type="spellStart"/>
      <w:r w:rsidRPr="003D6571">
        <w:t>lite</w:t>
      </w:r>
      <w:proofErr w:type="spellEnd"/>
      <w:r w:rsidRPr="003D6571">
        <w:t xml:space="preserve">, </w:t>
      </w:r>
      <w:r w:rsidR="005079C4">
        <w:rPr>
          <w:noProof/>
          <w:color w:val="000000"/>
          <w:highlight w:val="black"/>
        </w:rPr>
        <w:t>''''''</w:t>
      </w:r>
      <w:r w:rsidRPr="003D6571">
        <w:t>% from other chemotherapy;</w:t>
      </w:r>
    </w:p>
    <w:p w:rsidR="00726F0B" w:rsidRPr="003D6571" w:rsidRDefault="00726F0B" w:rsidP="001E4453">
      <w:pPr>
        <w:pStyle w:val="TableFooter"/>
        <w:keepNext/>
        <w:keepLines/>
        <w:ind w:left="993" w:hanging="284"/>
      </w:pPr>
      <w:r w:rsidRPr="003D6571">
        <w:t xml:space="preserve">b – </w:t>
      </w:r>
      <w:proofErr w:type="gramStart"/>
      <w:r w:rsidRPr="003D6571">
        <w:t>average</w:t>
      </w:r>
      <w:proofErr w:type="gramEnd"/>
      <w:r w:rsidRPr="003D6571">
        <w:t xml:space="preserve"> </w:t>
      </w:r>
      <w:r w:rsidR="005079C4">
        <w:rPr>
          <w:noProof/>
          <w:color w:val="000000"/>
          <w:highlight w:val="black"/>
        </w:rPr>
        <w:t xml:space="preserve">''''''' </w:t>
      </w:r>
      <w:r w:rsidRPr="003D6571">
        <w:t>scripts per patient;</w:t>
      </w:r>
    </w:p>
    <w:p w:rsidR="00726F0B" w:rsidRPr="00881BD2" w:rsidRDefault="00726F0B" w:rsidP="001E4453">
      <w:pPr>
        <w:pStyle w:val="TableFooter"/>
        <w:keepNext/>
        <w:keepLines/>
        <w:ind w:left="993" w:hanging="284"/>
        <w:rPr>
          <w:szCs w:val="22"/>
        </w:rPr>
      </w:pPr>
      <w:r w:rsidRPr="003D6571">
        <w:t xml:space="preserve">c – </w:t>
      </w:r>
      <w:proofErr w:type="gramStart"/>
      <w:r w:rsidRPr="003D6571">
        <w:t>including</w:t>
      </w:r>
      <w:proofErr w:type="gramEnd"/>
      <w:r w:rsidRPr="003D6571">
        <w:t xml:space="preserve"> </w:t>
      </w:r>
      <w:r w:rsidR="005079C4">
        <w:rPr>
          <w:noProof/>
          <w:color w:val="000000"/>
          <w:highlight w:val="black"/>
        </w:rPr>
        <w:t>''''''</w:t>
      </w:r>
      <w:r w:rsidRPr="003D6571">
        <w:t>% price re</w:t>
      </w:r>
      <w:r w:rsidR="00301758" w:rsidRPr="003D6571">
        <w:t>bate</w:t>
      </w:r>
    </w:p>
    <w:p w:rsidR="00565EF4" w:rsidRPr="00881BD2" w:rsidRDefault="00565EF4" w:rsidP="001E4453">
      <w:pPr>
        <w:pStyle w:val="ListParagraph"/>
        <w:widowControl/>
        <w:rPr>
          <w:szCs w:val="22"/>
        </w:rPr>
      </w:pPr>
    </w:p>
    <w:p w:rsidR="007657D4" w:rsidRDefault="007657D4" w:rsidP="006305C9">
      <w:pPr>
        <w:pStyle w:val="ListParagraph"/>
        <w:keepNext/>
        <w:keepLines/>
        <w:widowControl/>
        <w:numPr>
          <w:ilvl w:val="1"/>
          <w:numId w:val="15"/>
        </w:numPr>
        <w:rPr>
          <w:szCs w:val="22"/>
        </w:rPr>
      </w:pPr>
      <w:r>
        <w:rPr>
          <w:szCs w:val="22"/>
        </w:rPr>
        <w:lastRenderedPageBreak/>
        <w:t>The estimated extent of use was less than 1</w:t>
      </w:r>
      <w:r w:rsidR="003D6571">
        <w:rPr>
          <w:szCs w:val="22"/>
        </w:rPr>
        <w:t>0,</w:t>
      </w:r>
      <w:r>
        <w:rPr>
          <w:szCs w:val="22"/>
        </w:rPr>
        <w:t xml:space="preserve">000 patients treated per year. The estimated total net cost in the resubmission was $10 - $20 million per year. </w:t>
      </w:r>
    </w:p>
    <w:p w:rsidR="007657D4" w:rsidRPr="007657D4" w:rsidRDefault="007657D4" w:rsidP="007657D4">
      <w:pPr>
        <w:pStyle w:val="ListParagraph"/>
        <w:keepNext/>
        <w:keepLines/>
        <w:widowControl/>
        <w:rPr>
          <w:szCs w:val="22"/>
        </w:rPr>
      </w:pPr>
    </w:p>
    <w:p w:rsidR="0001147B" w:rsidRPr="000A1967" w:rsidRDefault="00726F0B" w:rsidP="006305C9">
      <w:pPr>
        <w:pStyle w:val="ListParagraph"/>
        <w:keepNext/>
        <w:keepLines/>
        <w:widowControl/>
        <w:numPr>
          <w:ilvl w:val="1"/>
          <w:numId w:val="15"/>
        </w:numPr>
        <w:rPr>
          <w:szCs w:val="22"/>
        </w:rPr>
      </w:pPr>
      <w:r w:rsidRPr="00881BD2">
        <w:t xml:space="preserve">The estimated </w:t>
      </w:r>
      <w:r w:rsidR="00565EF4" w:rsidRPr="00881BD2">
        <w:t xml:space="preserve">script </w:t>
      </w:r>
      <w:r w:rsidRPr="00881BD2">
        <w:t xml:space="preserve">numbers did not account for the possibility of market growth or leakage outside the proposed restriction, therefore the actual financial impacts </w:t>
      </w:r>
      <w:r w:rsidR="00012978" w:rsidRPr="00881BD2">
        <w:t xml:space="preserve">could </w:t>
      </w:r>
      <w:r w:rsidRPr="00881BD2">
        <w:t xml:space="preserve">be higher than projected. </w:t>
      </w:r>
      <w:r w:rsidR="0001147B" w:rsidRPr="0001147B">
        <w:t>Other assumptions used to estimate patient numbers (e.g. uptake rate or delay in the ‘watch and wait’ tr</w:t>
      </w:r>
      <w:r w:rsidR="00437C2C">
        <w:t>eatment strategy) were also non</w:t>
      </w:r>
      <w:r w:rsidR="00437C2C">
        <w:noBreakHyphen/>
      </w:r>
      <w:r w:rsidR="0001147B" w:rsidRPr="0001147B">
        <w:t xml:space="preserve">conservative and therefore the cost of listing </w:t>
      </w:r>
      <w:proofErr w:type="spellStart"/>
      <w:r w:rsidR="0001147B" w:rsidRPr="0001147B">
        <w:t>obinutuzumab</w:t>
      </w:r>
      <w:proofErr w:type="spellEnd"/>
      <w:r w:rsidR="0001147B" w:rsidRPr="0001147B">
        <w:t xml:space="preserve"> may be considerably higher than estimated in the submission.</w:t>
      </w:r>
      <w:r w:rsidR="00FD49E1">
        <w:t xml:space="preserve"> </w:t>
      </w:r>
      <w:r w:rsidR="0001147B">
        <w:t>Further</w:t>
      </w:r>
      <w:r w:rsidRPr="00881BD2">
        <w:t xml:space="preserve">, the listing of rituximab in combination with chemotherapy in CLL from 1 December 2014 </w:t>
      </w:r>
      <w:r w:rsidR="00012978" w:rsidRPr="00881BD2">
        <w:t xml:space="preserve">could </w:t>
      </w:r>
      <w:r w:rsidRPr="00881BD2">
        <w:t xml:space="preserve">affect </w:t>
      </w:r>
      <w:r w:rsidR="003153E6">
        <w:t xml:space="preserve">the </w:t>
      </w:r>
      <w:r w:rsidRPr="00881BD2">
        <w:t xml:space="preserve">market share of CLL drugs, thus limiting the reliability of </w:t>
      </w:r>
      <w:r w:rsidR="003153E6">
        <w:t>the</w:t>
      </w:r>
      <w:r w:rsidRPr="00881BD2">
        <w:t xml:space="preserve"> estimates</w:t>
      </w:r>
      <w:r w:rsidR="0001147B">
        <w:t>.</w:t>
      </w:r>
    </w:p>
    <w:p w:rsidR="007357E3" w:rsidRDefault="007357E3" w:rsidP="002C2CE8">
      <w:pPr>
        <w:pStyle w:val="ListParagraph"/>
        <w:widowControl/>
        <w:rPr>
          <w:szCs w:val="22"/>
        </w:rPr>
      </w:pPr>
    </w:p>
    <w:p w:rsidR="00726F0B" w:rsidRPr="00F9299D" w:rsidRDefault="00726F0B" w:rsidP="00E000AD">
      <w:pPr>
        <w:pStyle w:val="Heading2"/>
        <w:keepNext/>
        <w:keepLines/>
      </w:pPr>
      <w:bookmarkStart w:id="16" w:name="_Toc409532712"/>
      <w:r w:rsidRPr="00F9299D">
        <w:t>Quality Use of Medicines</w:t>
      </w:r>
      <w:bookmarkEnd w:id="16"/>
    </w:p>
    <w:p w:rsidR="00726F0B" w:rsidRPr="00881BD2" w:rsidRDefault="00726F0B" w:rsidP="00E000AD">
      <w:pPr>
        <w:keepNext/>
        <w:keepLines/>
        <w:widowControl/>
        <w:rPr>
          <w:szCs w:val="22"/>
        </w:rPr>
      </w:pPr>
    </w:p>
    <w:p w:rsidR="00726F0B" w:rsidRPr="00881BD2" w:rsidRDefault="00726F0B" w:rsidP="00E000AD">
      <w:pPr>
        <w:pStyle w:val="ListParagraph"/>
        <w:keepNext/>
        <w:keepLines/>
        <w:widowControl/>
        <w:numPr>
          <w:ilvl w:val="1"/>
          <w:numId w:val="15"/>
        </w:numPr>
      </w:pPr>
      <w:r w:rsidRPr="00881BD2">
        <w:t xml:space="preserve">As in the previous submission, the </w:t>
      </w:r>
      <w:r w:rsidR="00960676" w:rsidRPr="00881BD2">
        <w:t>re-submission</w:t>
      </w:r>
      <w:r w:rsidRPr="00881BD2">
        <w:t xml:space="preserve"> discussed the Risk Management Plan approved by the TGA, as well as the potential for off-label use.</w:t>
      </w:r>
    </w:p>
    <w:p w:rsidR="00726F0B" w:rsidRPr="00881BD2" w:rsidRDefault="00726F0B" w:rsidP="00726F0B">
      <w:pPr>
        <w:widowControl/>
        <w:rPr>
          <w:szCs w:val="22"/>
        </w:rPr>
      </w:pPr>
    </w:p>
    <w:p w:rsidR="00726F0B" w:rsidRPr="00F9299D" w:rsidRDefault="00726F0B" w:rsidP="00726F0B">
      <w:pPr>
        <w:pStyle w:val="Heading2"/>
        <w:rPr>
          <w:szCs w:val="22"/>
        </w:rPr>
      </w:pPr>
      <w:bookmarkStart w:id="17" w:name="_Toc409532713"/>
      <w:r w:rsidRPr="00F9299D">
        <w:t>Financial Management – Risk Sharing Arrangements</w:t>
      </w:r>
      <w:bookmarkEnd w:id="17"/>
    </w:p>
    <w:p w:rsidR="00726F0B" w:rsidRPr="00881BD2" w:rsidRDefault="00726F0B" w:rsidP="00726F0B">
      <w:pPr>
        <w:widowControl/>
        <w:rPr>
          <w:szCs w:val="22"/>
        </w:rPr>
      </w:pPr>
    </w:p>
    <w:p w:rsidR="00C974A5" w:rsidRPr="00D80E9F" w:rsidRDefault="00726F0B" w:rsidP="006305C9">
      <w:pPr>
        <w:pStyle w:val="ListParagraph"/>
        <w:keepNext/>
        <w:keepLines/>
        <w:widowControl/>
        <w:numPr>
          <w:ilvl w:val="1"/>
          <w:numId w:val="15"/>
        </w:numPr>
        <w:rPr>
          <w:szCs w:val="22"/>
        </w:rPr>
      </w:pPr>
      <w:r w:rsidRPr="00881BD2">
        <w:rPr>
          <w:szCs w:val="22"/>
        </w:rPr>
        <w:t xml:space="preserve">The </w:t>
      </w:r>
      <w:r w:rsidR="00960676" w:rsidRPr="00881BD2">
        <w:rPr>
          <w:szCs w:val="22"/>
        </w:rPr>
        <w:t>re-submission</w:t>
      </w:r>
      <w:r w:rsidRPr="00881BD2">
        <w:rPr>
          <w:szCs w:val="22"/>
        </w:rPr>
        <w:t xml:space="preserve"> proposed subsidisation </w:t>
      </w:r>
      <w:r w:rsidR="003153E6" w:rsidRPr="00881BD2">
        <w:rPr>
          <w:szCs w:val="22"/>
        </w:rPr>
        <w:t>caps that</w:t>
      </w:r>
      <w:r w:rsidRPr="00881BD2">
        <w:rPr>
          <w:szCs w:val="22"/>
        </w:rPr>
        <w:t xml:space="preserve"> if reached, would trigger a price rebate and would reduce the price of </w:t>
      </w:r>
      <w:proofErr w:type="spellStart"/>
      <w:r w:rsidRPr="00881BD2">
        <w:rPr>
          <w:szCs w:val="22"/>
        </w:rPr>
        <w:t>obinutuzumab</w:t>
      </w:r>
      <w:proofErr w:type="spellEnd"/>
      <w:r w:rsidRPr="00881BD2">
        <w:rPr>
          <w:szCs w:val="22"/>
        </w:rPr>
        <w:t xml:space="preserve"> </w:t>
      </w:r>
      <w:r w:rsidR="005079C4">
        <w:rPr>
          <w:noProof/>
          <w:color w:val="000000"/>
          <w:szCs w:val="22"/>
          <w:highlight w:val="black"/>
        </w:rPr>
        <w:t>'''' '''''''' ''''''''''' ''''' ''''''''''''''''''''''' '''''''''' ''''''''''''''''''''''''''''''''</w:t>
      </w:r>
      <w:r w:rsidRPr="00881BD2">
        <w:rPr>
          <w:szCs w:val="22"/>
        </w:rPr>
        <w:t xml:space="preserve">. The caps were increased from the previous submission. The </w:t>
      </w:r>
      <w:r w:rsidR="00960676" w:rsidRPr="00881BD2">
        <w:rPr>
          <w:szCs w:val="22"/>
        </w:rPr>
        <w:t>re-</w:t>
      </w:r>
      <w:r w:rsidR="00960676" w:rsidRPr="00D80E9F">
        <w:rPr>
          <w:szCs w:val="22"/>
        </w:rPr>
        <w:t>submission</w:t>
      </w:r>
      <w:r w:rsidRPr="00D80E9F">
        <w:rPr>
          <w:szCs w:val="22"/>
        </w:rPr>
        <w:t xml:space="preserve"> maintained the proposed </w:t>
      </w:r>
      <w:r w:rsidR="005079C4">
        <w:rPr>
          <w:noProof/>
          <w:color w:val="000000"/>
          <w:szCs w:val="22"/>
          <w:highlight w:val="black"/>
        </w:rPr>
        <w:t>'''''</w:t>
      </w:r>
      <w:r w:rsidRPr="007C45E4">
        <w:rPr>
          <w:szCs w:val="22"/>
        </w:rPr>
        <w:t>%</w:t>
      </w:r>
      <w:r w:rsidRPr="00D80E9F">
        <w:rPr>
          <w:szCs w:val="22"/>
        </w:rPr>
        <w:t xml:space="preserve"> rebate on the ex-manufacturer price to the Government.</w:t>
      </w:r>
    </w:p>
    <w:p w:rsidR="00C974A5" w:rsidRPr="00D80E9F" w:rsidRDefault="00C974A5" w:rsidP="002C2CE8">
      <w:pPr>
        <w:pStyle w:val="ListParagraph"/>
      </w:pPr>
    </w:p>
    <w:p w:rsidR="00E000AD" w:rsidRPr="00D80E9F" w:rsidRDefault="00E000AD" w:rsidP="00E000AD">
      <w:pPr>
        <w:pStyle w:val="ListParagraph"/>
        <w:keepNext/>
        <w:keepLines/>
        <w:widowControl/>
        <w:numPr>
          <w:ilvl w:val="1"/>
          <w:numId w:val="15"/>
        </w:numPr>
        <w:rPr>
          <w:szCs w:val="22"/>
        </w:rPr>
      </w:pPr>
      <w:r w:rsidRPr="00D80E9F">
        <w:rPr>
          <w:szCs w:val="22"/>
        </w:rPr>
        <w:t xml:space="preserve">The PBAC recalled that in its July 2014 consideration of </w:t>
      </w:r>
      <w:proofErr w:type="spellStart"/>
      <w:r w:rsidRPr="00D80E9F">
        <w:rPr>
          <w:szCs w:val="22"/>
        </w:rPr>
        <w:t>obinutuzumab</w:t>
      </w:r>
      <w:proofErr w:type="spellEnd"/>
      <w:r w:rsidRPr="00D80E9F">
        <w:rPr>
          <w:szCs w:val="22"/>
        </w:rPr>
        <w:t xml:space="preserve">, it had considered that it was </w:t>
      </w:r>
    </w:p>
    <w:p w:rsidR="00E000AD" w:rsidRPr="00D80E9F" w:rsidRDefault="00E000AD" w:rsidP="00E000AD">
      <w:pPr>
        <w:pStyle w:val="ListParagraph"/>
        <w:widowControl/>
        <w:ind w:left="1134"/>
        <w:rPr>
          <w:szCs w:val="22"/>
        </w:rPr>
      </w:pPr>
      <w:r w:rsidRPr="00D80E9F">
        <w:rPr>
          <w:szCs w:val="22"/>
        </w:rPr>
        <w:t>‘</w:t>
      </w:r>
      <w:proofErr w:type="gramStart"/>
      <w:r w:rsidRPr="00D80E9F">
        <w:rPr>
          <w:szCs w:val="22"/>
        </w:rPr>
        <w:t>difficult</w:t>
      </w:r>
      <w:proofErr w:type="gramEnd"/>
      <w:r w:rsidRPr="00D80E9F">
        <w:rPr>
          <w:szCs w:val="22"/>
        </w:rPr>
        <w:t xml:space="preserve"> to reliably estimate the number of patients who are likely to use </w:t>
      </w:r>
      <w:proofErr w:type="spellStart"/>
      <w:r w:rsidRPr="00D80E9F">
        <w:rPr>
          <w:szCs w:val="22"/>
        </w:rPr>
        <w:t>obinutuzumab</w:t>
      </w:r>
      <w:proofErr w:type="spellEnd"/>
      <w:r w:rsidRPr="00D80E9F">
        <w:rPr>
          <w:szCs w:val="22"/>
        </w:rPr>
        <w:t xml:space="preserve">. In particular the PBAC considered that there was a risk of use of the drug outside the intended restriction, and agreed with the DUSC that there is potential for retreatment with </w:t>
      </w:r>
      <w:proofErr w:type="spellStart"/>
      <w:r w:rsidRPr="00D80E9F">
        <w:rPr>
          <w:szCs w:val="22"/>
        </w:rPr>
        <w:t>obinutuzumab</w:t>
      </w:r>
      <w:proofErr w:type="spellEnd"/>
      <w:r w:rsidRPr="00D80E9F">
        <w:rPr>
          <w:szCs w:val="22"/>
        </w:rPr>
        <w:t xml:space="preserve">, and potential for use after relapse or progression on other treatments’. </w:t>
      </w:r>
    </w:p>
    <w:p w:rsidR="00E000AD" w:rsidRPr="00D80E9F" w:rsidRDefault="00E000AD" w:rsidP="00E000AD">
      <w:pPr>
        <w:pStyle w:val="ListParagraph"/>
        <w:widowControl/>
        <w:ind w:left="1134"/>
        <w:rPr>
          <w:szCs w:val="22"/>
        </w:rPr>
      </w:pPr>
    </w:p>
    <w:p w:rsidR="00E000AD" w:rsidRPr="00D80E9F" w:rsidRDefault="00E000AD" w:rsidP="00E000AD">
      <w:pPr>
        <w:pStyle w:val="ListParagraph"/>
        <w:widowControl/>
        <w:ind w:left="1134"/>
        <w:rPr>
          <w:szCs w:val="22"/>
        </w:rPr>
      </w:pPr>
      <w:r w:rsidRPr="00D80E9F">
        <w:rPr>
          <w:szCs w:val="22"/>
        </w:rPr>
        <w:t xml:space="preserve">‘Further, in light of the uncertain patient numbers and the risk of use of </w:t>
      </w:r>
      <w:proofErr w:type="spellStart"/>
      <w:r w:rsidRPr="00D80E9F">
        <w:rPr>
          <w:szCs w:val="22"/>
        </w:rPr>
        <w:t>obinutuzumab</w:t>
      </w:r>
      <w:proofErr w:type="spellEnd"/>
      <w:r w:rsidRPr="00D80E9F">
        <w:rPr>
          <w:szCs w:val="22"/>
        </w:rPr>
        <w:t xml:space="preserve"> outside the requested restriction, the PBAC pre-empted that a risk-sharing arrangement would be required should </w:t>
      </w:r>
      <w:proofErr w:type="spellStart"/>
      <w:r w:rsidRPr="00D80E9F">
        <w:rPr>
          <w:szCs w:val="22"/>
        </w:rPr>
        <w:t>obinutuzumab</w:t>
      </w:r>
      <w:proofErr w:type="spellEnd"/>
      <w:r w:rsidRPr="00D80E9F">
        <w:rPr>
          <w:szCs w:val="22"/>
        </w:rPr>
        <w:t xml:space="preserve"> be recommended for listing in the future. The PBAC considered that </w:t>
      </w:r>
      <w:r w:rsidR="005079C4">
        <w:rPr>
          <w:noProof/>
          <w:color w:val="000000"/>
          <w:szCs w:val="22"/>
          <w:highlight w:val="black"/>
        </w:rPr>
        <w:t>''' '''''''''' ''''''''' '''''''''''''' '''''' '''''''''''''''''''''' ''''''''''' ''''''' ''''''''''''' ''''' '''''''''''''''''''''''''''''' ''''' ''''''''''''' ''''' ''''''' '''''''''''' ''''' '''''''' '''''''''''''''''''' '''''''''''''''''''''''''' '''''''''''''''''''''''' '''''''''' '''''''''''''' '''''''''''''''''''''''''''''' '''''' '''''''''''''''''''''''''''' ''''''''''' ''''''''''''''''''''' ''' '''''''''''''''''''''' '''' ''''''''''''' '''' '''''''' ''''''''''''''''''' '''''''''''''''' ''''''' '''''''''' '''''' ''''''''''''''''''''''''</w:t>
      </w:r>
      <w:r w:rsidRPr="00D80E9F">
        <w:rPr>
          <w:szCs w:val="22"/>
        </w:rPr>
        <w:t xml:space="preserve"> (Paragraphs 7.19 and 7.21, July 2014 Minutes, </w:t>
      </w:r>
      <w:proofErr w:type="spellStart"/>
      <w:r w:rsidRPr="00D80E9F">
        <w:rPr>
          <w:szCs w:val="22"/>
        </w:rPr>
        <w:t>obinutuzumab</w:t>
      </w:r>
      <w:proofErr w:type="spellEnd"/>
      <w:r w:rsidRPr="00D80E9F">
        <w:rPr>
          <w:szCs w:val="22"/>
        </w:rPr>
        <w:t>).</w:t>
      </w:r>
      <w:bookmarkStart w:id="18" w:name="_GoBack"/>
      <w:bookmarkEnd w:id="18"/>
    </w:p>
    <w:p w:rsidR="00E000AD" w:rsidRPr="00D80E9F" w:rsidRDefault="00E000AD" w:rsidP="00E000AD">
      <w:pPr>
        <w:pStyle w:val="ListParagraph"/>
        <w:widowControl/>
        <w:rPr>
          <w:szCs w:val="22"/>
        </w:rPr>
      </w:pPr>
    </w:p>
    <w:p w:rsidR="00E000AD" w:rsidRPr="00D80E9F" w:rsidRDefault="00E000AD" w:rsidP="00E000AD">
      <w:pPr>
        <w:pStyle w:val="ListParagraph"/>
        <w:keepNext/>
        <w:keepLines/>
        <w:widowControl/>
        <w:numPr>
          <w:ilvl w:val="1"/>
          <w:numId w:val="15"/>
        </w:numPr>
        <w:rPr>
          <w:szCs w:val="22"/>
        </w:rPr>
      </w:pPr>
      <w:r w:rsidRPr="00D80E9F">
        <w:rPr>
          <w:szCs w:val="22"/>
        </w:rPr>
        <w:t>The PBAC considered, among other matters, that its assessment that the cost</w:t>
      </w:r>
      <w:r w:rsidRPr="00D80E9F">
        <w:rPr>
          <w:szCs w:val="22"/>
        </w:rPr>
        <w:noBreakHyphen/>
        <w:t xml:space="preserve">effectiveness of </w:t>
      </w:r>
      <w:proofErr w:type="spellStart"/>
      <w:r w:rsidRPr="00D80E9F">
        <w:rPr>
          <w:szCs w:val="22"/>
        </w:rPr>
        <w:t>obinutuzumab</w:t>
      </w:r>
      <w:proofErr w:type="spellEnd"/>
      <w:r w:rsidRPr="00D80E9F">
        <w:rPr>
          <w:szCs w:val="22"/>
        </w:rPr>
        <w:t xml:space="preserve"> would be acceptable if the measures below were implemented to manage any unexpected financial impact given the uncertain patient numbers:</w:t>
      </w:r>
    </w:p>
    <w:p w:rsidR="00E000AD" w:rsidRPr="00D80E9F" w:rsidRDefault="00E000AD" w:rsidP="00E000AD">
      <w:pPr>
        <w:pStyle w:val="ListParagraph"/>
        <w:widowControl/>
        <w:numPr>
          <w:ilvl w:val="0"/>
          <w:numId w:val="22"/>
        </w:numPr>
        <w:rPr>
          <w:szCs w:val="22"/>
        </w:rPr>
      </w:pPr>
      <w:r w:rsidRPr="00D80E9F">
        <w:rPr>
          <w:szCs w:val="22"/>
        </w:rPr>
        <w:t>A Risk Sharing Arrangement (RSA) between the sponsor and the Government;</w:t>
      </w:r>
    </w:p>
    <w:p w:rsidR="00E000AD" w:rsidRPr="00D80E9F" w:rsidRDefault="00E000AD" w:rsidP="00E000AD">
      <w:pPr>
        <w:pStyle w:val="ListParagraph"/>
        <w:widowControl/>
        <w:numPr>
          <w:ilvl w:val="0"/>
          <w:numId w:val="22"/>
        </w:numPr>
        <w:rPr>
          <w:szCs w:val="22"/>
        </w:rPr>
      </w:pPr>
      <w:r w:rsidRPr="00D80E9F">
        <w:rPr>
          <w:szCs w:val="22"/>
        </w:rPr>
        <w:t xml:space="preserve">The RSA should include a </w:t>
      </w:r>
      <w:r w:rsidR="005079C4">
        <w:rPr>
          <w:noProof/>
          <w:color w:val="000000"/>
          <w:szCs w:val="22"/>
          <w:highlight w:val="black"/>
        </w:rPr>
        <w:t xml:space="preserve">'''''''''''' '''''''''' '''''''''''''' ''''''' ''''''' '''''''''''''''''''''''''''''''''''' ''''''''''''''''''''' ''''' '''''''''''''''' ''''' ''''''''''' '''''''''''''' ''''''' '''''''''''''''' '''''''''' ''''''''''''' '''''''''''''''''''' '''''''''''''''''''' ''''' ''''''''''''''' '''''' ''''''''''''' '''''''''''' '''''' ''''''''''''' ''''''''''' ''''''''''''''''' ''''''''' ''''''''''''''''' '''' ''''' '''''''' '''''''''''''''''''''''''''''''''' </w:t>
      </w:r>
      <w:r w:rsidR="005079C4">
        <w:rPr>
          <w:noProof/>
          <w:color w:val="000000"/>
          <w:szCs w:val="22"/>
          <w:highlight w:val="black"/>
        </w:rPr>
        <w:lastRenderedPageBreak/>
        <w:t>'''''''''' ''''''' ''''''''''' '''' ''''''''''''''''''''''''''''''''' ''''' ''''''''''''' ''''' '''''''' '''''''''''''''''' '''''''''''' ''''' '''''''''''''''''''' '''''' '''''''''''''''''' '''''''''''' ''''''''''''''''' ''''''' ''''''''' ''''' ''''''''''''''''''''''''</w:t>
      </w:r>
    </w:p>
    <w:p w:rsidR="00E000AD" w:rsidRPr="0001147B" w:rsidRDefault="00E000AD" w:rsidP="00E000AD">
      <w:pPr>
        <w:pStyle w:val="ListParagraph"/>
        <w:widowControl/>
        <w:rPr>
          <w:szCs w:val="22"/>
        </w:rPr>
      </w:pPr>
      <w:r>
        <w:rPr>
          <w:szCs w:val="22"/>
        </w:rPr>
        <w:t xml:space="preserve"> </w:t>
      </w:r>
    </w:p>
    <w:p w:rsidR="00623E0F" w:rsidRPr="00881BD2" w:rsidRDefault="00623E0F" w:rsidP="002C2CE8">
      <w:pPr>
        <w:pStyle w:val="ListParagraph"/>
      </w:pPr>
    </w:p>
    <w:p w:rsidR="00C974A5" w:rsidRPr="002C2CE8" w:rsidRDefault="00347983" w:rsidP="00521D40">
      <w:pPr>
        <w:pStyle w:val="PBACHeading1"/>
      </w:pPr>
      <w:r w:rsidRPr="002C2CE8">
        <w:t>PBAC Outcome</w:t>
      </w:r>
    </w:p>
    <w:p w:rsidR="002D0134" w:rsidRPr="002C2CE8" w:rsidRDefault="002D0134" w:rsidP="00F0100F">
      <w:pPr>
        <w:pStyle w:val="ListParagraph"/>
        <w:keepNext/>
        <w:keepLines/>
        <w:widowControl/>
      </w:pPr>
    </w:p>
    <w:p w:rsidR="002D0134" w:rsidRPr="002C2CE8" w:rsidRDefault="00347983" w:rsidP="00F0100F">
      <w:pPr>
        <w:pStyle w:val="ListParagraph"/>
        <w:keepNext/>
        <w:keepLines/>
        <w:widowControl/>
        <w:numPr>
          <w:ilvl w:val="1"/>
          <w:numId w:val="32"/>
        </w:numPr>
      </w:pPr>
      <w:r w:rsidRPr="002C2CE8">
        <w:rPr>
          <w:bCs/>
          <w:szCs w:val="22"/>
          <w:lang w:val="en-GB"/>
        </w:rPr>
        <w:t xml:space="preserve">The PBAC recommended the listing of </w:t>
      </w:r>
      <w:proofErr w:type="spellStart"/>
      <w:r w:rsidRPr="00F0100F">
        <w:rPr>
          <w:bCs/>
          <w:szCs w:val="22"/>
          <w:lang w:val="en-GB"/>
        </w:rPr>
        <w:t>obinutuzumab</w:t>
      </w:r>
      <w:proofErr w:type="spellEnd"/>
      <w:r w:rsidR="000673EF" w:rsidRPr="00F0100F">
        <w:rPr>
          <w:bCs/>
          <w:szCs w:val="22"/>
          <w:lang w:val="en-GB"/>
        </w:rPr>
        <w:t xml:space="preserve"> </w:t>
      </w:r>
      <w:r w:rsidR="008E4D9F" w:rsidRPr="00F0100F">
        <w:rPr>
          <w:bCs/>
          <w:szCs w:val="22"/>
          <w:lang w:val="en-GB"/>
        </w:rPr>
        <w:t xml:space="preserve">on the PBS for the treatment of CLL in patients with comorbidities </w:t>
      </w:r>
      <w:r w:rsidRPr="00F0100F">
        <w:rPr>
          <w:bCs/>
          <w:szCs w:val="22"/>
          <w:lang w:val="en-GB"/>
        </w:rPr>
        <w:t xml:space="preserve">on the basis that it should be available </w:t>
      </w:r>
      <w:r w:rsidR="00E941A7" w:rsidRPr="00F0100F">
        <w:rPr>
          <w:bCs/>
          <w:szCs w:val="22"/>
          <w:lang w:val="en-GB"/>
        </w:rPr>
        <w:t xml:space="preserve">only under special arrangements </w:t>
      </w:r>
      <w:r w:rsidRPr="00F0100F">
        <w:rPr>
          <w:bCs/>
          <w:szCs w:val="22"/>
          <w:lang w:val="en-GB"/>
        </w:rPr>
        <w:t>under Section 100</w:t>
      </w:r>
      <w:r w:rsidR="004D4EFF" w:rsidRPr="00F0100F">
        <w:rPr>
          <w:bCs/>
          <w:szCs w:val="22"/>
          <w:lang w:val="en-GB"/>
        </w:rPr>
        <w:t xml:space="preserve">. </w:t>
      </w:r>
      <w:r w:rsidR="008E4D9F" w:rsidRPr="00F0100F">
        <w:rPr>
          <w:bCs/>
          <w:szCs w:val="22"/>
          <w:lang w:val="en-GB"/>
        </w:rPr>
        <w:t>The PBAC consider</w:t>
      </w:r>
      <w:r w:rsidRPr="00F0100F">
        <w:rPr>
          <w:bCs/>
          <w:szCs w:val="22"/>
          <w:lang w:val="en-GB"/>
        </w:rPr>
        <w:t xml:space="preserve">ed </w:t>
      </w:r>
      <w:r w:rsidR="00A06F66" w:rsidRPr="00F0100F">
        <w:rPr>
          <w:bCs/>
          <w:szCs w:val="22"/>
          <w:lang w:val="en-GB"/>
        </w:rPr>
        <w:t>that</w:t>
      </w:r>
      <w:r w:rsidR="00E941A7" w:rsidRPr="00F0100F">
        <w:rPr>
          <w:bCs/>
          <w:szCs w:val="22"/>
          <w:lang w:val="en-GB"/>
        </w:rPr>
        <w:t xml:space="preserve"> a</w:t>
      </w:r>
      <w:r w:rsidR="003F5649" w:rsidRPr="00F0100F">
        <w:rPr>
          <w:bCs/>
          <w:szCs w:val="22"/>
          <w:lang w:val="en-GB"/>
        </w:rPr>
        <w:t xml:space="preserve"> written</w:t>
      </w:r>
      <w:r w:rsidR="00E941A7" w:rsidRPr="00F0100F">
        <w:rPr>
          <w:bCs/>
          <w:szCs w:val="22"/>
          <w:lang w:val="en-GB"/>
        </w:rPr>
        <w:t xml:space="preserve"> </w:t>
      </w:r>
      <w:r w:rsidR="008E4D9F" w:rsidRPr="00F0100F">
        <w:rPr>
          <w:bCs/>
          <w:szCs w:val="22"/>
          <w:lang w:val="en-GB"/>
        </w:rPr>
        <w:t>authority</w:t>
      </w:r>
      <w:r w:rsidR="00E941A7" w:rsidRPr="00F0100F">
        <w:rPr>
          <w:bCs/>
          <w:szCs w:val="22"/>
          <w:lang w:val="en-GB"/>
        </w:rPr>
        <w:t xml:space="preserve"> listing</w:t>
      </w:r>
      <w:r w:rsidR="00A06F66" w:rsidRPr="00F0100F">
        <w:rPr>
          <w:bCs/>
          <w:szCs w:val="22"/>
          <w:lang w:val="en-GB"/>
        </w:rPr>
        <w:t xml:space="preserve"> would </w:t>
      </w:r>
      <w:r w:rsidR="00176C8D" w:rsidRPr="00F0100F">
        <w:rPr>
          <w:bCs/>
          <w:szCs w:val="22"/>
          <w:lang w:val="en-GB"/>
        </w:rPr>
        <w:t xml:space="preserve">be appropriate for </w:t>
      </w:r>
      <w:proofErr w:type="spellStart"/>
      <w:r w:rsidR="00176C8D" w:rsidRPr="00F0100F">
        <w:rPr>
          <w:bCs/>
          <w:szCs w:val="22"/>
          <w:lang w:val="en-GB"/>
        </w:rPr>
        <w:t>obinutuzumab</w:t>
      </w:r>
      <w:proofErr w:type="spellEnd"/>
      <w:r w:rsidR="00AB69A8">
        <w:rPr>
          <w:rStyle w:val="CommentReference"/>
          <w:rFonts w:cs="Times New Roman"/>
        </w:rPr>
        <w:t xml:space="preserve"> </w:t>
      </w:r>
      <w:r w:rsidR="00A06F66" w:rsidRPr="00F0100F">
        <w:rPr>
          <w:bCs/>
          <w:szCs w:val="22"/>
          <w:lang w:val="en-GB"/>
        </w:rPr>
        <w:t xml:space="preserve">to </w:t>
      </w:r>
      <w:r w:rsidR="00D901BC" w:rsidRPr="00F0100F">
        <w:rPr>
          <w:bCs/>
          <w:szCs w:val="22"/>
          <w:lang w:val="en-GB"/>
        </w:rPr>
        <w:t xml:space="preserve">help </w:t>
      </w:r>
      <w:r w:rsidR="00A06F66" w:rsidRPr="00F0100F">
        <w:rPr>
          <w:bCs/>
          <w:szCs w:val="22"/>
          <w:lang w:val="en-GB"/>
        </w:rPr>
        <w:t xml:space="preserve">prevent </w:t>
      </w:r>
      <w:r w:rsidR="00C44FAB" w:rsidRPr="00F0100F">
        <w:rPr>
          <w:bCs/>
          <w:szCs w:val="22"/>
          <w:lang w:val="en-GB"/>
        </w:rPr>
        <w:t>usage</w:t>
      </w:r>
      <w:r w:rsidR="00A06F66" w:rsidRPr="00F0100F">
        <w:rPr>
          <w:bCs/>
          <w:szCs w:val="22"/>
          <w:lang w:val="en-GB"/>
        </w:rPr>
        <w:t xml:space="preserve"> </w:t>
      </w:r>
      <w:r w:rsidR="003048C1" w:rsidRPr="00F0100F">
        <w:rPr>
          <w:bCs/>
          <w:szCs w:val="22"/>
          <w:lang w:val="en-GB"/>
        </w:rPr>
        <w:t xml:space="preserve">beyond the population in whom the comparative effectiveness and cost-effectiveness of the drug </w:t>
      </w:r>
      <w:r w:rsidR="00C44FAB" w:rsidRPr="00F0100F">
        <w:rPr>
          <w:bCs/>
          <w:szCs w:val="22"/>
          <w:lang w:val="en-GB"/>
        </w:rPr>
        <w:t>have</w:t>
      </w:r>
      <w:r w:rsidR="003048C1" w:rsidRPr="00F0100F">
        <w:rPr>
          <w:bCs/>
          <w:szCs w:val="22"/>
          <w:lang w:val="en-GB"/>
        </w:rPr>
        <w:t xml:space="preserve"> been demonstrated, </w:t>
      </w:r>
      <w:r w:rsidR="00A06F66" w:rsidRPr="00F0100F">
        <w:rPr>
          <w:bCs/>
          <w:szCs w:val="22"/>
          <w:lang w:val="en-GB"/>
        </w:rPr>
        <w:t xml:space="preserve">particularly given the </w:t>
      </w:r>
      <w:r w:rsidR="00176C8D" w:rsidRPr="00F0100F">
        <w:rPr>
          <w:bCs/>
          <w:szCs w:val="22"/>
          <w:lang w:val="en-GB"/>
        </w:rPr>
        <w:t>restriction’s use of a potentially subjective rating scale (</w:t>
      </w:r>
      <w:r w:rsidR="00A06F66" w:rsidRPr="00F0100F">
        <w:rPr>
          <w:bCs/>
          <w:szCs w:val="22"/>
          <w:lang w:val="en-GB"/>
        </w:rPr>
        <w:t>CIRS</w:t>
      </w:r>
      <w:r w:rsidR="00176C8D" w:rsidRPr="00F0100F">
        <w:rPr>
          <w:bCs/>
          <w:szCs w:val="22"/>
          <w:lang w:val="en-GB"/>
        </w:rPr>
        <w:t>)</w:t>
      </w:r>
      <w:r w:rsidR="003048C1" w:rsidRPr="00F0100F">
        <w:rPr>
          <w:bCs/>
          <w:szCs w:val="22"/>
          <w:lang w:val="en-GB"/>
        </w:rPr>
        <w:t xml:space="preserve">. </w:t>
      </w:r>
      <w:r w:rsidR="00A06F66" w:rsidRPr="00F0100F">
        <w:rPr>
          <w:bCs/>
          <w:szCs w:val="22"/>
          <w:lang w:val="en-GB"/>
        </w:rPr>
        <w:t xml:space="preserve"> </w:t>
      </w:r>
    </w:p>
    <w:p w:rsidR="002D0134" w:rsidRPr="002C2CE8" w:rsidRDefault="002D0134" w:rsidP="002C2CE8">
      <w:pPr>
        <w:rPr>
          <w:bCs/>
          <w:szCs w:val="22"/>
          <w:lang w:val="en-GB"/>
        </w:rPr>
      </w:pPr>
    </w:p>
    <w:p w:rsidR="00347983" w:rsidRPr="002C2CE8" w:rsidRDefault="00C974A5" w:rsidP="002C2CE8">
      <w:pPr>
        <w:pStyle w:val="ListParagraph"/>
        <w:widowControl/>
        <w:numPr>
          <w:ilvl w:val="1"/>
          <w:numId w:val="32"/>
        </w:numPr>
      </w:pPr>
      <w:r w:rsidRPr="002C2CE8">
        <w:rPr>
          <w:bCs/>
          <w:szCs w:val="22"/>
          <w:lang w:val="en-GB"/>
        </w:rPr>
        <w:t xml:space="preserve">The PBAC </w:t>
      </w:r>
      <w:r w:rsidR="008E4D9F">
        <w:rPr>
          <w:bCs/>
          <w:szCs w:val="22"/>
          <w:lang w:val="en-GB"/>
        </w:rPr>
        <w:t>wa</w:t>
      </w:r>
      <w:r w:rsidRPr="002C2CE8">
        <w:rPr>
          <w:bCs/>
          <w:szCs w:val="22"/>
          <w:lang w:val="en-GB"/>
        </w:rPr>
        <w:t xml:space="preserve">s satisfied that </w:t>
      </w:r>
      <w:proofErr w:type="spellStart"/>
      <w:r w:rsidRPr="002C2CE8">
        <w:rPr>
          <w:bCs/>
          <w:szCs w:val="22"/>
          <w:lang w:val="en-GB"/>
        </w:rPr>
        <w:t>obinutuzumab</w:t>
      </w:r>
      <w:proofErr w:type="spellEnd"/>
      <w:r w:rsidR="00E941A7">
        <w:rPr>
          <w:bCs/>
          <w:szCs w:val="22"/>
          <w:lang w:val="en-GB"/>
        </w:rPr>
        <w:t xml:space="preserve"> </w:t>
      </w:r>
      <w:r w:rsidR="000673EF" w:rsidRPr="002C2CE8">
        <w:rPr>
          <w:bCs/>
          <w:szCs w:val="22"/>
          <w:lang w:val="en-GB"/>
        </w:rPr>
        <w:t xml:space="preserve">in combination with chlorambucil </w:t>
      </w:r>
      <w:r w:rsidR="00347983" w:rsidRPr="002C2CE8">
        <w:rPr>
          <w:bCs/>
          <w:szCs w:val="22"/>
          <w:lang w:val="en-GB"/>
        </w:rPr>
        <w:t>provides, for some patients, a significant improvement in efficacy over</w:t>
      </w:r>
      <w:r w:rsidR="000673EF" w:rsidRPr="00201200">
        <w:rPr>
          <w:szCs w:val="22"/>
        </w:rPr>
        <w:t xml:space="preserve"> rituximab plus chlorambucil</w:t>
      </w:r>
      <w:r w:rsidR="008E4D9F">
        <w:rPr>
          <w:szCs w:val="22"/>
        </w:rPr>
        <w:t>,</w:t>
      </w:r>
      <w:r w:rsidR="000673EF" w:rsidRPr="00201200">
        <w:rPr>
          <w:szCs w:val="22"/>
        </w:rPr>
        <w:t xml:space="preserve"> and chlorambucil monotherapy.</w:t>
      </w:r>
    </w:p>
    <w:p w:rsidR="00BC0140" w:rsidRPr="002C2CE8" w:rsidRDefault="00BC0140" w:rsidP="002C2CE8">
      <w:pPr>
        <w:pStyle w:val="ListParagraph"/>
      </w:pPr>
    </w:p>
    <w:p w:rsidR="00A148E0" w:rsidRPr="00176C8D" w:rsidRDefault="00A148E0" w:rsidP="008E0EB8">
      <w:pPr>
        <w:pStyle w:val="ListParagraph"/>
        <w:numPr>
          <w:ilvl w:val="1"/>
          <w:numId w:val="32"/>
        </w:numPr>
        <w:rPr>
          <w:bCs/>
          <w:lang w:val="en-GB"/>
        </w:rPr>
      </w:pPr>
      <w:r w:rsidRPr="00176C8D">
        <w:rPr>
          <w:bCs/>
          <w:lang w:val="en-GB"/>
        </w:rPr>
        <w:t xml:space="preserve">The PBAC welcomed and noted the input received from individuals and organisations in support of the submission for </w:t>
      </w:r>
      <w:proofErr w:type="spellStart"/>
      <w:r w:rsidRPr="00176C8D">
        <w:rPr>
          <w:bCs/>
          <w:lang w:val="en-GB"/>
        </w:rPr>
        <w:t>obinutuzumab</w:t>
      </w:r>
      <w:proofErr w:type="spellEnd"/>
      <w:r w:rsidRPr="00176C8D">
        <w:rPr>
          <w:bCs/>
          <w:lang w:val="en-GB"/>
        </w:rPr>
        <w:t xml:space="preserve">. The comments highlighted that </w:t>
      </w:r>
      <w:proofErr w:type="spellStart"/>
      <w:r w:rsidRPr="00176C8D">
        <w:rPr>
          <w:bCs/>
          <w:lang w:val="en-GB"/>
        </w:rPr>
        <w:t>obinutuzumab</w:t>
      </w:r>
      <w:proofErr w:type="spellEnd"/>
      <w:r w:rsidRPr="00176C8D">
        <w:rPr>
          <w:bCs/>
          <w:lang w:val="en-GB"/>
        </w:rPr>
        <w:t xml:space="preserve"> prolongs remission</w:t>
      </w:r>
      <w:r w:rsidR="00176C8D" w:rsidRPr="00176C8D">
        <w:rPr>
          <w:bCs/>
          <w:lang w:val="en-GB"/>
        </w:rPr>
        <w:t>, provides hope</w:t>
      </w:r>
      <w:r w:rsidR="00F07035">
        <w:rPr>
          <w:bCs/>
          <w:lang w:val="en-GB"/>
        </w:rPr>
        <w:t xml:space="preserve"> and</w:t>
      </w:r>
      <w:r w:rsidR="00176C8D" w:rsidRPr="00176C8D">
        <w:rPr>
          <w:bCs/>
          <w:lang w:val="en-GB"/>
        </w:rPr>
        <w:t xml:space="preserve"> reduces </w:t>
      </w:r>
      <w:r w:rsidR="008E4D9F">
        <w:rPr>
          <w:bCs/>
          <w:lang w:val="en-GB"/>
        </w:rPr>
        <w:t xml:space="preserve">the </w:t>
      </w:r>
      <w:r w:rsidR="00176C8D" w:rsidRPr="00176C8D">
        <w:rPr>
          <w:bCs/>
          <w:lang w:val="en-GB"/>
        </w:rPr>
        <w:t>fear and anxiety</w:t>
      </w:r>
      <w:r w:rsidR="008E4D9F">
        <w:rPr>
          <w:bCs/>
          <w:lang w:val="en-GB"/>
        </w:rPr>
        <w:t xml:space="preserve"> of relapse</w:t>
      </w:r>
      <w:r w:rsidR="00176C8D" w:rsidRPr="00176C8D">
        <w:rPr>
          <w:bCs/>
          <w:lang w:val="en-GB"/>
        </w:rPr>
        <w:t>.</w:t>
      </w:r>
    </w:p>
    <w:p w:rsidR="00176C8D" w:rsidRPr="00A148E0" w:rsidRDefault="00176C8D" w:rsidP="008E0EB8">
      <w:pPr>
        <w:pStyle w:val="ListParagraph"/>
        <w:rPr>
          <w:bCs/>
          <w:lang w:val="en-GB"/>
        </w:rPr>
      </w:pPr>
    </w:p>
    <w:p w:rsidR="00B54BB2" w:rsidRDefault="00A148E0" w:rsidP="008E0EB8">
      <w:pPr>
        <w:pStyle w:val="ListParagraph"/>
        <w:numPr>
          <w:ilvl w:val="1"/>
          <w:numId w:val="32"/>
        </w:numPr>
        <w:rPr>
          <w:bCs/>
          <w:lang w:val="en-GB"/>
        </w:rPr>
      </w:pPr>
      <w:r w:rsidRPr="00A148E0">
        <w:rPr>
          <w:bCs/>
          <w:lang w:val="en-GB"/>
        </w:rPr>
        <w:t xml:space="preserve">The PBAC considered that the place in therapy proposed for </w:t>
      </w:r>
      <w:proofErr w:type="spellStart"/>
      <w:r w:rsidRPr="00A148E0">
        <w:rPr>
          <w:bCs/>
          <w:lang w:val="en-GB"/>
        </w:rPr>
        <w:t>obinutuzumab</w:t>
      </w:r>
      <w:proofErr w:type="spellEnd"/>
      <w:r w:rsidRPr="00A148E0">
        <w:rPr>
          <w:bCs/>
          <w:lang w:val="en-GB"/>
        </w:rPr>
        <w:t xml:space="preserve"> was appropriate, noting that the submission pertained to </w:t>
      </w:r>
      <w:r w:rsidR="00B54BB2">
        <w:rPr>
          <w:bCs/>
          <w:lang w:val="en-GB"/>
        </w:rPr>
        <w:t>previously untreated patients requiring therapy who are unsuitable for fludarabine-based chemo-immunotherapy, where specific criteria are met</w:t>
      </w:r>
      <w:r w:rsidR="00E941A7">
        <w:rPr>
          <w:bCs/>
          <w:lang w:val="en-GB"/>
        </w:rPr>
        <w:t>,</w:t>
      </w:r>
      <w:r w:rsidR="00B54BB2">
        <w:rPr>
          <w:bCs/>
          <w:lang w:val="en-GB"/>
        </w:rPr>
        <w:t xml:space="preserve"> including either a creatinine clearance of less than 70mL/min </w:t>
      </w:r>
      <w:r w:rsidR="000B685C">
        <w:rPr>
          <w:bCs/>
          <w:lang w:val="en-GB"/>
        </w:rPr>
        <w:t>or</w:t>
      </w:r>
      <w:r w:rsidR="00B54BB2">
        <w:rPr>
          <w:bCs/>
          <w:lang w:val="en-GB"/>
        </w:rPr>
        <w:t xml:space="preserve"> a CIRS score of greater than 6 (excluding CLL</w:t>
      </w:r>
      <w:r w:rsidR="00B54BB2">
        <w:rPr>
          <w:bCs/>
          <w:lang w:val="en-GB"/>
        </w:rPr>
        <w:noBreakHyphen/>
        <w:t>induced illness of organ damage).</w:t>
      </w:r>
    </w:p>
    <w:p w:rsidR="00B54BB2" w:rsidRPr="000A1967" w:rsidRDefault="00B54BB2" w:rsidP="008E0EB8">
      <w:pPr>
        <w:pStyle w:val="ListParagraph"/>
        <w:rPr>
          <w:bCs/>
          <w:lang w:val="en-GB"/>
        </w:rPr>
      </w:pPr>
    </w:p>
    <w:p w:rsidR="004C7F1B" w:rsidRPr="00511CA6" w:rsidRDefault="004A6CD6" w:rsidP="00E000AD">
      <w:pPr>
        <w:pStyle w:val="ListParagraph"/>
        <w:numPr>
          <w:ilvl w:val="1"/>
          <w:numId w:val="32"/>
        </w:numPr>
        <w:rPr>
          <w:bCs/>
          <w:lang w:val="en-GB"/>
        </w:rPr>
      </w:pPr>
      <w:r>
        <w:rPr>
          <w:bCs/>
          <w:lang w:val="en-GB"/>
        </w:rPr>
        <w:t>The</w:t>
      </w:r>
      <w:r w:rsidR="00E36153" w:rsidRPr="003E79C5">
        <w:rPr>
          <w:bCs/>
          <w:lang w:val="en-GB"/>
        </w:rPr>
        <w:t xml:space="preserve"> </w:t>
      </w:r>
      <w:r w:rsidR="00E36153" w:rsidRPr="00511CA6">
        <w:rPr>
          <w:bCs/>
          <w:lang w:val="en-GB"/>
        </w:rPr>
        <w:t xml:space="preserve">PBAC considered that </w:t>
      </w:r>
      <w:r w:rsidR="004C7F1B" w:rsidRPr="00511CA6">
        <w:rPr>
          <w:bCs/>
          <w:lang w:val="en-GB"/>
        </w:rPr>
        <w:t xml:space="preserve">there </w:t>
      </w:r>
      <w:r w:rsidRPr="00511CA6">
        <w:rPr>
          <w:bCs/>
          <w:lang w:val="en-GB"/>
        </w:rPr>
        <w:t>i</w:t>
      </w:r>
      <w:r w:rsidR="004C7F1B" w:rsidRPr="00511CA6">
        <w:rPr>
          <w:bCs/>
          <w:lang w:val="en-GB"/>
        </w:rPr>
        <w:t xml:space="preserve">s a high risk of usage </w:t>
      </w:r>
      <w:r w:rsidRPr="00511CA6">
        <w:rPr>
          <w:bCs/>
          <w:lang w:val="en-GB"/>
        </w:rPr>
        <w:t xml:space="preserve">of </w:t>
      </w:r>
      <w:proofErr w:type="spellStart"/>
      <w:r w:rsidRPr="00511CA6">
        <w:rPr>
          <w:bCs/>
          <w:lang w:val="en-GB"/>
        </w:rPr>
        <w:t>obinutuzumab</w:t>
      </w:r>
      <w:proofErr w:type="spellEnd"/>
      <w:r w:rsidRPr="00511CA6">
        <w:rPr>
          <w:bCs/>
          <w:lang w:val="en-GB"/>
        </w:rPr>
        <w:t xml:space="preserve"> </w:t>
      </w:r>
      <w:r w:rsidR="004C7F1B" w:rsidRPr="00511CA6">
        <w:rPr>
          <w:bCs/>
          <w:lang w:val="en-GB"/>
        </w:rPr>
        <w:t>outside the restriction</w:t>
      </w:r>
      <w:r w:rsidR="00511CA6" w:rsidRPr="00511CA6">
        <w:rPr>
          <w:bCs/>
          <w:lang w:val="en-GB"/>
        </w:rPr>
        <w:t xml:space="preserve"> and that this risk</w:t>
      </w:r>
      <w:r w:rsidR="00E000AD" w:rsidRPr="00511CA6">
        <w:rPr>
          <w:bCs/>
          <w:lang w:val="en-GB"/>
        </w:rPr>
        <w:t xml:space="preserve"> remain</w:t>
      </w:r>
      <w:r w:rsidR="00511CA6" w:rsidRPr="00511CA6">
        <w:rPr>
          <w:bCs/>
          <w:lang w:val="en-GB"/>
        </w:rPr>
        <w:t>s</w:t>
      </w:r>
      <w:r w:rsidR="00E000AD" w:rsidRPr="00511CA6">
        <w:rPr>
          <w:bCs/>
          <w:lang w:val="en-GB"/>
        </w:rPr>
        <w:t xml:space="preserve"> high, even with </w:t>
      </w:r>
      <w:r w:rsidR="00511CA6">
        <w:rPr>
          <w:bCs/>
          <w:lang w:val="en-GB"/>
        </w:rPr>
        <w:t xml:space="preserve">a </w:t>
      </w:r>
      <w:r w:rsidR="00E000AD" w:rsidRPr="00511CA6">
        <w:rPr>
          <w:bCs/>
          <w:lang w:val="en-GB"/>
        </w:rPr>
        <w:t>PBS-listed alternative</w:t>
      </w:r>
      <w:r w:rsidR="00511CA6">
        <w:rPr>
          <w:bCs/>
          <w:lang w:val="en-GB"/>
        </w:rPr>
        <w:t>/s</w:t>
      </w:r>
      <w:r w:rsidR="00E000AD" w:rsidRPr="00511CA6">
        <w:rPr>
          <w:bCs/>
          <w:lang w:val="en-GB"/>
        </w:rPr>
        <w:t xml:space="preserve"> for patients with CLL who cannot tolerate fludarabine-based regimens. </w:t>
      </w:r>
      <w:r w:rsidRPr="00511CA6">
        <w:rPr>
          <w:bCs/>
          <w:lang w:val="en-GB"/>
        </w:rPr>
        <w:t xml:space="preserve">In </w:t>
      </w:r>
      <w:r w:rsidR="00E000AD" w:rsidRPr="00511CA6">
        <w:rPr>
          <w:bCs/>
          <w:lang w:val="en-GB"/>
        </w:rPr>
        <w:t xml:space="preserve">forming this view the PBAC </w:t>
      </w:r>
      <w:r w:rsidR="00511CA6">
        <w:rPr>
          <w:bCs/>
          <w:lang w:val="en-GB"/>
        </w:rPr>
        <w:t xml:space="preserve">noted the concerns raised in </w:t>
      </w:r>
      <w:r w:rsidR="005A2F09">
        <w:rPr>
          <w:bCs/>
          <w:lang w:val="en-GB"/>
        </w:rPr>
        <w:t>P</w:t>
      </w:r>
      <w:r w:rsidR="00511CA6">
        <w:rPr>
          <w:bCs/>
          <w:lang w:val="en-GB"/>
        </w:rPr>
        <w:t xml:space="preserve">aragraph 2.4, and particularly noted </w:t>
      </w:r>
      <w:r w:rsidRPr="00511CA6">
        <w:rPr>
          <w:bCs/>
          <w:lang w:val="en-GB"/>
        </w:rPr>
        <w:t xml:space="preserve">that there is potential for patients who are ‘medically fit’ to be considered eligible for </w:t>
      </w:r>
      <w:proofErr w:type="spellStart"/>
      <w:r w:rsidRPr="00511CA6">
        <w:rPr>
          <w:bCs/>
          <w:lang w:val="en-GB"/>
        </w:rPr>
        <w:t>obinutuzumab</w:t>
      </w:r>
      <w:proofErr w:type="spellEnd"/>
      <w:r w:rsidRPr="00511CA6">
        <w:rPr>
          <w:bCs/>
          <w:lang w:val="en-GB"/>
        </w:rPr>
        <w:t xml:space="preserve"> because the CIRS involves assessments that may be subjective</w:t>
      </w:r>
      <w:r w:rsidR="00B7043D" w:rsidRPr="00511CA6">
        <w:rPr>
          <w:bCs/>
          <w:lang w:val="en-GB"/>
        </w:rPr>
        <w:t>.</w:t>
      </w:r>
      <w:r w:rsidRPr="00511CA6">
        <w:rPr>
          <w:bCs/>
          <w:lang w:val="en-GB"/>
        </w:rPr>
        <w:t xml:space="preserve"> </w:t>
      </w:r>
      <w:r w:rsidR="00B7043D" w:rsidRPr="00511CA6">
        <w:rPr>
          <w:bCs/>
          <w:lang w:val="en-GB"/>
        </w:rPr>
        <w:t xml:space="preserve">Further, the CIRS has not been used in a PBS restriction before. </w:t>
      </w:r>
    </w:p>
    <w:p w:rsidR="004C7F1B" w:rsidRPr="004C7F1B" w:rsidRDefault="004C7F1B" w:rsidP="004C7F1B">
      <w:pPr>
        <w:pStyle w:val="ListParagraph"/>
        <w:rPr>
          <w:bCs/>
          <w:lang w:val="en-GB"/>
        </w:rPr>
      </w:pPr>
    </w:p>
    <w:p w:rsidR="006650C1" w:rsidRPr="003E79C5" w:rsidRDefault="00E41C12" w:rsidP="00D901BC">
      <w:pPr>
        <w:pStyle w:val="ListParagraph"/>
        <w:numPr>
          <w:ilvl w:val="1"/>
          <w:numId w:val="32"/>
        </w:numPr>
        <w:rPr>
          <w:bCs/>
          <w:lang w:val="en-GB"/>
        </w:rPr>
      </w:pPr>
      <w:r w:rsidRPr="003E79C5">
        <w:rPr>
          <w:bCs/>
          <w:lang w:val="en-GB"/>
        </w:rPr>
        <w:t xml:space="preserve">The PBAC advised that the </w:t>
      </w:r>
      <w:r w:rsidR="00E36153" w:rsidRPr="003E79C5">
        <w:rPr>
          <w:bCs/>
          <w:lang w:val="en-GB"/>
        </w:rPr>
        <w:t>restriction level</w:t>
      </w:r>
      <w:r w:rsidRPr="003E79C5">
        <w:rPr>
          <w:bCs/>
          <w:lang w:val="en-GB"/>
        </w:rPr>
        <w:t xml:space="preserve"> could be revie</w:t>
      </w:r>
      <w:r w:rsidR="00176C8D" w:rsidRPr="003E79C5">
        <w:rPr>
          <w:bCs/>
          <w:lang w:val="en-GB"/>
        </w:rPr>
        <w:t>we</w:t>
      </w:r>
      <w:r w:rsidRPr="003E79C5">
        <w:rPr>
          <w:bCs/>
          <w:lang w:val="en-GB"/>
        </w:rPr>
        <w:t>d after the initial two years</w:t>
      </w:r>
      <w:r w:rsidR="00E36153" w:rsidRPr="003E79C5">
        <w:rPr>
          <w:bCs/>
          <w:lang w:val="en-GB"/>
        </w:rPr>
        <w:t xml:space="preserve"> of listing</w:t>
      </w:r>
      <w:r w:rsidRPr="003E79C5">
        <w:rPr>
          <w:bCs/>
          <w:lang w:val="en-GB"/>
        </w:rPr>
        <w:t>, with a view to changing</w:t>
      </w:r>
      <w:r w:rsidR="00176C8D" w:rsidRPr="003E79C5">
        <w:rPr>
          <w:bCs/>
          <w:lang w:val="en-GB"/>
        </w:rPr>
        <w:t xml:space="preserve"> it</w:t>
      </w:r>
      <w:r w:rsidRPr="003E79C5">
        <w:rPr>
          <w:bCs/>
          <w:lang w:val="en-GB"/>
        </w:rPr>
        <w:t xml:space="preserve"> to a streamlined authority listing if appropriate.</w:t>
      </w:r>
      <w:r w:rsidR="006650C1" w:rsidRPr="003E79C5">
        <w:rPr>
          <w:bCs/>
          <w:lang w:val="en-GB"/>
        </w:rPr>
        <w:t xml:space="preserve"> </w:t>
      </w:r>
    </w:p>
    <w:p w:rsidR="00E941A7" w:rsidRPr="000A1967" w:rsidRDefault="00E941A7" w:rsidP="002C2CE8">
      <w:pPr>
        <w:pStyle w:val="ListParagraph"/>
        <w:rPr>
          <w:bCs/>
          <w:lang w:val="en-GB"/>
        </w:rPr>
      </w:pPr>
    </w:p>
    <w:p w:rsidR="00763D18" w:rsidRDefault="00763D18" w:rsidP="00763D18">
      <w:pPr>
        <w:pStyle w:val="ListParagraph"/>
        <w:numPr>
          <w:ilvl w:val="1"/>
          <w:numId w:val="32"/>
        </w:numPr>
        <w:rPr>
          <w:bCs/>
          <w:lang w:val="en-GB"/>
        </w:rPr>
      </w:pPr>
      <w:r>
        <w:rPr>
          <w:bCs/>
          <w:lang w:val="en-GB"/>
        </w:rPr>
        <w:t xml:space="preserve">With regard to the comparative efficacy </w:t>
      </w:r>
      <w:r w:rsidR="004B74D4">
        <w:rPr>
          <w:bCs/>
          <w:lang w:val="en-GB"/>
        </w:rPr>
        <w:t xml:space="preserve">and safety </w:t>
      </w:r>
      <w:r>
        <w:rPr>
          <w:bCs/>
          <w:lang w:val="en-GB"/>
        </w:rPr>
        <w:t xml:space="preserve">of </w:t>
      </w:r>
      <w:proofErr w:type="spellStart"/>
      <w:r>
        <w:rPr>
          <w:bCs/>
          <w:lang w:val="en-GB"/>
        </w:rPr>
        <w:t>obinutuzumab</w:t>
      </w:r>
      <w:proofErr w:type="spellEnd"/>
      <w:r>
        <w:rPr>
          <w:bCs/>
          <w:lang w:val="en-GB"/>
        </w:rPr>
        <w:t>, the PBAC reiterated its advice from July 2014:</w:t>
      </w:r>
    </w:p>
    <w:p w:rsidR="00763D18" w:rsidRPr="00763D18" w:rsidRDefault="004A6CD6" w:rsidP="002C2CE8">
      <w:pPr>
        <w:pStyle w:val="ListParagraph"/>
        <w:numPr>
          <w:ilvl w:val="0"/>
          <w:numId w:val="22"/>
        </w:numPr>
        <w:rPr>
          <w:bCs/>
          <w:lang w:val="en-GB"/>
        </w:rPr>
      </w:pPr>
      <w:r>
        <w:rPr>
          <w:bCs/>
          <w:lang w:val="en-GB"/>
        </w:rPr>
        <w:t>“</w:t>
      </w:r>
      <w:r w:rsidR="00763D18" w:rsidRPr="00763D18">
        <w:rPr>
          <w:bCs/>
          <w:lang w:val="en-GB"/>
        </w:rPr>
        <w:t xml:space="preserve">The PBAC accepted the </w:t>
      </w:r>
      <w:proofErr w:type="gramStart"/>
      <w:r w:rsidR="00763D18" w:rsidRPr="00763D18">
        <w:rPr>
          <w:bCs/>
          <w:lang w:val="en-GB"/>
        </w:rPr>
        <w:t>submission’s</w:t>
      </w:r>
      <w:proofErr w:type="gramEnd"/>
      <w:r w:rsidR="00763D18" w:rsidRPr="00763D18">
        <w:rPr>
          <w:bCs/>
          <w:lang w:val="en-GB"/>
        </w:rPr>
        <w:t xml:space="preserve"> claim that </w:t>
      </w:r>
      <w:proofErr w:type="spellStart"/>
      <w:r w:rsidR="00763D18" w:rsidRPr="00763D18">
        <w:rPr>
          <w:bCs/>
          <w:lang w:val="en-GB"/>
        </w:rPr>
        <w:t>obinutuzumab</w:t>
      </w:r>
      <w:proofErr w:type="spellEnd"/>
      <w:r w:rsidR="00763D18" w:rsidRPr="00763D18">
        <w:rPr>
          <w:bCs/>
          <w:lang w:val="en-GB"/>
        </w:rPr>
        <w:t xml:space="preserve"> plus chlorambucil is superior in terms of comparative effectiveness and inferior in terms of comparative safety over chlorambucil alone.</w:t>
      </w:r>
      <w:r>
        <w:rPr>
          <w:bCs/>
          <w:lang w:val="en-GB"/>
        </w:rPr>
        <w:t>”</w:t>
      </w:r>
      <w:r w:rsidR="00763D18" w:rsidRPr="00763D18">
        <w:rPr>
          <w:bCs/>
          <w:lang w:val="en-GB"/>
        </w:rPr>
        <w:t xml:space="preserve">  </w:t>
      </w:r>
    </w:p>
    <w:p w:rsidR="00763D18" w:rsidRPr="00763D18" w:rsidRDefault="004A6CD6" w:rsidP="002C2CE8">
      <w:pPr>
        <w:pStyle w:val="ListParagraph"/>
        <w:numPr>
          <w:ilvl w:val="0"/>
          <w:numId w:val="22"/>
        </w:numPr>
        <w:rPr>
          <w:bCs/>
          <w:lang w:val="en-GB"/>
        </w:rPr>
      </w:pPr>
      <w:r>
        <w:rPr>
          <w:bCs/>
          <w:lang w:val="en-GB"/>
        </w:rPr>
        <w:t>“</w:t>
      </w:r>
      <w:r w:rsidR="00763D18" w:rsidRPr="00763D18">
        <w:rPr>
          <w:bCs/>
          <w:lang w:val="en-GB"/>
        </w:rPr>
        <w:t xml:space="preserve">With regard to the comparison against rituximab plus chlorambucil, the PBAC accepted the submission’s claim that </w:t>
      </w:r>
      <w:proofErr w:type="spellStart"/>
      <w:r w:rsidR="00763D18" w:rsidRPr="00763D18">
        <w:rPr>
          <w:bCs/>
          <w:lang w:val="en-GB"/>
        </w:rPr>
        <w:t>obinutuzumab</w:t>
      </w:r>
      <w:proofErr w:type="spellEnd"/>
      <w:r w:rsidR="00763D18" w:rsidRPr="00763D18">
        <w:rPr>
          <w:bCs/>
          <w:lang w:val="en-GB"/>
        </w:rPr>
        <w:t xml:space="preserve"> plus chlorambucil is superior in terms of comparative effectiveness in relation to PFS, and inferior in terms of comparative safety. The PBAC noted that while the hazard </w:t>
      </w:r>
      <w:r w:rsidR="00763D18" w:rsidRPr="00763D18">
        <w:rPr>
          <w:bCs/>
          <w:lang w:val="en-GB"/>
        </w:rPr>
        <w:lastRenderedPageBreak/>
        <w:t xml:space="preserve">ratio for OS was not statistically significant, the </w:t>
      </w:r>
      <w:r w:rsidR="00763D18">
        <w:rPr>
          <w:bCs/>
          <w:lang w:val="en-GB"/>
        </w:rPr>
        <w:t>point estimate</w:t>
      </w:r>
      <w:r w:rsidR="00763D18" w:rsidRPr="00763D18">
        <w:rPr>
          <w:bCs/>
          <w:lang w:val="en-GB"/>
        </w:rPr>
        <w:t xml:space="preserve"> was in favour of </w:t>
      </w:r>
      <w:proofErr w:type="spellStart"/>
      <w:r w:rsidR="00763D18" w:rsidRPr="00763D18">
        <w:rPr>
          <w:bCs/>
          <w:lang w:val="en-GB"/>
        </w:rPr>
        <w:t>obinutuzumab</w:t>
      </w:r>
      <w:proofErr w:type="spellEnd"/>
      <w:r w:rsidR="00763D18" w:rsidRPr="00763D18">
        <w:rPr>
          <w:bCs/>
          <w:lang w:val="en-GB"/>
        </w:rPr>
        <w:t xml:space="preserve"> plus chlorambucil and the more recent data is approaching statistical significance (HR: 0.70 [0.47,1.02]).</w:t>
      </w:r>
      <w:r>
        <w:rPr>
          <w:bCs/>
          <w:lang w:val="en-GB"/>
        </w:rPr>
        <w:t xml:space="preserve">” [Paragraphs 7.9 and 7.10, July 2014 PBAC Minutes, </w:t>
      </w:r>
      <w:proofErr w:type="spellStart"/>
      <w:r>
        <w:rPr>
          <w:bCs/>
          <w:lang w:val="en-GB"/>
        </w:rPr>
        <w:t>obinutuzumab</w:t>
      </w:r>
      <w:proofErr w:type="spellEnd"/>
      <w:r>
        <w:rPr>
          <w:bCs/>
          <w:lang w:val="en-GB"/>
        </w:rPr>
        <w:t>]</w:t>
      </w:r>
    </w:p>
    <w:p w:rsidR="002C2CE8" w:rsidRDefault="002C2CE8" w:rsidP="002C2CE8">
      <w:pPr>
        <w:pStyle w:val="ListParagraph"/>
        <w:rPr>
          <w:bCs/>
          <w:lang w:val="en-GB"/>
        </w:rPr>
      </w:pPr>
    </w:p>
    <w:p w:rsidR="00A148E0" w:rsidRPr="006141A3" w:rsidRDefault="00763D18" w:rsidP="00E000AD">
      <w:pPr>
        <w:pStyle w:val="ListParagraph"/>
        <w:numPr>
          <w:ilvl w:val="1"/>
          <w:numId w:val="32"/>
        </w:numPr>
        <w:rPr>
          <w:bCs/>
          <w:lang w:val="en-GB"/>
        </w:rPr>
      </w:pPr>
      <w:r w:rsidRPr="006141A3">
        <w:rPr>
          <w:bCs/>
          <w:lang w:val="en-GB"/>
        </w:rPr>
        <w:t xml:space="preserve">For the comparison against ofatumumab plus chlorambucil, the PBAC agreed with the ESC that the indirect comparison may not be reliable </w:t>
      </w:r>
      <w:r w:rsidR="00E41C12" w:rsidRPr="006141A3">
        <w:rPr>
          <w:bCs/>
          <w:lang w:val="en-GB"/>
        </w:rPr>
        <w:t>due to differences in baseline characteristics of patients in the trials.</w:t>
      </w:r>
      <w:r w:rsidR="00F21CAA">
        <w:rPr>
          <w:bCs/>
          <w:lang w:val="en-GB"/>
        </w:rPr>
        <w:t xml:space="preserve"> The PBAC recalled that </w:t>
      </w:r>
      <w:r w:rsidR="000B54EF">
        <w:rPr>
          <w:bCs/>
          <w:lang w:val="en-GB"/>
        </w:rPr>
        <w:t xml:space="preserve">in November 2014 </w:t>
      </w:r>
      <w:r w:rsidR="00F21CAA">
        <w:rPr>
          <w:bCs/>
          <w:lang w:val="en-GB"/>
        </w:rPr>
        <w:t xml:space="preserve">it had not accepted that </w:t>
      </w:r>
      <w:r w:rsidR="00F21CAA" w:rsidRPr="006141A3">
        <w:rPr>
          <w:bCs/>
          <w:lang w:val="en-GB"/>
        </w:rPr>
        <w:t xml:space="preserve">ofatumumab </w:t>
      </w:r>
      <w:r w:rsidR="00F21CAA">
        <w:rPr>
          <w:bCs/>
          <w:lang w:val="en-GB"/>
        </w:rPr>
        <w:t>was superior</w:t>
      </w:r>
      <w:r w:rsidR="00F21CAA" w:rsidRPr="006141A3">
        <w:rPr>
          <w:bCs/>
          <w:lang w:val="en-GB"/>
        </w:rPr>
        <w:t xml:space="preserve"> to rituximab</w:t>
      </w:r>
      <w:r w:rsidR="00F21CAA">
        <w:rPr>
          <w:bCs/>
          <w:lang w:val="en-GB"/>
        </w:rPr>
        <w:t xml:space="preserve"> when each was combined with chlorambucil. Therefore, the PBAC considered </w:t>
      </w:r>
      <w:r w:rsidR="000B54EF">
        <w:rPr>
          <w:bCs/>
          <w:lang w:val="en-GB"/>
        </w:rPr>
        <w:t xml:space="preserve">that </w:t>
      </w:r>
      <w:r w:rsidR="00F21CAA">
        <w:rPr>
          <w:bCs/>
          <w:lang w:val="en-GB"/>
        </w:rPr>
        <w:t xml:space="preserve">the </w:t>
      </w:r>
      <w:r w:rsidR="000B54EF">
        <w:rPr>
          <w:bCs/>
          <w:lang w:val="en-GB"/>
        </w:rPr>
        <w:t xml:space="preserve">direct </w:t>
      </w:r>
      <w:r w:rsidR="00F21CAA">
        <w:rPr>
          <w:bCs/>
          <w:lang w:val="en-GB"/>
        </w:rPr>
        <w:t xml:space="preserve">comparison of </w:t>
      </w:r>
      <w:proofErr w:type="spellStart"/>
      <w:r w:rsidR="00F21CAA">
        <w:rPr>
          <w:bCs/>
          <w:lang w:val="en-GB"/>
        </w:rPr>
        <w:t>obinutuzumab</w:t>
      </w:r>
      <w:proofErr w:type="spellEnd"/>
      <w:r w:rsidR="00F21CAA">
        <w:rPr>
          <w:bCs/>
          <w:lang w:val="en-GB"/>
        </w:rPr>
        <w:t xml:space="preserve"> with rituximab </w:t>
      </w:r>
      <w:r w:rsidR="000B54EF">
        <w:rPr>
          <w:bCs/>
          <w:lang w:val="en-GB"/>
        </w:rPr>
        <w:t xml:space="preserve">when each </w:t>
      </w:r>
      <w:proofErr w:type="gramStart"/>
      <w:r w:rsidR="000B54EF">
        <w:rPr>
          <w:bCs/>
          <w:lang w:val="en-GB"/>
        </w:rPr>
        <w:t>were</w:t>
      </w:r>
      <w:proofErr w:type="gramEnd"/>
      <w:r w:rsidR="000B54EF">
        <w:rPr>
          <w:bCs/>
          <w:lang w:val="en-GB"/>
        </w:rPr>
        <w:t xml:space="preserve"> combined with chlorambucil </w:t>
      </w:r>
      <w:r w:rsidR="00F21CAA">
        <w:rPr>
          <w:bCs/>
          <w:lang w:val="en-GB"/>
        </w:rPr>
        <w:t xml:space="preserve">was the </w:t>
      </w:r>
      <w:r w:rsidR="000B54EF">
        <w:rPr>
          <w:bCs/>
          <w:lang w:val="en-GB"/>
        </w:rPr>
        <w:t xml:space="preserve">critical data upon which to make a decision for PBS subsidy of </w:t>
      </w:r>
      <w:proofErr w:type="spellStart"/>
      <w:r w:rsidR="000B54EF">
        <w:rPr>
          <w:bCs/>
          <w:lang w:val="en-GB"/>
        </w:rPr>
        <w:t>obinutuzumab</w:t>
      </w:r>
      <w:proofErr w:type="spellEnd"/>
      <w:r w:rsidR="000B54EF">
        <w:rPr>
          <w:bCs/>
          <w:lang w:val="en-GB"/>
        </w:rPr>
        <w:t>.</w:t>
      </w:r>
    </w:p>
    <w:p w:rsidR="00225AE3" w:rsidRPr="003E79C5" w:rsidRDefault="00225AE3" w:rsidP="002C2CE8">
      <w:pPr>
        <w:rPr>
          <w:bCs/>
          <w:lang w:val="en-GB"/>
        </w:rPr>
      </w:pPr>
    </w:p>
    <w:p w:rsidR="00392BAB" w:rsidRDefault="002239F7" w:rsidP="00392BAB">
      <w:pPr>
        <w:pStyle w:val="ListParagraph"/>
        <w:numPr>
          <w:ilvl w:val="1"/>
          <w:numId w:val="32"/>
        </w:numPr>
        <w:rPr>
          <w:bCs/>
          <w:lang w:val="en-GB"/>
        </w:rPr>
      </w:pPr>
      <w:r w:rsidRPr="00511CA6">
        <w:rPr>
          <w:bCs/>
          <w:lang w:val="en-GB"/>
        </w:rPr>
        <w:t xml:space="preserve">The PBAC </w:t>
      </w:r>
      <w:r w:rsidR="00B7211E" w:rsidRPr="00511CA6">
        <w:rPr>
          <w:bCs/>
          <w:lang w:val="en-GB"/>
        </w:rPr>
        <w:t>considered</w:t>
      </w:r>
      <w:r w:rsidRPr="00511CA6">
        <w:rPr>
          <w:bCs/>
          <w:lang w:val="en-GB"/>
        </w:rPr>
        <w:t xml:space="preserve"> that the </w:t>
      </w:r>
      <w:r w:rsidR="006141A3" w:rsidRPr="00511CA6">
        <w:rPr>
          <w:bCs/>
          <w:lang w:val="en-GB"/>
        </w:rPr>
        <w:t xml:space="preserve">amendments made to the </w:t>
      </w:r>
      <w:r w:rsidRPr="00511CA6">
        <w:rPr>
          <w:bCs/>
          <w:lang w:val="en-GB"/>
        </w:rPr>
        <w:t xml:space="preserve">economic evaluation addressed the main issues raised in its previous consideration of </w:t>
      </w:r>
      <w:proofErr w:type="spellStart"/>
      <w:r w:rsidRPr="00511CA6">
        <w:rPr>
          <w:bCs/>
          <w:lang w:val="en-GB"/>
        </w:rPr>
        <w:t>obinutuzumab</w:t>
      </w:r>
      <w:proofErr w:type="spellEnd"/>
      <w:r w:rsidR="00FB5F96" w:rsidRPr="00511CA6">
        <w:rPr>
          <w:bCs/>
          <w:lang w:val="en-GB"/>
        </w:rPr>
        <w:t>, as outlined in Paragraphs 6.2</w:t>
      </w:r>
      <w:r w:rsidR="00B7211E" w:rsidRPr="00511CA6">
        <w:rPr>
          <w:bCs/>
          <w:lang w:val="en-GB"/>
        </w:rPr>
        <w:t>5</w:t>
      </w:r>
      <w:r w:rsidR="00FB5F96" w:rsidRPr="00511CA6">
        <w:rPr>
          <w:bCs/>
          <w:lang w:val="en-GB"/>
        </w:rPr>
        <w:t>, 6.2</w:t>
      </w:r>
      <w:r w:rsidR="00B7211E" w:rsidRPr="00511CA6">
        <w:rPr>
          <w:bCs/>
          <w:lang w:val="en-GB"/>
        </w:rPr>
        <w:t>6</w:t>
      </w:r>
      <w:r w:rsidR="00FB5F96" w:rsidRPr="00511CA6">
        <w:rPr>
          <w:bCs/>
          <w:lang w:val="en-GB"/>
        </w:rPr>
        <w:t xml:space="preserve"> and 6.</w:t>
      </w:r>
      <w:r w:rsidR="003E79C5" w:rsidRPr="00511CA6">
        <w:rPr>
          <w:bCs/>
          <w:lang w:val="en-GB"/>
        </w:rPr>
        <w:t>3</w:t>
      </w:r>
      <w:r w:rsidR="00B7211E" w:rsidRPr="00511CA6">
        <w:rPr>
          <w:bCs/>
          <w:lang w:val="en-GB"/>
        </w:rPr>
        <w:t>0</w:t>
      </w:r>
      <w:r w:rsidR="00FB5F96" w:rsidRPr="00511CA6">
        <w:rPr>
          <w:bCs/>
          <w:lang w:val="en-GB"/>
        </w:rPr>
        <w:t>.</w:t>
      </w:r>
      <w:r w:rsidR="00511CA6" w:rsidRPr="00511CA6">
        <w:rPr>
          <w:bCs/>
          <w:lang w:val="en-GB"/>
        </w:rPr>
        <w:t xml:space="preserve">  </w:t>
      </w:r>
    </w:p>
    <w:p w:rsidR="00511CA6" w:rsidRPr="00511CA6" w:rsidRDefault="00511CA6" w:rsidP="00511CA6">
      <w:pPr>
        <w:pStyle w:val="ListParagraph"/>
        <w:rPr>
          <w:bCs/>
          <w:lang w:val="en-GB"/>
        </w:rPr>
      </w:pPr>
    </w:p>
    <w:p w:rsidR="008E0EB8" w:rsidRPr="00392BAB" w:rsidRDefault="00392BAB" w:rsidP="00FB5F96">
      <w:pPr>
        <w:pStyle w:val="ListParagraph"/>
        <w:numPr>
          <w:ilvl w:val="1"/>
          <w:numId w:val="32"/>
        </w:numPr>
        <w:rPr>
          <w:bCs/>
          <w:lang w:val="en-GB"/>
        </w:rPr>
      </w:pPr>
      <w:r w:rsidRPr="003E79C5">
        <w:rPr>
          <w:bCs/>
          <w:lang w:val="en-GB"/>
        </w:rPr>
        <w:t xml:space="preserve">In particular, the PBAC noted that the </w:t>
      </w:r>
      <w:r w:rsidR="00FB5F96" w:rsidRPr="003E79C5">
        <w:rPr>
          <w:bCs/>
          <w:lang w:val="en-GB"/>
        </w:rPr>
        <w:t>revised</w:t>
      </w:r>
      <w:r w:rsidR="008E0EB8" w:rsidRPr="003E79C5">
        <w:rPr>
          <w:bCs/>
          <w:lang w:val="en-GB"/>
        </w:rPr>
        <w:t xml:space="preserve"> model </w:t>
      </w:r>
      <w:r w:rsidR="00E24AFB" w:rsidRPr="003E79C5">
        <w:rPr>
          <w:bCs/>
          <w:lang w:val="en-GB"/>
        </w:rPr>
        <w:t xml:space="preserve">structure </w:t>
      </w:r>
      <w:r w:rsidR="008E0EB8" w:rsidRPr="003E79C5">
        <w:rPr>
          <w:bCs/>
          <w:lang w:val="en-GB"/>
        </w:rPr>
        <w:t>more appropriately</w:t>
      </w:r>
      <w:r w:rsidR="008E0EB8" w:rsidRPr="00392BAB">
        <w:rPr>
          <w:bCs/>
          <w:lang w:val="en-GB"/>
        </w:rPr>
        <w:t xml:space="preserve"> reflected </w:t>
      </w:r>
      <w:r w:rsidR="00601ECF">
        <w:rPr>
          <w:bCs/>
          <w:lang w:val="en-GB"/>
        </w:rPr>
        <w:t>the course of the condition including</w:t>
      </w:r>
      <w:r w:rsidR="003E79C5">
        <w:rPr>
          <w:bCs/>
          <w:lang w:val="en-GB"/>
        </w:rPr>
        <w:t xml:space="preserve"> the levels of</w:t>
      </w:r>
      <w:r w:rsidR="00601ECF">
        <w:rPr>
          <w:bCs/>
          <w:lang w:val="en-GB"/>
        </w:rPr>
        <w:t xml:space="preserve"> </w:t>
      </w:r>
      <w:r w:rsidR="00E24AFB" w:rsidRPr="003E79C5">
        <w:rPr>
          <w:bCs/>
          <w:lang w:val="en-GB"/>
        </w:rPr>
        <w:t xml:space="preserve">patient </w:t>
      </w:r>
      <w:r w:rsidR="003E79C5" w:rsidRPr="003E79C5">
        <w:rPr>
          <w:bCs/>
          <w:lang w:val="en-GB"/>
        </w:rPr>
        <w:t>health</w:t>
      </w:r>
      <w:r w:rsidR="003E79C5">
        <w:rPr>
          <w:bCs/>
          <w:lang w:val="en-GB"/>
        </w:rPr>
        <w:t xml:space="preserve"> </w:t>
      </w:r>
      <w:r w:rsidR="00E24AFB" w:rsidRPr="00392BAB">
        <w:rPr>
          <w:bCs/>
          <w:lang w:val="en-GB"/>
        </w:rPr>
        <w:t xml:space="preserve">during </w:t>
      </w:r>
      <w:r w:rsidR="008E0EB8" w:rsidRPr="00392BAB">
        <w:rPr>
          <w:bCs/>
          <w:lang w:val="en-GB"/>
        </w:rPr>
        <w:t>disease progression</w:t>
      </w:r>
      <w:r w:rsidRPr="00392BAB">
        <w:rPr>
          <w:bCs/>
          <w:lang w:val="en-GB"/>
        </w:rPr>
        <w:t>. This was</w:t>
      </w:r>
      <w:r w:rsidR="008E0EB8" w:rsidRPr="00392BAB">
        <w:rPr>
          <w:bCs/>
          <w:lang w:val="en-GB"/>
        </w:rPr>
        <w:t xml:space="preserve"> because </w:t>
      </w:r>
      <w:r w:rsidR="00FB5F96" w:rsidRPr="00392BAB">
        <w:rPr>
          <w:bCs/>
          <w:lang w:val="en-GB"/>
        </w:rPr>
        <w:t xml:space="preserve">the </w:t>
      </w:r>
      <w:r w:rsidR="004B74D4">
        <w:rPr>
          <w:bCs/>
          <w:lang w:val="en-GB"/>
        </w:rPr>
        <w:t xml:space="preserve">re-submission </w:t>
      </w:r>
      <w:r w:rsidR="004B74D4" w:rsidRPr="003D6571">
        <w:rPr>
          <w:bCs/>
          <w:lang w:val="en-GB"/>
        </w:rPr>
        <w:t>subdivided the ‘</w:t>
      </w:r>
      <w:r w:rsidR="00FB5F96" w:rsidRPr="003D6571">
        <w:rPr>
          <w:bCs/>
          <w:lang w:val="en-GB"/>
        </w:rPr>
        <w:t>progress</w:t>
      </w:r>
      <w:r w:rsidR="004B74D4" w:rsidRPr="003D6571">
        <w:rPr>
          <w:bCs/>
          <w:lang w:val="en-GB"/>
        </w:rPr>
        <w:t>iv</w:t>
      </w:r>
      <w:r w:rsidR="00FB5F96" w:rsidRPr="003D6571">
        <w:rPr>
          <w:bCs/>
          <w:lang w:val="en-GB"/>
        </w:rPr>
        <w:t>e</w:t>
      </w:r>
      <w:r w:rsidR="004B74D4" w:rsidRPr="003D6571">
        <w:rPr>
          <w:bCs/>
          <w:lang w:val="en-GB"/>
        </w:rPr>
        <w:t xml:space="preserve"> </w:t>
      </w:r>
      <w:r w:rsidR="00FB5F96" w:rsidRPr="003D6571">
        <w:rPr>
          <w:bCs/>
          <w:lang w:val="en-GB"/>
        </w:rPr>
        <w:t>d</w:t>
      </w:r>
      <w:r w:rsidR="004B74D4" w:rsidRPr="003D6571">
        <w:rPr>
          <w:bCs/>
          <w:lang w:val="en-GB"/>
        </w:rPr>
        <w:t>isease’ health</w:t>
      </w:r>
      <w:r w:rsidR="00FB5F96" w:rsidRPr="003D6571">
        <w:rPr>
          <w:bCs/>
          <w:lang w:val="en-GB"/>
        </w:rPr>
        <w:t xml:space="preserve"> state </w:t>
      </w:r>
      <w:r w:rsidR="004B74D4" w:rsidRPr="003D6571">
        <w:rPr>
          <w:bCs/>
          <w:lang w:val="en-GB"/>
        </w:rPr>
        <w:t>in</w:t>
      </w:r>
      <w:r w:rsidR="00FB5F96" w:rsidRPr="003D6571">
        <w:rPr>
          <w:bCs/>
          <w:lang w:val="en-GB"/>
        </w:rPr>
        <w:t xml:space="preserve">to four states: asymptomatic progression; symptomatic progression while on treatment; symptomatic progression without treatment and subsequent progression. </w:t>
      </w:r>
      <w:r w:rsidRPr="003D6571">
        <w:rPr>
          <w:bCs/>
          <w:lang w:val="en-GB"/>
        </w:rPr>
        <w:t xml:space="preserve">The ‘asymptomatic progression’ health state </w:t>
      </w:r>
      <w:r w:rsidR="00952AD9" w:rsidRPr="003D6571">
        <w:rPr>
          <w:bCs/>
          <w:lang w:val="en-GB"/>
        </w:rPr>
        <w:t xml:space="preserve">accounted </w:t>
      </w:r>
      <w:r w:rsidR="008E0EB8" w:rsidRPr="003D6571">
        <w:rPr>
          <w:bCs/>
          <w:lang w:val="en-GB"/>
        </w:rPr>
        <w:t>for patients who are progressed but well</w:t>
      </w:r>
      <w:r w:rsidR="009E0CDC" w:rsidRPr="003D6571">
        <w:rPr>
          <w:bCs/>
          <w:lang w:val="en-GB"/>
        </w:rPr>
        <w:t xml:space="preserve"> </w:t>
      </w:r>
      <w:r w:rsidR="008E0EB8" w:rsidRPr="003D6571">
        <w:rPr>
          <w:bCs/>
          <w:lang w:val="en-GB"/>
        </w:rPr>
        <w:t xml:space="preserve">(i.e. patients who have progressed but do not need therapy for CLL). The PBAC </w:t>
      </w:r>
      <w:r w:rsidR="00952AD9" w:rsidRPr="003D6571">
        <w:rPr>
          <w:bCs/>
          <w:lang w:val="en-GB"/>
        </w:rPr>
        <w:t xml:space="preserve">recalled that, in July 2014, it had </w:t>
      </w:r>
      <w:r w:rsidR="008E0EB8" w:rsidRPr="003D6571">
        <w:rPr>
          <w:bCs/>
          <w:lang w:val="en-GB"/>
        </w:rPr>
        <w:t>considered that such a health state was necessary given the length of time patients in the CLL11 trial spent between progressing and requiring their next anti-</w:t>
      </w:r>
      <w:proofErr w:type="spellStart"/>
      <w:r w:rsidR="008E0EB8" w:rsidRPr="003D6571">
        <w:rPr>
          <w:bCs/>
          <w:lang w:val="en-GB"/>
        </w:rPr>
        <w:t>leukemia</w:t>
      </w:r>
      <w:proofErr w:type="spellEnd"/>
      <w:r w:rsidR="008E0EB8" w:rsidRPr="003D6571">
        <w:rPr>
          <w:bCs/>
          <w:lang w:val="en-GB"/>
        </w:rPr>
        <w:t xml:space="preserve"> therapy, and also given the considerable difference in utility weights between the “progression-free </w:t>
      </w:r>
      <w:r w:rsidR="009E0CDC" w:rsidRPr="003D6571">
        <w:rPr>
          <w:bCs/>
          <w:lang w:val="en-GB"/>
        </w:rPr>
        <w:t xml:space="preserve">survival </w:t>
      </w:r>
      <w:r w:rsidR="008E0EB8" w:rsidRPr="003D6571">
        <w:rPr>
          <w:bCs/>
          <w:lang w:val="en-GB"/>
        </w:rPr>
        <w:t>without treatment” and “progressive disease” health states</w:t>
      </w:r>
      <w:r w:rsidR="00FB5F96" w:rsidRPr="003D6571">
        <w:rPr>
          <w:bCs/>
          <w:lang w:val="en-GB"/>
        </w:rPr>
        <w:t xml:space="preserve"> </w:t>
      </w:r>
      <w:r w:rsidR="00E24AFB" w:rsidRPr="003D6571">
        <w:rPr>
          <w:bCs/>
          <w:lang w:val="en-GB"/>
        </w:rPr>
        <w:t xml:space="preserve">that were </w:t>
      </w:r>
      <w:r w:rsidR="00FB5F96" w:rsidRPr="003D6571">
        <w:rPr>
          <w:bCs/>
          <w:lang w:val="en-GB"/>
        </w:rPr>
        <w:t>used in the July 2014 model</w:t>
      </w:r>
      <w:r w:rsidR="008E0EB8" w:rsidRPr="003D6571">
        <w:rPr>
          <w:bCs/>
          <w:lang w:val="en-GB"/>
        </w:rPr>
        <w:t>, which had utility</w:t>
      </w:r>
      <w:r w:rsidR="008E0EB8" w:rsidRPr="00392BAB">
        <w:rPr>
          <w:bCs/>
          <w:lang w:val="en-GB"/>
        </w:rPr>
        <w:t xml:space="preserve"> weights of 0.82 and 0.66, respectively. </w:t>
      </w:r>
    </w:p>
    <w:p w:rsidR="008E0EB8" w:rsidRPr="00392BAB" w:rsidRDefault="008E0EB8" w:rsidP="00952AD9">
      <w:pPr>
        <w:pStyle w:val="ListParagraph"/>
        <w:rPr>
          <w:bCs/>
          <w:lang w:val="en-GB"/>
        </w:rPr>
      </w:pPr>
    </w:p>
    <w:p w:rsidR="00184A56" w:rsidRPr="0010284B" w:rsidRDefault="006C43D2" w:rsidP="005F6C0F">
      <w:pPr>
        <w:pStyle w:val="ListParagraph"/>
        <w:numPr>
          <w:ilvl w:val="1"/>
          <w:numId w:val="32"/>
        </w:numPr>
        <w:rPr>
          <w:bCs/>
          <w:lang w:val="en-GB"/>
        </w:rPr>
      </w:pPr>
      <w:r w:rsidRPr="00392BAB">
        <w:rPr>
          <w:bCs/>
          <w:lang w:val="en-GB"/>
        </w:rPr>
        <w:t xml:space="preserve">The PBAC therefore considered that the model was a suitable basis for determining the cost-effectiveness of </w:t>
      </w:r>
      <w:proofErr w:type="spellStart"/>
      <w:r w:rsidRPr="00392BAB">
        <w:rPr>
          <w:bCs/>
          <w:lang w:val="en-GB"/>
        </w:rPr>
        <w:t>obinutuzumab</w:t>
      </w:r>
      <w:proofErr w:type="spellEnd"/>
      <w:r w:rsidRPr="00392BAB">
        <w:rPr>
          <w:bCs/>
          <w:lang w:val="en-GB"/>
        </w:rPr>
        <w:t xml:space="preserve"> in the requested treatment setting.</w:t>
      </w:r>
      <w:r w:rsidR="0010284B" w:rsidRPr="0010284B">
        <w:rPr>
          <w:bCs/>
          <w:lang w:val="en-GB"/>
        </w:rPr>
        <w:t xml:space="preserve"> </w:t>
      </w:r>
      <w:r w:rsidR="00184A56" w:rsidRPr="0010284B">
        <w:rPr>
          <w:bCs/>
          <w:lang w:val="en-GB"/>
        </w:rPr>
        <w:t xml:space="preserve">The PBAC considered that the resulting ICERs of </w:t>
      </w:r>
      <w:r w:rsidR="005F6C0F" w:rsidRPr="005F6C0F">
        <w:rPr>
          <w:bCs/>
          <w:lang w:val="en-GB"/>
        </w:rPr>
        <w:t>$15,000/QALY - $45,000/QALY</w:t>
      </w:r>
      <w:r w:rsidR="00184A56" w:rsidRPr="0010284B">
        <w:rPr>
          <w:bCs/>
          <w:lang w:val="en-GB"/>
        </w:rPr>
        <w:t xml:space="preserve"> and </w:t>
      </w:r>
      <w:r w:rsidR="005F6C0F" w:rsidRPr="005F6C0F">
        <w:rPr>
          <w:bCs/>
          <w:lang w:val="en-GB"/>
        </w:rPr>
        <w:t>$15,000/QALY - $45,000/QALY</w:t>
      </w:r>
      <w:r w:rsidR="005F6C0F">
        <w:rPr>
          <w:bCs/>
          <w:lang w:val="en-GB"/>
        </w:rPr>
        <w:t xml:space="preserve"> </w:t>
      </w:r>
      <w:r w:rsidR="00184A56" w:rsidRPr="0010284B">
        <w:rPr>
          <w:bCs/>
          <w:lang w:val="en-GB"/>
        </w:rPr>
        <w:t xml:space="preserve">for the comparisons against rituximab plus chlorambucil, and chlorambucil monotherapy respectively, were </w:t>
      </w:r>
      <w:r w:rsidR="00D80E9F">
        <w:rPr>
          <w:bCs/>
          <w:lang w:val="en-GB"/>
        </w:rPr>
        <w:t>reliable</w:t>
      </w:r>
      <w:r w:rsidR="00184A56" w:rsidRPr="0010284B">
        <w:rPr>
          <w:bCs/>
          <w:lang w:val="en-GB"/>
        </w:rPr>
        <w:t>.</w:t>
      </w:r>
    </w:p>
    <w:p w:rsidR="00BC0140" w:rsidRPr="00BC0140" w:rsidRDefault="00BC0140" w:rsidP="002C2CE8">
      <w:pPr>
        <w:pStyle w:val="ListParagraph"/>
        <w:widowControl/>
        <w:rPr>
          <w:bCs/>
          <w:highlight w:val="lightGray"/>
          <w:lang w:val="en-GB"/>
        </w:rPr>
      </w:pPr>
    </w:p>
    <w:p w:rsidR="00122140" w:rsidRPr="00122140" w:rsidRDefault="00122140" w:rsidP="006141A3">
      <w:pPr>
        <w:pStyle w:val="ListParagraph"/>
        <w:numPr>
          <w:ilvl w:val="1"/>
          <w:numId w:val="32"/>
        </w:numPr>
        <w:rPr>
          <w:bCs/>
          <w:lang w:val="en-GB"/>
        </w:rPr>
      </w:pPr>
      <w:r w:rsidRPr="00122140">
        <w:rPr>
          <w:bCs/>
          <w:lang w:val="en-GB"/>
        </w:rPr>
        <w:t xml:space="preserve">The </w:t>
      </w:r>
      <w:r w:rsidR="004C7F1B">
        <w:rPr>
          <w:bCs/>
          <w:lang w:val="en-GB"/>
        </w:rPr>
        <w:t>PBAC considered</w:t>
      </w:r>
      <w:r w:rsidRPr="00122140">
        <w:rPr>
          <w:bCs/>
          <w:lang w:val="en-GB"/>
        </w:rPr>
        <w:t xml:space="preserve"> that it is difficult to reliably estimate the number of patients who are likely to use </w:t>
      </w:r>
      <w:proofErr w:type="spellStart"/>
      <w:r w:rsidRPr="00122140">
        <w:rPr>
          <w:bCs/>
          <w:lang w:val="en-GB"/>
        </w:rPr>
        <w:t>obinutuzumab</w:t>
      </w:r>
      <w:proofErr w:type="spellEnd"/>
      <w:r w:rsidRPr="00122140">
        <w:rPr>
          <w:bCs/>
          <w:lang w:val="en-GB"/>
        </w:rPr>
        <w:t xml:space="preserve">. The PBAC recalled that in July 2014 it had </w:t>
      </w:r>
      <w:r w:rsidR="004C7F1B">
        <w:rPr>
          <w:bCs/>
          <w:lang w:val="en-GB"/>
        </w:rPr>
        <w:t>not</w:t>
      </w:r>
      <w:r w:rsidRPr="00122140">
        <w:rPr>
          <w:bCs/>
          <w:lang w:val="en-GB"/>
        </w:rPr>
        <w:t xml:space="preserve">ed </w:t>
      </w:r>
      <w:r w:rsidR="006141A3">
        <w:rPr>
          <w:bCs/>
          <w:lang w:val="en-GB"/>
        </w:rPr>
        <w:t xml:space="preserve">the </w:t>
      </w:r>
      <w:r w:rsidR="006141A3" w:rsidRPr="006141A3">
        <w:rPr>
          <w:bCs/>
          <w:lang w:val="en-GB"/>
        </w:rPr>
        <w:t>high risk of usage outside the intended restriction</w:t>
      </w:r>
      <w:r w:rsidR="006141A3">
        <w:rPr>
          <w:bCs/>
          <w:lang w:val="en-GB"/>
        </w:rPr>
        <w:t>, and</w:t>
      </w:r>
      <w:r w:rsidR="006141A3" w:rsidRPr="006141A3">
        <w:rPr>
          <w:bCs/>
          <w:lang w:val="en-GB"/>
        </w:rPr>
        <w:t xml:space="preserve"> </w:t>
      </w:r>
      <w:r w:rsidRPr="00122140">
        <w:rPr>
          <w:bCs/>
          <w:lang w:val="en-GB"/>
        </w:rPr>
        <w:t>that the financial estimates relied on clinical opinion and market research</w:t>
      </w:r>
      <w:r w:rsidR="00B7043D">
        <w:rPr>
          <w:bCs/>
          <w:lang w:val="en-GB"/>
        </w:rPr>
        <w:t xml:space="preserve">. </w:t>
      </w:r>
      <w:r w:rsidRPr="00122140">
        <w:rPr>
          <w:bCs/>
          <w:lang w:val="en-GB"/>
        </w:rPr>
        <w:t>The PBAC considered that the use of a written authority for the first two years of listing would enable</w:t>
      </w:r>
      <w:r w:rsidR="004C7F1B">
        <w:rPr>
          <w:bCs/>
          <w:lang w:val="en-GB"/>
        </w:rPr>
        <w:t xml:space="preserve"> </w:t>
      </w:r>
      <w:r w:rsidR="006141A3">
        <w:rPr>
          <w:bCs/>
          <w:lang w:val="en-GB"/>
        </w:rPr>
        <w:t xml:space="preserve">a </w:t>
      </w:r>
      <w:r w:rsidR="006141A3" w:rsidRPr="006141A3">
        <w:rPr>
          <w:bCs/>
          <w:lang w:val="en-GB"/>
        </w:rPr>
        <w:t>more accurate estimat</w:t>
      </w:r>
      <w:r w:rsidR="006141A3">
        <w:rPr>
          <w:bCs/>
          <w:lang w:val="en-GB"/>
        </w:rPr>
        <w:t>ion of</w:t>
      </w:r>
      <w:r w:rsidR="006141A3" w:rsidRPr="006141A3">
        <w:rPr>
          <w:bCs/>
          <w:lang w:val="en-GB"/>
        </w:rPr>
        <w:t xml:space="preserve"> </w:t>
      </w:r>
      <w:r w:rsidR="004C7F1B">
        <w:rPr>
          <w:bCs/>
          <w:lang w:val="en-GB"/>
        </w:rPr>
        <w:t>the patient population</w:t>
      </w:r>
      <w:r w:rsidRPr="00122140">
        <w:rPr>
          <w:bCs/>
          <w:lang w:val="en-GB"/>
        </w:rPr>
        <w:t>.</w:t>
      </w:r>
    </w:p>
    <w:p w:rsidR="005F3D24" w:rsidRPr="00122140" w:rsidRDefault="005F3D24" w:rsidP="00122140">
      <w:pPr>
        <w:pStyle w:val="ListParagraph"/>
        <w:rPr>
          <w:bCs/>
          <w:lang w:val="en-GB"/>
        </w:rPr>
      </w:pPr>
    </w:p>
    <w:p w:rsidR="00BC0140" w:rsidRPr="002C2CE8" w:rsidRDefault="00BC0140" w:rsidP="00BC0140">
      <w:pPr>
        <w:pStyle w:val="ListParagraph"/>
        <w:numPr>
          <w:ilvl w:val="1"/>
          <w:numId w:val="32"/>
        </w:numPr>
        <w:rPr>
          <w:bCs/>
          <w:lang w:val="en-GB"/>
        </w:rPr>
      </w:pPr>
      <w:r w:rsidRPr="002C2CE8">
        <w:rPr>
          <w:bCs/>
          <w:lang w:val="en-GB"/>
        </w:rPr>
        <w:t>The PBAC advised that</w:t>
      </w:r>
      <w:r w:rsidR="00201200">
        <w:rPr>
          <w:bCs/>
          <w:lang w:val="en-GB"/>
        </w:rPr>
        <w:t xml:space="preserve"> </w:t>
      </w:r>
      <w:proofErr w:type="spellStart"/>
      <w:r w:rsidR="00201200">
        <w:rPr>
          <w:bCs/>
          <w:lang w:val="en-GB"/>
        </w:rPr>
        <w:t>obinutuzumab</w:t>
      </w:r>
      <w:proofErr w:type="spellEnd"/>
      <w:r w:rsidR="00201200">
        <w:rPr>
          <w:bCs/>
          <w:lang w:val="en-GB"/>
        </w:rPr>
        <w:t xml:space="preserve"> </w:t>
      </w:r>
      <w:r w:rsidRPr="002C2CE8">
        <w:rPr>
          <w:bCs/>
          <w:lang w:val="en-GB"/>
        </w:rPr>
        <w:t xml:space="preserve">is not suitable for prescribing by nurse practitioners.  </w:t>
      </w:r>
    </w:p>
    <w:p w:rsidR="00BC0140" w:rsidRPr="002C2CE8" w:rsidRDefault="00BC0140" w:rsidP="002C2CE8">
      <w:pPr>
        <w:pStyle w:val="ListParagraph"/>
        <w:widowControl/>
        <w:rPr>
          <w:bCs/>
          <w:lang w:val="en-GB"/>
        </w:rPr>
      </w:pPr>
    </w:p>
    <w:p w:rsidR="00BC0140" w:rsidRPr="002C2CE8" w:rsidRDefault="00BC0140" w:rsidP="00BC0140">
      <w:pPr>
        <w:pStyle w:val="ListParagraph"/>
        <w:numPr>
          <w:ilvl w:val="1"/>
          <w:numId w:val="32"/>
        </w:numPr>
        <w:rPr>
          <w:bCs/>
          <w:lang w:val="en-GB"/>
        </w:rPr>
      </w:pPr>
      <w:r w:rsidRPr="002C2CE8">
        <w:rPr>
          <w:bCs/>
          <w:lang w:val="en-GB"/>
        </w:rPr>
        <w:t xml:space="preserve">The PBAC recommended that the Safety Net 20 Day Rule should not apply. </w:t>
      </w:r>
    </w:p>
    <w:p w:rsidR="00BC0140" w:rsidRPr="001E324C" w:rsidRDefault="00BC0140" w:rsidP="002C2CE8">
      <w:pPr>
        <w:widowControl/>
        <w:rPr>
          <w:bCs/>
          <w:highlight w:val="lightGray"/>
          <w:lang w:val="en-GB"/>
        </w:rPr>
      </w:pPr>
    </w:p>
    <w:p w:rsidR="00BC0140" w:rsidRPr="002C2CE8" w:rsidRDefault="00BC0140">
      <w:pPr>
        <w:pStyle w:val="ListParagraph"/>
        <w:numPr>
          <w:ilvl w:val="1"/>
          <w:numId w:val="32"/>
        </w:numPr>
        <w:rPr>
          <w:b/>
          <w:bCs/>
          <w:lang w:val="en-GB"/>
        </w:rPr>
      </w:pPr>
      <w:r w:rsidRPr="002C2CE8">
        <w:rPr>
          <w:bCs/>
          <w:lang w:val="en-GB"/>
        </w:rPr>
        <w:lastRenderedPageBreak/>
        <w:t xml:space="preserve">The PBAC noted that this submission is </w:t>
      </w:r>
      <w:r w:rsidR="006C43D2">
        <w:rPr>
          <w:bCs/>
          <w:lang w:val="en-GB"/>
        </w:rPr>
        <w:t xml:space="preserve">not </w:t>
      </w:r>
      <w:r w:rsidRPr="002C2CE8">
        <w:rPr>
          <w:bCs/>
          <w:lang w:val="en-GB"/>
        </w:rPr>
        <w:t>eligible for an Independent Review</w:t>
      </w:r>
      <w:r w:rsidR="006C43D2">
        <w:rPr>
          <w:bCs/>
          <w:lang w:val="en-GB"/>
        </w:rPr>
        <w:t xml:space="preserve"> because a positive recommendation was made</w:t>
      </w:r>
      <w:r w:rsidRPr="002C2CE8">
        <w:rPr>
          <w:bCs/>
          <w:lang w:val="en-GB"/>
        </w:rPr>
        <w:t xml:space="preserve">. </w:t>
      </w:r>
    </w:p>
    <w:p w:rsidR="00BC0140" w:rsidRPr="00BC0140" w:rsidRDefault="00BC0140" w:rsidP="002C2CE8">
      <w:pPr>
        <w:pStyle w:val="ListParagraph"/>
        <w:rPr>
          <w:b/>
          <w:highlight w:val="lightGray"/>
          <w:lang w:val="en-GB"/>
        </w:rPr>
      </w:pPr>
    </w:p>
    <w:p w:rsidR="00BC0140" w:rsidRPr="002C2CE8" w:rsidRDefault="00BC0140" w:rsidP="002C2CE8">
      <w:pPr>
        <w:rPr>
          <w:b/>
          <w:bCs/>
          <w:highlight w:val="lightGray"/>
          <w:lang w:val="en-GB"/>
        </w:rPr>
      </w:pPr>
    </w:p>
    <w:p w:rsidR="00BC0140" w:rsidRPr="002C2CE8" w:rsidRDefault="00BC0140" w:rsidP="002C2CE8">
      <w:pPr>
        <w:pStyle w:val="ListParagraph"/>
        <w:rPr>
          <w:b/>
          <w:bCs/>
          <w:lang w:val="en-GB"/>
        </w:rPr>
      </w:pPr>
      <w:r w:rsidRPr="002C2CE8">
        <w:rPr>
          <w:b/>
          <w:bCs/>
          <w:lang w:val="en-GB"/>
        </w:rPr>
        <w:t>Outcome:</w:t>
      </w:r>
    </w:p>
    <w:p w:rsidR="00BC0140" w:rsidRPr="002C2CE8" w:rsidRDefault="00BC0140" w:rsidP="002C2CE8">
      <w:pPr>
        <w:pStyle w:val="ListParagraph"/>
        <w:rPr>
          <w:bCs/>
          <w:lang w:val="en-GB"/>
        </w:rPr>
      </w:pPr>
      <w:r w:rsidRPr="002C2CE8">
        <w:rPr>
          <w:bCs/>
          <w:lang w:val="en-GB"/>
        </w:rPr>
        <w:t xml:space="preserve">Recommended </w:t>
      </w:r>
    </w:p>
    <w:p w:rsidR="00BC0140" w:rsidRPr="002C2CE8" w:rsidRDefault="00BC0140" w:rsidP="002C2CE8">
      <w:pPr>
        <w:pStyle w:val="ListParagraph"/>
        <w:widowControl/>
        <w:rPr>
          <w:b/>
          <w:bCs/>
        </w:rPr>
      </w:pPr>
    </w:p>
    <w:p w:rsidR="00BC0140" w:rsidRPr="002C2CE8" w:rsidRDefault="00BC0140" w:rsidP="002C2CE8">
      <w:pPr>
        <w:pStyle w:val="ListParagraph"/>
        <w:widowControl/>
        <w:rPr>
          <w:bCs/>
        </w:rPr>
      </w:pPr>
    </w:p>
    <w:p w:rsidR="00BC0140" w:rsidRPr="002C2CE8" w:rsidRDefault="00BC0140" w:rsidP="002C2CE8">
      <w:pPr>
        <w:pStyle w:val="ListParagraph"/>
        <w:numPr>
          <w:ilvl w:val="0"/>
          <w:numId w:val="32"/>
        </w:numPr>
        <w:rPr>
          <w:b/>
          <w:bCs/>
          <w:i/>
          <w:lang w:val="en-GB"/>
        </w:rPr>
      </w:pPr>
      <w:r w:rsidRPr="002C2CE8">
        <w:rPr>
          <w:b/>
          <w:bCs/>
          <w:lang w:val="en-GB"/>
        </w:rPr>
        <w:t>Recommended listing</w:t>
      </w:r>
    </w:p>
    <w:p w:rsidR="00BC0140" w:rsidRPr="002C2CE8" w:rsidRDefault="00BC0140" w:rsidP="002C2CE8">
      <w:pPr>
        <w:pStyle w:val="ListParagraph"/>
        <w:rPr>
          <w:b/>
          <w:bCs/>
          <w:i/>
          <w:lang w:val="en-GB"/>
        </w:rPr>
      </w:pPr>
    </w:p>
    <w:p w:rsidR="00BC0140" w:rsidRPr="002C2CE8" w:rsidRDefault="000673EF" w:rsidP="002C2CE8">
      <w:pPr>
        <w:pStyle w:val="ListParagraph"/>
        <w:numPr>
          <w:ilvl w:val="1"/>
          <w:numId w:val="32"/>
        </w:numPr>
        <w:rPr>
          <w:b/>
          <w:bCs/>
        </w:rPr>
      </w:pPr>
      <w:r w:rsidRPr="002C2CE8">
        <w:rPr>
          <w:bCs/>
        </w:rPr>
        <w:t>Add new item:</w:t>
      </w:r>
    </w:p>
    <w:p w:rsidR="000673EF" w:rsidRDefault="000673EF" w:rsidP="002C2CE8">
      <w:pPr>
        <w:rPr>
          <w:b/>
          <w:bCs/>
          <w:highlight w:val="lightGray"/>
        </w:rPr>
      </w:pPr>
    </w:p>
    <w:p w:rsidR="007A20C0" w:rsidRPr="00AC7117" w:rsidRDefault="007A20C0" w:rsidP="00A551B9"/>
    <w:tbl>
      <w:tblPr>
        <w:tblW w:w="4594" w:type="pct"/>
        <w:tblInd w:w="737" w:type="dxa"/>
        <w:tblCellMar>
          <w:left w:w="28" w:type="dxa"/>
          <w:right w:w="28" w:type="dxa"/>
        </w:tblCellMar>
        <w:tblLook w:val="0000" w:firstRow="0" w:lastRow="0" w:firstColumn="0" w:lastColumn="0" w:noHBand="0" w:noVBand="0"/>
      </w:tblPr>
      <w:tblGrid>
        <w:gridCol w:w="1087"/>
        <w:gridCol w:w="1459"/>
        <w:gridCol w:w="913"/>
        <w:gridCol w:w="501"/>
        <w:gridCol w:w="92"/>
        <w:gridCol w:w="733"/>
        <w:gridCol w:w="3560"/>
      </w:tblGrid>
      <w:tr w:rsidR="00A551B9" w:rsidRPr="00FF7854" w:rsidTr="00F9299D">
        <w:trPr>
          <w:cantSplit/>
          <w:trHeight w:val="471"/>
        </w:trPr>
        <w:tc>
          <w:tcPr>
            <w:tcW w:w="1382" w:type="pct"/>
            <w:gridSpan w:val="2"/>
            <w:tcBorders>
              <w:bottom w:val="single" w:sz="4" w:space="0" w:color="auto"/>
            </w:tcBorders>
          </w:tcPr>
          <w:p w:rsidR="00A551B9" w:rsidRPr="00FF7854" w:rsidRDefault="00A551B9" w:rsidP="00184A56">
            <w:pPr>
              <w:widowControl/>
              <w:jc w:val="center"/>
              <w:rPr>
                <w:rFonts w:ascii="Arial Narrow" w:hAnsi="Arial Narrow" w:cs="Times New Roman"/>
                <w:snapToGrid/>
                <w:sz w:val="20"/>
              </w:rPr>
            </w:pPr>
            <w:r w:rsidRPr="00FF7854">
              <w:rPr>
                <w:rFonts w:ascii="Arial Narrow" w:hAnsi="Arial Narrow" w:cs="Times New Roman"/>
                <w:snapToGrid/>
                <w:sz w:val="20"/>
              </w:rPr>
              <w:t>Name, Restriction,</w:t>
            </w:r>
          </w:p>
          <w:p w:rsidR="00A551B9" w:rsidRPr="00FF7854" w:rsidRDefault="00A551B9" w:rsidP="00184A56">
            <w:pPr>
              <w:widowControl/>
              <w:jc w:val="center"/>
              <w:rPr>
                <w:rFonts w:ascii="Arial Narrow" w:hAnsi="Arial Narrow" w:cs="Times New Roman"/>
                <w:snapToGrid/>
                <w:sz w:val="20"/>
              </w:rPr>
            </w:pPr>
            <w:r w:rsidRPr="00FF7854">
              <w:rPr>
                <w:rFonts w:ascii="Arial Narrow" w:hAnsi="Arial Narrow" w:cs="Times New Roman"/>
                <w:snapToGrid/>
                <w:sz w:val="20"/>
              </w:rPr>
              <w:t>Manner of administration and form</w:t>
            </w:r>
          </w:p>
        </w:tc>
        <w:tc>
          <w:tcPr>
            <w:tcW w:w="576" w:type="pct"/>
            <w:tcBorders>
              <w:bottom w:val="single" w:sz="4" w:space="0" w:color="auto"/>
            </w:tcBorders>
          </w:tcPr>
          <w:p w:rsidR="00A551B9" w:rsidRPr="00FF7854" w:rsidRDefault="00A551B9" w:rsidP="00184A56">
            <w:pPr>
              <w:widowControl/>
              <w:jc w:val="center"/>
              <w:rPr>
                <w:rFonts w:ascii="Arial Narrow" w:hAnsi="Arial Narrow" w:cs="Times New Roman"/>
                <w:snapToGrid/>
                <w:sz w:val="20"/>
              </w:rPr>
            </w:pPr>
            <w:r w:rsidRPr="00FF7854">
              <w:rPr>
                <w:rFonts w:ascii="Arial Narrow" w:hAnsi="Arial Narrow" w:cs="Times New Roman"/>
                <w:snapToGrid/>
                <w:sz w:val="20"/>
              </w:rPr>
              <w:t>Max.</w:t>
            </w:r>
          </w:p>
          <w:p w:rsidR="00A551B9" w:rsidRPr="00FF7854" w:rsidRDefault="00A551B9" w:rsidP="00184A56">
            <w:pPr>
              <w:widowControl/>
              <w:jc w:val="center"/>
              <w:rPr>
                <w:rFonts w:ascii="Arial Narrow" w:hAnsi="Arial Narrow" w:cs="Times New Roman"/>
                <w:snapToGrid/>
                <w:sz w:val="20"/>
              </w:rPr>
            </w:pPr>
            <w:proofErr w:type="spellStart"/>
            <w:r w:rsidRPr="00FF7854">
              <w:rPr>
                <w:rFonts w:ascii="Arial Narrow" w:hAnsi="Arial Narrow" w:cs="Times New Roman"/>
                <w:snapToGrid/>
                <w:sz w:val="20"/>
              </w:rPr>
              <w:t>Qty</w:t>
            </w:r>
            <w:proofErr w:type="spellEnd"/>
          </w:p>
        </w:tc>
        <w:tc>
          <w:tcPr>
            <w:tcW w:w="329" w:type="pct"/>
            <w:tcBorders>
              <w:bottom w:val="single" w:sz="4" w:space="0" w:color="auto"/>
            </w:tcBorders>
          </w:tcPr>
          <w:p w:rsidR="00A551B9" w:rsidRPr="00FF7854" w:rsidRDefault="00A551B9" w:rsidP="00184A56">
            <w:pPr>
              <w:widowControl/>
              <w:jc w:val="center"/>
              <w:rPr>
                <w:rFonts w:ascii="Arial Narrow" w:hAnsi="Arial Narrow" w:cs="Times New Roman"/>
                <w:snapToGrid/>
                <w:sz w:val="20"/>
              </w:rPr>
            </w:pPr>
            <w:r w:rsidRPr="00FF7854">
              <w:rPr>
                <w:rFonts w:ascii="Arial Narrow" w:hAnsi="Arial Narrow" w:cs="Times New Roman"/>
                <w:snapToGrid/>
                <w:sz w:val="20"/>
              </w:rPr>
              <w:t>№.of</w:t>
            </w:r>
          </w:p>
          <w:p w:rsidR="00A551B9" w:rsidRPr="00FF7854" w:rsidRDefault="00A551B9" w:rsidP="00184A56">
            <w:pPr>
              <w:widowControl/>
              <w:jc w:val="center"/>
              <w:rPr>
                <w:rFonts w:ascii="Arial Narrow" w:hAnsi="Arial Narrow" w:cs="Times New Roman"/>
                <w:snapToGrid/>
                <w:sz w:val="20"/>
              </w:rPr>
            </w:pPr>
            <w:proofErr w:type="spellStart"/>
            <w:r w:rsidRPr="00FF7854">
              <w:rPr>
                <w:rFonts w:ascii="Arial Narrow" w:hAnsi="Arial Narrow" w:cs="Times New Roman"/>
                <w:snapToGrid/>
                <w:sz w:val="20"/>
              </w:rPr>
              <w:t>Rpts</w:t>
            </w:r>
            <w:proofErr w:type="spellEnd"/>
          </w:p>
        </w:tc>
        <w:tc>
          <w:tcPr>
            <w:tcW w:w="84" w:type="pct"/>
            <w:tcBorders>
              <w:bottom w:val="single" w:sz="4" w:space="0" w:color="auto"/>
            </w:tcBorders>
          </w:tcPr>
          <w:p w:rsidR="00A551B9" w:rsidRPr="00FF7854" w:rsidRDefault="00A551B9" w:rsidP="00184A56">
            <w:pPr>
              <w:widowControl/>
              <w:jc w:val="center"/>
              <w:rPr>
                <w:rFonts w:ascii="Arial Narrow" w:hAnsi="Arial Narrow" w:cs="Times New Roman"/>
                <w:snapToGrid/>
                <w:sz w:val="20"/>
              </w:rPr>
            </w:pPr>
          </w:p>
        </w:tc>
        <w:tc>
          <w:tcPr>
            <w:tcW w:w="2629" w:type="pct"/>
            <w:gridSpan w:val="2"/>
            <w:tcBorders>
              <w:bottom w:val="single" w:sz="4" w:space="0" w:color="auto"/>
            </w:tcBorders>
          </w:tcPr>
          <w:p w:rsidR="00A551B9" w:rsidRPr="00FF7854" w:rsidRDefault="00A551B9" w:rsidP="00184A56">
            <w:pPr>
              <w:widowControl/>
              <w:jc w:val="center"/>
              <w:rPr>
                <w:rFonts w:ascii="Arial Narrow" w:hAnsi="Arial Narrow" w:cs="Times New Roman"/>
                <w:snapToGrid/>
                <w:sz w:val="20"/>
              </w:rPr>
            </w:pPr>
            <w:r w:rsidRPr="00FF7854">
              <w:rPr>
                <w:rFonts w:ascii="Arial Narrow" w:hAnsi="Arial Narrow" w:cs="Times New Roman"/>
                <w:snapToGrid/>
                <w:sz w:val="20"/>
              </w:rPr>
              <w:t>Proprietary Name and Manufacturer</w:t>
            </w:r>
          </w:p>
        </w:tc>
      </w:tr>
      <w:tr w:rsidR="00A551B9" w:rsidRPr="00FF7854" w:rsidTr="00F9299D">
        <w:trPr>
          <w:cantSplit/>
          <w:trHeight w:val="577"/>
        </w:trPr>
        <w:tc>
          <w:tcPr>
            <w:tcW w:w="1382" w:type="pct"/>
            <w:gridSpan w:val="2"/>
          </w:tcPr>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mallCaps/>
                <w:snapToGrid/>
                <w:sz w:val="20"/>
              </w:rPr>
              <w:t>OBINUTUZUMAB</w:t>
            </w:r>
          </w:p>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solution for intravenous infusion</w:t>
            </w:r>
          </w:p>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1,000 mg in 40 mL</w:t>
            </w:r>
          </w:p>
        </w:tc>
        <w:tc>
          <w:tcPr>
            <w:tcW w:w="576" w:type="pct"/>
          </w:tcPr>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1,000 mg</w:t>
            </w:r>
          </w:p>
        </w:tc>
        <w:tc>
          <w:tcPr>
            <w:tcW w:w="329" w:type="pct"/>
          </w:tcPr>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7</w:t>
            </w:r>
          </w:p>
        </w:tc>
        <w:tc>
          <w:tcPr>
            <w:tcW w:w="84" w:type="pct"/>
          </w:tcPr>
          <w:p w:rsidR="00A551B9" w:rsidRPr="00FF7854" w:rsidRDefault="00A551B9" w:rsidP="00184A56">
            <w:pPr>
              <w:widowControl/>
              <w:jc w:val="left"/>
              <w:rPr>
                <w:rFonts w:ascii="Arial Narrow" w:hAnsi="Arial Narrow" w:cs="Times New Roman"/>
                <w:snapToGrid/>
                <w:sz w:val="20"/>
              </w:rPr>
            </w:pPr>
          </w:p>
        </w:tc>
        <w:tc>
          <w:tcPr>
            <w:tcW w:w="468" w:type="pct"/>
          </w:tcPr>
          <w:p w:rsidR="00A551B9" w:rsidRPr="00FF7854" w:rsidRDefault="00A551B9" w:rsidP="00184A56">
            <w:pPr>
              <w:widowControl/>
              <w:jc w:val="left"/>
              <w:rPr>
                <w:rFonts w:ascii="Arial Narrow" w:hAnsi="Arial Narrow" w:cs="Times New Roman"/>
                <w:snapToGrid/>
                <w:sz w:val="20"/>
              </w:rPr>
            </w:pPr>
            <w:proofErr w:type="spellStart"/>
            <w:r w:rsidRPr="00FF7854">
              <w:rPr>
                <w:rFonts w:ascii="Arial Narrow" w:hAnsi="Arial Narrow" w:cs="Times New Roman"/>
                <w:snapToGrid/>
                <w:sz w:val="20"/>
              </w:rPr>
              <w:t>Gazyva</w:t>
            </w:r>
            <w:proofErr w:type="spellEnd"/>
          </w:p>
        </w:tc>
        <w:tc>
          <w:tcPr>
            <w:tcW w:w="2162" w:type="pct"/>
          </w:tcPr>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Roche Products Pty Ltd</w:t>
            </w:r>
          </w:p>
        </w:tc>
      </w:tr>
      <w:tr w:rsidR="00A551B9" w:rsidRPr="00FF7854" w:rsidTr="00F9299D">
        <w:trPr>
          <w:cantSplit/>
          <w:trHeight w:val="423"/>
        </w:trPr>
        <w:tc>
          <w:tcPr>
            <w:tcW w:w="5000" w:type="pct"/>
            <w:gridSpan w:val="7"/>
            <w:tcBorders>
              <w:bottom w:val="single" w:sz="4" w:space="0" w:color="auto"/>
            </w:tcBorders>
          </w:tcPr>
          <w:p w:rsidR="007A20C0" w:rsidRPr="00FF7854" w:rsidRDefault="007A20C0" w:rsidP="007A20C0">
            <w:pPr>
              <w:rPr>
                <w:sz w:val="20"/>
              </w:rPr>
            </w:pPr>
          </w:p>
        </w:tc>
      </w:tr>
      <w:tr w:rsidR="00A551B9" w:rsidRPr="00FF7854" w:rsidTr="00F9299D">
        <w:trPr>
          <w:cantSplit/>
          <w:trHeight w:val="269"/>
        </w:trPr>
        <w:tc>
          <w:tcPr>
            <w:tcW w:w="479" w:type="pct"/>
            <w:tcBorders>
              <w:top w:val="single" w:sz="4" w:space="0" w:color="auto"/>
              <w:bottom w:val="single" w:sz="4" w:space="0" w:color="auto"/>
              <w:right w:val="single" w:sz="4" w:space="0" w:color="auto"/>
            </w:tcBorders>
          </w:tcPr>
          <w:p w:rsidR="00A551B9" w:rsidRPr="00FF7854" w:rsidRDefault="00A551B9" w:rsidP="00184A56">
            <w:pPr>
              <w:widowControl/>
              <w:rPr>
                <w:rFonts w:ascii="Arial Narrow" w:hAnsi="Arial Narrow"/>
                <w:b/>
                <w:snapToGrid/>
                <w:sz w:val="20"/>
                <w:lang w:eastAsia="en-AU"/>
              </w:rPr>
            </w:pPr>
            <w:r w:rsidRPr="00FF7854">
              <w:rPr>
                <w:rFonts w:ascii="Arial Narrow" w:hAnsi="Arial Narrow"/>
                <w:b/>
                <w:snapToGrid/>
                <w:sz w:val="20"/>
                <w:lang w:eastAsia="en-AU"/>
              </w:rPr>
              <w:t xml:space="preserve">Category / </w:t>
            </w:r>
          </w:p>
          <w:p w:rsidR="00A551B9" w:rsidRPr="00FF7854" w:rsidRDefault="00A551B9" w:rsidP="00184A56">
            <w:pPr>
              <w:widowControl/>
              <w:rPr>
                <w:rFonts w:ascii="Arial Narrow" w:hAnsi="Arial Narrow"/>
                <w:b/>
                <w:snapToGrid/>
                <w:sz w:val="20"/>
                <w:lang w:eastAsia="en-AU"/>
              </w:rPr>
            </w:pPr>
            <w:r w:rsidRPr="00FF7854">
              <w:rPr>
                <w:rFonts w:ascii="Arial Narrow" w:hAnsi="Arial Narrow"/>
                <w:b/>
                <w:snapToGrid/>
                <w:sz w:val="20"/>
                <w:lang w:eastAsia="en-AU"/>
              </w:rPr>
              <w:t>Program</w:t>
            </w:r>
          </w:p>
        </w:tc>
        <w:tc>
          <w:tcPr>
            <w:tcW w:w="4521" w:type="pct"/>
            <w:gridSpan w:val="6"/>
            <w:tcBorders>
              <w:top w:val="single" w:sz="4" w:space="0" w:color="auto"/>
              <w:left w:val="single" w:sz="4" w:space="0" w:color="auto"/>
              <w:bottom w:val="single" w:sz="4" w:space="0" w:color="auto"/>
            </w:tcBorders>
          </w:tcPr>
          <w:p w:rsidR="007357E3" w:rsidRDefault="00A551B9" w:rsidP="00184A56">
            <w:pPr>
              <w:widowControl/>
              <w:jc w:val="left"/>
              <w:rPr>
                <w:rFonts w:ascii="Arial Narrow" w:hAnsi="Arial Narrow" w:cs="Times New Roman"/>
                <w:snapToGrid/>
                <w:sz w:val="20"/>
              </w:rPr>
            </w:pPr>
            <w:r w:rsidRPr="005A2F09">
              <w:rPr>
                <w:rFonts w:ascii="Arial Narrow" w:hAnsi="Arial Narrow" w:cs="Times New Roman"/>
                <w:snapToGrid/>
                <w:sz w:val="20"/>
              </w:rPr>
              <w:t>Section 100 (efficient funding of chemotherapy arrangements) public/private hospital</w:t>
            </w:r>
            <w:r w:rsidR="007357E3">
              <w:rPr>
                <w:rFonts w:ascii="Arial Narrow" w:hAnsi="Arial Narrow" w:cs="Times New Roman"/>
                <w:snapToGrid/>
                <w:sz w:val="20"/>
              </w:rPr>
              <w:t xml:space="preserve"> </w:t>
            </w:r>
          </w:p>
          <w:p w:rsidR="00A551B9" w:rsidRPr="005A2F09" w:rsidRDefault="007357E3" w:rsidP="00184A56">
            <w:pPr>
              <w:widowControl/>
              <w:jc w:val="left"/>
              <w:rPr>
                <w:rFonts w:ascii="Arial Narrow" w:hAnsi="Arial Narrow" w:cs="Times New Roman"/>
                <w:snapToGrid/>
                <w:sz w:val="20"/>
              </w:rPr>
            </w:pPr>
            <w:r>
              <w:rPr>
                <w:rFonts w:ascii="Arial Narrow" w:hAnsi="Arial Narrow" w:cs="Times New Roman"/>
                <w:snapToGrid/>
                <w:sz w:val="20"/>
              </w:rPr>
              <w:t>(Written Authority Required)</w:t>
            </w:r>
          </w:p>
        </w:tc>
      </w:tr>
      <w:tr w:rsidR="00A551B9" w:rsidRPr="00FF7854" w:rsidTr="00F9299D">
        <w:trPr>
          <w:cantSplit/>
          <w:trHeight w:val="269"/>
        </w:trPr>
        <w:tc>
          <w:tcPr>
            <w:tcW w:w="479" w:type="pct"/>
            <w:tcBorders>
              <w:top w:val="single" w:sz="4" w:space="0" w:color="auto"/>
              <w:bottom w:val="single" w:sz="4" w:space="0" w:color="auto"/>
              <w:right w:val="single" w:sz="4" w:space="0" w:color="auto"/>
            </w:tcBorders>
          </w:tcPr>
          <w:p w:rsidR="00A551B9" w:rsidRPr="00FF7854" w:rsidRDefault="00A551B9" w:rsidP="00184A56">
            <w:pPr>
              <w:widowControl/>
              <w:rPr>
                <w:rFonts w:ascii="Arial Narrow" w:hAnsi="Arial Narrow"/>
                <w:b/>
                <w:snapToGrid/>
                <w:sz w:val="20"/>
                <w:lang w:eastAsia="en-AU"/>
              </w:rPr>
            </w:pPr>
            <w:r w:rsidRPr="00FF7854">
              <w:rPr>
                <w:rFonts w:ascii="Arial Narrow" w:hAnsi="Arial Narrow"/>
                <w:b/>
                <w:snapToGrid/>
                <w:sz w:val="20"/>
                <w:lang w:eastAsia="en-AU"/>
              </w:rPr>
              <w:t>Prescriber type:</w:t>
            </w:r>
          </w:p>
          <w:p w:rsidR="00A551B9" w:rsidRPr="00FF7854" w:rsidRDefault="00A551B9" w:rsidP="00184A56">
            <w:pPr>
              <w:widowControl/>
              <w:rPr>
                <w:rFonts w:ascii="Arial Narrow" w:hAnsi="Arial Narrow"/>
                <w:b/>
                <w:snapToGrid/>
                <w:sz w:val="20"/>
                <w:lang w:eastAsia="en-AU"/>
              </w:rPr>
            </w:pPr>
          </w:p>
        </w:tc>
        <w:tc>
          <w:tcPr>
            <w:tcW w:w="4521" w:type="pct"/>
            <w:gridSpan w:val="6"/>
            <w:tcBorders>
              <w:top w:val="single" w:sz="4" w:space="0" w:color="auto"/>
              <w:left w:val="single" w:sz="4" w:space="0" w:color="auto"/>
              <w:bottom w:val="single" w:sz="4" w:space="0" w:color="auto"/>
            </w:tcBorders>
          </w:tcPr>
          <w:p w:rsidR="00A551B9" w:rsidRPr="00FF7854" w:rsidRDefault="00A551B9" w:rsidP="00184A56">
            <w:pPr>
              <w:widowControl/>
              <w:jc w:val="left"/>
              <w:rPr>
                <w:rFonts w:ascii="Arial Narrow" w:hAnsi="Arial Narrow"/>
                <w:snapToGrid/>
                <w:sz w:val="20"/>
                <w:lang w:eastAsia="en-AU"/>
              </w:rPr>
            </w:pPr>
            <w:r w:rsidRPr="00FF7854">
              <w:rPr>
                <w:rFonts w:ascii="Arial Narrow" w:hAnsi="Arial Narrow"/>
                <w:snapToGrid/>
                <w:sz w:val="20"/>
                <w:lang w:eastAsia="en-AU"/>
              </w:rPr>
              <w:fldChar w:fldCharType="begin">
                <w:ffData>
                  <w:name w:val="Check1"/>
                  <w:enabled/>
                  <w:calcOnExit w:val="0"/>
                  <w:checkBox>
                    <w:sizeAuto/>
                    <w:default w:val="0"/>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 xml:space="preserve">Dental  </w:t>
            </w:r>
            <w:r w:rsidRPr="00FF7854">
              <w:rPr>
                <w:rFonts w:ascii="Arial Narrow" w:hAnsi="Arial Narrow"/>
                <w:snapToGrid/>
                <w:sz w:val="20"/>
                <w:lang w:eastAsia="en-AU"/>
              </w:rPr>
              <w:fldChar w:fldCharType="begin">
                <w:ffData>
                  <w:name w:val=""/>
                  <w:enabled/>
                  <w:calcOnExit w:val="0"/>
                  <w:checkBox>
                    <w:sizeAuto/>
                    <w:default w:val="1"/>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 xml:space="preserve">Medical Practitioners  </w:t>
            </w:r>
            <w:r w:rsidRPr="00FF7854">
              <w:rPr>
                <w:rFonts w:ascii="Arial Narrow" w:hAnsi="Arial Narrow"/>
                <w:snapToGrid/>
                <w:sz w:val="20"/>
                <w:lang w:eastAsia="en-AU"/>
              </w:rPr>
              <w:fldChar w:fldCharType="begin">
                <w:ffData>
                  <w:name w:val="Check3"/>
                  <w:enabled/>
                  <w:calcOnExit w:val="0"/>
                  <w:checkBox>
                    <w:sizeAuto/>
                    <w:default w:val="0"/>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 xml:space="preserve">Nurse practitioners  </w:t>
            </w:r>
            <w:r w:rsidRPr="00FF7854">
              <w:rPr>
                <w:rFonts w:ascii="Arial Narrow" w:hAnsi="Arial Narrow"/>
                <w:snapToGrid/>
                <w:sz w:val="20"/>
                <w:lang w:eastAsia="en-AU"/>
              </w:rPr>
              <w:fldChar w:fldCharType="begin">
                <w:ffData>
                  <w:name w:val=""/>
                  <w:enabled/>
                  <w:calcOnExit w:val="0"/>
                  <w:checkBox>
                    <w:sizeAuto/>
                    <w:default w:val="0"/>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Optometrists</w:t>
            </w:r>
          </w:p>
          <w:p w:rsidR="00A551B9" w:rsidRPr="00FF7854" w:rsidRDefault="00A551B9" w:rsidP="00184A56">
            <w:pPr>
              <w:widowControl/>
              <w:jc w:val="left"/>
              <w:rPr>
                <w:rFonts w:ascii="Arial Narrow" w:hAnsi="Arial Narrow"/>
                <w:snapToGrid/>
                <w:sz w:val="20"/>
                <w:lang w:eastAsia="en-AU"/>
              </w:rPr>
            </w:pPr>
            <w:r w:rsidRPr="00FF7854">
              <w:rPr>
                <w:rFonts w:ascii="Arial Narrow" w:hAnsi="Arial Narrow"/>
                <w:snapToGrid/>
                <w:sz w:val="20"/>
                <w:lang w:eastAsia="en-AU"/>
              </w:rPr>
              <w:fldChar w:fldCharType="begin">
                <w:ffData>
                  <w:name w:val="Check5"/>
                  <w:enabled/>
                  <w:calcOnExit w:val="0"/>
                  <w:checkBox>
                    <w:sizeAuto/>
                    <w:default w:val="0"/>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Midwives</w:t>
            </w:r>
          </w:p>
        </w:tc>
      </w:tr>
      <w:tr w:rsidR="00A551B9" w:rsidRPr="00FF7854" w:rsidTr="00F9299D">
        <w:trPr>
          <w:cantSplit/>
          <w:trHeight w:val="269"/>
        </w:trPr>
        <w:tc>
          <w:tcPr>
            <w:tcW w:w="479" w:type="pct"/>
            <w:tcBorders>
              <w:top w:val="single" w:sz="4" w:space="0" w:color="auto"/>
              <w:bottom w:val="single" w:sz="4" w:space="0" w:color="auto"/>
              <w:right w:val="single" w:sz="4" w:space="0" w:color="auto"/>
            </w:tcBorders>
          </w:tcPr>
          <w:p w:rsidR="00A551B9" w:rsidRPr="00FF7854" w:rsidRDefault="00A551B9" w:rsidP="00184A56">
            <w:pPr>
              <w:widowControl/>
              <w:rPr>
                <w:rFonts w:ascii="Arial Narrow" w:hAnsi="Arial Narrow"/>
                <w:b/>
                <w:snapToGrid/>
                <w:sz w:val="20"/>
                <w:lang w:eastAsia="en-AU"/>
              </w:rPr>
            </w:pPr>
            <w:proofErr w:type="spellStart"/>
            <w:r w:rsidRPr="00FF7854">
              <w:rPr>
                <w:rFonts w:ascii="Arial Narrow" w:hAnsi="Arial Narrow"/>
                <w:b/>
                <w:snapToGrid/>
                <w:sz w:val="20"/>
                <w:lang w:eastAsia="en-AU"/>
              </w:rPr>
              <w:t>Episodicity</w:t>
            </w:r>
            <w:proofErr w:type="spellEnd"/>
            <w:r w:rsidRPr="00FF7854">
              <w:rPr>
                <w:rFonts w:ascii="Arial Narrow" w:hAnsi="Arial Narrow"/>
                <w:b/>
                <w:snapToGrid/>
                <w:sz w:val="20"/>
                <w:lang w:eastAsia="en-AU"/>
              </w:rPr>
              <w:t>:</w:t>
            </w:r>
          </w:p>
        </w:tc>
        <w:tc>
          <w:tcPr>
            <w:tcW w:w="4521" w:type="pct"/>
            <w:gridSpan w:val="6"/>
            <w:tcBorders>
              <w:top w:val="single" w:sz="4" w:space="0" w:color="auto"/>
              <w:left w:val="single" w:sz="4" w:space="0" w:color="auto"/>
              <w:bottom w:val="single" w:sz="4" w:space="0" w:color="auto"/>
            </w:tcBorders>
          </w:tcPr>
          <w:p w:rsidR="00A551B9" w:rsidRPr="00FF7854" w:rsidRDefault="00A551B9" w:rsidP="00A50C66">
            <w:pPr>
              <w:widowControl/>
              <w:jc w:val="left"/>
              <w:rPr>
                <w:rFonts w:ascii="Arial Narrow" w:hAnsi="Arial Narrow"/>
                <w:snapToGrid/>
                <w:sz w:val="20"/>
                <w:lang w:eastAsia="en-AU"/>
              </w:rPr>
            </w:pPr>
            <w:r>
              <w:rPr>
                <w:rFonts w:ascii="Arial Narrow" w:hAnsi="Arial Narrow"/>
                <w:snapToGrid/>
                <w:sz w:val="20"/>
                <w:lang w:eastAsia="en-AU"/>
              </w:rPr>
              <w:t>Previously untreated</w:t>
            </w:r>
          </w:p>
        </w:tc>
      </w:tr>
      <w:tr w:rsidR="00A551B9" w:rsidRPr="00FF7854" w:rsidTr="00F9299D">
        <w:trPr>
          <w:cantSplit/>
          <w:trHeight w:val="269"/>
        </w:trPr>
        <w:tc>
          <w:tcPr>
            <w:tcW w:w="479" w:type="pct"/>
            <w:tcBorders>
              <w:top w:val="single" w:sz="4" w:space="0" w:color="auto"/>
              <w:bottom w:val="single" w:sz="4" w:space="0" w:color="auto"/>
              <w:right w:val="single" w:sz="4" w:space="0" w:color="auto"/>
            </w:tcBorders>
          </w:tcPr>
          <w:p w:rsidR="00A551B9" w:rsidRPr="00FF7854" w:rsidRDefault="00A551B9" w:rsidP="00184A56">
            <w:pPr>
              <w:widowControl/>
              <w:rPr>
                <w:rFonts w:ascii="Arial Narrow" w:hAnsi="Arial Narrow"/>
                <w:b/>
                <w:snapToGrid/>
                <w:sz w:val="20"/>
                <w:lang w:eastAsia="en-AU"/>
              </w:rPr>
            </w:pPr>
            <w:r w:rsidRPr="00FF7854">
              <w:rPr>
                <w:rFonts w:ascii="Arial Narrow" w:hAnsi="Arial Narrow"/>
                <w:b/>
                <w:snapToGrid/>
                <w:sz w:val="20"/>
                <w:lang w:eastAsia="en-AU"/>
              </w:rPr>
              <w:t>Condition:</w:t>
            </w:r>
          </w:p>
        </w:tc>
        <w:tc>
          <w:tcPr>
            <w:tcW w:w="4521" w:type="pct"/>
            <w:gridSpan w:val="6"/>
            <w:tcBorders>
              <w:top w:val="single" w:sz="4" w:space="0" w:color="auto"/>
              <w:left w:val="single" w:sz="4" w:space="0" w:color="auto"/>
              <w:bottom w:val="single" w:sz="4" w:space="0" w:color="auto"/>
            </w:tcBorders>
          </w:tcPr>
          <w:p w:rsidR="00A551B9" w:rsidRPr="00FF7854" w:rsidRDefault="00A50C66" w:rsidP="00184A56">
            <w:pPr>
              <w:widowControl/>
              <w:jc w:val="left"/>
              <w:rPr>
                <w:rFonts w:ascii="Arial Narrow" w:hAnsi="Arial Narrow"/>
                <w:i/>
                <w:snapToGrid/>
                <w:sz w:val="20"/>
                <w:lang w:eastAsia="en-AU"/>
              </w:rPr>
            </w:pPr>
            <w:r>
              <w:rPr>
                <w:rFonts w:ascii="Arial Narrow" w:hAnsi="Arial Narrow" w:cs="Times New Roman"/>
                <w:snapToGrid/>
                <w:sz w:val="20"/>
                <w:szCs w:val="22"/>
                <w:lang w:bidi="en-US"/>
              </w:rPr>
              <w:t xml:space="preserve">CD20 positive </w:t>
            </w:r>
            <w:r w:rsidR="00A551B9" w:rsidRPr="00FF7854">
              <w:rPr>
                <w:rFonts w:ascii="Arial Narrow" w:hAnsi="Arial Narrow" w:cs="Times New Roman"/>
                <w:snapToGrid/>
                <w:sz w:val="20"/>
                <w:szCs w:val="22"/>
                <w:lang w:bidi="en-US"/>
              </w:rPr>
              <w:t>Chronic Lymphocytic Leukaemia</w:t>
            </w:r>
          </w:p>
        </w:tc>
      </w:tr>
      <w:tr w:rsidR="00A50C66" w:rsidRPr="00FF7854" w:rsidTr="00F9299D">
        <w:trPr>
          <w:cantSplit/>
          <w:trHeight w:val="269"/>
        </w:trPr>
        <w:tc>
          <w:tcPr>
            <w:tcW w:w="479" w:type="pct"/>
            <w:tcBorders>
              <w:top w:val="single" w:sz="4" w:space="0" w:color="auto"/>
              <w:bottom w:val="single" w:sz="4" w:space="0" w:color="auto"/>
              <w:right w:val="single" w:sz="4" w:space="0" w:color="auto"/>
            </w:tcBorders>
          </w:tcPr>
          <w:p w:rsidR="00A50C66" w:rsidRPr="00FF7854" w:rsidRDefault="00A50C66" w:rsidP="00184A56">
            <w:pPr>
              <w:widowControl/>
              <w:rPr>
                <w:rFonts w:ascii="Arial Narrow" w:hAnsi="Arial Narrow"/>
                <w:b/>
                <w:snapToGrid/>
                <w:sz w:val="20"/>
                <w:lang w:eastAsia="en-AU"/>
              </w:rPr>
            </w:pPr>
            <w:r>
              <w:rPr>
                <w:rFonts w:ascii="Arial Narrow" w:hAnsi="Arial Narrow"/>
                <w:b/>
                <w:snapToGrid/>
                <w:sz w:val="20"/>
                <w:lang w:eastAsia="en-AU"/>
              </w:rPr>
              <w:t>Indication:</w:t>
            </w:r>
          </w:p>
        </w:tc>
        <w:tc>
          <w:tcPr>
            <w:tcW w:w="4521" w:type="pct"/>
            <w:gridSpan w:val="6"/>
            <w:tcBorders>
              <w:top w:val="single" w:sz="4" w:space="0" w:color="auto"/>
              <w:left w:val="single" w:sz="4" w:space="0" w:color="auto"/>
              <w:bottom w:val="single" w:sz="4" w:space="0" w:color="auto"/>
            </w:tcBorders>
          </w:tcPr>
          <w:p w:rsidR="00A50C66" w:rsidRDefault="00A50C66" w:rsidP="00184A56">
            <w:pPr>
              <w:widowControl/>
              <w:jc w:val="left"/>
              <w:rPr>
                <w:rFonts w:ascii="Arial Narrow" w:hAnsi="Arial Narrow" w:cs="Times New Roman"/>
                <w:snapToGrid/>
                <w:sz w:val="20"/>
                <w:szCs w:val="22"/>
                <w:lang w:bidi="en-US"/>
              </w:rPr>
            </w:pPr>
            <w:r>
              <w:rPr>
                <w:rFonts w:ascii="Arial Narrow" w:hAnsi="Arial Narrow" w:cs="Times New Roman"/>
                <w:snapToGrid/>
                <w:sz w:val="20"/>
                <w:szCs w:val="22"/>
                <w:lang w:bidi="en-US"/>
              </w:rPr>
              <w:t xml:space="preserve">Previously untreated </w:t>
            </w:r>
            <w:r w:rsidRPr="00A50C66">
              <w:rPr>
                <w:rFonts w:ascii="Arial Narrow" w:hAnsi="Arial Narrow" w:cs="Times New Roman"/>
                <w:snapToGrid/>
                <w:sz w:val="20"/>
                <w:szCs w:val="22"/>
                <w:lang w:bidi="en-US"/>
              </w:rPr>
              <w:t>CD20 positive Chronic Lymphocytic Leukaemia</w:t>
            </w:r>
          </w:p>
        </w:tc>
      </w:tr>
      <w:tr w:rsidR="00A551B9" w:rsidRPr="00FF7854" w:rsidTr="00F9299D">
        <w:trPr>
          <w:cantSplit/>
          <w:trHeight w:val="269"/>
        </w:trPr>
        <w:tc>
          <w:tcPr>
            <w:tcW w:w="479" w:type="pct"/>
            <w:tcBorders>
              <w:top w:val="single" w:sz="4" w:space="0" w:color="auto"/>
              <w:bottom w:val="single" w:sz="4" w:space="0" w:color="auto"/>
              <w:right w:val="single" w:sz="4" w:space="0" w:color="auto"/>
            </w:tcBorders>
          </w:tcPr>
          <w:p w:rsidR="00A551B9" w:rsidRPr="00FF7854" w:rsidRDefault="00A551B9" w:rsidP="00A50C66">
            <w:pPr>
              <w:widowControl/>
              <w:rPr>
                <w:rFonts w:ascii="Arial Narrow" w:hAnsi="Arial Narrow"/>
                <w:i/>
                <w:snapToGrid/>
                <w:sz w:val="20"/>
                <w:lang w:eastAsia="en-AU"/>
              </w:rPr>
            </w:pPr>
            <w:r w:rsidRPr="00FF7854">
              <w:rPr>
                <w:rFonts w:ascii="Arial Narrow" w:hAnsi="Arial Narrow"/>
                <w:b/>
                <w:snapToGrid/>
                <w:sz w:val="20"/>
                <w:lang w:eastAsia="en-AU"/>
              </w:rPr>
              <w:t>Treatment phase:</w:t>
            </w:r>
          </w:p>
        </w:tc>
        <w:tc>
          <w:tcPr>
            <w:tcW w:w="4521" w:type="pct"/>
            <w:gridSpan w:val="6"/>
            <w:tcBorders>
              <w:top w:val="single" w:sz="4" w:space="0" w:color="auto"/>
              <w:left w:val="single" w:sz="4" w:space="0" w:color="auto"/>
              <w:bottom w:val="single" w:sz="4" w:space="0" w:color="auto"/>
            </w:tcBorders>
          </w:tcPr>
          <w:p w:rsidR="00A551B9" w:rsidRPr="00FF7854" w:rsidRDefault="00A551B9" w:rsidP="00A50C66">
            <w:pPr>
              <w:widowControl/>
              <w:rPr>
                <w:rFonts w:ascii="Arial Narrow" w:hAnsi="Arial Narrow"/>
                <w:snapToGrid/>
                <w:sz w:val="20"/>
                <w:lang w:eastAsia="en-AU"/>
              </w:rPr>
            </w:pPr>
            <w:r w:rsidRPr="00FF7854">
              <w:rPr>
                <w:rFonts w:ascii="Arial Narrow" w:hAnsi="Arial Narrow"/>
                <w:snapToGrid/>
                <w:sz w:val="20"/>
                <w:lang w:eastAsia="en-AU"/>
              </w:rPr>
              <w:t>Initial and continuing treatment</w:t>
            </w:r>
          </w:p>
        </w:tc>
      </w:tr>
      <w:tr w:rsidR="00A551B9" w:rsidRPr="00FF7854" w:rsidTr="00F9299D">
        <w:trPr>
          <w:cantSplit/>
          <w:trHeight w:val="269"/>
        </w:trPr>
        <w:tc>
          <w:tcPr>
            <w:tcW w:w="479" w:type="pct"/>
            <w:tcBorders>
              <w:top w:val="single" w:sz="4" w:space="0" w:color="auto"/>
              <w:bottom w:val="single" w:sz="4" w:space="0" w:color="auto"/>
              <w:right w:val="single" w:sz="4" w:space="0" w:color="auto"/>
            </w:tcBorders>
          </w:tcPr>
          <w:p w:rsidR="00A551B9" w:rsidRPr="00FF7854" w:rsidRDefault="00A551B9" w:rsidP="00F9299D">
            <w:pPr>
              <w:widowControl/>
              <w:jc w:val="left"/>
              <w:rPr>
                <w:rFonts w:ascii="Arial Narrow" w:hAnsi="Arial Narrow"/>
                <w:b/>
                <w:snapToGrid/>
                <w:sz w:val="20"/>
                <w:lang w:eastAsia="en-AU"/>
              </w:rPr>
            </w:pPr>
            <w:r w:rsidRPr="00FF7854">
              <w:rPr>
                <w:rFonts w:ascii="Arial Narrow" w:hAnsi="Arial Narrow"/>
                <w:b/>
                <w:snapToGrid/>
                <w:sz w:val="20"/>
                <w:lang w:eastAsia="en-AU"/>
              </w:rPr>
              <w:t>Restriction Level / Method:</w:t>
            </w:r>
          </w:p>
          <w:p w:rsidR="00A551B9" w:rsidRPr="00FF7854" w:rsidRDefault="00A551B9" w:rsidP="00184A56">
            <w:pPr>
              <w:widowControl/>
              <w:jc w:val="left"/>
              <w:rPr>
                <w:rFonts w:ascii="Arial Narrow" w:hAnsi="Arial Narrow"/>
                <w:i/>
                <w:snapToGrid/>
                <w:sz w:val="20"/>
                <w:lang w:eastAsia="en-AU"/>
              </w:rPr>
            </w:pPr>
          </w:p>
        </w:tc>
        <w:tc>
          <w:tcPr>
            <w:tcW w:w="4521" w:type="pct"/>
            <w:gridSpan w:val="6"/>
            <w:tcBorders>
              <w:top w:val="single" w:sz="4" w:space="0" w:color="auto"/>
              <w:left w:val="single" w:sz="4" w:space="0" w:color="auto"/>
              <w:bottom w:val="single" w:sz="4" w:space="0" w:color="auto"/>
            </w:tcBorders>
          </w:tcPr>
          <w:p w:rsidR="00A551B9" w:rsidRPr="00FF7854" w:rsidRDefault="00A551B9" w:rsidP="00184A56">
            <w:pPr>
              <w:widowControl/>
              <w:jc w:val="left"/>
              <w:rPr>
                <w:rFonts w:ascii="Arial Narrow" w:hAnsi="Arial Narrow"/>
                <w:snapToGrid/>
                <w:sz w:val="20"/>
                <w:lang w:eastAsia="en-AU"/>
              </w:rPr>
            </w:pPr>
            <w:r w:rsidRPr="00FF7854">
              <w:rPr>
                <w:rFonts w:ascii="Arial Narrow" w:hAnsi="Arial Narrow"/>
                <w:snapToGrid/>
                <w:sz w:val="20"/>
                <w:lang w:eastAsia="en-AU"/>
              </w:rPr>
              <w:fldChar w:fldCharType="begin">
                <w:ffData>
                  <w:name w:val="Check1"/>
                  <w:enabled/>
                  <w:calcOnExit w:val="0"/>
                  <w:checkBox>
                    <w:sizeAuto/>
                    <w:default w:val="0"/>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Restricted benefit</w:t>
            </w:r>
          </w:p>
          <w:p w:rsidR="00A551B9" w:rsidRPr="00FF7854" w:rsidRDefault="00A551B9" w:rsidP="00184A56">
            <w:pPr>
              <w:widowControl/>
              <w:jc w:val="left"/>
              <w:rPr>
                <w:rFonts w:ascii="Arial Narrow" w:hAnsi="Arial Narrow"/>
                <w:snapToGrid/>
                <w:sz w:val="20"/>
                <w:lang w:eastAsia="en-AU"/>
              </w:rPr>
            </w:pPr>
            <w:r>
              <w:rPr>
                <w:rFonts w:ascii="Arial Narrow" w:hAnsi="Arial Narrow"/>
                <w:snapToGrid/>
                <w:sz w:val="20"/>
                <w:lang w:eastAsia="en-AU"/>
              </w:rPr>
              <w:fldChar w:fldCharType="begin">
                <w:ffData>
                  <w:name w:val=""/>
                  <w:enabled/>
                  <w:calcOnExit w:val="0"/>
                  <w:checkBox>
                    <w:sizeAuto/>
                    <w:default w:val="1"/>
                  </w:checkBox>
                </w:ffData>
              </w:fldChar>
            </w:r>
            <w:r>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Pr>
                <w:rFonts w:ascii="Arial Narrow" w:hAnsi="Arial Narrow"/>
                <w:snapToGrid/>
                <w:sz w:val="20"/>
                <w:lang w:eastAsia="en-AU"/>
              </w:rPr>
              <w:fldChar w:fldCharType="end"/>
            </w:r>
            <w:r w:rsidRPr="00FF7854">
              <w:rPr>
                <w:rFonts w:ascii="Arial Narrow" w:hAnsi="Arial Narrow"/>
                <w:snapToGrid/>
                <w:sz w:val="20"/>
                <w:lang w:eastAsia="en-AU"/>
              </w:rPr>
              <w:t>Authority Required - In Writing</w:t>
            </w:r>
          </w:p>
          <w:p w:rsidR="00A551B9" w:rsidRPr="00FF7854" w:rsidRDefault="00A551B9" w:rsidP="00184A56">
            <w:pPr>
              <w:widowControl/>
              <w:jc w:val="left"/>
              <w:rPr>
                <w:rFonts w:ascii="Arial Narrow" w:hAnsi="Arial Narrow"/>
                <w:snapToGrid/>
                <w:sz w:val="20"/>
                <w:lang w:eastAsia="en-AU"/>
              </w:rPr>
            </w:pPr>
            <w:r w:rsidRPr="00FF7854">
              <w:rPr>
                <w:rFonts w:ascii="Arial Narrow" w:hAnsi="Arial Narrow"/>
                <w:snapToGrid/>
                <w:sz w:val="20"/>
                <w:lang w:eastAsia="en-AU"/>
              </w:rPr>
              <w:fldChar w:fldCharType="begin">
                <w:ffData>
                  <w:name w:val="Check3"/>
                  <w:enabled/>
                  <w:calcOnExit w:val="0"/>
                  <w:checkBox>
                    <w:sizeAuto/>
                    <w:default w:val="0"/>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Authority Required - Telephone</w:t>
            </w:r>
          </w:p>
          <w:p w:rsidR="00A551B9" w:rsidRPr="00FF7854" w:rsidRDefault="00A551B9" w:rsidP="00184A56">
            <w:pPr>
              <w:widowControl/>
              <w:jc w:val="left"/>
              <w:rPr>
                <w:rFonts w:ascii="Arial Narrow" w:hAnsi="Arial Narrow"/>
                <w:snapToGrid/>
                <w:sz w:val="20"/>
                <w:lang w:eastAsia="en-AU"/>
              </w:rPr>
            </w:pPr>
            <w:r w:rsidRPr="00FF7854">
              <w:rPr>
                <w:rFonts w:ascii="Arial Narrow" w:hAnsi="Arial Narrow"/>
                <w:snapToGrid/>
                <w:sz w:val="20"/>
                <w:lang w:eastAsia="en-AU"/>
              </w:rPr>
              <w:fldChar w:fldCharType="begin">
                <w:ffData>
                  <w:name w:val=""/>
                  <w:enabled/>
                  <w:calcOnExit w:val="0"/>
                  <w:checkBox>
                    <w:sizeAuto/>
                    <w:default w:val="0"/>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Authority Required – Emergency</w:t>
            </w:r>
          </w:p>
          <w:p w:rsidR="00A551B9" w:rsidRPr="00FF7854" w:rsidRDefault="00A551B9" w:rsidP="00184A56">
            <w:pPr>
              <w:widowControl/>
              <w:jc w:val="left"/>
              <w:rPr>
                <w:rFonts w:ascii="Arial Narrow" w:hAnsi="Arial Narrow"/>
                <w:snapToGrid/>
                <w:sz w:val="20"/>
                <w:lang w:eastAsia="en-AU"/>
              </w:rPr>
            </w:pPr>
            <w:r w:rsidRPr="00FF7854">
              <w:rPr>
                <w:rFonts w:ascii="Arial Narrow" w:hAnsi="Arial Narrow"/>
                <w:snapToGrid/>
                <w:sz w:val="20"/>
                <w:lang w:eastAsia="en-AU"/>
              </w:rPr>
              <w:fldChar w:fldCharType="begin">
                <w:ffData>
                  <w:name w:val="Check5"/>
                  <w:enabled/>
                  <w:calcOnExit w:val="0"/>
                  <w:checkBox>
                    <w:sizeAuto/>
                    <w:default w:val="0"/>
                  </w:checkBox>
                </w:ffData>
              </w:fldChar>
            </w:r>
            <w:r w:rsidRPr="00FF7854">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sidRPr="00FF7854">
              <w:rPr>
                <w:rFonts w:ascii="Arial Narrow" w:hAnsi="Arial Narrow"/>
                <w:snapToGrid/>
                <w:sz w:val="20"/>
                <w:lang w:eastAsia="en-AU"/>
              </w:rPr>
              <w:fldChar w:fldCharType="end"/>
            </w:r>
            <w:r w:rsidRPr="00FF7854">
              <w:rPr>
                <w:rFonts w:ascii="Arial Narrow" w:hAnsi="Arial Narrow"/>
                <w:snapToGrid/>
                <w:sz w:val="20"/>
                <w:lang w:eastAsia="en-AU"/>
              </w:rPr>
              <w:t>Authority Required - Electronic</w:t>
            </w:r>
          </w:p>
          <w:p w:rsidR="00A551B9" w:rsidRPr="00FF7854" w:rsidRDefault="00A551B9" w:rsidP="00184A56">
            <w:pPr>
              <w:widowControl/>
              <w:jc w:val="left"/>
              <w:rPr>
                <w:rFonts w:ascii="Arial Narrow" w:hAnsi="Arial Narrow"/>
                <w:snapToGrid/>
                <w:sz w:val="20"/>
                <w:lang w:eastAsia="en-AU"/>
              </w:rPr>
            </w:pPr>
            <w:r>
              <w:rPr>
                <w:rFonts w:ascii="Arial Narrow" w:hAnsi="Arial Narrow"/>
                <w:snapToGrid/>
                <w:sz w:val="20"/>
                <w:lang w:eastAsia="en-AU"/>
              </w:rPr>
              <w:fldChar w:fldCharType="begin">
                <w:ffData>
                  <w:name w:val="Check5"/>
                  <w:enabled/>
                  <w:calcOnExit w:val="0"/>
                  <w:checkBox>
                    <w:sizeAuto/>
                    <w:default w:val="0"/>
                  </w:checkBox>
                </w:ffData>
              </w:fldChar>
            </w:r>
            <w:bookmarkStart w:id="19" w:name="Check5"/>
            <w:r>
              <w:rPr>
                <w:rFonts w:ascii="Arial Narrow" w:hAnsi="Arial Narrow"/>
                <w:snapToGrid/>
                <w:sz w:val="20"/>
                <w:lang w:eastAsia="en-AU"/>
              </w:rPr>
              <w:instrText xml:space="preserve"> FORMCHECKBOX </w:instrText>
            </w:r>
            <w:r w:rsidR="007C45E4">
              <w:rPr>
                <w:rFonts w:ascii="Arial Narrow" w:hAnsi="Arial Narrow"/>
                <w:snapToGrid/>
                <w:sz w:val="20"/>
                <w:lang w:eastAsia="en-AU"/>
              </w:rPr>
            </w:r>
            <w:r w:rsidR="007C45E4">
              <w:rPr>
                <w:rFonts w:ascii="Arial Narrow" w:hAnsi="Arial Narrow"/>
                <w:snapToGrid/>
                <w:sz w:val="20"/>
                <w:lang w:eastAsia="en-AU"/>
              </w:rPr>
              <w:fldChar w:fldCharType="separate"/>
            </w:r>
            <w:r>
              <w:rPr>
                <w:rFonts w:ascii="Arial Narrow" w:hAnsi="Arial Narrow"/>
                <w:snapToGrid/>
                <w:sz w:val="20"/>
                <w:lang w:eastAsia="en-AU"/>
              </w:rPr>
              <w:fldChar w:fldCharType="end"/>
            </w:r>
            <w:bookmarkEnd w:id="19"/>
            <w:r w:rsidRPr="00FF7854">
              <w:rPr>
                <w:rFonts w:ascii="Arial Narrow" w:hAnsi="Arial Narrow"/>
                <w:snapToGrid/>
                <w:sz w:val="20"/>
                <w:lang w:eastAsia="en-AU"/>
              </w:rPr>
              <w:t>Streamlined</w:t>
            </w:r>
          </w:p>
        </w:tc>
      </w:tr>
      <w:tr w:rsidR="00A551B9" w:rsidRPr="00FF7854" w:rsidTr="00F9299D">
        <w:trPr>
          <w:cantSplit/>
          <w:trHeight w:val="458"/>
        </w:trPr>
        <w:tc>
          <w:tcPr>
            <w:tcW w:w="479" w:type="pct"/>
            <w:tcBorders>
              <w:top w:val="single" w:sz="4" w:space="0" w:color="auto"/>
              <w:bottom w:val="single" w:sz="4" w:space="0" w:color="auto"/>
              <w:right w:val="single" w:sz="4" w:space="0" w:color="auto"/>
            </w:tcBorders>
          </w:tcPr>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Treatment criteria:</w:t>
            </w:r>
          </w:p>
        </w:tc>
        <w:tc>
          <w:tcPr>
            <w:tcW w:w="4521" w:type="pct"/>
            <w:gridSpan w:val="6"/>
            <w:tcBorders>
              <w:top w:val="single" w:sz="4" w:space="0" w:color="auto"/>
              <w:left w:val="single" w:sz="4" w:space="0" w:color="auto"/>
              <w:bottom w:val="single" w:sz="4" w:space="0" w:color="auto"/>
            </w:tcBorders>
          </w:tcPr>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Patient must</w:t>
            </w:r>
            <w:r w:rsidR="00A50C66">
              <w:rPr>
                <w:rFonts w:ascii="Arial Narrow" w:hAnsi="Arial Narrow" w:cs="Times New Roman"/>
                <w:snapToGrid/>
                <w:sz w:val="20"/>
              </w:rPr>
              <w:t xml:space="preserve"> require treatment for </w:t>
            </w:r>
            <w:r w:rsidR="00A50C66" w:rsidRPr="00A50C66">
              <w:rPr>
                <w:rFonts w:ascii="Arial Narrow" w:hAnsi="Arial Narrow" w:cs="Times New Roman"/>
                <w:snapToGrid/>
                <w:sz w:val="20"/>
              </w:rPr>
              <w:t>CD20 positive Chronic Lymphocytic Leukaemia</w:t>
            </w:r>
          </w:p>
          <w:p w:rsidR="00A551B9" w:rsidRPr="00D523C4" w:rsidRDefault="00A551B9" w:rsidP="00184A56">
            <w:pPr>
              <w:widowControl/>
              <w:jc w:val="left"/>
              <w:rPr>
                <w:rFonts w:ascii="Arial Narrow" w:hAnsi="Arial Narrow" w:cs="Times New Roman"/>
                <w:b/>
                <w:snapToGrid/>
                <w:sz w:val="20"/>
              </w:rPr>
            </w:pPr>
            <w:r w:rsidRPr="00D523C4">
              <w:rPr>
                <w:rFonts w:ascii="Arial Narrow" w:hAnsi="Arial Narrow" w:cs="Times New Roman"/>
                <w:b/>
                <w:snapToGrid/>
                <w:sz w:val="20"/>
              </w:rPr>
              <w:t>AND</w:t>
            </w:r>
          </w:p>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The condition must be previously untreated</w:t>
            </w:r>
          </w:p>
          <w:p w:rsidR="00A551B9" w:rsidRPr="00D523C4" w:rsidRDefault="00A551B9" w:rsidP="00184A56">
            <w:pPr>
              <w:widowControl/>
              <w:jc w:val="left"/>
              <w:rPr>
                <w:rFonts w:ascii="Arial Narrow" w:hAnsi="Arial Narrow" w:cs="Times New Roman"/>
                <w:b/>
                <w:snapToGrid/>
                <w:sz w:val="20"/>
              </w:rPr>
            </w:pPr>
            <w:r w:rsidRPr="00D523C4">
              <w:rPr>
                <w:rFonts w:ascii="Arial Narrow" w:hAnsi="Arial Narrow" w:cs="Times New Roman"/>
                <w:b/>
                <w:snapToGrid/>
                <w:sz w:val="20"/>
              </w:rPr>
              <w:t>AND</w:t>
            </w:r>
          </w:p>
          <w:p w:rsidR="00A50C66" w:rsidRDefault="00A50C66" w:rsidP="00184A56">
            <w:pPr>
              <w:widowControl/>
              <w:jc w:val="left"/>
              <w:rPr>
                <w:rFonts w:ascii="Arial Narrow" w:hAnsi="Arial Narrow" w:cs="Times New Roman"/>
                <w:snapToGrid/>
                <w:sz w:val="20"/>
              </w:rPr>
            </w:pPr>
            <w:r>
              <w:rPr>
                <w:rFonts w:ascii="Arial Narrow" w:hAnsi="Arial Narrow" w:cs="Times New Roman"/>
                <w:snapToGrid/>
                <w:sz w:val="20"/>
              </w:rPr>
              <w:t xml:space="preserve">Patient must be inappropriate for fludarabine based chemo-immunotherapy </w:t>
            </w:r>
          </w:p>
          <w:p w:rsidR="00A50C66" w:rsidRPr="00D523C4" w:rsidRDefault="00A50C66" w:rsidP="00184A56">
            <w:pPr>
              <w:widowControl/>
              <w:jc w:val="left"/>
              <w:rPr>
                <w:rFonts w:ascii="Arial Narrow" w:hAnsi="Arial Narrow" w:cs="Times New Roman"/>
                <w:b/>
                <w:snapToGrid/>
                <w:sz w:val="20"/>
              </w:rPr>
            </w:pPr>
            <w:r w:rsidRPr="00D523C4">
              <w:rPr>
                <w:rFonts w:ascii="Arial Narrow" w:hAnsi="Arial Narrow" w:cs="Times New Roman"/>
                <w:b/>
                <w:snapToGrid/>
                <w:sz w:val="20"/>
              </w:rPr>
              <w:t>AND</w:t>
            </w:r>
          </w:p>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The treatment must be in combination with chlorambucil</w:t>
            </w:r>
          </w:p>
          <w:p w:rsidR="00A551B9" w:rsidRPr="00D523C4" w:rsidRDefault="00A551B9" w:rsidP="00184A56">
            <w:pPr>
              <w:widowControl/>
              <w:jc w:val="left"/>
              <w:rPr>
                <w:rFonts w:ascii="Arial Narrow" w:hAnsi="Arial Narrow" w:cs="Times New Roman"/>
                <w:b/>
                <w:snapToGrid/>
                <w:sz w:val="20"/>
              </w:rPr>
            </w:pPr>
            <w:r w:rsidRPr="00D523C4">
              <w:rPr>
                <w:rFonts w:ascii="Arial Narrow" w:hAnsi="Arial Narrow" w:cs="Times New Roman"/>
                <w:b/>
                <w:snapToGrid/>
                <w:sz w:val="20"/>
              </w:rPr>
              <w:t xml:space="preserve">AND </w:t>
            </w:r>
          </w:p>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Patient must have a creatinine clearance 30 mL/min or greater</w:t>
            </w:r>
          </w:p>
          <w:p w:rsidR="00A551B9" w:rsidRPr="00D523C4" w:rsidRDefault="00A551B9" w:rsidP="00184A56">
            <w:pPr>
              <w:widowControl/>
              <w:jc w:val="left"/>
              <w:rPr>
                <w:rFonts w:ascii="Arial Narrow" w:hAnsi="Arial Narrow" w:cs="Times New Roman"/>
                <w:b/>
                <w:snapToGrid/>
                <w:sz w:val="20"/>
              </w:rPr>
            </w:pPr>
            <w:r w:rsidRPr="00D523C4">
              <w:rPr>
                <w:rFonts w:ascii="Arial Narrow" w:hAnsi="Arial Narrow" w:cs="Times New Roman"/>
                <w:b/>
                <w:snapToGrid/>
                <w:sz w:val="20"/>
              </w:rPr>
              <w:t>AND</w:t>
            </w:r>
          </w:p>
          <w:p w:rsidR="00A50C66" w:rsidRPr="00FF7854" w:rsidRDefault="00A50C66" w:rsidP="00184A56">
            <w:pPr>
              <w:widowControl/>
              <w:jc w:val="left"/>
              <w:rPr>
                <w:rFonts w:ascii="Arial Narrow" w:hAnsi="Arial Narrow" w:cs="Times New Roman"/>
                <w:snapToGrid/>
                <w:sz w:val="20"/>
              </w:rPr>
            </w:pPr>
          </w:p>
          <w:p w:rsidR="00A551B9" w:rsidRPr="00FF7854" w:rsidRDefault="00A551B9" w:rsidP="00D523C4">
            <w:pPr>
              <w:widowControl/>
              <w:jc w:val="left"/>
              <w:rPr>
                <w:rFonts w:ascii="Arial Narrow" w:hAnsi="Arial Narrow" w:cs="Times New Roman"/>
                <w:snapToGrid/>
                <w:sz w:val="20"/>
              </w:rPr>
            </w:pPr>
            <w:r w:rsidRPr="00FF7854">
              <w:rPr>
                <w:rFonts w:ascii="Arial Narrow" w:hAnsi="Arial Narrow" w:cs="Times New Roman"/>
                <w:snapToGrid/>
                <w:sz w:val="20"/>
              </w:rPr>
              <w:t xml:space="preserve">Patient must have a creatinine clearance less than 70 mL/min; </w:t>
            </w:r>
            <w:r w:rsidRPr="00D523C4">
              <w:rPr>
                <w:rFonts w:ascii="Arial Narrow" w:hAnsi="Arial Narrow" w:cs="Times New Roman"/>
                <w:b/>
                <w:snapToGrid/>
                <w:sz w:val="20"/>
              </w:rPr>
              <w:t>OR</w:t>
            </w:r>
            <w:r w:rsidR="00D523C4">
              <w:rPr>
                <w:rFonts w:ascii="Arial Narrow" w:hAnsi="Arial Narrow" w:cs="Times New Roman"/>
                <w:snapToGrid/>
                <w:sz w:val="20"/>
              </w:rPr>
              <w:t xml:space="preserve"> </w:t>
            </w:r>
            <w:r w:rsidRPr="00FF7854">
              <w:rPr>
                <w:rFonts w:ascii="Arial Narrow" w:hAnsi="Arial Narrow" w:cs="Times New Roman"/>
                <w:snapToGrid/>
                <w:sz w:val="20"/>
              </w:rPr>
              <w:t>Patient must have a total cumulative illness rating scale (CIRS) score of greater than 6 (excluding CLL-induced illness or organ damage).</w:t>
            </w:r>
          </w:p>
        </w:tc>
      </w:tr>
      <w:tr w:rsidR="00A551B9" w:rsidRPr="00FF7854" w:rsidTr="00F9299D">
        <w:trPr>
          <w:cantSplit/>
          <w:trHeight w:val="458"/>
        </w:trPr>
        <w:tc>
          <w:tcPr>
            <w:tcW w:w="479" w:type="pct"/>
            <w:tcBorders>
              <w:top w:val="single" w:sz="4" w:space="0" w:color="auto"/>
              <w:bottom w:val="single" w:sz="4" w:space="0" w:color="auto"/>
              <w:right w:val="single" w:sz="4" w:space="0" w:color="auto"/>
            </w:tcBorders>
          </w:tcPr>
          <w:p w:rsidR="00A551B9" w:rsidRPr="00FF7854" w:rsidRDefault="00A551B9" w:rsidP="00A50C66">
            <w:pPr>
              <w:widowControl/>
              <w:rPr>
                <w:rFonts w:ascii="Arial Narrow" w:hAnsi="Arial Narrow"/>
                <w:snapToGrid/>
                <w:sz w:val="20"/>
                <w:lang w:eastAsia="en-AU"/>
              </w:rPr>
            </w:pPr>
            <w:r w:rsidRPr="00FF7854">
              <w:rPr>
                <w:rFonts w:ascii="Arial Narrow" w:hAnsi="Arial Narrow"/>
                <w:snapToGrid/>
                <w:sz w:val="20"/>
                <w:lang w:eastAsia="en-AU"/>
              </w:rPr>
              <w:lastRenderedPageBreak/>
              <w:t>Prescriber Instructions</w:t>
            </w:r>
          </w:p>
        </w:tc>
        <w:tc>
          <w:tcPr>
            <w:tcW w:w="4521" w:type="pct"/>
            <w:gridSpan w:val="6"/>
            <w:tcBorders>
              <w:top w:val="single" w:sz="4" w:space="0" w:color="auto"/>
              <w:left w:val="single" w:sz="4" w:space="0" w:color="auto"/>
              <w:bottom w:val="single" w:sz="4" w:space="0" w:color="auto"/>
            </w:tcBorders>
          </w:tcPr>
          <w:p w:rsidR="00A551B9" w:rsidRDefault="00A551B9" w:rsidP="00184A56">
            <w:pPr>
              <w:widowControl/>
              <w:jc w:val="left"/>
              <w:rPr>
                <w:rFonts w:ascii="Arial Narrow" w:hAnsi="Arial Narrow"/>
                <w:snapToGrid/>
                <w:sz w:val="20"/>
                <w:lang w:eastAsia="en-AU"/>
              </w:rPr>
            </w:pPr>
            <w:r w:rsidRPr="00FF7854">
              <w:rPr>
                <w:rFonts w:ascii="Arial Narrow" w:hAnsi="Arial Narrow"/>
                <w:snapToGrid/>
                <w:sz w:val="20"/>
                <w:lang w:eastAsia="en-AU"/>
              </w:rPr>
              <w:t>Treatment  must be discontinued in patients who experience disease progression while on treatment</w:t>
            </w:r>
          </w:p>
          <w:p w:rsidR="00B549F7" w:rsidRDefault="00B549F7" w:rsidP="00184A56">
            <w:pPr>
              <w:widowControl/>
              <w:jc w:val="left"/>
              <w:rPr>
                <w:rFonts w:ascii="Arial Narrow" w:hAnsi="Arial Narrow"/>
                <w:snapToGrid/>
                <w:sz w:val="20"/>
                <w:lang w:eastAsia="en-AU"/>
              </w:rPr>
            </w:pPr>
          </w:p>
          <w:p w:rsidR="00B549F7" w:rsidRDefault="00B549F7" w:rsidP="00B549F7">
            <w:pPr>
              <w:widowControl/>
              <w:jc w:val="left"/>
              <w:rPr>
                <w:rFonts w:ascii="Arial Narrow" w:hAnsi="Arial Narrow"/>
                <w:snapToGrid/>
                <w:sz w:val="20"/>
                <w:lang w:eastAsia="en-AU"/>
              </w:rPr>
            </w:pPr>
            <w:r w:rsidRPr="00B549F7">
              <w:rPr>
                <w:rFonts w:ascii="Arial Narrow" w:hAnsi="Arial Narrow"/>
                <w:snapToGrid/>
                <w:sz w:val="20"/>
                <w:lang w:eastAsia="en-AU"/>
              </w:rPr>
              <w:t>Applications for authorisation must be in writing and must include:</w:t>
            </w:r>
          </w:p>
          <w:p w:rsidR="00B549F7" w:rsidRDefault="00B549F7" w:rsidP="00B549F7">
            <w:pPr>
              <w:pStyle w:val="ListParagraph"/>
              <w:widowControl/>
              <w:numPr>
                <w:ilvl w:val="0"/>
                <w:numId w:val="37"/>
              </w:numPr>
              <w:jc w:val="left"/>
              <w:rPr>
                <w:rFonts w:ascii="Arial Narrow" w:hAnsi="Arial Narrow"/>
                <w:snapToGrid/>
                <w:sz w:val="20"/>
                <w:lang w:eastAsia="en-AU"/>
              </w:rPr>
            </w:pPr>
            <w:r w:rsidRPr="00B549F7">
              <w:rPr>
                <w:rFonts w:ascii="Arial Narrow" w:hAnsi="Arial Narrow"/>
                <w:snapToGrid/>
                <w:sz w:val="20"/>
                <w:lang w:eastAsia="en-AU"/>
              </w:rPr>
              <w:t xml:space="preserve">a completed authority prescription form; </w:t>
            </w:r>
            <w:r w:rsidR="00AB69A8">
              <w:rPr>
                <w:rFonts w:ascii="Arial Narrow" w:hAnsi="Arial Narrow"/>
                <w:snapToGrid/>
                <w:sz w:val="20"/>
                <w:lang w:eastAsia="en-AU"/>
              </w:rPr>
              <w:t>AND</w:t>
            </w:r>
          </w:p>
          <w:p w:rsidR="00601C86" w:rsidRDefault="00601C86" w:rsidP="00B549F7">
            <w:pPr>
              <w:pStyle w:val="ListParagraph"/>
              <w:widowControl/>
              <w:numPr>
                <w:ilvl w:val="0"/>
                <w:numId w:val="37"/>
              </w:numPr>
              <w:jc w:val="left"/>
              <w:rPr>
                <w:rFonts w:ascii="Arial Narrow" w:hAnsi="Arial Narrow"/>
                <w:snapToGrid/>
                <w:sz w:val="20"/>
                <w:lang w:eastAsia="en-AU"/>
              </w:rPr>
            </w:pPr>
            <w:r>
              <w:rPr>
                <w:rFonts w:ascii="Arial Narrow" w:hAnsi="Arial Narrow"/>
                <w:snapToGrid/>
                <w:sz w:val="20"/>
                <w:lang w:eastAsia="en-AU"/>
              </w:rPr>
              <w:t>documentation that the patient has CD20 positive CLL (flow cytometry pathology report from blood or bone marrow, noting that this may be from some time earlier); AND</w:t>
            </w:r>
          </w:p>
          <w:p w:rsidR="00304C58" w:rsidRDefault="007A20C0" w:rsidP="007A20C0">
            <w:pPr>
              <w:pStyle w:val="ListParagraph"/>
              <w:widowControl/>
              <w:numPr>
                <w:ilvl w:val="0"/>
                <w:numId w:val="37"/>
              </w:numPr>
              <w:jc w:val="left"/>
              <w:rPr>
                <w:rFonts w:ascii="Arial Narrow" w:hAnsi="Arial Narrow"/>
                <w:snapToGrid/>
                <w:sz w:val="20"/>
                <w:lang w:eastAsia="en-AU"/>
              </w:rPr>
            </w:pPr>
            <w:r w:rsidRPr="007A20C0">
              <w:rPr>
                <w:rFonts w:ascii="Arial Narrow" w:hAnsi="Arial Narrow"/>
                <w:snapToGrid/>
                <w:sz w:val="20"/>
                <w:lang w:eastAsia="en-AU"/>
              </w:rPr>
              <w:t>a statement that the patient is previously untreated</w:t>
            </w:r>
            <w:r>
              <w:rPr>
                <w:rFonts w:ascii="Arial Narrow" w:hAnsi="Arial Narrow"/>
                <w:snapToGrid/>
                <w:sz w:val="20"/>
                <w:lang w:eastAsia="en-AU"/>
              </w:rPr>
              <w:t xml:space="preserve">, </w:t>
            </w:r>
            <w:r w:rsidR="00601C86">
              <w:rPr>
                <w:rFonts w:ascii="Arial Narrow" w:hAnsi="Arial Narrow"/>
                <w:snapToGrid/>
                <w:sz w:val="20"/>
                <w:lang w:eastAsia="en-AU"/>
              </w:rPr>
              <w:t>is</w:t>
            </w:r>
            <w:r w:rsidR="000B685C" w:rsidRPr="000B685C">
              <w:rPr>
                <w:rFonts w:ascii="Arial Narrow" w:hAnsi="Arial Narrow"/>
                <w:snapToGrid/>
                <w:sz w:val="20"/>
                <w:lang w:eastAsia="en-AU"/>
              </w:rPr>
              <w:t xml:space="preserve"> inappropriate for fludarabine based chemo</w:t>
            </w:r>
            <w:r w:rsidR="000B685C" w:rsidRPr="000B685C">
              <w:rPr>
                <w:rFonts w:ascii="Arial Narrow" w:hAnsi="Arial Narrow"/>
                <w:snapToGrid/>
                <w:sz w:val="20"/>
                <w:lang w:eastAsia="en-AU"/>
              </w:rPr>
              <w:noBreakHyphen/>
              <w:t>immunotherapy, that treatment will be in combination with chlorambucil,</w:t>
            </w:r>
          </w:p>
          <w:p w:rsidR="000B685C" w:rsidRPr="000B685C" w:rsidRDefault="00304C58" w:rsidP="00601C86">
            <w:pPr>
              <w:pStyle w:val="ListParagraph"/>
              <w:widowControl/>
              <w:numPr>
                <w:ilvl w:val="0"/>
                <w:numId w:val="37"/>
              </w:numPr>
              <w:jc w:val="left"/>
              <w:rPr>
                <w:rFonts w:ascii="Arial Narrow" w:hAnsi="Arial Narrow"/>
                <w:snapToGrid/>
                <w:sz w:val="20"/>
                <w:lang w:eastAsia="en-AU"/>
              </w:rPr>
            </w:pPr>
            <w:r>
              <w:rPr>
                <w:rFonts w:ascii="Arial Narrow" w:hAnsi="Arial Narrow"/>
                <w:snapToGrid/>
                <w:sz w:val="20"/>
                <w:lang w:eastAsia="en-AU"/>
              </w:rPr>
              <w:t>documentation</w:t>
            </w:r>
            <w:r w:rsidR="007A20C0">
              <w:rPr>
                <w:rFonts w:ascii="Arial Narrow" w:hAnsi="Arial Narrow"/>
                <w:snapToGrid/>
                <w:sz w:val="20"/>
                <w:lang w:eastAsia="en-AU"/>
              </w:rPr>
              <w:t xml:space="preserve"> </w:t>
            </w:r>
            <w:r w:rsidR="000B685C" w:rsidRPr="000B685C">
              <w:rPr>
                <w:rFonts w:ascii="Arial Narrow" w:hAnsi="Arial Narrow"/>
                <w:snapToGrid/>
                <w:sz w:val="20"/>
                <w:lang w:eastAsia="en-AU"/>
              </w:rPr>
              <w:t>that the patient h</w:t>
            </w:r>
            <w:r w:rsidR="000B685C">
              <w:rPr>
                <w:rFonts w:ascii="Arial Narrow" w:hAnsi="Arial Narrow"/>
                <w:snapToGrid/>
                <w:sz w:val="20"/>
                <w:lang w:eastAsia="en-AU"/>
              </w:rPr>
              <w:t>a</w:t>
            </w:r>
            <w:r w:rsidR="000B685C" w:rsidRPr="000B685C">
              <w:rPr>
                <w:rFonts w:ascii="Arial Narrow" w:hAnsi="Arial Narrow"/>
                <w:snapToGrid/>
                <w:sz w:val="20"/>
                <w:lang w:eastAsia="en-AU"/>
              </w:rPr>
              <w:t>s a creatinine clearance 30 mL/min or greater</w:t>
            </w:r>
            <w:r w:rsidR="000B685C">
              <w:rPr>
                <w:rFonts w:ascii="Arial Narrow" w:hAnsi="Arial Narrow"/>
                <w:snapToGrid/>
                <w:sz w:val="20"/>
                <w:lang w:eastAsia="en-AU"/>
              </w:rPr>
              <w:t xml:space="preserve">; </w:t>
            </w:r>
            <w:r w:rsidR="00AB69A8">
              <w:rPr>
                <w:rFonts w:ascii="Arial Narrow" w:hAnsi="Arial Narrow"/>
                <w:snapToGrid/>
                <w:sz w:val="20"/>
                <w:lang w:eastAsia="en-AU"/>
              </w:rPr>
              <w:t>AND</w:t>
            </w:r>
          </w:p>
          <w:p w:rsidR="00B549F7" w:rsidRPr="00B549F7" w:rsidRDefault="00B549F7" w:rsidP="00B549F7">
            <w:pPr>
              <w:pStyle w:val="ListParagraph"/>
              <w:widowControl/>
              <w:numPr>
                <w:ilvl w:val="0"/>
                <w:numId w:val="37"/>
              </w:numPr>
              <w:jc w:val="left"/>
              <w:rPr>
                <w:rFonts w:ascii="Arial Narrow" w:hAnsi="Arial Narrow"/>
                <w:snapToGrid/>
                <w:sz w:val="20"/>
                <w:lang w:eastAsia="en-AU"/>
              </w:rPr>
            </w:pPr>
            <w:r w:rsidRPr="00B549F7">
              <w:rPr>
                <w:rFonts w:ascii="Arial Narrow" w:hAnsi="Arial Narrow"/>
                <w:snapToGrid/>
                <w:sz w:val="20"/>
                <w:lang w:eastAsia="en-AU"/>
              </w:rPr>
              <w:t>One of the following, either:</w:t>
            </w:r>
          </w:p>
          <w:p w:rsidR="00B549F7" w:rsidRDefault="00B549F7" w:rsidP="00B549F7">
            <w:pPr>
              <w:pStyle w:val="ListParagraph"/>
              <w:widowControl/>
              <w:numPr>
                <w:ilvl w:val="0"/>
                <w:numId w:val="22"/>
              </w:numPr>
              <w:jc w:val="left"/>
              <w:rPr>
                <w:rFonts w:ascii="Arial Narrow" w:hAnsi="Arial Narrow"/>
                <w:snapToGrid/>
                <w:sz w:val="20"/>
                <w:lang w:eastAsia="en-AU"/>
              </w:rPr>
            </w:pPr>
            <w:r>
              <w:rPr>
                <w:rFonts w:ascii="Arial Narrow" w:hAnsi="Arial Narrow"/>
                <w:snapToGrid/>
                <w:sz w:val="20"/>
                <w:lang w:eastAsia="en-AU"/>
              </w:rPr>
              <w:t xml:space="preserve">A completed </w:t>
            </w:r>
            <w:r w:rsidRPr="00B549F7">
              <w:rPr>
                <w:rFonts w:ascii="Arial Narrow" w:hAnsi="Arial Narrow"/>
                <w:snapToGrid/>
                <w:sz w:val="20"/>
                <w:lang w:eastAsia="en-AU"/>
              </w:rPr>
              <w:t xml:space="preserve">cumulative illness rating scale (CIRS) score </w:t>
            </w:r>
            <w:r>
              <w:rPr>
                <w:rFonts w:ascii="Arial Narrow" w:hAnsi="Arial Narrow"/>
                <w:snapToGrid/>
                <w:sz w:val="20"/>
                <w:lang w:eastAsia="en-AU"/>
              </w:rPr>
              <w:t xml:space="preserve">form demonstrating that the patient has a score </w:t>
            </w:r>
            <w:r w:rsidRPr="00B549F7">
              <w:rPr>
                <w:rFonts w:ascii="Arial Narrow" w:hAnsi="Arial Narrow"/>
                <w:snapToGrid/>
                <w:sz w:val="20"/>
                <w:lang w:eastAsia="en-AU"/>
              </w:rPr>
              <w:t>of greater than 6 (excluding CLL-induced illness or organ damage)</w:t>
            </w:r>
          </w:p>
          <w:p w:rsidR="00B549F7" w:rsidRPr="00B549F7" w:rsidRDefault="00B549F7" w:rsidP="00B549F7">
            <w:pPr>
              <w:widowControl/>
              <w:ind w:left="1107"/>
              <w:jc w:val="left"/>
              <w:rPr>
                <w:rFonts w:ascii="Arial Narrow" w:hAnsi="Arial Narrow"/>
                <w:snapToGrid/>
                <w:sz w:val="20"/>
                <w:lang w:eastAsia="en-AU"/>
              </w:rPr>
            </w:pPr>
            <w:r>
              <w:rPr>
                <w:rFonts w:ascii="Arial Narrow" w:hAnsi="Arial Narrow"/>
                <w:snapToGrid/>
                <w:sz w:val="20"/>
                <w:lang w:eastAsia="en-AU"/>
              </w:rPr>
              <w:t>OR</w:t>
            </w:r>
          </w:p>
          <w:p w:rsidR="00B549F7" w:rsidRPr="00B549F7" w:rsidRDefault="00B549F7" w:rsidP="00B549F7">
            <w:pPr>
              <w:pStyle w:val="ListParagraph"/>
              <w:widowControl/>
              <w:numPr>
                <w:ilvl w:val="0"/>
                <w:numId w:val="22"/>
              </w:numPr>
              <w:jc w:val="left"/>
              <w:rPr>
                <w:rFonts w:ascii="Arial Narrow" w:hAnsi="Arial Narrow"/>
                <w:snapToGrid/>
                <w:sz w:val="20"/>
                <w:lang w:eastAsia="en-AU"/>
              </w:rPr>
            </w:pPr>
            <w:r>
              <w:rPr>
                <w:rFonts w:ascii="Arial Narrow" w:hAnsi="Arial Narrow"/>
                <w:snapToGrid/>
                <w:sz w:val="20"/>
                <w:lang w:eastAsia="en-AU"/>
              </w:rPr>
              <w:t>Documentation that the p</w:t>
            </w:r>
            <w:r w:rsidRPr="00B549F7">
              <w:rPr>
                <w:rFonts w:ascii="Arial Narrow" w:hAnsi="Arial Narrow"/>
                <w:snapToGrid/>
                <w:sz w:val="20"/>
                <w:lang w:eastAsia="en-AU"/>
              </w:rPr>
              <w:t>atient ha</w:t>
            </w:r>
            <w:r>
              <w:rPr>
                <w:rFonts w:ascii="Arial Narrow" w:hAnsi="Arial Narrow"/>
                <w:snapToGrid/>
                <w:sz w:val="20"/>
                <w:lang w:eastAsia="en-AU"/>
              </w:rPr>
              <w:t>s</w:t>
            </w:r>
            <w:r w:rsidRPr="00B549F7">
              <w:rPr>
                <w:rFonts w:ascii="Arial Narrow" w:hAnsi="Arial Narrow"/>
                <w:snapToGrid/>
                <w:sz w:val="20"/>
                <w:lang w:eastAsia="en-AU"/>
              </w:rPr>
              <w:t xml:space="preserve"> a creatinine clearance less than 70 mL/min;</w:t>
            </w:r>
          </w:p>
        </w:tc>
      </w:tr>
      <w:tr w:rsidR="00A551B9" w:rsidRPr="00FF7854" w:rsidTr="00F9299D">
        <w:trPr>
          <w:cantSplit/>
          <w:trHeight w:val="2535"/>
        </w:trPr>
        <w:tc>
          <w:tcPr>
            <w:tcW w:w="479" w:type="pct"/>
            <w:tcBorders>
              <w:top w:val="single" w:sz="4" w:space="0" w:color="auto"/>
              <w:right w:val="single" w:sz="4" w:space="0" w:color="auto"/>
            </w:tcBorders>
          </w:tcPr>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Administrative advice</w:t>
            </w:r>
          </w:p>
        </w:tc>
        <w:tc>
          <w:tcPr>
            <w:tcW w:w="4521" w:type="pct"/>
            <w:gridSpan w:val="6"/>
            <w:tcBorders>
              <w:top w:val="single" w:sz="4" w:space="0" w:color="auto"/>
              <w:left w:val="single" w:sz="4" w:space="0" w:color="auto"/>
            </w:tcBorders>
          </w:tcPr>
          <w:p w:rsidR="00A551B9" w:rsidRDefault="00A551B9" w:rsidP="00184A56">
            <w:pPr>
              <w:widowControl/>
              <w:jc w:val="left"/>
              <w:rPr>
                <w:rFonts w:ascii="Arial Narrow" w:hAnsi="Arial Narrow" w:cs="Times New Roman"/>
                <w:snapToGrid/>
                <w:sz w:val="20"/>
                <w:u w:val="single"/>
              </w:rPr>
            </w:pPr>
            <w:r w:rsidRPr="00FF7854">
              <w:rPr>
                <w:rFonts w:ascii="Arial Narrow" w:hAnsi="Arial Narrow" w:cs="Times New Roman"/>
                <w:snapToGrid/>
                <w:sz w:val="20"/>
                <w:u w:val="single"/>
              </w:rPr>
              <w:t>Note</w:t>
            </w:r>
          </w:p>
          <w:p w:rsidR="00B549F7" w:rsidRPr="00B549F7" w:rsidRDefault="00B549F7" w:rsidP="00B549F7">
            <w:pPr>
              <w:widowControl/>
              <w:jc w:val="left"/>
              <w:rPr>
                <w:rFonts w:ascii="Arial Narrow" w:hAnsi="Arial Narrow" w:cs="Times New Roman"/>
                <w:snapToGrid/>
                <w:sz w:val="20"/>
              </w:rPr>
            </w:pPr>
            <w:r w:rsidRPr="00B549F7">
              <w:rPr>
                <w:rFonts w:ascii="Arial Narrow" w:hAnsi="Arial Narrow" w:cs="Times New Roman"/>
                <w:snapToGrid/>
                <w:sz w:val="20"/>
              </w:rPr>
              <w:t xml:space="preserve">Any queries concerning the arrangements to prescribe may be directed to the Department of Human Services on 1800 700 270 (hours of operation 8 a.m. to 5 p.m. EST Monday to Friday). </w:t>
            </w:r>
          </w:p>
          <w:p w:rsidR="00B549F7" w:rsidRPr="00B549F7" w:rsidRDefault="00B549F7" w:rsidP="00B549F7">
            <w:pPr>
              <w:widowControl/>
              <w:jc w:val="left"/>
              <w:rPr>
                <w:rFonts w:ascii="Arial Narrow" w:hAnsi="Arial Narrow" w:cs="Times New Roman"/>
                <w:snapToGrid/>
                <w:sz w:val="20"/>
              </w:rPr>
            </w:pPr>
          </w:p>
          <w:p w:rsidR="00B549F7" w:rsidRPr="00B549F7" w:rsidRDefault="00B549F7" w:rsidP="00B549F7">
            <w:pPr>
              <w:widowControl/>
              <w:jc w:val="left"/>
              <w:rPr>
                <w:rFonts w:ascii="Arial Narrow" w:hAnsi="Arial Narrow" w:cs="Times New Roman"/>
                <w:snapToGrid/>
                <w:sz w:val="20"/>
              </w:rPr>
            </w:pPr>
            <w:r w:rsidRPr="00B549F7">
              <w:rPr>
                <w:rFonts w:ascii="Arial Narrow" w:hAnsi="Arial Narrow" w:cs="Times New Roman"/>
                <w:snapToGrid/>
                <w:sz w:val="20"/>
              </w:rPr>
              <w:t xml:space="preserve">Prescribing information (including Authority Application forms and other relevant documentation as applicable) is available on the Department of Human Services website at www.humanservices.gov.au </w:t>
            </w:r>
          </w:p>
          <w:p w:rsidR="00B549F7" w:rsidRPr="00B549F7" w:rsidRDefault="00B549F7" w:rsidP="00B549F7">
            <w:pPr>
              <w:widowControl/>
              <w:jc w:val="left"/>
              <w:rPr>
                <w:rFonts w:ascii="Arial Narrow" w:hAnsi="Arial Narrow" w:cs="Times New Roman"/>
                <w:snapToGrid/>
                <w:sz w:val="20"/>
              </w:rPr>
            </w:pPr>
          </w:p>
          <w:p w:rsidR="00B549F7" w:rsidRPr="00B549F7" w:rsidRDefault="00B549F7" w:rsidP="00B549F7">
            <w:pPr>
              <w:widowControl/>
              <w:jc w:val="left"/>
              <w:rPr>
                <w:rFonts w:ascii="Arial Narrow" w:hAnsi="Arial Narrow" w:cs="Times New Roman"/>
                <w:snapToGrid/>
                <w:sz w:val="20"/>
              </w:rPr>
            </w:pPr>
            <w:r w:rsidRPr="00B549F7">
              <w:rPr>
                <w:rFonts w:ascii="Arial Narrow" w:hAnsi="Arial Narrow" w:cs="Times New Roman"/>
                <w:snapToGrid/>
                <w:sz w:val="20"/>
              </w:rPr>
              <w:t xml:space="preserve">Written applications for authority to prescribe should be forwarded to: </w:t>
            </w:r>
          </w:p>
          <w:p w:rsidR="00B549F7" w:rsidRPr="00B549F7" w:rsidRDefault="00B549F7" w:rsidP="00B549F7">
            <w:pPr>
              <w:widowControl/>
              <w:jc w:val="left"/>
              <w:rPr>
                <w:rFonts w:ascii="Arial Narrow" w:hAnsi="Arial Narrow" w:cs="Times New Roman"/>
                <w:snapToGrid/>
                <w:sz w:val="20"/>
              </w:rPr>
            </w:pPr>
            <w:r w:rsidRPr="00B549F7">
              <w:rPr>
                <w:rFonts w:ascii="Arial Narrow" w:hAnsi="Arial Narrow" w:cs="Times New Roman"/>
                <w:snapToGrid/>
                <w:sz w:val="20"/>
              </w:rPr>
              <w:t>Department of Human Services</w:t>
            </w:r>
          </w:p>
          <w:p w:rsidR="00B549F7" w:rsidRPr="00B549F7" w:rsidRDefault="00B549F7" w:rsidP="00B549F7">
            <w:pPr>
              <w:widowControl/>
              <w:jc w:val="left"/>
              <w:rPr>
                <w:rFonts w:ascii="Arial Narrow" w:hAnsi="Arial Narrow" w:cs="Times New Roman"/>
                <w:snapToGrid/>
                <w:sz w:val="20"/>
              </w:rPr>
            </w:pPr>
            <w:r w:rsidRPr="00B549F7">
              <w:rPr>
                <w:rFonts w:ascii="Arial Narrow" w:hAnsi="Arial Narrow" w:cs="Times New Roman"/>
                <w:snapToGrid/>
                <w:sz w:val="20"/>
              </w:rPr>
              <w:t xml:space="preserve">Prior Written Approval of Complex Drugs </w:t>
            </w:r>
          </w:p>
          <w:p w:rsidR="00B549F7" w:rsidRPr="00B549F7" w:rsidRDefault="00B549F7" w:rsidP="00B549F7">
            <w:pPr>
              <w:widowControl/>
              <w:jc w:val="left"/>
              <w:rPr>
                <w:rFonts w:ascii="Arial Narrow" w:hAnsi="Arial Narrow" w:cs="Times New Roman"/>
                <w:snapToGrid/>
                <w:sz w:val="20"/>
              </w:rPr>
            </w:pPr>
            <w:r w:rsidRPr="00B549F7">
              <w:rPr>
                <w:rFonts w:ascii="Arial Narrow" w:hAnsi="Arial Narrow" w:cs="Times New Roman"/>
                <w:snapToGrid/>
                <w:sz w:val="20"/>
              </w:rPr>
              <w:t xml:space="preserve">Reply Paid 9826 </w:t>
            </w:r>
          </w:p>
          <w:p w:rsidR="00B549F7" w:rsidRPr="00B549F7" w:rsidRDefault="00B549F7" w:rsidP="00B549F7">
            <w:pPr>
              <w:widowControl/>
              <w:jc w:val="left"/>
              <w:rPr>
                <w:rFonts w:ascii="Arial Narrow" w:hAnsi="Arial Narrow" w:cs="Times New Roman"/>
                <w:snapToGrid/>
                <w:sz w:val="20"/>
              </w:rPr>
            </w:pPr>
            <w:r w:rsidRPr="00B549F7">
              <w:rPr>
                <w:rFonts w:ascii="Arial Narrow" w:hAnsi="Arial Narrow" w:cs="Times New Roman"/>
                <w:snapToGrid/>
                <w:sz w:val="20"/>
              </w:rPr>
              <w:t xml:space="preserve">GPO Box 9826 </w:t>
            </w:r>
          </w:p>
          <w:p w:rsidR="00B549F7" w:rsidRPr="00B549F7" w:rsidRDefault="00B549F7" w:rsidP="00B549F7">
            <w:pPr>
              <w:widowControl/>
              <w:jc w:val="left"/>
              <w:rPr>
                <w:rFonts w:ascii="Arial Narrow" w:hAnsi="Arial Narrow" w:cs="Times New Roman"/>
                <w:snapToGrid/>
                <w:sz w:val="20"/>
              </w:rPr>
            </w:pPr>
            <w:r w:rsidRPr="00B549F7">
              <w:rPr>
                <w:rFonts w:ascii="Arial Narrow" w:hAnsi="Arial Narrow" w:cs="Times New Roman"/>
                <w:snapToGrid/>
                <w:sz w:val="20"/>
              </w:rPr>
              <w:t>HOBART TAS 7001</w:t>
            </w:r>
          </w:p>
          <w:p w:rsidR="00B549F7" w:rsidRDefault="00B549F7" w:rsidP="00184A56">
            <w:pPr>
              <w:widowControl/>
              <w:jc w:val="left"/>
              <w:rPr>
                <w:rFonts w:ascii="Arial Narrow" w:hAnsi="Arial Narrow" w:cs="Times New Roman"/>
                <w:snapToGrid/>
                <w:sz w:val="20"/>
                <w:u w:val="single"/>
              </w:rPr>
            </w:pPr>
          </w:p>
          <w:p w:rsidR="00B549F7" w:rsidRDefault="00B549F7" w:rsidP="00B549F7">
            <w:pPr>
              <w:widowControl/>
              <w:jc w:val="left"/>
              <w:rPr>
                <w:rFonts w:ascii="Arial Narrow" w:hAnsi="Arial Narrow" w:cs="Times New Roman"/>
                <w:snapToGrid/>
                <w:sz w:val="20"/>
                <w:u w:val="single"/>
              </w:rPr>
            </w:pPr>
            <w:r w:rsidRPr="00FF7854">
              <w:rPr>
                <w:rFonts w:ascii="Arial Narrow" w:hAnsi="Arial Narrow" w:cs="Times New Roman"/>
                <w:snapToGrid/>
                <w:sz w:val="20"/>
                <w:u w:val="single"/>
              </w:rPr>
              <w:t>Note</w:t>
            </w:r>
          </w:p>
          <w:p w:rsidR="00A551B9" w:rsidRPr="00FF7854" w:rsidRDefault="00A551B9" w:rsidP="00184A56">
            <w:pPr>
              <w:widowControl/>
              <w:jc w:val="left"/>
              <w:rPr>
                <w:rFonts w:ascii="Arial Narrow" w:hAnsi="Arial Narrow" w:cs="Times New Roman"/>
                <w:snapToGrid/>
                <w:sz w:val="20"/>
              </w:rPr>
            </w:pPr>
            <w:proofErr w:type="spellStart"/>
            <w:r w:rsidRPr="00FF7854">
              <w:rPr>
                <w:rFonts w:ascii="Arial Narrow" w:hAnsi="Arial Narrow" w:cs="Times New Roman"/>
                <w:snapToGrid/>
                <w:sz w:val="20"/>
              </w:rPr>
              <w:t>Obinutuzumab</w:t>
            </w:r>
            <w:proofErr w:type="spellEnd"/>
            <w:r w:rsidRPr="00FF7854">
              <w:rPr>
                <w:rFonts w:ascii="Arial Narrow" w:hAnsi="Arial Narrow" w:cs="Times New Roman"/>
                <w:snapToGrid/>
                <w:sz w:val="20"/>
              </w:rPr>
              <w:t xml:space="preserve"> is not to be used as monotherapy</w:t>
            </w:r>
            <w:r w:rsidR="00AF31E4">
              <w:rPr>
                <w:rFonts w:ascii="Arial Narrow" w:hAnsi="Arial Narrow" w:cs="Times New Roman"/>
                <w:snapToGrid/>
                <w:sz w:val="20"/>
              </w:rPr>
              <w:t xml:space="preserve"> or in combination with anti-cancer drugs other than chlorambucil</w:t>
            </w:r>
          </w:p>
          <w:p w:rsidR="00A551B9" w:rsidRDefault="00A551B9" w:rsidP="00184A56">
            <w:pPr>
              <w:widowControl/>
              <w:jc w:val="left"/>
              <w:rPr>
                <w:rFonts w:ascii="Arial Narrow" w:hAnsi="Arial Narrow" w:cs="Times New Roman"/>
                <w:snapToGrid/>
                <w:sz w:val="20"/>
                <w:u w:val="single"/>
              </w:rPr>
            </w:pPr>
            <w:r w:rsidRPr="00FF7854">
              <w:rPr>
                <w:rFonts w:ascii="Arial Narrow" w:hAnsi="Arial Narrow" w:cs="Times New Roman"/>
                <w:snapToGrid/>
                <w:sz w:val="20"/>
                <w:u w:val="single"/>
              </w:rPr>
              <w:t>Note</w:t>
            </w:r>
          </w:p>
          <w:p w:rsidR="00B321BD" w:rsidRDefault="00B321BD" w:rsidP="00184A56">
            <w:pPr>
              <w:widowControl/>
              <w:jc w:val="left"/>
              <w:rPr>
                <w:rFonts w:ascii="Arial Narrow" w:hAnsi="Arial Narrow" w:cs="Times New Roman"/>
                <w:snapToGrid/>
                <w:sz w:val="20"/>
              </w:rPr>
            </w:pPr>
            <w:r w:rsidRPr="00B321BD">
              <w:rPr>
                <w:rFonts w:ascii="Arial Narrow" w:hAnsi="Arial Narrow" w:cs="Times New Roman"/>
                <w:snapToGrid/>
                <w:sz w:val="20"/>
              </w:rPr>
              <w:t xml:space="preserve">A patient may only qualify for PBS-subsidised treatment under this restriction once in a lifetime. </w:t>
            </w:r>
          </w:p>
          <w:p w:rsidR="00B321BD" w:rsidRPr="00FF7854" w:rsidRDefault="00B321BD" w:rsidP="00184A56">
            <w:pPr>
              <w:widowControl/>
              <w:jc w:val="left"/>
              <w:rPr>
                <w:rFonts w:ascii="Arial Narrow" w:hAnsi="Arial Narrow" w:cs="Times New Roman"/>
                <w:snapToGrid/>
                <w:sz w:val="20"/>
                <w:u w:val="single"/>
              </w:rPr>
            </w:pPr>
            <w:r>
              <w:rPr>
                <w:rFonts w:ascii="Arial Narrow" w:hAnsi="Arial Narrow" w:cs="Times New Roman"/>
                <w:snapToGrid/>
                <w:sz w:val="20"/>
                <w:u w:val="single"/>
              </w:rPr>
              <w:t>Note</w:t>
            </w:r>
          </w:p>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No increase in the maximum quantity or number of units may be authorised</w:t>
            </w:r>
          </w:p>
          <w:p w:rsidR="00A551B9" w:rsidRPr="00FF7854" w:rsidRDefault="00A551B9" w:rsidP="00184A56">
            <w:pPr>
              <w:widowControl/>
              <w:jc w:val="left"/>
              <w:rPr>
                <w:rFonts w:ascii="Arial Narrow" w:hAnsi="Arial Narrow" w:cs="Times New Roman"/>
                <w:snapToGrid/>
                <w:sz w:val="20"/>
                <w:u w:val="single"/>
              </w:rPr>
            </w:pPr>
            <w:r w:rsidRPr="00FF7854">
              <w:rPr>
                <w:rFonts w:ascii="Arial Narrow" w:hAnsi="Arial Narrow" w:cs="Times New Roman"/>
                <w:snapToGrid/>
                <w:sz w:val="20"/>
                <w:u w:val="single"/>
              </w:rPr>
              <w:t>Note</w:t>
            </w:r>
          </w:p>
          <w:p w:rsidR="00A551B9" w:rsidRPr="00FF7854" w:rsidRDefault="00A551B9" w:rsidP="00184A56">
            <w:pPr>
              <w:widowControl/>
              <w:jc w:val="left"/>
              <w:rPr>
                <w:rFonts w:ascii="Arial Narrow" w:hAnsi="Arial Narrow" w:cs="Times New Roman"/>
                <w:snapToGrid/>
                <w:sz w:val="20"/>
              </w:rPr>
            </w:pPr>
            <w:r w:rsidRPr="00FF7854">
              <w:rPr>
                <w:rFonts w:ascii="Arial Narrow" w:hAnsi="Arial Narrow" w:cs="Times New Roman"/>
                <w:snapToGrid/>
                <w:sz w:val="20"/>
              </w:rPr>
              <w:t>No increase in the maximum number of repeats may be authorised</w:t>
            </w:r>
          </w:p>
          <w:p w:rsidR="00A551B9" w:rsidRPr="00FF7854" w:rsidRDefault="00A551B9" w:rsidP="00184A56">
            <w:pPr>
              <w:widowControl/>
              <w:jc w:val="left"/>
              <w:rPr>
                <w:rFonts w:ascii="Arial Narrow" w:hAnsi="Arial Narrow" w:cs="Times New Roman"/>
                <w:snapToGrid/>
                <w:sz w:val="20"/>
                <w:u w:val="single"/>
              </w:rPr>
            </w:pPr>
            <w:r w:rsidRPr="00FF7854">
              <w:rPr>
                <w:rFonts w:ascii="Arial Narrow" w:hAnsi="Arial Narrow" w:cs="Times New Roman"/>
                <w:snapToGrid/>
                <w:sz w:val="20"/>
                <w:u w:val="single"/>
              </w:rPr>
              <w:t>Note</w:t>
            </w:r>
          </w:p>
          <w:p w:rsidR="00B549F7" w:rsidRPr="00FF7854" w:rsidRDefault="00A551B9" w:rsidP="000B685C">
            <w:pPr>
              <w:widowControl/>
              <w:jc w:val="left"/>
              <w:rPr>
                <w:rFonts w:ascii="Arial Narrow" w:hAnsi="Arial Narrow" w:cs="Times New Roman"/>
                <w:snapToGrid/>
                <w:sz w:val="20"/>
              </w:rPr>
            </w:pPr>
            <w:r w:rsidRPr="00FF7854">
              <w:rPr>
                <w:rFonts w:ascii="Arial Narrow" w:hAnsi="Arial Narrow" w:cs="Times New Roman"/>
                <w:snapToGrid/>
                <w:sz w:val="20"/>
              </w:rPr>
              <w:t>Special pricing arrangements apply</w:t>
            </w:r>
          </w:p>
        </w:tc>
      </w:tr>
    </w:tbl>
    <w:p w:rsidR="00BC0140" w:rsidRPr="00BC0140" w:rsidRDefault="00BC0140" w:rsidP="002C2CE8">
      <w:pPr>
        <w:pStyle w:val="ListParagraph"/>
        <w:rPr>
          <w:highlight w:val="lightGray"/>
          <w:lang w:val="en-GB"/>
        </w:rPr>
      </w:pPr>
    </w:p>
    <w:bookmarkEnd w:id="0"/>
    <w:bookmarkEnd w:id="1"/>
    <w:bookmarkEnd w:id="2"/>
    <w:bookmarkEnd w:id="3"/>
    <w:bookmarkEnd w:id="4"/>
    <w:p w:rsidR="00B549F7" w:rsidRDefault="00B549F7" w:rsidP="00B549F7">
      <w:pPr>
        <w:widowControl/>
        <w:jc w:val="left"/>
        <w:rPr>
          <w:rFonts w:ascii="Times New Roman" w:hAnsi="Times New Roman" w:cs="Times New Roman"/>
          <w:snapToGrid/>
          <w:sz w:val="24"/>
          <w:szCs w:val="24"/>
          <w:lang w:val="en-GB"/>
        </w:rPr>
      </w:pPr>
    </w:p>
    <w:p w:rsidR="002E2C3B" w:rsidRPr="002E2C3B" w:rsidRDefault="002E2C3B" w:rsidP="002E2C3B">
      <w:pPr>
        <w:widowControl/>
        <w:jc w:val="left"/>
        <w:rPr>
          <w:rFonts w:ascii="Times New Roman" w:hAnsi="Times New Roman" w:cs="Times New Roman"/>
          <w:snapToGrid/>
          <w:sz w:val="24"/>
          <w:szCs w:val="24"/>
          <w:lang w:val="en-GB"/>
        </w:rPr>
      </w:pPr>
    </w:p>
    <w:p w:rsidR="002E2C3B" w:rsidRPr="002E2C3B" w:rsidRDefault="002E2C3B" w:rsidP="002E2C3B">
      <w:pPr>
        <w:widowControl/>
        <w:jc w:val="left"/>
        <w:rPr>
          <w:rFonts w:ascii="Times New Roman" w:hAnsi="Times New Roman" w:cs="Times New Roman"/>
          <w:snapToGrid/>
          <w:sz w:val="24"/>
          <w:szCs w:val="24"/>
          <w:lang w:val="en-GB"/>
        </w:rPr>
      </w:pPr>
    </w:p>
    <w:p w:rsidR="002E2C3B" w:rsidRPr="002E2C3B" w:rsidRDefault="002E2C3B" w:rsidP="006317AA">
      <w:pPr>
        <w:pStyle w:val="ListParagraph"/>
        <w:numPr>
          <w:ilvl w:val="0"/>
          <w:numId w:val="32"/>
        </w:numPr>
        <w:rPr>
          <w:rFonts w:eastAsia="SimSun"/>
          <w:b/>
          <w:snapToGrid/>
          <w:szCs w:val="22"/>
        </w:rPr>
      </w:pPr>
      <w:r w:rsidRPr="002E2C3B">
        <w:rPr>
          <w:rFonts w:eastAsia="SimSun"/>
          <w:b/>
          <w:snapToGrid/>
          <w:szCs w:val="22"/>
        </w:rPr>
        <w:t>Context for Decision</w:t>
      </w:r>
    </w:p>
    <w:p w:rsidR="002E2C3B" w:rsidRPr="002E2C3B" w:rsidRDefault="002E2C3B" w:rsidP="002E2C3B">
      <w:pPr>
        <w:widowControl/>
        <w:jc w:val="left"/>
        <w:rPr>
          <w:rFonts w:ascii="Times New Roman" w:hAnsi="Times New Roman" w:cs="Times New Roman"/>
          <w:snapToGrid/>
          <w:sz w:val="24"/>
          <w:szCs w:val="24"/>
          <w:lang w:val="en-GB"/>
        </w:rPr>
      </w:pPr>
    </w:p>
    <w:p w:rsidR="002E2C3B" w:rsidRPr="002E2C3B" w:rsidRDefault="002E2C3B" w:rsidP="006317AA">
      <w:pPr>
        <w:widowControl/>
        <w:ind w:left="720"/>
        <w:jc w:val="left"/>
        <w:rPr>
          <w:bCs/>
          <w:szCs w:val="22"/>
          <w:lang w:eastAsia="en-AU"/>
        </w:rPr>
      </w:pPr>
      <w:r w:rsidRPr="002E2C3B">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E2C3B" w:rsidRPr="002E2C3B" w:rsidRDefault="002E2C3B" w:rsidP="002E2C3B">
      <w:pPr>
        <w:widowControl/>
        <w:jc w:val="left"/>
        <w:rPr>
          <w:rFonts w:ascii="Times New Roman" w:hAnsi="Times New Roman" w:cs="Times New Roman"/>
          <w:snapToGrid/>
          <w:sz w:val="24"/>
          <w:szCs w:val="24"/>
          <w:lang w:val="en-GB"/>
        </w:rPr>
      </w:pPr>
    </w:p>
    <w:p w:rsidR="002E2C3B" w:rsidRPr="002E2C3B" w:rsidRDefault="002E2C3B" w:rsidP="006317AA">
      <w:pPr>
        <w:pStyle w:val="ListParagraph"/>
        <w:numPr>
          <w:ilvl w:val="0"/>
          <w:numId w:val="32"/>
        </w:numPr>
        <w:rPr>
          <w:rFonts w:eastAsia="SimSun"/>
          <w:b/>
          <w:snapToGrid/>
          <w:szCs w:val="22"/>
        </w:rPr>
      </w:pPr>
      <w:r w:rsidRPr="002E2C3B">
        <w:rPr>
          <w:rFonts w:eastAsia="SimSun"/>
          <w:b/>
          <w:snapToGrid/>
          <w:szCs w:val="22"/>
        </w:rPr>
        <w:lastRenderedPageBreak/>
        <w:t>Sponsor’s Comment</w:t>
      </w:r>
    </w:p>
    <w:p w:rsidR="002E2C3B" w:rsidRPr="002E2C3B" w:rsidRDefault="002E2C3B" w:rsidP="002E2C3B">
      <w:pPr>
        <w:widowControl/>
        <w:jc w:val="left"/>
        <w:rPr>
          <w:rFonts w:ascii="Times New Roman" w:hAnsi="Times New Roman" w:cs="Times New Roman"/>
          <w:snapToGrid/>
          <w:sz w:val="24"/>
          <w:szCs w:val="24"/>
          <w:lang w:val="en-GB"/>
        </w:rPr>
      </w:pPr>
    </w:p>
    <w:p w:rsidR="002E2C3B" w:rsidRPr="007657D4" w:rsidRDefault="007657D4" w:rsidP="007657D4">
      <w:pPr>
        <w:widowControl/>
        <w:ind w:left="720"/>
        <w:jc w:val="left"/>
        <w:rPr>
          <w:snapToGrid/>
          <w:szCs w:val="24"/>
          <w:lang w:val="en-GB"/>
        </w:rPr>
      </w:pPr>
      <w:r w:rsidRPr="007657D4">
        <w:rPr>
          <w:snapToGrid/>
          <w:szCs w:val="24"/>
          <w:lang w:val="en-GB"/>
        </w:rPr>
        <w:t xml:space="preserve">The PBAC’s decision to recommend </w:t>
      </w:r>
      <w:proofErr w:type="spellStart"/>
      <w:r w:rsidRPr="007657D4">
        <w:rPr>
          <w:snapToGrid/>
          <w:szCs w:val="24"/>
          <w:lang w:val="en-GB"/>
        </w:rPr>
        <w:t>obinutuzumab</w:t>
      </w:r>
      <w:proofErr w:type="spellEnd"/>
      <w:r w:rsidRPr="007657D4">
        <w:rPr>
          <w:snapToGrid/>
          <w:szCs w:val="24"/>
          <w:lang w:val="en-GB"/>
        </w:rPr>
        <w:t xml:space="preserve"> for PBS listing is welcome news for patients and their families. </w:t>
      </w:r>
    </w:p>
    <w:sectPr w:rsidR="002E2C3B" w:rsidRPr="007657D4" w:rsidSect="00695CE2">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C4" w:rsidRDefault="005079C4" w:rsidP="00124A51">
      <w:r>
        <w:separator/>
      </w:r>
    </w:p>
  </w:endnote>
  <w:endnote w:type="continuationSeparator" w:id="0">
    <w:p w:rsidR="005079C4" w:rsidRDefault="005079C4"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503641"/>
      <w:docPartObj>
        <w:docPartGallery w:val="Page Numbers (Bottom of Page)"/>
        <w:docPartUnique/>
      </w:docPartObj>
    </w:sdtPr>
    <w:sdtEndPr>
      <w:rPr>
        <w:noProof/>
      </w:rPr>
    </w:sdtEndPr>
    <w:sdtContent>
      <w:p w:rsidR="00622572" w:rsidRDefault="00622572">
        <w:pPr>
          <w:pStyle w:val="Footer"/>
          <w:jc w:val="center"/>
        </w:pPr>
        <w:r>
          <w:fldChar w:fldCharType="begin"/>
        </w:r>
        <w:r>
          <w:instrText xml:space="preserve"> PAGE   \* MERGEFORMAT </w:instrText>
        </w:r>
        <w:r>
          <w:fldChar w:fldCharType="separate"/>
        </w:r>
        <w:r w:rsidR="007C45E4">
          <w:rPr>
            <w:noProof/>
          </w:rPr>
          <w:t>21</w:t>
        </w:r>
        <w:r>
          <w:rPr>
            <w:noProof/>
          </w:rPr>
          <w:fldChar w:fldCharType="end"/>
        </w:r>
      </w:p>
    </w:sdtContent>
  </w:sdt>
  <w:p w:rsidR="00622572" w:rsidRDefault="006225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C4" w:rsidRDefault="005079C4" w:rsidP="00124A51">
      <w:r>
        <w:separator/>
      </w:r>
    </w:p>
  </w:footnote>
  <w:footnote w:type="continuationSeparator" w:id="0">
    <w:p w:rsidR="005079C4" w:rsidRDefault="005079C4"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72" w:rsidRPr="00DF217D" w:rsidRDefault="00622572" w:rsidP="009A0A32">
    <w:pPr>
      <w:pStyle w:val="Header"/>
      <w:jc w:val="center"/>
      <w:rPr>
        <w:i/>
        <w:color w:val="808080"/>
      </w:rPr>
    </w:pPr>
    <w:r w:rsidRPr="00E227F1">
      <w:rPr>
        <w:i/>
        <w:color w:val="808080"/>
      </w:rPr>
      <w:t>Public Summary Document</w:t>
    </w:r>
    <w:r>
      <w:rPr>
        <w:i/>
        <w:color w:val="808080"/>
      </w:rPr>
      <w:t xml:space="preserve">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622572" w:rsidRDefault="006225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368"/>
    <w:multiLevelType w:val="hybridMultilevel"/>
    <w:tmpl w:val="8C622D76"/>
    <w:lvl w:ilvl="0" w:tplc="ECDE82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73D81"/>
    <w:multiLevelType w:val="hybridMultilevel"/>
    <w:tmpl w:val="59C2D298"/>
    <w:lvl w:ilvl="0" w:tplc="33DCD0B6">
      <w:start w:val="100"/>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7B27A3"/>
    <w:multiLevelType w:val="hybridMultilevel"/>
    <w:tmpl w:val="9FC4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644E8"/>
    <w:multiLevelType w:val="hybridMultilevel"/>
    <w:tmpl w:val="9B8826D8"/>
    <w:lvl w:ilvl="0" w:tplc="70F83F9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CE77E90"/>
    <w:multiLevelType w:val="hybridMultilevel"/>
    <w:tmpl w:val="25208248"/>
    <w:lvl w:ilvl="0" w:tplc="43069CC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210690B"/>
    <w:multiLevelType w:val="hybridMultilevel"/>
    <w:tmpl w:val="2FC88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34502D"/>
    <w:multiLevelType w:val="hybridMultilevel"/>
    <w:tmpl w:val="9456128A"/>
    <w:lvl w:ilvl="0" w:tplc="1A2697EA">
      <w:start w:val="1000"/>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DA6BC7"/>
    <w:multiLevelType w:val="multilevel"/>
    <w:tmpl w:val="C9069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222D28"/>
    <w:multiLevelType w:val="multilevel"/>
    <w:tmpl w:val="E36C2F1C"/>
    <w:lvl w:ilvl="0">
      <w:start w:val="6"/>
      <w:numFmt w:val="decimal"/>
      <w:lvlText w:val="%1"/>
      <w:lvlJc w:val="left"/>
      <w:pPr>
        <w:ind w:left="720" w:hanging="720"/>
      </w:pPr>
      <w:rPr>
        <w:rFonts w:hint="default"/>
        <w:b/>
      </w:rPr>
    </w:lvl>
    <w:lvl w:ilvl="1">
      <w:start w:val="5"/>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9EA2029"/>
    <w:multiLevelType w:val="hybridMultilevel"/>
    <w:tmpl w:val="8488D89E"/>
    <w:lvl w:ilvl="0" w:tplc="14EC27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466B6C"/>
    <w:multiLevelType w:val="hybridMultilevel"/>
    <w:tmpl w:val="CB2020B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5F4A5B"/>
    <w:multiLevelType w:val="multilevel"/>
    <w:tmpl w:val="B652212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A61FD5"/>
    <w:multiLevelType w:val="hybridMultilevel"/>
    <w:tmpl w:val="D50CE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9">
    <w:nsid w:val="44BD46EB"/>
    <w:multiLevelType w:val="hybridMultilevel"/>
    <w:tmpl w:val="A3543FF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6E64B5"/>
    <w:multiLevelType w:val="hybridMultilevel"/>
    <w:tmpl w:val="95BAAE08"/>
    <w:lvl w:ilvl="0" w:tplc="CB3E7C88">
      <w:numFmt w:val="bullet"/>
      <w:lvlText w:val="-"/>
      <w:lvlJc w:val="left"/>
      <w:pPr>
        <w:ind w:left="720" w:hanging="360"/>
      </w:pPr>
      <w:rPr>
        <w:rFonts w:ascii="Arial" w:eastAsia="Times New Roman"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661E48"/>
    <w:multiLevelType w:val="multilevel"/>
    <w:tmpl w:val="B588A9EE"/>
    <w:lvl w:ilvl="0">
      <w:start w:val="4"/>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25559AC"/>
    <w:multiLevelType w:val="hybridMultilevel"/>
    <w:tmpl w:val="DAFA69F2"/>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8E1677"/>
    <w:multiLevelType w:val="hybridMultilevel"/>
    <w:tmpl w:val="360CD030"/>
    <w:lvl w:ilvl="0" w:tplc="B8B81C3A">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451A9C"/>
    <w:multiLevelType w:val="hybridMultilevel"/>
    <w:tmpl w:val="BD3C1F1C"/>
    <w:lvl w:ilvl="0" w:tplc="572A5906">
      <w:start w:val="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60782657"/>
    <w:multiLevelType w:val="hybridMultilevel"/>
    <w:tmpl w:val="2D9046AE"/>
    <w:lvl w:ilvl="0" w:tplc="F488CF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A96CCD"/>
    <w:multiLevelType w:val="hybridMultilevel"/>
    <w:tmpl w:val="4AE0CD30"/>
    <w:lvl w:ilvl="0" w:tplc="0C090001">
      <w:start w:val="1"/>
      <w:numFmt w:val="bullet"/>
      <w:lvlText w:val=""/>
      <w:lvlJc w:val="left"/>
      <w:pPr>
        <w:ind w:left="360" w:hanging="360"/>
      </w:pPr>
      <w:rPr>
        <w:rFonts w:ascii="Symbol" w:hAnsi="Symbol" w:hint="default"/>
      </w:rPr>
    </w:lvl>
    <w:lvl w:ilvl="1" w:tplc="0DD4CFA4">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F7522EA"/>
    <w:multiLevelType w:val="hybridMultilevel"/>
    <w:tmpl w:val="54A0070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871D3D"/>
    <w:multiLevelType w:val="hybridMultilevel"/>
    <w:tmpl w:val="EC342EC0"/>
    <w:lvl w:ilvl="0" w:tplc="5AEEBB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A012E4"/>
    <w:multiLevelType w:val="multilevel"/>
    <w:tmpl w:val="BB7ACD24"/>
    <w:lvl w:ilvl="0">
      <w:start w:val="7"/>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4D033C"/>
    <w:multiLevelType w:val="multilevel"/>
    <w:tmpl w:val="A0E86D6E"/>
    <w:lvl w:ilvl="0">
      <w:start w:val="1"/>
      <w:numFmt w:val="decimal"/>
      <w:pStyle w:val="PBACheading10"/>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FE83548"/>
    <w:multiLevelType w:val="hybridMultilevel"/>
    <w:tmpl w:val="A33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6"/>
  </w:num>
  <w:num w:numId="4">
    <w:abstractNumId w:val="2"/>
  </w:num>
  <w:num w:numId="5">
    <w:abstractNumId w:val="15"/>
  </w:num>
  <w:num w:numId="6">
    <w:abstractNumId w:val="9"/>
  </w:num>
  <w:num w:numId="7">
    <w:abstractNumId w:val="3"/>
  </w:num>
  <w:num w:numId="8">
    <w:abstractNumId w:val="32"/>
  </w:num>
  <w:num w:numId="9">
    <w:abstractNumId w:val="29"/>
  </w:num>
  <w:num w:numId="10">
    <w:abstractNumId w:val="30"/>
  </w:num>
  <w:num w:numId="11">
    <w:abstractNumId w:val="7"/>
  </w:num>
  <w:num w:numId="12">
    <w:abstractNumId w:val="28"/>
  </w:num>
  <w:num w:numId="13">
    <w:abstractNumId w:val="34"/>
  </w:num>
  <w:num w:numId="14">
    <w:abstractNumId w:val="11"/>
  </w:num>
  <w:num w:numId="15">
    <w:abstractNumId w:val="21"/>
  </w:num>
  <w:num w:numId="16">
    <w:abstractNumId w:val="19"/>
  </w:num>
  <w:num w:numId="17">
    <w:abstractNumId w:val="14"/>
  </w:num>
  <w:num w:numId="18">
    <w:abstractNumId w:val="31"/>
  </w:num>
  <w:num w:numId="19">
    <w:abstractNumId w:val="5"/>
  </w:num>
  <w:num w:numId="20">
    <w:abstractNumId w:val="17"/>
  </w:num>
  <w:num w:numId="21">
    <w:abstractNumId w:val="23"/>
  </w:num>
  <w:num w:numId="22">
    <w:abstractNumId w:val="6"/>
  </w:num>
  <w:num w:numId="23">
    <w:abstractNumId w:val="12"/>
  </w:num>
  <w:num w:numId="24">
    <w:abstractNumId w:val="8"/>
  </w:num>
  <w:num w:numId="25">
    <w:abstractNumId w:val="25"/>
  </w:num>
  <w:num w:numId="26">
    <w:abstractNumId w:val="26"/>
  </w:num>
  <w:num w:numId="27">
    <w:abstractNumId w:val="4"/>
  </w:num>
  <w:num w:numId="28">
    <w:abstractNumId w:val="0"/>
  </w:num>
  <w:num w:numId="29">
    <w:abstractNumId w:val="10"/>
  </w:num>
  <w:num w:numId="30">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5"/>
  </w:num>
  <w:num w:numId="34">
    <w:abstractNumId w:val="20"/>
  </w:num>
  <w:num w:numId="35">
    <w:abstractNumId w:val="24"/>
  </w:num>
  <w:num w:numId="36">
    <w:abstractNumId w:val="13"/>
  </w:num>
  <w:num w:numId="37">
    <w:abstractNumId w:val="1"/>
  </w:num>
  <w:num w:numId="3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E2"/>
    <w:rsid w:val="00000790"/>
    <w:rsid w:val="00000859"/>
    <w:rsid w:val="00000C85"/>
    <w:rsid w:val="00000DEE"/>
    <w:rsid w:val="0000110B"/>
    <w:rsid w:val="000011EF"/>
    <w:rsid w:val="00001280"/>
    <w:rsid w:val="00001729"/>
    <w:rsid w:val="00001AC6"/>
    <w:rsid w:val="00002033"/>
    <w:rsid w:val="00002350"/>
    <w:rsid w:val="000023D1"/>
    <w:rsid w:val="000027B3"/>
    <w:rsid w:val="000033D6"/>
    <w:rsid w:val="00003417"/>
    <w:rsid w:val="00003605"/>
    <w:rsid w:val="000037EB"/>
    <w:rsid w:val="00003E50"/>
    <w:rsid w:val="00004C64"/>
    <w:rsid w:val="00004D94"/>
    <w:rsid w:val="00005008"/>
    <w:rsid w:val="000058EB"/>
    <w:rsid w:val="00005DC9"/>
    <w:rsid w:val="00005F9C"/>
    <w:rsid w:val="00006F47"/>
    <w:rsid w:val="0000701B"/>
    <w:rsid w:val="00007028"/>
    <w:rsid w:val="00007B4D"/>
    <w:rsid w:val="00007DB3"/>
    <w:rsid w:val="00010D41"/>
    <w:rsid w:val="00011156"/>
    <w:rsid w:val="0001147B"/>
    <w:rsid w:val="00011740"/>
    <w:rsid w:val="00011929"/>
    <w:rsid w:val="00012978"/>
    <w:rsid w:val="00013247"/>
    <w:rsid w:val="0001335B"/>
    <w:rsid w:val="00013736"/>
    <w:rsid w:val="00013C86"/>
    <w:rsid w:val="0001414A"/>
    <w:rsid w:val="0001415F"/>
    <w:rsid w:val="00014420"/>
    <w:rsid w:val="000149F4"/>
    <w:rsid w:val="00014CA6"/>
    <w:rsid w:val="00015886"/>
    <w:rsid w:val="00015D5A"/>
    <w:rsid w:val="000162EF"/>
    <w:rsid w:val="00016718"/>
    <w:rsid w:val="00016A1C"/>
    <w:rsid w:val="00016AD1"/>
    <w:rsid w:val="00016B8E"/>
    <w:rsid w:val="00017688"/>
    <w:rsid w:val="00017C67"/>
    <w:rsid w:val="00017EB0"/>
    <w:rsid w:val="000203A0"/>
    <w:rsid w:val="000204B5"/>
    <w:rsid w:val="00020596"/>
    <w:rsid w:val="00020E28"/>
    <w:rsid w:val="00020E67"/>
    <w:rsid w:val="0002184E"/>
    <w:rsid w:val="0002225F"/>
    <w:rsid w:val="0002243C"/>
    <w:rsid w:val="00023763"/>
    <w:rsid w:val="00024DA5"/>
    <w:rsid w:val="00025ACC"/>
    <w:rsid w:val="00026920"/>
    <w:rsid w:val="00026F99"/>
    <w:rsid w:val="000276D3"/>
    <w:rsid w:val="00027AA4"/>
    <w:rsid w:val="00027F6A"/>
    <w:rsid w:val="00027FDD"/>
    <w:rsid w:val="00030E7F"/>
    <w:rsid w:val="0003141E"/>
    <w:rsid w:val="0003224F"/>
    <w:rsid w:val="00032621"/>
    <w:rsid w:val="00032DBE"/>
    <w:rsid w:val="00033156"/>
    <w:rsid w:val="000334CA"/>
    <w:rsid w:val="00033B26"/>
    <w:rsid w:val="0003416D"/>
    <w:rsid w:val="000341C8"/>
    <w:rsid w:val="00034225"/>
    <w:rsid w:val="000345C7"/>
    <w:rsid w:val="000348C1"/>
    <w:rsid w:val="000353DC"/>
    <w:rsid w:val="0003546E"/>
    <w:rsid w:val="00035562"/>
    <w:rsid w:val="00035DC8"/>
    <w:rsid w:val="0003683B"/>
    <w:rsid w:val="00037051"/>
    <w:rsid w:val="00040017"/>
    <w:rsid w:val="00040895"/>
    <w:rsid w:val="00040922"/>
    <w:rsid w:val="00041712"/>
    <w:rsid w:val="0004231D"/>
    <w:rsid w:val="000423B8"/>
    <w:rsid w:val="00042424"/>
    <w:rsid w:val="00042957"/>
    <w:rsid w:val="00043C37"/>
    <w:rsid w:val="00043E35"/>
    <w:rsid w:val="00044CD1"/>
    <w:rsid w:val="00044E9D"/>
    <w:rsid w:val="0004524F"/>
    <w:rsid w:val="000455CB"/>
    <w:rsid w:val="000458B1"/>
    <w:rsid w:val="00046686"/>
    <w:rsid w:val="000469BC"/>
    <w:rsid w:val="00046B12"/>
    <w:rsid w:val="00046B74"/>
    <w:rsid w:val="0004776E"/>
    <w:rsid w:val="00047FB2"/>
    <w:rsid w:val="000504F5"/>
    <w:rsid w:val="00050E58"/>
    <w:rsid w:val="000511DE"/>
    <w:rsid w:val="000531BF"/>
    <w:rsid w:val="00053327"/>
    <w:rsid w:val="00054390"/>
    <w:rsid w:val="000546D7"/>
    <w:rsid w:val="0005479F"/>
    <w:rsid w:val="00054D14"/>
    <w:rsid w:val="00054D5E"/>
    <w:rsid w:val="0005528D"/>
    <w:rsid w:val="00055B45"/>
    <w:rsid w:val="00055D75"/>
    <w:rsid w:val="00056501"/>
    <w:rsid w:val="0006103B"/>
    <w:rsid w:val="0006107C"/>
    <w:rsid w:val="0006150E"/>
    <w:rsid w:val="0006355D"/>
    <w:rsid w:val="0006361E"/>
    <w:rsid w:val="00063918"/>
    <w:rsid w:val="000640E0"/>
    <w:rsid w:val="00064AF6"/>
    <w:rsid w:val="00065B86"/>
    <w:rsid w:val="00065DEF"/>
    <w:rsid w:val="000663A9"/>
    <w:rsid w:val="0006651A"/>
    <w:rsid w:val="00066B5E"/>
    <w:rsid w:val="0006739D"/>
    <w:rsid w:val="000673EF"/>
    <w:rsid w:val="00070735"/>
    <w:rsid w:val="000709A8"/>
    <w:rsid w:val="00070EFB"/>
    <w:rsid w:val="00071248"/>
    <w:rsid w:val="00071864"/>
    <w:rsid w:val="00071B60"/>
    <w:rsid w:val="0007206F"/>
    <w:rsid w:val="000720B9"/>
    <w:rsid w:val="000739A9"/>
    <w:rsid w:val="0007413A"/>
    <w:rsid w:val="000745A6"/>
    <w:rsid w:val="00074685"/>
    <w:rsid w:val="00074779"/>
    <w:rsid w:val="00074CAE"/>
    <w:rsid w:val="00075224"/>
    <w:rsid w:val="000752A3"/>
    <w:rsid w:val="0007581D"/>
    <w:rsid w:val="00076093"/>
    <w:rsid w:val="000761DC"/>
    <w:rsid w:val="00076C99"/>
    <w:rsid w:val="0007740D"/>
    <w:rsid w:val="000812CA"/>
    <w:rsid w:val="00081440"/>
    <w:rsid w:val="000817BE"/>
    <w:rsid w:val="00081ACB"/>
    <w:rsid w:val="00082140"/>
    <w:rsid w:val="00082162"/>
    <w:rsid w:val="0008283D"/>
    <w:rsid w:val="000829B2"/>
    <w:rsid w:val="00082FBF"/>
    <w:rsid w:val="000833DE"/>
    <w:rsid w:val="0008360B"/>
    <w:rsid w:val="00083777"/>
    <w:rsid w:val="00084DF1"/>
    <w:rsid w:val="0008509C"/>
    <w:rsid w:val="00085527"/>
    <w:rsid w:val="00085B21"/>
    <w:rsid w:val="000867D9"/>
    <w:rsid w:val="00086A1C"/>
    <w:rsid w:val="00086F0C"/>
    <w:rsid w:val="00087015"/>
    <w:rsid w:val="000872CE"/>
    <w:rsid w:val="000872DD"/>
    <w:rsid w:val="00090299"/>
    <w:rsid w:val="00090373"/>
    <w:rsid w:val="0009055C"/>
    <w:rsid w:val="00090B34"/>
    <w:rsid w:val="00090C7E"/>
    <w:rsid w:val="00090E1D"/>
    <w:rsid w:val="000916AE"/>
    <w:rsid w:val="000919C2"/>
    <w:rsid w:val="00091C1D"/>
    <w:rsid w:val="0009203D"/>
    <w:rsid w:val="00092813"/>
    <w:rsid w:val="000934E2"/>
    <w:rsid w:val="000939A5"/>
    <w:rsid w:val="00093F11"/>
    <w:rsid w:val="00094879"/>
    <w:rsid w:val="00095243"/>
    <w:rsid w:val="000952CE"/>
    <w:rsid w:val="0009583C"/>
    <w:rsid w:val="00095A9F"/>
    <w:rsid w:val="00095D24"/>
    <w:rsid w:val="00096E7F"/>
    <w:rsid w:val="00097257"/>
    <w:rsid w:val="00097315"/>
    <w:rsid w:val="00097971"/>
    <w:rsid w:val="000A04D3"/>
    <w:rsid w:val="000A1191"/>
    <w:rsid w:val="000A1967"/>
    <w:rsid w:val="000A27AA"/>
    <w:rsid w:val="000A28DD"/>
    <w:rsid w:val="000A292F"/>
    <w:rsid w:val="000A2B24"/>
    <w:rsid w:val="000A2E1F"/>
    <w:rsid w:val="000A3608"/>
    <w:rsid w:val="000A3DA9"/>
    <w:rsid w:val="000A3EA8"/>
    <w:rsid w:val="000A41E2"/>
    <w:rsid w:val="000A47F7"/>
    <w:rsid w:val="000A51A8"/>
    <w:rsid w:val="000A592C"/>
    <w:rsid w:val="000A5C65"/>
    <w:rsid w:val="000A60DD"/>
    <w:rsid w:val="000A64D0"/>
    <w:rsid w:val="000A6F08"/>
    <w:rsid w:val="000A7527"/>
    <w:rsid w:val="000A764E"/>
    <w:rsid w:val="000A7EAB"/>
    <w:rsid w:val="000A7F60"/>
    <w:rsid w:val="000B08AB"/>
    <w:rsid w:val="000B096C"/>
    <w:rsid w:val="000B0F19"/>
    <w:rsid w:val="000B0F8B"/>
    <w:rsid w:val="000B163B"/>
    <w:rsid w:val="000B2010"/>
    <w:rsid w:val="000B39A9"/>
    <w:rsid w:val="000B4821"/>
    <w:rsid w:val="000B54EF"/>
    <w:rsid w:val="000B57B3"/>
    <w:rsid w:val="000B644C"/>
    <w:rsid w:val="000B669F"/>
    <w:rsid w:val="000B685C"/>
    <w:rsid w:val="000B697A"/>
    <w:rsid w:val="000B6CE7"/>
    <w:rsid w:val="000B70A5"/>
    <w:rsid w:val="000B71EF"/>
    <w:rsid w:val="000B7AB7"/>
    <w:rsid w:val="000B7D47"/>
    <w:rsid w:val="000C1008"/>
    <w:rsid w:val="000C23F3"/>
    <w:rsid w:val="000C2E61"/>
    <w:rsid w:val="000C2EB4"/>
    <w:rsid w:val="000C2FAB"/>
    <w:rsid w:val="000C2FE0"/>
    <w:rsid w:val="000C3156"/>
    <w:rsid w:val="000C31EE"/>
    <w:rsid w:val="000C3215"/>
    <w:rsid w:val="000C3905"/>
    <w:rsid w:val="000C42FE"/>
    <w:rsid w:val="000C58C5"/>
    <w:rsid w:val="000C5D4C"/>
    <w:rsid w:val="000C60D5"/>
    <w:rsid w:val="000C6F3C"/>
    <w:rsid w:val="000D14B3"/>
    <w:rsid w:val="000D1BFC"/>
    <w:rsid w:val="000D20C1"/>
    <w:rsid w:val="000D20EA"/>
    <w:rsid w:val="000D30D3"/>
    <w:rsid w:val="000D3862"/>
    <w:rsid w:val="000D38CC"/>
    <w:rsid w:val="000D3EAA"/>
    <w:rsid w:val="000D41E8"/>
    <w:rsid w:val="000D42FA"/>
    <w:rsid w:val="000D4B5C"/>
    <w:rsid w:val="000D4EFE"/>
    <w:rsid w:val="000D51B7"/>
    <w:rsid w:val="000D5AC7"/>
    <w:rsid w:val="000D5E41"/>
    <w:rsid w:val="000D723A"/>
    <w:rsid w:val="000D7A08"/>
    <w:rsid w:val="000E13B1"/>
    <w:rsid w:val="000E2085"/>
    <w:rsid w:val="000E24C1"/>
    <w:rsid w:val="000E2B0E"/>
    <w:rsid w:val="000E2B67"/>
    <w:rsid w:val="000E3AAF"/>
    <w:rsid w:val="000E3AF7"/>
    <w:rsid w:val="000E4038"/>
    <w:rsid w:val="000E4A05"/>
    <w:rsid w:val="000E536C"/>
    <w:rsid w:val="000E56B3"/>
    <w:rsid w:val="000E5706"/>
    <w:rsid w:val="000E5722"/>
    <w:rsid w:val="000E6A66"/>
    <w:rsid w:val="000E70F9"/>
    <w:rsid w:val="000E746F"/>
    <w:rsid w:val="000E7D76"/>
    <w:rsid w:val="000E7F64"/>
    <w:rsid w:val="000F0405"/>
    <w:rsid w:val="000F1247"/>
    <w:rsid w:val="000F36FC"/>
    <w:rsid w:val="000F38CF"/>
    <w:rsid w:val="000F394E"/>
    <w:rsid w:val="000F47DD"/>
    <w:rsid w:val="000F6759"/>
    <w:rsid w:val="000F6A54"/>
    <w:rsid w:val="000F7108"/>
    <w:rsid w:val="000F761C"/>
    <w:rsid w:val="0010024A"/>
    <w:rsid w:val="00100D7D"/>
    <w:rsid w:val="00100F8A"/>
    <w:rsid w:val="001020C7"/>
    <w:rsid w:val="001027B5"/>
    <w:rsid w:val="0010284B"/>
    <w:rsid w:val="00102917"/>
    <w:rsid w:val="00102D42"/>
    <w:rsid w:val="00102D91"/>
    <w:rsid w:val="00103613"/>
    <w:rsid w:val="00103B77"/>
    <w:rsid w:val="001048C5"/>
    <w:rsid w:val="00104CE0"/>
    <w:rsid w:val="00105353"/>
    <w:rsid w:val="0010593A"/>
    <w:rsid w:val="00105F84"/>
    <w:rsid w:val="0010602B"/>
    <w:rsid w:val="0010670C"/>
    <w:rsid w:val="00106A5A"/>
    <w:rsid w:val="0010744F"/>
    <w:rsid w:val="00107D1F"/>
    <w:rsid w:val="001101B8"/>
    <w:rsid w:val="0011032E"/>
    <w:rsid w:val="00110AB2"/>
    <w:rsid w:val="00110DDA"/>
    <w:rsid w:val="00110E51"/>
    <w:rsid w:val="00111913"/>
    <w:rsid w:val="00112C01"/>
    <w:rsid w:val="00112F4E"/>
    <w:rsid w:val="00113A9A"/>
    <w:rsid w:val="00116187"/>
    <w:rsid w:val="00116BEB"/>
    <w:rsid w:val="00116D3A"/>
    <w:rsid w:val="00117819"/>
    <w:rsid w:val="00117DAD"/>
    <w:rsid w:val="001207FA"/>
    <w:rsid w:val="00120956"/>
    <w:rsid w:val="00121799"/>
    <w:rsid w:val="0012187B"/>
    <w:rsid w:val="001219CD"/>
    <w:rsid w:val="00122140"/>
    <w:rsid w:val="001222FC"/>
    <w:rsid w:val="001228F2"/>
    <w:rsid w:val="0012383A"/>
    <w:rsid w:val="00124518"/>
    <w:rsid w:val="00124A42"/>
    <w:rsid w:val="00124A51"/>
    <w:rsid w:val="00124C0F"/>
    <w:rsid w:val="00125135"/>
    <w:rsid w:val="00125861"/>
    <w:rsid w:val="00125A16"/>
    <w:rsid w:val="00126621"/>
    <w:rsid w:val="00127081"/>
    <w:rsid w:val="00127468"/>
    <w:rsid w:val="00127526"/>
    <w:rsid w:val="001276F6"/>
    <w:rsid w:val="00127728"/>
    <w:rsid w:val="00127A76"/>
    <w:rsid w:val="001301E9"/>
    <w:rsid w:val="001302C1"/>
    <w:rsid w:val="0013055C"/>
    <w:rsid w:val="00131044"/>
    <w:rsid w:val="00131250"/>
    <w:rsid w:val="00131E7D"/>
    <w:rsid w:val="00132B17"/>
    <w:rsid w:val="00132CA3"/>
    <w:rsid w:val="0013361E"/>
    <w:rsid w:val="00133657"/>
    <w:rsid w:val="00133B7D"/>
    <w:rsid w:val="00133BF5"/>
    <w:rsid w:val="0013432A"/>
    <w:rsid w:val="00134474"/>
    <w:rsid w:val="00135032"/>
    <w:rsid w:val="0013551D"/>
    <w:rsid w:val="00136290"/>
    <w:rsid w:val="00136E2D"/>
    <w:rsid w:val="00137171"/>
    <w:rsid w:val="001375E8"/>
    <w:rsid w:val="00137645"/>
    <w:rsid w:val="00137743"/>
    <w:rsid w:val="0014014D"/>
    <w:rsid w:val="0014015A"/>
    <w:rsid w:val="0014036D"/>
    <w:rsid w:val="00140564"/>
    <w:rsid w:val="001406E8"/>
    <w:rsid w:val="00140DEF"/>
    <w:rsid w:val="00140E99"/>
    <w:rsid w:val="001413C8"/>
    <w:rsid w:val="001422A0"/>
    <w:rsid w:val="001426FA"/>
    <w:rsid w:val="00142C57"/>
    <w:rsid w:val="00143602"/>
    <w:rsid w:val="00144EFD"/>
    <w:rsid w:val="0014569D"/>
    <w:rsid w:val="001456B0"/>
    <w:rsid w:val="00145A5F"/>
    <w:rsid w:val="00145AFC"/>
    <w:rsid w:val="001462AA"/>
    <w:rsid w:val="00146C52"/>
    <w:rsid w:val="0014756A"/>
    <w:rsid w:val="00152096"/>
    <w:rsid w:val="00152703"/>
    <w:rsid w:val="0015279E"/>
    <w:rsid w:val="00152A46"/>
    <w:rsid w:val="00152B55"/>
    <w:rsid w:val="00152F61"/>
    <w:rsid w:val="001541A7"/>
    <w:rsid w:val="00154415"/>
    <w:rsid w:val="00154420"/>
    <w:rsid w:val="00155447"/>
    <w:rsid w:val="00155460"/>
    <w:rsid w:val="0015560D"/>
    <w:rsid w:val="00155D72"/>
    <w:rsid w:val="0015608F"/>
    <w:rsid w:val="0015678D"/>
    <w:rsid w:val="00156E39"/>
    <w:rsid w:val="0015703D"/>
    <w:rsid w:val="00157130"/>
    <w:rsid w:val="00157303"/>
    <w:rsid w:val="00157307"/>
    <w:rsid w:val="00157479"/>
    <w:rsid w:val="00157982"/>
    <w:rsid w:val="00157BEA"/>
    <w:rsid w:val="00157E76"/>
    <w:rsid w:val="00157FB9"/>
    <w:rsid w:val="00160263"/>
    <w:rsid w:val="001608B3"/>
    <w:rsid w:val="00162267"/>
    <w:rsid w:val="0016282D"/>
    <w:rsid w:val="00162913"/>
    <w:rsid w:val="001629DB"/>
    <w:rsid w:val="00162BC9"/>
    <w:rsid w:val="0016375E"/>
    <w:rsid w:val="001637DE"/>
    <w:rsid w:val="001638AF"/>
    <w:rsid w:val="00163EE1"/>
    <w:rsid w:val="00163EFF"/>
    <w:rsid w:val="0016428F"/>
    <w:rsid w:val="001643A4"/>
    <w:rsid w:val="0016472A"/>
    <w:rsid w:val="001649CF"/>
    <w:rsid w:val="00164A91"/>
    <w:rsid w:val="00164AA7"/>
    <w:rsid w:val="0016544F"/>
    <w:rsid w:val="001658F2"/>
    <w:rsid w:val="00165DD2"/>
    <w:rsid w:val="00165DDA"/>
    <w:rsid w:val="001661FB"/>
    <w:rsid w:val="001672C3"/>
    <w:rsid w:val="001674B2"/>
    <w:rsid w:val="00167624"/>
    <w:rsid w:val="0016765E"/>
    <w:rsid w:val="0016774F"/>
    <w:rsid w:val="00167BF3"/>
    <w:rsid w:val="00170CCE"/>
    <w:rsid w:val="00170FB8"/>
    <w:rsid w:val="00171CC9"/>
    <w:rsid w:val="00172420"/>
    <w:rsid w:val="001728AD"/>
    <w:rsid w:val="001741C6"/>
    <w:rsid w:val="00174A4C"/>
    <w:rsid w:val="001755F2"/>
    <w:rsid w:val="0017561E"/>
    <w:rsid w:val="00175649"/>
    <w:rsid w:val="00176C8D"/>
    <w:rsid w:val="001772C2"/>
    <w:rsid w:val="00177330"/>
    <w:rsid w:val="00177E26"/>
    <w:rsid w:val="00180049"/>
    <w:rsid w:val="001805C7"/>
    <w:rsid w:val="00180A93"/>
    <w:rsid w:val="00181A48"/>
    <w:rsid w:val="00181BA8"/>
    <w:rsid w:val="00183DB2"/>
    <w:rsid w:val="001846A5"/>
    <w:rsid w:val="00184A56"/>
    <w:rsid w:val="00185140"/>
    <w:rsid w:val="001851FF"/>
    <w:rsid w:val="0018588D"/>
    <w:rsid w:val="00185BB2"/>
    <w:rsid w:val="00185D11"/>
    <w:rsid w:val="00186EDD"/>
    <w:rsid w:val="001876AF"/>
    <w:rsid w:val="00187800"/>
    <w:rsid w:val="0018795E"/>
    <w:rsid w:val="00187A2E"/>
    <w:rsid w:val="00187DBF"/>
    <w:rsid w:val="00187E0B"/>
    <w:rsid w:val="00190E36"/>
    <w:rsid w:val="00195222"/>
    <w:rsid w:val="00196A2A"/>
    <w:rsid w:val="00196D60"/>
    <w:rsid w:val="00196F35"/>
    <w:rsid w:val="001971A6"/>
    <w:rsid w:val="00197270"/>
    <w:rsid w:val="00197427"/>
    <w:rsid w:val="001975D8"/>
    <w:rsid w:val="001A0C40"/>
    <w:rsid w:val="001A1807"/>
    <w:rsid w:val="001A1BBA"/>
    <w:rsid w:val="001A1DF0"/>
    <w:rsid w:val="001A202E"/>
    <w:rsid w:val="001A246D"/>
    <w:rsid w:val="001A24A0"/>
    <w:rsid w:val="001A29E2"/>
    <w:rsid w:val="001A2FC3"/>
    <w:rsid w:val="001A36E2"/>
    <w:rsid w:val="001A47D5"/>
    <w:rsid w:val="001A494C"/>
    <w:rsid w:val="001A5223"/>
    <w:rsid w:val="001A5832"/>
    <w:rsid w:val="001A5C23"/>
    <w:rsid w:val="001A6D60"/>
    <w:rsid w:val="001A7157"/>
    <w:rsid w:val="001A7166"/>
    <w:rsid w:val="001A7434"/>
    <w:rsid w:val="001A76FB"/>
    <w:rsid w:val="001A7A02"/>
    <w:rsid w:val="001B0F59"/>
    <w:rsid w:val="001B111D"/>
    <w:rsid w:val="001B1BDB"/>
    <w:rsid w:val="001B2D68"/>
    <w:rsid w:val="001B3443"/>
    <w:rsid w:val="001B3519"/>
    <w:rsid w:val="001B3819"/>
    <w:rsid w:val="001B3B30"/>
    <w:rsid w:val="001B4027"/>
    <w:rsid w:val="001B4586"/>
    <w:rsid w:val="001B5654"/>
    <w:rsid w:val="001B5B6D"/>
    <w:rsid w:val="001B6188"/>
    <w:rsid w:val="001B6327"/>
    <w:rsid w:val="001B7480"/>
    <w:rsid w:val="001B75A5"/>
    <w:rsid w:val="001C0EDD"/>
    <w:rsid w:val="001C1030"/>
    <w:rsid w:val="001C1658"/>
    <w:rsid w:val="001C2758"/>
    <w:rsid w:val="001C2C5C"/>
    <w:rsid w:val="001C3990"/>
    <w:rsid w:val="001C3F3B"/>
    <w:rsid w:val="001C4B44"/>
    <w:rsid w:val="001C4CD4"/>
    <w:rsid w:val="001C4D2D"/>
    <w:rsid w:val="001C5C67"/>
    <w:rsid w:val="001C6BC3"/>
    <w:rsid w:val="001C6E66"/>
    <w:rsid w:val="001D00AB"/>
    <w:rsid w:val="001D034A"/>
    <w:rsid w:val="001D0D98"/>
    <w:rsid w:val="001D0FD0"/>
    <w:rsid w:val="001D1077"/>
    <w:rsid w:val="001D112E"/>
    <w:rsid w:val="001D11F6"/>
    <w:rsid w:val="001D28D3"/>
    <w:rsid w:val="001D2F9E"/>
    <w:rsid w:val="001D3BAE"/>
    <w:rsid w:val="001D46D2"/>
    <w:rsid w:val="001D4A55"/>
    <w:rsid w:val="001D5087"/>
    <w:rsid w:val="001D5266"/>
    <w:rsid w:val="001D5898"/>
    <w:rsid w:val="001D58B4"/>
    <w:rsid w:val="001D59F6"/>
    <w:rsid w:val="001D7001"/>
    <w:rsid w:val="001D76DB"/>
    <w:rsid w:val="001D78BF"/>
    <w:rsid w:val="001D7A78"/>
    <w:rsid w:val="001D7C7D"/>
    <w:rsid w:val="001E00ED"/>
    <w:rsid w:val="001E14F3"/>
    <w:rsid w:val="001E2026"/>
    <w:rsid w:val="001E238E"/>
    <w:rsid w:val="001E311E"/>
    <w:rsid w:val="001E324C"/>
    <w:rsid w:val="001E3F7C"/>
    <w:rsid w:val="001E440C"/>
    <w:rsid w:val="001E4453"/>
    <w:rsid w:val="001E52EB"/>
    <w:rsid w:val="001E546C"/>
    <w:rsid w:val="001E572F"/>
    <w:rsid w:val="001E5FEA"/>
    <w:rsid w:val="001E6152"/>
    <w:rsid w:val="001E6861"/>
    <w:rsid w:val="001E740C"/>
    <w:rsid w:val="001E7859"/>
    <w:rsid w:val="001F00D2"/>
    <w:rsid w:val="001F032E"/>
    <w:rsid w:val="001F046A"/>
    <w:rsid w:val="001F04C9"/>
    <w:rsid w:val="001F0972"/>
    <w:rsid w:val="001F1235"/>
    <w:rsid w:val="001F1CB3"/>
    <w:rsid w:val="001F2CBF"/>
    <w:rsid w:val="001F37D0"/>
    <w:rsid w:val="001F382C"/>
    <w:rsid w:val="001F397D"/>
    <w:rsid w:val="001F4146"/>
    <w:rsid w:val="001F43DA"/>
    <w:rsid w:val="001F62AE"/>
    <w:rsid w:val="001F7361"/>
    <w:rsid w:val="001F787A"/>
    <w:rsid w:val="002003E4"/>
    <w:rsid w:val="00200675"/>
    <w:rsid w:val="00200B34"/>
    <w:rsid w:val="00200CAC"/>
    <w:rsid w:val="00200DE2"/>
    <w:rsid w:val="00201200"/>
    <w:rsid w:val="00201949"/>
    <w:rsid w:val="002025F7"/>
    <w:rsid w:val="002025FE"/>
    <w:rsid w:val="002047EA"/>
    <w:rsid w:val="002048F4"/>
    <w:rsid w:val="00204FFE"/>
    <w:rsid w:val="0020501A"/>
    <w:rsid w:val="00205934"/>
    <w:rsid w:val="00206524"/>
    <w:rsid w:val="002078F7"/>
    <w:rsid w:val="002079F5"/>
    <w:rsid w:val="00207C31"/>
    <w:rsid w:val="002105C1"/>
    <w:rsid w:val="00210656"/>
    <w:rsid w:val="00210B2D"/>
    <w:rsid w:val="00211AB4"/>
    <w:rsid w:val="00212454"/>
    <w:rsid w:val="00212F8B"/>
    <w:rsid w:val="002132CA"/>
    <w:rsid w:val="00213359"/>
    <w:rsid w:val="00213FCB"/>
    <w:rsid w:val="00214A3F"/>
    <w:rsid w:val="00215112"/>
    <w:rsid w:val="00216107"/>
    <w:rsid w:val="002162B6"/>
    <w:rsid w:val="00216B1C"/>
    <w:rsid w:val="00217BF1"/>
    <w:rsid w:val="00220067"/>
    <w:rsid w:val="002203B8"/>
    <w:rsid w:val="00220A8F"/>
    <w:rsid w:val="00220F05"/>
    <w:rsid w:val="0022115B"/>
    <w:rsid w:val="002217EE"/>
    <w:rsid w:val="00222226"/>
    <w:rsid w:val="00222DBF"/>
    <w:rsid w:val="00222E27"/>
    <w:rsid w:val="002232E8"/>
    <w:rsid w:val="002232EF"/>
    <w:rsid w:val="002239F7"/>
    <w:rsid w:val="00223B49"/>
    <w:rsid w:val="00223D99"/>
    <w:rsid w:val="00223DE9"/>
    <w:rsid w:val="00223FB3"/>
    <w:rsid w:val="00224913"/>
    <w:rsid w:val="00224DD4"/>
    <w:rsid w:val="00225770"/>
    <w:rsid w:val="00225ADC"/>
    <w:rsid w:val="00225AE3"/>
    <w:rsid w:val="00226724"/>
    <w:rsid w:val="00226A13"/>
    <w:rsid w:val="00226CC5"/>
    <w:rsid w:val="00227110"/>
    <w:rsid w:val="00230472"/>
    <w:rsid w:val="002309CC"/>
    <w:rsid w:val="00230FD6"/>
    <w:rsid w:val="002314EE"/>
    <w:rsid w:val="002317B7"/>
    <w:rsid w:val="00231E77"/>
    <w:rsid w:val="0023244F"/>
    <w:rsid w:val="00232C56"/>
    <w:rsid w:val="00233142"/>
    <w:rsid w:val="002333D1"/>
    <w:rsid w:val="0023440C"/>
    <w:rsid w:val="00235007"/>
    <w:rsid w:val="00235277"/>
    <w:rsid w:val="0023537F"/>
    <w:rsid w:val="00235527"/>
    <w:rsid w:val="0023582D"/>
    <w:rsid w:val="00236372"/>
    <w:rsid w:val="00236406"/>
    <w:rsid w:val="00236C8E"/>
    <w:rsid w:val="00236CE8"/>
    <w:rsid w:val="00240565"/>
    <w:rsid w:val="00241474"/>
    <w:rsid w:val="00242160"/>
    <w:rsid w:val="0024284B"/>
    <w:rsid w:val="0024305C"/>
    <w:rsid w:val="002456A4"/>
    <w:rsid w:val="0024630F"/>
    <w:rsid w:val="00246D1F"/>
    <w:rsid w:val="00246EFD"/>
    <w:rsid w:val="002478EE"/>
    <w:rsid w:val="00247D76"/>
    <w:rsid w:val="00250A5D"/>
    <w:rsid w:val="00251493"/>
    <w:rsid w:val="00251564"/>
    <w:rsid w:val="00251810"/>
    <w:rsid w:val="00252840"/>
    <w:rsid w:val="00252C69"/>
    <w:rsid w:val="00252CA6"/>
    <w:rsid w:val="002534EB"/>
    <w:rsid w:val="00254110"/>
    <w:rsid w:val="00254BD2"/>
    <w:rsid w:val="00255047"/>
    <w:rsid w:val="0025521C"/>
    <w:rsid w:val="0025534B"/>
    <w:rsid w:val="002556B2"/>
    <w:rsid w:val="002559FD"/>
    <w:rsid w:val="00255BB7"/>
    <w:rsid w:val="00256348"/>
    <w:rsid w:val="00256AF8"/>
    <w:rsid w:val="002570C5"/>
    <w:rsid w:val="002573C3"/>
    <w:rsid w:val="00257545"/>
    <w:rsid w:val="00257866"/>
    <w:rsid w:val="00257DBF"/>
    <w:rsid w:val="00257EEA"/>
    <w:rsid w:val="0026061A"/>
    <w:rsid w:val="00260DA9"/>
    <w:rsid w:val="00261265"/>
    <w:rsid w:val="002620BB"/>
    <w:rsid w:val="0026211B"/>
    <w:rsid w:val="0026267E"/>
    <w:rsid w:val="00262A87"/>
    <w:rsid w:val="00262A96"/>
    <w:rsid w:val="00263021"/>
    <w:rsid w:val="0026333F"/>
    <w:rsid w:val="0026344C"/>
    <w:rsid w:val="00263919"/>
    <w:rsid w:val="00263E32"/>
    <w:rsid w:val="002643B3"/>
    <w:rsid w:val="00264832"/>
    <w:rsid w:val="00265177"/>
    <w:rsid w:val="002651FD"/>
    <w:rsid w:val="002655AC"/>
    <w:rsid w:val="00265888"/>
    <w:rsid w:val="00265A01"/>
    <w:rsid w:val="0026661F"/>
    <w:rsid w:val="002670A6"/>
    <w:rsid w:val="002673AC"/>
    <w:rsid w:val="0027067F"/>
    <w:rsid w:val="00270C7E"/>
    <w:rsid w:val="0027143B"/>
    <w:rsid w:val="00271CF6"/>
    <w:rsid w:val="00271DFE"/>
    <w:rsid w:val="002726B2"/>
    <w:rsid w:val="0027332B"/>
    <w:rsid w:val="002735F9"/>
    <w:rsid w:val="00273D26"/>
    <w:rsid w:val="00273F77"/>
    <w:rsid w:val="0027498C"/>
    <w:rsid w:val="00274BDF"/>
    <w:rsid w:val="00274DDE"/>
    <w:rsid w:val="0027524C"/>
    <w:rsid w:val="002754E0"/>
    <w:rsid w:val="0027583E"/>
    <w:rsid w:val="00275C5A"/>
    <w:rsid w:val="002771D2"/>
    <w:rsid w:val="0028105F"/>
    <w:rsid w:val="002810EC"/>
    <w:rsid w:val="0028185C"/>
    <w:rsid w:val="00282281"/>
    <w:rsid w:val="00282BA6"/>
    <w:rsid w:val="00283DEF"/>
    <w:rsid w:val="002843B5"/>
    <w:rsid w:val="00284515"/>
    <w:rsid w:val="002856B8"/>
    <w:rsid w:val="00285D63"/>
    <w:rsid w:val="00286739"/>
    <w:rsid w:val="002874AB"/>
    <w:rsid w:val="00287500"/>
    <w:rsid w:val="002875CF"/>
    <w:rsid w:val="002877BA"/>
    <w:rsid w:val="00287A47"/>
    <w:rsid w:val="002907F2"/>
    <w:rsid w:val="00290B5D"/>
    <w:rsid w:val="00292339"/>
    <w:rsid w:val="00292928"/>
    <w:rsid w:val="00292C3D"/>
    <w:rsid w:val="00292D48"/>
    <w:rsid w:val="002937A5"/>
    <w:rsid w:val="00293B6D"/>
    <w:rsid w:val="00293D50"/>
    <w:rsid w:val="00296313"/>
    <w:rsid w:val="002978E3"/>
    <w:rsid w:val="002A0C50"/>
    <w:rsid w:val="002A14AB"/>
    <w:rsid w:val="002A331D"/>
    <w:rsid w:val="002A4720"/>
    <w:rsid w:val="002A4BE9"/>
    <w:rsid w:val="002A5035"/>
    <w:rsid w:val="002A6757"/>
    <w:rsid w:val="002A6E9E"/>
    <w:rsid w:val="002A6F33"/>
    <w:rsid w:val="002A7FE1"/>
    <w:rsid w:val="002B0628"/>
    <w:rsid w:val="002B07E7"/>
    <w:rsid w:val="002B080A"/>
    <w:rsid w:val="002B0BB2"/>
    <w:rsid w:val="002B1C1F"/>
    <w:rsid w:val="002B432F"/>
    <w:rsid w:val="002B43B8"/>
    <w:rsid w:val="002B464C"/>
    <w:rsid w:val="002B64F4"/>
    <w:rsid w:val="002B6CCE"/>
    <w:rsid w:val="002B6DBC"/>
    <w:rsid w:val="002B78C5"/>
    <w:rsid w:val="002C02DB"/>
    <w:rsid w:val="002C0B63"/>
    <w:rsid w:val="002C0FAB"/>
    <w:rsid w:val="002C1920"/>
    <w:rsid w:val="002C1B26"/>
    <w:rsid w:val="002C1FAC"/>
    <w:rsid w:val="002C238C"/>
    <w:rsid w:val="002C2793"/>
    <w:rsid w:val="002C27C1"/>
    <w:rsid w:val="002C2CE8"/>
    <w:rsid w:val="002C2EBA"/>
    <w:rsid w:val="002C3B30"/>
    <w:rsid w:val="002C4361"/>
    <w:rsid w:val="002C498B"/>
    <w:rsid w:val="002C4A0F"/>
    <w:rsid w:val="002C509C"/>
    <w:rsid w:val="002C5211"/>
    <w:rsid w:val="002C5CF3"/>
    <w:rsid w:val="002C6BF2"/>
    <w:rsid w:val="002C6E56"/>
    <w:rsid w:val="002D0134"/>
    <w:rsid w:val="002D10AA"/>
    <w:rsid w:val="002D189A"/>
    <w:rsid w:val="002D1B42"/>
    <w:rsid w:val="002D1FB6"/>
    <w:rsid w:val="002D248D"/>
    <w:rsid w:val="002D2621"/>
    <w:rsid w:val="002D2888"/>
    <w:rsid w:val="002D315F"/>
    <w:rsid w:val="002D4167"/>
    <w:rsid w:val="002D4262"/>
    <w:rsid w:val="002D4531"/>
    <w:rsid w:val="002D4B1D"/>
    <w:rsid w:val="002D505A"/>
    <w:rsid w:val="002D515A"/>
    <w:rsid w:val="002D5566"/>
    <w:rsid w:val="002D577C"/>
    <w:rsid w:val="002D5F30"/>
    <w:rsid w:val="002D6AE9"/>
    <w:rsid w:val="002D6F28"/>
    <w:rsid w:val="002D7420"/>
    <w:rsid w:val="002D78CC"/>
    <w:rsid w:val="002E13AE"/>
    <w:rsid w:val="002E13FF"/>
    <w:rsid w:val="002E18C6"/>
    <w:rsid w:val="002E2780"/>
    <w:rsid w:val="002E2858"/>
    <w:rsid w:val="002E298A"/>
    <w:rsid w:val="002E2A31"/>
    <w:rsid w:val="002E2C3B"/>
    <w:rsid w:val="002E3E70"/>
    <w:rsid w:val="002E4067"/>
    <w:rsid w:val="002E421A"/>
    <w:rsid w:val="002E440B"/>
    <w:rsid w:val="002E4AC3"/>
    <w:rsid w:val="002E50B2"/>
    <w:rsid w:val="002E57C0"/>
    <w:rsid w:val="002F007F"/>
    <w:rsid w:val="002F0355"/>
    <w:rsid w:val="002F1A72"/>
    <w:rsid w:val="002F1DE4"/>
    <w:rsid w:val="002F1F87"/>
    <w:rsid w:val="002F22AC"/>
    <w:rsid w:val="002F247F"/>
    <w:rsid w:val="002F3168"/>
    <w:rsid w:val="002F343D"/>
    <w:rsid w:val="002F38FC"/>
    <w:rsid w:val="002F3E09"/>
    <w:rsid w:val="002F456C"/>
    <w:rsid w:val="002F4922"/>
    <w:rsid w:val="002F4C14"/>
    <w:rsid w:val="002F6121"/>
    <w:rsid w:val="002F61F0"/>
    <w:rsid w:val="002F66D3"/>
    <w:rsid w:val="002F6E8C"/>
    <w:rsid w:val="002F7FC2"/>
    <w:rsid w:val="00300B49"/>
    <w:rsid w:val="00301017"/>
    <w:rsid w:val="00301758"/>
    <w:rsid w:val="0030229E"/>
    <w:rsid w:val="00302473"/>
    <w:rsid w:val="003029D3"/>
    <w:rsid w:val="00302B49"/>
    <w:rsid w:val="00302CD7"/>
    <w:rsid w:val="00302E1E"/>
    <w:rsid w:val="00303DA5"/>
    <w:rsid w:val="00303EEE"/>
    <w:rsid w:val="003045D2"/>
    <w:rsid w:val="003045D4"/>
    <w:rsid w:val="00304843"/>
    <w:rsid w:val="003048C1"/>
    <w:rsid w:val="00304C58"/>
    <w:rsid w:val="00305983"/>
    <w:rsid w:val="0030636C"/>
    <w:rsid w:val="003066B3"/>
    <w:rsid w:val="0030786C"/>
    <w:rsid w:val="0031031A"/>
    <w:rsid w:val="00310513"/>
    <w:rsid w:val="00311179"/>
    <w:rsid w:val="00311603"/>
    <w:rsid w:val="00311F1A"/>
    <w:rsid w:val="00312D13"/>
    <w:rsid w:val="0031302D"/>
    <w:rsid w:val="00313D08"/>
    <w:rsid w:val="00314FDD"/>
    <w:rsid w:val="0031503D"/>
    <w:rsid w:val="003153E6"/>
    <w:rsid w:val="00315498"/>
    <w:rsid w:val="00315C23"/>
    <w:rsid w:val="00315F8B"/>
    <w:rsid w:val="003161EF"/>
    <w:rsid w:val="00316539"/>
    <w:rsid w:val="00316FE8"/>
    <w:rsid w:val="003200E8"/>
    <w:rsid w:val="003206F2"/>
    <w:rsid w:val="00320FEA"/>
    <w:rsid w:val="00321AA3"/>
    <w:rsid w:val="00322101"/>
    <w:rsid w:val="00323D94"/>
    <w:rsid w:val="0032417A"/>
    <w:rsid w:val="00324332"/>
    <w:rsid w:val="00324464"/>
    <w:rsid w:val="00324497"/>
    <w:rsid w:val="003246B9"/>
    <w:rsid w:val="003247A8"/>
    <w:rsid w:val="003253D7"/>
    <w:rsid w:val="003259DD"/>
    <w:rsid w:val="0032689A"/>
    <w:rsid w:val="00326A3A"/>
    <w:rsid w:val="003272F6"/>
    <w:rsid w:val="003273BA"/>
    <w:rsid w:val="0032772F"/>
    <w:rsid w:val="003277A9"/>
    <w:rsid w:val="00330622"/>
    <w:rsid w:val="003326F6"/>
    <w:rsid w:val="00333399"/>
    <w:rsid w:val="00333BDE"/>
    <w:rsid w:val="00334B7E"/>
    <w:rsid w:val="003353EF"/>
    <w:rsid w:val="003366C9"/>
    <w:rsid w:val="00336C3A"/>
    <w:rsid w:val="0033747E"/>
    <w:rsid w:val="00337516"/>
    <w:rsid w:val="00340A8B"/>
    <w:rsid w:val="00340CAE"/>
    <w:rsid w:val="003411FD"/>
    <w:rsid w:val="003425B5"/>
    <w:rsid w:val="00342C89"/>
    <w:rsid w:val="00342ECD"/>
    <w:rsid w:val="00343DBD"/>
    <w:rsid w:val="003445B8"/>
    <w:rsid w:val="00344B80"/>
    <w:rsid w:val="00344C39"/>
    <w:rsid w:val="0034506C"/>
    <w:rsid w:val="003453BD"/>
    <w:rsid w:val="003459F0"/>
    <w:rsid w:val="00345A7F"/>
    <w:rsid w:val="00347464"/>
    <w:rsid w:val="003477C2"/>
    <w:rsid w:val="00347983"/>
    <w:rsid w:val="00350FC3"/>
    <w:rsid w:val="00352945"/>
    <w:rsid w:val="00352C70"/>
    <w:rsid w:val="003531A0"/>
    <w:rsid w:val="00353328"/>
    <w:rsid w:val="0035348F"/>
    <w:rsid w:val="003535FD"/>
    <w:rsid w:val="00353B1D"/>
    <w:rsid w:val="003541EA"/>
    <w:rsid w:val="0035461C"/>
    <w:rsid w:val="00354C6F"/>
    <w:rsid w:val="00354F76"/>
    <w:rsid w:val="0035513F"/>
    <w:rsid w:val="00355C39"/>
    <w:rsid w:val="0035620E"/>
    <w:rsid w:val="0035642A"/>
    <w:rsid w:val="00356611"/>
    <w:rsid w:val="00356DA9"/>
    <w:rsid w:val="0035768E"/>
    <w:rsid w:val="003578E4"/>
    <w:rsid w:val="003600B2"/>
    <w:rsid w:val="003604E4"/>
    <w:rsid w:val="00360DBE"/>
    <w:rsid w:val="00361012"/>
    <w:rsid w:val="003614E9"/>
    <w:rsid w:val="00361675"/>
    <w:rsid w:val="003616AF"/>
    <w:rsid w:val="00361EB6"/>
    <w:rsid w:val="003645FC"/>
    <w:rsid w:val="00364A62"/>
    <w:rsid w:val="00365711"/>
    <w:rsid w:val="00365CC8"/>
    <w:rsid w:val="003664BD"/>
    <w:rsid w:val="00366779"/>
    <w:rsid w:val="00366BE3"/>
    <w:rsid w:val="00367501"/>
    <w:rsid w:val="00370533"/>
    <w:rsid w:val="00370B02"/>
    <w:rsid w:val="00370F98"/>
    <w:rsid w:val="0037180A"/>
    <w:rsid w:val="00373453"/>
    <w:rsid w:val="003735AE"/>
    <w:rsid w:val="003745DC"/>
    <w:rsid w:val="00374800"/>
    <w:rsid w:val="00375622"/>
    <w:rsid w:val="003756AC"/>
    <w:rsid w:val="003758E9"/>
    <w:rsid w:val="00375C64"/>
    <w:rsid w:val="00375F0F"/>
    <w:rsid w:val="0037638E"/>
    <w:rsid w:val="00377CC5"/>
    <w:rsid w:val="003802FE"/>
    <w:rsid w:val="00380947"/>
    <w:rsid w:val="0038096D"/>
    <w:rsid w:val="003814F5"/>
    <w:rsid w:val="003834D5"/>
    <w:rsid w:val="003835B1"/>
    <w:rsid w:val="0038365C"/>
    <w:rsid w:val="00383A30"/>
    <w:rsid w:val="003851DE"/>
    <w:rsid w:val="003854E9"/>
    <w:rsid w:val="0038552F"/>
    <w:rsid w:val="0038578A"/>
    <w:rsid w:val="00386BD2"/>
    <w:rsid w:val="00386F96"/>
    <w:rsid w:val="00387CF6"/>
    <w:rsid w:val="003916C2"/>
    <w:rsid w:val="0039186D"/>
    <w:rsid w:val="003918B2"/>
    <w:rsid w:val="00392224"/>
    <w:rsid w:val="003923EE"/>
    <w:rsid w:val="0039249E"/>
    <w:rsid w:val="00392A4A"/>
    <w:rsid w:val="00392ABA"/>
    <w:rsid w:val="00392BAB"/>
    <w:rsid w:val="003933A5"/>
    <w:rsid w:val="003933F9"/>
    <w:rsid w:val="00393A3C"/>
    <w:rsid w:val="00393F75"/>
    <w:rsid w:val="003945D8"/>
    <w:rsid w:val="00394995"/>
    <w:rsid w:val="00394D2A"/>
    <w:rsid w:val="00394E3D"/>
    <w:rsid w:val="00396430"/>
    <w:rsid w:val="00396FD0"/>
    <w:rsid w:val="003A103E"/>
    <w:rsid w:val="003A1927"/>
    <w:rsid w:val="003A1974"/>
    <w:rsid w:val="003A1A7A"/>
    <w:rsid w:val="003A1E7C"/>
    <w:rsid w:val="003A2C74"/>
    <w:rsid w:val="003A323C"/>
    <w:rsid w:val="003A39BC"/>
    <w:rsid w:val="003A4597"/>
    <w:rsid w:val="003A5A97"/>
    <w:rsid w:val="003A5F9B"/>
    <w:rsid w:val="003A6A58"/>
    <w:rsid w:val="003A6BFB"/>
    <w:rsid w:val="003A7778"/>
    <w:rsid w:val="003A79CF"/>
    <w:rsid w:val="003A7C96"/>
    <w:rsid w:val="003B14C6"/>
    <w:rsid w:val="003B17AF"/>
    <w:rsid w:val="003B1CDA"/>
    <w:rsid w:val="003B1E48"/>
    <w:rsid w:val="003B2BC6"/>
    <w:rsid w:val="003B3738"/>
    <w:rsid w:val="003B3B37"/>
    <w:rsid w:val="003B57ED"/>
    <w:rsid w:val="003B60EE"/>
    <w:rsid w:val="003B7F9E"/>
    <w:rsid w:val="003C074D"/>
    <w:rsid w:val="003C0EE1"/>
    <w:rsid w:val="003C114D"/>
    <w:rsid w:val="003C2467"/>
    <w:rsid w:val="003C2A65"/>
    <w:rsid w:val="003C37C2"/>
    <w:rsid w:val="003C38FC"/>
    <w:rsid w:val="003C4080"/>
    <w:rsid w:val="003C48B0"/>
    <w:rsid w:val="003C6B2F"/>
    <w:rsid w:val="003C71D1"/>
    <w:rsid w:val="003C7709"/>
    <w:rsid w:val="003C7D91"/>
    <w:rsid w:val="003D03B2"/>
    <w:rsid w:val="003D069C"/>
    <w:rsid w:val="003D1828"/>
    <w:rsid w:val="003D1879"/>
    <w:rsid w:val="003D1AB4"/>
    <w:rsid w:val="003D2422"/>
    <w:rsid w:val="003D24EF"/>
    <w:rsid w:val="003D28A8"/>
    <w:rsid w:val="003D2F49"/>
    <w:rsid w:val="003D326C"/>
    <w:rsid w:val="003D34D3"/>
    <w:rsid w:val="003D34D8"/>
    <w:rsid w:val="003D36A0"/>
    <w:rsid w:val="003D3C40"/>
    <w:rsid w:val="003D3F3C"/>
    <w:rsid w:val="003D4A50"/>
    <w:rsid w:val="003D5097"/>
    <w:rsid w:val="003D5160"/>
    <w:rsid w:val="003D624F"/>
    <w:rsid w:val="003D6571"/>
    <w:rsid w:val="003D6D78"/>
    <w:rsid w:val="003D7427"/>
    <w:rsid w:val="003E033D"/>
    <w:rsid w:val="003E073F"/>
    <w:rsid w:val="003E0F3E"/>
    <w:rsid w:val="003E100E"/>
    <w:rsid w:val="003E1305"/>
    <w:rsid w:val="003E27C8"/>
    <w:rsid w:val="003E2941"/>
    <w:rsid w:val="003E3953"/>
    <w:rsid w:val="003E3B8C"/>
    <w:rsid w:val="003E4265"/>
    <w:rsid w:val="003E630C"/>
    <w:rsid w:val="003E63F7"/>
    <w:rsid w:val="003E64C8"/>
    <w:rsid w:val="003E6B2D"/>
    <w:rsid w:val="003E7120"/>
    <w:rsid w:val="003E7470"/>
    <w:rsid w:val="003E79C5"/>
    <w:rsid w:val="003E7FD7"/>
    <w:rsid w:val="003F0ACC"/>
    <w:rsid w:val="003F12B7"/>
    <w:rsid w:val="003F4130"/>
    <w:rsid w:val="003F4156"/>
    <w:rsid w:val="003F4AA4"/>
    <w:rsid w:val="003F4B74"/>
    <w:rsid w:val="003F4BD7"/>
    <w:rsid w:val="003F5649"/>
    <w:rsid w:val="003F572D"/>
    <w:rsid w:val="003F64BF"/>
    <w:rsid w:val="003F6965"/>
    <w:rsid w:val="003F6B0F"/>
    <w:rsid w:val="00400BE8"/>
    <w:rsid w:val="00401185"/>
    <w:rsid w:val="004013D3"/>
    <w:rsid w:val="0040210D"/>
    <w:rsid w:val="00402295"/>
    <w:rsid w:val="00402756"/>
    <w:rsid w:val="004037DC"/>
    <w:rsid w:val="00403CAE"/>
    <w:rsid w:val="00404F35"/>
    <w:rsid w:val="0040505A"/>
    <w:rsid w:val="0040593E"/>
    <w:rsid w:val="00405CEE"/>
    <w:rsid w:val="00406810"/>
    <w:rsid w:val="00406A51"/>
    <w:rsid w:val="00407048"/>
    <w:rsid w:val="00407C5F"/>
    <w:rsid w:val="0041009C"/>
    <w:rsid w:val="004102AF"/>
    <w:rsid w:val="00410432"/>
    <w:rsid w:val="00410806"/>
    <w:rsid w:val="00410EC7"/>
    <w:rsid w:val="00411245"/>
    <w:rsid w:val="004114CC"/>
    <w:rsid w:val="0041154D"/>
    <w:rsid w:val="00411961"/>
    <w:rsid w:val="00414476"/>
    <w:rsid w:val="00415309"/>
    <w:rsid w:val="00415B4E"/>
    <w:rsid w:val="00416227"/>
    <w:rsid w:val="00416CBD"/>
    <w:rsid w:val="00417A9C"/>
    <w:rsid w:val="00417C16"/>
    <w:rsid w:val="00420089"/>
    <w:rsid w:val="00420B9F"/>
    <w:rsid w:val="00420FC9"/>
    <w:rsid w:val="004217AE"/>
    <w:rsid w:val="004217C8"/>
    <w:rsid w:val="00422378"/>
    <w:rsid w:val="00422AD9"/>
    <w:rsid w:val="00423142"/>
    <w:rsid w:val="00423537"/>
    <w:rsid w:val="00424E68"/>
    <w:rsid w:val="00425861"/>
    <w:rsid w:val="00425878"/>
    <w:rsid w:val="00425959"/>
    <w:rsid w:val="00425CB2"/>
    <w:rsid w:val="004263DB"/>
    <w:rsid w:val="004271AA"/>
    <w:rsid w:val="00427232"/>
    <w:rsid w:val="00427E80"/>
    <w:rsid w:val="004305B1"/>
    <w:rsid w:val="0043070F"/>
    <w:rsid w:val="00430F08"/>
    <w:rsid w:val="00431374"/>
    <w:rsid w:val="004319F8"/>
    <w:rsid w:val="00431F74"/>
    <w:rsid w:val="004322A3"/>
    <w:rsid w:val="00432B43"/>
    <w:rsid w:val="00432FE3"/>
    <w:rsid w:val="00433993"/>
    <w:rsid w:val="00433EAA"/>
    <w:rsid w:val="00433F1A"/>
    <w:rsid w:val="00434520"/>
    <w:rsid w:val="0043472F"/>
    <w:rsid w:val="00435BAE"/>
    <w:rsid w:val="00435D08"/>
    <w:rsid w:val="00436EFE"/>
    <w:rsid w:val="00437858"/>
    <w:rsid w:val="00437BBA"/>
    <w:rsid w:val="00437C2C"/>
    <w:rsid w:val="00437F48"/>
    <w:rsid w:val="004403F2"/>
    <w:rsid w:val="00444371"/>
    <w:rsid w:val="004443A7"/>
    <w:rsid w:val="0044451F"/>
    <w:rsid w:val="004460FA"/>
    <w:rsid w:val="004464EB"/>
    <w:rsid w:val="00446D58"/>
    <w:rsid w:val="00446EF7"/>
    <w:rsid w:val="00447E29"/>
    <w:rsid w:val="00450070"/>
    <w:rsid w:val="00450814"/>
    <w:rsid w:val="00450924"/>
    <w:rsid w:val="00451027"/>
    <w:rsid w:val="00452005"/>
    <w:rsid w:val="00452502"/>
    <w:rsid w:val="00452B9E"/>
    <w:rsid w:val="00453960"/>
    <w:rsid w:val="00454518"/>
    <w:rsid w:val="00454AC4"/>
    <w:rsid w:val="00454C00"/>
    <w:rsid w:val="00455473"/>
    <w:rsid w:val="00455D45"/>
    <w:rsid w:val="00456005"/>
    <w:rsid w:val="00456396"/>
    <w:rsid w:val="004564A1"/>
    <w:rsid w:val="004568A6"/>
    <w:rsid w:val="004571E6"/>
    <w:rsid w:val="00457C39"/>
    <w:rsid w:val="00460978"/>
    <w:rsid w:val="00460B12"/>
    <w:rsid w:val="0046107E"/>
    <w:rsid w:val="0046186C"/>
    <w:rsid w:val="0046340E"/>
    <w:rsid w:val="0046340F"/>
    <w:rsid w:val="00463452"/>
    <w:rsid w:val="00463FE5"/>
    <w:rsid w:val="004640CF"/>
    <w:rsid w:val="00464210"/>
    <w:rsid w:val="00464595"/>
    <w:rsid w:val="0046470A"/>
    <w:rsid w:val="00464D4B"/>
    <w:rsid w:val="0046667C"/>
    <w:rsid w:val="00467A9D"/>
    <w:rsid w:val="00470811"/>
    <w:rsid w:val="00470992"/>
    <w:rsid w:val="004709E5"/>
    <w:rsid w:val="004717D6"/>
    <w:rsid w:val="00472359"/>
    <w:rsid w:val="004724D5"/>
    <w:rsid w:val="0047294D"/>
    <w:rsid w:val="0047456A"/>
    <w:rsid w:val="00474E96"/>
    <w:rsid w:val="00475619"/>
    <w:rsid w:val="00476C31"/>
    <w:rsid w:val="00476FE3"/>
    <w:rsid w:val="0048010F"/>
    <w:rsid w:val="00480FDB"/>
    <w:rsid w:val="00481FDC"/>
    <w:rsid w:val="004823DA"/>
    <w:rsid w:val="00482BC6"/>
    <w:rsid w:val="004835BF"/>
    <w:rsid w:val="00483847"/>
    <w:rsid w:val="004839F6"/>
    <w:rsid w:val="00484141"/>
    <w:rsid w:val="00484F65"/>
    <w:rsid w:val="004855AC"/>
    <w:rsid w:val="0048571F"/>
    <w:rsid w:val="004867E2"/>
    <w:rsid w:val="004872FF"/>
    <w:rsid w:val="00487B5B"/>
    <w:rsid w:val="00487FB6"/>
    <w:rsid w:val="00490928"/>
    <w:rsid w:val="00490DD9"/>
    <w:rsid w:val="00490E08"/>
    <w:rsid w:val="00491B3A"/>
    <w:rsid w:val="004922DD"/>
    <w:rsid w:val="0049240E"/>
    <w:rsid w:val="004926FA"/>
    <w:rsid w:val="00492779"/>
    <w:rsid w:val="004927E2"/>
    <w:rsid w:val="00492DBE"/>
    <w:rsid w:val="004939D0"/>
    <w:rsid w:val="00493FD5"/>
    <w:rsid w:val="00495000"/>
    <w:rsid w:val="00495228"/>
    <w:rsid w:val="004960CC"/>
    <w:rsid w:val="0049686D"/>
    <w:rsid w:val="00497F10"/>
    <w:rsid w:val="004A0DA1"/>
    <w:rsid w:val="004A18FF"/>
    <w:rsid w:val="004A192C"/>
    <w:rsid w:val="004A2CFB"/>
    <w:rsid w:val="004A32D1"/>
    <w:rsid w:val="004A4516"/>
    <w:rsid w:val="004A5692"/>
    <w:rsid w:val="004A5A8D"/>
    <w:rsid w:val="004A5E4F"/>
    <w:rsid w:val="004A6034"/>
    <w:rsid w:val="004A6307"/>
    <w:rsid w:val="004A6597"/>
    <w:rsid w:val="004A6920"/>
    <w:rsid w:val="004A69C2"/>
    <w:rsid w:val="004A6B8B"/>
    <w:rsid w:val="004A6CD6"/>
    <w:rsid w:val="004A6D91"/>
    <w:rsid w:val="004A7146"/>
    <w:rsid w:val="004A717B"/>
    <w:rsid w:val="004A7229"/>
    <w:rsid w:val="004A7338"/>
    <w:rsid w:val="004A79F6"/>
    <w:rsid w:val="004B06AC"/>
    <w:rsid w:val="004B1AF8"/>
    <w:rsid w:val="004B1C59"/>
    <w:rsid w:val="004B2F18"/>
    <w:rsid w:val="004B3DDB"/>
    <w:rsid w:val="004B44FD"/>
    <w:rsid w:val="004B4C2C"/>
    <w:rsid w:val="004B50A4"/>
    <w:rsid w:val="004B5A27"/>
    <w:rsid w:val="004B5CFC"/>
    <w:rsid w:val="004B628B"/>
    <w:rsid w:val="004B6344"/>
    <w:rsid w:val="004B6E8B"/>
    <w:rsid w:val="004B74D4"/>
    <w:rsid w:val="004B7D57"/>
    <w:rsid w:val="004C0686"/>
    <w:rsid w:val="004C121F"/>
    <w:rsid w:val="004C2648"/>
    <w:rsid w:val="004C353B"/>
    <w:rsid w:val="004C3635"/>
    <w:rsid w:val="004C462A"/>
    <w:rsid w:val="004C4AED"/>
    <w:rsid w:val="004C4FFF"/>
    <w:rsid w:val="004C65B4"/>
    <w:rsid w:val="004C66CA"/>
    <w:rsid w:val="004C687C"/>
    <w:rsid w:val="004C6B7F"/>
    <w:rsid w:val="004C6D2F"/>
    <w:rsid w:val="004C70FC"/>
    <w:rsid w:val="004C74FE"/>
    <w:rsid w:val="004C79F5"/>
    <w:rsid w:val="004C7C90"/>
    <w:rsid w:val="004C7F1B"/>
    <w:rsid w:val="004D03DB"/>
    <w:rsid w:val="004D0510"/>
    <w:rsid w:val="004D0552"/>
    <w:rsid w:val="004D1D80"/>
    <w:rsid w:val="004D259D"/>
    <w:rsid w:val="004D29FB"/>
    <w:rsid w:val="004D2A0C"/>
    <w:rsid w:val="004D2D13"/>
    <w:rsid w:val="004D2F41"/>
    <w:rsid w:val="004D3EBE"/>
    <w:rsid w:val="004D4EFF"/>
    <w:rsid w:val="004D62EE"/>
    <w:rsid w:val="004D65CE"/>
    <w:rsid w:val="004D7819"/>
    <w:rsid w:val="004D7B89"/>
    <w:rsid w:val="004D7BC0"/>
    <w:rsid w:val="004E0420"/>
    <w:rsid w:val="004E0EB8"/>
    <w:rsid w:val="004E1449"/>
    <w:rsid w:val="004E148D"/>
    <w:rsid w:val="004E16E7"/>
    <w:rsid w:val="004E186C"/>
    <w:rsid w:val="004E1956"/>
    <w:rsid w:val="004E1A13"/>
    <w:rsid w:val="004E2032"/>
    <w:rsid w:val="004E244F"/>
    <w:rsid w:val="004E2ADC"/>
    <w:rsid w:val="004E2C7E"/>
    <w:rsid w:val="004E2FFC"/>
    <w:rsid w:val="004E4035"/>
    <w:rsid w:val="004E4CAE"/>
    <w:rsid w:val="004E50CE"/>
    <w:rsid w:val="004E5558"/>
    <w:rsid w:val="004E5E27"/>
    <w:rsid w:val="004E5ECA"/>
    <w:rsid w:val="004E6034"/>
    <w:rsid w:val="004E674B"/>
    <w:rsid w:val="004E6994"/>
    <w:rsid w:val="004E75BC"/>
    <w:rsid w:val="004F0AA5"/>
    <w:rsid w:val="004F0ECF"/>
    <w:rsid w:val="004F114D"/>
    <w:rsid w:val="004F17D9"/>
    <w:rsid w:val="004F1D02"/>
    <w:rsid w:val="004F1ECC"/>
    <w:rsid w:val="004F2679"/>
    <w:rsid w:val="004F2CCB"/>
    <w:rsid w:val="004F3FC1"/>
    <w:rsid w:val="004F415F"/>
    <w:rsid w:val="004F52A7"/>
    <w:rsid w:val="004F5884"/>
    <w:rsid w:val="004F5B9D"/>
    <w:rsid w:val="004F677F"/>
    <w:rsid w:val="004F687F"/>
    <w:rsid w:val="004F6947"/>
    <w:rsid w:val="004F72CA"/>
    <w:rsid w:val="004F7BA3"/>
    <w:rsid w:val="005003B2"/>
    <w:rsid w:val="00500ECB"/>
    <w:rsid w:val="005012E8"/>
    <w:rsid w:val="00501AD1"/>
    <w:rsid w:val="00501E06"/>
    <w:rsid w:val="00502170"/>
    <w:rsid w:val="00502598"/>
    <w:rsid w:val="00503145"/>
    <w:rsid w:val="00503ACD"/>
    <w:rsid w:val="00503C61"/>
    <w:rsid w:val="00503CAA"/>
    <w:rsid w:val="0050560D"/>
    <w:rsid w:val="00505815"/>
    <w:rsid w:val="00505E13"/>
    <w:rsid w:val="005063BB"/>
    <w:rsid w:val="00506766"/>
    <w:rsid w:val="005067C2"/>
    <w:rsid w:val="0050697F"/>
    <w:rsid w:val="00506C7F"/>
    <w:rsid w:val="00506E16"/>
    <w:rsid w:val="0050760E"/>
    <w:rsid w:val="005077F9"/>
    <w:rsid w:val="005079C4"/>
    <w:rsid w:val="00510C57"/>
    <w:rsid w:val="005114B1"/>
    <w:rsid w:val="00511CA6"/>
    <w:rsid w:val="00512FD7"/>
    <w:rsid w:val="00514978"/>
    <w:rsid w:val="005152B5"/>
    <w:rsid w:val="00515C24"/>
    <w:rsid w:val="00516ADE"/>
    <w:rsid w:val="00516EFB"/>
    <w:rsid w:val="005200FC"/>
    <w:rsid w:val="00520EFF"/>
    <w:rsid w:val="00520F73"/>
    <w:rsid w:val="00521319"/>
    <w:rsid w:val="00521BF4"/>
    <w:rsid w:val="00521D40"/>
    <w:rsid w:val="00521DD4"/>
    <w:rsid w:val="005239CD"/>
    <w:rsid w:val="00523C28"/>
    <w:rsid w:val="00525607"/>
    <w:rsid w:val="00525D23"/>
    <w:rsid w:val="00525F9D"/>
    <w:rsid w:val="0052600F"/>
    <w:rsid w:val="005271D8"/>
    <w:rsid w:val="00527600"/>
    <w:rsid w:val="00527632"/>
    <w:rsid w:val="0052797C"/>
    <w:rsid w:val="00527F4B"/>
    <w:rsid w:val="0053051A"/>
    <w:rsid w:val="005307A8"/>
    <w:rsid w:val="005309A2"/>
    <w:rsid w:val="00531ADA"/>
    <w:rsid w:val="00532057"/>
    <w:rsid w:val="0053253F"/>
    <w:rsid w:val="00532CE0"/>
    <w:rsid w:val="00532FBC"/>
    <w:rsid w:val="00533079"/>
    <w:rsid w:val="005335E8"/>
    <w:rsid w:val="00534B68"/>
    <w:rsid w:val="00536001"/>
    <w:rsid w:val="00536D56"/>
    <w:rsid w:val="00537708"/>
    <w:rsid w:val="00537785"/>
    <w:rsid w:val="00537B0B"/>
    <w:rsid w:val="00541094"/>
    <w:rsid w:val="005410A1"/>
    <w:rsid w:val="00541849"/>
    <w:rsid w:val="00541F19"/>
    <w:rsid w:val="0054286D"/>
    <w:rsid w:val="00542DAA"/>
    <w:rsid w:val="005431B4"/>
    <w:rsid w:val="00543903"/>
    <w:rsid w:val="005444C0"/>
    <w:rsid w:val="00545073"/>
    <w:rsid w:val="0054560A"/>
    <w:rsid w:val="00546141"/>
    <w:rsid w:val="005462C4"/>
    <w:rsid w:val="00546EE6"/>
    <w:rsid w:val="00547EC1"/>
    <w:rsid w:val="005507FC"/>
    <w:rsid w:val="00551335"/>
    <w:rsid w:val="00551F50"/>
    <w:rsid w:val="0055318F"/>
    <w:rsid w:val="00553871"/>
    <w:rsid w:val="005539B2"/>
    <w:rsid w:val="00553ABA"/>
    <w:rsid w:val="0055489B"/>
    <w:rsid w:val="00555109"/>
    <w:rsid w:val="005555A5"/>
    <w:rsid w:val="00555848"/>
    <w:rsid w:val="0055680B"/>
    <w:rsid w:val="005572BE"/>
    <w:rsid w:val="00557FAA"/>
    <w:rsid w:val="005602D0"/>
    <w:rsid w:val="00560E51"/>
    <w:rsid w:val="00561D39"/>
    <w:rsid w:val="0056237E"/>
    <w:rsid w:val="00562754"/>
    <w:rsid w:val="0056276A"/>
    <w:rsid w:val="00562B4C"/>
    <w:rsid w:val="00562C1E"/>
    <w:rsid w:val="00563397"/>
    <w:rsid w:val="00564383"/>
    <w:rsid w:val="005659C0"/>
    <w:rsid w:val="00565EF4"/>
    <w:rsid w:val="0056696F"/>
    <w:rsid w:val="005669E0"/>
    <w:rsid w:val="00566D4A"/>
    <w:rsid w:val="00566F30"/>
    <w:rsid w:val="00567540"/>
    <w:rsid w:val="00567A29"/>
    <w:rsid w:val="00570025"/>
    <w:rsid w:val="0057132A"/>
    <w:rsid w:val="00572094"/>
    <w:rsid w:val="0057233F"/>
    <w:rsid w:val="0057257D"/>
    <w:rsid w:val="00572B60"/>
    <w:rsid w:val="00572E41"/>
    <w:rsid w:val="0057306E"/>
    <w:rsid w:val="0057307A"/>
    <w:rsid w:val="00573A6D"/>
    <w:rsid w:val="005741D8"/>
    <w:rsid w:val="0057488D"/>
    <w:rsid w:val="005749C8"/>
    <w:rsid w:val="00575010"/>
    <w:rsid w:val="005760AE"/>
    <w:rsid w:val="0057674B"/>
    <w:rsid w:val="00576972"/>
    <w:rsid w:val="005775A8"/>
    <w:rsid w:val="00577717"/>
    <w:rsid w:val="00577D02"/>
    <w:rsid w:val="00577E48"/>
    <w:rsid w:val="00580142"/>
    <w:rsid w:val="005801E9"/>
    <w:rsid w:val="005812C1"/>
    <w:rsid w:val="005815ED"/>
    <w:rsid w:val="005816F0"/>
    <w:rsid w:val="00581A80"/>
    <w:rsid w:val="00581E74"/>
    <w:rsid w:val="005820AD"/>
    <w:rsid w:val="005828DB"/>
    <w:rsid w:val="00582FDC"/>
    <w:rsid w:val="00583474"/>
    <w:rsid w:val="00583699"/>
    <w:rsid w:val="00583CCF"/>
    <w:rsid w:val="00584A13"/>
    <w:rsid w:val="00584FBF"/>
    <w:rsid w:val="005853BC"/>
    <w:rsid w:val="0058586A"/>
    <w:rsid w:val="00585E64"/>
    <w:rsid w:val="0058633A"/>
    <w:rsid w:val="00586AFC"/>
    <w:rsid w:val="00586C42"/>
    <w:rsid w:val="005924FA"/>
    <w:rsid w:val="0059251F"/>
    <w:rsid w:val="00593233"/>
    <w:rsid w:val="00593DE5"/>
    <w:rsid w:val="00593EE4"/>
    <w:rsid w:val="00594D35"/>
    <w:rsid w:val="00597771"/>
    <w:rsid w:val="005A08FD"/>
    <w:rsid w:val="005A0A4E"/>
    <w:rsid w:val="005A0EBE"/>
    <w:rsid w:val="005A12BA"/>
    <w:rsid w:val="005A1D73"/>
    <w:rsid w:val="005A2CFF"/>
    <w:rsid w:val="005A2EDD"/>
    <w:rsid w:val="005A2F09"/>
    <w:rsid w:val="005A33A2"/>
    <w:rsid w:val="005A33C8"/>
    <w:rsid w:val="005A3F5C"/>
    <w:rsid w:val="005A4616"/>
    <w:rsid w:val="005A4E47"/>
    <w:rsid w:val="005A511D"/>
    <w:rsid w:val="005A5303"/>
    <w:rsid w:val="005A53B4"/>
    <w:rsid w:val="005A5580"/>
    <w:rsid w:val="005A5AEC"/>
    <w:rsid w:val="005A7067"/>
    <w:rsid w:val="005A73AF"/>
    <w:rsid w:val="005A7793"/>
    <w:rsid w:val="005B0A89"/>
    <w:rsid w:val="005B12DC"/>
    <w:rsid w:val="005B2234"/>
    <w:rsid w:val="005B25A4"/>
    <w:rsid w:val="005B2B06"/>
    <w:rsid w:val="005B375E"/>
    <w:rsid w:val="005B43F9"/>
    <w:rsid w:val="005B4AB6"/>
    <w:rsid w:val="005B5857"/>
    <w:rsid w:val="005B6276"/>
    <w:rsid w:val="005B6F95"/>
    <w:rsid w:val="005B71A2"/>
    <w:rsid w:val="005B7845"/>
    <w:rsid w:val="005B7ECF"/>
    <w:rsid w:val="005C0089"/>
    <w:rsid w:val="005C075A"/>
    <w:rsid w:val="005C1091"/>
    <w:rsid w:val="005C134B"/>
    <w:rsid w:val="005C1574"/>
    <w:rsid w:val="005C1B35"/>
    <w:rsid w:val="005C1B83"/>
    <w:rsid w:val="005C2524"/>
    <w:rsid w:val="005C2B00"/>
    <w:rsid w:val="005C33F2"/>
    <w:rsid w:val="005C346B"/>
    <w:rsid w:val="005C40E7"/>
    <w:rsid w:val="005C4266"/>
    <w:rsid w:val="005C43E7"/>
    <w:rsid w:val="005C48E1"/>
    <w:rsid w:val="005C4D59"/>
    <w:rsid w:val="005C5D21"/>
    <w:rsid w:val="005C6696"/>
    <w:rsid w:val="005C7A08"/>
    <w:rsid w:val="005C7E56"/>
    <w:rsid w:val="005D09BB"/>
    <w:rsid w:val="005D18AD"/>
    <w:rsid w:val="005D2713"/>
    <w:rsid w:val="005D292D"/>
    <w:rsid w:val="005D2D4F"/>
    <w:rsid w:val="005D2DB0"/>
    <w:rsid w:val="005D32C4"/>
    <w:rsid w:val="005D41FD"/>
    <w:rsid w:val="005D42B4"/>
    <w:rsid w:val="005D46EB"/>
    <w:rsid w:val="005D577C"/>
    <w:rsid w:val="005D5C43"/>
    <w:rsid w:val="005D62BD"/>
    <w:rsid w:val="005D64D4"/>
    <w:rsid w:val="005D6A42"/>
    <w:rsid w:val="005D6AB2"/>
    <w:rsid w:val="005D7003"/>
    <w:rsid w:val="005D7E3E"/>
    <w:rsid w:val="005E0105"/>
    <w:rsid w:val="005E08B2"/>
    <w:rsid w:val="005E188C"/>
    <w:rsid w:val="005E1B9A"/>
    <w:rsid w:val="005E20C1"/>
    <w:rsid w:val="005E26C0"/>
    <w:rsid w:val="005E26DC"/>
    <w:rsid w:val="005E2AD6"/>
    <w:rsid w:val="005E2C9C"/>
    <w:rsid w:val="005E47F1"/>
    <w:rsid w:val="005E617E"/>
    <w:rsid w:val="005E68C9"/>
    <w:rsid w:val="005E72D5"/>
    <w:rsid w:val="005E782E"/>
    <w:rsid w:val="005F0D72"/>
    <w:rsid w:val="005F0EE0"/>
    <w:rsid w:val="005F153F"/>
    <w:rsid w:val="005F183E"/>
    <w:rsid w:val="005F1C05"/>
    <w:rsid w:val="005F2591"/>
    <w:rsid w:val="005F26C2"/>
    <w:rsid w:val="005F2706"/>
    <w:rsid w:val="005F27ED"/>
    <w:rsid w:val="005F3483"/>
    <w:rsid w:val="005F3D24"/>
    <w:rsid w:val="005F4185"/>
    <w:rsid w:val="005F6A8F"/>
    <w:rsid w:val="005F6C0F"/>
    <w:rsid w:val="005F6DDE"/>
    <w:rsid w:val="005F7C84"/>
    <w:rsid w:val="005F7E92"/>
    <w:rsid w:val="006003A2"/>
    <w:rsid w:val="0060096D"/>
    <w:rsid w:val="00601190"/>
    <w:rsid w:val="006014B2"/>
    <w:rsid w:val="00601636"/>
    <w:rsid w:val="00601C86"/>
    <w:rsid w:val="00601D49"/>
    <w:rsid w:val="00601ECF"/>
    <w:rsid w:val="0060259A"/>
    <w:rsid w:val="006034FD"/>
    <w:rsid w:val="00603899"/>
    <w:rsid w:val="0060447E"/>
    <w:rsid w:val="006055BB"/>
    <w:rsid w:val="00605CC9"/>
    <w:rsid w:val="006060C0"/>
    <w:rsid w:val="00606338"/>
    <w:rsid w:val="0060659C"/>
    <w:rsid w:val="00606C83"/>
    <w:rsid w:val="006075DE"/>
    <w:rsid w:val="00607669"/>
    <w:rsid w:val="006101BF"/>
    <w:rsid w:val="0061094A"/>
    <w:rsid w:val="00612528"/>
    <w:rsid w:val="00612673"/>
    <w:rsid w:val="00612F97"/>
    <w:rsid w:val="0061327C"/>
    <w:rsid w:val="00613CA8"/>
    <w:rsid w:val="00613DDD"/>
    <w:rsid w:val="00613FFF"/>
    <w:rsid w:val="006141A3"/>
    <w:rsid w:val="00614246"/>
    <w:rsid w:val="00614511"/>
    <w:rsid w:val="006163DF"/>
    <w:rsid w:val="00616802"/>
    <w:rsid w:val="00617833"/>
    <w:rsid w:val="00617A8A"/>
    <w:rsid w:val="00617A8C"/>
    <w:rsid w:val="00617E12"/>
    <w:rsid w:val="00620287"/>
    <w:rsid w:val="00621422"/>
    <w:rsid w:val="00621477"/>
    <w:rsid w:val="00622572"/>
    <w:rsid w:val="0062260C"/>
    <w:rsid w:val="00622B77"/>
    <w:rsid w:val="00622FD7"/>
    <w:rsid w:val="00623B00"/>
    <w:rsid w:val="00623E0F"/>
    <w:rsid w:val="00625427"/>
    <w:rsid w:val="00625C69"/>
    <w:rsid w:val="00626268"/>
    <w:rsid w:val="006304D7"/>
    <w:rsid w:val="006305C9"/>
    <w:rsid w:val="006308B2"/>
    <w:rsid w:val="00631218"/>
    <w:rsid w:val="006317AA"/>
    <w:rsid w:val="00631874"/>
    <w:rsid w:val="00631940"/>
    <w:rsid w:val="006319A7"/>
    <w:rsid w:val="00631D6B"/>
    <w:rsid w:val="006325E6"/>
    <w:rsid w:val="00632FFF"/>
    <w:rsid w:val="00633037"/>
    <w:rsid w:val="006330A5"/>
    <w:rsid w:val="0063402F"/>
    <w:rsid w:val="0063479F"/>
    <w:rsid w:val="006351F3"/>
    <w:rsid w:val="00635579"/>
    <w:rsid w:val="006356CB"/>
    <w:rsid w:val="00635F7C"/>
    <w:rsid w:val="006364A1"/>
    <w:rsid w:val="006373EA"/>
    <w:rsid w:val="0063761A"/>
    <w:rsid w:val="00637770"/>
    <w:rsid w:val="00637BF5"/>
    <w:rsid w:val="00637BFD"/>
    <w:rsid w:val="00640CEB"/>
    <w:rsid w:val="00641DCC"/>
    <w:rsid w:val="00641F2E"/>
    <w:rsid w:val="00642558"/>
    <w:rsid w:val="00642A78"/>
    <w:rsid w:val="00642C85"/>
    <w:rsid w:val="006433C7"/>
    <w:rsid w:val="006436E5"/>
    <w:rsid w:val="0064435D"/>
    <w:rsid w:val="006443DD"/>
    <w:rsid w:val="00644EAD"/>
    <w:rsid w:val="00646696"/>
    <w:rsid w:val="00646BCD"/>
    <w:rsid w:val="00646C17"/>
    <w:rsid w:val="006470A7"/>
    <w:rsid w:val="006471CC"/>
    <w:rsid w:val="0065079F"/>
    <w:rsid w:val="00650C29"/>
    <w:rsid w:val="00650C3F"/>
    <w:rsid w:val="00651503"/>
    <w:rsid w:val="00651620"/>
    <w:rsid w:val="00651674"/>
    <w:rsid w:val="006516FA"/>
    <w:rsid w:val="00652874"/>
    <w:rsid w:val="00652C94"/>
    <w:rsid w:val="0065355B"/>
    <w:rsid w:val="00653921"/>
    <w:rsid w:val="00653CA6"/>
    <w:rsid w:val="00654D05"/>
    <w:rsid w:val="0065559F"/>
    <w:rsid w:val="00655E4B"/>
    <w:rsid w:val="00656BB7"/>
    <w:rsid w:val="006573AC"/>
    <w:rsid w:val="00657602"/>
    <w:rsid w:val="006577D7"/>
    <w:rsid w:val="00657AD0"/>
    <w:rsid w:val="00657D3A"/>
    <w:rsid w:val="00657E50"/>
    <w:rsid w:val="00660769"/>
    <w:rsid w:val="00660861"/>
    <w:rsid w:val="00660EDC"/>
    <w:rsid w:val="0066135D"/>
    <w:rsid w:val="006616F0"/>
    <w:rsid w:val="00661A7E"/>
    <w:rsid w:val="00661B53"/>
    <w:rsid w:val="00661D04"/>
    <w:rsid w:val="0066208E"/>
    <w:rsid w:val="00662902"/>
    <w:rsid w:val="00662DD1"/>
    <w:rsid w:val="00662ED9"/>
    <w:rsid w:val="00663AEB"/>
    <w:rsid w:val="00664A9C"/>
    <w:rsid w:val="00664C1D"/>
    <w:rsid w:val="00664D74"/>
    <w:rsid w:val="006650C1"/>
    <w:rsid w:val="0066545C"/>
    <w:rsid w:val="0066566F"/>
    <w:rsid w:val="0066568D"/>
    <w:rsid w:val="00665AC5"/>
    <w:rsid w:val="00665BFE"/>
    <w:rsid w:val="00665C76"/>
    <w:rsid w:val="00665FD4"/>
    <w:rsid w:val="0066758B"/>
    <w:rsid w:val="006676CA"/>
    <w:rsid w:val="00667943"/>
    <w:rsid w:val="00667B4A"/>
    <w:rsid w:val="00667C69"/>
    <w:rsid w:val="00670156"/>
    <w:rsid w:val="006705FF"/>
    <w:rsid w:val="00670A83"/>
    <w:rsid w:val="0067272B"/>
    <w:rsid w:val="0067299C"/>
    <w:rsid w:val="00672A32"/>
    <w:rsid w:val="00674E42"/>
    <w:rsid w:val="00674FF2"/>
    <w:rsid w:val="00675976"/>
    <w:rsid w:val="0067645C"/>
    <w:rsid w:val="00676F12"/>
    <w:rsid w:val="00677345"/>
    <w:rsid w:val="00677ACB"/>
    <w:rsid w:val="00677D4E"/>
    <w:rsid w:val="006803AF"/>
    <w:rsid w:val="006811A0"/>
    <w:rsid w:val="00681336"/>
    <w:rsid w:val="006813B0"/>
    <w:rsid w:val="0068198B"/>
    <w:rsid w:val="00682112"/>
    <w:rsid w:val="0068257D"/>
    <w:rsid w:val="006830F0"/>
    <w:rsid w:val="0068314B"/>
    <w:rsid w:val="006845DA"/>
    <w:rsid w:val="00684AB0"/>
    <w:rsid w:val="00684DFC"/>
    <w:rsid w:val="00685DA3"/>
    <w:rsid w:val="00687102"/>
    <w:rsid w:val="00687BC0"/>
    <w:rsid w:val="00690485"/>
    <w:rsid w:val="00690F01"/>
    <w:rsid w:val="00691A90"/>
    <w:rsid w:val="006922EE"/>
    <w:rsid w:val="006925EA"/>
    <w:rsid w:val="00692CB6"/>
    <w:rsid w:val="00693E71"/>
    <w:rsid w:val="00694F44"/>
    <w:rsid w:val="00695916"/>
    <w:rsid w:val="00695CE2"/>
    <w:rsid w:val="006966EB"/>
    <w:rsid w:val="00696742"/>
    <w:rsid w:val="00696D26"/>
    <w:rsid w:val="00697147"/>
    <w:rsid w:val="00697356"/>
    <w:rsid w:val="006978C5"/>
    <w:rsid w:val="006979B6"/>
    <w:rsid w:val="00697ED9"/>
    <w:rsid w:val="00697F77"/>
    <w:rsid w:val="006A04F2"/>
    <w:rsid w:val="006A0B70"/>
    <w:rsid w:val="006A0F73"/>
    <w:rsid w:val="006A207C"/>
    <w:rsid w:val="006A2243"/>
    <w:rsid w:val="006A34C9"/>
    <w:rsid w:val="006A3709"/>
    <w:rsid w:val="006A3896"/>
    <w:rsid w:val="006A3C89"/>
    <w:rsid w:val="006A449A"/>
    <w:rsid w:val="006A49E7"/>
    <w:rsid w:val="006A4D84"/>
    <w:rsid w:val="006A4F7C"/>
    <w:rsid w:val="006A5196"/>
    <w:rsid w:val="006A5F15"/>
    <w:rsid w:val="006A60AD"/>
    <w:rsid w:val="006A7158"/>
    <w:rsid w:val="006A7A41"/>
    <w:rsid w:val="006A7B1E"/>
    <w:rsid w:val="006B02A9"/>
    <w:rsid w:val="006B05AC"/>
    <w:rsid w:val="006B29C2"/>
    <w:rsid w:val="006B2C01"/>
    <w:rsid w:val="006B37D9"/>
    <w:rsid w:val="006B3834"/>
    <w:rsid w:val="006B443D"/>
    <w:rsid w:val="006B4642"/>
    <w:rsid w:val="006B4874"/>
    <w:rsid w:val="006B4C92"/>
    <w:rsid w:val="006B4CE7"/>
    <w:rsid w:val="006B4F03"/>
    <w:rsid w:val="006B5BCA"/>
    <w:rsid w:val="006B5F31"/>
    <w:rsid w:val="006B737F"/>
    <w:rsid w:val="006B7783"/>
    <w:rsid w:val="006B7A90"/>
    <w:rsid w:val="006C00BF"/>
    <w:rsid w:val="006C03BB"/>
    <w:rsid w:val="006C0608"/>
    <w:rsid w:val="006C0652"/>
    <w:rsid w:val="006C1D0F"/>
    <w:rsid w:val="006C20AE"/>
    <w:rsid w:val="006C210B"/>
    <w:rsid w:val="006C216D"/>
    <w:rsid w:val="006C25D6"/>
    <w:rsid w:val="006C278F"/>
    <w:rsid w:val="006C2A8E"/>
    <w:rsid w:val="006C2E95"/>
    <w:rsid w:val="006C3EEC"/>
    <w:rsid w:val="006C4203"/>
    <w:rsid w:val="006C4232"/>
    <w:rsid w:val="006C4321"/>
    <w:rsid w:val="006C43D2"/>
    <w:rsid w:val="006C4803"/>
    <w:rsid w:val="006C4D92"/>
    <w:rsid w:val="006C4DEB"/>
    <w:rsid w:val="006C56A7"/>
    <w:rsid w:val="006C6230"/>
    <w:rsid w:val="006C66EC"/>
    <w:rsid w:val="006C6B9A"/>
    <w:rsid w:val="006C7349"/>
    <w:rsid w:val="006C7ED5"/>
    <w:rsid w:val="006D008A"/>
    <w:rsid w:val="006D0216"/>
    <w:rsid w:val="006D0BF2"/>
    <w:rsid w:val="006D0EE0"/>
    <w:rsid w:val="006D15E3"/>
    <w:rsid w:val="006D1673"/>
    <w:rsid w:val="006D1909"/>
    <w:rsid w:val="006D1FE8"/>
    <w:rsid w:val="006D2C27"/>
    <w:rsid w:val="006D323E"/>
    <w:rsid w:val="006D3C7D"/>
    <w:rsid w:val="006D4173"/>
    <w:rsid w:val="006D617E"/>
    <w:rsid w:val="006D6489"/>
    <w:rsid w:val="006D67AD"/>
    <w:rsid w:val="006D6EE3"/>
    <w:rsid w:val="006D7A3D"/>
    <w:rsid w:val="006D7C04"/>
    <w:rsid w:val="006E052B"/>
    <w:rsid w:val="006E10ED"/>
    <w:rsid w:val="006E130E"/>
    <w:rsid w:val="006E22B0"/>
    <w:rsid w:val="006E29E4"/>
    <w:rsid w:val="006E3DEB"/>
    <w:rsid w:val="006E3E2E"/>
    <w:rsid w:val="006E470D"/>
    <w:rsid w:val="006E5395"/>
    <w:rsid w:val="006E5865"/>
    <w:rsid w:val="006E675D"/>
    <w:rsid w:val="006E6AD5"/>
    <w:rsid w:val="006E7B56"/>
    <w:rsid w:val="006E7BBF"/>
    <w:rsid w:val="006E7E71"/>
    <w:rsid w:val="006F0E9E"/>
    <w:rsid w:val="006F16BA"/>
    <w:rsid w:val="006F1E60"/>
    <w:rsid w:val="006F236C"/>
    <w:rsid w:val="006F2662"/>
    <w:rsid w:val="006F27B4"/>
    <w:rsid w:val="006F2A11"/>
    <w:rsid w:val="006F2A12"/>
    <w:rsid w:val="006F2AAE"/>
    <w:rsid w:val="006F34B8"/>
    <w:rsid w:val="006F3C43"/>
    <w:rsid w:val="006F41D4"/>
    <w:rsid w:val="006F4463"/>
    <w:rsid w:val="006F46C9"/>
    <w:rsid w:val="006F47E8"/>
    <w:rsid w:val="006F4CE3"/>
    <w:rsid w:val="006F4FF3"/>
    <w:rsid w:val="006F5B2B"/>
    <w:rsid w:val="006F62C3"/>
    <w:rsid w:val="006F63A5"/>
    <w:rsid w:val="006F6746"/>
    <w:rsid w:val="006F69F1"/>
    <w:rsid w:val="006F7030"/>
    <w:rsid w:val="006F7401"/>
    <w:rsid w:val="006F74D9"/>
    <w:rsid w:val="006F7950"/>
    <w:rsid w:val="00700685"/>
    <w:rsid w:val="00700C9E"/>
    <w:rsid w:val="0070124D"/>
    <w:rsid w:val="007017FF"/>
    <w:rsid w:val="00701BC2"/>
    <w:rsid w:val="0070276E"/>
    <w:rsid w:val="00703B3B"/>
    <w:rsid w:val="00703C0E"/>
    <w:rsid w:val="007043F4"/>
    <w:rsid w:val="0070498C"/>
    <w:rsid w:val="00705494"/>
    <w:rsid w:val="007056BF"/>
    <w:rsid w:val="00705816"/>
    <w:rsid w:val="00706178"/>
    <w:rsid w:val="00707D62"/>
    <w:rsid w:val="00710916"/>
    <w:rsid w:val="007113E3"/>
    <w:rsid w:val="00711A36"/>
    <w:rsid w:val="00711DB2"/>
    <w:rsid w:val="00712EF1"/>
    <w:rsid w:val="007134F9"/>
    <w:rsid w:val="00713EF4"/>
    <w:rsid w:val="007157C6"/>
    <w:rsid w:val="00715A29"/>
    <w:rsid w:val="00715CA2"/>
    <w:rsid w:val="00715D11"/>
    <w:rsid w:val="00716C7D"/>
    <w:rsid w:val="00716C84"/>
    <w:rsid w:val="00716D9E"/>
    <w:rsid w:val="007170FB"/>
    <w:rsid w:val="007172AD"/>
    <w:rsid w:val="007177FE"/>
    <w:rsid w:val="00717A92"/>
    <w:rsid w:val="00717BF9"/>
    <w:rsid w:val="00721123"/>
    <w:rsid w:val="0072136E"/>
    <w:rsid w:val="00721A8A"/>
    <w:rsid w:val="0072227D"/>
    <w:rsid w:val="00722C8D"/>
    <w:rsid w:val="00722FE8"/>
    <w:rsid w:val="00723733"/>
    <w:rsid w:val="00723835"/>
    <w:rsid w:val="00724F30"/>
    <w:rsid w:val="007254EE"/>
    <w:rsid w:val="00725A38"/>
    <w:rsid w:val="00725B35"/>
    <w:rsid w:val="007264EC"/>
    <w:rsid w:val="007265FB"/>
    <w:rsid w:val="00726F0B"/>
    <w:rsid w:val="007274F4"/>
    <w:rsid w:val="00730810"/>
    <w:rsid w:val="0073106A"/>
    <w:rsid w:val="007332DD"/>
    <w:rsid w:val="007332FB"/>
    <w:rsid w:val="00733C75"/>
    <w:rsid w:val="00735192"/>
    <w:rsid w:val="0073524C"/>
    <w:rsid w:val="00735328"/>
    <w:rsid w:val="007357E3"/>
    <w:rsid w:val="007358D3"/>
    <w:rsid w:val="00735EE2"/>
    <w:rsid w:val="0073650B"/>
    <w:rsid w:val="0073672D"/>
    <w:rsid w:val="00736772"/>
    <w:rsid w:val="0073685B"/>
    <w:rsid w:val="00740540"/>
    <w:rsid w:val="007412B8"/>
    <w:rsid w:val="007414FE"/>
    <w:rsid w:val="00742374"/>
    <w:rsid w:val="007425A2"/>
    <w:rsid w:val="007425E5"/>
    <w:rsid w:val="007428ED"/>
    <w:rsid w:val="00742BAF"/>
    <w:rsid w:val="007438A7"/>
    <w:rsid w:val="00744259"/>
    <w:rsid w:val="00744867"/>
    <w:rsid w:val="00744C3D"/>
    <w:rsid w:val="00744F9C"/>
    <w:rsid w:val="007452E0"/>
    <w:rsid w:val="00745444"/>
    <w:rsid w:val="00745900"/>
    <w:rsid w:val="00746993"/>
    <w:rsid w:val="00746ABB"/>
    <w:rsid w:val="00747145"/>
    <w:rsid w:val="007474AD"/>
    <w:rsid w:val="00747844"/>
    <w:rsid w:val="007511EF"/>
    <w:rsid w:val="0075188A"/>
    <w:rsid w:val="007527B4"/>
    <w:rsid w:val="00752C77"/>
    <w:rsid w:val="00752DFF"/>
    <w:rsid w:val="00752ED8"/>
    <w:rsid w:val="007538EC"/>
    <w:rsid w:val="00754161"/>
    <w:rsid w:val="007543EC"/>
    <w:rsid w:val="00754C1F"/>
    <w:rsid w:val="00754E0A"/>
    <w:rsid w:val="00755C27"/>
    <w:rsid w:val="00755F8A"/>
    <w:rsid w:val="00756674"/>
    <w:rsid w:val="007567A0"/>
    <w:rsid w:val="00756A0A"/>
    <w:rsid w:val="00757471"/>
    <w:rsid w:val="0075748A"/>
    <w:rsid w:val="00757F59"/>
    <w:rsid w:val="00760DE0"/>
    <w:rsid w:val="00761019"/>
    <w:rsid w:val="0076182E"/>
    <w:rsid w:val="00762122"/>
    <w:rsid w:val="0076238C"/>
    <w:rsid w:val="00762804"/>
    <w:rsid w:val="00762BF2"/>
    <w:rsid w:val="00763B19"/>
    <w:rsid w:val="00763D18"/>
    <w:rsid w:val="007657D4"/>
    <w:rsid w:val="00765B1E"/>
    <w:rsid w:val="00765F1E"/>
    <w:rsid w:val="007668FF"/>
    <w:rsid w:val="0076733F"/>
    <w:rsid w:val="007679FF"/>
    <w:rsid w:val="00767CE6"/>
    <w:rsid w:val="007702E2"/>
    <w:rsid w:val="007704A2"/>
    <w:rsid w:val="007707E0"/>
    <w:rsid w:val="00770C9E"/>
    <w:rsid w:val="0077148A"/>
    <w:rsid w:val="00771B35"/>
    <w:rsid w:val="00772215"/>
    <w:rsid w:val="007724ED"/>
    <w:rsid w:val="007728AA"/>
    <w:rsid w:val="007728CC"/>
    <w:rsid w:val="00772B28"/>
    <w:rsid w:val="00773589"/>
    <w:rsid w:val="00773A31"/>
    <w:rsid w:val="00774C46"/>
    <w:rsid w:val="00774FCD"/>
    <w:rsid w:val="0077551C"/>
    <w:rsid w:val="0077677E"/>
    <w:rsid w:val="00776C46"/>
    <w:rsid w:val="0078036C"/>
    <w:rsid w:val="00781167"/>
    <w:rsid w:val="00782083"/>
    <w:rsid w:val="00782429"/>
    <w:rsid w:val="00782F49"/>
    <w:rsid w:val="00783016"/>
    <w:rsid w:val="00783C48"/>
    <w:rsid w:val="007851C3"/>
    <w:rsid w:val="0078564D"/>
    <w:rsid w:val="00785AC6"/>
    <w:rsid w:val="00786E23"/>
    <w:rsid w:val="00787C9E"/>
    <w:rsid w:val="00792921"/>
    <w:rsid w:val="00792DD8"/>
    <w:rsid w:val="00792FAA"/>
    <w:rsid w:val="00793503"/>
    <w:rsid w:val="00793EF3"/>
    <w:rsid w:val="00794290"/>
    <w:rsid w:val="00794B4D"/>
    <w:rsid w:val="007953CC"/>
    <w:rsid w:val="007957AE"/>
    <w:rsid w:val="00796B9E"/>
    <w:rsid w:val="007974A6"/>
    <w:rsid w:val="0079773D"/>
    <w:rsid w:val="00797F53"/>
    <w:rsid w:val="007A0360"/>
    <w:rsid w:val="007A180A"/>
    <w:rsid w:val="007A20C0"/>
    <w:rsid w:val="007A2310"/>
    <w:rsid w:val="007A2363"/>
    <w:rsid w:val="007A30D5"/>
    <w:rsid w:val="007A35C4"/>
    <w:rsid w:val="007A3682"/>
    <w:rsid w:val="007A3865"/>
    <w:rsid w:val="007A4383"/>
    <w:rsid w:val="007A6055"/>
    <w:rsid w:val="007A718A"/>
    <w:rsid w:val="007A72B2"/>
    <w:rsid w:val="007A7C06"/>
    <w:rsid w:val="007A7E2D"/>
    <w:rsid w:val="007B0A95"/>
    <w:rsid w:val="007B0D05"/>
    <w:rsid w:val="007B15DC"/>
    <w:rsid w:val="007B198F"/>
    <w:rsid w:val="007B251D"/>
    <w:rsid w:val="007B3956"/>
    <w:rsid w:val="007B4360"/>
    <w:rsid w:val="007B4DA9"/>
    <w:rsid w:val="007B5729"/>
    <w:rsid w:val="007B6A63"/>
    <w:rsid w:val="007B71C9"/>
    <w:rsid w:val="007B739B"/>
    <w:rsid w:val="007B77D1"/>
    <w:rsid w:val="007B7A3E"/>
    <w:rsid w:val="007C015C"/>
    <w:rsid w:val="007C0373"/>
    <w:rsid w:val="007C062A"/>
    <w:rsid w:val="007C0721"/>
    <w:rsid w:val="007C1248"/>
    <w:rsid w:val="007C23DB"/>
    <w:rsid w:val="007C2CDC"/>
    <w:rsid w:val="007C443F"/>
    <w:rsid w:val="007C44E0"/>
    <w:rsid w:val="007C45E4"/>
    <w:rsid w:val="007C5052"/>
    <w:rsid w:val="007C53FC"/>
    <w:rsid w:val="007C621A"/>
    <w:rsid w:val="007C6736"/>
    <w:rsid w:val="007C7AF8"/>
    <w:rsid w:val="007D0B38"/>
    <w:rsid w:val="007D0CC3"/>
    <w:rsid w:val="007D0DA1"/>
    <w:rsid w:val="007D2289"/>
    <w:rsid w:val="007D29FA"/>
    <w:rsid w:val="007D51F1"/>
    <w:rsid w:val="007D5329"/>
    <w:rsid w:val="007D631F"/>
    <w:rsid w:val="007D6328"/>
    <w:rsid w:val="007D6A8C"/>
    <w:rsid w:val="007D6A91"/>
    <w:rsid w:val="007D7021"/>
    <w:rsid w:val="007D7A8A"/>
    <w:rsid w:val="007E003A"/>
    <w:rsid w:val="007E01E8"/>
    <w:rsid w:val="007E11E7"/>
    <w:rsid w:val="007E1311"/>
    <w:rsid w:val="007E1DC8"/>
    <w:rsid w:val="007E2471"/>
    <w:rsid w:val="007E2778"/>
    <w:rsid w:val="007E303F"/>
    <w:rsid w:val="007E39EE"/>
    <w:rsid w:val="007E3CD5"/>
    <w:rsid w:val="007E3F97"/>
    <w:rsid w:val="007E4CEF"/>
    <w:rsid w:val="007E52A9"/>
    <w:rsid w:val="007E53B0"/>
    <w:rsid w:val="007E578B"/>
    <w:rsid w:val="007E5C75"/>
    <w:rsid w:val="007E5DD9"/>
    <w:rsid w:val="007E621F"/>
    <w:rsid w:val="007E6269"/>
    <w:rsid w:val="007E6C9D"/>
    <w:rsid w:val="007E6E6D"/>
    <w:rsid w:val="007F033E"/>
    <w:rsid w:val="007F0AE6"/>
    <w:rsid w:val="007F0F3B"/>
    <w:rsid w:val="007F1017"/>
    <w:rsid w:val="007F1C8A"/>
    <w:rsid w:val="007F326E"/>
    <w:rsid w:val="007F36EC"/>
    <w:rsid w:val="007F3CD3"/>
    <w:rsid w:val="007F3F54"/>
    <w:rsid w:val="007F4495"/>
    <w:rsid w:val="007F4A3F"/>
    <w:rsid w:val="007F4B16"/>
    <w:rsid w:val="007F4CFB"/>
    <w:rsid w:val="007F5903"/>
    <w:rsid w:val="007F5A5F"/>
    <w:rsid w:val="007F5B79"/>
    <w:rsid w:val="007F68D8"/>
    <w:rsid w:val="007F7341"/>
    <w:rsid w:val="007F7CEB"/>
    <w:rsid w:val="007F7CF1"/>
    <w:rsid w:val="007F7D95"/>
    <w:rsid w:val="00800506"/>
    <w:rsid w:val="00800CBC"/>
    <w:rsid w:val="0080143A"/>
    <w:rsid w:val="00801FBA"/>
    <w:rsid w:val="0080209B"/>
    <w:rsid w:val="0080246D"/>
    <w:rsid w:val="00803023"/>
    <w:rsid w:val="0080375B"/>
    <w:rsid w:val="0080388C"/>
    <w:rsid w:val="00803F5F"/>
    <w:rsid w:val="00803F9E"/>
    <w:rsid w:val="00804751"/>
    <w:rsid w:val="00804C8C"/>
    <w:rsid w:val="00805142"/>
    <w:rsid w:val="00805651"/>
    <w:rsid w:val="00805F05"/>
    <w:rsid w:val="0080640A"/>
    <w:rsid w:val="008064CF"/>
    <w:rsid w:val="00806DC0"/>
    <w:rsid w:val="008072A7"/>
    <w:rsid w:val="00807692"/>
    <w:rsid w:val="0080777E"/>
    <w:rsid w:val="00807A8B"/>
    <w:rsid w:val="0081020D"/>
    <w:rsid w:val="00810B1F"/>
    <w:rsid w:val="00810ECA"/>
    <w:rsid w:val="00810FC5"/>
    <w:rsid w:val="0081138C"/>
    <w:rsid w:val="00811567"/>
    <w:rsid w:val="008119CF"/>
    <w:rsid w:val="00812149"/>
    <w:rsid w:val="00813D36"/>
    <w:rsid w:val="0081454D"/>
    <w:rsid w:val="008146E6"/>
    <w:rsid w:val="008148D1"/>
    <w:rsid w:val="00814A22"/>
    <w:rsid w:val="00816495"/>
    <w:rsid w:val="008166EF"/>
    <w:rsid w:val="00816A79"/>
    <w:rsid w:val="00816D07"/>
    <w:rsid w:val="00816FA1"/>
    <w:rsid w:val="00817979"/>
    <w:rsid w:val="00817E47"/>
    <w:rsid w:val="00820D42"/>
    <w:rsid w:val="00821528"/>
    <w:rsid w:val="00821CE3"/>
    <w:rsid w:val="0082239E"/>
    <w:rsid w:val="00823CC5"/>
    <w:rsid w:val="00823EFF"/>
    <w:rsid w:val="008248A3"/>
    <w:rsid w:val="00825295"/>
    <w:rsid w:val="0082551E"/>
    <w:rsid w:val="00825AE9"/>
    <w:rsid w:val="0082603A"/>
    <w:rsid w:val="008264EB"/>
    <w:rsid w:val="008265D1"/>
    <w:rsid w:val="00826D00"/>
    <w:rsid w:val="00826EFA"/>
    <w:rsid w:val="00827CF3"/>
    <w:rsid w:val="00827EB9"/>
    <w:rsid w:val="0083018F"/>
    <w:rsid w:val="008305B4"/>
    <w:rsid w:val="008314D3"/>
    <w:rsid w:val="00831CAD"/>
    <w:rsid w:val="0083247F"/>
    <w:rsid w:val="00832656"/>
    <w:rsid w:val="00833583"/>
    <w:rsid w:val="00833900"/>
    <w:rsid w:val="00833A99"/>
    <w:rsid w:val="00834197"/>
    <w:rsid w:val="008341F2"/>
    <w:rsid w:val="00835936"/>
    <w:rsid w:val="00835AC7"/>
    <w:rsid w:val="00840CA2"/>
    <w:rsid w:val="0084127D"/>
    <w:rsid w:val="0084226F"/>
    <w:rsid w:val="00842423"/>
    <w:rsid w:val="00842476"/>
    <w:rsid w:val="008434A6"/>
    <w:rsid w:val="00843531"/>
    <w:rsid w:val="00843924"/>
    <w:rsid w:val="00844E3B"/>
    <w:rsid w:val="00844F16"/>
    <w:rsid w:val="008450F2"/>
    <w:rsid w:val="0084566C"/>
    <w:rsid w:val="008464F4"/>
    <w:rsid w:val="008470D6"/>
    <w:rsid w:val="008477BD"/>
    <w:rsid w:val="00847830"/>
    <w:rsid w:val="00850017"/>
    <w:rsid w:val="008514DB"/>
    <w:rsid w:val="00852691"/>
    <w:rsid w:val="008534AD"/>
    <w:rsid w:val="00855409"/>
    <w:rsid w:val="008565AC"/>
    <w:rsid w:val="00856C0D"/>
    <w:rsid w:val="00856E9A"/>
    <w:rsid w:val="00857781"/>
    <w:rsid w:val="00860450"/>
    <w:rsid w:val="00861CC6"/>
    <w:rsid w:val="008632A9"/>
    <w:rsid w:val="00863994"/>
    <w:rsid w:val="00863DD0"/>
    <w:rsid w:val="00863F46"/>
    <w:rsid w:val="008641F3"/>
    <w:rsid w:val="008643EC"/>
    <w:rsid w:val="008645CC"/>
    <w:rsid w:val="00864840"/>
    <w:rsid w:val="00865504"/>
    <w:rsid w:val="00865D17"/>
    <w:rsid w:val="00865F68"/>
    <w:rsid w:val="00866295"/>
    <w:rsid w:val="008677C5"/>
    <w:rsid w:val="00867AA5"/>
    <w:rsid w:val="00867B89"/>
    <w:rsid w:val="00867DC8"/>
    <w:rsid w:val="00871145"/>
    <w:rsid w:val="00871689"/>
    <w:rsid w:val="00872C3A"/>
    <w:rsid w:val="0087347D"/>
    <w:rsid w:val="0087381A"/>
    <w:rsid w:val="008740ED"/>
    <w:rsid w:val="00874C58"/>
    <w:rsid w:val="00875290"/>
    <w:rsid w:val="008752F6"/>
    <w:rsid w:val="0087595B"/>
    <w:rsid w:val="00875F60"/>
    <w:rsid w:val="00875FAD"/>
    <w:rsid w:val="008769D8"/>
    <w:rsid w:val="00876E6E"/>
    <w:rsid w:val="00876EF7"/>
    <w:rsid w:val="00876F87"/>
    <w:rsid w:val="00877018"/>
    <w:rsid w:val="0087761E"/>
    <w:rsid w:val="00877644"/>
    <w:rsid w:val="008804DE"/>
    <w:rsid w:val="008810C8"/>
    <w:rsid w:val="008817E2"/>
    <w:rsid w:val="00881BD2"/>
    <w:rsid w:val="00881D09"/>
    <w:rsid w:val="0088205F"/>
    <w:rsid w:val="00882874"/>
    <w:rsid w:val="00882E66"/>
    <w:rsid w:val="00883423"/>
    <w:rsid w:val="00883787"/>
    <w:rsid w:val="00883A6D"/>
    <w:rsid w:val="00884816"/>
    <w:rsid w:val="00884CB2"/>
    <w:rsid w:val="00885318"/>
    <w:rsid w:val="00885402"/>
    <w:rsid w:val="00886970"/>
    <w:rsid w:val="00886E3F"/>
    <w:rsid w:val="008903D6"/>
    <w:rsid w:val="00890D0E"/>
    <w:rsid w:val="0089132D"/>
    <w:rsid w:val="00891859"/>
    <w:rsid w:val="0089223F"/>
    <w:rsid w:val="0089224F"/>
    <w:rsid w:val="008925D2"/>
    <w:rsid w:val="00892C7A"/>
    <w:rsid w:val="0089408E"/>
    <w:rsid w:val="0089410D"/>
    <w:rsid w:val="0089427A"/>
    <w:rsid w:val="00894290"/>
    <w:rsid w:val="008945E6"/>
    <w:rsid w:val="0089519F"/>
    <w:rsid w:val="008955DC"/>
    <w:rsid w:val="00895DE2"/>
    <w:rsid w:val="008963A5"/>
    <w:rsid w:val="008963FE"/>
    <w:rsid w:val="00896CFE"/>
    <w:rsid w:val="00896E86"/>
    <w:rsid w:val="0089744F"/>
    <w:rsid w:val="008979D4"/>
    <w:rsid w:val="008A0C6E"/>
    <w:rsid w:val="008A16A7"/>
    <w:rsid w:val="008A1C72"/>
    <w:rsid w:val="008A21F8"/>
    <w:rsid w:val="008A262C"/>
    <w:rsid w:val="008A2B0A"/>
    <w:rsid w:val="008A3C3E"/>
    <w:rsid w:val="008A438D"/>
    <w:rsid w:val="008A5DE5"/>
    <w:rsid w:val="008A6434"/>
    <w:rsid w:val="008A6618"/>
    <w:rsid w:val="008A6901"/>
    <w:rsid w:val="008A6C3B"/>
    <w:rsid w:val="008A77D5"/>
    <w:rsid w:val="008A79DE"/>
    <w:rsid w:val="008A7F8B"/>
    <w:rsid w:val="008B0498"/>
    <w:rsid w:val="008B0597"/>
    <w:rsid w:val="008B08FC"/>
    <w:rsid w:val="008B0CCF"/>
    <w:rsid w:val="008B11A2"/>
    <w:rsid w:val="008B11C6"/>
    <w:rsid w:val="008B1A01"/>
    <w:rsid w:val="008B2290"/>
    <w:rsid w:val="008B3E96"/>
    <w:rsid w:val="008B4A1D"/>
    <w:rsid w:val="008B4E48"/>
    <w:rsid w:val="008B6243"/>
    <w:rsid w:val="008B7D7E"/>
    <w:rsid w:val="008C0781"/>
    <w:rsid w:val="008C26E8"/>
    <w:rsid w:val="008C2FB5"/>
    <w:rsid w:val="008C3CAF"/>
    <w:rsid w:val="008C4170"/>
    <w:rsid w:val="008C454F"/>
    <w:rsid w:val="008C56A5"/>
    <w:rsid w:val="008C5B9E"/>
    <w:rsid w:val="008C6588"/>
    <w:rsid w:val="008C78FD"/>
    <w:rsid w:val="008C7D0D"/>
    <w:rsid w:val="008C7ECB"/>
    <w:rsid w:val="008D127B"/>
    <w:rsid w:val="008D13FC"/>
    <w:rsid w:val="008D15C7"/>
    <w:rsid w:val="008D1712"/>
    <w:rsid w:val="008D2B76"/>
    <w:rsid w:val="008D40CB"/>
    <w:rsid w:val="008D4292"/>
    <w:rsid w:val="008D4D71"/>
    <w:rsid w:val="008D6527"/>
    <w:rsid w:val="008D65E4"/>
    <w:rsid w:val="008D6BD0"/>
    <w:rsid w:val="008D6D1C"/>
    <w:rsid w:val="008D6EEF"/>
    <w:rsid w:val="008E0428"/>
    <w:rsid w:val="008E07B5"/>
    <w:rsid w:val="008E0EB8"/>
    <w:rsid w:val="008E1B9E"/>
    <w:rsid w:val="008E27AE"/>
    <w:rsid w:val="008E2BD8"/>
    <w:rsid w:val="008E2E38"/>
    <w:rsid w:val="008E2E5B"/>
    <w:rsid w:val="008E3F73"/>
    <w:rsid w:val="008E4501"/>
    <w:rsid w:val="008E487A"/>
    <w:rsid w:val="008E4C0C"/>
    <w:rsid w:val="008E4D9F"/>
    <w:rsid w:val="008E53F0"/>
    <w:rsid w:val="008E5D76"/>
    <w:rsid w:val="008E642F"/>
    <w:rsid w:val="008E69FF"/>
    <w:rsid w:val="008E729E"/>
    <w:rsid w:val="008E72B7"/>
    <w:rsid w:val="008E7EAA"/>
    <w:rsid w:val="008F02D1"/>
    <w:rsid w:val="008F0537"/>
    <w:rsid w:val="008F0615"/>
    <w:rsid w:val="008F0CD3"/>
    <w:rsid w:val="008F1051"/>
    <w:rsid w:val="008F1406"/>
    <w:rsid w:val="008F251D"/>
    <w:rsid w:val="008F4498"/>
    <w:rsid w:val="008F48EB"/>
    <w:rsid w:val="008F4F0B"/>
    <w:rsid w:val="008F58B2"/>
    <w:rsid w:val="008F5A4D"/>
    <w:rsid w:val="008F6108"/>
    <w:rsid w:val="008F62E9"/>
    <w:rsid w:val="008F69E4"/>
    <w:rsid w:val="009009F8"/>
    <w:rsid w:val="00900E8E"/>
    <w:rsid w:val="00901486"/>
    <w:rsid w:val="009015BF"/>
    <w:rsid w:val="00901B26"/>
    <w:rsid w:val="00901E49"/>
    <w:rsid w:val="0090204F"/>
    <w:rsid w:val="009028CC"/>
    <w:rsid w:val="00902E61"/>
    <w:rsid w:val="00902F70"/>
    <w:rsid w:val="009040D4"/>
    <w:rsid w:val="00904831"/>
    <w:rsid w:val="00904ACF"/>
    <w:rsid w:val="00904C9B"/>
    <w:rsid w:val="0090508E"/>
    <w:rsid w:val="00905904"/>
    <w:rsid w:val="00905AEB"/>
    <w:rsid w:val="00905FDF"/>
    <w:rsid w:val="009062A5"/>
    <w:rsid w:val="009066CA"/>
    <w:rsid w:val="00907667"/>
    <w:rsid w:val="00907EF5"/>
    <w:rsid w:val="00910D6B"/>
    <w:rsid w:val="00910ECC"/>
    <w:rsid w:val="00911272"/>
    <w:rsid w:val="00912903"/>
    <w:rsid w:val="00913438"/>
    <w:rsid w:val="0091377F"/>
    <w:rsid w:val="009138A1"/>
    <w:rsid w:val="00914112"/>
    <w:rsid w:val="009150DF"/>
    <w:rsid w:val="00915802"/>
    <w:rsid w:val="009161EC"/>
    <w:rsid w:val="0091656A"/>
    <w:rsid w:val="0091769F"/>
    <w:rsid w:val="00917AFB"/>
    <w:rsid w:val="00917C29"/>
    <w:rsid w:val="00917F81"/>
    <w:rsid w:val="00920CA4"/>
    <w:rsid w:val="009211A7"/>
    <w:rsid w:val="00921BE3"/>
    <w:rsid w:val="00922802"/>
    <w:rsid w:val="00923496"/>
    <w:rsid w:val="00923FA5"/>
    <w:rsid w:val="00924E91"/>
    <w:rsid w:val="00925A52"/>
    <w:rsid w:val="00925D67"/>
    <w:rsid w:val="00926930"/>
    <w:rsid w:val="00926D0C"/>
    <w:rsid w:val="0092705D"/>
    <w:rsid w:val="009271C9"/>
    <w:rsid w:val="00930EF5"/>
    <w:rsid w:val="009335EB"/>
    <w:rsid w:val="0093412E"/>
    <w:rsid w:val="0093422B"/>
    <w:rsid w:val="00935688"/>
    <w:rsid w:val="0093658E"/>
    <w:rsid w:val="0093669D"/>
    <w:rsid w:val="009367E7"/>
    <w:rsid w:val="0094012C"/>
    <w:rsid w:val="00940C24"/>
    <w:rsid w:val="009410EC"/>
    <w:rsid w:val="0094180A"/>
    <w:rsid w:val="00941C1D"/>
    <w:rsid w:val="009429AD"/>
    <w:rsid w:val="00943B6F"/>
    <w:rsid w:val="00943CE9"/>
    <w:rsid w:val="00943F3E"/>
    <w:rsid w:val="009440BA"/>
    <w:rsid w:val="00944331"/>
    <w:rsid w:val="0094446C"/>
    <w:rsid w:val="00944C18"/>
    <w:rsid w:val="00944D6C"/>
    <w:rsid w:val="009451E0"/>
    <w:rsid w:val="00945FEF"/>
    <w:rsid w:val="00946552"/>
    <w:rsid w:val="00946AC7"/>
    <w:rsid w:val="00946B1E"/>
    <w:rsid w:val="00946B86"/>
    <w:rsid w:val="00946DD6"/>
    <w:rsid w:val="00946F50"/>
    <w:rsid w:val="00947CDE"/>
    <w:rsid w:val="00947D2B"/>
    <w:rsid w:val="00951081"/>
    <w:rsid w:val="009510A6"/>
    <w:rsid w:val="00951354"/>
    <w:rsid w:val="0095172F"/>
    <w:rsid w:val="00951C74"/>
    <w:rsid w:val="00952AD9"/>
    <w:rsid w:val="00955F87"/>
    <w:rsid w:val="009578D9"/>
    <w:rsid w:val="00960676"/>
    <w:rsid w:val="00960E73"/>
    <w:rsid w:val="0096126B"/>
    <w:rsid w:val="00961AF9"/>
    <w:rsid w:val="00962CB9"/>
    <w:rsid w:val="00963389"/>
    <w:rsid w:val="009635AF"/>
    <w:rsid w:val="00964312"/>
    <w:rsid w:val="00964FC2"/>
    <w:rsid w:val="00965AE1"/>
    <w:rsid w:val="009660D9"/>
    <w:rsid w:val="009674BC"/>
    <w:rsid w:val="00970304"/>
    <w:rsid w:val="0097039B"/>
    <w:rsid w:val="009704E1"/>
    <w:rsid w:val="00970869"/>
    <w:rsid w:val="00970D70"/>
    <w:rsid w:val="00970DEE"/>
    <w:rsid w:val="0097189C"/>
    <w:rsid w:val="00972171"/>
    <w:rsid w:val="00972710"/>
    <w:rsid w:val="0097314A"/>
    <w:rsid w:val="00973FD5"/>
    <w:rsid w:val="0097429A"/>
    <w:rsid w:val="00974399"/>
    <w:rsid w:val="009744E7"/>
    <w:rsid w:val="00974598"/>
    <w:rsid w:val="00974C58"/>
    <w:rsid w:val="00975B37"/>
    <w:rsid w:val="00975CEC"/>
    <w:rsid w:val="0097661A"/>
    <w:rsid w:val="00976673"/>
    <w:rsid w:val="009767E6"/>
    <w:rsid w:val="0098002F"/>
    <w:rsid w:val="0098037F"/>
    <w:rsid w:val="00981368"/>
    <w:rsid w:val="00981B8E"/>
    <w:rsid w:val="00982456"/>
    <w:rsid w:val="009828D4"/>
    <w:rsid w:val="0098295D"/>
    <w:rsid w:val="00982ECE"/>
    <w:rsid w:val="00983E57"/>
    <w:rsid w:val="0098667A"/>
    <w:rsid w:val="009866F1"/>
    <w:rsid w:val="00987117"/>
    <w:rsid w:val="00987441"/>
    <w:rsid w:val="00987688"/>
    <w:rsid w:val="009876E0"/>
    <w:rsid w:val="00987B91"/>
    <w:rsid w:val="00987F49"/>
    <w:rsid w:val="009910A8"/>
    <w:rsid w:val="009912D7"/>
    <w:rsid w:val="00991475"/>
    <w:rsid w:val="009922A0"/>
    <w:rsid w:val="00992838"/>
    <w:rsid w:val="00992A9C"/>
    <w:rsid w:val="0099325E"/>
    <w:rsid w:val="00993337"/>
    <w:rsid w:val="00993A0B"/>
    <w:rsid w:val="00993FC5"/>
    <w:rsid w:val="00993FC9"/>
    <w:rsid w:val="00994435"/>
    <w:rsid w:val="00995159"/>
    <w:rsid w:val="00995188"/>
    <w:rsid w:val="0099544B"/>
    <w:rsid w:val="00995870"/>
    <w:rsid w:val="00995C81"/>
    <w:rsid w:val="00996B1A"/>
    <w:rsid w:val="00996C2F"/>
    <w:rsid w:val="0099724B"/>
    <w:rsid w:val="009A0A32"/>
    <w:rsid w:val="009A0D0A"/>
    <w:rsid w:val="009A1FD8"/>
    <w:rsid w:val="009A20BD"/>
    <w:rsid w:val="009A2F66"/>
    <w:rsid w:val="009A31D5"/>
    <w:rsid w:val="009A3819"/>
    <w:rsid w:val="009A383D"/>
    <w:rsid w:val="009A5A10"/>
    <w:rsid w:val="009A6155"/>
    <w:rsid w:val="009A6569"/>
    <w:rsid w:val="009A72E1"/>
    <w:rsid w:val="009B0777"/>
    <w:rsid w:val="009B1190"/>
    <w:rsid w:val="009B12B8"/>
    <w:rsid w:val="009B13FD"/>
    <w:rsid w:val="009B18E5"/>
    <w:rsid w:val="009B1FA8"/>
    <w:rsid w:val="009B372C"/>
    <w:rsid w:val="009B3E26"/>
    <w:rsid w:val="009B42DC"/>
    <w:rsid w:val="009B43BB"/>
    <w:rsid w:val="009B450D"/>
    <w:rsid w:val="009B5000"/>
    <w:rsid w:val="009B53D5"/>
    <w:rsid w:val="009B5EEA"/>
    <w:rsid w:val="009B6A9C"/>
    <w:rsid w:val="009B6CEB"/>
    <w:rsid w:val="009B6ED8"/>
    <w:rsid w:val="009B73BA"/>
    <w:rsid w:val="009C19A4"/>
    <w:rsid w:val="009C1ED3"/>
    <w:rsid w:val="009C23AC"/>
    <w:rsid w:val="009C2403"/>
    <w:rsid w:val="009C2792"/>
    <w:rsid w:val="009C35FE"/>
    <w:rsid w:val="009C3C96"/>
    <w:rsid w:val="009C3CD2"/>
    <w:rsid w:val="009C3FB3"/>
    <w:rsid w:val="009C4197"/>
    <w:rsid w:val="009C45BE"/>
    <w:rsid w:val="009C4806"/>
    <w:rsid w:val="009C5A60"/>
    <w:rsid w:val="009C5D55"/>
    <w:rsid w:val="009C6145"/>
    <w:rsid w:val="009C64DB"/>
    <w:rsid w:val="009C701A"/>
    <w:rsid w:val="009C7A33"/>
    <w:rsid w:val="009C7DBF"/>
    <w:rsid w:val="009D0742"/>
    <w:rsid w:val="009D0C65"/>
    <w:rsid w:val="009D0D53"/>
    <w:rsid w:val="009D2485"/>
    <w:rsid w:val="009D312E"/>
    <w:rsid w:val="009D3653"/>
    <w:rsid w:val="009D368B"/>
    <w:rsid w:val="009D3B9C"/>
    <w:rsid w:val="009D400A"/>
    <w:rsid w:val="009D446E"/>
    <w:rsid w:val="009D482E"/>
    <w:rsid w:val="009D5712"/>
    <w:rsid w:val="009D5B91"/>
    <w:rsid w:val="009D5C60"/>
    <w:rsid w:val="009D5EF5"/>
    <w:rsid w:val="009D67FC"/>
    <w:rsid w:val="009D6929"/>
    <w:rsid w:val="009D6C8D"/>
    <w:rsid w:val="009E0454"/>
    <w:rsid w:val="009E06C8"/>
    <w:rsid w:val="009E079F"/>
    <w:rsid w:val="009E08F0"/>
    <w:rsid w:val="009E0B64"/>
    <w:rsid w:val="009E0CDC"/>
    <w:rsid w:val="009E0E7E"/>
    <w:rsid w:val="009E1D0F"/>
    <w:rsid w:val="009E2193"/>
    <w:rsid w:val="009E2380"/>
    <w:rsid w:val="009E25A4"/>
    <w:rsid w:val="009E3120"/>
    <w:rsid w:val="009E332C"/>
    <w:rsid w:val="009E3CAF"/>
    <w:rsid w:val="009E4C07"/>
    <w:rsid w:val="009E5408"/>
    <w:rsid w:val="009E6088"/>
    <w:rsid w:val="009E6107"/>
    <w:rsid w:val="009E6374"/>
    <w:rsid w:val="009E6555"/>
    <w:rsid w:val="009E6EA2"/>
    <w:rsid w:val="009E7523"/>
    <w:rsid w:val="009E77B1"/>
    <w:rsid w:val="009F0317"/>
    <w:rsid w:val="009F09B7"/>
    <w:rsid w:val="009F0FFB"/>
    <w:rsid w:val="009F1365"/>
    <w:rsid w:val="009F17D4"/>
    <w:rsid w:val="009F29E7"/>
    <w:rsid w:val="009F42A7"/>
    <w:rsid w:val="009F439C"/>
    <w:rsid w:val="009F6340"/>
    <w:rsid w:val="009F6AFB"/>
    <w:rsid w:val="009F6E5E"/>
    <w:rsid w:val="009F6EF6"/>
    <w:rsid w:val="009F7421"/>
    <w:rsid w:val="009F75EB"/>
    <w:rsid w:val="009F7C77"/>
    <w:rsid w:val="00A00F20"/>
    <w:rsid w:val="00A017AA"/>
    <w:rsid w:val="00A027B7"/>
    <w:rsid w:val="00A02DB9"/>
    <w:rsid w:val="00A03966"/>
    <w:rsid w:val="00A03B84"/>
    <w:rsid w:val="00A03D43"/>
    <w:rsid w:val="00A04380"/>
    <w:rsid w:val="00A044A5"/>
    <w:rsid w:val="00A04DF4"/>
    <w:rsid w:val="00A04EC3"/>
    <w:rsid w:val="00A0554C"/>
    <w:rsid w:val="00A05635"/>
    <w:rsid w:val="00A0583B"/>
    <w:rsid w:val="00A05E6E"/>
    <w:rsid w:val="00A06D34"/>
    <w:rsid w:val="00A06F66"/>
    <w:rsid w:val="00A07051"/>
    <w:rsid w:val="00A07C24"/>
    <w:rsid w:val="00A10504"/>
    <w:rsid w:val="00A10FAC"/>
    <w:rsid w:val="00A1165D"/>
    <w:rsid w:val="00A121CF"/>
    <w:rsid w:val="00A12A0C"/>
    <w:rsid w:val="00A12EE3"/>
    <w:rsid w:val="00A1366E"/>
    <w:rsid w:val="00A13948"/>
    <w:rsid w:val="00A13951"/>
    <w:rsid w:val="00A13D82"/>
    <w:rsid w:val="00A14224"/>
    <w:rsid w:val="00A14707"/>
    <w:rsid w:val="00A148E0"/>
    <w:rsid w:val="00A16255"/>
    <w:rsid w:val="00A16483"/>
    <w:rsid w:val="00A168A2"/>
    <w:rsid w:val="00A208A5"/>
    <w:rsid w:val="00A20BE9"/>
    <w:rsid w:val="00A210F7"/>
    <w:rsid w:val="00A2190A"/>
    <w:rsid w:val="00A21D29"/>
    <w:rsid w:val="00A21EF5"/>
    <w:rsid w:val="00A221F9"/>
    <w:rsid w:val="00A2304A"/>
    <w:rsid w:val="00A23A1F"/>
    <w:rsid w:val="00A2404B"/>
    <w:rsid w:val="00A252E2"/>
    <w:rsid w:val="00A26C74"/>
    <w:rsid w:val="00A2752F"/>
    <w:rsid w:val="00A27985"/>
    <w:rsid w:val="00A27AEC"/>
    <w:rsid w:val="00A30F53"/>
    <w:rsid w:val="00A311CC"/>
    <w:rsid w:val="00A31D55"/>
    <w:rsid w:val="00A3233C"/>
    <w:rsid w:val="00A324A9"/>
    <w:rsid w:val="00A330BC"/>
    <w:rsid w:val="00A334FA"/>
    <w:rsid w:val="00A34389"/>
    <w:rsid w:val="00A34F0A"/>
    <w:rsid w:val="00A35C58"/>
    <w:rsid w:val="00A35D16"/>
    <w:rsid w:val="00A35E9A"/>
    <w:rsid w:val="00A36BFB"/>
    <w:rsid w:val="00A37645"/>
    <w:rsid w:val="00A40C85"/>
    <w:rsid w:val="00A40CD4"/>
    <w:rsid w:val="00A40F0C"/>
    <w:rsid w:val="00A40FFF"/>
    <w:rsid w:val="00A4151E"/>
    <w:rsid w:val="00A4160A"/>
    <w:rsid w:val="00A42E9B"/>
    <w:rsid w:val="00A435B1"/>
    <w:rsid w:val="00A43C59"/>
    <w:rsid w:val="00A44146"/>
    <w:rsid w:val="00A44426"/>
    <w:rsid w:val="00A456A4"/>
    <w:rsid w:val="00A468B5"/>
    <w:rsid w:val="00A46DF9"/>
    <w:rsid w:val="00A473EE"/>
    <w:rsid w:val="00A475FE"/>
    <w:rsid w:val="00A50112"/>
    <w:rsid w:val="00A50C66"/>
    <w:rsid w:val="00A50ECD"/>
    <w:rsid w:val="00A5223C"/>
    <w:rsid w:val="00A52729"/>
    <w:rsid w:val="00A53530"/>
    <w:rsid w:val="00A53675"/>
    <w:rsid w:val="00A5386E"/>
    <w:rsid w:val="00A53F91"/>
    <w:rsid w:val="00A54333"/>
    <w:rsid w:val="00A543D9"/>
    <w:rsid w:val="00A5459F"/>
    <w:rsid w:val="00A54ABB"/>
    <w:rsid w:val="00A551B9"/>
    <w:rsid w:val="00A55214"/>
    <w:rsid w:val="00A55701"/>
    <w:rsid w:val="00A5585F"/>
    <w:rsid w:val="00A55D49"/>
    <w:rsid w:val="00A56642"/>
    <w:rsid w:val="00A56B6A"/>
    <w:rsid w:val="00A56C55"/>
    <w:rsid w:val="00A56F6E"/>
    <w:rsid w:val="00A571E2"/>
    <w:rsid w:val="00A5728D"/>
    <w:rsid w:val="00A5751C"/>
    <w:rsid w:val="00A5780F"/>
    <w:rsid w:val="00A57811"/>
    <w:rsid w:val="00A57841"/>
    <w:rsid w:val="00A578DC"/>
    <w:rsid w:val="00A602DD"/>
    <w:rsid w:val="00A60E2E"/>
    <w:rsid w:val="00A621D4"/>
    <w:rsid w:val="00A62361"/>
    <w:rsid w:val="00A62A19"/>
    <w:rsid w:val="00A62DFB"/>
    <w:rsid w:val="00A63689"/>
    <w:rsid w:val="00A636BA"/>
    <w:rsid w:val="00A63FE8"/>
    <w:rsid w:val="00A647D1"/>
    <w:rsid w:val="00A64822"/>
    <w:rsid w:val="00A64EAF"/>
    <w:rsid w:val="00A65170"/>
    <w:rsid w:val="00A653A7"/>
    <w:rsid w:val="00A65453"/>
    <w:rsid w:val="00A65D78"/>
    <w:rsid w:val="00A668F8"/>
    <w:rsid w:val="00A66C81"/>
    <w:rsid w:val="00A6725B"/>
    <w:rsid w:val="00A672A8"/>
    <w:rsid w:val="00A67A45"/>
    <w:rsid w:val="00A67CE5"/>
    <w:rsid w:val="00A701C4"/>
    <w:rsid w:val="00A7104E"/>
    <w:rsid w:val="00A71559"/>
    <w:rsid w:val="00A71592"/>
    <w:rsid w:val="00A71917"/>
    <w:rsid w:val="00A71DFE"/>
    <w:rsid w:val="00A72753"/>
    <w:rsid w:val="00A72F8C"/>
    <w:rsid w:val="00A73A8D"/>
    <w:rsid w:val="00A73FD4"/>
    <w:rsid w:val="00A73FF4"/>
    <w:rsid w:val="00A74411"/>
    <w:rsid w:val="00A7461C"/>
    <w:rsid w:val="00A74BDE"/>
    <w:rsid w:val="00A74C08"/>
    <w:rsid w:val="00A75339"/>
    <w:rsid w:val="00A75433"/>
    <w:rsid w:val="00A7644D"/>
    <w:rsid w:val="00A76526"/>
    <w:rsid w:val="00A76F76"/>
    <w:rsid w:val="00A7741A"/>
    <w:rsid w:val="00A77805"/>
    <w:rsid w:val="00A80B33"/>
    <w:rsid w:val="00A8103B"/>
    <w:rsid w:val="00A81626"/>
    <w:rsid w:val="00A82F6B"/>
    <w:rsid w:val="00A8377B"/>
    <w:rsid w:val="00A838B6"/>
    <w:rsid w:val="00A84532"/>
    <w:rsid w:val="00A84B2B"/>
    <w:rsid w:val="00A8599B"/>
    <w:rsid w:val="00A85ADE"/>
    <w:rsid w:val="00A85BE6"/>
    <w:rsid w:val="00A86A8D"/>
    <w:rsid w:val="00A86E8B"/>
    <w:rsid w:val="00A876DC"/>
    <w:rsid w:val="00A8781F"/>
    <w:rsid w:val="00A8796F"/>
    <w:rsid w:val="00A87993"/>
    <w:rsid w:val="00A90DFD"/>
    <w:rsid w:val="00A91A22"/>
    <w:rsid w:val="00A91CDC"/>
    <w:rsid w:val="00A91FBF"/>
    <w:rsid w:val="00A92B55"/>
    <w:rsid w:val="00A93072"/>
    <w:rsid w:val="00A9326A"/>
    <w:rsid w:val="00A945D2"/>
    <w:rsid w:val="00A94CFA"/>
    <w:rsid w:val="00A94EFF"/>
    <w:rsid w:val="00A95000"/>
    <w:rsid w:val="00A95194"/>
    <w:rsid w:val="00A96A65"/>
    <w:rsid w:val="00A97609"/>
    <w:rsid w:val="00A9774C"/>
    <w:rsid w:val="00AA0A07"/>
    <w:rsid w:val="00AA1397"/>
    <w:rsid w:val="00AA1F9A"/>
    <w:rsid w:val="00AA2005"/>
    <w:rsid w:val="00AA2D14"/>
    <w:rsid w:val="00AA2FDD"/>
    <w:rsid w:val="00AA3677"/>
    <w:rsid w:val="00AA6D7E"/>
    <w:rsid w:val="00AA71F7"/>
    <w:rsid w:val="00AA7547"/>
    <w:rsid w:val="00AA7976"/>
    <w:rsid w:val="00AB042A"/>
    <w:rsid w:val="00AB1A41"/>
    <w:rsid w:val="00AB1BB5"/>
    <w:rsid w:val="00AB1C77"/>
    <w:rsid w:val="00AB2542"/>
    <w:rsid w:val="00AB30C0"/>
    <w:rsid w:val="00AB3430"/>
    <w:rsid w:val="00AB343A"/>
    <w:rsid w:val="00AB3EBA"/>
    <w:rsid w:val="00AB4D0D"/>
    <w:rsid w:val="00AB5437"/>
    <w:rsid w:val="00AB69A8"/>
    <w:rsid w:val="00AB6B28"/>
    <w:rsid w:val="00AB76F3"/>
    <w:rsid w:val="00AB7CE5"/>
    <w:rsid w:val="00AB7CFA"/>
    <w:rsid w:val="00AC0154"/>
    <w:rsid w:val="00AC0881"/>
    <w:rsid w:val="00AC09C3"/>
    <w:rsid w:val="00AC09D1"/>
    <w:rsid w:val="00AC2537"/>
    <w:rsid w:val="00AC2F29"/>
    <w:rsid w:val="00AC346A"/>
    <w:rsid w:val="00AC38BA"/>
    <w:rsid w:val="00AC4D2E"/>
    <w:rsid w:val="00AC533F"/>
    <w:rsid w:val="00AC538B"/>
    <w:rsid w:val="00AC5C19"/>
    <w:rsid w:val="00AC626F"/>
    <w:rsid w:val="00AC6960"/>
    <w:rsid w:val="00AC7117"/>
    <w:rsid w:val="00AD0975"/>
    <w:rsid w:val="00AD0E55"/>
    <w:rsid w:val="00AD0E5F"/>
    <w:rsid w:val="00AD1530"/>
    <w:rsid w:val="00AD1B5B"/>
    <w:rsid w:val="00AD2BE2"/>
    <w:rsid w:val="00AD3008"/>
    <w:rsid w:val="00AD31E1"/>
    <w:rsid w:val="00AD4C05"/>
    <w:rsid w:val="00AD6AA6"/>
    <w:rsid w:val="00AD71B2"/>
    <w:rsid w:val="00AD7749"/>
    <w:rsid w:val="00AD7E4F"/>
    <w:rsid w:val="00AE0661"/>
    <w:rsid w:val="00AE073D"/>
    <w:rsid w:val="00AE1DB0"/>
    <w:rsid w:val="00AE241F"/>
    <w:rsid w:val="00AE26ED"/>
    <w:rsid w:val="00AE3782"/>
    <w:rsid w:val="00AE57B8"/>
    <w:rsid w:val="00AE58CA"/>
    <w:rsid w:val="00AE5CBB"/>
    <w:rsid w:val="00AE64A7"/>
    <w:rsid w:val="00AE688D"/>
    <w:rsid w:val="00AE6EED"/>
    <w:rsid w:val="00AE75A2"/>
    <w:rsid w:val="00AE768E"/>
    <w:rsid w:val="00AE778F"/>
    <w:rsid w:val="00AF0CBC"/>
    <w:rsid w:val="00AF2392"/>
    <w:rsid w:val="00AF2DF5"/>
    <w:rsid w:val="00AF31E4"/>
    <w:rsid w:val="00AF33B9"/>
    <w:rsid w:val="00AF34A1"/>
    <w:rsid w:val="00AF3878"/>
    <w:rsid w:val="00AF3EBB"/>
    <w:rsid w:val="00AF48DB"/>
    <w:rsid w:val="00AF490B"/>
    <w:rsid w:val="00AF5751"/>
    <w:rsid w:val="00AF57CC"/>
    <w:rsid w:val="00AF5AAF"/>
    <w:rsid w:val="00AF602B"/>
    <w:rsid w:val="00AF731B"/>
    <w:rsid w:val="00AF74F0"/>
    <w:rsid w:val="00AF7EE4"/>
    <w:rsid w:val="00B01DE4"/>
    <w:rsid w:val="00B03B96"/>
    <w:rsid w:val="00B05481"/>
    <w:rsid w:val="00B06238"/>
    <w:rsid w:val="00B07609"/>
    <w:rsid w:val="00B10529"/>
    <w:rsid w:val="00B1191E"/>
    <w:rsid w:val="00B11A94"/>
    <w:rsid w:val="00B123D4"/>
    <w:rsid w:val="00B13B19"/>
    <w:rsid w:val="00B13F4D"/>
    <w:rsid w:val="00B14796"/>
    <w:rsid w:val="00B14B35"/>
    <w:rsid w:val="00B16461"/>
    <w:rsid w:val="00B166FA"/>
    <w:rsid w:val="00B171F4"/>
    <w:rsid w:val="00B20A9B"/>
    <w:rsid w:val="00B20F7C"/>
    <w:rsid w:val="00B21329"/>
    <w:rsid w:val="00B21CF1"/>
    <w:rsid w:val="00B221B3"/>
    <w:rsid w:val="00B222D3"/>
    <w:rsid w:val="00B226A4"/>
    <w:rsid w:val="00B2306C"/>
    <w:rsid w:val="00B23846"/>
    <w:rsid w:val="00B23989"/>
    <w:rsid w:val="00B23C29"/>
    <w:rsid w:val="00B23E67"/>
    <w:rsid w:val="00B25549"/>
    <w:rsid w:val="00B255A0"/>
    <w:rsid w:val="00B2569C"/>
    <w:rsid w:val="00B25717"/>
    <w:rsid w:val="00B25D07"/>
    <w:rsid w:val="00B266C7"/>
    <w:rsid w:val="00B27456"/>
    <w:rsid w:val="00B27EC4"/>
    <w:rsid w:val="00B3029A"/>
    <w:rsid w:val="00B30DBC"/>
    <w:rsid w:val="00B311C0"/>
    <w:rsid w:val="00B31449"/>
    <w:rsid w:val="00B31504"/>
    <w:rsid w:val="00B31D7D"/>
    <w:rsid w:val="00B321BD"/>
    <w:rsid w:val="00B32516"/>
    <w:rsid w:val="00B342AB"/>
    <w:rsid w:val="00B3432C"/>
    <w:rsid w:val="00B3495F"/>
    <w:rsid w:val="00B34BB5"/>
    <w:rsid w:val="00B34F35"/>
    <w:rsid w:val="00B356BC"/>
    <w:rsid w:val="00B35863"/>
    <w:rsid w:val="00B35EC8"/>
    <w:rsid w:val="00B36414"/>
    <w:rsid w:val="00B369E9"/>
    <w:rsid w:val="00B37400"/>
    <w:rsid w:val="00B37973"/>
    <w:rsid w:val="00B4089D"/>
    <w:rsid w:val="00B40ECC"/>
    <w:rsid w:val="00B4162B"/>
    <w:rsid w:val="00B41ED8"/>
    <w:rsid w:val="00B4218E"/>
    <w:rsid w:val="00B427C2"/>
    <w:rsid w:val="00B42851"/>
    <w:rsid w:val="00B428D9"/>
    <w:rsid w:val="00B42A0F"/>
    <w:rsid w:val="00B42B78"/>
    <w:rsid w:val="00B42F16"/>
    <w:rsid w:val="00B430CF"/>
    <w:rsid w:val="00B43153"/>
    <w:rsid w:val="00B4393C"/>
    <w:rsid w:val="00B449E7"/>
    <w:rsid w:val="00B454B8"/>
    <w:rsid w:val="00B455A9"/>
    <w:rsid w:val="00B464DE"/>
    <w:rsid w:val="00B46A6B"/>
    <w:rsid w:val="00B46DA4"/>
    <w:rsid w:val="00B46DDF"/>
    <w:rsid w:val="00B4737C"/>
    <w:rsid w:val="00B473D0"/>
    <w:rsid w:val="00B47661"/>
    <w:rsid w:val="00B47710"/>
    <w:rsid w:val="00B4782F"/>
    <w:rsid w:val="00B47C31"/>
    <w:rsid w:val="00B50496"/>
    <w:rsid w:val="00B506B7"/>
    <w:rsid w:val="00B512A8"/>
    <w:rsid w:val="00B514C5"/>
    <w:rsid w:val="00B5179F"/>
    <w:rsid w:val="00B51A21"/>
    <w:rsid w:val="00B52302"/>
    <w:rsid w:val="00B52776"/>
    <w:rsid w:val="00B52C3D"/>
    <w:rsid w:val="00B542AE"/>
    <w:rsid w:val="00B549F7"/>
    <w:rsid w:val="00B54B5B"/>
    <w:rsid w:val="00B54BB2"/>
    <w:rsid w:val="00B5562E"/>
    <w:rsid w:val="00B55AE1"/>
    <w:rsid w:val="00B55BCB"/>
    <w:rsid w:val="00B55DB4"/>
    <w:rsid w:val="00B5625C"/>
    <w:rsid w:val="00B562EB"/>
    <w:rsid w:val="00B56619"/>
    <w:rsid w:val="00B56FAD"/>
    <w:rsid w:val="00B57000"/>
    <w:rsid w:val="00B57498"/>
    <w:rsid w:val="00B5782B"/>
    <w:rsid w:val="00B579F5"/>
    <w:rsid w:val="00B605F6"/>
    <w:rsid w:val="00B608CF"/>
    <w:rsid w:val="00B60939"/>
    <w:rsid w:val="00B60AFB"/>
    <w:rsid w:val="00B60AFD"/>
    <w:rsid w:val="00B60C60"/>
    <w:rsid w:val="00B62549"/>
    <w:rsid w:val="00B62715"/>
    <w:rsid w:val="00B631C6"/>
    <w:rsid w:val="00B641D8"/>
    <w:rsid w:val="00B6458C"/>
    <w:rsid w:val="00B64A80"/>
    <w:rsid w:val="00B669F3"/>
    <w:rsid w:val="00B66C6D"/>
    <w:rsid w:val="00B67108"/>
    <w:rsid w:val="00B673C7"/>
    <w:rsid w:val="00B679D0"/>
    <w:rsid w:val="00B67D83"/>
    <w:rsid w:val="00B67F45"/>
    <w:rsid w:val="00B702A7"/>
    <w:rsid w:val="00B7043D"/>
    <w:rsid w:val="00B70E11"/>
    <w:rsid w:val="00B71268"/>
    <w:rsid w:val="00B71AC3"/>
    <w:rsid w:val="00B7211B"/>
    <w:rsid w:val="00B7211E"/>
    <w:rsid w:val="00B72E75"/>
    <w:rsid w:val="00B741F7"/>
    <w:rsid w:val="00B753D7"/>
    <w:rsid w:val="00B76716"/>
    <w:rsid w:val="00B77A3A"/>
    <w:rsid w:val="00B812F3"/>
    <w:rsid w:val="00B815E9"/>
    <w:rsid w:val="00B818A4"/>
    <w:rsid w:val="00B82046"/>
    <w:rsid w:val="00B820BD"/>
    <w:rsid w:val="00B821DB"/>
    <w:rsid w:val="00B82EFE"/>
    <w:rsid w:val="00B83B49"/>
    <w:rsid w:val="00B840B6"/>
    <w:rsid w:val="00B8431C"/>
    <w:rsid w:val="00B857B3"/>
    <w:rsid w:val="00B8649C"/>
    <w:rsid w:val="00B8666E"/>
    <w:rsid w:val="00B87767"/>
    <w:rsid w:val="00B9015F"/>
    <w:rsid w:val="00B90C79"/>
    <w:rsid w:val="00B91206"/>
    <w:rsid w:val="00B91729"/>
    <w:rsid w:val="00B92D0B"/>
    <w:rsid w:val="00B92DEA"/>
    <w:rsid w:val="00B92ED7"/>
    <w:rsid w:val="00B932A4"/>
    <w:rsid w:val="00B93DFD"/>
    <w:rsid w:val="00B94275"/>
    <w:rsid w:val="00B94945"/>
    <w:rsid w:val="00B956B5"/>
    <w:rsid w:val="00B95BEE"/>
    <w:rsid w:val="00B96AE8"/>
    <w:rsid w:val="00B97E5F"/>
    <w:rsid w:val="00BA1374"/>
    <w:rsid w:val="00BA1E45"/>
    <w:rsid w:val="00BA1E67"/>
    <w:rsid w:val="00BA2723"/>
    <w:rsid w:val="00BA2828"/>
    <w:rsid w:val="00BA2CA2"/>
    <w:rsid w:val="00BA2D58"/>
    <w:rsid w:val="00BA30BB"/>
    <w:rsid w:val="00BA3119"/>
    <w:rsid w:val="00BA3425"/>
    <w:rsid w:val="00BA3C1F"/>
    <w:rsid w:val="00BA3CAA"/>
    <w:rsid w:val="00BA4910"/>
    <w:rsid w:val="00BA5704"/>
    <w:rsid w:val="00BA5CA0"/>
    <w:rsid w:val="00BA5E87"/>
    <w:rsid w:val="00BA6902"/>
    <w:rsid w:val="00BA6DA6"/>
    <w:rsid w:val="00BB0A57"/>
    <w:rsid w:val="00BB0CD2"/>
    <w:rsid w:val="00BB14BB"/>
    <w:rsid w:val="00BB2772"/>
    <w:rsid w:val="00BB3466"/>
    <w:rsid w:val="00BB3BB0"/>
    <w:rsid w:val="00BB4394"/>
    <w:rsid w:val="00BB4AAC"/>
    <w:rsid w:val="00BB537F"/>
    <w:rsid w:val="00BB6B71"/>
    <w:rsid w:val="00BB7046"/>
    <w:rsid w:val="00BB73D5"/>
    <w:rsid w:val="00BB7941"/>
    <w:rsid w:val="00BC0140"/>
    <w:rsid w:val="00BC02C4"/>
    <w:rsid w:val="00BC26DB"/>
    <w:rsid w:val="00BC2E47"/>
    <w:rsid w:val="00BC3092"/>
    <w:rsid w:val="00BC40FE"/>
    <w:rsid w:val="00BC4907"/>
    <w:rsid w:val="00BC5B9E"/>
    <w:rsid w:val="00BC66CB"/>
    <w:rsid w:val="00BC76B9"/>
    <w:rsid w:val="00BC7B80"/>
    <w:rsid w:val="00BD02DD"/>
    <w:rsid w:val="00BD0407"/>
    <w:rsid w:val="00BD0FE9"/>
    <w:rsid w:val="00BD1259"/>
    <w:rsid w:val="00BD29D1"/>
    <w:rsid w:val="00BD398A"/>
    <w:rsid w:val="00BD3D01"/>
    <w:rsid w:val="00BD48A9"/>
    <w:rsid w:val="00BD4990"/>
    <w:rsid w:val="00BD5666"/>
    <w:rsid w:val="00BD5F70"/>
    <w:rsid w:val="00BD67B3"/>
    <w:rsid w:val="00BD725A"/>
    <w:rsid w:val="00BD785B"/>
    <w:rsid w:val="00BE1B02"/>
    <w:rsid w:val="00BE2180"/>
    <w:rsid w:val="00BE2303"/>
    <w:rsid w:val="00BE23AD"/>
    <w:rsid w:val="00BE2AC7"/>
    <w:rsid w:val="00BE3041"/>
    <w:rsid w:val="00BE40CB"/>
    <w:rsid w:val="00BE40D5"/>
    <w:rsid w:val="00BE4275"/>
    <w:rsid w:val="00BE4A61"/>
    <w:rsid w:val="00BE511D"/>
    <w:rsid w:val="00BE576E"/>
    <w:rsid w:val="00BE5928"/>
    <w:rsid w:val="00BE692C"/>
    <w:rsid w:val="00BF0634"/>
    <w:rsid w:val="00BF1C65"/>
    <w:rsid w:val="00BF23ED"/>
    <w:rsid w:val="00BF2433"/>
    <w:rsid w:val="00BF2B69"/>
    <w:rsid w:val="00BF2F1C"/>
    <w:rsid w:val="00BF3DD8"/>
    <w:rsid w:val="00BF41D2"/>
    <w:rsid w:val="00BF4245"/>
    <w:rsid w:val="00BF44B1"/>
    <w:rsid w:val="00BF5044"/>
    <w:rsid w:val="00BF5221"/>
    <w:rsid w:val="00BF5B6C"/>
    <w:rsid w:val="00BF61C9"/>
    <w:rsid w:val="00BF633C"/>
    <w:rsid w:val="00BF66D4"/>
    <w:rsid w:val="00BF6B31"/>
    <w:rsid w:val="00BF6D47"/>
    <w:rsid w:val="00BF7473"/>
    <w:rsid w:val="00BF7BDF"/>
    <w:rsid w:val="00C0070A"/>
    <w:rsid w:val="00C00799"/>
    <w:rsid w:val="00C009F6"/>
    <w:rsid w:val="00C0111A"/>
    <w:rsid w:val="00C01216"/>
    <w:rsid w:val="00C01550"/>
    <w:rsid w:val="00C0290B"/>
    <w:rsid w:val="00C04030"/>
    <w:rsid w:val="00C04C68"/>
    <w:rsid w:val="00C04C97"/>
    <w:rsid w:val="00C055AF"/>
    <w:rsid w:val="00C07C80"/>
    <w:rsid w:val="00C10A77"/>
    <w:rsid w:val="00C10B02"/>
    <w:rsid w:val="00C10DE1"/>
    <w:rsid w:val="00C10DEE"/>
    <w:rsid w:val="00C113A5"/>
    <w:rsid w:val="00C11643"/>
    <w:rsid w:val="00C11ECB"/>
    <w:rsid w:val="00C135FA"/>
    <w:rsid w:val="00C13674"/>
    <w:rsid w:val="00C14B91"/>
    <w:rsid w:val="00C14F92"/>
    <w:rsid w:val="00C159DD"/>
    <w:rsid w:val="00C21B32"/>
    <w:rsid w:val="00C22923"/>
    <w:rsid w:val="00C2296D"/>
    <w:rsid w:val="00C22C2A"/>
    <w:rsid w:val="00C230ED"/>
    <w:rsid w:val="00C2335B"/>
    <w:rsid w:val="00C235BC"/>
    <w:rsid w:val="00C23F85"/>
    <w:rsid w:val="00C240D4"/>
    <w:rsid w:val="00C24EE5"/>
    <w:rsid w:val="00C25418"/>
    <w:rsid w:val="00C25C2E"/>
    <w:rsid w:val="00C25D9C"/>
    <w:rsid w:val="00C2665E"/>
    <w:rsid w:val="00C26FA4"/>
    <w:rsid w:val="00C27D21"/>
    <w:rsid w:val="00C30CB2"/>
    <w:rsid w:val="00C31198"/>
    <w:rsid w:val="00C3124E"/>
    <w:rsid w:val="00C31468"/>
    <w:rsid w:val="00C31649"/>
    <w:rsid w:val="00C3189E"/>
    <w:rsid w:val="00C319F3"/>
    <w:rsid w:val="00C321B4"/>
    <w:rsid w:val="00C324C7"/>
    <w:rsid w:val="00C33524"/>
    <w:rsid w:val="00C339CB"/>
    <w:rsid w:val="00C34124"/>
    <w:rsid w:val="00C34271"/>
    <w:rsid w:val="00C34E6F"/>
    <w:rsid w:val="00C3577C"/>
    <w:rsid w:val="00C35C11"/>
    <w:rsid w:val="00C3662B"/>
    <w:rsid w:val="00C37619"/>
    <w:rsid w:val="00C40385"/>
    <w:rsid w:val="00C41674"/>
    <w:rsid w:val="00C419A6"/>
    <w:rsid w:val="00C41A0F"/>
    <w:rsid w:val="00C41A92"/>
    <w:rsid w:val="00C42296"/>
    <w:rsid w:val="00C42477"/>
    <w:rsid w:val="00C43874"/>
    <w:rsid w:val="00C43C35"/>
    <w:rsid w:val="00C44FAB"/>
    <w:rsid w:val="00C463DA"/>
    <w:rsid w:val="00C46569"/>
    <w:rsid w:val="00C4675F"/>
    <w:rsid w:val="00C46A00"/>
    <w:rsid w:val="00C477AB"/>
    <w:rsid w:val="00C50302"/>
    <w:rsid w:val="00C50D5D"/>
    <w:rsid w:val="00C51547"/>
    <w:rsid w:val="00C52928"/>
    <w:rsid w:val="00C52CC9"/>
    <w:rsid w:val="00C535B3"/>
    <w:rsid w:val="00C53E92"/>
    <w:rsid w:val="00C53EF2"/>
    <w:rsid w:val="00C549E2"/>
    <w:rsid w:val="00C54CEC"/>
    <w:rsid w:val="00C54FB7"/>
    <w:rsid w:val="00C55390"/>
    <w:rsid w:val="00C55463"/>
    <w:rsid w:val="00C55CE8"/>
    <w:rsid w:val="00C56417"/>
    <w:rsid w:val="00C5654F"/>
    <w:rsid w:val="00C56899"/>
    <w:rsid w:val="00C56A08"/>
    <w:rsid w:val="00C56FC3"/>
    <w:rsid w:val="00C5770F"/>
    <w:rsid w:val="00C61527"/>
    <w:rsid w:val="00C61B78"/>
    <w:rsid w:val="00C61DAB"/>
    <w:rsid w:val="00C62253"/>
    <w:rsid w:val="00C623AA"/>
    <w:rsid w:val="00C625E8"/>
    <w:rsid w:val="00C62783"/>
    <w:rsid w:val="00C63323"/>
    <w:rsid w:val="00C63899"/>
    <w:rsid w:val="00C63A5B"/>
    <w:rsid w:val="00C6439D"/>
    <w:rsid w:val="00C6476E"/>
    <w:rsid w:val="00C649FD"/>
    <w:rsid w:val="00C64DFF"/>
    <w:rsid w:val="00C65576"/>
    <w:rsid w:val="00C655F8"/>
    <w:rsid w:val="00C65FE1"/>
    <w:rsid w:val="00C66165"/>
    <w:rsid w:val="00C6633F"/>
    <w:rsid w:val="00C6686A"/>
    <w:rsid w:val="00C66BF8"/>
    <w:rsid w:val="00C67016"/>
    <w:rsid w:val="00C67D8E"/>
    <w:rsid w:val="00C70D5D"/>
    <w:rsid w:val="00C710E0"/>
    <w:rsid w:val="00C7147A"/>
    <w:rsid w:val="00C7148F"/>
    <w:rsid w:val="00C719A6"/>
    <w:rsid w:val="00C72208"/>
    <w:rsid w:val="00C72990"/>
    <w:rsid w:val="00C731D7"/>
    <w:rsid w:val="00C73A3B"/>
    <w:rsid w:val="00C7451B"/>
    <w:rsid w:val="00C74719"/>
    <w:rsid w:val="00C74971"/>
    <w:rsid w:val="00C750A8"/>
    <w:rsid w:val="00C75875"/>
    <w:rsid w:val="00C760B1"/>
    <w:rsid w:val="00C76516"/>
    <w:rsid w:val="00C77A06"/>
    <w:rsid w:val="00C77FF9"/>
    <w:rsid w:val="00C80FE4"/>
    <w:rsid w:val="00C812A5"/>
    <w:rsid w:val="00C818F2"/>
    <w:rsid w:val="00C82121"/>
    <w:rsid w:val="00C8213F"/>
    <w:rsid w:val="00C82EFF"/>
    <w:rsid w:val="00C830B7"/>
    <w:rsid w:val="00C8314F"/>
    <w:rsid w:val="00C8320A"/>
    <w:rsid w:val="00C840F1"/>
    <w:rsid w:val="00C85E1F"/>
    <w:rsid w:val="00C8689B"/>
    <w:rsid w:val="00C87676"/>
    <w:rsid w:val="00C8797A"/>
    <w:rsid w:val="00C902C7"/>
    <w:rsid w:val="00C905D9"/>
    <w:rsid w:val="00C90973"/>
    <w:rsid w:val="00C9113C"/>
    <w:rsid w:val="00C912FD"/>
    <w:rsid w:val="00C91307"/>
    <w:rsid w:val="00C91893"/>
    <w:rsid w:val="00C9191C"/>
    <w:rsid w:val="00C91B71"/>
    <w:rsid w:val="00C92361"/>
    <w:rsid w:val="00C924AF"/>
    <w:rsid w:val="00C92ADD"/>
    <w:rsid w:val="00C938CF"/>
    <w:rsid w:val="00C93E17"/>
    <w:rsid w:val="00C9552E"/>
    <w:rsid w:val="00C9688B"/>
    <w:rsid w:val="00C96FB3"/>
    <w:rsid w:val="00C970B4"/>
    <w:rsid w:val="00C97456"/>
    <w:rsid w:val="00C974A5"/>
    <w:rsid w:val="00CA0906"/>
    <w:rsid w:val="00CA10C1"/>
    <w:rsid w:val="00CA1284"/>
    <w:rsid w:val="00CA1C6D"/>
    <w:rsid w:val="00CA200B"/>
    <w:rsid w:val="00CA2220"/>
    <w:rsid w:val="00CA3670"/>
    <w:rsid w:val="00CA3862"/>
    <w:rsid w:val="00CA4162"/>
    <w:rsid w:val="00CA429A"/>
    <w:rsid w:val="00CA45DD"/>
    <w:rsid w:val="00CA5245"/>
    <w:rsid w:val="00CA5840"/>
    <w:rsid w:val="00CA6879"/>
    <w:rsid w:val="00CA6BFE"/>
    <w:rsid w:val="00CA6F19"/>
    <w:rsid w:val="00CA7B09"/>
    <w:rsid w:val="00CA7E0C"/>
    <w:rsid w:val="00CB0175"/>
    <w:rsid w:val="00CB0A02"/>
    <w:rsid w:val="00CB1042"/>
    <w:rsid w:val="00CB2970"/>
    <w:rsid w:val="00CB29D6"/>
    <w:rsid w:val="00CB30EB"/>
    <w:rsid w:val="00CB4068"/>
    <w:rsid w:val="00CB494F"/>
    <w:rsid w:val="00CB4C75"/>
    <w:rsid w:val="00CB5087"/>
    <w:rsid w:val="00CB5454"/>
    <w:rsid w:val="00CB5472"/>
    <w:rsid w:val="00CB5803"/>
    <w:rsid w:val="00CB5B1A"/>
    <w:rsid w:val="00CB5D64"/>
    <w:rsid w:val="00CB6008"/>
    <w:rsid w:val="00CB6955"/>
    <w:rsid w:val="00CB7484"/>
    <w:rsid w:val="00CB7F4D"/>
    <w:rsid w:val="00CC1559"/>
    <w:rsid w:val="00CC1564"/>
    <w:rsid w:val="00CC16A5"/>
    <w:rsid w:val="00CC171B"/>
    <w:rsid w:val="00CC238E"/>
    <w:rsid w:val="00CC2F7E"/>
    <w:rsid w:val="00CC37C0"/>
    <w:rsid w:val="00CC3ACD"/>
    <w:rsid w:val="00CC3BA4"/>
    <w:rsid w:val="00CC3E1C"/>
    <w:rsid w:val="00CC3EE0"/>
    <w:rsid w:val="00CC4140"/>
    <w:rsid w:val="00CC4BD2"/>
    <w:rsid w:val="00CC54E2"/>
    <w:rsid w:val="00CC6A63"/>
    <w:rsid w:val="00CC6DC8"/>
    <w:rsid w:val="00CC71B4"/>
    <w:rsid w:val="00CC7394"/>
    <w:rsid w:val="00CC7957"/>
    <w:rsid w:val="00CC7990"/>
    <w:rsid w:val="00CD0593"/>
    <w:rsid w:val="00CD05A2"/>
    <w:rsid w:val="00CD07A4"/>
    <w:rsid w:val="00CD275A"/>
    <w:rsid w:val="00CD27F7"/>
    <w:rsid w:val="00CD2DAF"/>
    <w:rsid w:val="00CD3100"/>
    <w:rsid w:val="00CD329B"/>
    <w:rsid w:val="00CD33A0"/>
    <w:rsid w:val="00CD4000"/>
    <w:rsid w:val="00CD4713"/>
    <w:rsid w:val="00CD5347"/>
    <w:rsid w:val="00CD5650"/>
    <w:rsid w:val="00CD58B2"/>
    <w:rsid w:val="00CD61FF"/>
    <w:rsid w:val="00CD6ADC"/>
    <w:rsid w:val="00CD7746"/>
    <w:rsid w:val="00CD7F1A"/>
    <w:rsid w:val="00CE0440"/>
    <w:rsid w:val="00CE1ABC"/>
    <w:rsid w:val="00CE2003"/>
    <w:rsid w:val="00CE21CC"/>
    <w:rsid w:val="00CE2622"/>
    <w:rsid w:val="00CE2717"/>
    <w:rsid w:val="00CE4638"/>
    <w:rsid w:val="00CE4642"/>
    <w:rsid w:val="00CE4FE6"/>
    <w:rsid w:val="00CE507B"/>
    <w:rsid w:val="00CE5E96"/>
    <w:rsid w:val="00CE5F73"/>
    <w:rsid w:val="00CE6274"/>
    <w:rsid w:val="00CE69C0"/>
    <w:rsid w:val="00CE6CC4"/>
    <w:rsid w:val="00CE72E9"/>
    <w:rsid w:val="00CF1166"/>
    <w:rsid w:val="00CF207B"/>
    <w:rsid w:val="00CF33F0"/>
    <w:rsid w:val="00CF353E"/>
    <w:rsid w:val="00CF456B"/>
    <w:rsid w:val="00CF46BE"/>
    <w:rsid w:val="00CF4E35"/>
    <w:rsid w:val="00CF5096"/>
    <w:rsid w:val="00CF5A19"/>
    <w:rsid w:val="00CF5A22"/>
    <w:rsid w:val="00CF66B6"/>
    <w:rsid w:val="00CF685C"/>
    <w:rsid w:val="00CF6880"/>
    <w:rsid w:val="00CF7CDE"/>
    <w:rsid w:val="00CF7D8B"/>
    <w:rsid w:val="00CF7DB1"/>
    <w:rsid w:val="00D00277"/>
    <w:rsid w:val="00D006BE"/>
    <w:rsid w:val="00D006DF"/>
    <w:rsid w:val="00D008CE"/>
    <w:rsid w:val="00D00A55"/>
    <w:rsid w:val="00D017C4"/>
    <w:rsid w:val="00D019C4"/>
    <w:rsid w:val="00D02037"/>
    <w:rsid w:val="00D0262E"/>
    <w:rsid w:val="00D02660"/>
    <w:rsid w:val="00D04564"/>
    <w:rsid w:val="00D04576"/>
    <w:rsid w:val="00D04820"/>
    <w:rsid w:val="00D04C42"/>
    <w:rsid w:val="00D053F3"/>
    <w:rsid w:val="00D05DC3"/>
    <w:rsid w:val="00D06FD4"/>
    <w:rsid w:val="00D06FE5"/>
    <w:rsid w:val="00D0717D"/>
    <w:rsid w:val="00D10582"/>
    <w:rsid w:val="00D10FF4"/>
    <w:rsid w:val="00D110BD"/>
    <w:rsid w:val="00D115C8"/>
    <w:rsid w:val="00D11761"/>
    <w:rsid w:val="00D117EC"/>
    <w:rsid w:val="00D11AC1"/>
    <w:rsid w:val="00D11BE5"/>
    <w:rsid w:val="00D12AF5"/>
    <w:rsid w:val="00D130A2"/>
    <w:rsid w:val="00D13CA5"/>
    <w:rsid w:val="00D13F90"/>
    <w:rsid w:val="00D148E8"/>
    <w:rsid w:val="00D14C66"/>
    <w:rsid w:val="00D14DF4"/>
    <w:rsid w:val="00D16150"/>
    <w:rsid w:val="00D16878"/>
    <w:rsid w:val="00D16AEF"/>
    <w:rsid w:val="00D17D6C"/>
    <w:rsid w:val="00D17F1E"/>
    <w:rsid w:val="00D20347"/>
    <w:rsid w:val="00D20DCE"/>
    <w:rsid w:val="00D23714"/>
    <w:rsid w:val="00D237EE"/>
    <w:rsid w:val="00D23E3B"/>
    <w:rsid w:val="00D24456"/>
    <w:rsid w:val="00D24E10"/>
    <w:rsid w:val="00D255A9"/>
    <w:rsid w:val="00D264A6"/>
    <w:rsid w:val="00D2720E"/>
    <w:rsid w:val="00D30161"/>
    <w:rsid w:val="00D30E86"/>
    <w:rsid w:val="00D31B2D"/>
    <w:rsid w:val="00D31B57"/>
    <w:rsid w:val="00D320FB"/>
    <w:rsid w:val="00D32A07"/>
    <w:rsid w:val="00D32C77"/>
    <w:rsid w:val="00D33262"/>
    <w:rsid w:val="00D33361"/>
    <w:rsid w:val="00D33674"/>
    <w:rsid w:val="00D34184"/>
    <w:rsid w:val="00D342A4"/>
    <w:rsid w:val="00D35545"/>
    <w:rsid w:val="00D35599"/>
    <w:rsid w:val="00D362D1"/>
    <w:rsid w:val="00D363EE"/>
    <w:rsid w:val="00D3686C"/>
    <w:rsid w:val="00D36D04"/>
    <w:rsid w:val="00D37E37"/>
    <w:rsid w:val="00D40784"/>
    <w:rsid w:val="00D40D47"/>
    <w:rsid w:val="00D40D58"/>
    <w:rsid w:val="00D41058"/>
    <w:rsid w:val="00D41E01"/>
    <w:rsid w:val="00D41E26"/>
    <w:rsid w:val="00D428A0"/>
    <w:rsid w:val="00D43E09"/>
    <w:rsid w:val="00D44148"/>
    <w:rsid w:val="00D44680"/>
    <w:rsid w:val="00D45020"/>
    <w:rsid w:val="00D4510A"/>
    <w:rsid w:val="00D45A3E"/>
    <w:rsid w:val="00D46056"/>
    <w:rsid w:val="00D46532"/>
    <w:rsid w:val="00D46571"/>
    <w:rsid w:val="00D46B5E"/>
    <w:rsid w:val="00D47265"/>
    <w:rsid w:val="00D50F81"/>
    <w:rsid w:val="00D512E0"/>
    <w:rsid w:val="00D513FE"/>
    <w:rsid w:val="00D51635"/>
    <w:rsid w:val="00D518EE"/>
    <w:rsid w:val="00D52015"/>
    <w:rsid w:val="00D52383"/>
    <w:rsid w:val="00D523C4"/>
    <w:rsid w:val="00D5267B"/>
    <w:rsid w:val="00D52868"/>
    <w:rsid w:val="00D52912"/>
    <w:rsid w:val="00D53A13"/>
    <w:rsid w:val="00D53D32"/>
    <w:rsid w:val="00D54C25"/>
    <w:rsid w:val="00D55351"/>
    <w:rsid w:val="00D571DB"/>
    <w:rsid w:val="00D574B2"/>
    <w:rsid w:val="00D57701"/>
    <w:rsid w:val="00D57BA0"/>
    <w:rsid w:val="00D604AE"/>
    <w:rsid w:val="00D604F8"/>
    <w:rsid w:val="00D60B14"/>
    <w:rsid w:val="00D6169D"/>
    <w:rsid w:val="00D62244"/>
    <w:rsid w:val="00D6259A"/>
    <w:rsid w:val="00D625DE"/>
    <w:rsid w:val="00D62ED0"/>
    <w:rsid w:val="00D62F65"/>
    <w:rsid w:val="00D63139"/>
    <w:rsid w:val="00D6399C"/>
    <w:rsid w:val="00D65230"/>
    <w:rsid w:val="00D65F7E"/>
    <w:rsid w:val="00D66214"/>
    <w:rsid w:val="00D662FB"/>
    <w:rsid w:val="00D66649"/>
    <w:rsid w:val="00D66FDA"/>
    <w:rsid w:val="00D67582"/>
    <w:rsid w:val="00D6763F"/>
    <w:rsid w:val="00D6784E"/>
    <w:rsid w:val="00D700A3"/>
    <w:rsid w:val="00D70762"/>
    <w:rsid w:val="00D71293"/>
    <w:rsid w:val="00D717C7"/>
    <w:rsid w:val="00D729F0"/>
    <w:rsid w:val="00D72F14"/>
    <w:rsid w:val="00D73316"/>
    <w:rsid w:val="00D7356B"/>
    <w:rsid w:val="00D74A06"/>
    <w:rsid w:val="00D74AA5"/>
    <w:rsid w:val="00D76131"/>
    <w:rsid w:val="00D76140"/>
    <w:rsid w:val="00D76241"/>
    <w:rsid w:val="00D76A44"/>
    <w:rsid w:val="00D80527"/>
    <w:rsid w:val="00D805A4"/>
    <w:rsid w:val="00D80E9F"/>
    <w:rsid w:val="00D81482"/>
    <w:rsid w:val="00D81D82"/>
    <w:rsid w:val="00D82593"/>
    <w:rsid w:val="00D82CA3"/>
    <w:rsid w:val="00D8370E"/>
    <w:rsid w:val="00D84025"/>
    <w:rsid w:val="00D847E3"/>
    <w:rsid w:val="00D84D90"/>
    <w:rsid w:val="00D84E21"/>
    <w:rsid w:val="00D851A8"/>
    <w:rsid w:val="00D851EC"/>
    <w:rsid w:val="00D8644A"/>
    <w:rsid w:val="00D864BB"/>
    <w:rsid w:val="00D86EE6"/>
    <w:rsid w:val="00D871F6"/>
    <w:rsid w:val="00D8766D"/>
    <w:rsid w:val="00D877CD"/>
    <w:rsid w:val="00D87B28"/>
    <w:rsid w:val="00D901BC"/>
    <w:rsid w:val="00D90DFE"/>
    <w:rsid w:val="00D923CA"/>
    <w:rsid w:val="00D92419"/>
    <w:rsid w:val="00D93753"/>
    <w:rsid w:val="00D93920"/>
    <w:rsid w:val="00D94612"/>
    <w:rsid w:val="00D949D1"/>
    <w:rsid w:val="00D95266"/>
    <w:rsid w:val="00D95A7E"/>
    <w:rsid w:val="00D9617A"/>
    <w:rsid w:val="00D972A6"/>
    <w:rsid w:val="00D977F1"/>
    <w:rsid w:val="00DA057E"/>
    <w:rsid w:val="00DA14F8"/>
    <w:rsid w:val="00DA1E9E"/>
    <w:rsid w:val="00DA22B8"/>
    <w:rsid w:val="00DA2506"/>
    <w:rsid w:val="00DA31E0"/>
    <w:rsid w:val="00DA36AD"/>
    <w:rsid w:val="00DA3CC2"/>
    <w:rsid w:val="00DA3E7D"/>
    <w:rsid w:val="00DA422B"/>
    <w:rsid w:val="00DA4757"/>
    <w:rsid w:val="00DA652A"/>
    <w:rsid w:val="00DA6751"/>
    <w:rsid w:val="00DA6A1E"/>
    <w:rsid w:val="00DA6A48"/>
    <w:rsid w:val="00DA6EF1"/>
    <w:rsid w:val="00DA70C7"/>
    <w:rsid w:val="00DA7223"/>
    <w:rsid w:val="00DA746E"/>
    <w:rsid w:val="00DA77A5"/>
    <w:rsid w:val="00DA77FA"/>
    <w:rsid w:val="00DA7C62"/>
    <w:rsid w:val="00DB0383"/>
    <w:rsid w:val="00DB0574"/>
    <w:rsid w:val="00DB095B"/>
    <w:rsid w:val="00DB145E"/>
    <w:rsid w:val="00DB1770"/>
    <w:rsid w:val="00DB1930"/>
    <w:rsid w:val="00DB28AA"/>
    <w:rsid w:val="00DB2AC4"/>
    <w:rsid w:val="00DB2BE6"/>
    <w:rsid w:val="00DB35D0"/>
    <w:rsid w:val="00DB410A"/>
    <w:rsid w:val="00DB50EB"/>
    <w:rsid w:val="00DB5345"/>
    <w:rsid w:val="00DB60BF"/>
    <w:rsid w:val="00DB612F"/>
    <w:rsid w:val="00DB6A10"/>
    <w:rsid w:val="00DB6ED9"/>
    <w:rsid w:val="00DB726E"/>
    <w:rsid w:val="00DB792F"/>
    <w:rsid w:val="00DC07E6"/>
    <w:rsid w:val="00DC08D9"/>
    <w:rsid w:val="00DC0A54"/>
    <w:rsid w:val="00DC0C87"/>
    <w:rsid w:val="00DC1512"/>
    <w:rsid w:val="00DC18D6"/>
    <w:rsid w:val="00DC1ACE"/>
    <w:rsid w:val="00DC31C5"/>
    <w:rsid w:val="00DC3251"/>
    <w:rsid w:val="00DC32EC"/>
    <w:rsid w:val="00DC3889"/>
    <w:rsid w:val="00DC3A26"/>
    <w:rsid w:val="00DC40C7"/>
    <w:rsid w:val="00DC4729"/>
    <w:rsid w:val="00DC5501"/>
    <w:rsid w:val="00DC56C2"/>
    <w:rsid w:val="00DC5BC8"/>
    <w:rsid w:val="00DC7F02"/>
    <w:rsid w:val="00DD1AC9"/>
    <w:rsid w:val="00DD2072"/>
    <w:rsid w:val="00DD207C"/>
    <w:rsid w:val="00DD25D6"/>
    <w:rsid w:val="00DD2DC6"/>
    <w:rsid w:val="00DD3F28"/>
    <w:rsid w:val="00DD4493"/>
    <w:rsid w:val="00DD4537"/>
    <w:rsid w:val="00DD4AEA"/>
    <w:rsid w:val="00DD4E15"/>
    <w:rsid w:val="00DD4EAE"/>
    <w:rsid w:val="00DD5104"/>
    <w:rsid w:val="00DD53B8"/>
    <w:rsid w:val="00DD5661"/>
    <w:rsid w:val="00DD6FA9"/>
    <w:rsid w:val="00DD7376"/>
    <w:rsid w:val="00DD7B08"/>
    <w:rsid w:val="00DE0759"/>
    <w:rsid w:val="00DE08DA"/>
    <w:rsid w:val="00DE0B78"/>
    <w:rsid w:val="00DE0F53"/>
    <w:rsid w:val="00DE189D"/>
    <w:rsid w:val="00DE215C"/>
    <w:rsid w:val="00DE3076"/>
    <w:rsid w:val="00DE307C"/>
    <w:rsid w:val="00DE3996"/>
    <w:rsid w:val="00DE3F7A"/>
    <w:rsid w:val="00DE4FCB"/>
    <w:rsid w:val="00DE6316"/>
    <w:rsid w:val="00DE7079"/>
    <w:rsid w:val="00DE7369"/>
    <w:rsid w:val="00DE7AAB"/>
    <w:rsid w:val="00DE7E74"/>
    <w:rsid w:val="00DF07A5"/>
    <w:rsid w:val="00DF07FD"/>
    <w:rsid w:val="00DF0921"/>
    <w:rsid w:val="00DF0E40"/>
    <w:rsid w:val="00DF17FD"/>
    <w:rsid w:val="00DF3802"/>
    <w:rsid w:val="00DF4DB2"/>
    <w:rsid w:val="00DF5327"/>
    <w:rsid w:val="00DF5C89"/>
    <w:rsid w:val="00DF5D9E"/>
    <w:rsid w:val="00DF69BC"/>
    <w:rsid w:val="00DF69C8"/>
    <w:rsid w:val="00DF6E02"/>
    <w:rsid w:val="00DF7A4C"/>
    <w:rsid w:val="00DF7C80"/>
    <w:rsid w:val="00E000AD"/>
    <w:rsid w:val="00E008CF"/>
    <w:rsid w:val="00E01137"/>
    <w:rsid w:val="00E0174E"/>
    <w:rsid w:val="00E017C5"/>
    <w:rsid w:val="00E02235"/>
    <w:rsid w:val="00E02E3F"/>
    <w:rsid w:val="00E02FF9"/>
    <w:rsid w:val="00E03F2C"/>
    <w:rsid w:val="00E0421F"/>
    <w:rsid w:val="00E06CC5"/>
    <w:rsid w:val="00E10149"/>
    <w:rsid w:val="00E10AA1"/>
    <w:rsid w:val="00E117CF"/>
    <w:rsid w:val="00E127BC"/>
    <w:rsid w:val="00E12B95"/>
    <w:rsid w:val="00E1346C"/>
    <w:rsid w:val="00E14296"/>
    <w:rsid w:val="00E14BFF"/>
    <w:rsid w:val="00E154B3"/>
    <w:rsid w:val="00E15C97"/>
    <w:rsid w:val="00E16372"/>
    <w:rsid w:val="00E163BC"/>
    <w:rsid w:val="00E16F13"/>
    <w:rsid w:val="00E172B0"/>
    <w:rsid w:val="00E176E5"/>
    <w:rsid w:val="00E179CB"/>
    <w:rsid w:val="00E20734"/>
    <w:rsid w:val="00E207D2"/>
    <w:rsid w:val="00E2092D"/>
    <w:rsid w:val="00E20959"/>
    <w:rsid w:val="00E20ED6"/>
    <w:rsid w:val="00E21358"/>
    <w:rsid w:val="00E2145D"/>
    <w:rsid w:val="00E21B59"/>
    <w:rsid w:val="00E2249B"/>
    <w:rsid w:val="00E22CDD"/>
    <w:rsid w:val="00E232CA"/>
    <w:rsid w:val="00E238D5"/>
    <w:rsid w:val="00E239C5"/>
    <w:rsid w:val="00E2428D"/>
    <w:rsid w:val="00E2470D"/>
    <w:rsid w:val="00E24AFB"/>
    <w:rsid w:val="00E24F3E"/>
    <w:rsid w:val="00E25E4F"/>
    <w:rsid w:val="00E25EB1"/>
    <w:rsid w:val="00E26F20"/>
    <w:rsid w:val="00E2771E"/>
    <w:rsid w:val="00E3015E"/>
    <w:rsid w:val="00E32B96"/>
    <w:rsid w:val="00E3326B"/>
    <w:rsid w:val="00E33EA8"/>
    <w:rsid w:val="00E345DD"/>
    <w:rsid w:val="00E34C2F"/>
    <w:rsid w:val="00E359BF"/>
    <w:rsid w:val="00E35A11"/>
    <w:rsid w:val="00E36153"/>
    <w:rsid w:val="00E361F1"/>
    <w:rsid w:val="00E362F8"/>
    <w:rsid w:val="00E36AD7"/>
    <w:rsid w:val="00E37569"/>
    <w:rsid w:val="00E37B10"/>
    <w:rsid w:val="00E37EC0"/>
    <w:rsid w:val="00E4031B"/>
    <w:rsid w:val="00E40663"/>
    <w:rsid w:val="00E408C9"/>
    <w:rsid w:val="00E41200"/>
    <w:rsid w:val="00E41237"/>
    <w:rsid w:val="00E419F6"/>
    <w:rsid w:val="00E41BC6"/>
    <w:rsid w:val="00E41C12"/>
    <w:rsid w:val="00E41E30"/>
    <w:rsid w:val="00E425C6"/>
    <w:rsid w:val="00E4263E"/>
    <w:rsid w:val="00E436D9"/>
    <w:rsid w:val="00E440CD"/>
    <w:rsid w:val="00E44D4B"/>
    <w:rsid w:val="00E45231"/>
    <w:rsid w:val="00E45E9B"/>
    <w:rsid w:val="00E460FC"/>
    <w:rsid w:val="00E4634A"/>
    <w:rsid w:val="00E469F4"/>
    <w:rsid w:val="00E46BF7"/>
    <w:rsid w:val="00E46CE5"/>
    <w:rsid w:val="00E47376"/>
    <w:rsid w:val="00E474E9"/>
    <w:rsid w:val="00E47730"/>
    <w:rsid w:val="00E4798C"/>
    <w:rsid w:val="00E47B2C"/>
    <w:rsid w:val="00E50326"/>
    <w:rsid w:val="00E5035D"/>
    <w:rsid w:val="00E509BA"/>
    <w:rsid w:val="00E50D8C"/>
    <w:rsid w:val="00E51E8F"/>
    <w:rsid w:val="00E52564"/>
    <w:rsid w:val="00E527B8"/>
    <w:rsid w:val="00E52A5D"/>
    <w:rsid w:val="00E53027"/>
    <w:rsid w:val="00E55424"/>
    <w:rsid w:val="00E56366"/>
    <w:rsid w:val="00E57782"/>
    <w:rsid w:val="00E5781D"/>
    <w:rsid w:val="00E579D4"/>
    <w:rsid w:val="00E579EA"/>
    <w:rsid w:val="00E601A2"/>
    <w:rsid w:val="00E6032A"/>
    <w:rsid w:val="00E6037A"/>
    <w:rsid w:val="00E606EB"/>
    <w:rsid w:val="00E612EA"/>
    <w:rsid w:val="00E61599"/>
    <w:rsid w:val="00E6327A"/>
    <w:rsid w:val="00E63F51"/>
    <w:rsid w:val="00E64569"/>
    <w:rsid w:val="00E64D4D"/>
    <w:rsid w:val="00E6564E"/>
    <w:rsid w:val="00E6578E"/>
    <w:rsid w:val="00E65D43"/>
    <w:rsid w:val="00E65E79"/>
    <w:rsid w:val="00E6606A"/>
    <w:rsid w:val="00E6650B"/>
    <w:rsid w:val="00E66FEB"/>
    <w:rsid w:val="00E67416"/>
    <w:rsid w:val="00E6768D"/>
    <w:rsid w:val="00E67F14"/>
    <w:rsid w:val="00E70326"/>
    <w:rsid w:val="00E70ED6"/>
    <w:rsid w:val="00E718B6"/>
    <w:rsid w:val="00E7352F"/>
    <w:rsid w:val="00E73581"/>
    <w:rsid w:val="00E73B98"/>
    <w:rsid w:val="00E743DA"/>
    <w:rsid w:val="00E757FB"/>
    <w:rsid w:val="00E75830"/>
    <w:rsid w:val="00E76FF3"/>
    <w:rsid w:val="00E778CD"/>
    <w:rsid w:val="00E80BD2"/>
    <w:rsid w:val="00E80F2C"/>
    <w:rsid w:val="00E81B13"/>
    <w:rsid w:val="00E82142"/>
    <w:rsid w:val="00E823A5"/>
    <w:rsid w:val="00E83BDF"/>
    <w:rsid w:val="00E83E4C"/>
    <w:rsid w:val="00E84A88"/>
    <w:rsid w:val="00E84AB2"/>
    <w:rsid w:val="00E84DDF"/>
    <w:rsid w:val="00E8522E"/>
    <w:rsid w:val="00E85A5E"/>
    <w:rsid w:val="00E910D1"/>
    <w:rsid w:val="00E91187"/>
    <w:rsid w:val="00E91A07"/>
    <w:rsid w:val="00E92C41"/>
    <w:rsid w:val="00E92D1D"/>
    <w:rsid w:val="00E9300A"/>
    <w:rsid w:val="00E941A7"/>
    <w:rsid w:val="00E9604A"/>
    <w:rsid w:val="00E975CC"/>
    <w:rsid w:val="00E976E4"/>
    <w:rsid w:val="00E97955"/>
    <w:rsid w:val="00EA215E"/>
    <w:rsid w:val="00EA281F"/>
    <w:rsid w:val="00EA3864"/>
    <w:rsid w:val="00EA4FC7"/>
    <w:rsid w:val="00EA5F82"/>
    <w:rsid w:val="00EA6017"/>
    <w:rsid w:val="00EA636D"/>
    <w:rsid w:val="00EA6764"/>
    <w:rsid w:val="00EA6885"/>
    <w:rsid w:val="00EA6EB1"/>
    <w:rsid w:val="00EA7309"/>
    <w:rsid w:val="00EA768F"/>
    <w:rsid w:val="00EA7F57"/>
    <w:rsid w:val="00EA7FDC"/>
    <w:rsid w:val="00EB05F9"/>
    <w:rsid w:val="00EB0620"/>
    <w:rsid w:val="00EB0EBC"/>
    <w:rsid w:val="00EB0F05"/>
    <w:rsid w:val="00EB1EBE"/>
    <w:rsid w:val="00EB26A6"/>
    <w:rsid w:val="00EB2748"/>
    <w:rsid w:val="00EB2F59"/>
    <w:rsid w:val="00EB3880"/>
    <w:rsid w:val="00EB3905"/>
    <w:rsid w:val="00EB3D6A"/>
    <w:rsid w:val="00EB3FDF"/>
    <w:rsid w:val="00EB435B"/>
    <w:rsid w:val="00EB4593"/>
    <w:rsid w:val="00EB459D"/>
    <w:rsid w:val="00EB4976"/>
    <w:rsid w:val="00EB6225"/>
    <w:rsid w:val="00EB64F4"/>
    <w:rsid w:val="00EB6941"/>
    <w:rsid w:val="00EC00C9"/>
    <w:rsid w:val="00EC04F2"/>
    <w:rsid w:val="00EC0B58"/>
    <w:rsid w:val="00EC1E48"/>
    <w:rsid w:val="00EC230C"/>
    <w:rsid w:val="00EC4008"/>
    <w:rsid w:val="00EC4BC0"/>
    <w:rsid w:val="00EC4E9F"/>
    <w:rsid w:val="00EC526D"/>
    <w:rsid w:val="00EC5E66"/>
    <w:rsid w:val="00EC617F"/>
    <w:rsid w:val="00EC61BE"/>
    <w:rsid w:val="00EC74DC"/>
    <w:rsid w:val="00EC780E"/>
    <w:rsid w:val="00EC7CDC"/>
    <w:rsid w:val="00ED0141"/>
    <w:rsid w:val="00ED0274"/>
    <w:rsid w:val="00ED0280"/>
    <w:rsid w:val="00ED09AF"/>
    <w:rsid w:val="00ED13FC"/>
    <w:rsid w:val="00ED1C54"/>
    <w:rsid w:val="00ED2CDB"/>
    <w:rsid w:val="00ED36E8"/>
    <w:rsid w:val="00ED3A2C"/>
    <w:rsid w:val="00ED41F9"/>
    <w:rsid w:val="00ED445A"/>
    <w:rsid w:val="00ED59C5"/>
    <w:rsid w:val="00ED75F1"/>
    <w:rsid w:val="00EE01D3"/>
    <w:rsid w:val="00EE03B3"/>
    <w:rsid w:val="00EE07D3"/>
    <w:rsid w:val="00EE0D3C"/>
    <w:rsid w:val="00EE1A23"/>
    <w:rsid w:val="00EE1A84"/>
    <w:rsid w:val="00EE347C"/>
    <w:rsid w:val="00EE5534"/>
    <w:rsid w:val="00EE5579"/>
    <w:rsid w:val="00EE6E64"/>
    <w:rsid w:val="00EE7A60"/>
    <w:rsid w:val="00EF09FC"/>
    <w:rsid w:val="00EF18F2"/>
    <w:rsid w:val="00EF2CA4"/>
    <w:rsid w:val="00EF3C67"/>
    <w:rsid w:val="00EF3EC4"/>
    <w:rsid w:val="00EF45E1"/>
    <w:rsid w:val="00EF465D"/>
    <w:rsid w:val="00EF4805"/>
    <w:rsid w:val="00EF4923"/>
    <w:rsid w:val="00EF6331"/>
    <w:rsid w:val="00EF67AD"/>
    <w:rsid w:val="00EF7D97"/>
    <w:rsid w:val="00F0007D"/>
    <w:rsid w:val="00F0100F"/>
    <w:rsid w:val="00F03197"/>
    <w:rsid w:val="00F0408A"/>
    <w:rsid w:val="00F04EC4"/>
    <w:rsid w:val="00F058C9"/>
    <w:rsid w:val="00F059C0"/>
    <w:rsid w:val="00F05BB8"/>
    <w:rsid w:val="00F05D32"/>
    <w:rsid w:val="00F06516"/>
    <w:rsid w:val="00F067A2"/>
    <w:rsid w:val="00F06883"/>
    <w:rsid w:val="00F06B91"/>
    <w:rsid w:val="00F07035"/>
    <w:rsid w:val="00F074ED"/>
    <w:rsid w:val="00F07D73"/>
    <w:rsid w:val="00F102E8"/>
    <w:rsid w:val="00F108C1"/>
    <w:rsid w:val="00F115B5"/>
    <w:rsid w:val="00F13EFA"/>
    <w:rsid w:val="00F1430A"/>
    <w:rsid w:val="00F14316"/>
    <w:rsid w:val="00F149FB"/>
    <w:rsid w:val="00F152C9"/>
    <w:rsid w:val="00F1556D"/>
    <w:rsid w:val="00F173DC"/>
    <w:rsid w:val="00F17EC6"/>
    <w:rsid w:val="00F2136A"/>
    <w:rsid w:val="00F21717"/>
    <w:rsid w:val="00F21AC8"/>
    <w:rsid w:val="00F21CAA"/>
    <w:rsid w:val="00F22017"/>
    <w:rsid w:val="00F22F8E"/>
    <w:rsid w:val="00F23A7A"/>
    <w:rsid w:val="00F23EB8"/>
    <w:rsid w:val="00F24158"/>
    <w:rsid w:val="00F24837"/>
    <w:rsid w:val="00F24951"/>
    <w:rsid w:val="00F249C0"/>
    <w:rsid w:val="00F24BD7"/>
    <w:rsid w:val="00F2575F"/>
    <w:rsid w:val="00F257BB"/>
    <w:rsid w:val="00F269DC"/>
    <w:rsid w:val="00F2707A"/>
    <w:rsid w:val="00F27538"/>
    <w:rsid w:val="00F2774B"/>
    <w:rsid w:val="00F3024B"/>
    <w:rsid w:val="00F3094C"/>
    <w:rsid w:val="00F309BE"/>
    <w:rsid w:val="00F30AF8"/>
    <w:rsid w:val="00F31A0D"/>
    <w:rsid w:val="00F31A34"/>
    <w:rsid w:val="00F31AAE"/>
    <w:rsid w:val="00F31B19"/>
    <w:rsid w:val="00F31D17"/>
    <w:rsid w:val="00F31DBB"/>
    <w:rsid w:val="00F31DFF"/>
    <w:rsid w:val="00F31F5E"/>
    <w:rsid w:val="00F3338E"/>
    <w:rsid w:val="00F338FF"/>
    <w:rsid w:val="00F33992"/>
    <w:rsid w:val="00F33DE9"/>
    <w:rsid w:val="00F33E41"/>
    <w:rsid w:val="00F34145"/>
    <w:rsid w:val="00F3476E"/>
    <w:rsid w:val="00F3500C"/>
    <w:rsid w:val="00F35CB0"/>
    <w:rsid w:val="00F3619A"/>
    <w:rsid w:val="00F361EE"/>
    <w:rsid w:val="00F36352"/>
    <w:rsid w:val="00F367D3"/>
    <w:rsid w:val="00F36B85"/>
    <w:rsid w:val="00F37D18"/>
    <w:rsid w:val="00F40671"/>
    <w:rsid w:val="00F40AB4"/>
    <w:rsid w:val="00F4263C"/>
    <w:rsid w:val="00F42677"/>
    <w:rsid w:val="00F42C00"/>
    <w:rsid w:val="00F42D07"/>
    <w:rsid w:val="00F43CC0"/>
    <w:rsid w:val="00F43D03"/>
    <w:rsid w:val="00F440CD"/>
    <w:rsid w:val="00F4502B"/>
    <w:rsid w:val="00F460CF"/>
    <w:rsid w:val="00F46CB6"/>
    <w:rsid w:val="00F47510"/>
    <w:rsid w:val="00F4754F"/>
    <w:rsid w:val="00F50D04"/>
    <w:rsid w:val="00F52AE3"/>
    <w:rsid w:val="00F547BF"/>
    <w:rsid w:val="00F55A80"/>
    <w:rsid w:val="00F55E73"/>
    <w:rsid w:val="00F5626A"/>
    <w:rsid w:val="00F5639D"/>
    <w:rsid w:val="00F56BF5"/>
    <w:rsid w:val="00F60604"/>
    <w:rsid w:val="00F609E1"/>
    <w:rsid w:val="00F615BE"/>
    <w:rsid w:val="00F61C0A"/>
    <w:rsid w:val="00F62170"/>
    <w:rsid w:val="00F6234A"/>
    <w:rsid w:val="00F62EAB"/>
    <w:rsid w:val="00F63536"/>
    <w:rsid w:val="00F636D7"/>
    <w:rsid w:val="00F636E2"/>
    <w:rsid w:val="00F63759"/>
    <w:rsid w:val="00F63793"/>
    <w:rsid w:val="00F63C67"/>
    <w:rsid w:val="00F64146"/>
    <w:rsid w:val="00F6489A"/>
    <w:rsid w:val="00F649FC"/>
    <w:rsid w:val="00F64FFB"/>
    <w:rsid w:val="00F65A38"/>
    <w:rsid w:val="00F65F7B"/>
    <w:rsid w:val="00F668F8"/>
    <w:rsid w:val="00F6701C"/>
    <w:rsid w:val="00F67ABB"/>
    <w:rsid w:val="00F70334"/>
    <w:rsid w:val="00F704AE"/>
    <w:rsid w:val="00F709AA"/>
    <w:rsid w:val="00F70BD6"/>
    <w:rsid w:val="00F70D6A"/>
    <w:rsid w:val="00F736DF"/>
    <w:rsid w:val="00F73F5F"/>
    <w:rsid w:val="00F7419A"/>
    <w:rsid w:val="00F74C04"/>
    <w:rsid w:val="00F75A60"/>
    <w:rsid w:val="00F75D8A"/>
    <w:rsid w:val="00F76739"/>
    <w:rsid w:val="00F76B39"/>
    <w:rsid w:val="00F77984"/>
    <w:rsid w:val="00F8021D"/>
    <w:rsid w:val="00F8030F"/>
    <w:rsid w:val="00F80E5D"/>
    <w:rsid w:val="00F81188"/>
    <w:rsid w:val="00F81B39"/>
    <w:rsid w:val="00F82722"/>
    <w:rsid w:val="00F82763"/>
    <w:rsid w:val="00F82E5F"/>
    <w:rsid w:val="00F839F6"/>
    <w:rsid w:val="00F851CE"/>
    <w:rsid w:val="00F859A9"/>
    <w:rsid w:val="00F85D08"/>
    <w:rsid w:val="00F85E03"/>
    <w:rsid w:val="00F86A09"/>
    <w:rsid w:val="00F86AF5"/>
    <w:rsid w:val="00F86D46"/>
    <w:rsid w:val="00F8736F"/>
    <w:rsid w:val="00F90763"/>
    <w:rsid w:val="00F90D97"/>
    <w:rsid w:val="00F9299D"/>
    <w:rsid w:val="00F92AC3"/>
    <w:rsid w:val="00F933D9"/>
    <w:rsid w:val="00F94897"/>
    <w:rsid w:val="00F94A52"/>
    <w:rsid w:val="00F94B21"/>
    <w:rsid w:val="00F958B1"/>
    <w:rsid w:val="00F95D13"/>
    <w:rsid w:val="00F95D28"/>
    <w:rsid w:val="00F965B4"/>
    <w:rsid w:val="00F97A78"/>
    <w:rsid w:val="00F97C74"/>
    <w:rsid w:val="00FA07A9"/>
    <w:rsid w:val="00FA09B3"/>
    <w:rsid w:val="00FA16C4"/>
    <w:rsid w:val="00FA2523"/>
    <w:rsid w:val="00FA291A"/>
    <w:rsid w:val="00FA2963"/>
    <w:rsid w:val="00FA2B5A"/>
    <w:rsid w:val="00FA2F9E"/>
    <w:rsid w:val="00FA32B6"/>
    <w:rsid w:val="00FA41B2"/>
    <w:rsid w:val="00FA4909"/>
    <w:rsid w:val="00FA49B2"/>
    <w:rsid w:val="00FA6055"/>
    <w:rsid w:val="00FA612B"/>
    <w:rsid w:val="00FA61B3"/>
    <w:rsid w:val="00FA68B6"/>
    <w:rsid w:val="00FA6D7C"/>
    <w:rsid w:val="00FA72B0"/>
    <w:rsid w:val="00FA7608"/>
    <w:rsid w:val="00FA7AB4"/>
    <w:rsid w:val="00FA7DC7"/>
    <w:rsid w:val="00FB0427"/>
    <w:rsid w:val="00FB087A"/>
    <w:rsid w:val="00FB0FDE"/>
    <w:rsid w:val="00FB150A"/>
    <w:rsid w:val="00FB1997"/>
    <w:rsid w:val="00FB209C"/>
    <w:rsid w:val="00FB214F"/>
    <w:rsid w:val="00FB223C"/>
    <w:rsid w:val="00FB2FCB"/>
    <w:rsid w:val="00FB40F3"/>
    <w:rsid w:val="00FB4BCE"/>
    <w:rsid w:val="00FB50BC"/>
    <w:rsid w:val="00FB538E"/>
    <w:rsid w:val="00FB5DCF"/>
    <w:rsid w:val="00FB5F74"/>
    <w:rsid w:val="00FB5F96"/>
    <w:rsid w:val="00FB695E"/>
    <w:rsid w:val="00FB6A5A"/>
    <w:rsid w:val="00FB76F8"/>
    <w:rsid w:val="00FC0B4D"/>
    <w:rsid w:val="00FC0C3E"/>
    <w:rsid w:val="00FC0EA3"/>
    <w:rsid w:val="00FC1074"/>
    <w:rsid w:val="00FC140C"/>
    <w:rsid w:val="00FC160C"/>
    <w:rsid w:val="00FC1884"/>
    <w:rsid w:val="00FC1EC2"/>
    <w:rsid w:val="00FC2152"/>
    <w:rsid w:val="00FC2369"/>
    <w:rsid w:val="00FC4A6C"/>
    <w:rsid w:val="00FC50A0"/>
    <w:rsid w:val="00FC5AED"/>
    <w:rsid w:val="00FC68D8"/>
    <w:rsid w:val="00FC6C07"/>
    <w:rsid w:val="00FC6D13"/>
    <w:rsid w:val="00FC721C"/>
    <w:rsid w:val="00FC7DB0"/>
    <w:rsid w:val="00FD0C75"/>
    <w:rsid w:val="00FD0D65"/>
    <w:rsid w:val="00FD1C15"/>
    <w:rsid w:val="00FD2100"/>
    <w:rsid w:val="00FD2897"/>
    <w:rsid w:val="00FD31E5"/>
    <w:rsid w:val="00FD376B"/>
    <w:rsid w:val="00FD3B30"/>
    <w:rsid w:val="00FD3CEB"/>
    <w:rsid w:val="00FD446D"/>
    <w:rsid w:val="00FD49E1"/>
    <w:rsid w:val="00FD4A3A"/>
    <w:rsid w:val="00FD4DCF"/>
    <w:rsid w:val="00FD4FB4"/>
    <w:rsid w:val="00FD5225"/>
    <w:rsid w:val="00FD6F37"/>
    <w:rsid w:val="00FD6F6F"/>
    <w:rsid w:val="00FD7365"/>
    <w:rsid w:val="00FD7623"/>
    <w:rsid w:val="00FD770A"/>
    <w:rsid w:val="00FD7BFB"/>
    <w:rsid w:val="00FE10B6"/>
    <w:rsid w:val="00FE1BAA"/>
    <w:rsid w:val="00FE2C6A"/>
    <w:rsid w:val="00FE3F58"/>
    <w:rsid w:val="00FE4052"/>
    <w:rsid w:val="00FE5CD6"/>
    <w:rsid w:val="00FE6278"/>
    <w:rsid w:val="00FE63D2"/>
    <w:rsid w:val="00FE65BB"/>
    <w:rsid w:val="00FE70B2"/>
    <w:rsid w:val="00FE772B"/>
    <w:rsid w:val="00FE7925"/>
    <w:rsid w:val="00FF049D"/>
    <w:rsid w:val="00FF0CCB"/>
    <w:rsid w:val="00FF2CF9"/>
    <w:rsid w:val="00FF3DCF"/>
    <w:rsid w:val="00FF42A8"/>
    <w:rsid w:val="00FF4871"/>
    <w:rsid w:val="00FF5A5C"/>
    <w:rsid w:val="00FF5AA3"/>
    <w:rsid w:val="00FF5E87"/>
    <w:rsid w:val="00FF6574"/>
    <w:rsid w:val="00FF6B66"/>
    <w:rsid w:val="00FF7797"/>
    <w:rsid w:val="00FF7854"/>
    <w:rsid w:val="00FF78A5"/>
    <w:rsid w:val="00FF79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216B1C"/>
    <w:rPr>
      <w:sz w:val="28"/>
    </w:rPr>
  </w:style>
  <w:style w:type="character" w:customStyle="1" w:styleId="TitleChar">
    <w:name w:val="Title Char"/>
    <w:basedOn w:val="DefaultParagraphFont"/>
    <w:link w:val="Title"/>
    <w:rsid w:val="00216B1C"/>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025FE"/>
    <w:pPr>
      <w:numPr>
        <w:numId w:val="13"/>
      </w:numPr>
    </w:pPr>
    <w:rPr>
      <w:rFonts w:ascii="Arial" w:hAnsi="Arial" w:cs="Arial"/>
      <w:snapToGrid w:val="0"/>
      <w:sz w:val="22"/>
      <w:szCs w:val="22"/>
      <w:lang w:eastAsia="en-US"/>
    </w:rPr>
  </w:style>
  <w:style w:type="paragraph" w:customStyle="1" w:styleId="Source">
    <w:name w:val="Source"/>
    <w:basedOn w:val="Normal"/>
    <w:link w:val="SourceChar1"/>
    <w:qFormat/>
    <w:rsid w:val="00AB6B28"/>
    <w:pPr>
      <w:widowControl/>
      <w:tabs>
        <w:tab w:val="left" w:pos="2835"/>
        <w:tab w:val="left" w:pos="3960"/>
        <w:tab w:val="left" w:pos="5640"/>
        <w:tab w:val="left" w:pos="7320"/>
        <w:tab w:val="left" w:pos="8400"/>
        <w:tab w:val="left" w:pos="11400"/>
      </w:tabs>
      <w:ind w:left="1200" w:right="28" w:hanging="1200"/>
      <w:jc w:val="left"/>
    </w:pPr>
    <w:rPr>
      <w:rFonts w:ascii="Times New Roman" w:eastAsia="SimSun" w:hAnsi="Times New Roman" w:cs="Times New Roman"/>
      <w:snapToGrid/>
      <w:sz w:val="18"/>
      <w:szCs w:val="18"/>
    </w:rPr>
  </w:style>
  <w:style w:type="character" w:customStyle="1" w:styleId="SourceChar1">
    <w:name w:val="Source Char1"/>
    <w:link w:val="Source"/>
    <w:rsid w:val="00AB6B28"/>
    <w:rPr>
      <w:rFonts w:eastAsia="SimSun"/>
      <w:sz w:val="18"/>
      <w:szCs w:val="18"/>
      <w:lang w:eastAsia="en-US"/>
    </w:rPr>
  </w:style>
  <w:style w:type="paragraph" w:customStyle="1" w:styleId="TableHeadingRow">
    <w:name w:val="TableHeadingRow"/>
    <w:basedOn w:val="TableText0"/>
    <w:uiPriority w:val="3"/>
    <w:qFormat/>
    <w:rsid w:val="004F6947"/>
    <w:rPr>
      <w:rFonts w:ascii="Times New Roman" w:hAnsi="Times New Roman" w:cs="Calibri"/>
      <w:b/>
    </w:rPr>
  </w:style>
  <w:style w:type="character" w:customStyle="1" w:styleId="TableTextChar0">
    <w:name w:val="TableText Char"/>
    <w:basedOn w:val="DefaultParagraphFont"/>
    <w:link w:val="TableText0"/>
    <w:uiPriority w:val="3"/>
    <w:locked/>
    <w:rsid w:val="00BA1E67"/>
    <w:rPr>
      <w:rFonts w:ascii="Arial Narrow" w:hAnsi="Arial Narrow" w:cs="Arial Narrow"/>
      <w:lang w:eastAsia="en-US"/>
    </w:rPr>
  </w:style>
  <w:style w:type="character" w:customStyle="1" w:styleId="apple-converted-space">
    <w:name w:val="apple-converted-space"/>
    <w:basedOn w:val="DefaultParagraphFont"/>
    <w:rsid w:val="00650C3F"/>
  </w:style>
  <w:style w:type="paragraph" w:customStyle="1" w:styleId="tablenotes">
    <w:name w:val="table notes"/>
    <w:basedOn w:val="BodyText2"/>
    <w:qFormat/>
    <w:rsid w:val="00754E0A"/>
    <w:pPr>
      <w:spacing w:after="0" w:line="240" w:lineRule="auto"/>
    </w:pPr>
    <w:rPr>
      <w:rFonts w:cs="Times New Roman"/>
      <w:sz w:val="20"/>
      <w:lang w:val="en-GB"/>
    </w:rPr>
  </w:style>
  <w:style w:type="table" w:customStyle="1" w:styleId="TableGrid1">
    <w:name w:val="Table Grid1"/>
    <w:basedOn w:val="TableNormal"/>
    <w:next w:val="TableGrid"/>
    <w:uiPriority w:val="59"/>
    <w:rsid w:val="00810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70869"/>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F7854"/>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basedOn w:val="ListParagraph"/>
    <w:qFormat/>
    <w:rsid w:val="00521D40"/>
    <w:pPr>
      <w:numPr>
        <w:numId w:val="15"/>
      </w:numPr>
    </w:pPr>
    <w:rPr>
      <w:b/>
    </w:rPr>
  </w:style>
  <w:style w:type="character" w:customStyle="1" w:styleId="Heading1Char">
    <w:name w:val="Heading 1 Char"/>
    <w:basedOn w:val="DefaultParagraphFont"/>
    <w:link w:val="Heading1"/>
    <w:rsid w:val="005C6696"/>
    <w:rPr>
      <w:rFonts w:ascii="Arial Bold" w:hAnsi="Arial Bold" w:cs="Arial"/>
      <w:b/>
      <w:cap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216B1C"/>
    <w:rPr>
      <w:sz w:val="28"/>
    </w:rPr>
  </w:style>
  <w:style w:type="character" w:customStyle="1" w:styleId="TitleChar">
    <w:name w:val="Title Char"/>
    <w:basedOn w:val="DefaultParagraphFont"/>
    <w:link w:val="Title"/>
    <w:rsid w:val="00216B1C"/>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025FE"/>
    <w:pPr>
      <w:numPr>
        <w:numId w:val="13"/>
      </w:numPr>
    </w:pPr>
    <w:rPr>
      <w:rFonts w:ascii="Arial" w:hAnsi="Arial" w:cs="Arial"/>
      <w:snapToGrid w:val="0"/>
      <w:sz w:val="22"/>
      <w:szCs w:val="22"/>
      <w:lang w:eastAsia="en-US"/>
    </w:rPr>
  </w:style>
  <w:style w:type="paragraph" w:customStyle="1" w:styleId="Source">
    <w:name w:val="Source"/>
    <w:basedOn w:val="Normal"/>
    <w:link w:val="SourceChar1"/>
    <w:qFormat/>
    <w:rsid w:val="00AB6B28"/>
    <w:pPr>
      <w:widowControl/>
      <w:tabs>
        <w:tab w:val="left" w:pos="2835"/>
        <w:tab w:val="left" w:pos="3960"/>
        <w:tab w:val="left" w:pos="5640"/>
        <w:tab w:val="left" w:pos="7320"/>
        <w:tab w:val="left" w:pos="8400"/>
        <w:tab w:val="left" w:pos="11400"/>
      </w:tabs>
      <w:ind w:left="1200" w:right="28" w:hanging="1200"/>
      <w:jc w:val="left"/>
    </w:pPr>
    <w:rPr>
      <w:rFonts w:ascii="Times New Roman" w:eastAsia="SimSun" w:hAnsi="Times New Roman" w:cs="Times New Roman"/>
      <w:snapToGrid/>
      <w:sz w:val="18"/>
      <w:szCs w:val="18"/>
    </w:rPr>
  </w:style>
  <w:style w:type="character" w:customStyle="1" w:styleId="SourceChar1">
    <w:name w:val="Source Char1"/>
    <w:link w:val="Source"/>
    <w:rsid w:val="00AB6B28"/>
    <w:rPr>
      <w:rFonts w:eastAsia="SimSun"/>
      <w:sz w:val="18"/>
      <w:szCs w:val="18"/>
      <w:lang w:eastAsia="en-US"/>
    </w:rPr>
  </w:style>
  <w:style w:type="paragraph" w:customStyle="1" w:styleId="TableHeadingRow">
    <w:name w:val="TableHeadingRow"/>
    <w:basedOn w:val="TableText0"/>
    <w:uiPriority w:val="3"/>
    <w:qFormat/>
    <w:rsid w:val="004F6947"/>
    <w:rPr>
      <w:rFonts w:ascii="Times New Roman" w:hAnsi="Times New Roman" w:cs="Calibri"/>
      <w:b/>
    </w:rPr>
  </w:style>
  <w:style w:type="character" w:customStyle="1" w:styleId="TableTextChar0">
    <w:name w:val="TableText Char"/>
    <w:basedOn w:val="DefaultParagraphFont"/>
    <w:link w:val="TableText0"/>
    <w:uiPriority w:val="3"/>
    <w:locked/>
    <w:rsid w:val="00BA1E67"/>
    <w:rPr>
      <w:rFonts w:ascii="Arial Narrow" w:hAnsi="Arial Narrow" w:cs="Arial Narrow"/>
      <w:lang w:eastAsia="en-US"/>
    </w:rPr>
  </w:style>
  <w:style w:type="character" w:customStyle="1" w:styleId="apple-converted-space">
    <w:name w:val="apple-converted-space"/>
    <w:basedOn w:val="DefaultParagraphFont"/>
    <w:rsid w:val="00650C3F"/>
  </w:style>
  <w:style w:type="paragraph" w:customStyle="1" w:styleId="tablenotes">
    <w:name w:val="table notes"/>
    <w:basedOn w:val="BodyText2"/>
    <w:qFormat/>
    <w:rsid w:val="00754E0A"/>
    <w:pPr>
      <w:spacing w:after="0" w:line="240" w:lineRule="auto"/>
    </w:pPr>
    <w:rPr>
      <w:rFonts w:cs="Times New Roman"/>
      <w:sz w:val="20"/>
      <w:lang w:val="en-GB"/>
    </w:rPr>
  </w:style>
  <w:style w:type="table" w:customStyle="1" w:styleId="TableGrid1">
    <w:name w:val="Table Grid1"/>
    <w:basedOn w:val="TableNormal"/>
    <w:next w:val="TableGrid"/>
    <w:uiPriority w:val="59"/>
    <w:rsid w:val="00810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70869"/>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F7854"/>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basedOn w:val="ListParagraph"/>
    <w:qFormat/>
    <w:rsid w:val="00521D40"/>
    <w:pPr>
      <w:numPr>
        <w:numId w:val="15"/>
      </w:numPr>
    </w:pPr>
    <w:rPr>
      <w:b/>
    </w:rPr>
  </w:style>
  <w:style w:type="character" w:customStyle="1" w:styleId="Heading1Char">
    <w:name w:val="Heading 1 Char"/>
    <w:basedOn w:val="DefaultParagraphFont"/>
    <w:link w:val="Heading1"/>
    <w:rsid w:val="005C6696"/>
    <w:rPr>
      <w:rFonts w:ascii="Arial Bold" w:hAnsi="Arial Bold" w:cs="Arial"/>
      <w:b/>
      <w:cap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386">
      <w:bodyDiv w:val="1"/>
      <w:marLeft w:val="0"/>
      <w:marRight w:val="0"/>
      <w:marTop w:val="0"/>
      <w:marBottom w:val="0"/>
      <w:divBdr>
        <w:top w:val="none" w:sz="0" w:space="0" w:color="auto"/>
        <w:left w:val="none" w:sz="0" w:space="0" w:color="auto"/>
        <w:bottom w:val="none" w:sz="0" w:space="0" w:color="auto"/>
        <w:right w:val="none" w:sz="0" w:space="0" w:color="auto"/>
      </w:divBdr>
    </w:div>
    <w:div w:id="594243075">
      <w:bodyDiv w:val="1"/>
      <w:marLeft w:val="0"/>
      <w:marRight w:val="0"/>
      <w:marTop w:val="0"/>
      <w:marBottom w:val="0"/>
      <w:divBdr>
        <w:top w:val="none" w:sz="0" w:space="0" w:color="auto"/>
        <w:left w:val="none" w:sz="0" w:space="0" w:color="auto"/>
        <w:bottom w:val="none" w:sz="0" w:space="0" w:color="auto"/>
        <w:right w:val="none" w:sz="0" w:space="0" w:color="auto"/>
      </w:divBdr>
    </w:div>
    <w:div w:id="1305623907">
      <w:bodyDiv w:val="1"/>
      <w:marLeft w:val="0"/>
      <w:marRight w:val="0"/>
      <w:marTop w:val="0"/>
      <w:marBottom w:val="0"/>
      <w:divBdr>
        <w:top w:val="none" w:sz="0" w:space="0" w:color="auto"/>
        <w:left w:val="none" w:sz="0" w:space="0" w:color="auto"/>
        <w:bottom w:val="none" w:sz="0" w:space="0" w:color="auto"/>
        <w:right w:val="none" w:sz="0" w:space="0" w:color="auto"/>
      </w:divBdr>
    </w:div>
    <w:div w:id="1425027190">
      <w:bodyDiv w:val="1"/>
      <w:marLeft w:val="0"/>
      <w:marRight w:val="0"/>
      <w:marTop w:val="0"/>
      <w:marBottom w:val="0"/>
      <w:divBdr>
        <w:top w:val="none" w:sz="0" w:space="0" w:color="auto"/>
        <w:left w:val="none" w:sz="0" w:space="0" w:color="auto"/>
        <w:bottom w:val="none" w:sz="0" w:space="0" w:color="auto"/>
        <w:right w:val="none" w:sz="0" w:space="0" w:color="auto"/>
      </w:divBdr>
    </w:div>
    <w:div w:id="1502116729">
      <w:bodyDiv w:val="1"/>
      <w:marLeft w:val="0"/>
      <w:marRight w:val="0"/>
      <w:marTop w:val="0"/>
      <w:marBottom w:val="0"/>
      <w:divBdr>
        <w:top w:val="none" w:sz="0" w:space="0" w:color="auto"/>
        <w:left w:val="none" w:sz="0" w:space="0" w:color="auto"/>
        <w:bottom w:val="none" w:sz="0" w:space="0" w:color="auto"/>
        <w:right w:val="none" w:sz="0" w:space="0" w:color="auto"/>
      </w:divBdr>
    </w:div>
    <w:div w:id="1989288018">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447B-8A65-4288-8456-A2CEB896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7853</Words>
  <Characters>48069</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7.03 Obinutuzumab</vt:lpstr>
    </vt:vector>
  </TitlesOfParts>
  <Company>Dept Health And Ageing</Company>
  <LinksUpToDate>false</LinksUpToDate>
  <CharactersWithSpaces>55811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7.03 Obinutuzumab</dc:title>
  <dc:creator>NG Jason</dc:creator>
  <cp:lastModifiedBy>Lauren Hendriks</cp:lastModifiedBy>
  <cp:revision>2</cp:revision>
  <cp:lastPrinted>2015-04-07T01:10:00Z</cp:lastPrinted>
  <dcterms:created xsi:type="dcterms:W3CDTF">2015-06-29T04:52:00Z</dcterms:created>
  <dcterms:modified xsi:type="dcterms:W3CDTF">2015-06-29T07:13:00Z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