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869" w:rsidRDefault="006B2869" w:rsidP="00D73941">
      <w:pPr>
        <w:widowControl/>
      </w:pPr>
    </w:p>
    <w:p w:rsidR="005A15F3" w:rsidRPr="00C5381E" w:rsidRDefault="00603C00" w:rsidP="00C5381E">
      <w:pPr>
        <w:pStyle w:val="Title"/>
      </w:pPr>
      <w:bookmarkStart w:id="0" w:name="_Toc409510363"/>
      <w:r w:rsidRPr="00C5381E">
        <w:t>5.18</w:t>
      </w:r>
      <w:r w:rsidR="000950D9" w:rsidRPr="00C5381E">
        <w:tab/>
      </w:r>
      <w:r w:rsidR="006B2869" w:rsidRPr="00C5381E">
        <w:t>NINTEDANIB</w:t>
      </w:r>
      <w:r w:rsidRPr="00C5381E">
        <w:t xml:space="preserve"> </w:t>
      </w:r>
    </w:p>
    <w:p w:rsidR="005A15F3" w:rsidRPr="00C5381E" w:rsidRDefault="00603C00" w:rsidP="00C5381E">
      <w:pPr>
        <w:ind w:firstLine="720"/>
        <w:rPr>
          <w:b/>
          <w:sz w:val="28"/>
          <w:szCs w:val="28"/>
        </w:rPr>
      </w:pPr>
      <w:r w:rsidRPr="00C5381E">
        <w:rPr>
          <w:b/>
          <w:sz w:val="28"/>
          <w:szCs w:val="28"/>
        </w:rPr>
        <w:t xml:space="preserve">100 </w:t>
      </w:r>
      <w:r w:rsidR="005A15F3" w:rsidRPr="00C5381E">
        <w:rPr>
          <w:b/>
          <w:sz w:val="28"/>
          <w:szCs w:val="28"/>
        </w:rPr>
        <w:t>mg capsule, 60;</w:t>
      </w:r>
      <w:r w:rsidRPr="00C5381E">
        <w:rPr>
          <w:b/>
          <w:sz w:val="28"/>
          <w:szCs w:val="28"/>
        </w:rPr>
        <w:t xml:space="preserve"> 150 </w:t>
      </w:r>
      <w:r w:rsidR="005A15F3" w:rsidRPr="00C5381E">
        <w:rPr>
          <w:b/>
          <w:sz w:val="28"/>
          <w:szCs w:val="28"/>
        </w:rPr>
        <w:t>mg capsule, 60</w:t>
      </w:r>
      <w:r w:rsidRPr="00C5381E">
        <w:rPr>
          <w:b/>
          <w:sz w:val="28"/>
          <w:szCs w:val="28"/>
        </w:rPr>
        <w:t xml:space="preserve"> </w:t>
      </w:r>
    </w:p>
    <w:p w:rsidR="000950D9" w:rsidRPr="00C5381E" w:rsidRDefault="00603C00" w:rsidP="00C5381E">
      <w:pPr>
        <w:ind w:firstLine="720"/>
        <w:rPr>
          <w:b/>
          <w:sz w:val="28"/>
          <w:szCs w:val="28"/>
        </w:rPr>
      </w:pPr>
      <w:proofErr w:type="spellStart"/>
      <w:r w:rsidRPr="00C5381E">
        <w:rPr>
          <w:b/>
          <w:sz w:val="28"/>
          <w:szCs w:val="28"/>
        </w:rPr>
        <w:t>Ofev</w:t>
      </w:r>
      <w:proofErr w:type="spellEnd"/>
      <w:r w:rsidRPr="00C5381E">
        <w:rPr>
          <w:b/>
          <w:sz w:val="28"/>
          <w:szCs w:val="28"/>
        </w:rPr>
        <w:t xml:space="preserve">®, </w:t>
      </w:r>
      <w:proofErr w:type="spellStart"/>
      <w:r w:rsidRPr="00C5381E">
        <w:rPr>
          <w:b/>
          <w:sz w:val="28"/>
          <w:szCs w:val="28"/>
        </w:rPr>
        <w:t>Boehringer</w:t>
      </w:r>
      <w:proofErr w:type="spellEnd"/>
      <w:r w:rsidRPr="00C5381E">
        <w:rPr>
          <w:b/>
          <w:sz w:val="28"/>
          <w:szCs w:val="28"/>
        </w:rPr>
        <w:t xml:space="preserve"> </w:t>
      </w:r>
      <w:proofErr w:type="spellStart"/>
      <w:r w:rsidRPr="00C5381E">
        <w:rPr>
          <w:b/>
          <w:sz w:val="28"/>
          <w:szCs w:val="28"/>
        </w:rPr>
        <w:t>Ingelheim</w:t>
      </w:r>
      <w:proofErr w:type="spellEnd"/>
      <w:r w:rsidRPr="00C5381E">
        <w:rPr>
          <w:b/>
          <w:sz w:val="28"/>
          <w:szCs w:val="28"/>
        </w:rPr>
        <w:t xml:space="preserve"> Pty Ltd</w:t>
      </w:r>
      <w:bookmarkEnd w:id="0"/>
    </w:p>
    <w:p w:rsidR="006B2869" w:rsidRDefault="006B2869" w:rsidP="00D73941">
      <w:pPr>
        <w:widowControl/>
      </w:pPr>
    </w:p>
    <w:p w:rsidR="000950D9" w:rsidRPr="00407F2D" w:rsidRDefault="000950D9" w:rsidP="00D73941">
      <w:pPr>
        <w:pStyle w:val="PBACHeading1"/>
      </w:pPr>
      <w:bookmarkStart w:id="1" w:name="_Toc409510365"/>
      <w:r w:rsidRPr="00407F2D">
        <w:t>Purpose of Application</w:t>
      </w:r>
      <w:bookmarkEnd w:id="1"/>
    </w:p>
    <w:p w:rsidR="000950D9" w:rsidRPr="00882085" w:rsidRDefault="000950D9" w:rsidP="00D73941">
      <w:pPr>
        <w:widowControl/>
        <w:rPr>
          <w:szCs w:val="22"/>
        </w:rPr>
      </w:pPr>
    </w:p>
    <w:p w:rsidR="000950D9" w:rsidRPr="00B50DB8" w:rsidRDefault="003367CD" w:rsidP="00D73941">
      <w:pPr>
        <w:pStyle w:val="ListParagraph"/>
        <w:widowControl/>
        <w:numPr>
          <w:ilvl w:val="1"/>
          <w:numId w:val="2"/>
        </w:numPr>
        <w:rPr>
          <w:szCs w:val="22"/>
        </w:rPr>
      </w:pPr>
      <w:r>
        <w:t xml:space="preserve">To request </w:t>
      </w:r>
      <w:r w:rsidR="000950D9" w:rsidRPr="004B3DDB">
        <w:t xml:space="preserve">Authority </w:t>
      </w:r>
      <w:r>
        <w:t>R</w:t>
      </w:r>
      <w:r w:rsidR="000950D9" w:rsidRPr="004B3DDB">
        <w:t xml:space="preserve">equired listing for </w:t>
      </w:r>
      <w:r w:rsidR="000950D9">
        <w:t>nintedanib</w:t>
      </w:r>
      <w:r w:rsidR="000950D9" w:rsidRPr="004B3DDB">
        <w:t xml:space="preserve"> for treatment of </w:t>
      </w:r>
      <w:r w:rsidR="000950D9">
        <w:t>idiopathic pulmonary fibrosis (IPF)</w:t>
      </w:r>
      <w:r w:rsidR="00720FFE">
        <w:t>.</w:t>
      </w:r>
    </w:p>
    <w:p w:rsidR="006B2869" w:rsidRDefault="006B2869" w:rsidP="00D73941">
      <w:pPr>
        <w:widowControl/>
      </w:pPr>
    </w:p>
    <w:p w:rsidR="000950D9" w:rsidRDefault="000950D9" w:rsidP="00D73941">
      <w:pPr>
        <w:pStyle w:val="PBACHeading1"/>
        <w:keepNext/>
      </w:pPr>
      <w:bookmarkStart w:id="2" w:name="_Toc409510366"/>
      <w:r w:rsidRPr="00407F2D">
        <w:t>Requested listing</w:t>
      </w:r>
      <w:bookmarkEnd w:id="2"/>
    </w:p>
    <w:p w:rsidR="00074656" w:rsidRDefault="00074656" w:rsidP="00D73941">
      <w:pPr>
        <w:pStyle w:val="PBACHeading1"/>
        <w:keepNext/>
        <w:numPr>
          <w:ilvl w:val="0"/>
          <w:numId w:val="0"/>
        </w:numPr>
        <w:ind w:left="720"/>
      </w:pPr>
    </w:p>
    <w:p w:rsidR="00720FFE" w:rsidRDefault="00720FFE" w:rsidP="00D73941">
      <w:pPr>
        <w:pStyle w:val="ListParagraph"/>
        <w:widowControl/>
        <w:numPr>
          <w:ilvl w:val="1"/>
          <w:numId w:val="2"/>
        </w:numPr>
      </w:pPr>
      <w:r>
        <w:t>The submission requested that the PBAC consider listing on the basis of ‘rule of rescue’</w:t>
      </w:r>
      <w:r w:rsidRPr="004B3DDB">
        <w:t>.</w:t>
      </w:r>
      <w:r>
        <w:t xml:space="preserve"> The following table details the rule of rescue criteria and summary of the response.</w:t>
      </w:r>
    </w:p>
    <w:p w:rsidR="00720FFE" w:rsidRDefault="00720FFE" w:rsidP="00D73941">
      <w:pPr>
        <w:pStyle w:val="ListParagraph"/>
        <w:widowControl/>
      </w:pPr>
    </w:p>
    <w:p w:rsidR="00720FFE" w:rsidRDefault="00720FFE" w:rsidP="00D73941">
      <w:pPr>
        <w:widowControl/>
        <w:ind w:left="709"/>
        <w:rPr>
          <w:rStyle w:val="CommentReference"/>
        </w:rPr>
      </w:pPr>
      <w:r>
        <w:rPr>
          <w:rStyle w:val="CommentReference"/>
        </w:rPr>
        <w:t>Responses to the four factors relevant to the consideration of the ‘rule of rescue’</w:t>
      </w:r>
    </w:p>
    <w:tbl>
      <w:tblPr>
        <w:tblStyle w:val="TableGrid"/>
        <w:tblW w:w="4648" w:type="pct"/>
        <w:tblInd w:w="737" w:type="dxa"/>
        <w:tblCellMar>
          <w:left w:w="28" w:type="dxa"/>
          <w:right w:w="28" w:type="dxa"/>
        </w:tblCellMar>
        <w:tblLook w:val="04A0" w:firstRow="1" w:lastRow="0" w:firstColumn="1" w:lastColumn="0" w:noHBand="0" w:noVBand="1"/>
        <w:tblCaption w:val="Responses to the four factors relevant to the consideration of the ‘rule of rescue’"/>
        <w:tblDescription w:val="The table presents a summary of the submission response and a comment on the four factors relecant to the consideration of the 'rule of rescue'."/>
      </w:tblPr>
      <w:tblGrid>
        <w:gridCol w:w="2814"/>
        <w:gridCol w:w="2815"/>
        <w:gridCol w:w="2815"/>
      </w:tblGrid>
      <w:tr w:rsidR="00720FFE" w:rsidRPr="00D17C1F" w:rsidTr="00720FFE">
        <w:trPr>
          <w:cantSplit/>
          <w:tblHeader/>
        </w:trPr>
        <w:tc>
          <w:tcPr>
            <w:tcW w:w="1666" w:type="pct"/>
            <w:vAlign w:val="center"/>
          </w:tcPr>
          <w:p w:rsidR="00720FFE" w:rsidRPr="00D17C1F" w:rsidRDefault="00720FFE" w:rsidP="00D73941">
            <w:pPr>
              <w:widowControl/>
              <w:jc w:val="left"/>
              <w:rPr>
                <w:rStyle w:val="CommentReference"/>
              </w:rPr>
            </w:pPr>
            <w:r w:rsidRPr="00D17C1F">
              <w:rPr>
                <w:rStyle w:val="CommentReference"/>
              </w:rPr>
              <w:t>Rule of rescue factor</w:t>
            </w:r>
            <w:r>
              <w:rPr>
                <w:rStyle w:val="CommentReference"/>
              </w:rPr>
              <w:t xml:space="preserve"> (Guidelines, version 4.4, p258)</w:t>
            </w:r>
          </w:p>
        </w:tc>
        <w:tc>
          <w:tcPr>
            <w:tcW w:w="1667" w:type="pct"/>
            <w:vAlign w:val="center"/>
          </w:tcPr>
          <w:p w:rsidR="00720FFE" w:rsidRPr="00D17C1F" w:rsidRDefault="00720FFE" w:rsidP="00D73941">
            <w:pPr>
              <w:widowControl/>
              <w:jc w:val="center"/>
              <w:rPr>
                <w:rStyle w:val="CommentReference"/>
              </w:rPr>
            </w:pPr>
            <w:r w:rsidRPr="00D17C1F">
              <w:rPr>
                <w:rStyle w:val="CommentReference"/>
              </w:rPr>
              <w:t>Submission response</w:t>
            </w:r>
          </w:p>
        </w:tc>
        <w:tc>
          <w:tcPr>
            <w:tcW w:w="1667" w:type="pct"/>
            <w:vAlign w:val="center"/>
          </w:tcPr>
          <w:p w:rsidR="00720FFE" w:rsidRPr="00F16534" w:rsidRDefault="00720FFE" w:rsidP="00D73941">
            <w:pPr>
              <w:widowControl/>
              <w:jc w:val="center"/>
              <w:rPr>
                <w:rStyle w:val="CommentReference"/>
              </w:rPr>
            </w:pPr>
            <w:r w:rsidRPr="00F16534">
              <w:rPr>
                <w:rStyle w:val="CommentReference"/>
              </w:rPr>
              <w:t>Comment</w:t>
            </w:r>
          </w:p>
        </w:tc>
      </w:tr>
      <w:tr w:rsidR="00720FFE" w:rsidTr="00720FFE">
        <w:trPr>
          <w:cantSplit/>
        </w:trPr>
        <w:tc>
          <w:tcPr>
            <w:tcW w:w="1666" w:type="pct"/>
          </w:tcPr>
          <w:p w:rsidR="00720FFE" w:rsidRPr="0068018F" w:rsidRDefault="00720FFE" w:rsidP="00D73941">
            <w:pPr>
              <w:widowControl/>
              <w:jc w:val="left"/>
              <w:rPr>
                <w:rStyle w:val="CommentReference"/>
                <w:b w:val="0"/>
              </w:rPr>
            </w:pPr>
            <w:r>
              <w:rPr>
                <w:rStyle w:val="CommentReference"/>
                <w:b w:val="0"/>
              </w:rPr>
              <w:t xml:space="preserve">(1) </w:t>
            </w:r>
            <w:r w:rsidRPr="0068018F">
              <w:rPr>
                <w:rStyle w:val="CommentReference"/>
                <w:b w:val="0"/>
              </w:rPr>
              <w:t>No alternative exists in Australia to treat patients with the specific circumstances of the medical condition meeting the criteria of the restri</w:t>
            </w:r>
            <w:r>
              <w:rPr>
                <w:rStyle w:val="CommentReference"/>
                <w:b w:val="0"/>
              </w:rPr>
              <w:t xml:space="preserve">ction. </w:t>
            </w:r>
            <w:r w:rsidRPr="0068018F">
              <w:rPr>
                <w:rStyle w:val="CommentReference"/>
                <w:b w:val="0"/>
              </w:rPr>
              <w:t xml:space="preserve">This means that there are no </w:t>
            </w:r>
            <w:r w:rsidR="003D16A4">
              <w:rPr>
                <w:rStyle w:val="CommentReference"/>
                <w:b w:val="0"/>
              </w:rPr>
              <w:t>non-</w:t>
            </w:r>
            <w:r w:rsidRPr="0068018F">
              <w:rPr>
                <w:rStyle w:val="CommentReference"/>
                <w:b w:val="0"/>
              </w:rPr>
              <w:t>pharmacological or pharmacological interventions for these patients.</w:t>
            </w:r>
          </w:p>
        </w:tc>
        <w:tc>
          <w:tcPr>
            <w:tcW w:w="1667" w:type="pct"/>
          </w:tcPr>
          <w:p w:rsidR="00720FFE" w:rsidRDefault="00720FFE" w:rsidP="00D73941">
            <w:pPr>
              <w:pStyle w:val="ListParagraph"/>
              <w:widowControl/>
              <w:numPr>
                <w:ilvl w:val="0"/>
                <w:numId w:val="3"/>
              </w:numPr>
              <w:jc w:val="left"/>
              <w:rPr>
                <w:rStyle w:val="CommentReference"/>
                <w:b w:val="0"/>
              </w:rPr>
            </w:pPr>
            <w:r>
              <w:rPr>
                <w:rStyle w:val="CommentReference"/>
                <w:b w:val="0"/>
              </w:rPr>
              <w:t xml:space="preserve">No specific disease modifying pharmacological interventions are available for patients with IPF.  </w:t>
            </w:r>
          </w:p>
          <w:p w:rsidR="00720FFE" w:rsidRDefault="00720FFE" w:rsidP="00D73941">
            <w:pPr>
              <w:pStyle w:val="ListParagraph"/>
              <w:widowControl/>
              <w:numPr>
                <w:ilvl w:val="0"/>
                <w:numId w:val="3"/>
              </w:numPr>
              <w:jc w:val="left"/>
              <w:rPr>
                <w:rStyle w:val="CommentReference"/>
                <w:b w:val="0"/>
              </w:rPr>
            </w:pPr>
            <w:r>
              <w:rPr>
                <w:rStyle w:val="CommentReference"/>
                <w:b w:val="0"/>
              </w:rPr>
              <w:t xml:space="preserve">Current recommended treatment for IPF is BSC: providing information and support, symptom relief, management of comorbidities and withdrawal of therapies that may be suspected to be ineffective or causing harm.  </w:t>
            </w:r>
          </w:p>
          <w:p w:rsidR="00720FFE" w:rsidRPr="00C406D7" w:rsidRDefault="00720FFE" w:rsidP="00D73941">
            <w:pPr>
              <w:pStyle w:val="ListParagraph"/>
              <w:widowControl/>
              <w:numPr>
                <w:ilvl w:val="0"/>
                <w:numId w:val="3"/>
              </w:numPr>
              <w:jc w:val="left"/>
              <w:rPr>
                <w:rStyle w:val="CommentReference"/>
                <w:b w:val="0"/>
              </w:rPr>
            </w:pPr>
            <w:r>
              <w:rPr>
                <w:rStyle w:val="CommentReference"/>
                <w:b w:val="0"/>
              </w:rPr>
              <w:t xml:space="preserve">Lung transplant, while potentially curative, is only an option for a limited number of patients.  </w:t>
            </w:r>
          </w:p>
        </w:tc>
        <w:tc>
          <w:tcPr>
            <w:tcW w:w="1667" w:type="pct"/>
          </w:tcPr>
          <w:p w:rsidR="00720FFE" w:rsidRPr="00F16534" w:rsidRDefault="00720FFE" w:rsidP="00D73941">
            <w:pPr>
              <w:pStyle w:val="ListParagraph"/>
              <w:widowControl/>
              <w:numPr>
                <w:ilvl w:val="0"/>
                <w:numId w:val="3"/>
              </w:numPr>
              <w:jc w:val="left"/>
              <w:rPr>
                <w:rStyle w:val="CommentReference"/>
                <w:b w:val="0"/>
              </w:rPr>
            </w:pPr>
            <w:r w:rsidRPr="00F16534">
              <w:rPr>
                <w:rStyle w:val="CommentReference"/>
                <w:b w:val="0"/>
              </w:rPr>
              <w:t xml:space="preserve">Although no disease modifying pharmacological interventions for IPF are available in Australia, </w:t>
            </w:r>
            <w:proofErr w:type="spellStart"/>
            <w:r w:rsidRPr="00F16534">
              <w:rPr>
                <w:rStyle w:val="CommentReference"/>
                <w:b w:val="0"/>
              </w:rPr>
              <w:t>pirfenidone</w:t>
            </w:r>
            <w:proofErr w:type="spellEnd"/>
            <w:r w:rsidRPr="00F16534">
              <w:rPr>
                <w:rStyle w:val="CommentReference"/>
                <w:b w:val="0"/>
              </w:rPr>
              <w:t xml:space="preserve"> has been approved for use in Europe (2011), Canada (2012) and the USA (2014). </w:t>
            </w:r>
            <w:r w:rsidR="00ED4A35">
              <w:rPr>
                <w:rStyle w:val="CommentReference"/>
                <w:b w:val="0"/>
                <w:noProof/>
                <w:color w:val="000000"/>
                <w:highlight w:val="black"/>
              </w:rPr>
              <w:t>''''''' ''''''''''''''''' '''''''''''''''''''''''''''' '''' ''''''''''''''''''''''''''' '''''''''' ''''''''''''''''''''''''' '''''''''''''''''''' ''''''''' ''''''''''' '''''''''' ''''''' ''''''''''''''''''''''' ''''''''''''''''''''''' ''''''''''''''''''''''' '''''''''''''''' ''''''' ''''''''''''''''''''''</w:t>
            </w:r>
            <w:r w:rsidRPr="00F16534">
              <w:rPr>
                <w:rStyle w:val="CommentReference"/>
                <w:b w:val="0"/>
              </w:rPr>
              <w:t>.</w:t>
            </w:r>
          </w:p>
          <w:p w:rsidR="00720FFE" w:rsidRPr="00F16534" w:rsidRDefault="00720FFE" w:rsidP="00D73941">
            <w:pPr>
              <w:pStyle w:val="ListParagraph"/>
              <w:widowControl/>
              <w:numPr>
                <w:ilvl w:val="0"/>
                <w:numId w:val="3"/>
              </w:numPr>
              <w:jc w:val="left"/>
              <w:rPr>
                <w:rStyle w:val="CommentReference"/>
                <w:b w:val="0"/>
              </w:rPr>
            </w:pPr>
            <w:r w:rsidRPr="00F16534">
              <w:rPr>
                <w:rStyle w:val="CommentReference"/>
                <w:b w:val="0"/>
              </w:rPr>
              <w:t xml:space="preserve">Given the lack of available treatments for IPF, patients may access </w:t>
            </w:r>
            <w:proofErr w:type="spellStart"/>
            <w:r w:rsidRPr="00F16534">
              <w:rPr>
                <w:rStyle w:val="CommentReference"/>
                <w:b w:val="0"/>
              </w:rPr>
              <w:t>pirfenidone</w:t>
            </w:r>
            <w:proofErr w:type="spellEnd"/>
            <w:r w:rsidRPr="00F16534">
              <w:rPr>
                <w:rStyle w:val="CommentReference"/>
                <w:b w:val="0"/>
              </w:rPr>
              <w:t xml:space="preserve"> treatment via the TGA special access scheme.</w:t>
            </w:r>
          </w:p>
        </w:tc>
      </w:tr>
      <w:tr w:rsidR="00720FFE" w:rsidTr="00720FFE">
        <w:trPr>
          <w:cantSplit/>
        </w:trPr>
        <w:tc>
          <w:tcPr>
            <w:tcW w:w="1666" w:type="pct"/>
          </w:tcPr>
          <w:p w:rsidR="00720FFE" w:rsidRPr="0068018F" w:rsidRDefault="00720FFE" w:rsidP="00D73941">
            <w:pPr>
              <w:widowControl/>
              <w:jc w:val="left"/>
              <w:rPr>
                <w:rStyle w:val="CommentReference"/>
                <w:b w:val="0"/>
              </w:rPr>
            </w:pPr>
            <w:r>
              <w:rPr>
                <w:rStyle w:val="CommentReference"/>
                <w:b w:val="0"/>
              </w:rPr>
              <w:t xml:space="preserve">(2) </w:t>
            </w:r>
            <w:r w:rsidRPr="0068018F">
              <w:rPr>
                <w:rStyle w:val="CommentReference"/>
                <w:b w:val="0"/>
              </w:rPr>
              <w:t>The medical condition defined by the requested restriction is severe, progressive and expect</w:t>
            </w:r>
            <w:r>
              <w:rPr>
                <w:rStyle w:val="CommentReference"/>
                <w:b w:val="0"/>
              </w:rPr>
              <w:t xml:space="preserve">ed to lead to premature death. </w:t>
            </w:r>
            <w:r w:rsidRPr="0068018F">
              <w:rPr>
                <w:rStyle w:val="CommentReference"/>
                <w:b w:val="0"/>
              </w:rPr>
              <w:t>The more severe the condition, or the younger the age at which a person with the condition might die, or the closer a person with the condition is to death, the more influential the rule of rescue might be in consideration by the PBAC.</w:t>
            </w:r>
          </w:p>
        </w:tc>
        <w:tc>
          <w:tcPr>
            <w:tcW w:w="1667" w:type="pct"/>
          </w:tcPr>
          <w:p w:rsidR="00720FFE" w:rsidRPr="00C406D7" w:rsidRDefault="00720FFE" w:rsidP="00D73941">
            <w:pPr>
              <w:pStyle w:val="ListParagraph"/>
              <w:widowControl/>
              <w:numPr>
                <w:ilvl w:val="0"/>
                <w:numId w:val="3"/>
              </w:numPr>
              <w:ind w:left="277" w:hanging="277"/>
              <w:jc w:val="left"/>
              <w:rPr>
                <w:rStyle w:val="CommentReference"/>
                <w:b w:val="0"/>
              </w:rPr>
            </w:pPr>
            <w:r>
              <w:rPr>
                <w:rStyle w:val="CommentReference"/>
                <w:b w:val="0"/>
              </w:rPr>
              <w:t>Approximately 50% of patients die within the first 3.5 years of diagnosis.</w:t>
            </w:r>
          </w:p>
        </w:tc>
        <w:tc>
          <w:tcPr>
            <w:tcW w:w="1667" w:type="pct"/>
          </w:tcPr>
          <w:p w:rsidR="00720FFE" w:rsidRPr="00F16534" w:rsidRDefault="00720FFE" w:rsidP="00D73941">
            <w:pPr>
              <w:pStyle w:val="ListParagraph"/>
              <w:widowControl/>
              <w:numPr>
                <w:ilvl w:val="0"/>
                <w:numId w:val="3"/>
              </w:numPr>
              <w:ind w:left="297" w:hanging="297"/>
              <w:jc w:val="left"/>
              <w:rPr>
                <w:rStyle w:val="CommentReference"/>
                <w:b w:val="0"/>
              </w:rPr>
            </w:pPr>
            <w:r w:rsidRPr="00F16534">
              <w:rPr>
                <w:rStyle w:val="CommentReference"/>
                <w:b w:val="0"/>
              </w:rPr>
              <w:t xml:space="preserve">The clinical course of IPF is highly variable, characterised by a patient population of fast and slow </w:t>
            </w:r>
            <w:proofErr w:type="spellStart"/>
            <w:r w:rsidRPr="00F16534">
              <w:rPr>
                <w:rStyle w:val="CommentReference"/>
                <w:b w:val="0"/>
              </w:rPr>
              <w:t>progressors</w:t>
            </w:r>
            <w:proofErr w:type="spellEnd"/>
            <w:r w:rsidRPr="00F16534">
              <w:rPr>
                <w:rStyle w:val="CommentReference"/>
                <w:b w:val="0"/>
              </w:rPr>
              <w:t>.</w:t>
            </w:r>
          </w:p>
          <w:p w:rsidR="00720FFE" w:rsidRPr="00F16534" w:rsidRDefault="00720FFE" w:rsidP="00D73941">
            <w:pPr>
              <w:pStyle w:val="ListParagraph"/>
              <w:widowControl/>
              <w:numPr>
                <w:ilvl w:val="0"/>
                <w:numId w:val="3"/>
              </w:numPr>
              <w:ind w:left="297" w:hanging="297"/>
              <w:jc w:val="left"/>
              <w:rPr>
                <w:rStyle w:val="CommentReference"/>
                <w:b w:val="0"/>
              </w:rPr>
            </w:pPr>
            <w:r w:rsidRPr="00F16534">
              <w:rPr>
                <w:rStyle w:val="CommentReference"/>
                <w:b w:val="0"/>
              </w:rPr>
              <w:t>The submission indicates that variability in IPF progression results in a proportion of patients (approximately 20% who have not experienced an acute exacerbation) with survival of up to 10 years.</w:t>
            </w:r>
          </w:p>
        </w:tc>
      </w:tr>
      <w:tr w:rsidR="00720FFE" w:rsidTr="00720FFE">
        <w:trPr>
          <w:cantSplit/>
        </w:trPr>
        <w:tc>
          <w:tcPr>
            <w:tcW w:w="1666" w:type="pct"/>
          </w:tcPr>
          <w:p w:rsidR="00720FFE" w:rsidRPr="0068018F" w:rsidRDefault="00720FFE" w:rsidP="00D73941">
            <w:pPr>
              <w:widowControl/>
              <w:jc w:val="left"/>
              <w:rPr>
                <w:rStyle w:val="CommentReference"/>
                <w:b w:val="0"/>
              </w:rPr>
            </w:pPr>
            <w:r>
              <w:rPr>
                <w:rStyle w:val="CommentReference"/>
                <w:b w:val="0"/>
              </w:rPr>
              <w:lastRenderedPageBreak/>
              <w:t xml:space="preserve">(3) </w:t>
            </w:r>
            <w:r w:rsidRPr="0068018F">
              <w:rPr>
                <w:rStyle w:val="CommentReference"/>
                <w:b w:val="0"/>
              </w:rPr>
              <w:t xml:space="preserve">The medical condition defined by the requested restriction applies to only a </w:t>
            </w:r>
            <w:r>
              <w:rPr>
                <w:rStyle w:val="CommentReference"/>
                <w:b w:val="0"/>
              </w:rPr>
              <w:t xml:space="preserve">very small number of patients. </w:t>
            </w:r>
            <w:r w:rsidRPr="0068018F">
              <w:rPr>
                <w:rStyle w:val="CommentReference"/>
                <w:b w:val="0"/>
              </w:rPr>
              <w:t>Again, the fewer the patients, the more influential the rule of rescue might be in the consideration by PBAC.  However, PBAC is also mindful that the PBS is a community-based scheme and cannot cater for individual circumstances.</w:t>
            </w:r>
          </w:p>
        </w:tc>
        <w:tc>
          <w:tcPr>
            <w:tcW w:w="1667" w:type="pct"/>
          </w:tcPr>
          <w:p w:rsidR="00720FFE" w:rsidRDefault="00720FFE" w:rsidP="00D73941">
            <w:pPr>
              <w:pStyle w:val="ListParagraph"/>
              <w:widowControl/>
              <w:numPr>
                <w:ilvl w:val="0"/>
                <w:numId w:val="3"/>
              </w:numPr>
              <w:ind w:left="277" w:hanging="277"/>
              <w:jc w:val="left"/>
              <w:rPr>
                <w:rStyle w:val="CommentReference"/>
                <w:b w:val="0"/>
              </w:rPr>
            </w:pPr>
            <w:r>
              <w:rPr>
                <w:rStyle w:val="CommentReference"/>
                <w:b w:val="0"/>
              </w:rPr>
              <w:t xml:space="preserve">The submission estimates that the prevalence of IPF in Australia is 11.37/100,000, based on an average of prevalence rates identified in 12 publications (range: 1.25/100,000 to 27.9/100,000).  </w:t>
            </w:r>
          </w:p>
          <w:p w:rsidR="00720FFE" w:rsidRPr="00C406D7" w:rsidRDefault="00720FFE" w:rsidP="00D73941">
            <w:pPr>
              <w:pStyle w:val="ListParagraph"/>
              <w:widowControl/>
              <w:numPr>
                <w:ilvl w:val="0"/>
                <w:numId w:val="3"/>
              </w:numPr>
              <w:ind w:left="277" w:hanging="277"/>
              <w:jc w:val="left"/>
              <w:rPr>
                <w:rStyle w:val="CommentReference"/>
                <w:b w:val="0"/>
              </w:rPr>
            </w:pPr>
            <w:r>
              <w:rPr>
                <w:rStyle w:val="CommentReference"/>
                <w:b w:val="0"/>
              </w:rPr>
              <w:t>Incidence rates ranged from 0.22/100,000 to 9.13/100,000.</w:t>
            </w:r>
          </w:p>
        </w:tc>
        <w:tc>
          <w:tcPr>
            <w:tcW w:w="1667" w:type="pct"/>
          </w:tcPr>
          <w:p w:rsidR="00720FFE" w:rsidRPr="00F16534" w:rsidRDefault="00720FFE" w:rsidP="00D73941">
            <w:pPr>
              <w:pStyle w:val="ListParagraph"/>
              <w:widowControl/>
              <w:numPr>
                <w:ilvl w:val="0"/>
                <w:numId w:val="3"/>
              </w:numPr>
              <w:ind w:left="297" w:hanging="297"/>
              <w:jc w:val="left"/>
              <w:rPr>
                <w:rStyle w:val="CommentReference"/>
                <w:b w:val="0"/>
              </w:rPr>
            </w:pPr>
            <w:r w:rsidRPr="00F16534">
              <w:rPr>
                <w:rStyle w:val="CommentReference"/>
                <w:b w:val="0"/>
              </w:rPr>
              <w:t>There is limited epidemiological evidence to reliably determine the prevalence of IPF in Australia. Methods used by the submission are likely to underestimate the prevalence of IPF.</w:t>
            </w:r>
          </w:p>
        </w:tc>
      </w:tr>
      <w:tr w:rsidR="00720FFE" w:rsidTr="00720FFE">
        <w:trPr>
          <w:cantSplit/>
        </w:trPr>
        <w:tc>
          <w:tcPr>
            <w:tcW w:w="1666" w:type="pct"/>
          </w:tcPr>
          <w:p w:rsidR="00720FFE" w:rsidRPr="0068018F" w:rsidRDefault="00720FFE" w:rsidP="00D73941">
            <w:pPr>
              <w:widowControl/>
              <w:jc w:val="left"/>
              <w:rPr>
                <w:rStyle w:val="CommentReference"/>
                <w:b w:val="0"/>
              </w:rPr>
            </w:pPr>
            <w:r>
              <w:rPr>
                <w:rStyle w:val="CommentReference"/>
                <w:b w:val="0"/>
              </w:rPr>
              <w:t xml:space="preserve">(4) </w:t>
            </w:r>
            <w:r w:rsidRPr="0068018F">
              <w:rPr>
                <w:rStyle w:val="CommentReference"/>
                <w:b w:val="0"/>
              </w:rPr>
              <w:t>The proposed medicine provides a worthwhile clinical improvement sufficient to qualify as a res</w:t>
            </w:r>
            <w:r>
              <w:rPr>
                <w:rStyle w:val="CommentReference"/>
                <w:b w:val="0"/>
              </w:rPr>
              <w:t>cue from the medical condition.</w:t>
            </w:r>
            <w:r w:rsidRPr="0068018F">
              <w:rPr>
                <w:rStyle w:val="CommentReference"/>
                <w:b w:val="0"/>
              </w:rPr>
              <w:t xml:space="preserve"> The greater the rescue, the more influential the rule of rescue might be in the consideration by the PBAC.</w:t>
            </w:r>
          </w:p>
        </w:tc>
        <w:tc>
          <w:tcPr>
            <w:tcW w:w="1667" w:type="pct"/>
          </w:tcPr>
          <w:p w:rsidR="00720FFE" w:rsidRDefault="00720FFE" w:rsidP="00D73941">
            <w:pPr>
              <w:pStyle w:val="ListParagraph"/>
              <w:widowControl/>
              <w:numPr>
                <w:ilvl w:val="0"/>
                <w:numId w:val="3"/>
              </w:numPr>
              <w:ind w:left="277" w:hanging="277"/>
              <w:jc w:val="left"/>
              <w:rPr>
                <w:rStyle w:val="CommentReference"/>
                <w:b w:val="0"/>
              </w:rPr>
            </w:pPr>
            <w:r>
              <w:rPr>
                <w:rStyle w:val="CommentReference"/>
                <w:b w:val="0"/>
              </w:rPr>
              <w:t>Nintedanib is a disease modifying pharmacological intervention for IPF.</w:t>
            </w:r>
          </w:p>
          <w:p w:rsidR="00720FFE" w:rsidRPr="00C406D7" w:rsidRDefault="00720FFE" w:rsidP="00D73941">
            <w:pPr>
              <w:pStyle w:val="ListParagraph"/>
              <w:widowControl/>
              <w:numPr>
                <w:ilvl w:val="0"/>
                <w:numId w:val="3"/>
              </w:numPr>
              <w:ind w:left="277" w:hanging="277"/>
              <w:jc w:val="left"/>
              <w:rPr>
                <w:rStyle w:val="CommentReference"/>
                <w:b w:val="0"/>
              </w:rPr>
            </w:pPr>
            <w:r>
              <w:rPr>
                <w:rStyle w:val="CommentReference"/>
                <w:b w:val="0"/>
              </w:rPr>
              <w:t>Nintedanib is associated with: a significant reduction in the rate of pulmonary decline; statistically significant reduction in the proportion of patients that experienced an FVC%Pred decline; reduced incidence of acute IPF exacerbations; and trend towards improved survival.</w:t>
            </w:r>
          </w:p>
        </w:tc>
        <w:tc>
          <w:tcPr>
            <w:tcW w:w="1667" w:type="pct"/>
          </w:tcPr>
          <w:p w:rsidR="00720FFE" w:rsidRPr="00F16534" w:rsidRDefault="00720FFE" w:rsidP="00D73941">
            <w:pPr>
              <w:pStyle w:val="ListParagraph"/>
              <w:widowControl/>
              <w:numPr>
                <w:ilvl w:val="0"/>
                <w:numId w:val="3"/>
              </w:numPr>
              <w:ind w:left="297" w:hanging="297"/>
              <w:jc w:val="left"/>
              <w:rPr>
                <w:rStyle w:val="CommentReference"/>
                <w:b w:val="0"/>
              </w:rPr>
            </w:pPr>
            <w:r w:rsidRPr="00F16534">
              <w:rPr>
                <w:rStyle w:val="CommentReference"/>
                <w:b w:val="0"/>
              </w:rPr>
              <w:t>The impact upon patient relevant outcomes is limited (refer to clinical claim):</w:t>
            </w:r>
          </w:p>
          <w:p w:rsidR="00720FFE" w:rsidRPr="00F16534" w:rsidRDefault="00720FFE" w:rsidP="00D73941">
            <w:pPr>
              <w:pStyle w:val="ListParagraph"/>
              <w:widowControl/>
              <w:numPr>
                <w:ilvl w:val="1"/>
                <w:numId w:val="3"/>
              </w:numPr>
              <w:ind w:left="580" w:hanging="273"/>
              <w:jc w:val="left"/>
              <w:rPr>
                <w:rStyle w:val="CommentReference"/>
                <w:b w:val="0"/>
              </w:rPr>
            </w:pPr>
            <w:r w:rsidRPr="00F16534">
              <w:rPr>
                <w:rStyle w:val="CommentReference"/>
                <w:b w:val="0"/>
              </w:rPr>
              <w:t>No statistically significant difference was observed for overall survival (treated set analysis) or disease specific measures (SGRQ).</w:t>
            </w:r>
          </w:p>
          <w:p w:rsidR="00720FFE" w:rsidRPr="00F16534" w:rsidRDefault="00720FFE" w:rsidP="00D73941">
            <w:pPr>
              <w:pStyle w:val="ListParagraph"/>
              <w:widowControl/>
              <w:numPr>
                <w:ilvl w:val="1"/>
                <w:numId w:val="3"/>
              </w:numPr>
              <w:ind w:left="580" w:hanging="273"/>
              <w:jc w:val="left"/>
              <w:rPr>
                <w:rStyle w:val="CommentReference"/>
                <w:b w:val="0"/>
              </w:rPr>
            </w:pPr>
            <w:r w:rsidRPr="00F16534">
              <w:rPr>
                <w:rStyle w:val="CommentReference"/>
                <w:b w:val="0"/>
              </w:rPr>
              <w:t>FVC as a surrogate measure for mortality has not been adequately validated.</w:t>
            </w:r>
          </w:p>
        </w:tc>
      </w:tr>
    </w:tbl>
    <w:p w:rsidR="00720FFE" w:rsidRPr="00582AFC" w:rsidRDefault="00720FFE" w:rsidP="00D73941">
      <w:pPr>
        <w:widowControl/>
        <w:ind w:left="709"/>
      </w:pPr>
      <w:r>
        <w:rPr>
          <w:rStyle w:val="CommentReference"/>
          <w:b w:val="0"/>
          <w:sz w:val="18"/>
        </w:rPr>
        <w:t>Abbreviations: BSC = best supportive care; IPF = idiopathic pulmonary fibrosis; St George’s Respiratory Questionnaire = SGRQ.  Source: pp226-229 of the submission</w:t>
      </w:r>
    </w:p>
    <w:p w:rsidR="00720FFE" w:rsidRDefault="00720FFE" w:rsidP="00D73941">
      <w:pPr>
        <w:pStyle w:val="ListParagraph"/>
        <w:widowControl/>
      </w:pPr>
    </w:p>
    <w:p w:rsidR="00074656" w:rsidRPr="00F16534" w:rsidRDefault="00074656" w:rsidP="00D73941">
      <w:pPr>
        <w:pStyle w:val="ListParagraph"/>
        <w:widowControl/>
        <w:numPr>
          <w:ilvl w:val="1"/>
          <w:numId w:val="2"/>
        </w:numPr>
      </w:pPr>
      <w:r w:rsidRPr="00F16534">
        <w:t>Suggestions and additions proposed by the Secretariat to the requested listing are added in italics and suggested deletions are crossed out with strikethrough:</w:t>
      </w:r>
    </w:p>
    <w:p w:rsidR="002B7BFB" w:rsidRDefault="002B7BFB" w:rsidP="00D73941">
      <w:pPr>
        <w:keepNext/>
        <w:widowControl/>
      </w:pPr>
    </w:p>
    <w:tbl>
      <w:tblPr>
        <w:tblW w:w="8505" w:type="dxa"/>
        <w:tblInd w:w="817" w:type="dxa"/>
        <w:tblLayout w:type="fixed"/>
        <w:tblLook w:val="0000" w:firstRow="0" w:lastRow="0" w:firstColumn="0" w:lastColumn="0" w:noHBand="0" w:noVBand="0"/>
      </w:tblPr>
      <w:tblGrid>
        <w:gridCol w:w="1985"/>
        <w:gridCol w:w="567"/>
        <w:gridCol w:w="567"/>
        <w:gridCol w:w="2409"/>
        <w:gridCol w:w="1701"/>
        <w:gridCol w:w="1276"/>
      </w:tblGrid>
      <w:tr w:rsidR="00074656" w:rsidRPr="00260CE3" w:rsidTr="00074656">
        <w:trPr>
          <w:cantSplit/>
          <w:trHeight w:val="471"/>
        </w:trPr>
        <w:tc>
          <w:tcPr>
            <w:tcW w:w="1985" w:type="dxa"/>
            <w:tcBorders>
              <w:bottom w:val="single" w:sz="4" w:space="0" w:color="auto"/>
            </w:tcBorders>
          </w:tcPr>
          <w:p w:rsidR="00074656" w:rsidRPr="00260CE3" w:rsidRDefault="00074656" w:rsidP="00D73941">
            <w:pPr>
              <w:keepNext/>
              <w:widowControl/>
              <w:ind w:left="-108"/>
              <w:rPr>
                <w:rFonts w:ascii="Arial Narrow" w:hAnsi="Arial Narrow"/>
                <w:sz w:val="20"/>
              </w:rPr>
            </w:pPr>
            <w:r w:rsidRPr="00260CE3">
              <w:rPr>
                <w:rFonts w:ascii="Arial Narrow" w:hAnsi="Arial Narrow"/>
                <w:sz w:val="20"/>
              </w:rPr>
              <w:t>Name, Restriction,</w:t>
            </w:r>
          </w:p>
          <w:p w:rsidR="00074656" w:rsidRPr="00260CE3" w:rsidRDefault="00074656" w:rsidP="00D73941">
            <w:pPr>
              <w:keepNext/>
              <w:widowControl/>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rsidR="00074656" w:rsidRPr="00260CE3" w:rsidRDefault="00074656" w:rsidP="00D73941">
            <w:pPr>
              <w:keepNext/>
              <w:widowControl/>
              <w:ind w:left="-108"/>
              <w:rPr>
                <w:rFonts w:ascii="Arial Narrow" w:hAnsi="Arial Narrow"/>
                <w:sz w:val="20"/>
              </w:rPr>
            </w:pPr>
            <w:r w:rsidRPr="00260CE3">
              <w:rPr>
                <w:rFonts w:ascii="Arial Narrow" w:hAnsi="Arial Narrow"/>
                <w:sz w:val="20"/>
              </w:rPr>
              <w:t>Max.</w:t>
            </w:r>
          </w:p>
          <w:p w:rsidR="00074656" w:rsidRPr="00260CE3" w:rsidRDefault="00074656" w:rsidP="00D73941">
            <w:pPr>
              <w:keepNext/>
              <w:widowControl/>
              <w:ind w:left="-108"/>
              <w:rPr>
                <w:rFonts w:ascii="Arial Narrow" w:hAnsi="Arial Narrow"/>
                <w:sz w:val="20"/>
              </w:rPr>
            </w:pPr>
            <w:proofErr w:type="spellStart"/>
            <w:r w:rsidRPr="00260CE3">
              <w:rPr>
                <w:rFonts w:ascii="Arial Narrow" w:hAnsi="Arial Narrow"/>
                <w:sz w:val="20"/>
              </w:rPr>
              <w:t>Qty</w:t>
            </w:r>
            <w:proofErr w:type="spellEnd"/>
          </w:p>
        </w:tc>
        <w:tc>
          <w:tcPr>
            <w:tcW w:w="567" w:type="dxa"/>
            <w:tcBorders>
              <w:bottom w:val="single" w:sz="4" w:space="0" w:color="auto"/>
            </w:tcBorders>
          </w:tcPr>
          <w:p w:rsidR="00074656" w:rsidRPr="00260CE3" w:rsidRDefault="00074656" w:rsidP="00D73941">
            <w:pPr>
              <w:keepNext/>
              <w:widowControl/>
              <w:ind w:left="-108"/>
              <w:rPr>
                <w:rFonts w:ascii="Arial Narrow" w:hAnsi="Arial Narrow"/>
                <w:sz w:val="20"/>
              </w:rPr>
            </w:pPr>
            <w:r w:rsidRPr="00260CE3">
              <w:rPr>
                <w:rFonts w:ascii="Arial Narrow" w:hAnsi="Arial Narrow"/>
                <w:sz w:val="20"/>
              </w:rPr>
              <w:t>№.of</w:t>
            </w:r>
          </w:p>
          <w:p w:rsidR="00074656" w:rsidRPr="00260CE3" w:rsidRDefault="00074656" w:rsidP="00D73941">
            <w:pPr>
              <w:keepNext/>
              <w:widowControl/>
              <w:ind w:left="-108"/>
              <w:rPr>
                <w:rFonts w:ascii="Arial Narrow" w:hAnsi="Arial Narrow"/>
                <w:sz w:val="20"/>
              </w:rPr>
            </w:pPr>
            <w:proofErr w:type="spellStart"/>
            <w:r w:rsidRPr="00260CE3">
              <w:rPr>
                <w:rFonts w:ascii="Arial Narrow" w:hAnsi="Arial Narrow"/>
                <w:sz w:val="20"/>
              </w:rPr>
              <w:t>Rpts</w:t>
            </w:r>
            <w:proofErr w:type="spellEnd"/>
          </w:p>
        </w:tc>
        <w:tc>
          <w:tcPr>
            <w:tcW w:w="2409" w:type="dxa"/>
            <w:tcBorders>
              <w:bottom w:val="single" w:sz="4" w:space="0" w:color="auto"/>
            </w:tcBorders>
          </w:tcPr>
          <w:p w:rsidR="00074656" w:rsidRPr="00260CE3" w:rsidRDefault="00074656" w:rsidP="00D73941">
            <w:pPr>
              <w:keepNext/>
              <w:widowControl/>
              <w:ind w:left="-108"/>
              <w:rPr>
                <w:rFonts w:ascii="Arial Narrow" w:hAnsi="Arial Narrow"/>
                <w:sz w:val="20"/>
              </w:rPr>
            </w:pPr>
            <w:r w:rsidRPr="00260CE3">
              <w:rPr>
                <w:rFonts w:ascii="Arial Narrow" w:hAnsi="Arial Narrow"/>
                <w:sz w:val="20"/>
              </w:rPr>
              <w:t xml:space="preserve">Dispensed Price for Max. </w:t>
            </w:r>
            <w:proofErr w:type="spellStart"/>
            <w:r w:rsidRPr="00260CE3">
              <w:rPr>
                <w:rFonts w:ascii="Arial Narrow" w:hAnsi="Arial Narrow"/>
                <w:sz w:val="20"/>
              </w:rPr>
              <w:t>Qty</w:t>
            </w:r>
            <w:proofErr w:type="spellEnd"/>
          </w:p>
        </w:tc>
        <w:tc>
          <w:tcPr>
            <w:tcW w:w="2977" w:type="dxa"/>
            <w:gridSpan w:val="2"/>
            <w:tcBorders>
              <w:bottom w:val="single" w:sz="4" w:space="0" w:color="auto"/>
            </w:tcBorders>
          </w:tcPr>
          <w:p w:rsidR="00074656" w:rsidRPr="00260CE3" w:rsidRDefault="00074656" w:rsidP="00D73941">
            <w:pPr>
              <w:keepNext/>
              <w:widowControl/>
              <w:rPr>
                <w:rFonts w:ascii="Arial Narrow" w:hAnsi="Arial Narrow"/>
                <w:sz w:val="20"/>
                <w:lang w:val="fr-FR"/>
              </w:rPr>
            </w:pPr>
            <w:r w:rsidRPr="00260CE3">
              <w:rPr>
                <w:rFonts w:ascii="Arial Narrow" w:hAnsi="Arial Narrow"/>
                <w:sz w:val="20"/>
              </w:rPr>
              <w:t>Proprietary Name and Manufacturer</w:t>
            </w:r>
          </w:p>
        </w:tc>
      </w:tr>
      <w:tr w:rsidR="00074656" w:rsidRPr="00260CE3" w:rsidTr="00074656">
        <w:trPr>
          <w:cantSplit/>
          <w:trHeight w:val="553"/>
        </w:trPr>
        <w:tc>
          <w:tcPr>
            <w:tcW w:w="1985" w:type="dxa"/>
          </w:tcPr>
          <w:p w:rsidR="00074656" w:rsidRPr="00260CE3" w:rsidRDefault="00074656" w:rsidP="00D73941">
            <w:pPr>
              <w:keepNext/>
              <w:widowControl/>
              <w:ind w:left="-108"/>
              <w:rPr>
                <w:rFonts w:ascii="Arial Narrow" w:hAnsi="Arial Narrow"/>
                <w:sz w:val="20"/>
              </w:rPr>
            </w:pPr>
            <w:r>
              <w:rPr>
                <w:rFonts w:ascii="Arial Narrow" w:hAnsi="Arial Narrow"/>
                <w:smallCaps/>
                <w:sz w:val="20"/>
              </w:rPr>
              <w:t>NINTEDANIB</w:t>
            </w:r>
          </w:p>
          <w:p w:rsidR="00074656" w:rsidRPr="00260CE3" w:rsidRDefault="00074656" w:rsidP="00D73941">
            <w:pPr>
              <w:keepNext/>
              <w:widowControl/>
              <w:ind w:left="-108"/>
              <w:rPr>
                <w:rFonts w:ascii="Arial Narrow" w:hAnsi="Arial Narrow"/>
                <w:sz w:val="20"/>
              </w:rPr>
            </w:pPr>
            <w:r>
              <w:rPr>
                <w:rFonts w:ascii="Arial Narrow" w:hAnsi="Arial Narrow"/>
                <w:sz w:val="20"/>
              </w:rPr>
              <w:t>100 mg capsule, 60</w:t>
            </w:r>
          </w:p>
        </w:tc>
        <w:tc>
          <w:tcPr>
            <w:tcW w:w="567" w:type="dxa"/>
          </w:tcPr>
          <w:p w:rsidR="00074656" w:rsidRPr="00260CE3" w:rsidRDefault="00074656" w:rsidP="00D73941">
            <w:pPr>
              <w:keepNext/>
              <w:widowControl/>
              <w:ind w:left="-108"/>
              <w:rPr>
                <w:rFonts w:ascii="Arial Narrow" w:hAnsi="Arial Narrow"/>
                <w:sz w:val="20"/>
              </w:rPr>
            </w:pPr>
          </w:p>
          <w:p w:rsidR="00074656" w:rsidRPr="00260CE3" w:rsidRDefault="00074656" w:rsidP="00D73941">
            <w:pPr>
              <w:keepNext/>
              <w:widowControl/>
              <w:ind w:left="-108"/>
              <w:rPr>
                <w:rFonts w:ascii="Arial Narrow" w:hAnsi="Arial Narrow"/>
                <w:sz w:val="20"/>
              </w:rPr>
            </w:pPr>
            <w:r>
              <w:rPr>
                <w:rFonts w:ascii="Arial Narrow" w:hAnsi="Arial Narrow"/>
                <w:sz w:val="20"/>
              </w:rPr>
              <w:t>1</w:t>
            </w:r>
          </w:p>
        </w:tc>
        <w:tc>
          <w:tcPr>
            <w:tcW w:w="567" w:type="dxa"/>
          </w:tcPr>
          <w:p w:rsidR="00074656" w:rsidRPr="00260CE3" w:rsidRDefault="00074656" w:rsidP="00D73941">
            <w:pPr>
              <w:keepNext/>
              <w:widowControl/>
              <w:ind w:left="-108"/>
              <w:rPr>
                <w:rFonts w:ascii="Arial Narrow" w:hAnsi="Arial Narrow"/>
                <w:sz w:val="20"/>
              </w:rPr>
            </w:pPr>
          </w:p>
          <w:p w:rsidR="00074656" w:rsidRPr="00260CE3" w:rsidRDefault="00074656" w:rsidP="00D73941">
            <w:pPr>
              <w:keepNext/>
              <w:widowControl/>
              <w:ind w:left="-108"/>
              <w:rPr>
                <w:rFonts w:ascii="Arial Narrow" w:hAnsi="Arial Narrow"/>
                <w:sz w:val="20"/>
              </w:rPr>
            </w:pPr>
            <w:r>
              <w:rPr>
                <w:rFonts w:ascii="Arial Narrow" w:hAnsi="Arial Narrow"/>
                <w:sz w:val="20"/>
              </w:rPr>
              <w:t>5</w:t>
            </w:r>
          </w:p>
        </w:tc>
        <w:tc>
          <w:tcPr>
            <w:tcW w:w="2409" w:type="dxa"/>
          </w:tcPr>
          <w:p w:rsidR="00074656" w:rsidRPr="00EC7A97" w:rsidRDefault="00074656" w:rsidP="00D73941">
            <w:pPr>
              <w:keepNext/>
              <w:widowControl/>
              <w:ind w:left="-108"/>
              <w:rPr>
                <w:rFonts w:ascii="Arial Narrow" w:hAnsi="Arial Narrow"/>
                <w:sz w:val="20"/>
              </w:rPr>
            </w:pPr>
          </w:p>
          <w:p w:rsidR="00074656" w:rsidRPr="00EC7A97" w:rsidRDefault="00074656" w:rsidP="00D73941">
            <w:pPr>
              <w:keepNext/>
              <w:widowControl/>
              <w:ind w:left="-108"/>
              <w:rPr>
                <w:rFonts w:ascii="Arial Narrow" w:hAnsi="Arial Narrow"/>
                <w:sz w:val="20"/>
              </w:rPr>
            </w:pPr>
            <w:r w:rsidRPr="00EC7A97">
              <w:rPr>
                <w:rFonts w:ascii="Arial Narrow" w:hAnsi="Arial Narrow"/>
                <w:sz w:val="20"/>
              </w:rPr>
              <w:t>$</w:t>
            </w:r>
            <w:r w:rsidR="00ED4A35">
              <w:rPr>
                <w:rFonts w:ascii="Arial Narrow" w:hAnsi="Arial Narrow"/>
                <w:noProof/>
                <w:color w:val="000000"/>
                <w:sz w:val="20"/>
                <w:highlight w:val="black"/>
              </w:rPr>
              <w:t>''''''''''''''''''</w:t>
            </w:r>
            <w:r w:rsidRPr="00EC7A97">
              <w:rPr>
                <w:rFonts w:ascii="Arial Narrow" w:hAnsi="Arial Narrow"/>
                <w:sz w:val="20"/>
              </w:rPr>
              <w:t xml:space="preserve"> </w:t>
            </w:r>
            <w:r w:rsidRPr="00EC7A97">
              <w:rPr>
                <w:rFonts w:ascii="Arial Narrow" w:hAnsi="Arial Narrow"/>
                <w:sz w:val="20"/>
              </w:rPr>
              <w:br/>
              <w:t>($</w:t>
            </w:r>
            <w:r w:rsidR="00ED4A35">
              <w:rPr>
                <w:rFonts w:ascii="Arial Narrow" w:hAnsi="Arial Narrow"/>
                <w:noProof/>
                <w:color w:val="000000"/>
                <w:sz w:val="20"/>
                <w:highlight w:val="black"/>
              </w:rPr>
              <w:t>''''''''''''''''</w:t>
            </w:r>
            <w:r w:rsidRPr="00EC7A97">
              <w:rPr>
                <w:rFonts w:ascii="Arial Narrow" w:hAnsi="Arial Narrow"/>
                <w:sz w:val="20"/>
              </w:rPr>
              <w:t xml:space="preserve"> after rebate)</w:t>
            </w:r>
          </w:p>
        </w:tc>
        <w:tc>
          <w:tcPr>
            <w:tcW w:w="1701" w:type="dxa"/>
          </w:tcPr>
          <w:p w:rsidR="00074656" w:rsidRPr="00260CE3" w:rsidRDefault="00074656" w:rsidP="00D73941">
            <w:pPr>
              <w:keepNext/>
              <w:widowControl/>
              <w:rPr>
                <w:rFonts w:ascii="Arial Narrow" w:hAnsi="Arial Narrow"/>
                <w:sz w:val="20"/>
              </w:rPr>
            </w:pPr>
            <w:proofErr w:type="spellStart"/>
            <w:r>
              <w:rPr>
                <w:rFonts w:ascii="Arial Narrow" w:hAnsi="Arial Narrow"/>
                <w:sz w:val="20"/>
              </w:rPr>
              <w:t>Ofev</w:t>
            </w:r>
            <w:proofErr w:type="spellEnd"/>
            <w:r>
              <w:rPr>
                <w:rFonts w:ascii="Arial Narrow" w:hAnsi="Arial Narrow"/>
                <w:sz w:val="20"/>
              </w:rPr>
              <w:t>®</w:t>
            </w:r>
          </w:p>
        </w:tc>
        <w:tc>
          <w:tcPr>
            <w:tcW w:w="1276" w:type="dxa"/>
          </w:tcPr>
          <w:p w:rsidR="00074656" w:rsidRPr="00260CE3" w:rsidRDefault="00074656" w:rsidP="00D73941">
            <w:pPr>
              <w:keepNext/>
              <w:widowControl/>
              <w:rPr>
                <w:rFonts w:ascii="Arial Narrow" w:hAnsi="Arial Narrow"/>
                <w:sz w:val="20"/>
              </w:rPr>
            </w:pPr>
            <w:r>
              <w:rPr>
                <w:rFonts w:ascii="Arial Narrow" w:hAnsi="Arial Narrow"/>
                <w:sz w:val="20"/>
              </w:rPr>
              <w:t>BY</w:t>
            </w:r>
          </w:p>
        </w:tc>
      </w:tr>
      <w:tr w:rsidR="00074656" w:rsidRPr="00260CE3" w:rsidTr="00074656">
        <w:trPr>
          <w:cantSplit/>
          <w:trHeight w:val="577"/>
        </w:trPr>
        <w:tc>
          <w:tcPr>
            <w:tcW w:w="1985" w:type="dxa"/>
          </w:tcPr>
          <w:p w:rsidR="00074656" w:rsidRDefault="00074656" w:rsidP="00D73941">
            <w:pPr>
              <w:keepNext/>
              <w:widowControl/>
              <w:ind w:left="-108"/>
              <w:rPr>
                <w:rFonts w:ascii="Arial Narrow" w:hAnsi="Arial Narrow"/>
                <w:smallCaps/>
                <w:sz w:val="20"/>
              </w:rPr>
            </w:pPr>
            <w:r>
              <w:rPr>
                <w:rFonts w:ascii="Arial Narrow" w:hAnsi="Arial Narrow"/>
                <w:sz w:val="20"/>
              </w:rPr>
              <w:t>150 mg capsule, 60</w:t>
            </w:r>
          </w:p>
        </w:tc>
        <w:tc>
          <w:tcPr>
            <w:tcW w:w="567" w:type="dxa"/>
          </w:tcPr>
          <w:p w:rsidR="00074656" w:rsidRPr="00260CE3" w:rsidRDefault="00074656" w:rsidP="00D73941">
            <w:pPr>
              <w:keepNext/>
              <w:widowControl/>
              <w:ind w:left="-108"/>
              <w:rPr>
                <w:rFonts w:ascii="Arial Narrow" w:hAnsi="Arial Narrow"/>
                <w:sz w:val="20"/>
              </w:rPr>
            </w:pPr>
            <w:r>
              <w:rPr>
                <w:rFonts w:ascii="Arial Narrow" w:hAnsi="Arial Narrow"/>
                <w:sz w:val="20"/>
              </w:rPr>
              <w:t>1</w:t>
            </w:r>
          </w:p>
        </w:tc>
        <w:tc>
          <w:tcPr>
            <w:tcW w:w="567" w:type="dxa"/>
          </w:tcPr>
          <w:p w:rsidR="00074656" w:rsidRPr="00260CE3" w:rsidRDefault="00074656" w:rsidP="00D73941">
            <w:pPr>
              <w:keepNext/>
              <w:widowControl/>
              <w:ind w:left="-108"/>
              <w:rPr>
                <w:rFonts w:ascii="Arial Narrow" w:hAnsi="Arial Narrow"/>
                <w:sz w:val="20"/>
              </w:rPr>
            </w:pPr>
            <w:r>
              <w:rPr>
                <w:rFonts w:ascii="Arial Narrow" w:hAnsi="Arial Narrow"/>
                <w:sz w:val="20"/>
              </w:rPr>
              <w:t>5</w:t>
            </w:r>
          </w:p>
        </w:tc>
        <w:tc>
          <w:tcPr>
            <w:tcW w:w="2409" w:type="dxa"/>
          </w:tcPr>
          <w:p w:rsidR="00074656" w:rsidRPr="00EC7A97" w:rsidRDefault="00074656" w:rsidP="00D73941">
            <w:pPr>
              <w:keepNext/>
              <w:widowControl/>
              <w:ind w:left="-108"/>
              <w:rPr>
                <w:rFonts w:ascii="Arial Narrow" w:hAnsi="Arial Narrow"/>
                <w:sz w:val="20"/>
              </w:rPr>
            </w:pPr>
            <w:r w:rsidRPr="00EC7A97">
              <w:rPr>
                <w:rFonts w:ascii="Arial Narrow" w:hAnsi="Arial Narrow"/>
                <w:sz w:val="20"/>
              </w:rPr>
              <w:t>$</w:t>
            </w:r>
            <w:r w:rsidR="00ED4A35">
              <w:rPr>
                <w:rFonts w:ascii="Arial Narrow" w:hAnsi="Arial Narrow"/>
                <w:noProof/>
                <w:color w:val="000000"/>
                <w:sz w:val="20"/>
                <w:highlight w:val="black"/>
              </w:rPr>
              <w:t>'''''''''''''''''''</w:t>
            </w:r>
            <w:r w:rsidRPr="00EC7A97">
              <w:rPr>
                <w:rFonts w:ascii="Arial Narrow" w:hAnsi="Arial Narrow"/>
                <w:sz w:val="20"/>
              </w:rPr>
              <w:br/>
              <w:t>($</w:t>
            </w:r>
            <w:r w:rsidR="00ED4A35">
              <w:rPr>
                <w:rFonts w:ascii="Arial Narrow" w:hAnsi="Arial Narrow"/>
                <w:noProof/>
                <w:color w:val="000000"/>
                <w:sz w:val="20"/>
                <w:highlight w:val="black"/>
              </w:rPr>
              <w:t>'''''''''''''''''''''</w:t>
            </w:r>
            <w:r w:rsidRPr="00EC7A97">
              <w:rPr>
                <w:rFonts w:ascii="Arial Narrow" w:hAnsi="Arial Narrow"/>
                <w:sz w:val="20"/>
              </w:rPr>
              <w:t xml:space="preserve"> after rebate)</w:t>
            </w:r>
          </w:p>
        </w:tc>
        <w:tc>
          <w:tcPr>
            <w:tcW w:w="1701" w:type="dxa"/>
          </w:tcPr>
          <w:p w:rsidR="00074656" w:rsidRPr="00260CE3" w:rsidRDefault="00074656" w:rsidP="00D73941">
            <w:pPr>
              <w:keepNext/>
              <w:widowControl/>
              <w:rPr>
                <w:rFonts w:ascii="Arial Narrow" w:hAnsi="Arial Narrow"/>
                <w:sz w:val="20"/>
              </w:rPr>
            </w:pPr>
          </w:p>
        </w:tc>
        <w:tc>
          <w:tcPr>
            <w:tcW w:w="1276" w:type="dxa"/>
          </w:tcPr>
          <w:p w:rsidR="00074656" w:rsidRPr="00260CE3" w:rsidRDefault="00074656" w:rsidP="00D73941">
            <w:pPr>
              <w:keepNext/>
              <w:widowControl/>
              <w:rPr>
                <w:rFonts w:ascii="Arial Narrow" w:hAnsi="Arial Narrow"/>
                <w:sz w:val="20"/>
              </w:rPr>
            </w:pPr>
          </w:p>
        </w:tc>
      </w:tr>
      <w:tr w:rsidR="00074656" w:rsidRPr="00260CE3" w:rsidTr="00074656">
        <w:trPr>
          <w:cantSplit/>
          <w:trHeight w:val="360"/>
        </w:trPr>
        <w:tc>
          <w:tcPr>
            <w:tcW w:w="1985" w:type="dxa"/>
            <w:tcBorders>
              <w:top w:val="single" w:sz="4" w:space="0" w:color="auto"/>
              <w:left w:val="single" w:sz="4" w:space="0" w:color="auto"/>
              <w:bottom w:val="single" w:sz="4" w:space="0" w:color="auto"/>
              <w:right w:val="single" w:sz="4" w:space="0" w:color="auto"/>
            </w:tcBorders>
          </w:tcPr>
          <w:p w:rsidR="00074656" w:rsidRPr="00260CE3" w:rsidRDefault="00074656" w:rsidP="00D73941">
            <w:pPr>
              <w:widowControl/>
              <w:rPr>
                <w:rFonts w:ascii="Arial Narrow" w:hAnsi="Arial Narrow"/>
                <w:b/>
                <w:sz w:val="20"/>
              </w:rPr>
            </w:pPr>
            <w:r w:rsidRPr="00260CE3">
              <w:rPr>
                <w:rFonts w:ascii="Arial Narrow" w:hAnsi="Arial Narrow"/>
                <w:b/>
                <w:sz w:val="20"/>
              </w:rPr>
              <w:t xml:space="preserve">Category / </w:t>
            </w:r>
          </w:p>
          <w:p w:rsidR="00074656" w:rsidRPr="00260CE3" w:rsidRDefault="00074656" w:rsidP="00D73941">
            <w:pPr>
              <w:widowControl/>
              <w:rPr>
                <w:rFonts w:ascii="Arial Narrow" w:hAnsi="Arial Narrow"/>
                <w:b/>
                <w:sz w:val="20"/>
              </w:rPr>
            </w:pPr>
            <w:r w:rsidRPr="00260CE3">
              <w:rPr>
                <w:rFonts w:ascii="Arial Narrow" w:hAnsi="Arial Narrow"/>
                <w:b/>
                <w:sz w:val="20"/>
              </w:rPr>
              <w:t>Program</w:t>
            </w:r>
          </w:p>
        </w:tc>
        <w:tc>
          <w:tcPr>
            <w:tcW w:w="6520" w:type="dxa"/>
            <w:gridSpan w:val="5"/>
            <w:tcBorders>
              <w:top w:val="single" w:sz="4" w:space="0" w:color="auto"/>
              <w:left w:val="single" w:sz="4" w:space="0" w:color="auto"/>
              <w:bottom w:val="single" w:sz="4" w:space="0" w:color="auto"/>
              <w:right w:val="single" w:sz="4" w:space="0" w:color="auto"/>
            </w:tcBorders>
          </w:tcPr>
          <w:p w:rsidR="00074656" w:rsidRPr="00260CE3" w:rsidRDefault="00074656" w:rsidP="00D73941">
            <w:pPr>
              <w:widowControl/>
              <w:rPr>
                <w:rFonts w:ascii="Arial Narrow" w:hAnsi="Arial Narrow"/>
                <w:sz w:val="20"/>
              </w:rPr>
            </w:pPr>
            <w:r w:rsidRPr="00260CE3">
              <w:rPr>
                <w:rFonts w:ascii="Arial Narrow" w:hAnsi="Arial Narrow"/>
                <w:sz w:val="20"/>
              </w:rPr>
              <w:t>GENER</w:t>
            </w:r>
            <w:r>
              <w:rPr>
                <w:rFonts w:ascii="Arial Narrow" w:hAnsi="Arial Narrow"/>
                <w:sz w:val="20"/>
              </w:rPr>
              <w:t>AL – General Schedule (Code GE)</w:t>
            </w:r>
          </w:p>
        </w:tc>
      </w:tr>
      <w:tr w:rsidR="00074656" w:rsidRPr="00260CE3" w:rsidTr="00074656">
        <w:trPr>
          <w:cantSplit/>
          <w:trHeight w:val="360"/>
        </w:trPr>
        <w:tc>
          <w:tcPr>
            <w:tcW w:w="1985" w:type="dxa"/>
            <w:tcBorders>
              <w:top w:val="single" w:sz="4" w:space="0" w:color="auto"/>
              <w:left w:val="single" w:sz="4" w:space="0" w:color="auto"/>
              <w:bottom w:val="single" w:sz="4" w:space="0" w:color="auto"/>
              <w:right w:val="single" w:sz="4" w:space="0" w:color="auto"/>
            </w:tcBorders>
          </w:tcPr>
          <w:p w:rsidR="00074656" w:rsidRPr="00260CE3" w:rsidRDefault="00074656" w:rsidP="00D73941">
            <w:pPr>
              <w:widowControl/>
              <w:rPr>
                <w:rFonts w:ascii="Arial Narrow" w:hAnsi="Arial Narrow"/>
                <w:b/>
                <w:sz w:val="20"/>
              </w:rPr>
            </w:pPr>
            <w:r w:rsidRPr="00260CE3">
              <w:rPr>
                <w:rFonts w:ascii="Arial Narrow" w:hAnsi="Arial Narrow"/>
                <w:b/>
                <w:sz w:val="20"/>
              </w:rPr>
              <w:t>Prescriber type:</w:t>
            </w:r>
          </w:p>
        </w:tc>
        <w:tc>
          <w:tcPr>
            <w:tcW w:w="6520" w:type="dxa"/>
            <w:gridSpan w:val="5"/>
            <w:tcBorders>
              <w:top w:val="single" w:sz="4" w:space="0" w:color="auto"/>
              <w:left w:val="single" w:sz="4" w:space="0" w:color="auto"/>
              <w:bottom w:val="single" w:sz="4" w:space="0" w:color="auto"/>
              <w:right w:val="single" w:sz="4" w:space="0" w:color="auto"/>
            </w:tcBorders>
          </w:tcPr>
          <w:p w:rsidR="00074656" w:rsidRPr="00260CE3" w:rsidRDefault="00074656" w:rsidP="00D73941">
            <w:pPr>
              <w:widowControl/>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A108E2">
              <w:rPr>
                <w:rFonts w:ascii="Arial Narrow" w:hAnsi="Arial Narrow"/>
                <w:sz w:val="20"/>
              </w:rPr>
            </w:r>
            <w:r w:rsidR="00A108E2">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A108E2">
              <w:rPr>
                <w:rFonts w:ascii="Arial Narrow" w:hAnsi="Arial Narrow"/>
                <w:sz w:val="20"/>
              </w:rPr>
            </w:r>
            <w:r w:rsidR="00A108E2">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A108E2">
              <w:rPr>
                <w:rFonts w:ascii="Arial Narrow" w:hAnsi="Arial Narrow"/>
                <w:sz w:val="20"/>
              </w:rPr>
            </w:r>
            <w:r w:rsidR="00A108E2">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A108E2">
              <w:rPr>
                <w:rFonts w:ascii="Arial Narrow" w:hAnsi="Arial Narrow"/>
                <w:sz w:val="20"/>
              </w:rPr>
            </w:r>
            <w:r w:rsidR="00A108E2">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074656" w:rsidRPr="00260CE3" w:rsidRDefault="00074656" w:rsidP="00D73941">
            <w:pPr>
              <w:widowControl/>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A108E2">
              <w:rPr>
                <w:rFonts w:ascii="Arial Narrow" w:hAnsi="Arial Narrow"/>
                <w:sz w:val="20"/>
              </w:rPr>
            </w:r>
            <w:r w:rsidR="00A108E2">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074656" w:rsidRPr="00260CE3" w:rsidTr="00074656">
        <w:trPr>
          <w:cantSplit/>
          <w:trHeight w:val="360"/>
        </w:trPr>
        <w:tc>
          <w:tcPr>
            <w:tcW w:w="1985" w:type="dxa"/>
            <w:tcBorders>
              <w:top w:val="single" w:sz="4" w:space="0" w:color="auto"/>
              <w:left w:val="single" w:sz="4" w:space="0" w:color="auto"/>
              <w:bottom w:val="single" w:sz="4" w:space="0" w:color="auto"/>
              <w:right w:val="single" w:sz="4" w:space="0" w:color="auto"/>
            </w:tcBorders>
          </w:tcPr>
          <w:p w:rsidR="00074656" w:rsidRPr="00260CE3" w:rsidRDefault="00074656" w:rsidP="00D73941">
            <w:pPr>
              <w:widowControl/>
              <w:rPr>
                <w:rFonts w:ascii="Arial Narrow" w:hAnsi="Arial Narrow"/>
                <w:b/>
                <w:sz w:val="20"/>
              </w:rPr>
            </w:pPr>
            <w:r w:rsidRPr="00260CE3">
              <w:rPr>
                <w:rFonts w:ascii="Arial Narrow" w:hAnsi="Arial Narrow"/>
                <w:b/>
                <w:sz w:val="20"/>
              </w:rPr>
              <w:t>Severity:</w:t>
            </w:r>
          </w:p>
        </w:tc>
        <w:tc>
          <w:tcPr>
            <w:tcW w:w="6520" w:type="dxa"/>
            <w:gridSpan w:val="5"/>
            <w:tcBorders>
              <w:top w:val="single" w:sz="4" w:space="0" w:color="auto"/>
              <w:left w:val="single" w:sz="4" w:space="0" w:color="auto"/>
              <w:bottom w:val="single" w:sz="4" w:space="0" w:color="auto"/>
              <w:right w:val="single" w:sz="4" w:space="0" w:color="auto"/>
            </w:tcBorders>
          </w:tcPr>
          <w:p w:rsidR="00074656" w:rsidRPr="00260CE3" w:rsidRDefault="00074656" w:rsidP="00D73941">
            <w:pPr>
              <w:widowControl/>
              <w:rPr>
                <w:rFonts w:ascii="Arial Narrow" w:hAnsi="Arial Narrow"/>
                <w:sz w:val="20"/>
              </w:rPr>
            </w:pPr>
            <w:r w:rsidRPr="00F1509E">
              <w:rPr>
                <w:rFonts w:ascii="Arial Narrow" w:hAnsi="Arial Narrow"/>
                <w:sz w:val="20"/>
              </w:rPr>
              <w:t>Mild to moderate</w:t>
            </w:r>
          </w:p>
        </w:tc>
      </w:tr>
      <w:tr w:rsidR="00074656" w:rsidRPr="00260CE3" w:rsidTr="00074656">
        <w:trPr>
          <w:cantSplit/>
          <w:trHeight w:val="360"/>
        </w:trPr>
        <w:tc>
          <w:tcPr>
            <w:tcW w:w="1985" w:type="dxa"/>
            <w:tcBorders>
              <w:top w:val="single" w:sz="4" w:space="0" w:color="auto"/>
              <w:left w:val="single" w:sz="4" w:space="0" w:color="auto"/>
              <w:bottom w:val="single" w:sz="4" w:space="0" w:color="auto"/>
              <w:right w:val="single" w:sz="4" w:space="0" w:color="auto"/>
            </w:tcBorders>
          </w:tcPr>
          <w:p w:rsidR="00074656" w:rsidRPr="00260CE3" w:rsidRDefault="00074656" w:rsidP="00D73941">
            <w:pPr>
              <w:widowControl/>
              <w:rPr>
                <w:rFonts w:ascii="Arial Narrow" w:hAnsi="Arial Narrow"/>
                <w:b/>
                <w:sz w:val="20"/>
              </w:rPr>
            </w:pPr>
            <w:r w:rsidRPr="00260CE3">
              <w:rPr>
                <w:rFonts w:ascii="Arial Narrow" w:hAnsi="Arial Narrow"/>
                <w:b/>
                <w:sz w:val="20"/>
              </w:rPr>
              <w:t>Condition:</w:t>
            </w:r>
          </w:p>
        </w:tc>
        <w:tc>
          <w:tcPr>
            <w:tcW w:w="6520" w:type="dxa"/>
            <w:gridSpan w:val="5"/>
            <w:tcBorders>
              <w:top w:val="single" w:sz="4" w:space="0" w:color="auto"/>
              <w:left w:val="single" w:sz="4" w:space="0" w:color="auto"/>
              <w:bottom w:val="single" w:sz="4" w:space="0" w:color="auto"/>
              <w:right w:val="single" w:sz="4" w:space="0" w:color="auto"/>
            </w:tcBorders>
          </w:tcPr>
          <w:p w:rsidR="00074656" w:rsidRPr="00260CE3" w:rsidRDefault="00074656" w:rsidP="00D73941">
            <w:pPr>
              <w:widowControl/>
              <w:rPr>
                <w:rFonts w:ascii="Arial Narrow" w:hAnsi="Arial Narrow"/>
                <w:sz w:val="20"/>
              </w:rPr>
            </w:pPr>
            <w:r w:rsidRPr="00F1509E">
              <w:rPr>
                <w:rFonts w:ascii="Arial Narrow" w:hAnsi="Arial Narrow"/>
                <w:sz w:val="20"/>
              </w:rPr>
              <w:t>Idi</w:t>
            </w:r>
            <w:r>
              <w:rPr>
                <w:rFonts w:ascii="Arial Narrow" w:hAnsi="Arial Narrow"/>
                <w:sz w:val="20"/>
              </w:rPr>
              <w:t>opathic pulmonary fibrosis</w:t>
            </w:r>
          </w:p>
        </w:tc>
      </w:tr>
      <w:tr w:rsidR="00074656" w:rsidRPr="00260CE3" w:rsidTr="00074656">
        <w:trPr>
          <w:cantSplit/>
          <w:trHeight w:val="360"/>
        </w:trPr>
        <w:tc>
          <w:tcPr>
            <w:tcW w:w="1985" w:type="dxa"/>
            <w:tcBorders>
              <w:top w:val="single" w:sz="4" w:space="0" w:color="auto"/>
              <w:left w:val="single" w:sz="4" w:space="0" w:color="auto"/>
              <w:bottom w:val="single" w:sz="4" w:space="0" w:color="auto"/>
              <w:right w:val="single" w:sz="4" w:space="0" w:color="auto"/>
            </w:tcBorders>
          </w:tcPr>
          <w:p w:rsidR="00074656" w:rsidRPr="00260CE3" w:rsidRDefault="00074656" w:rsidP="00D73941">
            <w:pPr>
              <w:widowControl/>
              <w:rPr>
                <w:rFonts w:ascii="Arial Narrow" w:hAnsi="Arial Narrow"/>
                <w:b/>
                <w:sz w:val="20"/>
              </w:rPr>
            </w:pPr>
            <w:r w:rsidRPr="00260CE3">
              <w:rPr>
                <w:rFonts w:ascii="Arial Narrow" w:hAnsi="Arial Narrow"/>
                <w:b/>
                <w:sz w:val="20"/>
              </w:rPr>
              <w:t>PBS Indication:</w:t>
            </w:r>
          </w:p>
        </w:tc>
        <w:tc>
          <w:tcPr>
            <w:tcW w:w="6520" w:type="dxa"/>
            <w:gridSpan w:val="5"/>
            <w:tcBorders>
              <w:top w:val="single" w:sz="4" w:space="0" w:color="auto"/>
              <w:left w:val="single" w:sz="4" w:space="0" w:color="auto"/>
              <w:bottom w:val="single" w:sz="4" w:space="0" w:color="auto"/>
              <w:right w:val="single" w:sz="4" w:space="0" w:color="auto"/>
            </w:tcBorders>
          </w:tcPr>
          <w:p w:rsidR="00074656" w:rsidRPr="00260CE3" w:rsidRDefault="00074656" w:rsidP="00D73941">
            <w:pPr>
              <w:widowControl/>
              <w:rPr>
                <w:rFonts w:ascii="Arial Narrow" w:hAnsi="Arial Narrow"/>
                <w:sz w:val="20"/>
              </w:rPr>
            </w:pPr>
            <w:r w:rsidRPr="0008587B">
              <w:rPr>
                <w:rFonts w:ascii="Arial Narrow" w:hAnsi="Arial Narrow"/>
                <w:i/>
                <w:sz w:val="20"/>
              </w:rPr>
              <w:t>Mild to moderate</w:t>
            </w:r>
            <w:r>
              <w:rPr>
                <w:rFonts w:ascii="Arial Narrow" w:hAnsi="Arial Narrow"/>
                <w:sz w:val="20"/>
              </w:rPr>
              <w:t xml:space="preserve"> i</w:t>
            </w:r>
            <w:r w:rsidRPr="00F1509E">
              <w:rPr>
                <w:rFonts w:ascii="Arial Narrow" w:hAnsi="Arial Narrow"/>
                <w:sz w:val="20"/>
              </w:rPr>
              <w:t>di</w:t>
            </w:r>
            <w:r>
              <w:rPr>
                <w:rFonts w:ascii="Arial Narrow" w:hAnsi="Arial Narrow"/>
                <w:sz w:val="20"/>
              </w:rPr>
              <w:t>opathic pulmonary fibrosis</w:t>
            </w:r>
          </w:p>
        </w:tc>
      </w:tr>
      <w:tr w:rsidR="00074656" w:rsidRPr="00260CE3" w:rsidTr="00074656">
        <w:trPr>
          <w:cantSplit/>
          <w:trHeight w:val="360"/>
        </w:trPr>
        <w:tc>
          <w:tcPr>
            <w:tcW w:w="1985" w:type="dxa"/>
            <w:tcBorders>
              <w:top w:val="single" w:sz="4" w:space="0" w:color="auto"/>
              <w:left w:val="single" w:sz="4" w:space="0" w:color="auto"/>
              <w:bottom w:val="single" w:sz="4" w:space="0" w:color="auto"/>
              <w:right w:val="single" w:sz="4" w:space="0" w:color="auto"/>
            </w:tcBorders>
          </w:tcPr>
          <w:p w:rsidR="00074656" w:rsidRPr="00F1509E" w:rsidRDefault="00074656" w:rsidP="00D73941">
            <w:pPr>
              <w:widowControl/>
              <w:rPr>
                <w:rFonts w:ascii="Arial Narrow" w:hAnsi="Arial Narrow"/>
                <w:b/>
                <w:sz w:val="20"/>
              </w:rPr>
            </w:pPr>
            <w:r>
              <w:rPr>
                <w:rFonts w:ascii="Arial Narrow" w:hAnsi="Arial Narrow"/>
                <w:b/>
                <w:sz w:val="20"/>
              </w:rPr>
              <w:t>Treatment phase:</w:t>
            </w:r>
          </w:p>
        </w:tc>
        <w:tc>
          <w:tcPr>
            <w:tcW w:w="6520" w:type="dxa"/>
            <w:gridSpan w:val="5"/>
            <w:tcBorders>
              <w:top w:val="single" w:sz="4" w:space="0" w:color="auto"/>
              <w:left w:val="single" w:sz="4" w:space="0" w:color="auto"/>
              <w:bottom w:val="single" w:sz="4" w:space="0" w:color="auto"/>
              <w:right w:val="single" w:sz="4" w:space="0" w:color="auto"/>
            </w:tcBorders>
          </w:tcPr>
          <w:p w:rsidR="00074656" w:rsidRPr="009264E8" w:rsidRDefault="00074656" w:rsidP="00D73941">
            <w:pPr>
              <w:widowControl/>
              <w:rPr>
                <w:rFonts w:ascii="Arial Narrow" w:hAnsi="Arial Narrow"/>
                <w:sz w:val="20"/>
              </w:rPr>
            </w:pPr>
            <w:r w:rsidRPr="009264E8">
              <w:rPr>
                <w:rFonts w:ascii="Arial Narrow" w:hAnsi="Arial Narrow"/>
                <w:sz w:val="20"/>
              </w:rPr>
              <w:t>Initial</w:t>
            </w:r>
            <w:r>
              <w:rPr>
                <w:rFonts w:ascii="Arial Narrow" w:hAnsi="Arial Narrow"/>
                <w:sz w:val="20"/>
              </w:rPr>
              <w:t xml:space="preserve"> </w:t>
            </w:r>
            <w:r w:rsidRPr="009264E8">
              <w:rPr>
                <w:rFonts w:ascii="Arial Narrow" w:hAnsi="Arial Narrow"/>
                <w:i/>
                <w:sz w:val="20"/>
              </w:rPr>
              <w:t>treatment</w:t>
            </w:r>
          </w:p>
        </w:tc>
      </w:tr>
      <w:tr w:rsidR="00074656" w:rsidRPr="00260CE3" w:rsidTr="00074656">
        <w:trPr>
          <w:cantSplit/>
          <w:trHeight w:val="360"/>
        </w:trPr>
        <w:tc>
          <w:tcPr>
            <w:tcW w:w="1985" w:type="dxa"/>
            <w:tcBorders>
              <w:top w:val="single" w:sz="4" w:space="0" w:color="auto"/>
              <w:left w:val="single" w:sz="4" w:space="0" w:color="auto"/>
              <w:bottom w:val="single" w:sz="4" w:space="0" w:color="auto"/>
              <w:right w:val="single" w:sz="4" w:space="0" w:color="auto"/>
            </w:tcBorders>
          </w:tcPr>
          <w:p w:rsidR="00074656" w:rsidRPr="00260CE3" w:rsidRDefault="00074656" w:rsidP="00D73941">
            <w:pPr>
              <w:widowControl/>
              <w:jc w:val="left"/>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074656" w:rsidRPr="00260CE3" w:rsidRDefault="00074656" w:rsidP="00D73941">
            <w:pPr>
              <w:widowControl/>
              <w:rPr>
                <w:rFonts w:ascii="Arial Narrow" w:hAnsi="Arial Narrow"/>
                <w:sz w:val="20"/>
              </w:rPr>
            </w:pPr>
          </w:p>
        </w:tc>
        <w:tc>
          <w:tcPr>
            <w:tcW w:w="6520" w:type="dxa"/>
            <w:gridSpan w:val="5"/>
            <w:tcBorders>
              <w:top w:val="single" w:sz="4" w:space="0" w:color="auto"/>
              <w:left w:val="single" w:sz="4" w:space="0" w:color="auto"/>
              <w:bottom w:val="single" w:sz="4" w:space="0" w:color="auto"/>
              <w:right w:val="single" w:sz="4" w:space="0" w:color="auto"/>
            </w:tcBorders>
          </w:tcPr>
          <w:p w:rsidR="00074656" w:rsidRPr="00106BCF" w:rsidRDefault="00074656" w:rsidP="00D73941">
            <w:pPr>
              <w:widowControl/>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A108E2">
              <w:rPr>
                <w:rFonts w:ascii="Arial Narrow" w:hAnsi="Arial Narrow"/>
                <w:sz w:val="20"/>
              </w:rPr>
            </w:r>
            <w:r w:rsidR="00A108E2">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074656" w:rsidRPr="00106BCF" w:rsidRDefault="00074656" w:rsidP="00D73941">
            <w:pPr>
              <w:widowControl/>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A108E2">
              <w:rPr>
                <w:rFonts w:ascii="Arial Narrow" w:hAnsi="Arial Narrow"/>
                <w:sz w:val="20"/>
              </w:rPr>
            </w:r>
            <w:r w:rsidR="00A108E2">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074656" w:rsidRPr="00106BCF" w:rsidRDefault="00074656" w:rsidP="00D73941">
            <w:pPr>
              <w:widowControl/>
              <w:rPr>
                <w:rFonts w:ascii="Arial Narrow" w:hAnsi="Arial Narrow"/>
                <w:sz w:val="20"/>
              </w:rPr>
            </w:pPr>
            <w:r>
              <w:rPr>
                <w:rFonts w:ascii="Arial Narrow" w:hAnsi="Arial Narrow"/>
                <w:sz w:val="20"/>
              </w:rPr>
              <w:fldChar w:fldCharType="begin">
                <w:ffData>
                  <w:name w:val="Check3"/>
                  <w:enabled/>
                  <w:calcOnExit w:val="0"/>
                  <w:checkBox>
                    <w:sizeAuto/>
                    <w:default w:val="0"/>
                  </w:checkBox>
                </w:ffData>
              </w:fldChar>
            </w:r>
            <w:bookmarkStart w:id="3" w:name="Check3"/>
            <w:r>
              <w:rPr>
                <w:rFonts w:ascii="Arial Narrow" w:hAnsi="Arial Narrow"/>
                <w:sz w:val="20"/>
              </w:rPr>
              <w:instrText xml:space="preserve"> FORMCHECKBOX </w:instrText>
            </w:r>
            <w:r w:rsidR="00A108E2">
              <w:rPr>
                <w:rFonts w:ascii="Arial Narrow" w:hAnsi="Arial Narrow"/>
                <w:sz w:val="20"/>
              </w:rPr>
            </w:r>
            <w:r w:rsidR="00A108E2">
              <w:rPr>
                <w:rFonts w:ascii="Arial Narrow" w:hAnsi="Arial Narrow"/>
                <w:sz w:val="20"/>
              </w:rPr>
              <w:fldChar w:fldCharType="separate"/>
            </w:r>
            <w:r>
              <w:rPr>
                <w:rFonts w:ascii="Arial Narrow" w:hAnsi="Arial Narrow"/>
                <w:sz w:val="20"/>
              </w:rPr>
              <w:fldChar w:fldCharType="end"/>
            </w:r>
            <w:bookmarkEnd w:id="3"/>
            <w:r w:rsidRPr="00106BCF">
              <w:rPr>
                <w:rFonts w:ascii="Arial Narrow" w:hAnsi="Arial Narrow"/>
                <w:sz w:val="20"/>
              </w:rPr>
              <w:t>Authority Required - Telephone</w:t>
            </w:r>
          </w:p>
          <w:p w:rsidR="00074656" w:rsidRPr="00106BCF" w:rsidRDefault="00074656" w:rsidP="00D73941">
            <w:pPr>
              <w:widowControl/>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A108E2">
              <w:rPr>
                <w:rFonts w:ascii="Arial Narrow" w:hAnsi="Arial Narrow"/>
                <w:sz w:val="20"/>
              </w:rPr>
            </w:r>
            <w:r w:rsidR="00A108E2">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Emergency</w:t>
            </w:r>
          </w:p>
          <w:p w:rsidR="00074656" w:rsidRPr="00106BCF" w:rsidRDefault="00074656" w:rsidP="00D73941">
            <w:pPr>
              <w:widowControl/>
              <w:rPr>
                <w:rFonts w:ascii="Arial Narrow" w:hAnsi="Arial Narrow"/>
                <w:sz w:val="20"/>
              </w:rPr>
            </w:pPr>
            <w:r>
              <w:rPr>
                <w:rFonts w:ascii="Arial Narrow" w:hAnsi="Arial Narrow"/>
                <w:sz w:val="20"/>
              </w:rPr>
              <w:fldChar w:fldCharType="begin">
                <w:ffData>
                  <w:name w:val="Check5"/>
                  <w:enabled/>
                  <w:calcOnExit w:val="0"/>
                  <w:checkBox>
                    <w:sizeAuto/>
                    <w:default w:val="0"/>
                  </w:checkBox>
                </w:ffData>
              </w:fldChar>
            </w:r>
            <w:bookmarkStart w:id="4" w:name="Check5"/>
            <w:r>
              <w:rPr>
                <w:rFonts w:ascii="Arial Narrow" w:hAnsi="Arial Narrow"/>
                <w:sz w:val="20"/>
              </w:rPr>
              <w:instrText xml:space="preserve"> FORMCHECKBOX </w:instrText>
            </w:r>
            <w:r w:rsidR="00A108E2">
              <w:rPr>
                <w:rFonts w:ascii="Arial Narrow" w:hAnsi="Arial Narrow"/>
                <w:sz w:val="20"/>
              </w:rPr>
            </w:r>
            <w:r w:rsidR="00A108E2">
              <w:rPr>
                <w:rFonts w:ascii="Arial Narrow" w:hAnsi="Arial Narrow"/>
                <w:sz w:val="20"/>
              </w:rPr>
              <w:fldChar w:fldCharType="separate"/>
            </w:r>
            <w:r>
              <w:rPr>
                <w:rFonts w:ascii="Arial Narrow" w:hAnsi="Arial Narrow"/>
                <w:sz w:val="20"/>
              </w:rPr>
              <w:fldChar w:fldCharType="end"/>
            </w:r>
            <w:bookmarkEnd w:id="4"/>
            <w:r w:rsidRPr="00106BCF">
              <w:rPr>
                <w:rFonts w:ascii="Arial Narrow" w:hAnsi="Arial Narrow"/>
                <w:sz w:val="20"/>
              </w:rPr>
              <w:t>Authority Required - Electronic</w:t>
            </w:r>
          </w:p>
          <w:p w:rsidR="00074656" w:rsidRPr="00260CE3" w:rsidRDefault="00074656" w:rsidP="00D73941">
            <w:pPr>
              <w:widowControl/>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A108E2">
              <w:rPr>
                <w:rFonts w:ascii="Arial Narrow" w:hAnsi="Arial Narrow"/>
                <w:sz w:val="20"/>
              </w:rPr>
            </w:r>
            <w:r w:rsidR="00A108E2">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074656" w:rsidRPr="00260CE3" w:rsidTr="00074656">
        <w:trPr>
          <w:cantSplit/>
          <w:trHeight w:val="360"/>
        </w:trPr>
        <w:tc>
          <w:tcPr>
            <w:tcW w:w="1985" w:type="dxa"/>
            <w:tcBorders>
              <w:top w:val="single" w:sz="4" w:space="0" w:color="auto"/>
              <w:left w:val="single" w:sz="4" w:space="0" w:color="auto"/>
              <w:bottom w:val="single" w:sz="4" w:space="0" w:color="auto"/>
              <w:right w:val="single" w:sz="4" w:space="0" w:color="auto"/>
            </w:tcBorders>
          </w:tcPr>
          <w:p w:rsidR="00074656" w:rsidRPr="00F1509E" w:rsidRDefault="00074656" w:rsidP="00D73941">
            <w:pPr>
              <w:widowControl/>
              <w:rPr>
                <w:rFonts w:ascii="Arial Narrow" w:hAnsi="Arial Narrow"/>
                <w:b/>
                <w:sz w:val="20"/>
              </w:rPr>
            </w:pPr>
            <w:r>
              <w:rPr>
                <w:rFonts w:ascii="Arial Narrow" w:hAnsi="Arial Narrow"/>
                <w:b/>
                <w:sz w:val="20"/>
              </w:rPr>
              <w:lastRenderedPageBreak/>
              <w:t>Treatment criteria:</w:t>
            </w:r>
          </w:p>
        </w:tc>
        <w:tc>
          <w:tcPr>
            <w:tcW w:w="6520" w:type="dxa"/>
            <w:gridSpan w:val="5"/>
            <w:tcBorders>
              <w:top w:val="single" w:sz="4" w:space="0" w:color="auto"/>
              <w:left w:val="single" w:sz="4" w:space="0" w:color="auto"/>
              <w:bottom w:val="single" w:sz="4" w:space="0" w:color="auto"/>
              <w:right w:val="single" w:sz="4" w:space="0" w:color="auto"/>
            </w:tcBorders>
          </w:tcPr>
          <w:p w:rsidR="00074656" w:rsidRPr="0008587B" w:rsidRDefault="00074656" w:rsidP="00D73941">
            <w:pPr>
              <w:widowControl/>
              <w:rPr>
                <w:rFonts w:ascii="Arial Narrow" w:hAnsi="Arial Narrow"/>
                <w:i/>
                <w:sz w:val="20"/>
              </w:rPr>
            </w:pPr>
            <w:r w:rsidRPr="0008587B">
              <w:rPr>
                <w:rFonts w:ascii="Arial Narrow" w:hAnsi="Arial Narrow"/>
                <w:i/>
                <w:sz w:val="20"/>
              </w:rPr>
              <w:t>Must be treated by a respiratory physician or specialist physician experienced in the management of patients with idiopathic pulmonary fibrosis.</w:t>
            </w:r>
          </w:p>
        </w:tc>
      </w:tr>
      <w:tr w:rsidR="00074656" w:rsidRPr="00260CE3" w:rsidTr="00074656">
        <w:trPr>
          <w:trHeight w:val="360"/>
        </w:trPr>
        <w:tc>
          <w:tcPr>
            <w:tcW w:w="1985" w:type="dxa"/>
            <w:tcBorders>
              <w:top w:val="single" w:sz="4" w:space="0" w:color="auto"/>
              <w:left w:val="single" w:sz="4" w:space="0" w:color="auto"/>
              <w:bottom w:val="single" w:sz="4" w:space="0" w:color="auto"/>
              <w:right w:val="single" w:sz="4" w:space="0" w:color="auto"/>
            </w:tcBorders>
          </w:tcPr>
          <w:p w:rsidR="00074656" w:rsidRPr="00F1509E" w:rsidRDefault="00074656" w:rsidP="00D73941">
            <w:pPr>
              <w:widowControl/>
              <w:rPr>
                <w:rFonts w:ascii="Arial Narrow" w:hAnsi="Arial Narrow"/>
                <w:b/>
                <w:sz w:val="20"/>
              </w:rPr>
            </w:pPr>
            <w:r>
              <w:rPr>
                <w:rFonts w:ascii="Arial Narrow" w:hAnsi="Arial Narrow"/>
                <w:b/>
                <w:sz w:val="20"/>
              </w:rPr>
              <w:t>Clinical criteria:</w:t>
            </w:r>
          </w:p>
        </w:tc>
        <w:tc>
          <w:tcPr>
            <w:tcW w:w="6520" w:type="dxa"/>
            <w:gridSpan w:val="5"/>
            <w:tcBorders>
              <w:top w:val="single" w:sz="4" w:space="0" w:color="auto"/>
              <w:left w:val="single" w:sz="4" w:space="0" w:color="auto"/>
              <w:bottom w:val="single" w:sz="4" w:space="0" w:color="auto"/>
              <w:right w:val="single" w:sz="4" w:space="0" w:color="auto"/>
            </w:tcBorders>
          </w:tcPr>
          <w:p w:rsidR="00074656" w:rsidRPr="0008587B" w:rsidRDefault="00074656" w:rsidP="00D73941">
            <w:pPr>
              <w:widowControl/>
              <w:rPr>
                <w:rFonts w:ascii="Arial Narrow" w:hAnsi="Arial Narrow"/>
                <w:strike/>
                <w:sz w:val="20"/>
              </w:rPr>
            </w:pPr>
            <w:r w:rsidRPr="0008587B">
              <w:rPr>
                <w:rFonts w:ascii="Arial Narrow" w:hAnsi="Arial Narrow"/>
                <w:strike/>
                <w:sz w:val="20"/>
              </w:rPr>
              <w:t>Initial PBS-subsidised treatment with nintedanib prescribed by a respiratory physician or specialist physician experienced in the management of patients with idiopathic pulmonary fibrosis. Adult patient aged 40 years and over to satisfy the following criteria:</w:t>
            </w:r>
          </w:p>
          <w:p w:rsidR="00074656" w:rsidRPr="0008587B" w:rsidRDefault="00074656" w:rsidP="00D73941">
            <w:pPr>
              <w:widowControl/>
              <w:rPr>
                <w:rFonts w:ascii="Arial Narrow" w:hAnsi="Arial Narrow"/>
                <w:strike/>
                <w:sz w:val="20"/>
              </w:rPr>
            </w:pPr>
            <w:r w:rsidRPr="0008587B">
              <w:rPr>
                <w:rFonts w:ascii="Arial Narrow" w:hAnsi="Arial Narrow"/>
                <w:strike/>
                <w:sz w:val="20"/>
              </w:rPr>
              <w:t>-</w:t>
            </w:r>
            <w:r w:rsidRPr="0008587B">
              <w:rPr>
                <w:rFonts w:ascii="Arial Narrow" w:hAnsi="Arial Narrow"/>
                <w:strike/>
                <w:sz w:val="20"/>
              </w:rPr>
              <w:tab/>
              <w:t>Diagnosis of idiopathic pulmonary fibrosis confirmed and documented by a respiratory physician, or specialist physician as part of a multidisciplinary team. The diagnosis should be less than 5 years old, or greater than 5 years old where there is confirmed progressive disease.</w:t>
            </w:r>
          </w:p>
          <w:p w:rsidR="00074656" w:rsidRPr="0008587B" w:rsidRDefault="00074656" w:rsidP="00D73941">
            <w:pPr>
              <w:widowControl/>
              <w:rPr>
                <w:rFonts w:ascii="Arial Narrow" w:hAnsi="Arial Narrow"/>
                <w:strike/>
                <w:sz w:val="20"/>
              </w:rPr>
            </w:pPr>
            <w:r w:rsidRPr="0008587B">
              <w:rPr>
                <w:rFonts w:ascii="Arial Narrow" w:hAnsi="Arial Narrow"/>
                <w:strike/>
                <w:sz w:val="20"/>
              </w:rPr>
              <w:t>AND</w:t>
            </w:r>
          </w:p>
          <w:p w:rsidR="00074656" w:rsidRDefault="00074656" w:rsidP="00D73941">
            <w:pPr>
              <w:widowControl/>
              <w:rPr>
                <w:rFonts w:ascii="Arial Narrow" w:hAnsi="Arial Narrow"/>
                <w:sz w:val="20"/>
              </w:rPr>
            </w:pPr>
          </w:p>
          <w:p w:rsidR="00074656" w:rsidRPr="00C0221C" w:rsidRDefault="00074656" w:rsidP="00D73941">
            <w:pPr>
              <w:widowControl/>
              <w:rPr>
                <w:rFonts w:ascii="Arial Narrow" w:hAnsi="Arial Narrow"/>
                <w:i/>
                <w:sz w:val="20"/>
              </w:rPr>
            </w:pPr>
            <w:r w:rsidRPr="00C0221C">
              <w:rPr>
                <w:rFonts w:ascii="Arial Narrow" w:hAnsi="Arial Narrow"/>
                <w:i/>
                <w:sz w:val="20"/>
              </w:rPr>
              <w:t>Patient must have a confirmed and documented diagnosis of idiopathic pulmonary fibrosis that is less than 5 years old; OR</w:t>
            </w:r>
          </w:p>
          <w:p w:rsidR="00074656" w:rsidRPr="00C0221C" w:rsidRDefault="00074656" w:rsidP="00D73941">
            <w:pPr>
              <w:widowControl/>
              <w:rPr>
                <w:rFonts w:ascii="Arial Narrow" w:hAnsi="Arial Narrow"/>
                <w:i/>
                <w:sz w:val="20"/>
              </w:rPr>
            </w:pPr>
            <w:r w:rsidRPr="00C0221C">
              <w:rPr>
                <w:rFonts w:ascii="Arial Narrow" w:hAnsi="Arial Narrow"/>
                <w:i/>
                <w:sz w:val="20"/>
              </w:rPr>
              <w:t>Patient must have a confirmed and documented diagnosis of idiopathic pulmonary fibrosis that is greater than 5 years old where there is confirmed progressive disease,</w:t>
            </w:r>
          </w:p>
          <w:p w:rsidR="00074656" w:rsidRPr="00883208" w:rsidRDefault="00074656" w:rsidP="00D73941">
            <w:pPr>
              <w:widowControl/>
              <w:rPr>
                <w:rFonts w:ascii="Arial Narrow" w:hAnsi="Arial Narrow"/>
                <w:sz w:val="20"/>
              </w:rPr>
            </w:pPr>
          </w:p>
          <w:p w:rsidR="00074656" w:rsidRPr="00883208" w:rsidRDefault="00074656" w:rsidP="00D73941">
            <w:pPr>
              <w:widowControl/>
              <w:rPr>
                <w:rFonts w:ascii="Arial Narrow" w:hAnsi="Arial Narrow"/>
                <w:sz w:val="20"/>
              </w:rPr>
            </w:pPr>
            <w:r w:rsidRPr="00883208">
              <w:rPr>
                <w:rFonts w:ascii="Arial Narrow" w:hAnsi="Arial Narrow"/>
                <w:sz w:val="20"/>
              </w:rPr>
              <w:t>AND</w:t>
            </w:r>
          </w:p>
          <w:p w:rsidR="00074656" w:rsidRPr="00883208" w:rsidRDefault="00074656" w:rsidP="00D73941">
            <w:pPr>
              <w:widowControl/>
              <w:rPr>
                <w:rFonts w:ascii="Arial Narrow" w:hAnsi="Arial Narrow"/>
                <w:sz w:val="20"/>
              </w:rPr>
            </w:pPr>
          </w:p>
          <w:p w:rsidR="00074656" w:rsidRPr="00883208" w:rsidRDefault="00074656" w:rsidP="00D73941">
            <w:pPr>
              <w:widowControl/>
              <w:rPr>
                <w:rFonts w:ascii="Arial Narrow" w:hAnsi="Arial Narrow"/>
                <w:sz w:val="20"/>
              </w:rPr>
            </w:pPr>
            <w:r w:rsidRPr="0008587B">
              <w:rPr>
                <w:rFonts w:ascii="Arial Narrow" w:hAnsi="Arial Narrow"/>
                <w:i/>
                <w:sz w:val="20"/>
              </w:rPr>
              <w:t>Patient must have</w:t>
            </w:r>
            <w:r w:rsidRPr="00883208">
              <w:rPr>
                <w:rFonts w:ascii="Arial Narrow" w:hAnsi="Arial Narrow"/>
                <w:sz w:val="20"/>
              </w:rPr>
              <w:t xml:space="preserve"> </w:t>
            </w:r>
            <w:r>
              <w:rPr>
                <w:rFonts w:ascii="Arial Narrow" w:hAnsi="Arial Narrow"/>
                <w:sz w:val="20"/>
              </w:rPr>
              <w:t>c</w:t>
            </w:r>
            <w:r w:rsidRPr="0008587B">
              <w:rPr>
                <w:rFonts w:ascii="Arial Narrow" w:hAnsi="Arial Narrow"/>
                <w:sz w:val="20"/>
              </w:rPr>
              <w:t>hest high resolution computed tomography (HRCT)</w:t>
            </w:r>
            <w:r w:rsidRPr="00883208">
              <w:rPr>
                <w:rFonts w:ascii="Arial Narrow" w:hAnsi="Arial Narrow"/>
                <w:sz w:val="20"/>
              </w:rPr>
              <w:t xml:space="preserve"> consistent with diagnosis of idiopathic pulmonary fibrosis within the previous 12 months,</w:t>
            </w:r>
          </w:p>
          <w:p w:rsidR="00074656" w:rsidRPr="00883208" w:rsidRDefault="00074656" w:rsidP="00D73941">
            <w:pPr>
              <w:widowControl/>
              <w:rPr>
                <w:rFonts w:ascii="Arial Narrow" w:hAnsi="Arial Narrow"/>
                <w:sz w:val="20"/>
              </w:rPr>
            </w:pPr>
          </w:p>
          <w:p w:rsidR="00074656" w:rsidRPr="00883208" w:rsidRDefault="00074656" w:rsidP="00D73941">
            <w:pPr>
              <w:widowControl/>
              <w:rPr>
                <w:rFonts w:ascii="Arial Narrow" w:hAnsi="Arial Narrow"/>
                <w:sz w:val="20"/>
              </w:rPr>
            </w:pPr>
            <w:r w:rsidRPr="00883208">
              <w:rPr>
                <w:rFonts w:ascii="Arial Narrow" w:hAnsi="Arial Narrow"/>
                <w:sz w:val="20"/>
              </w:rPr>
              <w:t>AND</w:t>
            </w:r>
          </w:p>
          <w:p w:rsidR="00074656" w:rsidRPr="00883208" w:rsidRDefault="00074656" w:rsidP="00D73941">
            <w:pPr>
              <w:widowControl/>
              <w:rPr>
                <w:rFonts w:ascii="Arial Narrow" w:hAnsi="Arial Narrow"/>
                <w:sz w:val="20"/>
              </w:rPr>
            </w:pPr>
          </w:p>
          <w:p w:rsidR="00074656" w:rsidRPr="00883208" w:rsidRDefault="00074656" w:rsidP="00D73941">
            <w:pPr>
              <w:widowControl/>
              <w:rPr>
                <w:rFonts w:ascii="Arial Narrow" w:hAnsi="Arial Narrow"/>
                <w:sz w:val="20"/>
              </w:rPr>
            </w:pPr>
            <w:r>
              <w:rPr>
                <w:rFonts w:ascii="Arial Narrow" w:hAnsi="Arial Narrow"/>
                <w:i/>
                <w:sz w:val="20"/>
              </w:rPr>
              <w:t>Patient must have</w:t>
            </w:r>
            <w:r w:rsidRPr="00883208">
              <w:rPr>
                <w:rFonts w:ascii="Arial Narrow" w:hAnsi="Arial Narrow"/>
                <w:sz w:val="20"/>
              </w:rPr>
              <w:t xml:space="preserve"> forced vital capacity (FVC) greater than 50% </w:t>
            </w:r>
            <w:r w:rsidRPr="0008587B">
              <w:rPr>
                <w:rFonts w:ascii="Arial Narrow" w:hAnsi="Arial Narrow"/>
                <w:strike/>
                <w:sz w:val="20"/>
              </w:rPr>
              <w:t>of</w:t>
            </w:r>
            <w:r>
              <w:rPr>
                <w:rFonts w:ascii="Arial Narrow" w:hAnsi="Arial Narrow"/>
                <w:sz w:val="20"/>
              </w:rPr>
              <w:t xml:space="preserve"> </w:t>
            </w:r>
            <w:r w:rsidRPr="00883208">
              <w:rPr>
                <w:rFonts w:ascii="Arial Narrow" w:hAnsi="Arial Narrow"/>
                <w:sz w:val="20"/>
              </w:rPr>
              <w:t>predicted</w:t>
            </w:r>
            <w:r>
              <w:rPr>
                <w:rFonts w:ascii="Arial Narrow" w:hAnsi="Arial Narrow"/>
                <w:sz w:val="20"/>
              </w:rPr>
              <w:t xml:space="preserve"> </w:t>
            </w:r>
            <w:r w:rsidRPr="0008587B">
              <w:rPr>
                <w:rFonts w:ascii="Arial Narrow" w:hAnsi="Arial Narrow"/>
                <w:strike/>
                <w:sz w:val="20"/>
              </w:rPr>
              <w:t>normal</w:t>
            </w:r>
            <w:r w:rsidRPr="00883208">
              <w:rPr>
                <w:rFonts w:ascii="Arial Narrow" w:hAnsi="Arial Narrow"/>
                <w:sz w:val="20"/>
              </w:rPr>
              <w:t xml:space="preserve"> </w:t>
            </w:r>
            <w:r w:rsidRPr="0008587B">
              <w:rPr>
                <w:rFonts w:ascii="Arial Narrow" w:hAnsi="Arial Narrow"/>
                <w:i/>
                <w:sz w:val="20"/>
              </w:rPr>
              <w:t>for age, gender and weight</w:t>
            </w:r>
            <w:r w:rsidRPr="006819E3">
              <w:rPr>
                <w:rFonts w:ascii="Arial Narrow" w:hAnsi="Arial Narrow"/>
                <w:i/>
                <w:sz w:val="20"/>
              </w:rPr>
              <w:t>,</w:t>
            </w:r>
            <w:r w:rsidR="006819E3" w:rsidRPr="006819E3">
              <w:rPr>
                <w:rFonts w:ascii="Arial Narrow" w:hAnsi="Arial Narrow"/>
                <w:i/>
                <w:sz w:val="20"/>
              </w:rPr>
              <w:t xml:space="preserve"> and FEV1/FVC ratio &gt;0.7,</w:t>
            </w:r>
          </w:p>
          <w:p w:rsidR="00074656" w:rsidRPr="00883208" w:rsidRDefault="00074656" w:rsidP="00D73941">
            <w:pPr>
              <w:widowControl/>
              <w:rPr>
                <w:rFonts w:ascii="Arial Narrow" w:hAnsi="Arial Narrow"/>
                <w:sz w:val="20"/>
              </w:rPr>
            </w:pPr>
          </w:p>
          <w:p w:rsidR="00074656" w:rsidRPr="00883208" w:rsidRDefault="00074656" w:rsidP="00D73941">
            <w:pPr>
              <w:widowControl/>
              <w:rPr>
                <w:rFonts w:ascii="Arial Narrow" w:hAnsi="Arial Narrow"/>
                <w:sz w:val="20"/>
              </w:rPr>
            </w:pPr>
            <w:r w:rsidRPr="00883208">
              <w:rPr>
                <w:rFonts w:ascii="Arial Narrow" w:hAnsi="Arial Narrow"/>
                <w:sz w:val="20"/>
              </w:rPr>
              <w:t>AND</w:t>
            </w:r>
          </w:p>
          <w:p w:rsidR="00074656" w:rsidRPr="00883208" w:rsidRDefault="00074656" w:rsidP="00D73941">
            <w:pPr>
              <w:widowControl/>
              <w:rPr>
                <w:rFonts w:ascii="Arial Narrow" w:hAnsi="Arial Narrow"/>
                <w:sz w:val="20"/>
              </w:rPr>
            </w:pPr>
          </w:p>
          <w:p w:rsidR="00074656" w:rsidRPr="00883208" w:rsidRDefault="00074656" w:rsidP="00D73941">
            <w:pPr>
              <w:widowControl/>
              <w:rPr>
                <w:rFonts w:ascii="Arial Narrow" w:hAnsi="Arial Narrow"/>
                <w:sz w:val="20"/>
              </w:rPr>
            </w:pPr>
            <w:r w:rsidRPr="0008587B">
              <w:rPr>
                <w:rFonts w:ascii="Arial Narrow" w:hAnsi="Arial Narrow"/>
                <w:i/>
                <w:sz w:val="20"/>
              </w:rPr>
              <w:t>Patient must have</w:t>
            </w:r>
            <w:r w:rsidRPr="00883208">
              <w:rPr>
                <w:rFonts w:ascii="Arial Narrow" w:hAnsi="Arial Narrow"/>
                <w:sz w:val="20"/>
              </w:rPr>
              <w:t xml:space="preserve"> diffusing capacity for carbon monoxi</w:t>
            </w:r>
            <w:r w:rsidRPr="007E0C1F">
              <w:rPr>
                <w:rFonts w:ascii="Arial Narrow" w:hAnsi="Arial Narrow"/>
                <w:sz w:val="20"/>
              </w:rPr>
              <w:t>de (DLCO) c</w:t>
            </w:r>
            <w:r w:rsidRPr="00883208">
              <w:rPr>
                <w:rFonts w:ascii="Arial Narrow" w:hAnsi="Arial Narrow"/>
                <w:sz w:val="20"/>
              </w:rPr>
              <w:t>orrected for haemoglobin greater than 30%,</w:t>
            </w:r>
          </w:p>
          <w:p w:rsidR="00074656" w:rsidRPr="00883208" w:rsidRDefault="00074656" w:rsidP="00D73941">
            <w:pPr>
              <w:widowControl/>
              <w:rPr>
                <w:rFonts w:ascii="Arial Narrow" w:hAnsi="Arial Narrow"/>
                <w:sz w:val="20"/>
              </w:rPr>
            </w:pPr>
          </w:p>
          <w:p w:rsidR="00074656" w:rsidRPr="00B53F06" w:rsidRDefault="00074656" w:rsidP="00D73941">
            <w:pPr>
              <w:widowControl/>
              <w:rPr>
                <w:rFonts w:ascii="Arial Narrow" w:hAnsi="Arial Narrow"/>
                <w:i/>
                <w:sz w:val="20"/>
              </w:rPr>
            </w:pPr>
            <w:r w:rsidRPr="00B53F06">
              <w:rPr>
                <w:rFonts w:ascii="Arial Narrow" w:hAnsi="Arial Narrow"/>
                <w:i/>
                <w:sz w:val="20"/>
              </w:rPr>
              <w:t>AND</w:t>
            </w:r>
          </w:p>
          <w:p w:rsidR="00074656" w:rsidRPr="00883208" w:rsidRDefault="00074656" w:rsidP="00D73941">
            <w:pPr>
              <w:widowControl/>
              <w:rPr>
                <w:rFonts w:ascii="Arial Narrow" w:hAnsi="Arial Narrow"/>
                <w:sz w:val="20"/>
              </w:rPr>
            </w:pPr>
          </w:p>
          <w:p w:rsidR="00074656" w:rsidRPr="00B53F06" w:rsidRDefault="00074656" w:rsidP="00D73941">
            <w:pPr>
              <w:widowControl/>
              <w:rPr>
                <w:rFonts w:ascii="Arial Narrow" w:hAnsi="Arial Narrow"/>
                <w:i/>
                <w:sz w:val="20"/>
              </w:rPr>
            </w:pPr>
            <w:r w:rsidRPr="00B53F06">
              <w:rPr>
                <w:rFonts w:ascii="Arial Narrow" w:hAnsi="Arial Narrow"/>
                <w:i/>
                <w:sz w:val="20"/>
              </w:rPr>
              <w:t>Patient must not have interstitial lung disease due to other known causes including domestic and occupational environmental exposures, connective tissue disease, and drug toxicity.</w:t>
            </w:r>
          </w:p>
        </w:tc>
      </w:tr>
      <w:tr w:rsidR="00074656" w:rsidRPr="00260CE3" w:rsidTr="00074656">
        <w:trPr>
          <w:cantSplit/>
          <w:trHeight w:val="360"/>
        </w:trPr>
        <w:tc>
          <w:tcPr>
            <w:tcW w:w="1985" w:type="dxa"/>
            <w:tcBorders>
              <w:top w:val="single" w:sz="4" w:space="0" w:color="auto"/>
              <w:left w:val="single" w:sz="4" w:space="0" w:color="auto"/>
              <w:bottom w:val="single" w:sz="4" w:space="0" w:color="auto"/>
              <w:right w:val="single" w:sz="4" w:space="0" w:color="auto"/>
            </w:tcBorders>
          </w:tcPr>
          <w:p w:rsidR="00074656" w:rsidRPr="00F1509E" w:rsidRDefault="00074656" w:rsidP="00D73941">
            <w:pPr>
              <w:widowControl/>
              <w:rPr>
                <w:rFonts w:ascii="Arial Narrow" w:hAnsi="Arial Narrow"/>
                <w:b/>
                <w:sz w:val="20"/>
              </w:rPr>
            </w:pPr>
            <w:r>
              <w:rPr>
                <w:rFonts w:ascii="Arial Narrow" w:hAnsi="Arial Narrow"/>
                <w:b/>
                <w:sz w:val="20"/>
              </w:rPr>
              <w:t>Population criteria:</w:t>
            </w:r>
          </w:p>
        </w:tc>
        <w:tc>
          <w:tcPr>
            <w:tcW w:w="6520" w:type="dxa"/>
            <w:gridSpan w:val="5"/>
            <w:tcBorders>
              <w:top w:val="single" w:sz="4" w:space="0" w:color="auto"/>
              <w:left w:val="single" w:sz="4" w:space="0" w:color="auto"/>
              <w:bottom w:val="single" w:sz="4" w:space="0" w:color="auto"/>
              <w:right w:val="single" w:sz="4" w:space="0" w:color="auto"/>
            </w:tcBorders>
          </w:tcPr>
          <w:p w:rsidR="00074656" w:rsidRDefault="00074656" w:rsidP="00D73941">
            <w:pPr>
              <w:widowControl/>
              <w:rPr>
                <w:rFonts w:ascii="Arial Narrow" w:hAnsi="Arial Narrow"/>
                <w:i/>
                <w:strike/>
                <w:sz w:val="20"/>
              </w:rPr>
            </w:pPr>
            <w:r w:rsidRPr="00480E9B">
              <w:rPr>
                <w:rFonts w:ascii="Arial Narrow" w:hAnsi="Arial Narrow"/>
                <w:strike/>
                <w:sz w:val="20"/>
              </w:rPr>
              <w:t>PBS subsidy does not apply to other known causes of interstitial lung disease due to domestic and occupational environmental exposures, connective tissue disease, and drug toxicity</w:t>
            </w:r>
            <w:r w:rsidRPr="00480E9B">
              <w:rPr>
                <w:rFonts w:ascii="Arial Narrow" w:hAnsi="Arial Narrow"/>
                <w:i/>
                <w:strike/>
                <w:sz w:val="20"/>
              </w:rPr>
              <w:t xml:space="preserve"> </w:t>
            </w:r>
          </w:p>
          <w:p w:rsidR="00074656" w:rsidRPr="00480E9B" w:rsidRDefault="00074656" w:rsidP="00D73941">
            <w:pPr>
              <w:widowControl/>
              <w:rPr>
                <w:rFonts w:ascii="Arial Narrow" w:hAnsi="Arial Narrow"/>
                <w:i/>
                <w:strike/>
                <w:sz w:val="20"/>
              </w:rPr>
            </w:pPr>
          </w:p>
          <w:p w:rsidR="00074656" w:rsidRPr="00480E9B" w:rsidRDefault="00074656" w:rsidP="00D73941">
            <w:pPr>
              <w:widowControl/>
              <w:rPr>
                <w:rFonts w:ascii="Arial Narrow" w:hAnsi="Arial Narrow"/>
                <w:i/>
                <w:sz w:val="20"/>
              </w:rPr>
            </w:pPr>
            <w:r w:rsidRPr="00480E9B">
              <w:rPr>
                <w:rFonts w:ascii="Arial Narrow" w:hAnsi="Arial Narrow"/>
                <w:i/>
                <w:sz w:val="20"/>
              </w:rPr>
              <w:t>Patient must be aged 40 years or older.</w:t>
            </w:r>
          </w:p>
        </w:tc>
      </w:tr>
      <w:tr w:rsidR="00074656" w:rsidRPr="00260CE3" w:rsidTr="00074656">
        <w:trPr>
          <w:cantSplit/>
          <w:trHeight w:val="360"/>
        </w:trPr>
        <w:tc>
          <w:tcPr>
            <w:tcW w:w="1985" w:type="dxa"/>
            <w:tcBorders>
              <w:top w:val="single" w:sz="4" w:space="0" w:color="auto"/>
              <w:left w:val="single" w:sz="4" w:space="0" w:color="auto"/>
              <w:bottom w:val="single" w:sz="4" w:space="0" w:color="auto"/>
              <w:right w:val="single" w:sz="4" w:space="0" w:color="auto"/>
            </w:tcBorders>
          </w:tcPr>
          <w:p w:rsidR="00074656" w:rsidRDefault="00074656" w:rsidP="00D73941">
            <w:pPr>
              <w:widowControl/>
              <w:rPr>
                <w:rFonts w:ascii="Arial Narrow" w:hAnsi="Arial Narrow"/>
                <w:b/>
                <w:sz w:val="20"/>
              </w:rPr>
            </w:pPr>
            <w:r>
              <w:rPr>
                <w:rFonts w:ascii="Arial Narrow" w:hAnsi="Arial Narrow"/>
                <w:b/>
                <w:sz w:val="20"/>
              </w:rPr>
              <w:t>Administrative advice</w:t>
            </w:r>
          </w:p>
        </w:tc>
        <w:tc>
          <w:tcPr>
            <w:tcW w:w="6520" w:type="dxa"/>
            <w:gridSpan w:val="5"/>
            <w:tcBorders>
              <w:top w:val="single" w:sz="4" w:space="0" w:color="auto"/>
              <w:left w:val="single" w:sz="4" w:space="0" w:color="auto"/>
              <w:bottom w:val="single" w:sz="4" w:space="0" w:color="auto"/>
              <w:right w:val="single" w:sz="4" w:space="0" w:color="auto"/>
            </w:tcBorders>
          </w:tcPr>
          <w:p w:rsidR="00074656" w:rsidRPr="00582650" w:rsidRDefault="00074656" w:rsidP="00D73941">
            <w:pPr>
              <w:widowControl/>
              <w:rPr>
                <w:rFonts w:ascii="Arial Narrow" w:hAnsi="Arial Narrow"/>
                <w:i/>
                <w:sz w:val="20"/>
              </w:rPr>
            </w:pPr>
            <w:r w:rsidRPr="00582650">
              <w:rPr>
                <w:rFonts w:ascii="Arial Narrow" w:hAnsi="Arial Narrow"/>
                <w:i/>
                <w:sz w:val="20"/>
              </w:rPr>
              <w:t>Special Pricing Arrangements apply.</w:t>
            </w:r>
          </w:p>
        </w:tc>
      </w:tr>
      <w:tr w:rsidR="00074656" w:rsidRPr="00260CE3" w:rsidTr="00074656">
        <w:trPr>
          <w:cantSplit/>
          <w:trHeight w:val="360"/>
        </w:trPr>
        <w:tc>
          <w:tcPr>
            <w:tcW w:w="1985" w:type="dxa"/>
            <w:tcBorders>
              <w:top w:val="single" w:sz="4" w:space="0" w:color="auto"/>
              <w:left w:val="single" w:sz="4" w:space="0" w:color="auto"/>
              <w:bottom w:val="single" w:sz="4" w:space="0" w:color="auto"/>
              <w:right w:val="single" w:sz="4" w:space="0" w:color="auto"/>
            </w:tcBorders>
          </w:tcPr>
          <w:p w:rsidR="00074656" w:rsidRDefault="00074656" w:rsidP="00D73941">
            <w:pPr>
              <w:widowControl/>
              <w:rPr>
                <w:rFonts w:ascii="Arial Narrow" w:hAnsi="Arial Narrow"/>
                <w:b/>
                <w:sz w:val="20"/>
              </w:rPr>
            </w:pPr>
            <w:r>
              <w:rPr>
                <w:rFonts w:ascii="Arial Narrow" w:hAnsi="Arial Narrow"/>
                <w:b/>
                <w:sz w:val="20"/>
              </w:rPr>
              <w:t>Administrative advice</w:t>
            </w:r>
          </w:p>
        </w:tc>
        <w:tc>
          <w:tcPr>
            <w:tcW w:w="6520" w:type="dxa"/>
            <w:gridSpan w:val="5"/>
            <w:tcBorders>
              <w:top w:val="single" w:sz="4" w:space="0" w:color="auto"/>
              <w:left w:val="single" w:sz="4" w:space="0" w:color="auto"/>
              <w:bottom w:val="single" w:sz="4" w:space="0" w:color="auto"/>
              <w:right w:val="single" w:sz="4" w:space="0" w:color="auto"/>
            </w:tcBorders>
          </w:tcPr>
          <w:p w:rsidR="00074656" w:rsidRPr="00582650" w:rsidRDefault="00074656" w:rsidP="00D73941">
            <w:pPr>
              <w:widowControl/>
              <w:rPr>
                <w:rFonts w:ascii="Arial Narrow" w:hAnsi="Arial Narrow"/>
                <w:i/>
                <w:sz w:val="20"/>
              </w:rPr>
            </w:pPr>
            <w:r w:rsidRPr="00582650">
              <w:rPr>
                <w:rFonts w:ascii="Arial Narrow" w:hAnsi="Arial Narrow"/>
                <w:i/>
                <w:sz w:val="20"/>
              </w:rPr>
              <w:t xml:space="preserve">Any queries concerning the arrangements to prescribe may be directed to the Department of Human Services on 1800 700 270 (hours of operation 8 a.m. to 5 p.m. EST Monday to Friday). </w:t>
            </w:r>
          </w:p>
          <w:p w:rsidR="00074656" w:rsidRPr="00582650" w:rsidRDefault="00074656" w:rsidP="00D73941">
            <w:pPr>
              <w:widowControl/>
              <w:rPr>
                <w:rFonts w:ascii="Arial Narrow" w:hAnsi="Arial Narrow"/>
                <w:i/>
                <w:sz w:val="20"/>
              </w:rPr>
            </w:pPr>
            <w:r w:rsidRPr="00582650">
              <w:rPr>
                <w:rFonts w:ascii="Arial Narrow" w:hAnsi="Arial Narrow"/>
                <w:i/>
                <w:sz w:val="20"/>
              </w:rPr>
              <w:t>Prescribing information (including Authority Application forms and other relevant documentation as applicable) is available on the Department of Human Services website at www.humanservices.gov.au</w:t>
            </w:r>
          </w:p>
          <w:p w:rsidR="00074656" w:rsidRPr="00582650" w:rsidRDefault="00074656" w:rsidP="00D73941">
            <w:pPr>
              <w:widowControl/>
              <w:rPr>
                <w:rFonts w:ascii="Arial Narrow" w:hAnsi="Arial Narrow"/>
                <w:i/>
                <w:sz w:val="20"/>
              </w:rPr>
            </w:pPr>
            <w:r w:rsidRPr="00582650">
              <w:rPr>
                <w:rFonts w:ascii="Arial Narrow" w:hAnsi="Arial Narrow"/>
                <w:i/>
                <w:sz w:val="20"/>
              </w:rPr>
              <w:t xml:space="preserve">Applications for authority to prescribe should be forwarded to: </w:t>
            </w:r>
          </w:p>
          <w:p w:rsidR="00074656" w:rsidRPr="00582650" w:rsidRDefault="00074656" w:rsidP="00D73941">
            <w:pPr>
              <w:widowControl/>
              <w:rPr>
                <w:rFonts w:ascii="Arial Narrow" w:hAnsi="Arial Narrow"/>
                <w:i/>
                <w:sz w:val="20"/>
              </w:rPr>
            </w:pPr>
            <w:r w:rsidRPr="00582650">
              <w:rPr>
                <w:rFonts w:ascii="Arial Narrow" w:hAnsi="Arial Narrow"/>
                <w:i/>
                <w:sz w:val="20"/>
              </w:rPr>
              <w:t>Department of Human Services</w:t>
            </w:r>
          </w:p>
          <w:p w:rsidR="00074656" w:rsidRPr="00582650" w:rsidRDefault="00074656" w:rsidP="00D73941">
            <w:pPr>
              <w:widowControl/>
              <w:rPr>
                <w:rFonts w:ascii="Arial Narrow" w:hAnsi="Arial Narrow"/>
                <w:i/>
                <w:sz w:val="20"/>
              </w:rPr>
            </w:pPr>
            <w:r w:rsidRPr="00582650">
              <w:rPr>
                <w:rFonts w:ascii="Arial Narrow" w:hAnsi="Arial Narrow"/>
                <w:i/>
                <w:sz w:val="20"/>
              </w:rPr>
              <w:t xml:space="preserve">Prior Written Approval of Complex Drugs </w:t>
            </w:r>
          </w:p>
          <w:p w:rsidR="00074656" w:rsidRPr="00582650" w:rsidRDefault="00074656" w:rsidP="00D73941">
            <w:pPr>
              <w:widowControl/>
              <w:rPr>
                <w:rFonts w:ascii="Arial Narrow" w:hAnsi="Arial Narrow"/>
                <w:i/>
                <w:sz w:val="20"/>
              </w:rPr>
            </w:pPr>
            <w:r w:rsidRPr="00582650">
              <w:rPr>
                <w:rFonts w:ascii="Arial Narrow" w:hAnsi="Arial Narrow"/>
                <w:i/>
                <w:sz w:val="20"/>
              </w:rPr>
              <w:t xml:space="preserve">Reply Paid 9826 </w:t>
            </w:r>
          </w:p>
          <w:p w:rsidR="00074656" w:rsidRPr="00582650" w:rsidRDefault="00074656" w:rsidP="00D73941">
            <w:pPr>
              <w:widowControl/>
              <w:rPr>
                <w:rFonts w:ascii="Arial Narrow" w:hAnsi="Arial Narrow"/>
                <w:i/>
                <w:sz w:val="20"/>
              </w:rPr>
            </w:pPr>
            <w:r w:rsidRPr="00582650">
              <w:rPr>
                <w:rFonts w:ascii="Arial Narrow" w:hAnsi="Arial Narrow"/>
                <w:i/>
                <w:sz w:val="20"/>
              </w:rPr>
              <w:t xml:space="preserve">GPO Box 9826 </w:t>
            </w:r>
          </w:p>
          <w:p w:rsidR="00074656" w:rsidRPr="00582650" w:rsidRDefault="00074656" w:rsidP="00D73941">
            <w:pPr>
              <w:widowControl/>
              <w:rPr>
                <w:rFonts w:ascii="Arial Narrow" w:hAnsi="Arial Narrow"/>
                <w:i/>
                <w:sz w:val="20"/>
              </w:rPr>
            </w:pPr>
            <w:r w:rsidRPr="00582650">
              <w:rPr>
                <w:rFonts w:ascii="Arial Narrow" w:hAnsi="Arial Narrow"/>
                <w:i/>
                <w:sz w:val="20"/>
              </w:rPr>
              <w:t>HOBART TAS 7001</w:t>
            </w:r>
          </w:p>
        </w:tc>
      </w:tr>
    </w:tbl>
    <w:p w:rsidR="00074656" w:rsidRPr="00552722" w:rsidRDefault="00074656" w:rsidP="00D73941">
      <w:pPr>
        <w:widowControl/>
        <w:rPr>
          <w:szCs w:val="22"/>
        </w:rPr>
      </w:pPr>
    </w:p>
    <w:tbl>
      <w:tblPr>
        <w:tblStyle w:val="TableGrid7"/>
        <w:tblW w:w="8505" w:type="dxa"/>
        <w:tblInd w:w="817" w:type="dxa"/>
        <w:tblLook w:val="04A0" w:firstRow="1" w:lastRow="0" w:firstColumn="1" w:lastColumn="0" w:noHBand="0" w:noVBand="1"/>
      </w:tblPr>
      <w:tblGrid>
        <w:gridCol w:w="1985"/>
        <w:gridCol w:w="6520"/>
      </w:tblGrid>
      <w:tr w:rsidR="00074656" w:rsidRPr="00264745" w:rsidTr="00074656">
        <w:tc>
          <w:tcPr>
            <w:tcW w:w="1985" w:type="dxa"/>
          </w:tcPr>
          <w:p w:rsidR="00074656" w:rsidRPr="009264E8" w:rsidRDefault="00074656" w:rsidP="00D73941">
            <w:pPr>
              <w:keepNext/>
              <w:widowControl/>
              <w:rPr>
                <w:rFonts w:ascii="Arial Narrow" w:hAnsi="Arial Narrow"/>
                <w:b/>
                <w:sz w:val="20"/>
              </w:rPr>
            </w:pPr>
            <w:r w:rsidRPr="009264E8">
              <w:rPr>
                <w:rFonts w:ascii="Arial Narrow" w:hAnsi="Arial Narrow"/>
                <w:b/>
                <w:sz w:val="20"/>
              </w:rPr>
              <w:t>Severity</w:t>
            </w:r>
          </w:p>
        </w:tc>
        <w:tc>
          <w:tcPr>
            <w:tcW w:w="6520" w:type="dxa"/>
          </w:tcPr>
          <w:p w:rsidR="00074656" w:rsidRPr="009264E8" w:rsidRDefault="00074656" w:rsidP="00D73941">
            <w:pPr>
              <w:keepNext/>
              <w:widowControl/>
              <w:rPr>
                <w:rFonts w:ascii="Arial Narrow" w:hAnsi="Arial Narrow"/>
                <w:sz w:val="20"/>
              </w:rPr>
            </w:pPr>
            <w:r w:rsidRPr="009264E8">
              <w:rPr>
                <w:rFonts w:ascii="Arial Narrow" w:hAnsi="Arial Narrow"/>
                <w:sz w:val="20"/>
              </w:rPr>
              <w:t xml:space="preserve">Mild to moderate </w:t>
            </w:r>
          </w:p>
        </w:tc>
      </w:tr>
      <w:tr w:rsidR="00074656" w:rsidRPr="00264745" w:rsidTr="00074656">
        <w:tc>
          <w:tcPr>
            <w:tcW w:w="1985" w:type="dxa"/>
          </w:tcPr>
          <w:p w:rsidR="00074656" w:rsidRPr="009264E8" w:rsidRDefault="00074656" w:rsidP="00D73941">
            <w:pPr>
              <w:widowControl/>
              <w:rPr>
                <w:rFonts w:ascii="Arial Narrow" w:hAnsi="Arial Narrow"/>
                <w:b/>
                <w:sz w:val="20"/>
              </w:rPr>
            </w:pPr>
            <w:r w:rsidRPr="009264E8">
              <w:rPr>
                <w:rFonts w:ascii="Arial Narrow" w:hAnsi="Arial Narrow"/>
                <w:b/>
                <w:sz w:val="20"/>
              </w:rPr>
              <w:t>Condition:</w:t>
            </w:r>
          </w:p>
        </w:tc>
        <w:tc>
          <w:tcPr>
            <w:tcW w:w="6520" w:type="dxa"/>
          </w:tcPr>
          <w:p w:rsidR="00074656" w:rsidRPr="009264E8" w:rsidRDefault="00074656" w:rsidP="00D73941">
            <w:pPr>
              <w:widowControl/>
              <w:rPr>
                <w:rFonts w:ascii="Arial Narrow" w:hAnsi="Arial Narrow"/>
                <w:sz w:val="20"/>
              </w:rPr>
            </w:pPr>
            <w:r w:rsidRPr="009264E8">
              <w:rPr>
                <w:rFonts w:ascii="Arial Narrow" w:hAnsi="Arial Narrow"/>
                <w:sz w:val="20"/>
              </w:rPr>
              <w:t>Idiopathic pulmonary fibrosis</w:t>
            </w:r>
          </w:p>
        </w:tc>
      </w:tr>
      <w:tr w:rsidR="00074656" w:rsidRPr="00264745" w:rsidTr="00074656">
        <w:tc>
          <w:tcPr>
            <w:tcW w:w="1985" w:type="dxa"/>
          </w:tcPr>
          <w:p w:rsidR="00074656" w:rsidRPr="009264E8" w:rsidRDefault="00074656" w:rsidP="00D73941">
            <w:pPr>
              <w:widowControl/>
              <w:rPr>
                <w:rFonts w:ascii="Arial Narrow" w:hAnsi="Arial Narrow"/>
                <w:b/>
                <w:sz w:val="20"/>
              </w:rPr>
            </w:pPr>
            <w:r w:rsidRPr="009264E8">
              <w:rPr>
                <w:rFonts w:ascii="Arial Narrow" w:hAnsi="Arial Narrow"/>
                <w:b/>
                <w:sz w:val="20"/>
              </w:rPr>
              <w:t>Indication:</w:t>
            </w:r>
          </w:p>
        </w:tc>
        <w:tc>
          <w:tcPr>
            <w:tcW w:w="6520" w:type="dxa"/>
          </w:tcPr>
          <w:p w:rsidR="00074656" w:rsidRPr="009264E8" w:rsidRDefault="00074656" w:rsidP="00D73941">
            <w:pPr>
              <w:widowControl/>
              <w:rPr>
                <w:rFonts w:ascii="Arial Narrow" w:hAnsi="Arial Narrow"/>
                <w:sz w:val="20"/>
              </w:rPr>
            </w:pPr>
            <w:r w:rsidRPr="009264E8">
              <w:rPr>
                <w:rFonts w:ascii="Arial Narrow" w:hAnsi="Arial Narrow"/>
                <w:i/>
                <w:sz w:val="20"/>
              </w:rPr>
              <w:t>Mild to moderate</w:t>
            </w:r>
            <w:r w:rsidRPr="00264745" w:rsidDel="00264745">
              <w:rPr>
                <w:rFonts w:ascii="Arial Narrow" w:hAnsi="Arial Narrow"/>
                <w:sz w:val="20"/>
              </w:rPr>
              <w:t xml:space="preserve"> </w:t>
            </w:r>
            <w:r>
              <w:rPr>
                <w:rFonts w:ascii="Arial Narrow" w:hAnsi="Arial Narrow"/>
                <w:sz w:val="20"/>
              </w:rPr>
              <w:t>i</w:t>
            </w:r>
            <w:r w:rsidRPr="009264E8">
              <w:rPr>
                <w:rFonts w:ascii="Arial Narrow" w:hAnsi="Arial Narrow"/>
                <w:sz w:val="20"/>
              </w:rPr>
              <w:t>diopathic pulmonary fibrosis</w:t>
            </w:r>
          </w:p>
        </w:tc>
      </w:tr>
      <w:tr w:rsidR="00074656" w:rsidRPr="00264745" w:rsidTr="00074656">
        <w:tc>
          <w:tcPr>
            <w:tcW w:w="1985" w:type="dxa"/>
          </w:tcPr>
          <w:p w:rsidR="00074656" w:rsidRPr="009264E8" w:rsidRDefault="00074656" w:rsidP="00D73941">
            <w:pPr>
              <w:widowControl/>
              <w:rPr>
                <w:rFonts w:ascii="Arial Narrow" w:hAnsi="Arial Narrow"/>
                <w:b/>
                <w:sz w:val="20"/>
                <w:lang w:eastAsia="zh-CN"/>
              </w:rPr>
            </w:pPr>
            <w:r w:rsidRPr="009264E8">
              <w:rPr>
                <w:rFonts w:ascii="Arial Narrow" w:hAnsi="Arial Narrow"/>
                <w:b/>
                <w:sz w:val="20"/>
              </w:rPr>
              <w:t>Phase of treatment</w:t>
            </w:r>
            <w:r w:rsidRPr="009264E8">
              <w:rPr>
                <w:rFonts w:ascii="Arial Narrow" w:hAnsi="Arial Narrow"/>
                <w:b/>
                <w:sz w:val="20"/>
                <w:lang w:eastAsia="zh-CN"/>
              </w:rPr>
              <w:t>:</w:t>
            </w:r>
          </w:p>
        </w:tc>
        <w:tc>
          <w:tcPr>
            <w:tcW w:w="6520" w:type="dxa"/>
          </w:tcPr>
          <w:p w:rsidR="00074656" w:rsidRPr="009264E8" w:rsidRDefault="00074656" w:rsidP="00D73941">
            <w:pPr>
              <w:widowControl/>
              <w:rPr>
                <w:rFonts w:ascii="Arial Narrow" w:hAnsi="Arial Narrow"/>
                <w:sz w:val="20"/>
              </w:rPr>
            </w:pPr>
            <w:r w:rsidRPr="009264E8">
              <w:rPr>
                <w:rFonts w:ascii="Arial Narrow" w:hAnsi="Arial Narrow"/>
                <w:sz w:val="20"/>
              </w:rPr>
              <w:t xml:space="preserve">Continuing treatment </w:t>
            </w:r>
          </w:p>
        </w:tc>
      </w:tr>
      <w:tr w:rsidR="00074656" w:rsidRPr="00264745" w:rsidTr="00074656">
        <w:trPr>
          <w:trHeight w:val="288"/>
        </w:trPr>
        <w:tc>
          <w:tcPr>
            <w:tcW w:w="1985" w:type="dxa"/>
          </w:tcPr>
          <w:p w:rsidR="00074656" w:rsidRPr="009264E8" w:rsidRDefault="00074656" w:rsidP="00D73941">
            <w:pPr>
              <w:widowControl/>
              <w:rPr>
                <w:rFonts w:ascii="Arial Narrow" w:hAnsi="Arial Narrow"/>
                <w:b/>
                <w:sz w:val="20"/>
              </w:rPr>
            </w:pPr>
            <w:r w:rsidRPr="009264E8">
              <w:rPr>
                <w:rFonts w:ascii="Arial Narrow" w:hAnsi="Arial Narrow"/>
                <w:b/>
                <w:sz w:val="20"/>
              </w:rPr>
              <w:t>Restriction:</w:t>
            </w:r>
          </w:p>
        </w:tc>
        <w:tc>
          <w:tcPr>
            <w:tcW w:w="6520" w:type="dxa"/>
          </w:tcPr>
          <w:p w:rsidR="00074656" w:rsidRPr="00106BCF" w:rsidRDefault="00074656" w:rsidP="00D73941">
            <w:pPr>
              <w:widowControl/>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A108E2">
              <w:rPr>
                <w:rFonts w:ascii="Arial Narrow" w:hAnsi="Arial Narrow"/>
                <w:sz w:val="20"/>
              </w:rPr>
            </w:r>
            <w:r w:rsidR="00A108E2">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074656" w:rsidRPr="005E5978" w:rsidRDefault="00074656" w:rsidP="00D73941">
            <w:pPr>
              <w:widowControl/>
              <w:rPr>
                <w:rFonts w:ascii="Arial Narrow" w:hAnsi="Arial Narrow"/>
                <w:sz w:val="20"/>
              </w:rPr>
            </w:pPr>
            <w:r w:rsidRPr="009264E8">
              <w:rPr>
                <w:rFonts w:ascii="Arial Narrow" w:hAnsi="Arial Narrow"/>
                <w:sz w:val="20"/>
              </w:rPr>
              <w:fldChar w:fldCharType="begin">
                <w:ffData>
                  <w:name w:val=""/>
                  <w:enabled/>
                  <w:calcOnExit w:val="0"/>
                  <w:checkBox>
                    <w:sizeAuto/>
                    <w:default w:val="1"/>
                  </w:checkBox>
                </w:ffData>
              </w:fldChar>
            </w:r>
            <w:r w:rsidRPr="00442F0E">
              <w:rPr>
                <w:rFonts w:ascii="Arial Narrow" w:hAnsi="Arial Narrow"/>
                <w:sz w:val="20"/>
              </w:rPr>
              <w:instrText xml:space="preserve"> FORMCHECKBOX </w:instrText>
            </w:r>
            <w:r w:rsidR="00A108E2">
              <w:rPr>
                <w:rFonts w:ascii="Arial Narrow" w:hAnsi="Arial Narrow"/>
                <w:sz w:val="20"/>
              </w:rPr>
            </w:r>
            <w:r w:rsidR="00A108E2">
              <w:rPr>
                <w:rFonts w:ascii="Arial Narrow" w:hAnsi="Arial Narrow"/>
                <w:sz w:val="20"/>
              </w:rPr>
              <w:fldChar w:fldCharType="separate"/>
            </w:r>
            <w:r w:rsidRPr="009264E8">
              <w:rPr>
                <w:rFonts w:ascii="Arial Narrow" w:hAnsi="Arial Narrow"/>
                <w:sz w:val="20"/>
              </w:rPr>
              <w:fldChar w:fldCharType="end"/>
            </w:r>
            <w:r w:rsidRPr="005E5978">
              <w:rPr>
                <w:rFonts w:ascii="Arial Narrow" w:hAnsi="Arial Narrow"/>
                <w:sz w:val="20"/>
              </w:rPr>
              <w:t>Authority Required - In Writing</w:t>
            </w:r>
          </w:p>
          <w:p w:rsidR="00074656" w:rsidRPr="005E5978" w:rsidRDefault="00074656" w:rsidP="00D73941">
            <w:pPr>
              <w:widowControl/>
              <w:rPr>
                <w:rFonts w:ascii="Arial Narrow" w:hAnsi="Arial Narrow"/>
                <w:sz w:val="20"/>
              </w:rPr>
            </w:pPr>
            <w:r w:rsidRPr="009264E8">
              <w:rPr>
                <w:rFonts w:ascii="Arial Narrow" w:hAnsi="Arial Narrow"/>
                <w:sz w:val="20"/>
              </w:rPr>
              <w:fldChar w:fldCharType="begin">
                <w:ffData>
                  <w:name w:val=""/>
                  <w:enabled/>
                  <w:calcOnExit w:val="0"/>
                  <w:checkBox>
                    <w:sizeAuto/>
                    <w:default w:val="1"/>
                  </w:checkBox>
                </w:ffData>
              </w:fldChar>
            </w:r>
            <w:r w:rsidRPr="00442F0E">
              <w:rPr>
                <w:rFonts w:ascii="Arial Narrow" w:hAnsi="Arial Narrow"/>
                <w:sz w:val="20"/>
              </w:rPr>
              <w:instrText xml:space="preserve"> FORMCHECKBOX </w:instrText>
            </w:r>
            <w:r w:rsidR="00A108E2">
              <w:rPr>
                <w:rFonts w:ascii="Arial Narrow" w:hAnsi="Arial Narrow"/>
                <w:sz w:val="20"/>
              </w:rPr>
            </w:r>
            <w:r w:rsidR="00A108E2">
              <w:rPr>
                <w:rFonts w:ascii="Arial Narrow" w:hAnsi="Arial Narrow"/>
                <w:sz w:val="20"/>
              </w:rPr>
              <w:fldChar w:fldCharType="separate"/>
            </w:r>
            <w:r w:rsidRPr="009264E8">
              <w:rPr>
                <w:rFonts w:ascii="Arial Narrow" w:hAnsi="Arial Narrow"/>
                <w:sz w:val="20"/>
              </w:rPr>
              <w:fldChar w:fldCharType="end"/>
            </w:r>
            <w:r w:rsidRPr="005E5978">
              <w:rPr>
                <w:rFonts w:ascii="Arial Narrow" w:hAnsi="Arial Narrow"/>
                <w:sz w:val="20"/>
              </w:rPr>
              <w:t>Authority Required - Telephone</w:t>
            </w:r>
          </w:p>
          <w:p w:rsidR="00074656" w:rsidRPr="005E5978" w:rsidRDefault="00074656" w:rsidP="00D73941">
            <w:pPr>
              <w:widowControl/>
              <w:rPr>
                <w:rFonts w:ascii="Arial Narrow" w:hAnsi="Arial Narrow"/>
                <w:sz w:val="20"/>
              </w:rPr>
            </w:pPr>
            <w:r w:rsidRPr="009264E8">
              <w:rPr>
                <w:rFonts w:ascii="Arial Narrow" w:hAnsi="Arial Narrow"/>
                <w:sz w:val="20"/>
              </w:rPr>
              <w:fldChar w:fldCharType="begin">
                <w:ffData>
                  <w:name w:val=""/>
                  <w:enabled/>
                  <w:calcOnExit w:val="0"/>
                  <w:checkBox>
                    <w:sizeAuto/>
                    <w:default w:val="1"/>
                  </w:checkBox>
                </w:ffData>
              </w:fldChar>
            </w:r>
            <w:r w:rsidRPr="00442F0E">
              <w:rPr>
                <w:rFonts w:ascii="Arial Narrow" w:hAnsi="Arial Narrow"/>
                <w:sz w:val="20"/>
              </w:rPr>
              <w:instrText xml:space="preserve"> FORMCHECKBOX </w:instrText>
            </w:r>
            <w:r w:rsidR="00A108E2">
              <w:rPr>
                <w:rFonts w:ascii="Arial Narrow" w:hAnsi="Arial Narrow"/>
                <w:sz w:val="20"/>
              </w:rPr>
            </w:r>
            <w:r w:rsidR="00A108E2">
              <w:rPr>
                <w:rFonts w:ascii="Arial Narrow" w:hAnsi="Arial Narrow"/>
                <w:sz w:val="20"/>
              </w:rPr>
              <w:fldChar w:fldCharType="separate"/>
            </w:r>
            <w:r w:rsidRPr="009264E8">
              <w:rPr>
                <w:rFonts w:ascii="Arial Narrow" w:hAnsi="Arial Narrow"/>
                <w:sz w:val="20"/>
              </w:rPr>
              <w:fldChar w:fldCharType="end"/>
            </w:r>
            <w:r w:rsidRPr="005E5978">
              <w:rPr>
                <w:rFonts w:ascii="Arial Narrow" w:hAnsi="Arial Narrow"/>
                <w:sz w:val="20"/>
              </w:rPr>
              <w:t>Authority Required – Emergency</w:t>
            </w:r>
          </w:p>
          <w:p w:rsidR="00074656" w:rsidRPr="005E5978" w:rsidRDefault="00074656" w:rsidP="00D73941">
            <w:pPr>
              <w:widowControl/>
              <w:rPr>
                <w:rFonts w:ascii="Arial Narrow" w:hAnsi="Arial Narrow"/>
                <w:sz w:val="20"/>
              </w:rPr>
            </w:pPr>
            <w:r w:rsidRPr="009264E8">
              <w:rPr>
                <w:rFonts w:ascii="Arial Narrow" w:hAnsi="Arial Narrow"/>
                <w:sz w:val="20"/>
              </w:rPr>
              <w:fldChar w:fldCharType="begin">
                <w:ffData>
                  <w:name w:val=""/>
                  <w:enabled/>
                  <w:calcOnExit w:val="0"/>
                  <w:checkBox>
                    <w:sizeAuto/>
                    <w:default w:val="1"/>
                  </w:checkBox>
                </w:ffData>
              </w:fldChar>
            </w:r>
            <w:r w:rsidRPr="00442F0E">
              <w:rPr>
                <w:rFonts w:ascii="Arial Narrow" w:hAnsi="Arial Narrow"/>
                <w:sz w:val="20"/>
              </w:rPr>
              <w:instrText xml:space="preserve"> FORMCHECKBOX </w:instrText>
            </w:r>
            <w:r w:rsidR="00A108E2">
              <w:rPr>
                <w:rFonts w:ascii="Arial Narrow" w:hAnsi="Arial Narrow"/>
                <w:sz w:val="20"/>
              </w:rPr>
            </w:r>
            <w:r w:rsidR="00A108E2">
              <w:rPr>
                <w:rFonts w:ascii="Arial Narrow" w:hAnsi="Arial Narrow"/>
                <w:sz w:val="20"/>
              </w:rPr>
              <w:fldChar w:fldCharType="separate"/>
            </w:r>
            <w:r w:rsidRPr="009264E8">
              <w:rPr>
                <w:rFonts w:ascii="Arial Narrow" w:hAnsi="Arial Narrow"/>
                <w:sz w:val="20"/>
              </w:rPr>
              <w:fldChar w:fldCharType="end"/>
            </w:r>
            <w:r w:rsidRPr="005E5978">
              <w:rPr>
                <w:rFonts w:ascii="Arial Narrow" w:hAnsi="Arial Narrow"/>
                <w:sz w:val="20"/>
              </w:rPr>
              <w:t>Authority Required - Electronic</w:t>
            </w:r>
          </w:p>
          <w:p w:rsidR="00074656" w:rsidRPr="009264E8" w:rsidRDefault="00074656" w:rsidP="00D73941">
            <w:pPr>
              <w:widowControl/>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A108E2">
              <w:rPr>
                <w:rFonts w:ascii="Arial Narrow" w:hAnsi="Arial Narrow"/>
                <w:sz w:val="20"/>
              </w:rPr>
            </w:r>
            <w:r w:rsidR="00A108E2">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074656" w:rsidRPr="00264745" w:rsidTr="00074656">
        <w:trPr>
          <w:trHeight w:val="554"/>
        </w:trPr>
        <w:tc>
          <w:tcPr>
            <w:tcW w:w="1985" w:type="dxa"/>
          </w:tcPr>
          <w:p w:rsidR="00074656" w:rsidRPr="009264E8" w:rsidRDefault="00074656" w:rsidP="00D73941">
            <w:pPr>
              <w:widowControl/>
              <w:rPr>
                <w:rFonts w:ascii="Arial Narrow" w:hAnsi="Arial Narrow"/>
                <w:b/>
                <w:sz w:val="20"/>
              </w:rPr>
            </w:pPr>
            <w:r w:rsidRPr="009264E8">
              <w:rPr>
                <w:rFonts w:ascii="Arial Narrow" w:hAnsi="Arial Narrow"/>
                <w:b/>
                <w:sz w:val="20"/>
              </w:rPr>
              <w:t>Clinical criteria:</w:t>
            </w:r>
          </w:p>
          <w:p w:rsidR="00074656" w:rsidRPr="009264E8" w:rsidRDefault="00074656" w:rsidP="00D73941">
            <w:pPr>
              <w:widowControl/>
              <w:rPr>
                <w:rFonts w:ascii="Arial Narrow" w:hAnsi="Arial Narrow"/>
                <w:sz w:val="20"/>
              </w:rPr>
            </w:pPr>
          </w:p>
        </w:tc>
        <w:tc>
          <w:tcPr>
            <w:tcW w:w="6520" w:type="dxa"/>
          </w:tcPr>
          <w:p w:rsidR="00074656" w:rsidRDefault="00074656" w:rsidP="00D73941">
            <w:pPr>
              <w:widowControl/>
              <w:rPr>
                <w:rFonts w:ascii="Arial Narrow" w:hAnsi="Arial Narrow"/>
                <w:i/>
                <w:sz w:val="20"/>
              </w:rPr>
            </w:pPr>
            <w:r w:rsidRPr="00264745">
              <w:rPr>
                <w:rFonts w:ascii="Arial Narrow" w:hAnsi="Arial Narrow"/>
                <w:i/>
                <w:sz w:val="20"/>
              </w:rPr>
              <w:t xml:space="preserve">Patient must have previously received PBS-subsidised treatment with </w:t>
            </w:r>
            <w:r>
              <w:rPr>
                <w:rFonts w:ascii="Arial Narrow" w:hAnsi="Arial Narrow"/>
                <w:i/>
                <w:sz w:val="20"/>
              </w:rPr>
              <w:t>nintedanib</w:t>
            </w:r>
            <w:r w:rsidRPr="00264745">
              <w:rPr>
                <w:rFonts w:ascii="Arial Narrow" w:hAnsi="Arial Narrow"/>
                <w:i/>
                <w:sz w:val="20"/>
              </w:rPr>
              <w:t xml:space="preserve"> for this condition.</w:t>
            </w:r>
          </w:p>
          <w:p w:rsidR="00074656" w:rsidRDefault="00074656" w:rsidP="00D73941">
            <w:pPr>
              <w:widowControl/>
              <w:rPr>
                <w:rFonts w:ascii="Arial Narrow" w:hAnsi="Arial Narrow"/>
                <w:i/>
                <w:sz w:val="20"/>
              </w:rPr>
            </w:pPr>
          </w:p>
          <w:p w:rsidR="00074656" w:rsidRDefault="00074656" w:rsidP="00D73941">
            <w:pPr>
              <w:widowControl/>
              <w:rPr>
                <w:rFonts w:ascii="Arial Narrow" w:hAnsi="Arial Narrow"/>
                <w:i/>
                <w:sz w:val="20"/>
              </w:rPr>
            </w:pPr>
            <w:r>
              <w:rPr>
                <w:rFonts w:ascii="Arial Narrow" w:hAnsi="Arial Narrow"/>
                <w:i/>
                <w:sz w:val="20"/>
              </w:rPr>
              <w:t>AND</w:t>
            </w:r>
          </w:p>
          <w:p w:rsidR="00074656" w:rsidRDefault="00074656" w:rsidP="00D73941">
            <w:pPr>
              <w:widowControl/>
              <w:rPr>
                <w:rFonts w:ascii="Arial Narrow" w:hAnsi="Arial Narrow"/>
                <w:i/>
                <w:sz w:val="20"/>
              </w:rPr>
            </w:pPr>
          </w:p>
          <w:p w:rsidR="00074656" w:rsidRPr="003F6B7D" w:rsidRDefault="00074656" w:rsidP="00D73941">
            <w:pPr>
              <w:widowControl/>
              <w:rPr>
                <w:rFonts w:ascii="Arial Narrow" w:hAnsi="Arial Narrow"/>
                <w:i/>
                <w:sz w:val="20"/>
              </w:rPr>
            </w:pPr>
            <w:r w:rsidRPr="003F6B7D">
              <w:rPr>
                <w:rFonts w:ascii="Arial Narrow" w:hAnsi="Arial Narrow"/>
                <w:i/>
                <w:sz w:val="20"/>
              </w:rPr>
              <w:t>Patient must have a confirmed and documented diagnosis of idiopathic pulmonary fibrosis that is less than 5 years old; OR</w:t>
            </w:r>
          </w:p>
          <w:p w:rsidR="00074656" w:rsidRPr="003F6B7D" w:rsidRDefault="00074656" w:rsidP="00D73941">
            <w:pPr>
              <w:widowControl/>
              <w:rPr>
                <w:rFonts w:ascii="Arial Narrow" w:hAnsi="Arial Narrow"/>
                <w:i/>
                <w:sz w:val="20"/>
              </w:rPr>
            </w:pPr>
            <w:r w:rsidRPr="003F6B7D">
              <w:rPr>
                <w:rFonts w:ascii="Arial Narrow" w:hAnsi="Arial Narrow"/>
                <w:i/>
                <w:sz w:val="20"/>
              </w:rPr>
              <w:t>Patient must have a confirmed and documented diagnosis of idiopathic pulmonary fibrosis that is greater than 5 years old where there i</w:t>
            </w:r>
            <w:r>
              <w:rPr>
                <w:rFonts w:ascii="Arial Narrow" w:hAnsi="Arial Narrow"/>
                <w:i/>
                <w:sz w:val="20"/>
              </w:rPr>
              <w:t>s confirmed progressive disease.</w:t>
            </w:r>
          </w:p>
          <w:p w:rsidR="00074656" w:rsidRDefault="00074656" w:rsidP="00D73941">
            <w:pPr>
              <w:widowControl/>
              <w:rPr>
                <w:rFonts w:ascii="Arial Narrow" w:hAnsi="Arial Narrow"/>
                <w:i/>
                <w:sz w:val="20"/>
              </w:rPr>
            </w:pPr>
          </w:p>
          <w:p w:rsidR="00074656" w:rsidRPr="00264745" w:rsidRDefault="00074656" w:rsidP="00D73941">
            <w:pPr>
              <w:widowControl/>
              <w:rPr>
                <w:rFonts w:ascii="Arial Narrow" w:hAnsi="Arial Narrow"/>
                <w:strike/>
                <w:sz w:val="20"/>
              </w:rPr>
            </w:pPr>
            <w:r w:rsidRPr="00264745">
              <w:rPr>
                <w:rFonts w:ascii="Arial Narrow" w:hAnsi="Arial Narrow"/>
                <w:strike/>
                <w:sz w:val="20"/>
              </w:rPr>
              <w:t>Adult patient aged 40 years and over to satisfy the following criteria:</w:t>
            </w:r>
          </w:p>
          <w:p w:rsidR="00074656" w:rsidRPr="003F6B7D" w:rsidRDefault="00074656" w:rsidP="00D73941">
            <w:pPr>
              <w:pStyle w:val="ListParagraph"/>
              <w:widowControl/>
              <w:numPr>
                <w:ilvl w:val="0"/>
                <w:numId w:val="5"/>
              </w:numPr>
              <w:jc w:val="left"/>
              <w:rPr>
                <w:rFonts w:ascii="Arial Narrow" w:hAnsi="Arial Narrow"/>
                <w:strike/>
                <w:sz w:val="20"/>
              </w:rPr>
            </w:pPr>
            <w:r w:rsidRPr="00264745">
              <w:rPr>
                <w:rFonts w:ascii="Arial Narrow" w:hAnsi="Arial Narrow"/>
                <w:strike/>
                <w:sz w:val="20"/>
              </w:rPr>
              <w:t>Initial diagnosis documented and treatment initiated by a respiratory physician experienced in the management of patients with idiopathic pulmonary fibrosis, or specialist physician as part of a multidisciplinary team. The diagnosis should be less than 5 years old or greater than 5 years old where there is confirmed progressive disease.</w:t>
            </w:r>
          </w:p>
          <w:p w:rsidR="00074656" w:rsidRPr="00264745" w:rsidRDefault="00074656" w:rsidP="00D73941">
            <w:pPr>
              <w:widowControl/>
              <w:rPr>
                <w:rFonts w:ascii="Arial Narrow" w:hAnsi="Arial Narrow"/>
                <w:strike/>
                <w:sz w:val="20"/>
              </w:rPr>
            </w:pPr>
            <w:r w:rsidRPr="00264745">
              <w:rPr>
                <w:rFonts w:ascii="Arial Narrow" w:hAnsi="Arial Narrow"/>
                <w:strike/>
                <w:sz w:val="20"/>
              </w:rPr>
              <w:t>AND</w:t>
            </w:r>
          </w:p>
          <w:p w:rsidR="00074656" w:rsidRPr="00264745" w:rsidRDefault="00074656" w:rsidP="00D73941">
            <w:pPr>
              <w:pStyle w:val="ListParagraph"/>
              <w:widowControl/>
              <w:numPr>
                <w:ilvl w:val="0"/>
                <w:numId w:val="5"/>
              </w:numPr>
              <w:jc w:val="left"/>
              <w:rPr>
                <w:rFonts w:ascii="Arial Narrow" w:hAnsi="Arial Narrow"/>
                <w:strike/>
                <w:sz w:val="20"/>
              </w:rPr>
            </w:pPr>
            <w:r w:rsidRPr="00264745">
              <w:rPr>
                <w:rFonts w:ascii="Arial Narrow" w:hAnsi="Arial Narrow"/>
                <w:strike/>
                <w:sz w:val="20"/>
              </w:rPr>
              <w:t xml:space="preserve">Chest high resolution computed tomography (HRCT) at diagnosis consistent with idiopathic pulmonary fibrosis </w:t>
            </w:r>
          </w:p>
          <w:p w:rsidR="00074656" w:rsidRPr="00264745" w:rsidRDefault="00074656" w:rsidP="00D73941">
            <w:pPr>
              <w:widowControl/>
              <w:rPr>
                <w:rFonts w:ascii="Arial Narrow" w:hAnsi="Arial Narrow"/>
                <w:strike/>
                <w:sz w:val="20"/>
              </w:rPr>
            </w:pPr>
            <w:r w:rsidRPr="00264745">
              <w:rPr>
                <w:rFonts w:ascii="Arial Narrow" w:hAnsi="Arial Narrow"/>
                <w:strike/>
                <w:sz w:val="20"/>
              </w:rPr>
              <w:t>AND</w:t>
            </w:r>
          </w:p>
          <w:p w:rsidR="00074656" w:rsidRPr="00264745" w:rsidRDefault="00074656" w:rsidP="00D73941">
            <w:pPr>
              <w:pStyle w:val="ListParagraph"/>
              <w:widowControl/>
              <w:numPr>
                <w:ilvl w:val="0"/>
                <w:numId w:val="5"/>
              </w:numPr>
              <w:jc w:val="left"/>
              <w:rPr>
                <w:rFonts w:ascii="Arial Narrow" w:hAnsi="Arial Narrow"/>
                <w:strike/>
                <w:sz w:val="20"/>
              </w:rPr>
            </w:pPr>
            <w:r w:rsidRPr="00264745">
              <w:rPr>
                <w:rFonts w:ascii="Arial Narrow" w:hAnsi="Arial Narrow"/>
                <w:strike/>
                <w:sz w:val="20"/>
              </w:rPr>
              <w:t xml:space="preserve">Forced vital capacity (FVC) greater than or equal to 50% of predicted normal at diagnosis </w:t>
            </w:r>
          </w:p>
          <w:p w:rsidR="00074656" w:rsidRPr="00264745" w:rsidRDefault="00074656" w:rsidP="00D73941">
            <w:pPr>
              <w:widowControl/>
              <w:rPr>
                <w:rFonts w:ascii="Arial Narrow" w:hAnsi="Arial Narrow"/>
                <w:strike/>
                <w:sz w:val="20"/>
              </w:rPr>
            </w:pPr>
            <w:r w:rsidRPr="00264745">
              <w:rPr>
                <w:rFonts w:ascii="Arial Narrow" w:hAnsi="Arial Narrow"/>
                <w:strike/>
                <w:sz w:val="20"/>
              </w:rPr>
              <w:t>AND</w:t>
            </w:r>
          </w:p>
          <w:p w:rsidR="00074656" w:rsidRPr="009264E8" w:rsidRDefault="00074656" w:rsidP="00D73941">
            <w:pPr>
              <w:pStyle w:val="ListParagraph"/>
              <w:widowControl/>
              <w:numPr>
                <w:ilvl w:val="0"/>
                <w:numId w:val="5"/>
              </w:numPr>
              <w:jc w:val="left"/>
              <w:rPr>
                <w:rFonts w:ascii="Arial Narrow" w:hAnsi="Arial Narrow"/>
                <w:sz w:val="20"/>
              </w:rPr>
            </w:pPr>
            <w:r w:rsidRPr="00264745">
              <w:rPr>
                <w:rFonts w:ascii="Arial Narrow" w:hAnsi="Arial Narrow"/>
                <w:strike/>
                <w:sz w:val="20"/>
              </w:rPr>
              <w:t>Diffusing capacity for carbon monoxide (DL</w:t>
            </w:r>
            <w:r w:rsidRPr="00264745">
              <w:rPr>
                <w:rFonts w:ascii="Arial Narrow" w:hAnsi="Arial Narrow"/>
                <w:strike/>
                <w:sz w:val="20"/>
                <w:vertAlign w:val="subscript"/>
              </w:rPr>
              <w:t>CO</w:t>
            </w:r>
            <w:r w:rsidRPr="00264745">
              <w:rPr>
                <w:rFonts w:ascii="Arial Narrow" w:hAnsi="Arial Narrow"/>
                <w:strike/>
                <w:sz w:val="20"/>
              </w:rPr>
              <w:t>) corrected for haemoglobin greater than 30% at diagnosis</w:t>
            </w:r>
            <w:r w:rsidRPr="009264E8">
              <w:rPr>
                <w:rFonts w:ascii="Arial Narrow" w:hAnsi="Arial Narrow"/>
                <w:sz w:val="20"/>
              </w:rPr>
              <w:t xml:space="preserve"> </w:t>
            </w:r>
          </w:p>
        </w:tc>
      </w:tr>
      <w:tr w:rsidR="00074656" w:rsidRPr="00264745" w:rsidTr="00074656">
        <w:tc>
          <w:tcPr>
            <w:tcW w:w="1985" w:type="dxa"/>
          </w:tcPr>
          <w:p w:rsidR="00074656" w:rsidRPr="009264E8" w:rsidRDefault="00074656" w:rsidP="00D73941">
            <w:pPr>
              <w:widowControl/>
              <w:rPr>
                <w:rFonts w:ascii="Arial Narrow" w:hAnsi="Arial Narrow"/>
                <w:b/>
                <w:sz w:val="20"/>
              </w:rPr>
            </w:pPr>
            <w:r w:rsidRPr="009264E8">
              <w:rPr>
                <w:rFonts w:ascii="Arial Narrow" w:hAnsi="Arial Narrow"/>
                <w:b/>
                <w:sz w:val="20"/>
              </w:rPr>
              <w:t>Population criteria</w:t>
            </w:r>
          </w:p>
          <w:p w:rsidR="00074656" w:rsidRPr="009264E8" w:rsidRDefault="00074656" w:rsidP="00D73941">
            <w:pPr>
              <w:widowControl/>
              <w:rPr>
                <w:rFonts w:ascii="Arial Narrow" w:hAnsi="Arial Narrow"/>
                <w:b/>
                <w:sz w:val="20"/>
              </w:rPr>
            </w:pPr>
          </w:p>
        </w:tc>
        <w:tc>
          <w:tcPr>
            <w:tcW w:w="6520" w:type="dxa"/>
          </w:tcPr>
          <w:p w:rsidR="00074656" w:rsidRPr="00264745" w:rsidRDefault="00074656" w:rsidP="00D73941">
            <w:pPr>
              <w:widowControl/>
              <w:rPr>
                <w:rFonts w:ascii="Arial Narrow" w:hAnsi="Arial Narrow"/>
                <w:strike/>
                <w:sz w:val="20"/>
              </w:rPr>
            </w:pPr>
            <w:r w:rsidRPr="00264745">
              <w:rPr>
                <w:rFonts w:ascii="Arial Narrow" w:hAnsi="Arial Narrow"/>
                <w:strike/>
                <w:sz w:val="20"/>
              </w:rPr>
              <w:t>PBS subsidy does not apply to other known causes of interstitial lung disease due to domestic and occupational environmental exposures, connective tissue disease, and drug toxicity</w:t>
            </w:r>
          </w:p>
        </w:tc>
      </w:tr>
      <w:tr w:rsidR="00074656" w:rsidRPr="00264745" w:rsidTr="00720FFE">
        <w:trPr>
          <w:cantSplit/>
        </w:trPr>
        <w:tc>
          <w:tcPr>
            <w:tcW w:w="1985" w:type="dxa"/>
          </w:tcPr>
          <w:p w:rsidR="00074656" w:rsidRPr="005E5978" w:rsidRDefault="00074656" w:rsidP="00D73941">
            <w:pPr>
              <w:widowControl/>
              <w:rPr>
                <w:rFonts w:ascii="Arial Narrow" w:hAnsi="Arial Narrow"/>
                <w:b/>
                <w:sz w:val="20"/>
              </w:rPr>
            </w:pPr>
            <w:r>
              <w:rPr>
                <w:rFonts w:ascii="Arial Narrow" w:hAnsi="Arial Narrow"/>
                <w:b/>
                <w:sz w:val="20"/>
              </w:rPr>
              <w:t>Administrative advice</w:t>
            </w:r>
          </w:p>
        </w:tc>
        <w:tc>
          <w:tcPr>
            <w:tcW w:w="6520" w:type="dxa"/>
          </w:tcPr>
          <w:p w:rsidR="00074656" w:rsidRPr="009264E8" w:rsidRDefault="00074656" w:rsidP="00D73941">
            <w:pPr>
              <w:widowControl/>
              <w:rPr>
                <w:rFonts w:ascii="Arial Narrow" w:hAnsi="Arial Narrow"/>
                <w:i/>
                <w:sz w:val="20"/>
              </w:rPr>
            </w:pPr>
            <w:r w:rsidRPr="009264E8">
              <w:rPr>
                <w:rFonts w:ascii="Arial Narrow" w:hAnsi="Arial Narrow"/>
                <w:i/>
                <w:sz w:val="20"/>
              </w:rPr>
              <w:t>A</w:t>
            </w:r>
            <w:r>
              <w:rPr>
                <w:rFonts w:ascii="Arial Narrow" w:hAnsi="Arial Narrow"/>
                <w:i/>
                <w:sz w:val="20"/>
              </w:rPr>
              <w:t>uthority a</w:t>
            </w:r>
            <w:r w:rsidRPr="009264E8">
              <w:rPr>
                <w:rFonts w:ascii="Arial Narrow" w:hAnsi="Arial Narrow"/>
                <w:i/>
                <w:sz w:val="20"/>
              </w:rPr>
              <w:t>pplications for continuing treatment may be made by telephone to the D</w:t>
            </w:r>
            <w:r w:rsidRPr="005E5978">
              <w:rPr>
                <w:rFonts w:ascii="Arial Narrow" w:hAnsi="Arial Narrow"/>
                <w:i/>
                <w:sz w:val="20"/>
              </w:rPr>
              <w:t>epartment of Human Services on 1800 700 270</w:t>
            </w:r>
            <w:r w:rsidRPr="009264E8">
              <w:rPr>
                <w:rFonts w:ascii="Arial Narrow" w:hAnsi="Arial Narrow"/>
                <w:i/>
                <w:sz w:val="20"/>
              </w:rPr>
              <w:t xml:space="preserve"> (hours of operation 8 a.m. to 5 p.m. EST Monday to Friday).</w:t>
            </w:r>
          </w:p>
        </w:tc>
      </w:tr>
    </w:tbl>
    <w:p w:rsidR="000950D9" w:rsidRPr="00882085" w:rsidRDefault="000950D9" w:rsidP="00D73941">
      <w:pPr>
        <w:widowControl/>
      </w:pPr>
    </w:p>
    <w:p w:rsidR="006945CF" w:rsidRPr="00F16534" w:rsidRDefault="00074656" w:rsidP="00D73941">
      <w:pPr>
        <w:pStyle w:val="ListParagraph"/>
        <w:widowControl/>
        <w:numPr>
          <w:ilvl w:val="1"/>
          <w:numId w:val="2"/>
        </w:numPr>
        <w:rPr>
          <w:szCs w:val="22"/>
        </w:rPr>
      </w:pPr>
      <w:r w:rsidRPr="00F16534">
        <w:rPr>
          <w:szCs w:val="22"/>
        </w:rPr>
        <w:t>The Pre-Sub-Committee Response (PSCR) accepted the suggested revisions to the rest</w:t>
      </w:r>
      <w:r w:rsidR="005000D0">
        <w:rPr>
          <w:szCs w:val="22"/>
        </w:rPr>
        <w:t xml:space="preserve">riction for PBAC consideration. </w:t>
      </w:r>
      <w:r w:rsidR="00722E0F">
        <w:rPr>
          <w:szCs w:val="22"/>
        </w:rPr>
        <w:t>In addition, t</w:t>
      </w:r>
      <w:r w:rsidRPr="00F16534">
        <w:rPr>
          <w:szCs w:val="22"/>
        </w:rPr>
        <w:t xml:space="preserve">he </w:t>
      </w:r>
      <w:r w:rsidR="00722E0F">
        <w:rPr>
          <w:szCs w:val="22"/>
        </w:rPr>
        <w:t xml:space="preserve">evaluation questioned the intent </w:t>
      </w:r>
      <w:r w:rsidRPr="00F16534">
        <w:rPr>
          <w:szCs w:val="22"/>
        </w:rPr>
        <w:t>of requiring that continuing patients have a diagnosis that is less than 5 years old (or greater than 5 years old where there is confirmed progressive disease).</w:t>
      </w:r>
      <w:r w:rsidR="00722E0F">
        <w:rPr>
          <w:szCs w:val="22"/>
        </w:rPr>
        <w:t xml:space="preserve"> </w:t>
      </w:r>
      <w:r w:rsidR="006945CF">
        <w:rPr>
          <w:szCs w:val="22"/>
        </w:rPr>
        <w:t>The Pre</w:t>
      </w:r>
      <w:r w:rsidR="00C30A78">
        <w:rPr>
          <w:szCs w:val="22"/>
        </w:rPr>
        <w:noBreakHyphen/>
      </w:r>
      <w:r w:rsidR="006945CF">
        <w:rPr>
          <w:szCs w:val="22"/>
        </w:rPr>
        <w:t>PBAC Response indicated that the intent of this criterion was to attempt to ensure that patients with long-standing IPF could have access to nintedanib where the treating physician has confirmed disease progression.</w:t>
      </w:r>
    </w:p>
    <w:p w:rsidR="00DC2C2B" w:rsidRPr="00F16534" w:rsidRDefault="006945CF" w:rsidP="00D73941">
      <w:pPr>
        <w:pStyle w:val="ListParagraph"/>
        <w:widowControl/>
        <w:rPr>
          <w:szCs w:val="22"/>
        </w:rPr>
      </w:pPr>
      <w:r w:rsidRPr="00F16534">
        <w:rPr>
          <w:szCs w:val="22"/>
        </w:rPr>
        <w:t xml:space="preserve"> </w:t>
      </w:r>
    </w:p>
    <w:p w:rsidR="00DC2C2B" w:rsidRPr="00F16534" w:rsidRDefault="00DC2C2B" w:rsidP="00D73941">
      <w:pPr>
        <w:pStyle w:val="ListParagraph"/>
        <w:widowControl/>
        <w:numPr>
          <w:ilvl w:val="1"/>
          <w:numId w:val="2"/>
        </w:numPr>
        <w:rPr>
          <w:szCs w:val="22"/>
        </w:rPr>
      </w:pPr>
      <w:r w:rsidRPr="00F16534">
        <w:rPr>
          <w:szCs w:val="22"/>
        </w:rPr>
        <w:t xml:space="preserve">The ESC considered that the restriction could be </w:t>
      </w:r>
      <w:r w:rsidR="00722E0F">
        <w:rPr>
          <w:szCs w:val="22"/>
        </w:rPr>
        <w:t>revised</w:t>
      </w:r>
      <w:r w:rsidR="00722E0F" w:rsidRPr="00F16534">
        <w:rPr>
          <w:szCs w:val="22"/>
        </w:rPr>
        <w:t xml:space="preserve"> </w:t>
      </w:r>
      <w:r w:rsidRPr="00F16534">
        <w:rPr>
          <w:szCs w:val="22"/>
        </w:rPr>
        <w:t>to include</w:t>
      </w:r>
      <w:r w:rsidR="001D0A5E">
        <w:rPr>
          <w:szCs w:val="22"/>
        </w:rPr>
        <w:t xml:space="preserve"> the</w:t>
      </w:r>
      <w:r w:rsidRPr="00F16534">
        <w:rPr>
          <w:szCs w:val="22"/>
        </w:rPr>
        <w:t xml:space="preserve">: </w:t>
      </w:r>
    </w:p>
    <w:p w:rsidR="00DC2C2B" w:rsidRPr="00F16534" w:rsidRDefault="00DC2C2B" w:rsidP="00D73941">
      <w:pPr>
        <w:pStyle w:val="ListParagraph"/>
        <w:widowControl/>
        <w:numPr>
          <w:ilvl w:val="2"/>
          <w:numId w:val="8"/>
        </w:numPr>
        <w:ind w:left="993" w:hanging="284"/>
        <w:rPr>
          <w:szCs w:val="22"/>
        </w:rPr>
      </w:pPr>
      <w:r w:rsidRPr="00F16534">
        <w:rPr>
          <w:szCs w:val="22"/>
        </w:rPr>
        <w:t xml:space="preserve">role of a </w:t>
      </w:r>
      <w:r w:rsidR="000817ED" w:rsidRPr="00F16534">
        <w:rPr>
          <w:szCs w:val="22"/>
        </w:rPr>
        <w:t>m</w:t>
      </w:r>
      <w:r w:rsidRPr="00F16534">
        <w:rPr>
          <w:szCs w:val="22"/>
        </w:rPr>
        <w:t>u</w:t>
      </w:r>
      <w:r w:rsidR="000817ED" w:rsidRPr="00F16534">
        <w:rPr>
          <w:szCs w:val="22"/>
        </w:rPr>
        <w:t>lti-d</w:t>
      </w:r>
      <w:r w:rsidRPr="00F16534">
        <w:rPr>
          <w:szCs w:val="22"/>
        </w:rPr>
        <w:t xml:space="preserve">isciplinary </w:t>
      </w:r>
      <w:r w:rsidR="000817ED" w:rsidRPr="00F16534">
        <w:rPr>
          <w:szCs w:val="22"/>
        </w:rPr>
        <w:t>t</w:t>
      </w:r>
      <w:r w:rsidRPr="00F16534">
        <w:rPr>
          <w:szCs w:val="22"/>
        </w:rPr>
        <w:t xml:space="preserve">eam </w:t>
      </w:r>
      <w:r w:rsidR="000817ED" w:rsidRPr="00F16534">
        <w:rPr>
          <w:szCs w:val="22"/>
        </w:rPr>
        <w:t>in diagnosing the condition</w:t>
      </w:r>
      <w:r w:rsidR="00EB2DB4" w:rsidRPr="00F16534">
        <w:rPr>
          <w:szCs w:val="22"/>
        </w:rPr>
        <w:t xml:space="preserve"> (NICE Guideline January 2015)</w:t>
      </w:r>
      <w:r w:rsidR="00983696">
        <w:rPr>
          <w:szCs w:val="22"/>
        </w:rPr>
        <w:t>;</w:t>
      </w:r>
    </w:p>
    <w:p w:rsidR="00EB2DB4" w:rsidRPr="00F16534" w:rsidRDefault="00DC2C2B" w:rsidP="00D73941">
      <w:pPr>
        <w:pStyle w:val="ListParagraph"/>
        <w:widowControl/>
        <w:numPr>
          <w:ilvl w:val="2"/>
          <w:numId w:val="8"/>
        </w:numPr>
        <w:ind w:left="993" w:hanging="284"/>
        <w:rPr>
          <w:szCs w:val="22"/>
        </w:rPr>
      </w:pPr>
      <w:r w:rsidRPr="00F16534">
        <w:rPr>
          <w:szCs w:val="22"/>
        </w:rPr>
        <w:lastRenderedPageBreak/>
        <w:t>criteria for enrolment in the two phase 3 trials including:</w:t>
      </w:r>
      <w:r w:rsidR="00E810AD" w:rsidRPr="00F16534">
        <w:rPr>
          <w:szCs w:val="22"/>
        </w:rPr>
        <w:t xml:space="preserve"> IPF being diagnosed based on most recent and appropriate guidelines (Raghu 2011</w:t>
      </w:r>
      <w:r w:rsidR="00DD21D1" w:rsidRPr="00F16534">
        <w:rPr>
          <w:szCs w:val="22"/>
        </w:rPr>
        <w:t>,</w:t>
      </w:r>
      <w:r w:rsidR="00E810AD" w:rsidRPr="00F16534">
        <w:rPr>
          <w:szCs w:val="22"/>
        </w:rPr>
        <w:t xml:space="preserve"> as outlined in the submission)</w:t>
      </w:r>
      <w:r w:rsidR="00EB2DB4" w:rsidRPr="00F16534">
        <w:rPr>
          <w:szCs w:val="22"/>
        </w:rPr>
        <w:t xml:space="preserve">; </w:t>
      </w:r>
      <w:r w:rsidR="00E810AD" w:rsidRPr="00F16534">
        <w:rPr>
          <w:szCs w:val="22"/>
        </w:rPr>
        <w:t xml:space="preserve">and </w:t>
      </w:r>
      <w:r w:rsidRPr="00F16534">
        <w:rPr>
          <w:szCs w:val="22"/>
        </w:rPr>
        <w:t xml:space="preserve">surgical biopsy </w:t>
      </w:r>
      <w:r w:rsidR="00D73941">
        <w:rPr>
          <w:szCs w:val="22"/>
        </w:rPr>
        <w:t>to confirm</w:t>
      </w:r>
      <w:r w:rsidRPr="00F16534">
        <w:rPr>
          <w:szCs w:val="22"/>
        </w:rPr>
        <w:t xml:space="preserve"> </w:t>
      </w:r>
      <w:r w:rsidR="00D73941">
        <w:rPr>
          <w:szCs w:val="22"/>
        </w:rPr>
        <w:t>suspected</w:t>
      </w:r>
      <w:r w:rsidR="005000D0">
        <w:rPr>
          <w:szCs w:val="22"/>
        </w:rPr>
        <w:t xml:space="preserve"> </w:t>
      </w:r>
      <w:r w:rsidR="005000D0" w:rsidRPr="00F16534">
        <w:rPr>
          <w:szCs w:val="22"/>
        </w:rPr>
        <w:t>IPF</w:t>
      </w:r>
      <w:r w:rsidR="00EB2DB4" w:rsidRPr="00F16534">
        <w:rPr>
          <w:szCs w:val="22"/>
        </w:rPr>
        <w:t>; and</w:t>
      </w:r>
    </w:p>
    <w:p w:rsidR="00DC2C2B" w:rsidRDefault="00EB2DB4" w:rsidP="00D73941">
      <w:pPr>
        <w:pStyle w:val="ListParagraph"/>
        <w:widowControl/>
        <w:numPr>
          <w:ilvl w:val="2"/>
          <w:numId w:val="8"/>
        </w:numPr>
        <w:ind w:left="993" w:hanging="284"/>
        <w:rPr>
          <w:szCs w:val="22"/>
        </w:rPr>
      </w:pPr>
      <w:r w:rsidRPr="00F16534">
        <w:rPr>
          <w:szCs w:val="22"/>
        </w:rPr>
        <w:t>patient to have FEV1/FVC ratio of greater than 0.7</w:t>
      </w:r>
      <w:r w:rsidR="006819E3" w:rsidRPr="00F16534">
        <w:rPr>
          <w:szCs w:val="22"/>
        </w:rPr>
        <w:t>.</w:t>
      </w:r>
    </w:p>
    <w:p w:rsidR="003367CD" w:rsidRDefault="003367CD" w:rsidP="00D73941">
      <w:pPr>
        <w:widowControl/>
        <w:ind w:left="709"/>
        <w:rPr>
          <w:szCs w:val="22"/>
        </w:rPr>
      </w:pPr>
    </w:p>
    <w:p w:rsidR="006945CF" w:rsidRPr="006945CF" w:rsidRDefault="006945CF" w:rsidP="001D0A5E">
      <w:pPr>
        <w:pStyle w:val="ListParagraph"/>
        <w:widowControl/>
        <w:numPr>
          <w:ilvl w:val="1"/>
          <w:numId w:val="2"/>
        </w:numPr>
        <w:rPr>
          <w:szCs w:val="22"/>
        </w:rPr>
      </w:pPr>
      <w:r>
        <w:rPr>
          <w:szCs w:val="22"/>
        </w:rPr>
        <w:t>The Pre-PBAC Response accepted the inclusion of the role of a multi-disciplinary team in initial diagnosis. However, the Pre-PBAC R</w:t>
      </w:r>
      <w:r w:rsidR="00783A66">
        <w:rPr>
          <w:szCs w:val="22"/>
        </w:rPr>
        <w:t>esponse did not accept that it wa</w:t>
      </w:r>
      <w:r>
        <w:rPr>
          <w:szCs w:val="22"/>
        </w:rPr>
        <w:t xml:space="preserve">s necessary for the listing to </w:t>
      </w:r>
      <w:r w:rsidR="00722E0F">
        <w:rPr>
          <w:szCs w:val="22"/>
        </w:rPr>
        <w:t xml:space="preserve">require </w:t>
      </w:r>
      <w:r>
        <w:rPr>
          <w:szCs w:val="22"/>
        </w:rPr>
        <w:t>biopsy for confirmation of diagnosis given the clinical symptoms of IPF</w:t>
      </w:r>
      <w:r w:rsidR="003367CD">
        <w:rPr>
          <w:szCs w:val="22"/>
        </w:rPr>
        <w:t>,</w:t>
      </w:r>
      <w:r>
        <w:rPr>
          <w:szCs w:val="22"/>
        </w:rPr>
        <w:t xml:space="preserve"> the availability of </w:t>
      </w:r>
      <w:r w:rsidR="001D0A5E" w:rsidRPr="001D0A5E">
        <w:rPr>
          <w:szCs w:val="22"/>
        </w:rPr>
        <w:t xml:space="preserve">high resolution computed tomography </w:t>
      </w:r>
      <w:r w:rsidR="001D0A5E">
        <w:rPr>
          <w:szCs w:val="22"/>
        </w:rPr>
        <w:t>(</w:t>
      </w:r>
      <w:r>
        <w:rPr>
          <w:szCs w:val="22"/>
        </w:rPr>
        <w:t>HRCT</w:t>
      </w:r>
      <w:r w:rsidR="001D0A5E">
        <w:rPr>
          <w:szCs w:val="22"/>
        </w:rPr>
        <w:t>)</w:t>
      </w:r>
      <w:r w:rsidR="003367CD">
        <w:rPr>
          <w:szCs w:val="22"/>
        </w:rPr>
        <w:t>,</w:t>
      </w:r>
      <w:r>
        <w:rPr>
          <w:szCs w:val="22"/>
        </w:rPr>
        <w:t xml:space="preserve"> and that biopsy is invasive and can therefore lead to morbidity and mortality in elderly IPF patients.</w:t>
      </w:r>
    </w:p>
    <w:p w:rsidR="00074656" w:rsidRPr="00F16534" w:rsidRDefault="00074656" w:rsidP="00D73941">
      <w:pPr>
        <w:pStyle w:val="ListParagraph"/>
        <w:widowControl/>
        <w:rPr>
          <w:szCs w:val="22"/>
        </w:rPr>
      </w:pPr>
    </w:p>
    <w:p w:rsidR="00983696" w:rsidRDefault="00811688" w:rsidP="00D73941">
      <w:pPr>
        <w:pStyle w:val="ListParagraph"/>
        <w:widowControl/>
        <w:numPr>
          <w:ilvl w:val="1"/>
          <w:numId w:val="2"/>
        </w:numPr>
        <w:rPr>
          <w:szCs w:val="22"/>
        </w:rPr>
      </w:pPr>
      <w:r w:rsidRPr="00F16534">
        <w:rPr>
          <w:szCs w:val="22"/>
        </w:rPr>
        <w:t xml:space="preserve">The ESC also considered whether it would be desirable to include stopping rules in case of a lack of efficacy. However, </w:t>
      </w:r>
      <w:r w:rsidR="00162E3D" w:rsidRPr="00F16534">
        <w:rPr>
          <w:szCs w:val="22"/>
        </w:rPr>
        <w:t xml:space="preserve">it was acknowledged that it would be difficult to define </w:t>
      </w:r>
      <w:r w:rsidRPr="00F16534">
        <w:rPr>
          <w:szCs w:val="22"/>
        </w:rPr>
        <w:t>a lack of response</w:t>
      </w:r>
      <w:r w:rsidR="00162E3D" w:rsidRPr="00F16534">
        <w:rPr>
          <w:szCs w:val="22"/>
        </w:rPr>
        <w:t xml:space="preserve"> in relation to FVC</w:t>
      </w:r>
      <w:r w:rsidRPr="00F16534">
        <w:rPr>
          <w:szCs w:val="22"/>
        </w:rPr>
        <w:t xml:space="preserve"> in a progressive, irreversible and fatal condition with het</w:t>
      </w:r>
      <w:r w:rsidR="000817ED" w:rsidRPr="00F16534">
        <w:rPr>
          <w:szCs w:val="22"/>
        </w:rPr>
        <w:t>erogeneous patient progression.</w:t>
      </w:r>
    </w:p>
    <w:p w:rsidR="00C361A9" w:rsidRPr="00C361A9" w:rsidRDefault="00C361A9" w:rsidP="00D73941">
      <w:pPr>
        <w:widowControl/>
        <w:rPr>
          <w:szCs w:val="22"/>
        </w:rPr>
      </w:pPr>
    </w:p>
    <w:p w:rsidR="000950D9" w:rsidRPr="00F16534" w:rsidRDefault="000950D9" w:rsidP="00D73941">
      <w:pPr>
        <w:pStyle w:val="ListParagraph"/>
        <w:widowControl/>
        <w:numPr>
          <w:ilvl w:val="1"/>
          <w:numId w:val="2"/>
        </w:numPr>
        <w:rPr>
          <w:szCs w:val="22"/>
        </w:rPr>
      </w:pPr>
      <w:r w:rsidRPr="00F16534">
        <w:rPr>
          <w:szCs w:val="22"/>
        </w:rPr>
        <w:t>The submission sought listing on the basis of a cost utility analysis comparing nintedanib to best supportive care.</w:t>
      </w:r>
    </w:p>
    <w:p w:rsidR="000950D9" w:rsidRPr="00F16534" w:rsidRDefault="000950D9" w:rsidP="00D73941">
      <w:pPr>
        <w:pStyle w:val="ListParagraph"/>
        <w:widowControl/>
        <w:rPr>
          <w:szCs w:val="22"/>
        </w:rPr>
      </w:pPr>
    </w:p>
    <w:p w:rsidR="000950D9" w:rsidRPr="007A6F96" w:rsidRDefault="000950D9" w:rsidP="00D73941">
      <w:pPr>
        <w:pStyle w:val="ListParagraph"/>
        <w:widowControl/>
        <w:numPr>
          <w:ilvl w:val="1"/>
          <w:numId w:val="2"/>
        </w:numPr>
        <w:rPr>
          <w:szCs w:val="22"/>
        </w:rPr>
      </w:pPr>
      <w:r w:rsidRPr="00F16534">
        <w:rPr>
          <w:szCs w:val="22"/>
        </w:rPr>
        <w:t xml:space="preserve">The submission </w:t>
      </w:r>
      <w:r w:rsidRPr="00EC7A97">
        <w:rPr>
          <w:szCs w:val="22"/>
        </w:rPr>
        <w:t>proposed an effective price of $</w:t>
      </w:r>
      <w:r w:rsidR="00ED4A35">
        <w:rPr>
          <w:noProof/>
          <w:color w:val="000000"/>
          <w:szCs w:val="22"/>
          <w:highlight w:val="black"/>
        </w:rPr>
        <w:t>''''''''''''''''</w:t>
      </w:r>
      <w:r w:rsidRPr="00EC7A97">
        <w:rPr>
          <w:szCs w:val="22"/>
        </w:rPr>
        <w:t xml:space="preserve"> for nintedanib 100mg x 60 capsules and $</w:t>
      </w:r>
      <w:r w:rsidR="00ED4A35">
        <w:rPr>
          <w:noProof/>
          <w:color w:val="000000"/>
          <w:szCs w:val="22"/>
          <w:highlight w:val="black"/>
        </w:rPr>
        <w:t>''''''''''''''''''</w:t>
      </w:r>
      <w:r w:rsidRPr="00EC7A97">
        <w:rPr>
          <w:szCs w:val="22"/>
        </w:rPr>
        <w:t xml:space="preserve"> for nintedanib 150mg x 60 capsules for the IPF listing.  While this effective price </w:t>
      </w:r>
      <w:r w:rsidR="004D0580" w:rsidRPr="00EC7A97">
        <w:rPr>
          <w:szCs w:val="22"/>
        </w:rPr>
        <w:t>was</w:t>
      </w:r>
      <w:r w:rsidRPr="00EC7A97">
        <w:rPr>
          <w:szCs w:val="22"/>
        </w:rPr>
        <w:t xml:space="preserve"> applied in the economic</w:t>
      </w:r>
      <w:r w:rsidRPr="00F16534">
        <w:rPr>
          <w:szCs w:val="22"/>
        </w:rPr>
        <w:t xml:space="preserve"> evaluation and the financial estimates, a special pricing arrangement (SPA) </w:t>
      </w:r>
      <w:r w:rsidR="004D0580" w:rsidRPr="00F16534">
        <w:rPr>
          <w:szCs w:val="22"/>
        </w:rPr>
        <w:t>was</w:t>
      </w:r>
      <w:r w:rsidRPr="00F16534">
        <w:rPr>
          <w:szCs w:val="22"/>
        </w:rPr>
        <w:t xml:space="preserve"> also requested across the IPF</w:t>
      </w:r>
      <w:r w:rsidRPr="000B2D90">
        <w:rPr>
          <w:szCs w:val="22"/>
        </w:rPr>
        <w:t xml:space="preserve"> and non-small cell cancer (NSCLC) indications as </w:t>
      </w:r>
      <w:r w:rsidR="00AD3FD6">
        <w:rPr>
          <w:szCs w:val="22"/>
        </w:rPr>
        <w:t xml:space="preserve">summarised in the </w:t>
      </w:r>
      <w:r w:rsidR="00476047">
        <w:rPr>
          <w:szCs w:val="22"/>
        </w:rPr>
        <w:t xml:space="preserve">following </w:t>
      </w:r>
      <w:r w:rsidR="00AD3FD6">
        <w:rPr>
          <w:szCs w:val="22"/>
        </w:rPr>
        <w:t>table.</w:t>
      </w:r>
    </w:p>
    <w:p w:rsidR="000950D9" w:rsidRPr="00E6717C" w:rsidRDefault="00476047" w:rsidP="00D73941">
      <w:pPr>
        <w:keepNext/>
        <w:widowControl/>
        <w:ind w:firstLine="720"/>
        <w:rPr>
          <w:rFonts w:ascii="Arial Narrow" w:hAnsi="Arial Narrow"/>
          <w:b/>
          <w:sz w:val="20"/>
        </w:rPr>
      </w:pPr>
      <w:r>
        <w:rPr>
          <w:rFonts w:ascii="Arial Narrow" w:hAnsi="Arial Narrow"/>
          <w:b/>
          <w:sz w:val="20"/>
        </w:rPr>
        <w:br w:type="column"/>
      </w:r>
      <w:r w:rsidR="000950D9">
        <w:rPr>
          <w:rFonts w:ascii="Arial Narrow" w:hAnsi="Arial Narrow"/>
          <w:b/>
          <w:sz w:val="20"/>
        </w:rPr>
        <w:lastRenderedPageBreak/>
        <w:t>Special pricing arrangement</w:t>
      </w:r>
      <w:r w:rsidR="000950D9" w:rsidRPr="00E6717C">
        <w:rPr>
          <w:rFonts w:ascii="Arial Narrow" w:hAnsi="Arial Narrow"/>
          <w:b/>
          <w:sz w:val="20"/>
        </w:rPr>
        <w:t xml:space="preserve"> for nintedanib</w:t>
      </w:r>
    </w:p>
    <w:tbl>
      <w:tblPr>
        <w:tblStyle w:val="TableGrid"/>
        <w:tblW w:w="4605" w:type="pct"/>
        <w:tblInd w:w="735" w:type="dxa"/>
        <w:tblCellMar>
          <w:left w:w="28" w:type="dxa"/>
          <w:right w:w="28" w:type="dxa"/>
        </w:tblCellMar>
        <w:tblLook w:val="04A0" w:firstRow="1" w:lastRow="0" w:firstColumn="1" w:lastColumn="0" w:noHBand="0" w:noVBand="1"/>
        <w:tblDescription w:val="The redacted table shows the requested special pricing arrangment for nintedanib."/>
      </w:tblPr>
      <w:tblGrid>
        <w:gridCol w:w="653"/>
        <w:gridCol w:w="1929"/>
        <w:gridCol w:w="934"/>
        <w:gridCol w:w="1118"/>
        <w:gridCol w:w="1118"/>
        <w:gridCol w:w="2613"/>
      </w:tblGrid>
      <w:tr w:rsidR="000950D9" w:rsidRPr="00E6717C" w:rsidTr="000A4ECE">
        <w:trPr>
          <w:trHeight w:val="70"/>
          <w:tblHeader/>
        </w:trPr>
        <w:tc>
          <w:tcPr>
            <w:tcW w:w="1543" w:type="pct"/>
            <w:gridSpan w:val="2"/>
            <w:vAlign w:val="center"/>
          </w:tcPr>
          <w:p w:rsidR="000950D9" w:rsidRPr="00E6717C" w:rsidRDefault="000950D9" w:rsidP="00D73941">
            <w:pPr>
              <w:keepNext/>
              <w:widowControl/>
              <w:jc w:val="left"/>
              <w:rPr>
                <w:rFonts w:ascii="Arial Narrow" w:hAnsi="Arial Narrow"/>
                <w:b/>
                <w:sz w:val="20"/>
              </w:rPr>
            </w:pPr>
            <w:r>
              <w:rPr>
                <w:rFonts w:ascii="Arial Narrow" w:hAnsi="Arial Narrow"/>
                <w:b/>
                <w:sz w:val="20"/>
              </w:rPr>
              <w:t>Nintedanib</w:t>
            </w:r>
          </w:p>
        </w:tc>
        <w:tc>
          <w:tcPr>
            <w:tcW w:w="558" w:type="pct"/>
            <w:vAlign w:val="center"/>
          </w:tcPr>
          <w:p w:rsidR="000950D9" w:rsidRPr="00E6717C" w:rsidRDefault="000950D9" w:rsidP="00D73941">
            <w:pPr>
              <w:keepNext/>
              <w:widowControl/>
              <w:jc w:val="center"/>
              <w:rPr>
                <w:rFonts w:ascii="Arial Narrow" w:hAnsi="Arial Narrow"/>
                <w:b/>
                <w:sz w:val="20"/>
              </w:rPr>
            </w:pPr>
            <w:r>
              <w:rPr>
                <w:rFonts w:ascii="Arial Narrow" w:hAnsi="Arial Narrow"/>
                <w:b/>
                <w:sz w:val="20"/>
              </w:rPr>
              <w:t xml:space="preserve">Public </w:t>
            </w:r>
            <w:r w:rsidRPr="00E6717C">
              <w:rPr>
                <w:rFonts w:ascii="Arial Narrow" w:hAnsi="Arial Narrow"/>
                <w:b/>
                <w:sz w:val="20"/>
              </w:rPr>
              <w:t>DPMQ</w:t>
            </w:r>
            <w:r>
              <w:rPr>
                <w:rFonts w:ascii="Arial Narrow" w:hAnsi="Arial Narrow"/>
                <w:b/>
                <w:sz w:val="20"/>
              </w:rPr>
              <w:t>^</w:t>
            </w:r>
          </w:p>
        </w:tc>
        <w:tc>
          <w:tcPr>
            <w:tcW w:w="668" w:type="pct"/>
            <w:vAlign w:val="center"/>
          </w:tcPr>
          <w:p w:rsidR="000950D9" w:rsidRDefault="000950D9" w:rsidP="00D73941">
            <w:pPr>
              <w:keepNext/>
              <w:widowControl/>
              <w:jc w:val="center"/>
              <w:rPr>
                <w:rFonts w:ascii="Arial Narrow" w:hAnsi="Arial Narrow"/>
                <w:b/>
                <w:sz w:val="20"/>
              </w:rPr>
            </w:pPr>
            <w:r>
              <w:rPr>
                <w:rFonts w:ascii="Arial Narrow" w:hAnsi="Arial Narrow"/>
                <w:b/>
                <w:sz w:val="20"/>
              </w:rPr>
              <w:t>Confidential Rebate</w:t>
            </w:r>
          </w:p>
        </w:tc>
        <w:tc>
          <w:tcPr>
            <w:tcW w:w="668" w:type="pct"/>
            <w:vAlign w:val="center"/>
          </w:tcPr>
          <w:p w:rsidR="000950D9" w:rsidRPr="00E6717C" w:rsidRDefault="000950D9" w:rsidP="00D73941">
            <w:pPr>
              <w:keepNext/>
              <w:widowControl/>
              <w:jc w:val="center"/>
              <w:rPr>
                <w:rFonts w:ascii="Arial Narrow" w:hAnsi="Arial Narrow"/>
                <w:b/>
                <w:sz w:val="20"/>
              </w:rPr>
            </w:pPr>
            <w:r>
              <w:rPr>
                <w:rFonts w:ascii="Arial Narrow" w:hAnsi="Arial Narrow"/>
                <w:b/>
                <w:sz w:val="20"/>
              </w:rPr>
              <w:t>Effective price*</w:t>
            </w:r>
          </w:p>
        </w:tc>
        <w:tc>
          <w:tcPr>
            <w:tcW w:w="1562" w:type="pct"/>
            <w:vAlign w:val="center"/>
          </w:tcPr>
          <w:p w:rsidR="000950D9" w:rsidRDefault="000950D9" w:rsidP="00D73941">
            <w:pPr>
              <w:keepNext/>
              <w:widowControl/>
              <w:jc w:val="center"/>
              <w:rPr>
                <w:rFonts w:ascii="Arial Narrow" w:hAnsi="Arial Narrow"/>
                <w:b/>
                <w:sz w:val="20"/>
              </w:rPr>
            </w:pPr>
            <w:r>
              <w:rPr>
                <w:rFonts w:ascii="Arial Narrow" w:hAnsi="Arial Narrow"/>
                <w:b/>
                <w:sz w:val="20"/>
              </w:rPr>
              <w:t>SPA: IPF and NSCLC</w:t>
            </w:r>
          </w:p>
        </w:tc>
      </w:tr>
      <w:tr w:rsidR="000950D9" w:rsidRPr="00EC7A97" w:rsidTr="000A4ECE">
        <w:tc>
          <w:tcPr>
            <w:tcW w:w="390" w:type="pct"/>
            <w:vMerge w:val="restart"/>
            <w:vAlign w:val="center"/>
          </w:tcPr>
          <w:p w:rsidR="000950D9" w:rsidRPr="00EC7A97" w:rsidRDefault="000950D9" w:rsidP="00D73941">
            <w:pPr>
              <w:keepNext/>
              <w:widowControl/>
              <w:jc w:val="left"/>
              <w:rPr>
                <w:rFonts w:ascii="Arial Narrow" w:hAnsi="Arial Narrow"/>
                <w:sz w:val="20"/>
              </w:rPr>
            </w:pPr>
            <w:r w:rsidRPr="00EC7A97">
              <w:rPr>
                <w:rFonts w:ascii="Arial Narrow" w:hAnsi="Arial Narrow"/>
                <w:sz w:val="20"/>
              </w:rPr>
              <w:t>IPF</w:t>
            </w:r>
          </w:p>
        </w:tc>
        <w:tc>
          <w:tcPr>
            <w:tcW w:w="1153" w:type="pct"/>
            <w:vAlign w:val="center"/>
          </w:tcPr>
          <w:p w:rsidR="000950D9" w:rsidRPr="00EC7A97" w:rsidRDefault="000950D9" w:rsidP="00D73941">
            <w:pPr>
              <w:keepNext/>
              <w:widowControl/>
              <w:jc w:val="left"/>
              <w:rPr>
                <w:rFonts w:ascii="Arial Narrow" w:hAnsi="Arial Narrow"/>
                <w:sz w:val="20"/>
              </w:rPr>
            </w:pPr>
            <w:r w:rsidRPr="00EC7A97">
              <w:rPr>
                <w:rFonts w:ascii="Arial Narrow" w:hAnsi="Arial Narrow"/>
                <w:sz w:val="20"/>
              </w:rPr>
              <w:t>100mg, 60 capsules x 1</w:t>
            </w:r>
          </w:p>
        </w:tc>
        <w:tc>
          <w:tcPr>
            <w:tcW w:w="558" w:type="pct"/>
            <w:vAlign w:val="center"/>
          </w:tcPr>
          <w:p w:rsidR="000950D9" w:rsidRPr="00EC7A97" w:rsidRDefault="000950D9" w:rsidP="00D73941">
            <w:pPr>
              <w:keepNext/>
              <w:widowControl/>
              <w:jc w:val="right"/>
              <w:rPr>
                <w:rFonts w:ascii="Arial Narrow" w:hAnsi="Arial Narrow"/>
                <w:sz w:val="20"/>
              </w:rPr>
            </w:pPr>
            <w:r w:rsidRPr="00EC7A97">
              <w:rPr>
                <w:rFonts w:ascii="Arial Narrow" w:hAnsi="Arial Narrow"/>
                <w:sz w:val="20"/>
              </w:rPr>
              <w:t>$</w:t>
            </w:r>
            <w:r w:rsidR="00ED4A35">
              <w:rPr>
                <w:rFonts w:ascii="Arial Narrow" w:hAnsi="Arial Narrow"/>
                <w:noProof/>
                <w:color w:val="000000"/>
                <w:sz w:val="20"/>
                <w:highlight w:val="black"/>
              </w:rPr>
              <w:t>''''''''''''''''''</w:t>
            </w:r>
          </w:p>
        </w:tc>
        <w:tc>
          <w:tcPr>
            <w:tcW w:w="668" w:type="pct"/>
            <w:vAlign w:val="center"/>
          </w:tcPr>
          <w:p w:rsidR="000950D9" w:rsidRPr="00EC7A97" w:rsidRDefault="000950D9" w:rsidP="00D73941">
            <w:pPr>
              <w:keepNext/>
              <w:widowControl/>
              <w:jc w:val="right"/>
              <w:rPr>
                <w:rFonts w:ascii="Arial Narrow" w:hAnsi="Arial Narrow"/>
                <w:sz w:val="20"/>
              </w:rPr>
            </w:pPr>
            <w:r w:rsidRPr="00EC7A97">
              <w:rPr>
                <w:rFonts w:ascii="Arial Narrow" w:hAnsi="Arial Narrow"/>
                <w:sz w:val="20"/>
              </w:rPr>
              <w:t>$</w:t>
            </w:r>
            <w:r w:rsidR="00ED4A35">
              <w:rPr>
                <w:rFonts w:ascii="Arial Narrow" w:hAnsi="Arial Narrow"/>
                <w:noProof/>
                <w:color w:val="000000"/>
                <w:sz w:val="20"/>
                <w:highlight w:val="black"/>
              </w:rPr>
              <w:t>'''''''''''''''''</w:t>
            </w:r>
          </w:p>
        </w:tc>
        <w:tc>
          <w:tcPr>
            <w:tcW w:w="668" w:type="pct"/>
            <w:vAlign w:val="center"/>
          </w:tcPr>
          <w:p w:rsidR="000950D9" w:rsidRPr="00EC7A97" w:rsidRDefault="000950D9" w:rsidP="00D73941">
            <w:pPr>
              <w:keepNext/>
              <w:widowControl/>
              <w:jc w:val="right"/>
              <w:rPr>
                <w:rFonts w:ascii="Arial Narrow" w:hAnsi="Arial Narrow"/>
                <w:sz w:val="20"/>
              </w:rPr>
            </w:pPr>
            <w:r w:rsidRPr="00EC7A97">
              <w:rPr>
                <w:rFonts w:ascii="Arial Narrow" w:hAnsi="Arial Narrow"/>
                <w:sz w:val="20"/>
              </w:rPr>
              <w:t>$</w:t>
            </w:r>
            <w:r w:rsidR="00ED4A35">
              <w:rPr>
                <w:rFonts w:ascii="Arial Narrow" w:hAnsi="Arial Narrow"/>
                <w:noProof/>
                <w:color w:val="000000"/>
                <w:sz w:val="20"/>
                <w:highlight w:val="black"/>
              </w:rPr>
              <w:t>''''''''''''''''</w:t>
            </w:r>
          </w:p>
        </w:tc>
        <w:tc>
          <w:tcPr>
            <w:tcW w:w="1562" w:type="pct"/>
            <w:vMerge w:val="restart"/>
            <w:vAlign w:val="center"/>
          </w:tcPr>
          <w:p w:rsidR="000950D9" w:rsidRPr="00EC7A97" w:rsidRDefault="000950D9" w:rsidP="00D73941">
            <w:pPr>
              <w:keepNext/>
              <w:widowControl/>
              <w:jc w:val="center"/>
              <w:rPr>
                <w:rFonts w:ascii="Arial Narrow" w:hAnsi="Arial Narrow"/>
                <w:sz w:val="20"/>
              </w:rPr>
            </w:pPr>
            <w:r w:rsidRPr="00EC7A97">
              <w:rPr>
                <w:rFonts w:ascii="Arial Narrow" w:hAnsi="Arial Narrow"/>
                <w:sz w:val="20"/>
              </w:rPr>
              <w:t>Effective ex-manufacturer price after SPA rebate*:</w:t>
            </w:r>
          </w:p>
          <w:p w:rsidR="000950D9" w:rsidRPr="00EC7A97" w:rsidRDefault="000950D9" w:rsidP="00D73941">
            <w:pPr>
              <w:keepNext/>
              <w:widowControl/>
              <w:jc w:val="center"/>
              <w:rPr>
                <w:rFonts w:ascii="Arial Narrow" w:hAnsi="Arial Narrow"/>
                <w:sz w:val="20"/>
              </w:rPr>
            </w:pPr>
            <w:r w:rsidRPr="00EC7A97">
              <w:rPr>
                <w:rFonts w:ascii="Arial Narrow" w:hAnsi="Arial Narrow"/>
                <w:sz w:val="20"/>
              </w:rPr>
              <w:t>100mg, 60 capsules: $</w:t>
            </w:r>
            <w:r w:rsidR="00ED4A35">
              <w:rPr>
                <w:rFonts w:ascii="Arial Narrow" w:hAnsi="Arial Narrow"/>
                <w:noProof/>
                <w:color w:val="000000"/>
                <w:sz w:val="20"/>
                <w:highlight w:val="black"/>
              </w:rPr>
              <w:t>''''''''''''''''''</w:t>
            </w:r>
          </w:p>
          <w:p w:rsidR="000950D9" w:rsidRPr="00EC7A97" w:rsidRDefault="000950D9" w:rsidP="00D73941">
            <w:pPr>
              <w:keepNext/>
              <w:widowControl/>
              <w:jc w:val="center"/>
              <w:rPr>
                <w:rFonts w:ascii="Arial Narrow" w:hAnsi="Arial Narrow"/>
                <w:sz w:val="20"/>
              </w:rPr>
            </w:pPr>
            <w:r w:rsidRPr="00EC7A97">
              <w:rPr>
                <w:rFonts w:ascii="Arial Narrow" w:hAnsi="Arial Narrow"/>
                <w:sz w:val="20"/>
              </w:rPr>
              <w:t>150mg, 60 capsules: $</w:t>
            </w:r>
            <w:r w:rsidR="00ED4A35">
              <w:rPr>
                <w:rFonts w:ascii="Arial Narrow" w:hAnsi="Arial Narrow"/>
                <w:noProof/>
                <w:color w:val="000000"/>
                <w:sz w:val="20"/>
                <w:highlight w:val="black"/>
              </w:rPr>
              <w:t>'''''''''''''''''''</w:t>
            </w:r>
          </w:p>
        </w:tc>
      </w:tr>
      <w:tr w:rsidR="000950D9" w:rsidRPr="00EC7A97" w:rsidTr="000A4ECE">
        <w:tc>
          <w:tcPr>
            <w:tcW w:w="390" w:type="pct"/>
            <w:vMerge/>
            <w:vAlign w:val="center"/>
          </w:tcPr>
          <w:p w:rsidR="000950D9" w:rsidRPr="00EC7A97" w:rsidRDefault="000950D9" w:rsidP="00D73941">
            <w:pPr>
              <w:keepNext/>
              <w:widowControl/>
              <w:jc w:val="left"/>
              <w:rPr>
                <w:rFonts w:ascii="Arial Narrow" w:hAnsi="Arial Narrow"/>
                <w:sz w:val="20"/>
              </w:rPr>
            </w:pPr>
          </w:p>
        </w:tc>
        <w:tc>
          <w:tcPr>
            <w:tcW w:w="1153" w:type="pct"/>
            <w:vAlign w:val="center"/>
          </w:tcPr>
          <w:p w:rsidR="000950D9" w:rsidRPr="00EC7A97" w:rsidRDefault="000950D9" w:rsidP="00D73941">
            <w:pPr>
              <w:keepNext/>
              <w:widowControl/>
              <w:jc w:val="left"/>
              <w:rPr>
                <w:rFonts w:ascii="Arial Narrow" w:hAnsi="Arial Narrow"/>
                <w:sz w:val="20"/>
              </w:rPr>
            </w:pPr>
            <w:r w:rsidRPr="00EC7A97">
              <w:rPr>
                <w:rFonts w:ascii="Arial Narrow" w:hAnsi="Arial Narrow"/>
                <w:sz w:val="20"/>
              </w:rPr>
              <w:t>150mg, 60 capsules x 1</w:t>
            </w:r>
          </w:p>
        </w:tc>
        <w:tc>
          <w:tcPr>
            <w:tcW w:w="558" w:type="pct"/>
            <w:vAlign w:val="center"/>
          </w:tcPr>
          <w:p w:rsidR="000950D9" w:rsidRPr="00EC7A97" w:rsidRDefault="000950D9" w:rsidP="00D73941">
            <w:pPr>
              <w:keepNext/>
              <w:widowControl/>
              <w:jc w:val="right"/>
              <w:rPr>
                <w:rFonts w:ascii="Arial Narrow" w:hAnsi="Arial Narrow"/>
                <w:sz w:val="20"/>
              </w:rPr>
            </w:pPr>
            <w:r w:rsidRPr="00EC7A97">
              <w:rPr>
                <w:rFonts w:ascii="Arial Narrow" w:hAnsi="Arial Narrow"/>
                <w:sz w:val="20"/>
              </w:rPr>
              <w:t>$</w:t>
            </w:r>
            <w:r w:rsidR="00ED4A35">
              <w:rPr>
                <w:rFonts w:ascii="Arial Narrow" w:hAnsi="Arial Narrow"/>
                <w:noProof/>
                <w:color w:val="000000"/>
                <w:sz w:val="20"/>
                <w:highlight w:val="black"/>
              </w:rPr>
              <w:t>'''''''''''''''''''''</w:t>
            </w:r>
          </w:p>
        </w:tc>
        <w:tc>
          <w:tcPr>
            <w:tcW w:w="668" w:type="pct"/>
            <w:vAlign w:val="center"/>
          </w:tcPr>
          <w:p w:rsidR="000950D9" w:rsidRPr="00EC7A97" w:rsidRDefault="000950D9" w:rsidP="00D73941">
            <w:pPr>
              <w:keepNext/>
              <w:widowControl/>
              <w:jc w:val="right"/>
              <w:rPr>
                <w:rFonts w:ascii="Arial Narrow" w:hAnsi="Arial Narrow"/>
                <w:sz w:val="20"/>
              </w:rPr>
            </w:pPr>
            <w:r w:rsidRPr="00EC7A97">
              <w:rPr>
                <w:rFonts w:ascii="Arial Narrow" w:hAnsi="Arial Narrow"/>
                <w:sz w:val="20"/>
              </w:rPr>
              <w:t>$</w:t>
            </w:r>
            <w:r w:rsidR="00ED4A35">
              <w:rPr>
                <w:rFonts w:ascii="Arial Narrow" w:hAnsi="Arial Narrow"/>
                <w:noProof/>
                <w:color w:val="000000"/>
                <w:sz w:val="20"/>
                <w:highlight w:val="black"/>
              </w:rPr>
              <w:t>''''''''''''''''''''</w:t>
            </w:r>
          </w:p>
        </w:tc>
        <w:tc>
          <w:tcPr>
            <w:tcW w:w="668" w:type="pct"/>
            <w:vAlign w:val="center"/>
          </w:tcPr>
          <w:p w:rsidR="000950D9" w:rsidRPr="00EC7A97" w:rsidRDefault="000950D9" w:rsidP="00D73941">
            <w:pPr>
              <w:keepNext/>
              <w:widowControl/>
              <w:jc w:val="right"/>
              <w:rPr>
                <w:rFonts w:ascii="Arial Narrow" w:hAnsi="Arial Narrow"/>
                <w:sz w:val="20"/>
              </w:rPr>
            </w:pPr>
            <w:r w:rsidRPr="00EC7A97">
              <w:rPr>
                <w:rFonts w:ascii="Arial Narrow" w:hAnsi="Arial Narrow"/>
                <w:sz w:val="20"/>
              </w:rPr>
              <w:t>$</w:t>
            </w:r>
            <w:r w:rsidR="00ED4A35">
              <w:rPr>
                <w:rFonts w:ascii="Arial Narrow" w:hAnsi="Arial Narrow"/>
                <w:noProof/>
                <w:color w:val="000000"/>
                <w:sz w:val="20"/>
                <w:highlight w:val="black"/>
              </w:rPr>
              <w:t>''''''''''''''''''</w:t>
            </w:r>
          </w:p>
        </w:tc>
        <w:tc>
          <w:tcPr>
            <w:tcW w:w="1562" w:type="pct"/>
            <w:vMerge/>
          </w:tcPr>
          <w:p w:rsidR="000950D9" w:rsidRPr="00EC7A97" w:rsidRDefault="000950D9" w:rsidP="00D73941">
            <w:pPr>
              <w:keepNext/>
              <w:widowControl/>
              <w:jc w:val="center"/>
              <w:rPr>
                <w:rFonts w:ascii="Arial Narrow" w:hAnsi="Arial Narrow"/>
                <w:sz w:val="20"/>
              </w:rPr>
            </w:pPr>
          </w:p>
        </w:tc>
      </w:tr>
      <w:tr w:rsidR="000950D9" w:rsidRPr="00EC7A97" w:rsidTr="000A4ECE">
        <w:tc>
          <w:tcPr>
            <w:tcW w:w="390" w:type="pct"/>
            <w:vMerge w:val="restart"/>
            <w:vAlign w:val="center"/>
          </w:tcPr>
          <w:p w:rsidR="000950D9" w:rsidRPr="00EC7A97" w:rsidRDefault="000950D9" w:rsidP="00D73941">
            <w:pPr>
              <w:keepNext/>
              <w:widowControl/>
              <w:jc w:val="left"/>
              <w:rPr>
                <w:rFonts w:ascii="Arial Narrow" w:hAnsi="Arial Narrow"/>
                <w:sz w:val="20"/>
              </w:rPr>
            </w:pPr>
            <w:r w:rsidRPr="00EC7A97">
              <w:rPr>
                <w:rFonts w:ascii="Arial Narrow" w:hAnsi="Arial Narrow"/>
                <w:sz w:val="20"/>
              </w:rPr>
              <w:t>NSCLC</w:t>
            </w:r>
          </w:p>
        </w:tc>
        <w:tc>
          <w:tcPr>
            <w:tcW w:w="1153" w:type="pct"/>
            <w:vAlign w:val="center"/>
          </w:tcPr>
          <w:p w:rsidR="000950D9" w:rsidRPr="00EC7A97" w:rsidRDefault="000950D9" w:rsidP="00D73941">
            <w:pPr>
              <w:keepNext/>
              <w:widowControl/>
              <w:jc w:val="left"/>
              <w:rPr>
                <w:rFonts w:ascii="Arial Narrow" w:hAnsi="Arial Narrow"/>
                <w:sz w:val="20"/>
              </w:rPr>
            </w:pPr>
            <w:r w:rsidRPr="00EC7A97">
              <w:rPr>
                <w:rFonts w:ascii="Arial Narrow" w:hAnsi="Arial Narrow"/>
                <w:sz w:val="20"/>
              </w:rPr>
              <w:t>100mg, 60 capsules x 2</w:t>
            </w:r>
          </w:p>
        </w:tc>
        <w:tc>
          <w:tcPr>
            <w:tcW w:w="558" w:type="pct"/>
            <w:vAlign w:val="center"/>
          </w:tcPr>
          <w:p w:rsidR="000950D9" w:rsidRPr="00EC7A97" w:rsidRDefault="000950D9" w:rsidP="00D73941">
            <w:pPr>
              <w:keepNext/>
              <w:widowControl/>
              <w:jc w:val="right"/>
              <w:rPr>
                <w:rFonts w:ascii="Arial Narrow" w:hAnsi="Arial Narrow"/>
                <w:sz w:val="20"/>
              </w:rPr>
            </w:pPr>
            <w:r w:rsidRPr="00EC7A97">
              <w:rPr>
                <w:rFonts w:ascii="Arial Narrow" w:hAnsi="Arial Narrow"/>
                <w:sz w:val="20"/>
              </w:rPr>
              <w:t>$</w:t>
            </w:r>
            <w:r w:rsidR="00ED4A35">
              <w:rPr>
                <w:rFonts w:ascii="Arial Narrow" w:hAnsi="Arial Narrow"/>
                <w:noProof/>
                <w:color w:val="000000"/>
                <w:sz w:val="20"/>
                <w:highlight w:val="black"/>
              </w:rPr>
              <w:t>''''''''''''''''''''</w:t>
            </w:r>
          </w:p>
        </w:tc>
        <w:tc>
          <w:tcPr>
            <w:tcW w:w="668" w:type="pct"/>
            <w:vAlign w:val="center"/>
          </w:tcPr>
          <w:p w:rsidR="000950D9" w:rsidRPr="00EC7A97" w:rsidRDefault="000950D9" w:rsidP="00D73941">
            <w:pPr>
              <w:keepNext/>
              <w:widowControl/>
              <w:jc w:val="right"/>
              <w:rPr>
                <w:rFonts w:ascii="Arial Narrow" w:hAnsi="Arial Narrow"/>
                <w:sz w:val="20"/>
              </w:rPr>
            </w:pPr>
            <w:r w:rsidRPr="00EC7A97">
              <w:rPr>
                <w:rFonts w:ascii="Arial Narrow" w:hAnsi="Arial Narrow"/>
                <w:sz w:val="20"/>
              </w:rPr>
              <w:t>$</w:t>
            </w:r>
            <w:r w:rsidR="00ED4A35">
              <w:rPr>
                <w:rFonts w:ascii="Arial Narrow" w:hAnsi="Arial Narrow"/>
                <w:noProof/>
                <w:color w:val="000000"/>
                <w:sz w:val="20"/>
                <w:highlight w:val="black"/>
              </w:rPr>
              <w:t>''''''''''''''''''</w:t>
            </w:r>
          </w:p>
        </w:tc>
        <w:tc>
          <w:tcPr>
            <w:tcW w:w="668" w:type="pct"/>
            <w:vAlign w:val="center"/>
          </w:tcPr>
          <w:p w:rsidR="000950D9" w:rsidRPr="00EC7A97" w:rsidRDefault="000950D9" w:rsidP="00D73941">
            <w:pPr>
              <w:keepNext/>
              <w:widowControl/>
              <w:jc w:val="right"/>
              <w:rPr>
                <w:rFonts w:ascii="Arial Narrow" w:hAnsi="Arial Narrow"/>
                <w:sz w:val="20"/>
              </w:rPr>
            </w:pPr>
            <w:r w:rsidRPr="00EC7A97">
              <w:rPr>
                <w:rFonts w:ascii="Arial Narrow" w:hAnsi="Arial Narrow"/>
                <w:sz w:val="20"/>
              </w:rPr>
              <w:t>$</w:t>
            </w:r>
            <w:r w:rsidR="00ED4A35">
              <w:rPr>
                <w:rFonts w:ascii="Arial Narrow" w:hAnsi="Arial Narrow"/>
                <w:noProof/>
                <w:color w:val="000000"/>
                <w:sz w:val="20"/>
                <w:highlight w:val="black"/>
              </w:rPr>
              <w:t>''''''''''''''''''''</w:t>
            </w:r>
          </w:p>
        </w:tc>
        <w:tc>
          <w:tcPr>
            <w:tcW w:w="1562" w:type="pct"/>
            <w:vMerge/>
          </w:tcPr>
          <w:p w:rsidR="000950D9" w:rsidRPr="00EC7A97" w:rsidRDefault="000950D9" w:rsidP="00D73941">
            <w:pPr>
              <w:keepNext/>
              <w:widowControl/>
              <w:jc w:val="center"/>
              <w:rPr>
                <w:rFonts w:ascii="Arial Narrow" w:hAnsi="Arial Narrow"/>
                <w:sz w:val="20"/>
              </w:rPr>
            </w:pPr>
          </w:p>
        </w:tc>
      </w:tr>
      <w:tr w:rsidR="000950D9" w:rsidRPr="00EC7A97" w:rsidTr="000A4ECE">
        <w:tc>
          <w:tcPr>
            <w:tcW w:w="390" w:type="pct"/>
            <w:vMerge/>
            <w:vAlign w:val="center"/>
          </w:tcPr>
          <w:p w:rsidR="000950D9" w:rsidRPr="00EC7A97" w:rsidRDefault="000950D9" w:rsidP="00D73941">
            <w:pPr>
              <w:keepNext/>
              <w:widowControl/>
              <w:jc w:val="left"/>
              <w:rPr>
                <w:rFonts w:ascii="Arial Narrow" w:hAnsi="Arial Narrow"/>
                <w:sz w:val="20"/>
              </w:rPr>
            </w:pPr>
          </w:p>
        </w:tc>
        <w:tc>
          <w:tcPr>
            <w:tcW w:w="1153" w:type="pct"/>
            <w:vAlign w:val="center"/>
          </w:tcPr>
          <w:p w:rsidR="000950D9" w:rsidRPr="00EC7A97" w:rsidRDefault="000950D9" w:rsidP="00D73941">
            <w:pPr>
              <w:keepNext/>
              <w:widowControl/>
              <w:jc w:val="left"/>
              <w:rPr>
                <w:rFonts w:ascii="Arial Narrow" w:hAnsi="Arial Narrow"/>
                <w:sz w:val="20"/>
              </w:rPr>
            </w:pPr>
            <w:r w:rsidRPr="00EC7A97">
              <w:rPr>
                <w:rFonts w:ascii="Arial Narrow" w:hAnsi="Arial Narrow"/>
                <w:sz w:val="20"/>
              </w:rPr>
              <w:t>150mg, 60 capsules x 1</w:t>
            </w:r>
          </w:p>
        </w:tc>
        <w:tc>
          <w:tcPr>
            <w:tcW w:w="558" w:type="pct"/>
            <w:vAlign w:val="center"/>
          </w:tcPr>
          <w:p w:rsidR="000950D9" w:rsidRPr="00EC7A97" w:rsidRDefault="000950D9" w:rsidP="00D73941">
            <w:pPr>
              <w:keepNext/>
              <w:widowControl/>
              <w:jc w:val="right"/>
              <w:rPr>
                <w:rFonts w:ascii="Arial Narrow" w:hAnsi="Arial Narrow"/>
                <w:sz w:val="20"/>
              </w:rPr>
            </w:pPr>
            <w:r w:rsidRPr="00EC7A97">
              <w:rPr>
                <w:rFonts w:ascii="Arial Narrow" w:hAnsi="Arial Narrow"/>
                <w:sz w:val="20"/>
              </w:rPr>
              <w:t>$</w:t>
            </w:r>
            <w:r w:rsidR="00ED4A35">
              <w:rPr>
                <w:rFonts w:ascii="Arial Narrow" w:hAnsi="Arial Narrow"/>
                <w:noProof/>
                <w:color w:val="000000"/>
                <w:sz w:val="20"/>
                <w:highlight w:val="black"/>
              </w:rPr>
              <w:t>'''''''''''''''''</w:t>
            </w:r>
          </w:p>
        </w:tc>
        <w:tc>
          <w:tcPr>
            <w:tcW w:w="668" w:type="pct"/>
            <w:vAlign w:val="center"/>
          </w:tcPr>
          <w:p w:rsidR="000950D9" w:rsidRPr="00EC7A97" w:rsidRDefault="000950D9" w:rsidP="00D73941">
            <w:pPr>
              <w:keepNext/>
              <w:widowControl/>
              <w:jc w:val="right"/>
              <w:rPr>
                <w:rFonts w:ascii="Arial Narrow" w:hAnsi="Arial Narrow"/>
                <w:sz w:val="20"/>
              </w:rPr>
            </w:pPr>
            <w:r w:rsidRPr="00EC7A97">
              <w:rPr>
                <w:rFonts w:ascii="Arial Narrow" w:hAnsi="Arial Narrow"/>
                <w:sz w:val="20"/>
              </w:rPr>
              <w:t>$</w:t>
            </w:r>
            <w:r w:rsidR="00ED4A35">
              <w:rPr>
                <w:rFonts w:ascii="Arial Narrow" w:hAnsi="Arial Narrow"/>
                <w:noProof/>
                <w:color w:val="000000"/>
                <w:sz w:val="20"/>
                <w:highlight w:val="black"/>
              </w:rPr>
              <w:t>'''''''''''''''''''</w:t>
            </w:r>
          </w:p>
        </w:tc>
        <w:tc>
          <w:tcPr>
            <w:tcW w:w="668" w:type="pct"/>
            <w:vAlign w:val="center"/>
          </w:tcPr>
          <w:p w:rsidR="000950D9" w:rsidRPr="00EC7A97" w:rsidRDefault="000950D9" w:rsidP="00D73941">
            <w:pPr>
              <w:keepNext/>
              <w:widowControl/>
              <w:jc w:val="right"/>
              <w:rPr>
                <w:rFonts w:ascii="Arial Narrow" w:hAnsi="Arial Narrow"/>
                <w:sz w:val="20"/>
              </w:rPr>
            </w:pPr>
            <w:r w:rsidRPr="00EC7A97">
              <w:rPr>
                <w:rFonts w:ascii="Arial Narrow" w:hAnsi="Arial Narrow"/>
                <w:sz w:val="20"/>
              </w:rPr>
              <w:t>$</w:t>
            </w:r>
            <w:r w:rsidR="00ED4A35">
              <w:rPr>
                <w:rFonts w:ascii="Arial Narrow" w:hAnsi="Arial Narrow"/>
                <w:noProof/>
                <w:color w:val="000000"/>
                <w:sz w:val="20"/>
                <w:highlight w:val="black"/>
              </w:rPr>
              <w:t>'''''''''''''''''''</w:t>
            </w:r>
          </w:p>
        </w:tc>
        <w:tc>
          <w:tcPr>
            <w:tcW w:w="1562" w:type="pct"/>
            <w:vMerge/>
          </w:tcPr>
          <w:p w:rsidR="000950D9" w:rsidRPr="00EC7A97" w:rsidRDefault="000950D9" w:rsidP="00D73941">
            <w:pPr>
              <w:keepNext/>
              <w:widowControl/>
              <w:jc w:val="center"/>
              <w:rPr>
                <w:rFonts w:ascii="Arial Narrow" w:hAnsi="Arial Narrow"/>
                <w:sz w:val="20"/>
              </w:rPr>
            </w:pPr>
          </w:p>
        </w:tc>
      </w:tr>
    </w:tbl>
    <w:p w:rsidR="000950D9" w:rsidRPr="00EC7A97" w:rsidRDefault="000950D9" w:rsidP="00D73941">
      <w:pPr>
        <w:keepNext/>
        <w:widowControl/>
        <w:ind w:left="720"/>
        <w:rPr>
          <w:rFonts w:ascii="Arial Narrow" w:hAnsi="Arial Narrow"/>
          <w:sz w:val="18"/>
        </w:rPr>
      </w:pPr>
      <w:r w:rsidRPr="00EC7A97">
        <w:rPr>
          <w:rFonts w:ascii="Arial Narrow" w:hAnsi="Arial Narrow"/>
          <w:sz w:val="18"/>
        </w:rPr>
        <w:t xml:space="preserve">* </w:t>
      </w:r>
      <w:r w:rsidR="00ED4A35">
        <w:rPr>
          <w:rFonts w:ascii="Arial Narrow" w:hAnsi="Arial Narrow"/>
          <w:noProof/>
          <w:color w:val="000000"/>
          <w:sz w:val="18"/>
          <w:highlight w:val="black"/>
        </w:rPr>
        <w:t>'''''''''''''''''''''''' '''''''''''''''''''''''''''' ''''''''''''''''''</w:t>
      </w:r>
      <w:r w:rsidRPr="00EC7A97">
        <w:rPr>
          <w:rFonts w:ascii="Arial Narrow" w:hAnsi="Arial Narrow"/>
          <w:sz w:val="18"/>
        </w:rPr>
        <w:t xml:space="preserve"> are proposed for the IPF and NSCLC indications.  The submission claims (p221) this corresponds </w:t>
      </w:r>
      <w:r w:rsidR="00ED4A35">
        <w:rPr>
          <w:rFonts w:ascii="Arial Narrow" w:hAnsi="Arial Narrow"/>
          <w:noProof/>
          <w:color w:val="000000"/>
          <w:sz w:val="18"/>
          <w:highlight w:val="black"/>
        </w:rPr>
        <w:t xml:space="preserve">''''' ''''''' ''''''''''''''''''''' ''''''''''''''' ''''' </w:t>
      </w:r>
      <w:r w:rsidRPr="00EC7A97">
        <w:rPr>
          <w:rFonts w:ascii="Arial Narrow" w:hAnsi="Arial Narrow"/>
          <w:sz w:val="18"/>
        </w:rPr>
        <w:t>$</w:t>
      </w:r>
      <w:r w:rsidR="00ED4A35">
        <w:rPr>
          <w:rFonts w:ascii="Arial Narrow" w:hAnsi="Arial Narrow"/>
          <w:noProof/>
          <w:color w:val="000000"/>
          <w:sz w:val="18"/>
          <w:highlight w:val="black"/>
        </w:rPr>
        <w:t>'''''''''''''''''''''</w:t>
      </w:r>
      <w:r w:rsidRPr="00EC7A97">
        <w:rPr>
          <w:rFonts w:ascii="Arial Narrow" w:hAnsi="Arial Narrow"/>
          <w:sz w:val="18"/>
        </w:rPr>
        <w:t xml:space="preserve"> for nintedanib 100mg x 60 and $</w:t>
      </w:r>
      <w:r w:rsidR="00ED4A35">
        <w:rPr>
          <w:rFonts w:ascii="Arial Narrow" w:hAnsi="Arial Narrow"/>
          <w:noProof/>
          <w:color w:val="000000"/>
          <w:sz w:val="18"/>
          <w:highlight w:val="black"/>
        </w:rPr>
        <w:t>''''''''''''''''''''</w:t>
      </w:r>
      <w:r w:rsidRPr="00EC7A97">
        <w:rPr>
          <w:rFonts w:ascii="Arial Narrow" w:hAnsi="Arial Narrow"/>
          <w:sz w:val="18"/>
        </w:rPr>
        <w:t xml:space="preserve"> for nintedanib 150mg x 60.  </w:t>
      </w:r>
    </w:p>
    <w:p w:rsidR="000950D9" w:rsidRPr="00EC7A97" w:rsidRDefault="000950D9" w:rsidP="00D73941">
      <w:pPr>
        <w:keepNext/>
        <w:widowControl/>
        <w:ind w:left="720"/>
        <w:rPr>
          <w:rFonts w:ascii="Arial Narrow" w:hAnsi="Arial Narrow"/>
          <w:sz w:val="18"/>
        </w:rPr>
      </w:pPr>
      <w:r w:rsidRPr="00EC7A97">
        <w:rPr>
          <w:rFonts w:ascii="Arial Narrow" w:hAnsi="Arial Narrow"/>
          <w:sz w:val="18"/>
        </w:rPr>
        <w:t>^ The submission states (p221) that the DPMQ for IPF and NSCLC indications are the same.  This is inconsistent with the public DPMQs presented in the IPF and NSCLC submissions for the 100mg strength: NSCLC: 60 capsules x 2 requested (public DPMQ = $</w:t>
      </w:r>
      <w:r w:rsidR="00ED4A35">
        <w:rPr>
          <w:rFonts w:ascii="Arial Narrow" w:hAnsi="Arial Narrow"/>
          <w:noProof/>
          <w:color w:val="000000"/>
          <w:sz w:val="18"/>
          <w:highlight w:val="black"/>
        </w:rPr>
        <w:t>''''''''''''''''''''''</w:t>
      </w:r>
      <w:r w:rsidRPr="00EC7A97">
        <w:rPr>
          <w:rFonts w:ascii="Arial Narrow" w:hAnsi="Arial Narrow"/>
          <w:sz w:val="18"/>
        </w:rPr>
        <w:t>); IPF: 60 capsules x 1 requested (public DPMQ = $</w:t>
      </w:r>
      <w:r w:rsidR="00ED4A35">
        <w:rPr>
          <w:rFonts w:ascii="Arial Narrow" w:hAnsi="Arial Narrow"/>
          <w:noProof/>
          <w:color w:val="000000"/>
          <w:sz w:val="18"/>
          <w:highlight w:val="black"/>
        </w:rPr>
        <w:t>'''''''''''''''''''</w:t>
      </w:r>
      <w:r w:rsidRPr="00EC7A97">
        <w:rPr>
          <w:rFonts w:ascii="Arial Narrow" w:hAnsi="Arial Narrow"/>
          <w:sz w:val="18"/>
        </w:rPr>
        <w:t>)</w:t>
      </w:r>
    </w:p>
    <w:p w:rsidR="000950D9" w:rsidRPr="00EC7A97" w:rsidRDefault="000950D9" w:rsidP="00D73941">
      <w:pPr>
        <w:keepNext/>
        <w:widowControl/>
        <w:ind w:firstLine="720"/>
        <w:rPr>
          <w:rFonts w:ascii="Arial Narrow" w:hAnsi="Arial Narrow"/>
          <w:sz w:val="18"/>
        </w:rPr>
      </w:pPr>
      <w:r w:rsidRPr="00EC7A97">
        <w:rPr>
          <w:rFonts w:ascii="Arial Narrow" w:hAnsi="Arial Narrow"/>
          <w:sz w:val="18"/>
        </w:rPr>
        <w:t xml:space="preserve">Abbreviations: IPF = idiopathic pulmonary fibrosis; NSCLC = </w:t>
      </w:r>
      <w:r w:rsidR="002B7BFB" w:rsidRPr="00EC7A97">
        <w:rPr>
          <w:rFonts w:ascii="Arial Narrow" w:hAnsi="Arial Narrow"/>
          <w:sz w:val="18"/>
        </w:rPr>
        <w:t>non-small</w:t>
      </w:r>
      <w:r w:rsidRPr="00EC7A97">
        <w:rPr>
          <w:rFonts w:ascii="Arial Narrow" w:hAnsi="Arial Narrow"/>
          <w:sz w:val="18"/>
        </w:rPr>
        <w:t xml:space="preserve"> cell lung cancer; SPA = special pricing arrangement.  </w:t>
      </w:r>
    </w:p>
    <w:p w:rsidR="000950D9" w:rsidRPr="00EC7A97" w:rsidRDefault="000950D9" w:rsidP="00D73941">
      <w:pPr>
        <w:widowControl/>
        <w:ind w:firstLine="720"/>
        <w:rPr>
          <w:rFonts w:ascii="Arial Narrow" w:hAnsi="Arial Narrow"/>
          <w:sz w:val="18"/>
        </w:rPr>
      </w:pPr>
      <w:r w:rsidRPr="00EC7A97">
        <w:rPr>
          <w:rFonts w:ascii="Arial Narrow" w:hAnsi="Arial Narrow"/>
          <w:sz w:val="18"/>
        </w:rPr>
        <w:t>Source: F.2-1, p221 of the submission</w:t>
      </w:r>
    </w:p>
    <w:p w:rsidR="000950D9" w:rsidRPr="00EC7A97" w:rsidRDefault="000950D9" w:rsidP="00D73941">
      <w:pPr>
        <w:widowControl/>
        <w:rPr>
          <w:szCs w:val="22"/>
        </w:rPr>
      </w:pPr>
    </w:p>
    <w:p w:rsidR="000950D9" w:rsidRPr="00EC7A97" w:rsidRDefault="000950D9" w:rsidP="00D73941">
      <w:pPr>
        <w:pStyle w:val="ListParagraph"/>
        <w:widowControl/>
        <w:numPr>
          <w:ilvl w:val="1"/>
          <w:numId w:val="2"/>
        </w:numPr>
        <w:rPr>
          <w:szCs w:val="22"/>
        </w:rPr>
      </w:pPr>
      <w:r w:rsidRPr="00EC7A97">
        <w:rPr>
          <w:szCs w:val="22"/>
        </w:rPr>
        <w:t xml:space="preserve">The submission proposed </w:t>
      </w:r>
      <w:r w:rsidR="00ED4A35">
        <w:rPr>
          <w:noProof/>
          <w:color w:val="000000"/>
          <w:szCs w:val="22"/>
          <w:highlight w:val="black"/>
        </w:rPr>
        <w:t>''''''' ''''''''''''''''''' ''''''''''''''</w:t>
      </w:r>
      <w:r w:rsidRPr="00EC7A97">
        <w:rPr>
          <w:szCs w:val="22"/>
        </w:rPr>
        <w:t xml:space="preserve"> of $</w:t>
      </w:r>
      <w:r w:rsidR="00ED4A35">
        <w:rPr>
          <w:noProof/>
          <w:color w:val="000000"/>
          <w:szCs w:val="22"/>
          <w:highlight w:val="black"/>
        </w:rPr>
        <w:t>'''''''''''''''''''</w:t>
      </w:r>
      <w:r w:rsidRPr="00EC7A97">
        <w:rPr>
          <w:szCs w:val="22"/>
        </w:rPr>
        <w:t xml:space="preserve"> (100mg × 60 capsules) and $</w:t>
      </w:r>
      <w:r w:rsidR="00ED4A35">
        <w:rPr>
          <w:noProof/>
          <w:color w:val="000000"/>
          <w:szCs w:val="22"/>
          <w:highlight w:val="black"/>
        </w:rPr>
        <w:t>'''''''''''''''''''''</w:t>
      </w:r>
      <w:r w:rsidRPr="00EC7A97">
        <w:rPr>
          <w:szCs w:val="22"/>
        </w:rPr>
        <w:t xml:space="preserve"> (150mg × 60 capsules) across the IPF and NSCLC listings.</w:t>
      </w:r>
    </w:p>
    <w:p w:rsidR="00F16534" w:rsidRDefault="00F16534" w:rsidP="00D73941">
      <w:pPr>
        <w:pStyle w:val="PBACHeading1"/>
        <w:numPr>
          <w:ilvl w:val="0"/>
          <w:numId w:val="0"/>
        </w:numPr>
        <w:ind w:left="720"/>
        <w:rPr>
          <w:highlight w:val="yellow"/>
        </w:rPr>
      </w:pPr>
    </w:p>
    <w:p w:rsidR="00F16534" w:rsidRPr="00F16534" w:rsidRDefault="00F16534" w:rsidP="00D73941">
      <w:pPr>
        <w:pStyle w:val="PBACHeading1"/>
        <w:numPr>
          <w:ilvl w:val="0"/>
          <w:numId w:val="0"/>
        </w:numPr>
        <w:ind w:left="720"/>
        <w:rPr>
          <w:b w:val="0"/>
          <w:i/>
        </w:rPr>
      </w:pPr>
      <w:r w:rsidRPr="00F16534">
        <w:rPr>
          <w:b w:val="0"/>
          <w:i/>
        </w:rPr>
        <w:t>For more detail on PBAC’s view, see section 7 “PBAC outcome”</w:t>
      </w:r>
    </w:p>
    <w:p w:rsidR="000950D9" w:rsidRDefault="000950D9" w:rsidP="00D73941">
      <w:pPr>
        <w:widowControl/>
        <w:rPr>
          <w:szCs w:val="22"/>
        </w:rPr>
      </w:pPr>
    </w:p>
    <w:p w:rsidR="000950D9" w:rsidRPr="00407F2D" w:rsidRDefault="000950D9" w:rsidP="00D73941">
      <w:pPr>
        <w:pStyle w:val="PBACHeading1"/>
      </w:pPr>
      <w:bookmarkStart w:id="5" w:name="_Toc409510367"/>
      <w:r w:rsidRPr="00407F2D">
        <w:t>Background</w:t>
      </w:r>
      <w:bookmarkEnd w:id="5"/>
    </w:p>
    <w:p w:rsidR="000950D9" w:rsidRPr="00882085" w:rsidRDefault="000950D9" w:rsidP="00D73941">
      <w:pPr>
        <w:widowControl/>
        <w:rPr>
          <w:szCs w:val="22"/>
        </w:rPr>
      </w:pPr>
    </w:p>
    <w:p w:rsidR="005C58E8" w:rsidRPr="006945CF" w:rsidRDefault="005C58E8" w:rsidP="00D73941">
      <w:pPr>
        <w:pStyle w:val="ListParagraph"/>
        <w:widowControl/>
        <w:numPr>
          <w:ilvl w:val="1"/>
          <w:numId w:val="2"/>
        </w:numPr>
      </w:pPr>
      <w:r w:rsidRPr="006945CF">
        <w:rPr>
          <w:b/>
        </w:rPr>
        <w:t>TGA status:</w:t>
      </w:r>
      <w:r w:rsidRPr="006945CF">
        <w:t xml:space="preserve"> The submission was made under TGA/PBAC Parallel Process with the Delegate’s consideration expected in July 2015.</w:t>
      </w:r>
      <w:r w:rsidR="00722E0F">
        <w:t xml:space="preserve"> The Round 1 Clinical Evaluation Report</w:t>
      </w:r>
      <w:r w:rsidR="00130D2B">
        <w:t xml:space="preserve"> was received on 26 February 2015.</w:t>
      </w:r>
    </w:p>
    <w:p w:rsidR="005C58E8" w:rsidRPr="00882085" w:rsidRDefault="005C58E8" w:rsidP="00D73941">
      <w:pPr>
        <w:widowControl/>
      </w:pPr>
    </w:p>
    <w:p w:rsidR="002D50C6" w:rsidRDefault="000950D9" w:rsidP="00D73941">
      <w:pPr>
        <w:pStyle w:val="ListParagraph"/>
        <w:widowControl/>
        <w:numPr>
          <w:ilvl w:val="1"/>
          <w:numId w:val="2"/>
        </w:numPr>
      </w:pPr>
      <w:r>
        <w:t xml:space="preserve">This </w:t>
      </w:r>
      <w:r w:rsidR="004D0580">
        <w:t>was</w:t>
      </w:r>
      <w:r>
        <w:t xml:space="preserve"> the first consideration by the PBAC of nintedanib for the treatment of IPF.</w:t>
      </w:r>
    </w:p>
    <w:p w:rsidR="00F16534" w:rsidRDefault="00F16534" w:rsidP="00D73941">
      <w:pPr>
        <w:pStyle w:val="ListParagraph"/>
        <w:widowControl/>
      </w:pPr>
    </w:p>
    <w:p w:rsidR="00F16534" w:rsidRPr="00B25BC6" w:rsidRDefault="00F16534" w:rsidP="00B25BC6">
      <w:pPr>
        <w:pStyle w:val="PBACHeading1"/>
        <w:numPr>
          <w:ilvl w:val="0"/>
          <w:numId w:val="0"/>
        </w:numPr>
        <w:ind w:left="720"/>
        <w:rPr>
          <w:b w:val="0"/>
          <w:i/>
        </w:rPr>
      </w:pPr>
      <w:r w:rsidRPr="00F16534">
        <w:rPr>
          <w:b w:val="0"/>
          <w:i/>
        </w:rPr>
        <w:t>For more detail on PBAC’s view, see section 7 “PBAC outcome”</w:t>
      </w:r>
    </w:p>
    <w:p w:rsidR="000950D9" w:rsidRPr="006B32BA" w:rsidRDefault="000950D9" w:rsidP="00D73941">
      <w:pPr>
        <w:widowControl/>
        <w:rPr>
          <w:szCs w:val="22"/>
        </w:rPr>
      </w:pPr>
    </w:p>
    <w:p w:rsidR="000950D9" w:rsidRPr="00407F2D" w:rsidRDefault="000950D9" w:rsidP="00D73941">
      <w:pPr>
        <w:pStyle w:val="PBACHeading1"/>
        <w:keepNext/>
      </w:pPr>
      <w:bookmarkStart w:id="6" w:name="_Toc409510368"/>
      <w:r w:rsidRPr="00407F2D">
        <w:t>Clinical place for the proposed therapy</w:t>
      </w:r>
      <w:bookmarkEnd w:id="6"/>
    </w:p>
    <w:p w:rsidR="000950D9" w:rsidRPr="00882085" w:rsidRDefault="000950D9" w:rsidP="00D73941">
      <w:pPr>
        <w:keepNext/>
        <w:widowControl/>
        <w:rPr>
          <w:szCs w:val="22"/>
        </w:rPr>
      </w:pPr>
    </w:p>
    <w:p w:rsidR="000950D9" w:rsidRPr="00B50DB8" w:rsidRDefault="000950D9" w:rsidP="00D73941">
      <w:pPr>
        <w:pStyle w:val="ListParagraph"/>
        <w:widowControl/>
        <w:numPr>
          <w:ilvl w:val="1"/>
          <w:numId w:val="2"/>
        </w:numPr>
        <w:rPr>
          <w:szCs w:val="22"/>
        </w:rPr>
      </w:pPr>
      <w:r w:rsidRPr="007279F6">
        <w:rPr>
          <w:szCs w:val="22"/>
        </w:rPr>
        <w:t>IPF is a non-neoplastic irreversible fatal lung disease resulting from abnormal remodelling of lung tissue leading to fibrosis and a progressive</w:t>
      </w:r>
      <w:r w:rsidR="002D41DE">
        <w:rPr>
          <w:szCs w:val="22"/>
        </w:rPr>
        <w:t xml:space="preserve"> degradation of lung function. </w:t>
      </w:r>
      <w:r w:rsidRPr="007279F6">
        <w:rPr>
          <w:szCs w:val="22"/>
        </w:rPr>
        <w:t>The clinical course is unpredictable and there is a high degree of variability in IPF disease progressio</w:t>
      </w:r>
      <w:r w:rsidR="002D41DE">
        <w:rPr>
          <w:szCs w:val="22"/>
        </w:rPr>
        <w:t>n</w:t>
      </w:r>
      <w:r w:rsidR="00130D2B">
        <w:rPr>
          <w:szCs w:val="22"/>
        </w:rPr>
        <w:t>.</w:t>
      </w:r>
      <w:r w:rsidR="002D41DE">
        <w:rPr>
          <w:szCs w:val="22"/>
        </w:rPr>
        <w:t xml:space="preserve"> </w:t>
      </w:r>
      <w:r w:rsidR="00130D2B">
        <w:rPr>
          <w:szCs w:val="22"/>
        </w:rPr>
        <w:t>M</w:t>
      </w:r>
      <w:r w:rsidR="002D41DE">
        <w:rPr>
          <w:szCs w:val="22"/>
        </w:rPr>
        <w:t>edian survival</w:t>
      </w:r>
      <w:r w:rsidR="00130D2B">
        <w:rPr>
          <w:szCs w:val="22"/>
        </w:rPr>
        <w:t xml:space="preserve"> after diagnosis is</w:t>
      </w:r>
      <w:r w:rsidR="002D41DE">
        <w:rPr>
          <w:szCs w:val="22"/>
        </w:rPr>
        <w:t xml:space="preserve"> 3.5 years.</w:t>
      </w:r>
      <w:r w:rsidRPr="007279F6">
        <w:rPr>
          <w:szCs w:val="22"/>
        </w:rPr>
        <w:t xml:space="preserve"> </w:t>
      </w:r>
      <w:r>
        <w:rPr>
          <w:szCs w:val="22"/>
        </w:rPr>
        <w:t xml:space="preserve">Lung transplant is the only potentially </w:t>
      </w:r>
      <w:r w:rsidR="002D41DE">
        <w:rPr>
          <w:szCs w:val="22"/>
        </w:rPr>
        <w:t xml:space="preserve">curative intervention for IPF. </w:t>
      </w:r>
      <w:r w:rsidR="00403894">
        <w:rPr>
          <w:szCs w:val="22"/>
        </w:rPr>
        <w:t>N</w:t>
      </w:r>
      <w:r w:rsidRPr="007279F6">
        <w:rPr>
          <w:szCs w:val="22"/>
        </w:rPr>
        <w:t xml:space="preserve">o other medications </w:t>
      </w:r>
      <w:r w:rsidR="00403894">
        <w:rPr>
          <w:szCs w:val="22"/>
        </w:rPr>
        <w:t xml:space="preserve">are </w:t>
      </w:r>
      <w:r w:rsidRPr="007279F6">
        <w:rPr>
          <w:szCs w:val="22"/>
        </w:rPr>
        <w:t>listed on the PBS specifically for the treatment of IPF</w:t>
      </w:r>
      <w:r w:rsidR="002D41DE">
        <w:rPr>
          <w:szCs w:val="22"/>
        </w:rPr>
        <w:t>.</w:t>
      </w:r>
    </w:p>
    <w:p w:rsidR="000950D9" w:rsidRPr="00E975DD" w:rsidRDefault="000950D9" w:rsidP="00D73941">
      <w:pPr>
        <w:widowControl/>
        <w:rPr>
          <w:szCs w:val="22"/>
        </w:rPr>
      </w:pPr>
    </w:p>
    <w:p w:rsidR="000950D9" w:rsidRDefault="000950D9" w:rsidP="00D73941">
      <w:pPr>
        <w:pStyle w:val="ListParagraph"/>
        <w:widowControl/>
        <w:numPr>
          <w:ilvl w:val="1"/>
          <w:numId w:val="2"/>
        </w:numPr>
        <w:rPr>
          <w:szCs w:val="22"/>
        </w:rPr>
      </w:pPr>
      <w:r w:rsidRPr="00E975DD">
        <w:rPr>
          <w:szCs w:val="22"/>
        </w:rPr>
        <w:t xml:space="preserve">The submission </w:t>
      </w:r>
      <w:r w:rsidR="009C2C4C">
        <w:rPr>
          <w:szCs w:val="22"/>
        </w:rPr>
        <w:t>proposed</w:t>
      </w:r>
      <w:r w:rsidRPr="00E975DD">
        <w:rPr>
          <w:szCs w:val="22"/>
        </w:rPr>
        <w:t xml:space="preserve"> that nintedanib </w:t>
      </w:r>
      <w:r w:rsidR="004D0580">
        <w:rPr>
          <w:szCs w:val="22"/>
        </w:rPr>
        <w:t>be</w:t>
      </w:r>
      <w:r w:rsidRPr="00E975DD">
        <w:rPr>
          <w:szCs w:val="22"/>
        </w:rPr>
        <w:t xml:space="preserve"> used in combination with </w:t>
      </w:r>
      <w:r w:rsidR="00130D2B">
        <w:rPr>
          <w:szCs w:val="22"/>
        </w:rPr>
        <w:t xml:space="preserve">best supportive care </w:t>
      </w:r>
      <w:r w:rsidRPr="00E975DD">
        <w:rPr>
          <w:szCs w:val="22"/>
        </w:rPr>
        <w:t>to slow disease progression associated with IPF.</w:t>
      </w:r>
    </w:p>
    <w:p w:rsidR="00566871" w:rsidRPr="00566871" w:rsidRDefault="00566871" w:rsidP="00D73941">
      <w:pPr>
        <w:pStyle w:val="ListParagraph"/>
        <w:widowControl/>
        <w:rPr>
          <w:szCs w:val="22"/>
        </w:rPr>
      </w:pPr>
    </w:p>
    <w:p w:rsidR="00566871" w:rsidRDefault="00566871" w:rsidP="00D73941">
      <w:pPr>
        <w:pStyle w:val="ListParagraph"/>
        <w:widowControl/>
        <w:numPr>
          <w:ilvl w:val="1"/>
          <w:numId w:val="2"/>
        </w:numPr>
        <w:rPr>
          <w:szCs w:val="22"/>
        </w:rPr>
      </w:pPr>
      <w:r w:rsidRPr="00F16534">
        <w:rPr>
          <w:szCs w:val="22"/>
        </w:rPr>
        <w:t>The ESC noted the significant clinical need for an effective treatment for IPF.</w:t>
      </w:r>
    </w:p>
    <w:p w:rsidR="00F16534" w:rsidRPr="00F16534" w:rsidRDefault="00F16534" w:rsidP="00D73941">
      <w:pPr>
        <w:pStyle w:val="ListParagraph"/>
        <w:widowControl/>
        <w:rPr>
          <w:szCs w:val="22"/>
        </w:rPr>
      </w:pPr>
    </w:p>
    <w:p w:rsidR="00F16534" w:rsidRPr="00F16534" w:rsidRDefault="00F16534" w:rsidP="00D73941">
      <w:pPr>
        <w:pStyle w:val="PBACHeading1"/>
        <w:numPr>
          <w:ilvl w:val="0"/>
          <w:numId w:val="0"/>
        </w:numPr>
        <w:ind w:left="720"/>
        <w:rPr>
          <w:b w:val="0"/>
          <w:i/>
        </w:rPr>
      </w:pPr>
      <w:r w:rsidRPr="00F16534">
        <w:rPr>
          <w:b w:val="0"/>
          <w:i/>
        </w:rPr>
        <w:t>For more detail on PBAC’s view, see section 7 “PBAC outcome”</w:t>
      </w:r>
    </w:p>
    <w:p w:rsidR="00F16534" w:rsidRPr="00F16534" w:rsidRDefault="00F16534" w:rsidP="00D73941">
      <w:pPr>
        <w:pStyle w:val="ListParagraph"/>
        <w:widowControl/>
        <w:rPr>
          <w:szCs w:val="22"/>
        </w:rPr>
      </w:pPr>
    </w:p>
    <w:p w:rsidR="000950D9" w:rsidRPr="00882085" w:rsidRDefault="000950D9" w:rsidP="00D73941">
      <w:pPr>
        <w:pStyle w:val="Header"/>
        <w:widowControl/>
        <w:rPr>
          <w:szCs w:val="22"/>
        </w:rPr>
      </w:pPr>
    </w:p>
    <w:p w:rsidR="000950D9" w:rsidRDefault="000950D9" w:rsidP="00D73941">
      <w:pPr>
        <w:pStyle w:val="Header"/>
        <w:keepNext/>
        <w:widowControl/>
        <w:numPr>
          <w:ilvl w:val="0"/>
          <w:numId w:val="2"/>
        </w:numPr>
        <w:tabs>
          <w:tab w:val="clear" w:pos="4513"/>
          <w:tab w:val="clear" w:pos="9026"/>
        </w:tabs>
        <w:rPr>
          <w:b/>
          <w:szCs w:val="22"/>
        </w:rPr>
      </w:pPr>
      <w:r w:rsidRPr="00407F2D">
        <w:rPr>
          <w:b/>
          <w:szCs w:val="22"/>
        </w:rPr>
        <w:t>Comparator</w:t>
      </w:r>
    </w:p>
    <w:p w:rsidR="00BA4E66" w:rsidRPr="00407F2D" w:rsidRDefault="00BA4E66" w:rsidP="00D73941">
      <w:pPr>
        <w:pStyle w:val="Header"/>
        <w:keepNext/>
        <w:widowControl/>
        <w:tabs>
          <w:tab w:val="clear" w:pos="4513"/>
          <w:tab w:val="clear" w:pos="9026"/>
        </w:tabs>
        <w:rPr>
          <w:b/>
          <w:szCs w:val="22"/>
        </w:rPr>
      </w:pPr>
    </w:p>
    <w:p w:rsidR="000950D9" w:rsidRPr="001563F1" w:rsidRDefault="000950D9" w:rsidP="00D73941">
      <w:pPr>
        <w:pStyle w:val="ListParagraph"/>
        <w:widowControl/>
        <w:numPr>
          <w:ilvl w:val="1"/>
          <w:numId w:val="2"/>
        </w:numPr>
        <w:rPr>
          <w:szCs w:val="22"/>
        </w:rPr>
      </w:pPr>
      <w:r>
        <w:t>The submission nominate</w:t>
      </w:r>
      <w:r w:rsidR="009C2C4C">
        <w:t>d</w:t>
      </w:r>
      <w:r>
        <w:t xml:space="preserve"> </w:t>
      </w:r>
      <w:r w:rsidR="00130D2B">
        <w:t xml:space="preserve">best supportive care </w:t>
      </w:r>
      <w:r>
        <w:t>as the main comparator.</w:t>
      </w:r>
      <w:r w:rsidRPr="000B2D90">
        <w:t xml:space="preserve"> </w:t>
      </w:r>
      <w:r w:rsidR="00494ED7">
        <w:t>The evaluation considered this</w:t>
      </w:r>
      <w:r w:rsidRPr="002D50C6">
        <w:t xml:space="preserve"> </w:t>
      </w:r>
      <w:r w:rsidR="004D0580" w:rsidRPr="002D50C6">
        <w:t>was</w:t>
      </w:r>
      <w:r w:rsidRPr="002D50C6">
        <w:t xml:space="preserve"> appropr</w:t>
      </w:r>
      <w:r w:rsidR="00487D59">
        <w:t>iate.</w:t>
      </w:r>
    </w:p>
    <w:p w:rsidR="000950D9" w:rsidRPr="001563F1" w:rsidRDefault="000950D9" w:rsidP="00D73941">
      <w:pPr>
        <w:pStyle w:val="ListParagraph"/>
        <w:widowControl/>
        <w:rPr>
          <w:szCs w:val="22"/>
        </w:rPr>
      </w:pPr>
    </w:p>
    <w:p w:rsidR="000950D9" w:rsidRPr="00B50DB8" w:rsidRDefault="000950D9" w:rsidP="00D73941">
      <w:pPr>
        <w:pStyle w:val="ListParagraph"/>
        <w:widowControl/>
        <w:numPr>
          <w:ilvl w:val="1"/>
          <w:numId w:val="2"/>
        </w:numPr>
        <w:rPr>
          <w:szCs w:val="22"/>
        </w:rPr>
      </w:pPr>
      <w:r>
        <w:rPr>
          <w:szCs w:val="22"/>
        </w:rPr>
        <w:lastRenderedPageBreak/>
        <w:t xml:space="preserve">Additionally, the submission indicated that the sponsor was aware of </w:t>
      </w:r>
      <w:r w:rsidRPr="001563F1">
        <w:rPr>
          <w:szCs w:val="22"/>
        </w:rPr>
        <w:t>another novel agent for the treatm</w:t>
      </w:r>
      <w:r w:rsidR="00783A66">
        <w:rPr>
          <w:szCs w:val="22"/>
        </w:rPr>
        <w:t xml:space="preserve">ent of IPF, </w:t>
      </w:r>
      <w:proofErr w:type="spellStart"/>
      <w:r w:rsidR="00783A66">
        <w:rPr>
          <w:szCs w:val="22"/>
        </w:rPr>
        <w:t>pirfenidone</w:t>
      </w:r>
      <w:proofErr w:type="spellEnd"/>
      <w:r w:rsidR="00783A66">
        <w:rPr>
          <w:szCs w:val="22"/>
        </w:rPr>
        <w:t>, which wa</w:t>
      </w:r>
      <w:r w:rsidRPr="001563F1">
        <w:rPr>
          <w:szCs w:val="22"/>
        </w:rPr>
        <w:t>s not TGA approved or PBS-listed</w:t>
      </w:r>
      <w:r w:rsidR="00783A66">
        <w:rPr>
          <w:szCs w:val="22"/>
        </w:rPr>
        <w:t xml:space="preserve"> at the time of PBAC consideration</w:t>
      </w:r>
      <w:r>
        <w:rPr>
          <w:szCs w:val="22"/>
        </w:rPr>
        <w:t>.  A</w:t>
      </w:r>
      <w:r w:rsidRPr="001563F1">
        <w:rPr>
          <w:szCs w:val="22"/>
        </w:rPr>
        <w:t xml:space="preserve"> summary of available evidence and an indirect comparison with nintedanib </w:t>
      </w:r>
      <w:r>
        <w:rPr>
          <w:szCs w:val="22"/>
        </w:rPr>
        <w:t>was</w:t>
      </w:r>
      <w:r w:rsidRPr="001563F1">
        <w:rPr>
          <w:szCs w:val="22"/>
        </w:rPr>
        <w:t xml:space="preserve"> provided in an attachment to the submission</w:t>
      </w:r>
      <w:r w:rsidR="00490900">
        <w:rPr>
          <w:szCs w:val="22"/>
        </w:rPr>
        <w:t>.</w:t>
      </w:r>
    </w:p>
    <w:p w:rsidR="006B32BA" w:rsidRDefault="006B32BA" w:rsidP="00D73941">
      <w:pPr>
        <w:widowControl/>
        <w:rPr>
          <w:szCs w:val="22"/>
        </w:rPr>
      </w:pPr>
    </w:p>
    <w:p w:rsidR="00F16534" w:rsidRPr="00F16534" w:rsidRDefault="00F16534" w:rsidP="00D73941">
      <w:pPr>
        <w:pStyle w:val="PBACHeading1"/>
        <w:numPr>
          <w:ilvl w:val="0"/>
          <w:numId w:val="0"/>
        </w:numPr>
        <w:ind w:left="720"/>
        <w:rPr>
          <w:b w:val="0"/>
          <w:i/>
        </w:rPr>
      </w:pPr>
      <w:r w:rsidRPr="00F16534">
        <w:rPr>
          <w:b w:val="0"/>
          <w:i/>
        </w:rPr>
        <w:t>For more detail on PBAC’s view, see section 7 “PBAC outcome”</w:t>
      </w:r>
    </w:p>
    <w:p w:rsidR="00F16534" w:rsidRPr="00DF5D2B" w:rsidRDefault="00F16534" w:rsidP="00D73941">
      <w:pPr>
        <w:widowControl/>
        <w:rPr>
          <w:szCs w:val="22"/>
        </w:rPr>
      </w:pPr>
    </w:p>
    <w:p w:rsidR="000950D9" w:rsidRPr="00407F2D" w:rsidRDefault="000950D9" w:rsidP="00D73941">
      <w:pPr>
        <w:pStyle w:val="PBACHeading1"/>
        <w:keepNext/>
      </w:pPr>
      <w:bookmarkStart w:id="7" w:name="_Toc409510369"/>
      <w:r>
        <w:t>C</w:t>
      </w:r>
      <w:r w:rsidRPr="00407F2D">
        <w:t>onsideration of the evidence</w:t>
      </w:r>
      <w:bookmarkEnd w:id="7"/>
    </w:p>
    <w:p w:rsidR="002B7BFB" w:rsidRPr="00882085" w:rsidRDefault="002B7BFB" w:rsidP="00D73941">
      <w:pPr>
        <w:keepNext/>
        <w:widowControl/>
      </w:pPr>
    </w:p>
    <w:p w:rsidR="00F16534" w:rsidRPr="00E14A81" w:rsidRDefault="00F16534" w:rsidP="00D73941">
      <w:pPr>
        <w:widowControl/>
        <w:spacing w:after="200" w:line="276" w:lineRule="auto"/>
        <w:rPr>
          <w:b/>
          <w:bCs/>
          <w:szCs w:val="22"/>
        </w:rPr>
      </w:pPr>
      <w:bookmarkStart w:id="8" w:name="_Toc409510370"/>
      <w:r w:rsidRPr="00E14A81">
        <w:rPr>
          <w:b/>
          <w:bCs/>
          <w:szCs w:val="22"/>
        </w:rPr>
        <w:t>Sponsor hearing</w:t>
      </w:r>
    </w:p>
    <w:p w:rsidR="008C58FA" w:rsidRPr="009C3F3A" w:rsidRDefault="00F16534" w:rsidP="00D73941">
      <w:pPr>
        <w:widowControl/>
        <w:numPr>
          <w:ilvl w:val="1"/>
          <w:numId w:val="2"/>
        </w:numPr>
        <w:contextualSpacing/>
        <w:rPr>
          <w:bCs/>
          <w:szCs w:val="22"/>
        </w:rPr>
      </w:pPr>
      <w:r w:rsidRPr="008C58FA">
        <w:rPr>
          <w:bCs/>
          <w:szCs w:val="22"/>
        </w:rPr>
        <w:t>The sponsor requested a hearing for this item.</w:t>
      </w:r>
      <w:r w:rsidR="008C58FA">
        <w:rPr>
          <w:bCs/>
          <w:szCs w:val="22"/>
        </w:rPr>
        <w:t xml:space="preserve"> The </w:t>
      </w:r>
      <w:r w:rsidR="007A6155">
        <w:rPr>
          <w:bCs/>
          <w:szCs w:val="22"/>
        </w:rPr>
        <w:t xml:space="preserve">respiratory </w:t>
      </w:r>
      <w:r w:rsidR="008C58FA">
        <w:rPr>
          <w:bCs/>
          <w:szCs w:val="22"/>
        </w:rPr>
        <w:t xml:space="preserve">clinician discussed the relevance of FVC as a surrogate clinical outcome for </w:t>
      </w:r>
      <w:r w:rsidR="00E75F45">
        <w:rPr>
          <w:bCs/>
          <w:szCs w:val="22"/>
        </w:rPr>
        <w:t xml:space="preserve">morbidity and </w:t>
      </w:r>
      <w:r w:rsidR="008C58FA">
        <w:rPr>
          <w:bCs/>
          <w:szCs w:val="22"/>
        </w:rPr>
        <w:t>mortality</w:t>
      </w:r>
      <w:r w:rsidR="00E75F45">
        <w:rPr>
          <w:bCs/>
          <w:szCs w:val="22"/>
        </w:rPr>
        <w:t xml:space="preserve">. In addition, the clinician claimed that FVC, or change in FVC, is </w:t>
      </w:r>
      <w:r w:rsidR="008C58FA">
        <w:rPr>
          <w:bCs/>
          <w:szCs w:val="22"/>
        </w:rPr>
        <w:t xml:space="preserve">a clinically important </w:t>
      </w:r>
      <w:r w:rsidR="00E75F45">
        <w:rPr>
          <w:bCs/>
          <w:szCs w:val="22"/>
        </w:rPr>
        <w:t xml:space="preserve">end point </w:t>
      </w:r>
      <w:r w:rsidR="007A6155">
        <w:rPr>
          <w:bCs/>
          <w:szCs w:val="22"/>
        </w:rPr>
        <w:t xml:space="preserve">in </w:t>
      </w:r>
      <w:r w:rsidR="00E75F45">
        <w:rPr>
          <w:bCs/>
          <w:szCs w:val="22"/>
        </w:rPr>
        <w:t>itself i</w:t>
      </w:r>
      <w:r w:rsidR="00E75F45" w:rsidRPr="00487D59">
        <w:rPr>
          <w:bCs/>
          <w:szCs w:val="22"/>
        </w:rPr>
        <w:t xml:space="preserve">n </w:t>
      </w:r>
      <w:r w:rsidR="007A6155" w:rsidRPr="00487D59">
        <w:rPr>
          <w:bCs/>
          <w:szCs w:val="22"/>
        </w:rPr>
        <w:t xml:space="preserve">monitoring whether </w:t>
      </w:r>
      <w:r w:rsidR="00E75F45" w:rsidRPr="00487D59">
        <w:rPr>
          <w:bCs/>
          <w:szCs w:val="22"/>
        </w:rPr>
        <w:t xml:space="preserve">a </w:t>
      </w:r>
      <w:r w:rsidR="007A6155" w:rsidRPr="00487D59">
        <w:rPr>
          <w:bCs/>
          <w:szCs w:val="22"/>
        </w:rPr>
        <w:t>patient’s condit</w:t>
      </w:r>
      <w:r w:rsidR="00640AEC" w:rsidRPr="00487D59">
        <w:rPr>
          <w:bCs/>
          <w:szCs w:val="22"/>
        </w:rPr>
        <w:t xml:space="preserve">ion has stabilised or </w:t>
      </w:r>
      <w:r w:rsidR="00E75F45" w:rsidRPr="00487D59">
        <w:rPr>
          <w:bCs/>
          <w:szCs w:val="22"/>
        </w:rPr>
        <w:t xml:space="preserve">has </w:t>
      </w:r>
      <w:r w:rsidR="00640AEC" w:rsidRPr="00487D59">
        <w:rPr>
          <w:bCs/>
          <w:szCs w:val="22"/>
        </w:rPr>
        <w:t>continued</w:t>
      </w:r>
      <w:r w:rsidR="007A6155" w:rsidRPr="00487D59">
        <w:rPr>
          <w:bCs/>
          <w:szCs w:val="22"/>
        </w:rPr>
        <w:t xml:space="preserve"> to progress</w:t>
      </w:r>
      <w:r w:rsidR="008C58FA" w:rsidRPr="00487D59">
        <w:rPr>
          <w:bCs/>
          <w:szCs w:val="22"/>
        </w:rPr>
        <w:t>.</w:t>
      </w:r>
      <w:r w:rsidR="007A6155" w:rsidRPr="00487D59">
        <w:rPr>
          <w:bCs/>
          <w:szCs w:val="22"/>
        </w:rPr>
        <w:t xml:space="preserve"> </w:t>
      </w:r>
      <w:r w:rsidR="00487D59">
        <w:rPr>
          <w:bCs/>
          <w:szCs w:val="22"/>
        </w:rPr>
        <w:t xml:space="preserve">The clinician also discussed the appropriateness of the modelled time horizon of 10 years to the natural history of the disease. </w:t>
      </w:r>
      <w:r w:rsidR="00E75F45" w:rsidRPr="00487D59">
        <w:rPr>
          <w:bCs/>
          <w:szCs w:val="22"/>
        </w:rPr>
        <w:t xml:space="preserve">The context in which nintedanib should be </w:t>
      </w:r>
      <w:r w:rsidR="00487D59" w:rsidRPr="00487D59">
        <w:rPr>
          <w:bCs/>
          <w:szCs w:val="22"/>
        </w:rPr>
        <w:t xml:space="preserve">responsibly </w:t>
      </w:r>
      <w:r w:rsidR="00E75F45" w:rsidRPr="00487D59">
        <w:rPr>
          <w:bCs/>
          <w:szCs w:val="22"/>
        </w:rPr>
        <w:t xml:space="preserve">prescribed for IPF was </w:t>
      </w:r>
      <w:r w:rsidR="00487D59" w:rsidRPr="00487D59">
        <w:rPr>
          <w:bCs/>
          <w:szCs w:val="22"/>
        </w:rPr>
        <w:t xml:space="preserve">addressed, including the role of a </w:t>
      </w:r>
      <w:r w:rsidR="00487D59">
        <w:rPr>
          <w:bCs/>
          <w:szCs w:val="22"/>
        </w:rPr>
        <w:t>multi</w:t>
      </w:r>
      <w:r w:rsidR="0031692C">
        <w:rPr>
          <w:bCs/>
          <w:szCs w:val="22"/>
        </w:rPr>
        <w:t>-</w:t>
      </w:r>
      <w:r w:rsidR="00487D59">
        <w:rPr>
          <w:bCs/>
          <w:szCs w:val="22"/>
        </w:rPr>
        <w:t>disciplinary care team in diagnosis</w:t>
      </w:r>
      <w:r w:rsidR="00E75F45" w:rsidRPr="00487D59">
        <w:rPr>
          <w:bCs/>
          <w:szCs w:val="22"/>
        </w:rPr>
        <w:t>.</w:t>
      </w:r>
      <w:r w:rsidR="009C3F3A">
        <w:rPr>
          <w:bCs/>
          <w:szCs w:val="22"/>
        </w:rPr>
        <w:t xml:space="preserve"> </w:t>
      </w:r>
    </w:p>
    <w:p w:rsidR="008C58FA" w:rsidRDefault="008C58FA" w:rsidP="00D73941">
      <w:pPr>
        <w:widowControl/>
        <w:ind w:left="720"/>
        <w:contextualSpacing/>
        <w:rPr>
          <w:bCs/>
          <w:szCs w:val="22"/>
        </w:rPr>
      </w:pPr>
    </w:p>
    <w:p w:rsidR="00D647AA" w:rsidRPr="00BC176A" w:rsidRDefault="00F16534" w:rsidP="00D73941">
      <w:pPr>
        <w:widowControl/>
        <w:numPr>
          <w:ilvl w:val="1"/>
          <w:numId w:val="2"/>
        </w:numPr>
        <w:contextualSpacing/>
        <w:rPr>
          <w:bCs/>
          <w:szCs w:val="22"/>
        </w:rPr>
      </w:pPr>
      <w:r w:rsidRPr="00BC176A">
        <w:rPr>
          <w:bCs/>
          <w:szCs w:val="22"/>
        </w:rPr>
        <w:t>The PBAC considered that the hearing was informative as it provided a clinical perspective on treating this disease</w:t>
      </w:r>
      <w:r w:rsidR="00783A66">
        <w:rPr>
          <w:bCs/>
          <w:szCs w:val="22"/>
        </w:rPr>
        <w:t xml:space="preserve"> for which no other treatment wa</w:t>
      </w:r>
      <w:r w:rsidR="009C3F3A" w:rsidRPr="00BC176A">
        <w:rPr>
          <w:bCs/>
          <w:szCs w:val="22"/>
        </w:rPr>
        <w:t>s currently available</w:t>
      </w:r>
      <w:r w:rsidR="00BC176A" w:rsidRPr="00BC176A">
        <w:rPr>
          <w:bCs/>
          <w:szCs w:val="22"/>
        </w:rPr>
        <w:t xml:space="preserve"> on the PBS</w:t>
      </w:r>
      <w:r w:rsidRPr="00BC176A">
        <w:rPr>
          <w:bCs/>
          <w:szCs w:val="22"/>
        </w:rPr>
        <w:t>.</w:t>
      </w:r>
    </w:p>
    <w:p w:rsidR="0020568F" w:rsidRDefault="0020568F" w:rsidP="00D73941">
      <w:pPr>
        <w:pStyle w:val="PBACHeading1"/>
        <w:numPr>
          <w:ilvl w:val="0"/>
          <w:numId w:val="0"/>
        </w:numPr>
        <w:ind w:left="720"/>
        <w:rPr>
          <w:b w:val="0"/>
          <w:i/>
        </w:rPr>
      </w:pPr>
    </w:p>
    <w:p w:rsidR="0020568F" w:rsidRPr="0020568F" w:rsidRDefault="0020568F" w:rsidP="00D73941">
      <w:pPr>
        <w:pStyle w:val="PBACHeading1"/>
        <w:numPr>
          <w:ilvl w:val="0"/>
          <w:numId w:val="0"/>
        </w:numPr>
        <w:ind w:left="720"/>
        <w:rPr>
          <w:b w:val="0"/>
          <w:i/>
        </w:rPr>
      </w:pPr>
      <w:r w:rsidRPr="00487D59">
        <w:rPr>
          <w:b w:val="0"/>
          <w:i/>
        </w:rPr>
        <w:t>For more detail on PBAC’s view, see section 7 “PBAC outcome”</w:t>
      </w:r>
    </w:p>
    <w:p w:rsidR="00F16534" w:rsidRPr="003A49F2" w:rsidRDefault="00F16534" w:rsidP="00D73941">
      <w:pPr>
        <w:widowControl/>
        <w:rPr>
          <w:bCs/>
          <w:szCs w:val="22"/>
          <w:highlight w:val="yellow"/>
        </w:rPr>
      </w:pPr>
    </w:p>
    <w:p w:rsidR="00F16534" w:rsidRPr="00E14A81" w:rsidRDefault="00F16534" w:rsidP="00D73941">
      <w:pPr>
        <w:widowControl/>
        <w:spacing w:after="200" w:line="276" w:lineRule="auto"/>
        <w:rPr>
          <w:b/>
          <w:bCs/>
          <w:szCs w:val="22"/>
        </w:rPr>
      </w:pPr>
      <w:r w:rsidRPr="00E14A81">
        <w:rPr>
          <w:b/>
          <w:bCs/>
          <w:szCs w:val="22"/>
        </w:rPr>
        <w:t>Consumer comments</w:t>
      </w:r>
    </w:p>
    <w:p w:rsidR="0062254A" w:rsidRDefault="0062254A" w:rsidP="00D73941">
      <w:pPr>
        <w:pStyle w:val="ListParagraph"/>
        <w:widowControl/>
        <w:numPr>
          <w:ilvl w:val="1"/>
          <w:numId w:val="2"/>
        </w:numPr>
        <w:rPr>
          <w:szCs w:val="22"/>
        </w:rPr>
      </w:pPr>
      <w:r>
        <w:rPr>
          <w:szCs w:val="22"/>
        </w:rPr>
        <w:t xml:space="preserve">The PBAC noted and welcomed the input from individuals (3) and organisations (1) via the Consumer Comments facility on the PBS website. The comments emphasised the benefits of nintedanib including an increase in life expectancy and quality of life. </w:t>
      </w:r>
    </w:p>
    <w:p w:rsidR="0062254A" w:rsidRPr="00BB7EC3" w:rsidRDefault="0062254A" w:rsidP="00D73941">
      <w:pPr>
        <w:pStyle w:val="ListParagraph"/>
        <w:widowControl/>
        <w:rPr>
          <w:szCs w:val="22"/>
        </w:rPr>
      </w:pPr>
    </w:p>
    <w:p w:rsidR="00F16534" w:rsidRPr="009C3F3A" w:rsidRDefault="0062254A" w:rsidP="00D73941">
      <w:pPr>
        <w:widowControl/>
        <w:numPr>
          <w:ilvl w:val="1"/>
          <w:numId w:val="2"/>
        </w:numPr>
        <w:contextualSpacing/>
        <w:rPr>
          <w:bCs/>
          <w:szCs w:val="22"/>
        </w:rPr>
      </w:pPr>
      <w:r>
        <w:rPr>
          <w:bCs/>
          <w:szCs w:val="22"/>
        </w:rPr>
        <w:t>The PBAC noted the advice received from</w:t>
      </w:r>
      <w:r w:rsidR="00374B01" w:rsidRPr="009C3F3A">
        <w:rPr>
          <w:bCs/>
          <w:szCs w:val="22"/>
        </w:rPr>
        <w:t xml:space="preserve"> </w:t>
      </w:r>
      <w:r>
        <w:rPr>
          <w:bCs/>
          <w:szCs w:val="22"/>
        </w:rPr>
        <w:t xml:space="preserve">the </w:t>
      </w:r>
      <w:r w:rsidR="00374B01" w:rsidRPr="009C3F3A">
        <w:rPr>
          <w:bCs/>
          <w:szCs w:val="22"/>
        </w:rPr>
        <w:t>Australian IPF Registry Steering Committee</w:t>
      </w:r>
      <w:r w:rsidR="00F16534" w:rsidRPr="009C3F3A">
        <w:rPr>
          <w:bCs/>
          <w:szCs w:val="22"/>
        </w:rPr>
        <w:t xml:space="preserve"> </w:t>
      </w:r>
      <w:r w:rsidR="00130D2B">
        <w:rPr>
          <w:bCs/>
          <w:szCs w:val="22"/>
        </w:rPr>
        <w:t>that</w:t>
      </w:r>
      <w:r w:rsidR="00130D2B" w:rsidRPr="009C3F3A">
        <w:rPr>
          <w:bCs/>
          <w:szCs w:val="22"/>
        </w:rPr>
        <w:t xml:space="preserve"> </w:t>
      </w:r>
      <w:r>
        <w:rPr>
          <w:bCs/>
          <w:szCs w:val="22"/>
        </w:rPr>
        <w:t xml:space="preserve">stressed </w:t>
      </w:r>
      <w:r w:rsidR="00374B01" w:rsidRPr="009C3F3A">
        <w:rPr>
          <w:bCs/>
          <w:szCs w:val="22"/>
        </w:rPr>
        <w:t>the clinical need for a medication for IPF</w:t>
      </w:r>
      <w:r w:rsidR="00F16534" w:rsidRPr="009C3F3A">
        <w:rPr>
          <w:bCs/>
          <w:szCs w:val="22"/>
        </w:rPr>
        <w:t>.</w:t>
      </w:r>
      <w:r w:rsidR="00374B01" w:rsidRPr="009C3F3A">
        <w:rPr>
          <w:bCs/>
          <w:szCs w:val="22"/>
        </w:rPr>
        <w:t xml:space="preserve"> The organisation indicated that it is confident that nintedanib is proved to successfully slow down the progression of IPF and may improve </w:t>
      </w:r>
      <w:r w:rsidR="001D0A5E">
        <w:rPr>
          <w:bCs/>
          <w:szCs w:val="22"/>
        </w:rPr>
        <w:t>the quality and length of life.</w:t>
      </w:r>
      <w:r w:rsidR="00374B01" w:rsidRPr="009C3F3A">
        <w:rPr>
          <w:bCs/>
          <w:szCs w:val="22"/>
        </w:rPr>
        <w:t xml:space="preserve"> The PBAC specifically noted the advice that prescribers </w:t>
      </w:r>
      <w:r w:rsidR="001B217A" w:rsidRPr="009C3F3A">
        <w:rPr>
          <w:bCs/>
          <w:szCs w:val="22"/>
        </w:rPr>
        <w:t xml:space="preserve">should be aware of </w:t>
      </w:r>
      <w:r w:rsidR="00374B01" w:rsidRPr="009C3F3A">
        <w:rPr>
          <w:bCs/>
          <w:szCs w:val="22"/>
        </w:rPr>
        <w:t xml:space="preserve">the </w:t>
      </w:r>
      <w:r w:rsidR="001B217A" w:rsidRPr="009C3F3A">
        <w:rPr>
          <w:bCs/>
          <w:szCs w:val="22"/>
        </w:rPr>
        <w:t xml:space="preserve">criteria for prescribing, </w:t>
      </w:r>
      <w:r w:rsidR="00374B01" w:rsidRPr="009C3F3A">
        <w:rPr>
          <w:bCs/>
          <w:szCs w:val="22"/>
        </w:rPr>
        <w:t xml:space="preserve">the </w:t>
      </w:r>
      <w:r w:rsidR="001B217A" w:rsidRPr="009C3F3A">
        <w:rPr>
          <w:bCs/>
          <w:szCs w:val="22"/>
        </w:rPr>
        <w:t xml:space="preserve">side effects </w:t>
      </w:r>
      <w:r w:rsidR="00374B01" w:rsidRPr="009C3F3A">
        <w:rPr>
          <w:bCs/>
          <w:szCs w:val="22"/>
        </w:rPr>
        <w:t xml:space="preserve">of the drug </w:t>
      </w:r>
      <w:r w:rsidR="001B217A" w:rsidRPr="009C3F3A">
        <w:rPr>
          <w:bCs/>
          <w:szCs w:val="22"/>
        </w:rPr>
        <w:t xml:space="preserve">and ideally be experienced with supervising use of </w:t>
      </w:r>
      <w:r w:rsidR="00374B01" w:rsidRPr="009C3F3A">
        <w:rPr>
          <w:bCs/>
          <w:szCs w:val="22"/>
        </w:rPr>
        <w:t>nintedanib</w:t>
      </w:r>
      <w:r w:rsidR="001B217A" w:rsidRPr="009C3F3A">
        <w:rPr>
          <w:bCs/>
          <w:szCs w:val="22"/>
        </w:rPr>
        <w:t xml:space="preserve">. </w:t>
      </w:r>
      <w:r w:rsidR="00374B01" w:rsidRPr="009C3F3A">
        <w:rPr>
          <w:bCs/>
          <w:szCs w:val="22"/>
        </w:rPr>
        <w:t>The Steering Committee recommended that a</w:t>
      </w:r>
      <w:r w:rsidR="001B217A" w:rsidRPr="009C3F3A">
        <w:rPr>
          <w:bCs/>
          <w:szCs w:val="22"/>
        </w:rPr>
        <w:t>uthority to prescribe nintedanib could be applied for</w:t>
      </w:r>
      <w:r w:rsidR="00B25BC6">
        <w:rPr>
          <w:bCs/>
          <w:szCs w:val="22"/>
        </w:rPr>
        <w:t>,</w:t>
      </w:r>
      <w:r w:rsidR="001B217A" w:rsidRPr="009C3F3A">
        <w:rPr>
          <w:bCs/>
          <w:szCs w:val="22"/>
        </w:rPr>
        <w:t xml:space="preserve"> and prescription be coordinated through only those hospitals regarded as having expertise in IPF diagnosis and management. </w:t>
      </w:r>
      <w:r w:rsidR="00F16534" w:rsidRPr="009C3F3A">
        <w:rPr>
          <w:bCs/>
          <w:szCs w:val="22"/>
        </w:rPr>
        <w:t>The PBAC noted that this advice was supportive of the evidence provided in the submission.</w:t>
      </w:r>
    </w:p>
    <w:p w:rsidR="00F16534" w:rsidRPr="003A49F2" w:rsidRDefault="00F16534" w:rsidP="00D73941">
      <w:pPr>
        <w:widowControl/>
        <w:contextualSpacing/>
        <w:rPr>
          <w:bCs/>
          <w:szCs w:val="22"/>
          <w:highlight w:val="yellow"/>
        </w:rPr>
      </w:pPr>
    </w:p>
    <w:p w:rsidR="0020568F" w:rsidRPr="0020568F" w:rsidRDefault="0020568F" w:rsidP="00D73941">
      <w:pPr>
        <w:pStyle w:val="PBACHeading1"/>
        <w:numPr>
          <w:ilvl w:val="0"/>
          <w:numId w:val="0"/>
        </w:numPr>
        <w:ind w:left="720"/>
        <w:rPr>
          <w:b w:val="0"/>
          <w:i/>
        </w:rPr>
      </w:pPr>
      <w:r w:rsidRPr="00487D59">
        <w:rPr>
          <w:b w:val="0"/>
          <w:i/>
        </w:rPr>
        <w:t>For more detail on PBAC’s view, see section 7 “PBAC outcome”</w:t>
      </w:r>
    </w:p>
    <w:p w:rsidR="0020568F" w:rsidRDefault="0020568F" w:rsidP="00D73941">
      <w:pPr>
        <w:pStyle w:val="Heading2"/>
        <w:keepNext/>
        <w:widowControl/>
        <w:rPr>
          <w:i/>
        </w:rPr>
      </w:pPr>
    </w:p>
    <w:p w:rsidR="000950D9" w:rsidRPr="00E14A81" w:rsidRDefault="000950D9" w:rsidP="00D73941">
      <w:pPr>
        <w:pStyle w:val="Heading2"/>
        <w:keepNext/>
        <w:widowControl/>
      </w:pPr>
      <w:r w:rsidRPr="00E14A81">
        <w:t>Clinical trials</w:t>
      </w:r>
      <w:bookmarkEnd w:id="8"/>
    </w:p>
    <w:p w:rsidR="000950D9" w:rsidRPr="00882085" w:rsidRDefault="000950D9" w:rsidP="00D73941">
      <w:pPr>
        <w:keepNext/>
        <w:widowControl/>
        <w:rPr>
          <w:szCs w:val="22"/>
        </w:rPr>
      </w:pPr>
    </w:p>
    <w:p w:rsidR="000950D9" w:rsidRPr="00B50DB8" w:rsidRDefault="000950D9" w:rsidP="00D73941">
      <w:pPr>
        <w:pStyle w:val="ListParagraph"/>
        <w:widowControl/>
        <w:numPr>
          <w:ilvl w:val="1"/>
          <w:numId w:val="2"/>
        </w:numPr>
        <w:rPr>
          <w:szCs w:val="22"/>
        </w:rPr>
      </w:pPr>
      <w:r w:rsidRPr="00862502">
        <w:t xml:space="preserve">The submission </w:t>
      </w:r>
      <w:r w:rsidR="004D0580">
        <w:t>was</w:t>
      </w:r>
      <w:r w:rsidRPr="00862502">
        <w:t xml:space="preserve"> based on </w:t>
      </w:r>
      <w:r>
        <w:t>three</w:t>
      </w:r>
      <w:r w:rsidRPr="00862502">
        <w:t xml:space="preserve"> head-to-head </w:t>
      </w:r>
      <w:r>
        <w:t xml:space="preserve">randomised </w:t>
      </w:r>
      <w:r w:rsidRPr="00862502">
        <w:t>trial</w:t>
      </w:r>
      <w:r>
        <w:t>s</w:t>
      </w:r>
      <w:r w:rsidR="00130D2B">
        <w:t>,</w:t>
      </w:r>
      <w:r w:rsidRPr="00862502">
        <w:t xml:space="preserve"> </w:t>
      </w:r>
      <w:r w:rsidR="00403894">
        <w:t>which compared</w:t>
      </w:r>
      <w:r w:rsidRPr="00862502">
        <w:t xml:space="preserve"> </w:t>
      </w:r>
      <w:r>
        <w:t>nintedanib</w:t>
      </w:r>
      <w:r w:rsidRPr="00862502">
        <w:t xml:space="preserve"> to </w:t>
      </w:r>
      <w:r w:rsidR="00740D87">
        <w:t>placebo</w:t>
      </w:r>
      <w:r>
        <w:t>: Trial 30 (n=432), Trial 32 (n=515) and Trial 34 (n=551)</w:t>
      </w:r>
      <w:r w:rsidRPr="00862502">
        <w:t>.</w:t>
      </w:r>
    </w:p>
    <w:p w:rsidR="000950D9" w:rsidRPr="00862502" w:rsidRDefault="000950D9" w:rsidP="00D73941">
      <w:pPr>
        <w:widowControl/>
        <w:rPr>
          <w:szCs w:val="22"/>
        </w:rPr>
      </w:pPr>
    </w:p>
    <w:p w:rsidR="000950D9" w:rsidRPr="00B50DB8" w:rsidRDefault="000950D9" w:rsidP="00D73941">
      <w:pPr>
        <w:pStyle w:val="ListParagraph"/>
        <w:widowControl/>
        <w:numPr>
          <w:ilvl w:val="1"/>
          <w:numId w:val="2"/>
        </w:numPr>
        <w:rPr>
          <w:szCs w:val="22"/>
        </w:rPr>
      </w:pPr>
      <w:r w:rsidRPr="00B50DB8">
        <w:rPr>
          <w:szCs w:val="22"/>
        </w:rPr>
        <w:t xml:space="preserve">Details of the trials presented in the submission are provided in the </w:t>
      </w:r>
      <w:r w:rsidR="00B25BC6">
        <w:rPr>
          <w:szCs w:val="22"/>
        </w:rPr>
        <w:t>following</w:t>
      </w:r>
      <w:r w:rsidRPr="00B50DB8">
        <w:rPr>
          <w:szCs w:val="22"/>
        </w:rPr>
        <w:t xml:space="preserve"> </w:t>
      </w:r>
      <w:r w:rsidR="00B25BC6">
        <w:rPr>
          <w:szCs w:val="22"/>
        </w:rPr>
        <w:t>table.</w:t>
      </w:r>
    </w:p>
    <w:p w:rsidR="000950D9" w:rsidRPr="00862502" w:rsidRDefault="000950D9" w:rsidP="00D73941">
      <w:pPr>
        <w:widowControl/>
        <w:rPr>
          <w:szCs w:val="22"/>
        </w:rPr>
      </w:pPr>
    </w:p>
    <w:p w:rsidR="000950D9" w:rsidRDefault="000950D9" w:rsidP="00B25BC6">
      <w:pPr>
        <w:widowControl/>
        <w:ind w:firstLine="720"/>
        <w:rPr>
          <w:rStyle w:val="CommentReference"/>
        </w:rPr>
      </w:pPr>
      <w:r w:rsidRPr="000812CA">
        <w:rPr>
          <w:rStyle w:val="CommentReference"/>
        </w:rPr>
        <w:t>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09"/>
        <w:gridCol w:w="5668"/>
        <w:gridCol w:w="1968"/>
      </w:tblGrid>
      <w:tr w:rsidR="000950D9" w:rsidRPr="004E2ADC" w:rsidTr="006F05DD">
        <w:tc>
          <w:tcPr>
            <w:tcW w:w="425" w:type="pct"/>
          </w:tcPr>
          <w:p w:rsidR="000950D9" w:rsidRPr="004E2ADC" w:rsidRDefault="000950D9" w:rsidP="00B25BC6">
            <w:pPr>
              <w:widowControl/>
              <w:jc w:val="left"/>
              <w:rPr>
                <w:rFonts w:ascii="Arial Narrow" w:hAnsi="Arial Narrow"/>
                <w:b/>
                <w:sz w:val="20"/>
              </w:rPr>
            </w:pPr>
            <w:r w:rsidRPr="004E2ADC">
              <w:rPr>
                <w:rFonts w:ascii="Arial Narrow" w:hAnsi="Arial Narrow"/>
                <w:b/>
                <w:sz w:val="20"/>
              </w:rPr>
              <w:t>Trial ID</w:t>
            </w:r>
          </w:p>
        </w:tc>
        <w:tc>
          <w:tcPr>
            <w:tcW w:w="3396" w:type="pct"/>
          </w:tcPr>
          <w:p w:rsidR="000950D9" w:rsidRPr="004E2ADC" w:rsidRDefault="000950D9" w:rsidP="00B25BC6">
            <w:pPr>
              <w:widowControl/>
              <w:jc w:val="center"/>
              <w:rPr>
                <w:rFonts w:ascii="Arial Narrow" w:hAnsi="Arial Narrow"/>
                <w:b/>
                <w:sz w:val="20"/>
              </w:rPr>
            </w:pPr>
            <w:r w:rsidRPr="004E2ADC">
              <w:rPr>
                <w:rFonts w:ascii="Arial Narrow" w:hAnsi="Arial Narrow"/>
                <w:b/>
                <w:sz w:val="20"/>
              </w:rPr>
              <w:t>Protocol title/ Publication title</w:t>
            </w:r>
          </w:p>
        </w:tc>
        <w:tc>
          <w:tcPr>
            <w:tcW w:w="1179" w:type="pct"/>
          </w:tcPr>
          <w:p w:rsidR="000950D9" w:rsidRPr="004E2ADC" w:rsidRDefault="000950D9" w:rsidP="00B25BC6">
            <w:pPr>
              <w:widowControl/>
              <w:jc w:val="center"/>
              <w:rPr>
                <w:rFonts w:ascii="Arial Narrow" w:hAnsi="Arial Narrow"/>
                <w:b/>
                <w:sz w:val="20"/>
              </w:rPr>
            </w:pPr>
            <w:r w:rsidRPr="004E2ADC">
              <w:rPr>
                <w:rFonts w:ascii="Arial Narrow" w:hAnsi="Arial Narrow"/>
                <w:b/>
                <w:sz w:val="20"/>
              </w:rPr>
              <w:t>Publication citation</w:t>
            </w:r>
          </w:p>
        </w:tc>
      </w:tr>
      <w:tr w:rsidR="000950D9" w:rsidRPr="004E2ADC" w:rsidTr="000A4ECE">
        <w:tc>
          <w:tcPr>
            <w:tcW w:w="5000" w:type="pct"/>
            <w:gridSpan w:val="3"/>
          </w:tcPr>
          <w:p w:rsidR="000950D9" w:rsidRPr="004E2ADC" w:rsidRDefault="00F16534" w:rsidP="00B25BC6">
            <w:pPr>
              <w:widowControl/>
              <w:jc w:val="left"/>
              <w:rPr>
                <w:rFonts w:ascii="Arial Narrow" w:hAnsi="Arial Narrow"/>
                <w:b/>
                <w:sz w:val="20"/>
              </w:rPr>
            </w:pPr>
            <w:r>
              <w:rPr>
                <w:rFonts w:ascii="Arial Narrow" w:hAnsi="Arial Narrow"/>
                <w:b/>
                <w:sz w:val="20"/>
              </w:rPr>
              <w:t xml:space="preserve">Direct randomised </w:t>
            </w:r>
            <w:r w:rsidR="000950D9">
              <w:rPr>
                <w:rFonts w:ascii="Arial Narrow" w:hAnsi="Arial Narrow"/>
                <w:b/>
                <w:sz w:val="20"/>
              </w:rPr>
              <w:t>trials</w:t>
            </w:r>
          </w:p>
        </w:tc>
      </w:tr>
      <w:tr w:rsidR="000950D9" w:rsidRPr="004E2ADC" w:rsidTr="006F05DD">
        <w:trPr>
          <w:trHeight w:val="167"/>
        </w:trPr>
        <w:tc>
          <w:tcPr>
            <w:tcW w:w="425" w:type="pct"/>
            <w:vMerge w:val="restart"/>
          </w:tcPr>
          <w:p w:rsidR="000950D9" w:rsidRPr="004E2ADC" w:rsidRDefault="000950D9" w:rsidP="00B25BC6">
            <w:pPr>
              <w:widowControl/>
              <w:jc w:val="left"/>
              <w:rPr>
                <w:rFonts w:ascii="Arial Narrow" w:hAnsi="Arial Narrow"/>
                <w:sz w:val="20"/>
              </w:rPr>
            </w:pPr>
            <w:r>
              <w:rPr>
                <w:rFonts w:ascii="Arial Narrow" w:hAnsi="Arial Narrow"/>
                <w:sz w:val="20"/>
              </w:rPr>
              <w:t>Trial 30</w:t>
            </w:r>
          </w:p>
        </w:tc>
        <w:tc>
          <w:tcPr>
            <w:tcW w:w="3396" w:type="pct"/>
            <w:tcBorders>
              <w:bottom w:val="nil"/>
            </w:tcBorders>
          </w:tcPr>
          <w:p w:rsidR="000950D9" w:rsidRDefault="000950D9" w:rsidP="00B25BC6">
            <w:pPr>
              <w:widowControl/>
              <w:jc w:val="left"/>
              <w:rPr>
                <w:rFonts w:ascii="Arial Narrow" w:hAnsi="Arial Narrow"/>
                <w:sz w:val="20"/>
              </w:rPr>
            </w:pPr>
            <w:r>
              <w:rPr>
                <w:rFonts w:ascii="Arial Narrow" w:hAnsi="Arial Narrow"/>
                <w:sz w:val="20"/>
              </w:rPr>
              <w:t xml:space="preserve">A 52 week, double blind, randomized, placebo-controlled trial evaluating the effect of BIBF 1120 administered at oral doses of 50mg </w:t>
            </w:r>
            <w:proofErr w:type="spellStart"/>
            <w:r>
              <w:rPr>
                <w:rFonts w:ascii="Arial Narrow" w:hAnsi="Arial Narrow"/>
                <w:sz w:val="20"/>
              </w:rPr>
              <w:t>qd</w:t>
            </w:r>
            <w:proofErr w:type="spellEnd"/>
            <w:r>
              <w:rPr>
                <w:rFonts w:ascii="Arial Narrow" w:hAnsi="Arial Narrow"/>
                <w:sz w:val="20"/>
              </w:rPr>
              <w:t xml:space="preserve">, 50mg bid, 100mg bid and 150mg bid on Forced Vital Capacity decline during one year, in patients with Idiopathic Pulmonary Fibrosis, with optional active treatment extension until last patient out.  </w:t>
            </w:r>
          </w:p>
          <w:p w:rsidR="000950D9" w:rsidRPr="00804B4A" w:rsidRDefault="000950D9" w:rsidP="00B25BC6">
            <w:pPr>
              <w:widowControl/>
              <w:jc w:val="left"/>
              <w:rPr>
                <w:rFonts w:ascii="Arial Narrow" w:hAnsi="Arial Narrow"/>
                <w:sz w:val="20"/>
              </w:rPr>
            </w:pPr>
          </w:p>
        </w:tc>
        <w:tc>
          <w:tcPr>
            <w:tcW w:w="1179" w:type="pct"/>
            <w:tcBorders>
              <w:bottom w:val="nil"/>
            </w:tcBorders>
          </w:tcPr>
          <w:p w:rsidR="000950D9" w:rsidRPr="00804B4A" w:rsidRDefault="000950D9" w:rsidP="00B25BC6">
            <w:pPr>
              <w:widowControl/>
              <w:jc w:val="left"/>
              <w:rPr>
                <w:rFonts w:ascii="Arial Narrow" w:hAnsi="Arial Narrow"/>
                <w:sz w:val="20"/>
              </w:rPr>
            </w:pPr>
            <w:r>
              <w:rPr>
                <w:rFonts w:ascii="Arial Narrow" w:hAnsi="Arial Narrow"/>
                <w:sz w:val="20"/>
              </w:rPr>
              <w:t>25 February 2011</w:t>
            </w:r>
          </w:p>
        </w:tc>
      </w:tr>
      <w:tr w:rsidR="000950D9" w:rsidRPr="004E2ADC" w:rsidTr="006F05DD">
        <w:trPr>
          <w:trHeight w:val="450"/>
        </w:trPr>
        <w:tc>
          <w:tcPr>
            <w:tcW w:w="425" w:type="pct"/>
            <w:vMerge/>
          </w:tcPr>
          <w:p w:rsidR="000950D9" w:rsidRDefault="000950D9" w:rsidP="00B25BC6">
            <w:pPr>
              <w:widowControl/>
              <w:jc w:val="left"/>
              <w:rPr>
                <w:rFonts w:ascii="Arial Narrow" w:hAnsi="Arial Narrow"/>
                <w:sz w:val="20"/>
              </w:rPr>
            </w:pPr>
          </w:p>
        </w:tc>
        <w:tc>
          <w:tcPr>
            <w:tcW w:w="3396" w:type="pct"/>
            <w:tcBorders>
              <w:top w:val="nil"/>
            </w:tcBorders>
          </w:tcPr>
          <w:p w:rsidR="000950D9" w:rsidRDefault="000950D9" w:rsidP="00B25BC6">
            <w:pPr>
              <w:widowControl/>
              <w:jc w:val="left"/>
              <w:rPr>
                <w:rFonts w:ascii="Arial Narrow" w:hAnsi="Arial Narrow"/>
                <w:sz w:val="20"/>
              </w:rPr>
            </w:pPr>
            <w:proofErr w:type="spellStart"/>
            <w:r w:rsidRPr="00804B4A">
              <w:rPr>
                <w:rFonts w:ascii="Arial Narrow" w:hAnsi="Arial Narrow"/>
                <w:sz w:val="20"/>
              </w:rPr>
              <w:t>Richeldi</w:t>
            </w:r>
            <w:proofErr w:type="spellEnd"/>
            <w:r w:rsidRPr="00804B4A">
              <w:rPr>
                <w:rFonts w:ascii="Arial Narrow" w:hAnsi="Arial Narrow"/>
                <w:sz w:val="20"/>
              </w:rPr>
              <w:t xml:space="preserve"> L, </w:t>
            </w:r>
            <w:proofErr w:type="spellStart"/>
            <w:r w:rsidRPr="00804B4A">
              <w:rPr>
                <w:rFonts w:ascii="Arial Narrow" w:hAnsi="Arial Narrow"/>
                <w:sz w:val="20"/>
              </w:rPr>
              <w:t>Costabel</w:t>
            </w:r>
            <w:proofErr w:type="spellEnd"/>
            <w:r w:rsidRPr="00804B4A">
              <w:rPr>
                <w:rFonts w:ascii="Arial Narrow" w:hAnsi="Arial Narrow"/>
                <w:sz w:val="20"/>
              </w:rPr>
              <w:t xml:space="preserve"> U, Selman M, Kim DS, </w:t>
            </w:r>
            <w:proofErr w:type="spellStart"/>
            <w:r w:rsidRPr="00804B4A">
              <w:rPr>
                <w:rFonts w:ascii="Arial Narrow" w:hAnsi="Arial Narrow"/>
                <w:sz w:val="20"/>
              </w:rPr>
              <w:t>Hansell</w:t>
            </w:r>
            <w:proofErr w:type="spellEnd"/>
            <w:r w:rsidRPr="00804B4A">
              <w:rPr>
                <w:rFonts w:ascii="Arial Narrow" w:hAnsi="Arial Narrow"/>
                <w:sz w:val="20"/>
              </w:rPr>
              <w:t xml:space="preserve"> DM, Nicholson AG, Brown KK, Flaherty KR, Noble PW, Raghu G, </w:t>
            </w:r>
            <w:proofErr w:type="spellStart"/>
            <w:r w:rsidRPr="00804B4A">
              <w:rPr>
                <w:rFonts w:ascii="Arial Narrow" w:hAnsi="Arial Narrow"/>
                <w:sz w:val="20"/>
              </w:rPr>
              <w:t>Brun</w:t>
            </w:r>
            <w:proofErr w:type="spellEnd"/>
            <w:r w:rsidRPr="00804B4A">
              <w:rPr>
                <w:rFonts w:ascii="Arial Narrow" w:hAnsi="Arial Narrow"/>
                <w:sz w:val="20"/>
              </w:rPr>
              <w:t xml:space="preserve"> M, Gupta A, </w:t>
            </w:r>
            <w:proofErr w:type="spellStart"/>
            <w:r w:rsidRPr="00804B4A">
              <w:rPr>
                <w:rFonts w:ascii="Arial Narrow" w:hAnsi="Arial Narrow"/>
                <w:sz w:val="20"/>
              </w:rPr>
              <w:t>Juhel</w:t>
            </w:r>
            <w:proofErr w:type="spellEnd"/>
            <w:r w:rsidRPr="00804B4A">
              <w:rPr>
                <w:rFonts w:ascii="Arial Narrow" w:hAnsi="Arial Narrow"/>
                <w:sz w:val="20"/>
              </w:rPr>
              <w:t xml:space="preserve"> N, </w:t>
            </w:r>
            <w:proofErr w:type="spellStart"/>
            <w:r w:rsidRPr="00804B4A">
              <w:rPr>
                <w:rFonts w:ascii="Arial Narrow" w:hAnsi="Arial Narrow"/>
                <w:sz w:val="20"/>
              </w:rPr>
              <w:t>Klüglich</w:t>
            </w:r>
            <w:proofErr w:type="spellEnd"/>
            <w:r w:rsidRPr="00804B4A">
              <w:rPr>
                <w:rFonts w:ascii="Arial Narrow" w:hAnsi="Arial Narrow"/>
                <w:sz w:val="20"/>
              </w:rPr>
              <w:t xml:space="preserve"> M, du Bois RM.</w:t>
            </w:r>
            <w:r>
              <w:rPr>
                <w:rFonts w:ascii="Arial Narrow" w:hAnsi="Arial Narrow"/>
                <w:sz w:val="20"/>
              </w:rPr>
              <w:t xml:space="preserve">  Efficacy of a tyrosine Kinase Inhibitor in Idiopathic Pulmonary Fibrosis</w:t>
            </w:r>
          </w:p>
        </w:tc>
        <w:tc>
          <w:tcPr>
            <w:tcW w:w="1179" w:type="pct"/>
            <w:tcBorders>
              <w:top w:val="nil"/>
            </w:tcBorders>
          </w:tcPr>
          <w:p w:rsidR="000950D9" w:rsidRPr="00804B4A" w:rsidRDefault="000950D9" w:rsidP="00B25BC6">
            <w:pPr>
              <w:widowControl/>
              <w:jc w:val="left"/>
              <w:rPr>
                <w:rFonts w:ascii="Arial Narrow" w:hAnsi="Arial Narrow"/>
                <w:sz w:val="20"/>
              </w:rPr>
            </w:pPr>
            <w:r>
              <w:rPr>
                <w:rFonts w:ascii="Arial Narrow" w:hAnsi="Arial Narrow"/>
                <w:i/>
                <w:sz w:val="20"/>
              </w:rPr>
              <w:t xml:space="preserve">The New England Journal of Medicine. </w:t>
            </w:r>
            <w:r>
              <w:rPr>
                <w:rFonts w:ascii="Arial Narrow" w:hAnsi="Arial Narrow"/>
                <w:sz w:val="20"/>
              </w:rPr>
              <w:t>2011; 365 (12): 1079-1087</w:t>
            </w:r>
          </w:p>
        </w:tc>
      </w:tr>
      <w:tr w:rsidR="000950D9" w:rsidRPr="004E2ADC" w:rsidTr="006F05DD">
        <w:trPr>
          <w:trHeight w:val="70"/>
        </w:trPr>
        <w:tc>
          <w:tcPr>
            <w:tcW w:w="425" w:type="pct"/>
            <w:vMerge w:val="restart"/>
          </w:tcPr>
          <w:p w:rsidR="000950D9" w:rsidRPr="004E2ADC" w:rsidRDefault="000950D9" w:rsidP="00B25BC6">
            <w:pPr>
              <w:widowControl/>
              <w:jc w:val="left"/>
              <w:rPr>
                <w:rFonts w:ascii="Arial Narrow" w:hAnsi="Arial Narrow"/>
                <w:sz w:val="20"/>
              </w:rPr>
            </w:pPr>
            <w:r>
              <w:rPr>
                <w:rFonts w:ascii="Arial Narrow" w:hAnsi="Arial Narrow"/>
                <w:sz w:val="20"/>
              </w:rPr>
              <w:t>Trial 32</w:t>
            </w:r>
          </w:p>
        </w:tc>
        <w:tc>
          <w:tcPr>
            <w:tcW w:w="3396" w:type="pct"/>
            <w:tcBorders>
              <w:bottom w:val="nil"/>
            </w:tcBorders>
          </w:tcPr>
          <w:p w:rsidR="000950D9" w:rsidRPr="00481193" w:rsidRDefault="000950D9" w:rsidP="00B25BC6">
            <w:pPr>
              <w:widowControl/>
              <w:jc w:val="left"/>
              <w:rPr>
                <w:rFonts w:ascii="Arial Narrow" w:hAnsi="Arial Narrow"/>
                <w:sz w:val="20"/>
              </w:rPr>
            </w:pPr>
            <w:r w:rsidRPr="00481193">
              <w:rPr>
                <w:rFonts w:ascii="Arial Narrow" w:hAnsi="Arial Narrow"/>
                <w:sz w:val="20"/>
              </w:rPr>
              <w:t xml:space="preserve">A 52 </w:t>
            </w:r>
            <w:r>
              <w:rPr>
                <w:rFonts w:ascii="Arial Narrow" w:hAnsi="Arial Narrow"/>
                <w:sz w:val="20"/>
              </w:rPr>
              <w:t>weeks, double blind, randomized, placebo-controlled trial evaluating the effect of oral BIBF 1120, 150mg twice daily, on annual Forced Vital Capacity decline, in patients with Idiopathic Pulmonary Fibrosis (IPF)</w:t>
            </w:r>
          </w:p>
          <w:p w:rsidR="000950D9" w:rsidRPr="00481193" w:rsidRDefault="000950D9" w:rsidP="00B25BC6">
            <w:pPr>
              <w:widowControl/>
              <w:jc w:val="left"/>
              <w:rPr>
                <w:rFonts w:ascii="Arial Narrow" w:hAnsi="Arial Narrow"/>
                <w:sz w:val="20"/>
              </w:rPr>
            </w:pPr>
          </w:p>
        </w:tc>
        <w:tc>
          <w:tcPr>
            <w:tcW w:w="1179" w:type="pct"/>
            <w:tcBorders>
              <w:bottom w:val="nil"/>
            </w:tcBorders>
          </w:tcPr>
          <w:p w:rsidR="000950D9" w:rsidRPr="00481193" w:rsidRDefault="000950D9" w:rsidP="00B25BC6">
            <w:pPr>
              <w:widowControl/>
              <w:jc w:val="left"/>
              <w:rPr>
                <w:rFonts w:ascii="Arial Narrow" w:hAnsi="Arial Narrow"/>
                <w:sz w:val="20"/>
              </w:rPr>
            </w:pPr>
            <w:r>
              <w:rPr>
                <w:rFonts w:ascii="Arial Narrow" w:hAnsi="Arial Narrow"/>
                <w:sz w:val="20"/>
              </w:rPr>
              <w:t xml:space="preserve">08 April </w:t>
            </w:r>
            <w:r w:rsidRPr="00481193">
              <w:rPr>
                <w:rFonts w:ascii="Arial Narrow" w:hAnsi="Arial Narrow"/>
                <w:sz w:val="20"/>
              </w:rPr>
              <w:t>2014</w:t>
            </w:r>
          </w:p>
        </w:tc>
      </w:tr>
      <w:tr w:rsidR="000950D9" w:rsidRPr="004E2ADC" w:rsidTr="006F05DD">
        <w:trPr>
          <w:trHeight w:val="349"/>
        </w:trPr>
        <w:tc>
          <w:tcPr>
            <w:tcW w:w="425" w:type="pct"/>
            <w:vMerge/>
          </w:tcPr>
          <w:p w:rsidR="000950D9" w:rsidRPr="004E2ADC" w:rsidRDefault="000950D9" w:rsidP="00B25BC6">
            <w:pPr>
              <w:widowControl/>
              <w:jc w:val="left"/>
              <w:rPr>
                <w:rFonts w:ascii="Arial Narrow" w:hAnsi="Arial Narrow"/>
                <w:sz w:val="20"/>
              </w:rPr>
            </w:pPr>
          </w:p>
        </w:tc>
        <w:tc>
          <w:tcPr>
            <w:tcW w:w="3396" w:type="pct"/>
            <w:tcBorders>
              <w:top w:val="nil"/>
              <w:bottom w:val="nil"/>
            </w:tcBorders>
          </w:tcPr>
          <w:p w:rsidR="000950D9" w:rsidRDefault="000950D9" w:rsidP="00B25BC6">
            <w:pPr>
              <w:widowControl/>
              <w:jc w:val="left"/>
              <w:rPr>
                <w:rFonts w:ascii="Arial Narrow" w:hAnsi="Arial Narrow"/>
                <w:sz w:val="20"/>
              </w:rPr>
            </w:pPr>
            <w:proofErr w:type="spellStart"/>
            <w:r w:rsidRPr="00481193">
              <w:rPr>
                <w:rFonts w:ascii="Arial Narrow" w:hAnsi="Arial Narrow"/>
                <w:sz w:val="20"/>
              </w:rPr>
              <w:t>Richeldi</w:t>
            </w:r>
            <w:proofErr w:type="spellEnd"/>
            <w:r w:rsidRPr="00481193">
              <w:rPr>
                <w:rFonts w:ascii="Arial Narrow" w:hAnsi="Arial Narrow"/>
                <w:sz w:val="20"/>
              </w:rPr>
              <w:t xml:space="preserve"> L, </w:t>
            </w:r>
            <w:proofErr w:type="spellStart"/>
            <w:r w:rsidRPr="00481193">
              <w:rPr>
                <w:rFonts w:ascii="Arial Narrow" w:hAnsi="Arial Narrow"/>
                <w:sz w:val="20"/>
              </w:rPr>
              <w:t>Cottin</w:t>
            </w:r>
            <w:proofErr w:type="spellEnd"/>
            <w:r w:rsidRPr="00481193">
              <w:rPr>
                <w:rFonts w:ascii="Arial Narrow" w:hAnsi="Arial Narrow"/>
                <w:sz w:val="20"/>
              </w:rPr>
              <w:t xml:space="preserve"> V, Flaherty KR, Kolb M, Inoue Y, Raghu G, Taniguchi H, </w:t>
            </w:r>
            <w:proofErr w:type="spellStart"/>
            <w:r w:rsidRPr="00481193">
              <w:rPr>
                <w:rFonts w:ascii="Arial Narrow" w:hAnsi="Arial Narrow"/>
                <w:sz w:val="20"/>
              </w:rPr>
              <w:t>Hansell</w:t>
            </w:r>
            <w:proofErr w:type="spellEnd"/>
            <w:r w:rsidRPr="00481193">
              <w:rPr>
                <w:rFonts w:ascii="Arial Narrow" w:hAnsi="Arial Narrow"/>
                <w:sz w:val="20"/>
              </w:rPr>
              <w:t xml:space="preserve"> DM, Nicholson AG, Le </w:t>
            </w:r>
            <w:proofErr w:type="spellStart"/>
            <w:r w:rsidRPr="00481193">
              <w:rPr>
                <w:rFonts w:ascii="Arial Narrow" w:hAnsi="Arial Narrow"/>
                <w:sz w:val="20"/>
              </w:rPr>
              <w:t>Maulf</w:t>
            </w:r>
            <w:proofErr w:type="spellEnd"/>
            <w:r w:rsidRPr="00481193">
              <w:rPr>
                <w:rFonts w:ascii="Arial Narrow" w:hAnsi="Arial Narrow"/>
                <w:sz w:val="20"/>
              </w:rPr>
              <w:t xml:space="preserve"> F, </w:t>
            </w:r>
            <w:proofErr w:type="spellStart"/>
            <w:r w:rsidRPr="00481193">
              <w:rPr>
                <w:rFonts w:ascii="Arial Narrow" w:hAnsi="Arial Narrow"/>
                <w:sz w:val="20"/>
              </w:rPr>
              <w:t>Stowasser</w:t>
            </w:r>
            <w:proofErr w:type="spellEnd"/>
            <w:r w:rsidRPr="00481193">
              <w:rPr>
                <w:rFonts w:ascii="Arial Narrow" w:hAnsi="Arial Narrow"/>
                <w:sz w:val="20"/>
              </w:rPr>
              <w:t xml:space="preserve"> S, Collard HR.</w:t>
            </w:r>
            <w:r>
              <w:rPr>
                <w:rFonts w:ascii="Arial Narrow" w:hAnsi="Arial Narrow"/>
                <w:sz w:val="20"/>
              </w:rPr>
              <w:t xml:space="preserve">  </w:t>
            </w:r>
            <w:r w:rsidRPr="00A677DC">
              <w:rPr>
                <w:rFonts w:ascii="Arial Narrow" w:hAnsi="Arial Narrow"/>
                <w:sz w:val="20"/>
              </w:rPr>
              <w:t>Design of the INPULSIS™ trials: two phase 3 trials of nintedanib in patients with idiopathic pulmonary fibrosis.</w:t>
            </w:r>
          </w:p>
          <w:p w:rsidR="000950D9" w:rsidRPr="004E2ADC" w:rsidRDefault="000950D9" w:rsidP="00B25BC6">
            <w:pPr>
              <w:widowControl/>
              <w:jc w:val="left"/>
              <w:rPr>
                <w:rFonts w:ascii="Arial Narrow" w:hAnsi="Arial Narrow"/>
                <w:sz w:val="20"/>
              </w:rPr>
            </w:pPr>
          </w:p>
        </w:tc>
        <w:tc>
          <w:tcPr>
            <w:tcW w:w="1179" w:type="pct"/>
            <w:tcBorders>
              <w:top w:val="nil"/>
              <w:bottom w:val="nil"/>
            </w:tcBorders>
          </w:tcPr>
          <w:p w:rsidR="000950D9" w:rsidRPr="00A677DC" w:rsidRDefault="000950D9" w:rsidP="00B25BC6">
            <w:pPr>
              <w:widowControl/>
              <w:jc w:val="left"/>
              <w:rPr>
                <w:rFonts w:ascii="Arial Narrow" w:hAnsi="Arial Narrow"/>
                <w:sz w:val="20"/>
              </w:rPr>
            </w:pPr>
            <w:r>
              <w:rPr>
                <w:rFonts w:ascii="Arial Narrow" w:hAnsi="Arial Narrow"/>
                <w:i/>
                <w:sz w:val="20"/>
              </w:rPr>
              <w:t>Respiratory Medicine</w:t>
            </w:r>
            <w:r>
              <w:rPr>
                <w:rFonts w:ascii="Arial Narrow" w:hAnsi="Arial Narrow"/>
                <w:sz w:val="20"/>
              </w:rPr>
              <w:t>. 2014; 108(7): 1023-1030</w:t>
            </w:r>
          </w:p>
        </w:tc>
      </w:tr>
      <w:tr w:rsidR="000950D9" w:rsidRPr="004E2ADC" w:rsidTr="006F05DD">
        <w:tc>
          <w:tcPr>
            <w:tcW w:w="425" w:type="pct"/>
            <w:vMerge/>
          </w:tcPr>
          <w:p w:rsidR="000950D9" w:rsidRPr="004E2ADC" w:rsidRDefault="000950D9" w:rsidP="00B25BC6">
            <w:pPr>
              <w:widowControl/>
              <w:jc w:val="left"/>
              <w:rPr>
                <w:rFonts w:ascii="Arial Narrow" w:hAnsi="Arial Narrow"/>
                <w:sz w:val="20"/>
              </w:rPr>
            </w:pPr>
          </w:p>
        </w:tc>
        <w:tc>
          <w:tcPr>
            <w:tcW w:w="3396" w:type="pct"/>
            <w:tcBorders>
              <w:top w:val="nil"/>
              <w:bottom w:val="single" w:sz="4" w:space="0" w:color="auto"/>
            </w:tcBorders>
          </w:tcPr>
          <w:p w:rsidR="000950D9" w:rsidRPr="004E2ADC" w:rsidRDefault="000950D9" w:rsidP="00B25BC6">
            <w:pPr>
              <w:widowControl/>
              <w:jc w:val="left"/>
              <w:rPr>
                <w:rFonts w:ascii="Arial Narrow" w:hAnsi="Arial Narrow"/>
                <w:sz w:val="20"/>
              </w:rPr>
            </w:pPr>
            <w:proofErr w:type="spellStart"/>
            <w:r w:rsidRPr="00A677DC">
              <w:rPr>
                <w:rFonts w:ascii="Arial Narrow" w:hAnsi="Arial Narrow"/>
                <w:sz w:val="20"/>
              </w:rPr>
              <w:t>Richeldi</w:t>
            </w:r>
            <w:proofErr w:type="spellEnd"/>
            <w:r w:rsidRPr="00A677DC">
              <w:rPr>
                <w:rFonts w:ascii="Arial Narrow" w:hAnsi="Arial Narrow"/>
                <w:sz w:val="20"/>
              </w:rPr>
              <w:t xml:space="preserve"> L, du Bois RM, Raghu G, Azuma A, Brown KK, </w:t>
            </w:r>
            <w:proofErr w:type="spellStart"/>
            <w:r w:rsidRPr="00A677DC">
              <w:rPr>
                <w:rFonts w:ascii="Arial Narrow" w:hAnsi="Arial Narrow"/>
                <w:sz w:val="20"/>
              </w:rPr>
              <w:t>Costabel</w:t>
            </w:r>
            <w:proofErr w:type="spellEnd"/>
            <w:r w:rsidRPr="00A677DC">
              <w:rPr>
                <w:rFonts w:ascii="Arial Narrow" w:hAnsi="Arial Narrow"/>
                <w:sz w:val="20"/>
              </w:rPr>
              <w:t xml:space="preserve"> U, </w:t>
            </w:r>
            <w:proofErr w:type="spellStart"/>
            <w:r w:rsidRPr="00A677DC">
              <w:rPr>
                <w:rFonts w:ascii="Arial Narrow" w:hAnsi="Arial Narrow"/>
                <w:sz w:val="20"/>
              </w:rPr>
              <w:t>Cottin</w:t>
            </w:r>
            <w:proofErr w:type="spellEnd"/>
            <w:r w:rsidRPr="00A677DC">
              <w:rPr>
                <w:rFonts w:ascii="Arial Narrow" w:hAnsi="Arial Narrow"/>
                <w:sz w:val="20"/>
              </w:rPr>
              <w:t xml:space="preserve"> V, Flaherty KR, </w:t>
            </w:r>
            <w:proofErr w:type="spellStart"/>
            <w:r w:rsidRPr="00A677DC">
              <w:rPr>
                <w:rFonts w:ascii="Arial Narrow" w:hAnsi="Arial Narrow"/>
                <w:sz w:val="20"/>
              </w:rPr>
              <w:t>Hansell</w:t>
            </w:r>
            <w:proofErr w:type="spellEnd"/>
            <w:r w:rsidRPr="00A677DC">
              <w:rPr>
                <w:rFonts w:ascii="Arial Narrow" w:hAnsi="Arial Narrow"/>
                <w:sz w:val="20"/>
              </w:rPr>
              <w:t xml:space="preserve"> DM, Inoue Y, Kim DS, Kolb M, Nicholson AG, Noble PW, Selman M, Taniguchi H, </w:t>
            </w:r>
            <w:proofErr w:type="spellStart"/>
            <w:r w:rsidRPr="00A677DC">
              <w:rPr>
                <w:rFonts w:ascii="Arial Narrow" w:hAnsi="Arial Narrow"/>
                <w:sz w:val="20"/>
              </w:rPr>
              <w:t>Brun</w:t>
            </w:r>
            <w:proofErr w:type="spellEnd"/>
            <w:r w:rsidRPr="00A677DC">
              <w:rPr>
                <w:rFonts w:ascii="Arial Narrow" w:hAnsi="Arial Narrow"/>
                <w:sz w:val="20"/>
              </w:rPr>
              <w:t xml:space="preserve"> M, Le </w:t>
            </w:r>
            <w:proofErr w:type="spellStart"/>
            <w:r w:rsidRPr="00A677DC">
              <w:rPr>
                <w:rFonts w:ascii="Arial Narrow" w:hAnsi="Arial Narrow"/>
                <w:sz w:val="20"/>
              </w:rPr>
              <w:t>Maulf</w:t>
            </w:r>
            <w:proofErr w:type="spellEnd"/>
            <w:r w:rsidRPr="00A677DC">
              <w:rPr>
                <w:rFonts w:ascii="Arial Narrow" w:hAnsi="Arial Narrow"/>
                <w:sz w:val="20"/>
              </w:rPr>
              <w:t xml:space="preserve"> F, Girard M, </w:t>
            </w:r>
            <w:proofErr w:type="spellStart"/>
            <w:r w:rsidRPr="00A677DC">
              <w:rPr>
                <w:rFonts w:ascii="Arial Narrow" w:hAnsi="Arial Narrow"/>
                <w:sz w:val="20"/>
              </w:rPr>
              <w:t>Stowasser</w:t>
            </w:r>
            <w:proofErr w:type="spellEnd"/>
            <w:r w:rsidRPr="00A677DC">
              <w:rPr>
                <w:rFonts w:ascii="Arial Narrow" w:hAnsi="Arial Narrow"/>
                <w:sz w:val="20"/>
              </w:rPr>
              <w:t xml:space="preserve"> S, </w:t>
            </w:r>
            <w:proofErr w:type="spellStart"/>
            <w:r w:rsidRPr="00A677DC">
              <w:rPr>
                <w:rFonts w:ascii="Arial Narrow" w:hAnsi="Arial Narrow"/>
                <w:sz w:val="20"/>
              </w:rPr>
              <w:t>Schlenker-Herceg</w:t>
            </w:r>
            <w:proofErr w:type="spellEnd"/>
            <w:r w:rsidRPr="00A677DC">
              <w:rPr>
                <w:rFonts w:ascii="Arial Narrow" w:hAnsi="Arial Narrow"/>
                <w:sz w:val="20"/>
              </w:rPr>
              <w:t xml:space="preserve"> R, </w:t>
            </w:r>
            <w:proofErr w:type="spellStart"/>
            <w:r w:rsidRPr="00A677DC">
              <w:rPr>
                <w:rFonts w:ascii="Arial Narrow" w:hAnsi="Arial Narrow"/>
                <w:sz w:val="20"/>
              </w:rPr>
              <w:t>Disse</w:t>
            </w:r>
            <w:proofErr w:type="spellEnd"/>
            <w:r w:rsidRPr="00A677DC">
              <w:rPr>
                <w:rFonts w:ascii="Arial Narrow" w:hAnsi="Arial Narrow"/>
                <w:sz w:val="20"/>
              </w:rPr>
              <w:t xml:space="preserve"> B, Collard HR; INPULSIS Trial Investigators.</w:t>
            </w:r>
            <w:r>
              <w:rPr>
                <w:rFonts w:ascii="Arial Narrow" w:hAnsi="Arial Narrow"/>
                <w:sz w:val="20"/>
              </w:rPr>
              <w:t xml:space="preserve">  Efficacy and safety of nintedanib in idiopathic pulmonary fibrosis</w:t>
            </w:r>
          </w:p>
        </w:tc>
        <w:tc>
          <w:tcPr>
            <w:tcW w:w="1179" w:type="pct"/>
            <w:tcBorders>
              <w:top w:val="nil"/>
              <w:bottom w:val="single" w:sz="4" w:space="0" w:color="auto"/>
            </w:tcBorders>
          </w:tcPr>
          <w:p w:rsidR="000950D9" w:rsidRPr="00A677DC" w:rsidRDefault="000950D9" w:rsidP="00B25BC6">
            <w:pPr>
              <w:widowControl/>
              <w:jc w:val="left"/>
              <w:rPr>
                <w:rFonts w:ascii="Arial Narrow" w:hAnsi="Arial Narrow"/>
                <w:sz w:val="20"/>
              </w:rPr>
            </w:pPr>
            <w:r>
              <w:rPr>
                <w:rFonts w:ascii="Arial Narrow" w:hAnsi="Arial Narrow"/>
                <w:i/>
                <w:sz w:val="20"/>
              </w:rPr>
              <w:t xml:space="preserve">The New England Journal of Medicine. </w:t>
            </w:r>
            <w:r>
              <w:rPr>
                <w:rFonts w:ascii="Arial Narrow" w:hAnsi="Arial Narrow"/>
                <w:sz w:val="20"/>
              </w:rPr>
              <w:t>2014; 370(22): 2071-2082</w:t>
            </w:r>
          </w:p>
        </w:tc>
      </w:tr>
      <w:tr w:rsidR="000950D9" w:rsidRPr="004E2ADC" w:rsidTr="006F05DD">
        <w:tc>
          <w:tcPr>
            <w:tcW w:w="425" w:type="pct"/>
            <w:vMerge w:val="restart"/>
          </w:tcPr>
          <w:p w:rsidR="000950D9" w:rsidRPr="004E2ADC" w:rsidRDefault="000950D9" w:rsidP="00B25BC6">
            <w:pPr>
              <w:widowControl/>
              <w:jc w:val="left"/>
              <w:rPr>
                <w:rFonts w:ascii="Arial Narrow" w:hAnsi="Arial Narrow"/>
                <w:sz w:val="20"/>
              </w:rPr>
            </w:pPr>
            <w:r>
              <w:rPr>
                <w:rFonts w:ascii="Arial Narrow" w:hAnsi="Arial Narrow"/>
                <w:sz w:val="20"/>
              </w:rPr>
              <w:t>Trial 34</w:t>
            </w:r>
          </w:p>
        </w:tc>
        <w:tc>
          <w:tcPr>
            <w:tcW w:w="3396" w:type="pct"/>
            <w:tcBorders>
              <w:bottom w:val="nil"/>
            </w:tcBorders>
          </w:tcPr>
          <w:p w:rsidR="000950D9" w:rsidRDefault="000950D9" w:rsidP="00B25BC6">
            <w:pPr>
              <w:widowControl/>
              <w:jc w:val="left"/>
              <w:rPr>
                <w:rFonts w:ascii="Arial Narrow" w:hAnsi="Arial Narrow"/>
                <w:sz w:val="20"/>
              </w:rPr>
            </w:pPr>
            <w:r>
              <w:rPr>
                <w:rFonts w:ascii="Arial Narrow" w:hAnsi="Arial Narrow"/>
                <w:sz w:val="20"/>
              </w:rPr>
              <w:t>A 52 weeks, double blind, randomized, placebo-controlled trial evaluating the effect of oral BIBF 1120, 150mg twice daily, on annual Forced Vital Capacity decline, in patients with Idiopathic Pulmonary Fibrosis (IPF)</w:t>
            </w:r>
          </w:p>
          <w:p w:rsidR="000950D9" w:rsidRPr="004E2ADC" w:rsidRDefault="000950D9" w:rsidP="00B25BC6">
            <w:pPr>
              <w:widowControl/>
              <w:jc w:val="left"/>
              <w:rPr>
                <w:rFonts w:ascii="Arial Narrow" w:hAnsi="Arial Narrow"/>
                <w:sz w:val="20"/>
              </w:rPr>
            </w:pPr>
          </w:p>
        </w:tc>
        <w:tc>
          <w:tcPr>
            <w:tcW w:w="1179" w:type="pct"/>
            <w:tcBorders>
              <w:bottom w:val="nil"/>
            </w:tcBorders>
          </w:tcPr>
          <w:p w:rsidR="000950D9" w:rsidRPr="004E2ADC" w:rsidRDefault="000950D9" w:rsidP="00B25BC6">
            <w:pPr>
              <w:widowControl/>
              <w:jc w:val="left"/>
              <w:rPr>
                <w:rFonts w:ascii="Arial Narrow" w:hAnsi="Arial Narrow"/>
                <w:sz w:val="20"/>
              </w:rPr>
            </w:pPr>
            <w:r>
              <w:rPr>
                <w:rFonts w:ascii="Arial Narrow" w:hAnsi="Arial Narrow"/>
                <w:sz w:val="20"/>
              </w:rPr>
              <w:t>08 April 2014</w:t>
            </w:r>
          </w:p>
        </w:tc>
      </w:tr>
      <w:tr w:rsidR="000950D9" w:rsidRPr="004E2ADC" w:rsidTr="006F05DD">
        <w:tc>
          <w:tcPr>
            <w:tcW w:w="425" w:type="pct"/>
            <w:vMerge/>
          </w:tcPr>
          <w:p w:rsidR="000950D9" w:rsidRPr="004E2ADC" w:rsidRDefault="000950D9" w:rsidP="00B25BC6">
            <w:pPr>
              <w:widowControl/>
              <w:jc w:val="left"/>
              <w:rPr>
                <w:rFonts w:ascii="Arial Narrow" w:hAnsi="Arial Narrow"/>
                <w:sz w:val="20"/>
              </w:rPr>
            </w:pPr>
          </w:p>
        </w:tc>
        <w:tc>
          <w:tcPr>
            <w:tcW w:w="3396" w:type="pct"/>
            <w:tcBorders>
              <w:top w:val="nil"/>
              <w:bottom w:val="nil"/>
            </w:tcBorders>
          </w:tcPr>
          <w:p w:rsidR="000950D9" w:rsidRDefault="000950D9" w:rsidP="00B25BC6">
            <w:pPr>
              <w:widowControl/>
              <w:jc w:val="left"/>
              <w:rPr>
                <w:rFonts w:ascii="Arial Narrow" w:hAnsi="Arial Narrow"/>
                <w:sz w:val="20"/>
              </w:rPr>
            </w:pPr>
            <w:proofErr w:type="spellStart"/>
            <w:r w:rsidRPr="00481193">
              <w:rPr>
                <w:rFonts w:ascii="Arial Narrow" w:hAnsi="Arial Narrow"/>
                <w:sz w:val="20"/>
              </w:rPr>
              <w:t>Richeldi</w:t>
            </w:r>
            <w:proofErr w:type="spellEnd"/>
            <w:r w:rsidRPr="00481193">
              <w:rPr>
                <w:rFonts w:ascii="Arial Narrow" w:hAnsi="Arial Narrow"/>
                <w:sz w:val="20"/>
              </w:rPr>
              <w:t xml:space="preserve"> L, </w:t>
            </w:r>
            <w:proofErr w:type="spellStart"/>
            <w:r w:rsidRPr="00481193">
              <w:rPr>
                <w:rFonts w:ascii="Arial Narrow" w:hAnsi="Arial Narrow"/>
                <w:sz w:val="20"/>
              </w:rPr>
              <w:t>Cottin</w:t>
            </w:r>
            <w:proofErr w:type="spellEnd"/>
            <w:r w:rsidRPr="00481193">
              <w:rPr>
                <w:rFonts w:ascii="Arial Narrow" w:hAnsi="Arial Narrow"/>
                <w:sz w:val="20"/>
              </w:rPr>
              <w:t xml:space="preserve"> V, Flaherty KR, Kolb M, Inoue Y, Raghu G, Taniguchi H, </w:t>
            </w:r>
            <w:proofErr w:type="spellStart"/>
            <w:r w:rsidRPr="00481193">
              <w:rPr>
                <w:rFonts w:ascii="Arial Narrow" w:hAnsi="Arial Narrow"/>
                <w:sz w:val="20"/>
              </w:rPr>
              <w:t>Hansell</w:t>
            </w:r>
            <w:proofErr w:type="spellEnd"/>
            <w:r w:rsidRPr="00481193">
              <w:rPr>
                <w:rFonts w:ascii="Arial Narrow" w:hAnsi="Arial Narrow"/>
                <w:sz w:val="20"/>
              </w:rPr>
              <w:t xml:space="preserve"> DM, Nicholson AG, Le </w:t>
            </w:r>
            <w:proofErr w:type="spellStart"/>
            <w:r w:rsidRPr="00481193">
              <w:rPr>
                <w:rFonts w:ascii="Arial Narrow" w:hAnsi="Arial Narrow"/>
                <w:sz w:val="20"/>
              </w:rPr>
              <w:t>Maulf</w:t>
            </w:r>
            <w:proofErr w:type="spellEnd"/>
            <w:r w:rsidRPr="00481193">
              <w:rPr>
                <w:rFonts w:ascii="Arial Narrow" w:hAnsi="Arial Narrow"/>
                <w:sz w:val="20"/>
              </w:rPr>
              <w:t xml:space="preserve"> F, </w:t>
            </w:r>
            <w:proofErr w:type="spellStart"/>
            <w:r w:rsidRPr="00481193">
              <w:rPr>
                <w:rFonts w:ascii="Arial Narrow" w:hAnsi="Arial Narrow"/>
                <w:sz w:val="20"/>
              </w:rPr>
              <w:t>Stowasser</w:t>
            </w:r>
            <w:proofErr w:type="spellEnd"/>
            <w:r w:rsidRPr="00481193">
              <w:rPr>
                <w:rFonts w:ascii="Arial Narrow" w:hAnsi="Arial Narrow"/>
                <w:sz w:val="20"/>
              </w:rPr>
              <w:t xml:space="preserve"> S, Collard HR.</w:t>
            </w:r>
            <w:r>
              <w:rPr>
                <w:rFonts w:ascii="Arial Narrow" w:hAnsi="Arial Narrow"/>
                <w:sz w:val="20"/>
              </w:rPr>
              <w:t xml:space="preserve">  </w:t>
            </w:r>
            <w:r w:rsidRPr="00A677DC">
              <w:rPr>
                <w:rFonts w:ascii="Arial Narrow" w:hAnsi="Arial Narrow"/>
                <w:sz w:val="20"/>
              </w:rPr>
              <w:t>Design of the INPULSIS™ trials: two phase 3 trials of nintedanib in patients with idiopathic pulmonary fibrosis.</w:t>
            </w:r>
          </w:p>
          <w:p w:rsidR="000950D9" w:rsidRPr="004E2ADC" w:rsidRDefault="000950D9" w:rsidP="00B25BC6">
            <w:pPr>
              <w:widowControl/>
              <w:jc w:val="left"/>
              <w:rPr>
                <w:rFonts w:ascii="Arial Narrow" w:hAnsi="Arial Narrow"/>
                <w:sz w:val="20"/>
              </w:rPr>
            </w:pPr>
          </w:p>
        </w:tc>
        <w:tc>
          <w:tcPr>
            <w:tcW w:w="1179" w:type="pct"/>
            <w:tcBorders>
              <w:top w:val="nil"/>
              <w:bottom w:val="nil"/>
            </w:tcBorders>
          </w:tcPr>
          <w:p w:rsidR="000950D9" w:rsidRPr="00A677DC" w:rsidRDefault="000950D9" w:rsidP="00B25BC6">
            <w:pPr>
              <w:widowControl/>
              <w:jc w:val="left"/>
              <w:rPr>
                <w:rFonts w:ascii="Arial Narrow" w:hAnsi="Arial Narrow"/>
                <w:sz w:val="20"/>
              </w:rPr>
            </w:pPr>
            <w:r>
              <w:rPr>
                <w:rFonts w:ascii="Arial Narrow" w:hAnsi="Arial Narrow"/>
                <w:i/>
                <w:sz w:val="20"/>
              </w:rPr>
              <w:t>Respiratory Medicine</w:t>
            </w:r>
            <w:r>
              <w:rPr>
                <w:rFonts w:ascii="Arial Narrow" w:hAnsi="Arial Narrow"/>
                <w:sz w:val="20"/>
              </w:rPr>
              <w:t>. 2014; 108(7): 1023-1030</w:t>
            </w:r>
          </w:p>
        </w:tc>
      </w:tr>
      <w:tr w:rsidR="000950D9" w:rsidRPr="004E2ADC" w:rsidTr="006F05DD">
        <w:tc>
          <w:tcPr>
            <w:tcW w:w="425" w:type="pct"/>
            <w:vMerge/>
          </w:tcPr>
          <w:p w:rsidR="000950D9" w:rsidRPr="004E2ADC" w:rsidRDefault="000950D9" w:rsidP="00B25BC6">
            <w:pPr>
              <w:widowControl/>
              <w:jc w:val="left"/>
              <w:rPr>
                <w:rFonts w:ascii="Arial Narrow" w:hAnsi="Arial Narrow"/>
                <w:sz w:val="20"/>
              </w:rPr>
            </w:pPr>
          </w:p>
        </w:tc>
        <w:tc>
          <w:tcPr>
            <w:tcW w:w="3396" w:type="pct"/>
            <w:tcBorders>
              <w:top w:val="nil"/>
            </w:tcBorders>
          </w:tcPr>
          <w:p w:rsidR="000950D9" w:rsidRPr="004E2ADC" w:rsidRDefault="000950D9" w:rsidP="00B25BC6">
            <w:pPr>
              <w:widowControl/>
              <w:jc w:val="left"/>
              <w:rPr>
                <w:rFonts w:ascii="Arial Narrow" w:hAnsi="Arial Narrow"/>
                <w:sz w:val="20"/>
              </w:rPr>
            </w:pPr>
            <w:proofErr w:type="spellStart"/>
            <w:r w:rsidRPr="00A677DC">
              <w:rPr>
                <w:rFonts w:ascii="Arial Narrow" w:hAnsi="Arial Narrow"/>
                <w:sz w:val="20"/>
              </w:rPr>
              <w:t>Richeldi</w:t>
            </w:r>
            <w:proofErr w:type="spellEnd"/>
            <w:r w:rsidRPr="00A677DC">
              <w:rPr>
                <w:rFonts w:ascii="Arial Narrow" w:hAnsi="Arial Narrow"/>
                <w:sz w:val="20"/>
              </w:rPr>
              <w:t xml:space="preserve"> L, du Bois RM, Raghu G, Azuma A, Brown KK, </w:t>
            </w:r>
            <w:proofErr w:type="spellStart"/>
            <w:r w:rsidRPr="00A677DC">
              <w:rPr>
                <w:rFonts w:ascii="Arial Narrow" w:hAnsi="Arial Narrow"/>
                <w:sz w:val="20"/>
              </w:rPr>
              <w:t>Costabel</w:t>
            </w:r>
            <w:proofErr w:type="spellEnd"/>
            <w:r w:rsidRPr="00A677DC">
              <w:rPr>
                <w:rFonts w:ascii="Arial Narrow" w:hAnsi="Arial Narrow"/>
                <w:sz w:val="20"/>
              </w:rPr>
              <w:t xml:space="preserve"> U, </w:t>
            </w:r>
            <w:proofErr w:type="spellStart"/>
            <w:r w:rsidRPr="00A677DC">
              <w:rPr>
                <w:rFonts w:ascii="Arial Narrow" w:hAnsi="Arial Narrow"/>
                <w:sz w:val="20"/>
              </w:rPr>
              <w:t>Cottin</w:t>
            </w:r>
            <w:proofErr w:type="spellEnd"/>
            <w:r w:rsidRPr="00A677DC">
              <w:rPr>
                <w:rFonts w:ascii="Arial Narrow" w:hAnsi="Arial Narrow"/>
                <w:sz w:val="20"/>
              </w:rPr>
              <w:t xml:space="preserve"> V, Flaherty KR, </w:t>
            </w:r>
            <w:proofErr w:type="spellStart"/>
            <w:r w:rsidRPr="00A677DC">
              <w:rPr>
                <w:rFonts w:ascii="Arial Narrow" w:hAnsi="Arial Narrow"/>
                <w:sz w:val="20"/>
              </w:rPr>
              <w:t>Hansell</w:t>
            </w:r>
            <w:proofErr w:type="spellEnd"/>
            <w:r w:rsidRPr="00A677DC">
              <w:rPr>
                <w:rFonts w:ascii="Arial Narrow" w:hAnsi="Arial Narrow"/>
                <w:sz w:val="20"/>
              </w:rPr>
              <w:t xml:space="preserve"> DM, Inoue Y, Kim DS, Kolb M, Nicholson AG, Noble PW, Selman M, Taniguchi H, </w:t>
            </w:r>
            <w:proofErr w:type="spellStart"/>
            <w:r w:rsidRPr="00A677DC">
              <w:rPr>
                <w:rFonts w:ascii="Arial Narrow" w:hAnsi="Arial Narrow"/>
                <w:sz w:val="20"/>
              </w:rPr>
              <w:t>Brun</w:t>
            </w:r>
            <w:proofErr w:type="spellEnd"/>
            <w:r w:rsidRPr="00A677DC">
              <w:rPr>
                <w:rFonts w:ascii="Arial Narrow" w:hAnsi="Arial Narrow"/>
                <w:sz w:val="20"/>
              </w:rPr>
              <w:t xml:space="preserve"> M, Le </w:t>
            </w:r>
            <w:proofErr w:type="spellStart"/>
            <w:r w:rsidRPr="00A677DC">
              <w:rPr>
                <w:rFonts w:ascii="Arial Narrow" w:hAnsi="Arial Narrow"/>
                <w:sz w:val="20"/>
              </w:rPr>
              <w:t>Maulf</w:t>
            </w:r>
            <w:proofErr w:type="spellEnd"/>
            <w:r w:rsidRPr="00A677DC">
              <w:rPr>
                <w:rFonts w:ascii="Arial Narrow" w:hAnsi="Arial Narrow"/>
                <w:sz w:val="20"/>
              </w:rPr>
              <w:t xml:space="preserve"> F, Girard M, </w:t>
            </w:r>
            <w:proofErr w:type="spellStart"/>
            <w:r w:rsidRPr="00A677DC">
              <w:rPr>
                <w:rFonts w:ascii="Arial Narrow" w:hAnsi="Arial Narrow"/>
                <w:sz w:val="20"/>
              </w:rPr>
              <w:t>Stowasser</w:t>
            </w:r>
            <w:proofErr w:type="spellEnd"/>
            <w:r w:rsidRPr="00A677DC">
              <w:rPr>
                <w:rFonts w:ascii="Arial Narrow" w:hAnsi="Arial Narrow"/>
                <w:sz w:val="20"/>
              </w:rPr>
              <w:t xml:space="preserve"> S, </w:t>
            </w:r>
            <w:proofErr w:type="spellStart"/>
            <w:r w:rsidRPr="00A677DC">
              <w:rPr>
                <w:rFonts w:ascii="Arial Narrow" w:hAnsi="Arial Narrow"/>
                <w:sz w:val="20"/>
              </w:rPr>
              <w:t>Schlenker-Herceg</w:t>
            </w:r>
            <w:proofErr w:type="spellEnd"/>
            <w:r w:rsidRPr="00A677DC">
              <w:rPr>
                <w:rFonts w:ascii="Arial Narrow" w:hAnsi="Arial Narrow"/>
                <w:sz w:val="20"/>
              </w:rPr>
              <w:t xml:space="preserve"> R, </w:t>
            </w:r>
            <w:proofErr w:type="spellStart"/>
            <w:r w:rsidRPr="00A677DC">
              <w:rPr>
                <w:rFonts w:ascii="Arial Narrow" w:hAnsi="Arial Narrow"/>
                <w:sz w:val="20"/>
              </w:rPr>
              <w:t>Disse</w:t>
            </w:r>
            <w:proofErr w:type="spellEnd"/>
            <w:r w:rsidRPr="00A677DC">
              <w:rPr>
                <w:rFonts w:ascii="Arial Narrow" w:hAnsi="Arial Narrow"/>
                <w:sz w:val="20"/>
              </w:rPr>
              <w:t xml:space="preserve"> B, Collard HR; INPULSIS Trial Investigators.</w:t>
            </w:r>
            <w:r>
              <w:rPr>
                <w:rFonts w:ascii="Arial Narrow" w:hAnsi="Arial Narrow"/>
                <w:sz w:val="20"/>
              </w:rPr>
              <w:t xml:space="preserve">  Efficacy and safety of nintedanib in idiopathic pulmonary fibrosis</w:t>
            </w:r>
          </w:p>
        </w:tc>
        <w:tc>
          <w:tcPr>
            <w:tcW w:w="1179" w:type="pct"/>
            <w:tcBorders>
              <w:top w:val="nil"/>
            </w:tcBorders>
          </w:tcPr>
          <w:p w:rsidR="000950D9" w:rsidRPr="00A677DC" w:rsidRDefault="000950D9" w:rsidP="00B25BC6">
            <w:pPr>
              <w:widowControl/>
              <w:jc w:val="left"/>
              <w:rPr>
                <w:rFonts w:ascii="Arial Narrow" w:hAnsi="Arial Narrow"/>
                <w:sz w:val="20"/>
              </w:rPr>
            </w:pPr>
            <w:r>
              <w:rPr>
                <w:rFonts w:ascii="Arial Narrow" w:hAnsi="Arial Narrow"/>
                <w:i/>
                <w:sz w:val="20"/>
              </w:rPr>
              <w:t xml:space="preserve">The New England Journal of Medicine. </w:t>
            </w:r>
            <w:r>
              <w:rPr>
                <w:rFonts w:ascii="Arial Narrow" w:hAnsi="Arial Narrow"/>
                <w:sz w:val="20"/>
              </w:rPr>
              <w:t>2014; 370(22): 2071-2082</w:t>
            </w:r>
          </w:p>
        </w:tc>
      </w:tr>
    </w:tbl>
    <w:p w:rsidR="000950D9" w:rsidRPr="00D13A3E" w:rsidRDefault="000950D9" w:rsidP="00B25BC6">
      <w:pPr>
        <w:pStyle w:val="TableFooter"/>
        <w:widowControl/>
        <w:ind w:firstLine="720"/>
      </w:pPr>
      <w:r w:rsidRPr="00D13A3E">
        <w:t xml:space="preserve">Source: </w:t>
      </w:r>
      <w:r>
        <w:t>Table B.2-2, p26 of the submission</w:t>
      </w:r>
    </w:p>
    <w:p w:rsidR="000950D9" w:rsidRPr="008F120A" w:rsidRDefault="000950D9" w:rsidP="00D73941">
      <w:pPr>
        <w:widowControl/>
        <w:tabs>
          <w:tab w:val="left" w:pos="5985"/>
        </w:tabs>
        <w:rPr>
          <w:szCs w:val="22"/>
        </w:rPr>
      </w:pPr>
    </w:p>
    <w:p w:rsidR="000950D9" w:rsidRDefault="000950D9" w:rsidP="00D73941">
      <w:pPr>
        <w:pStyle w:val="ListParagraph"/>
        <w:keepNext/>
        <w:widowControl/>
        <w:numPr>
          <w:ilvl w:val="1"/>
          <w:numId w:val="2"/>
        </w:numPr>
        <w:rPr>
          <w:szCs w:val="22"/>
        </w:rPr>
      </w:pPr>
      <w:r w:rsidRPr="001563F1">
        <w:rPr>
          <w:szCs w:val="22"/>
        </w:rPr>
        <w:lastRenderedPageBreak/>
        <w:t>The key features of the direct randomised trials are summarised in the table below.</w:t>
      </w:r>
    </w:p>
    <w:p w:rsidR="000950D9" w:rsidRPr="001563F1" w:rsidRDefault="000950D9" w:rsidP="00D73941">
      <w:pPr>
        <w:keepNext/>
        <w:widowControl/>
        <w:rPr>
          <w:szCs w:val="22"/>
        </w:rPr>
      </w:pPr>
    </w:p>
    <w:p w:rsidR="000950D9" w:rsidRPr="00E2771E" w:rsidRDefault="000950D9" w:rsidP="00D73941">
      <w:pPr>
        <w:keepNext/>
        <w:widowControl/>
        <w:ind w:firstLine="720"/>
        <w:rPr>
          <w:rStyle w:val="CommentReference"/>
        </w:rPr>
      </w:pPr>
      <w:r w:rsidRPr="00E2771E">
        <w:rPr>
          <w:rStyle w:val="CommentReference"/>
        </w:rPr>
        <w:t>Key features of the included evidence</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13"/>
        <w:gridCol w:w="428"/>
        <w:gridCol w:w="1696"/>
        <w:gridCol w:w="708"/>
        <w:gridCol w:w="992"/>
        <w:gridCol w:w="1276"/>
        <w:gridCol w:w="2551"/>
      </w:tblGrid>
      <w:tr w:rsidR="000950D9" w:rsidRPr="00E2771E" w:rsidTr="00C32C0F">
        <w:trPr>
          <w:tblHeader/>
        </w:trPr>
        <w:tc>
          <w:tcPr>
            <w:tcW w:w="426" w:type="pct"/>
            <w:shd w:val="clear" w:color="auto" w:fill="auto"/>
            <w:vAlign w:val="center"/>
          </w:tcPr>
          <w:p w:rsidR="000950D9" w:rsidRPr="00E2771E" w:rsidRDefault="000950D9" w:rsidP="00D73941">
            <w:pPr>
              <w:keepNext/>
              <w:widowControl/>
              <w:jc w:val="left"/>
              <w:rPr>
                <w:rFonts w:ascii="Arial Narrow" w:hAnsi="Arial Narrow"/>
                <w:b/>
                <w:sz w:val="20"/>
                <w:lang w:val="en-US"/>
              </w:rPr>
            </w:pPr>
            <w:r w:rsidRPr="00E2771E">
              <w:rPr>
                <w:rFonts w:ascii="Arial Narrow" w:hAnsi="Arial Narrow"/>
                <w:b/>
                <w:sz w:val="20"/>
                <w:lang w:val="en-US"/>
              </w:rPr>
              <w:t>Trial</w:t>
            </w:r>
          </w:p>
        </w:tc>
        <w:tc>
          <w:tcPr>
            <w:tcW w:w="256" w:type="pct"/>
            <w:shd w:val="clear" w:color="auto" w:fill="auto"/>
            <w:vAlign w:val="center"/>
          </w:tcPr>
          <w:p w:rsidR="000950D9" w:rsidRPr="00E2771E" w:rsidRDefault="000950D9" w:rsidP="00D73941">
            <w:pPr>
              <w:keepNext/>
              <w:widowControl/>
              <w:jc w:val="center"/>
              <w:rPr>
                <w:rFonts w:ascii="Arial Narrow" w:hAnsi="Arial Narrow"/>
                <w:b/>
                <w:sz w:val="20"/>
                <w:lang w:val="en-US"/>
              </w:rPr>
            </w:pPr>
            <w:r w:rsidRPr="00E2771E">
              <w:rPr>
                <w:rFonts w:ascii="Arial Narrow" w:hAnsi="Arial Narrow"/>
                <w:b/>
                <w:sz w:val="20"/>
                <w:lang w:val="en-US"/>
              </w:rPr>
              <w:t>N</w:t>
            </w:r>
          </w:p>
        </w:tc>
        <w:tc>
          <w:tcPr>
            <w:tcW w:w="1014" w:type="pct"/>
            <w:shd w:val="clear" w:color="auto" w:fill="auto"/>
            <w:vAlign w:val="center"/>
          </w:tcPr>
          <w:p w:rsidR="000950D9" w:rsidRPr="00E2771E" w:rsidRDefault="000950D9" w:rsidP="00D73941">
            <w:pPr>
              <w:keepNext/>
              <w:widowControl/>
              <w:jc w:val="center"/>
              <w:rPr>
                <w:rFonts w:ascii="Arial Narrow" w:hAnsi="Arial Narrow"/>
                <w:b/>
                <w:sz w:val="20"/>
                <w:lang w:val="en-US"/>
              </w:rPr>
            </w:pPr>
            <w:r w:rsidRPr="00E2771E">
              <w:rPr>
                <w:rFonts w:ascii="Arial Narrow" w:hAnsi="Arial Narrow"/>
                <w:b/>
                <w:sz w:val="20"/>
                <w:lang w:val="en-US"/>
              </w:rPr>
              <w:t>Design/ duration</w:t>
            </w:r>
          </w:p>
        </w:tc>
        <w:tc>
          <w:tcPr>
            <w:tcW w:w="423" w:type="pct"/>
            <w:shd w:val="clear" w:color="auto" w:fill="auto"/>
            <w:vAlign w:val="center"/>
          </w:tcPr>
          <w:p w:rsidR="000950D9" w:rsidRPr="00E2771E" w:rsidRDefault="000950D9" w:rsidP="00D73941">
            <w:pPr>
              <w:keepNext/>
              <w:widowControl/>
              <w:jc w:val="center"/>
              <w:rPr>
                <w:rFonts w:ascii="Arial Narrow" w:hAnsi="Arial Narrow"/>
                <w:b/>
                <w:sz w:val="20"/>
                <w:lang w:val="en-US"/>
              </w:rPr>
            </w:pPr>
            <w:r w:rsidRPr="00E2771E">
              <w:rPr>
                <w:rFonts w:ascii="Arial Narrow" w:hAnsi="Arial Narrow"/>
                <w:b/>
                <w:sz w:val="20"/>
                <w:lang w:val="en-US"/>
              </w:rPr>
              <w:t>Risk of bias</w:t>
            </w:r>
          </w:p>
        </w:tc>
        <w:tc>
          <w:tcPr>
            <w:tcW w:w="593" w:type="pct"/>
            <w:shd w:val="clear" w:color="auto" w:fill="auto"/>
            <w:vAlign w:val="center"/>
          </w:tcPr>
          <w:p w:rsidR="000950D9" w:rsidRPr="00E2771E" w:rsidRDefault="000950D9" w:rsidP="00D73941">
            <w:pPr>
              <w:keepNext/>
              <w:widowControl/>
              <w:jc w:val="center"/>
              <w:rPr>
                <w:rFonts w:ascii="Arial Narrow" w:hAnsi="Arial Narrow"/>
                <w:b/>
                <w:sz w:val="20"/>
                <w:lang w:val="en-US"/>
              </w:rPr>
            </w:pPr>
            <w:r w:rsidRPr="00E2771E">
              <w:rPr>
                <w:rFonts w:ascii="Arial Narrow" w:hAnsi="Arial Narrow"/>
                <w:b/>
                <w:sz w:val="20"/>
                <w:lang w:val="en-US"/>
              </w:rPr>
              <w:t>Patient population</w:t>
            </w:r>
          </w:p>
        </w:tc>
        <w:tc>
          <w:tcPr>
            <w:tcW w:w="763" w:type="pct"/>
            <w:shd w:val="clear" w:color="auto" w:fill="auto"/>
            <w:vAlign w:val="center"/>
          </w:tcPr>
          <w:p w:rsidR="000950D9" w:rsidRPr="00E2771E" w:rsidRDefault="000950D9" w:rsidP="00D73941">
            <w:pPr>
              <w:keepNext/>
              <w:widowControl/>
              <w:jc w:val="center"/>
              <w:rPr>
                <w:rFonts w:ascii="Arial Narrow" w:hAnsi="Arial Narrow"/>
                <w:b/>
                <w:sz w:val="20"/>
                <w:lang w:val="en-US"/>
              </w:rPr>
            </w:pPr>
            <w:r w:rsidRPr="00E2771E">
              <w:rPr>
                <w:rFonts w:ascii="Arial Narrow" w:hAnsi="Arial Narrow"/>
                <w:b/>
                <w:sz w:val="20"/>
                <w:lang w:val="en-US"/>
              </w:rPr>
              <w:t>Outcomes</w:t>
            </w:r>
          </w:p>
        </w:tc>
        <w:tc>
          <w:tcPr>
            <w:tcW w:w="1525" w:type="pct"/>
            <w:shd w:val="clear" w:color="auto" w:fill="auto"/>
            <w:vAlign w:val="center"/>
          </w:tcPr>
          <w:p w:rsidR="000950D9" w:rsidRPr="00E2771E" w:rsidRDefault="000950D9" w:rsidP="00D73941">
            <w:pPr>
              <w:keepNext/>
              <w:widowControl/>
              <w:jc w:val="center"/>
              <w:rPr>
                <w:rFonts w:ascii="Arial Narrow" w:hAnsi="Arial Narrow"/>
                <w:b/>
                <w:sz w:val="20"/>
                <w:lang w:val="en-US"/>
              </w:rPr>
            </w:pPr>
            <w:r w:rsidRPr="00E2771E">
              <w:rPr>
                <w:rFonts w:ascii="Arial Narrow" w:hAnsi="Arial Narrow"/>
                <w:b/>
                <w:sz w:val="20"/>
                <w:lang w:val="en-US"/>
              </w:rPr>
              <w:t>Use in modelled evaluation</w:t>
            </w:r>
          </w:p>
        </w:tc>
      </w:tr>
      <w:tr w:rsidR="000950D9" w:rsidRPr="00E2771E" w:rsidTr="00582AFC">
        <w:tc>
          <w:tcPr>
            <w:tcW w:w="426" w:type="pct"/>
            <w:shd w:val="clear" w:color="auto" w:fill="auto"/>
            <w:vAlign w:val="center"/>
          </w:tcPr>
          <w:p w:rsidR="000950D9" w:rsidRPr="00E2771E" w:rsidRDefault="000950D9" w:rsidP="00D73941">
            <w:pPr>
              <w:keepNext/>
              <w:widowControl/>
              <w:jc w:val="left"/>
              <w:rPr>
                <w:rFonts w:ascii="Arial Narrow" w:hAnsi="Arial Narrow"/>
                <w:sz w:val="20"/>
                <w:lang w:val="en-US"/>
              </w:rPr>
            </w:pPr>
            <w:r>
              <w:rPr>
                <w:rFonts w:ascii="Arial Narrow" w:hAnsi="Arial Narrow"/>
                <w:sz w:val="20"/>
                <w:lang w:val="en-US"/>
              </w:rPr>
              <w:t>Trial 30</w:t>
            </w:r>
          </w:p>
        </w:tc>
        <w:tc>
          <w:tcPr>
            <w:tcW w:w="256" w:type="pct"/>
            <w:shd w:val="clear" w:color="auto" w:fill="auto"/>
            <w:vAlign w:val="center"/>
          </w:tcPr>
          <w:p w:rsidR="000950D9" w:rsidRPr="00E2771E" w:rsidRDefault="000950D9" w:rsidP="00D73941">
            <w:pPr>
              <w:keepNext/>
              <w:widowControl/>
              <w:jc w:val="center"/>
              <w:rPr>
                <w:rFonts w:ascii="Arial Narrow" w:hAnsi="Arial Narrow"/>
                <w:sz w:val="20"/>
                <w:lang w:val="en-US"/>
              </w:rPr>
            </w:pPr>
            <w:r>
              <w:rPr>
                <w:rFonts w:ascii="Arial Narrow" w:hAnsi="Arial Narrow"/>
                <w:sz w:val="20"/>
                <w:lang w:val="en-US"/>
              </w:rPr>
              <w:t>432</w:t>
            </w:r>
          </w:p>
        </w:tc>
        <w:tc>
          <w:tcPr>
            <w:tcW w:w="1014" w:type="pct"/>
            <w:shd w:val="clear" w:color="auto" w:fill="auto"/>
            <w:vAlign w:val="center"/>
          </w:tcPr>
          <w:p w:rsidR="000950D9" w:rsidRPr="00E2771E" w:rsidRDefault="000950D9" w:rsidP="00D73941">
            <w:pPr>
              <w:keepNext/>
              <w:widowControl/>
              <w:jc w:val="center"/>
              <w:rPr>
                <w:rFonts w:ascii="Arial Narrow" w:hAnsi="Arial Narrow"/>
                <w:sz w:val="20"/>
                <w:lang w:val="en-US"/>
              </w:rPr>
            </w:pPr>
            <w:r>
              <w:rPr>
                <w:rFonts w:ascii="Arial Narrow" w:hAnsi="Arial Narrow"/>
                <w:sz w:val="20"/>
                <w:lang w:val="en-US"/>
              </w:rPr>
              <w:t>R, DB, MC, MN, phase 2 dose finding trial; 52 weeks</w:t>
            </w:r>
          </w:p>
        </w:tc>
        <w:tc>
          <w:tcPr>
            <w:tcW w:w="423" w:type="pct"/>
            <w:shd w:val="clear" w:color="auto" w:fill="auto"/>
            <w:vAlign w:val="center"/>
          </w:tcPr>
          <w:p w:rsidR="000950D9" w:rsidRPr="002D50C6" w:rsidRDefault="000950D9" w:rsidP="00D73941">
            <w:pPr>
              <w:keepNext/>
              <w:widowControl/>
              <w:jc w:val="center"/>
              <w:rPr>
                <w:rFonts w:ascii="Arial Narrow" w:hAnsi="Arial Narrow"/>
                <w:sz w:val="20"/>
                <w:lang w:val="en-US"/>
              </w:rPr>
            </w:pPr>
            <w:r w:rsidRPr="002D50C6">
              <w:rPr>
                <w:rFonts w:ascii="Arial Narrow" w:hAnsi="Arial Narrow"/>
                <w:sz w:val="20"/>
                <w:lang w:val="en-US"/>
              </w:rPr>
              <w:t>High^</w:t>
            </w:r>
          </w:p>
        </w:tc>
        <w:tc>
          <w:tcPr>
            <w:tcW w:w="593" w:type="pct"/>
            <w:shd w:val="clear" w:color="auto" w:fill="auto"/>
            <w:vAlign w:val="center"/>
          </w:tcPr>
          <w:p w:rsidR="000950D9" w:rsidRPr="00E2771E" w:rsidRDefault="000950D9" w:rsidP="00D73941">
            <w:pPr>
              <w:keepNext/>
              <w:widowControl/>
              <w:jc w:val="center"/>
              <w:rPr>
                <w:rFonts w:ascii="Arial Narrow" w:hAnsi="Arial Narrow"/>
                <w:sz w:val="20"/>
                <w:lang w:val="en-US"/>
              </w:rPr>
            </w:pPr>
            <w:r>
              <w:rPr>
                <w:rFonts w:ascii="Arial Narrow" w:hAnsi="Arial Narrow"/>
                <w:sz w:val="20"/>
                <w:lang w:val="en-US"/>
              </w:rPr>
              <w:t>IPF</w:t>
            </w:r>
          </w:p>
        </w:tc>
        <w:tc>
          <w:tcPr>
            <w:tcW w:w="763" w:type="pct"/>
            <w:vMerge w:val="restart"/>
            <w:shd w:val="clear" w:color="auto" w:fill="auto"/>
            <w:vAlign w:val="center"/>
          </w:tcPr>
          <w:p w:rsidR="000950D9" w:rsidRPr="00E2771E" w:rsidRDefault="000950D9" w:rsidP="00D73941">
            <w:pPr>
              <w:keepNext/>
              <w:widowControl/>
              <w:jc w:val="center"/>
              <w:rPr>
                <w:rFonts w:ascii="Arial Narrow" w:hAnsi="Arial Narrow"/>
                <w:sz w:val="20"/>
                <w:lang w:val="en-US"/>
              </w:rPr>
            </w:pPr>
            <w:r>
              <w:rPr>
                <w:rFonts w:ascii="Arial Narrow" w:hAnsi="Arial Narrow"/>
                <w:sz w:val="20"/>
                <w:lang w:val="en-US"/>
              </w:rPr>
              <w:t xml:space="preserve">FVC: annual rate of decline, absolute change from baseline; FVC responder; Acute IPF exacerbation; Survival; SGRQ </w:t>
            </w:r>
          </w:p>
        </w:tc>
        <w:tc>
          <w:tcPr>
            <w:tcW w:w="1525" w:type="pct"/>
            <w:shd w:val="clear" w:color="auto" w:fill="auto"/>
            <w:vAlign w:val="center"/>
          </w:tcPr>
          <w:p w:rsidR="000950D9" w:rsidRPr="00E2771E" w:rsidRDefault="000950D9" w:rsidP="00D73941">
            <w:pPr>
              <w:keepNext/>
              <w:widowControl/>
              <w:jc w:val="center"/>
              <w:rPr>
                <w:rFonts w:ascii="Arial Narrow" w:hAnsi="Arial Narrow"/>
                <w:sz w:val="20"/>
                <w:lang w:val="en-US"/>
              </w:rPr>
            </w:pPr>
            <w:r>
              <w:rPr>
                <w:rFonts w:ascii="Arial Narrow" w:hAnsi="Arial Narrow"/>
                <w:sz w:val="20"/>
              </w:rPr>
              <w:t xml:space="preserve">Kaplan </w:t>
            </w:r>
            <w:r w:rsidR="002F15A9">
              <w:rPr>
                <w:rFonts w:ascii="Arial Narrow" w:hAnsi="Arial Narrow"/>
                <w:sz w:val="20"/>
              </w:rPr>
              <w:t xml:space="preserve">Meier </w:t>
            </w:r>
            <w:r>
              <w:rPr>
                <w:rFonts w:ascii="Arial Narrow" w:hAnsi="Arial Narrow"/>
                <w:sz w:val="20"/>
              </w:rPr>
              <w:t>survival analysis: parametric extrapolation</w:t>
            </w:r>
          </w:p>
        </w:tc>
      </w:tr>
      <w:tr w:rsidR="000950D9" w:rsidRPr="00E2771E" w:rsidTr="00582AFC">
        <w:trPr>
          <w:trHeight w:val="562"/>
        </w:trPr>
        <w:tc>
          <w:tcPr>
            <w:tcW w:w="426" w:type="pct"/>
            <w:shd w:val="clear" w:color="auto" w:fill="auto"/>
            <w:vAlign w:val="center"/>
          </w:tcPr>
          <w:p w:rsidR="000950D9" w:rsidRPr="00E2771E" w:rsidRDefault="000950D9" w:rsidP="00D73941">
            <w:pPr>
              <w:keepNext/>
              <w:widowControl/>
              <w:jc w:val="left"/>
              <w:rPr>
                <w:rFonts w:ascii="Arial Narrow" w:hAnsi="Arial Narrow"/>
                <w:sz w:val="20"/>
                <w:lang w:val="en-US"/>
              </w:rPr>
            </w:pPr>
            <w:r>
              <w:rPr>
                <w:rFonts w:ascii="Arial Narrow" w:hAnsi="Arial Narrow"/>
                <w:sz w:val="20"/>
                <w:lang w:val="en-US"/>
              </w:rPr>
              <w:t>Trial 32</w:t>
            </w:r>
          </w:p>
        </w:tc>
        <w:tc>
          <w:tcPr>
            <w:tcW w:w="256" w:type="pct"/>
            <w:shd w:val="clear" w:color="auto" w:fill="auto"/>
            <w:vAlign w:val="center"/>
          </w:tcPr>
          <w:p w:rsidR="000950D9" w:rsidRPr="00E2771E" w:rsidRDefault="000950D9" w:rsidP="00D73941">
            <w:pPr>
              <w:keepNext/>
              <w:widowControl/>
              <w:jc w:val="center"/>
              <w:rPr>
                <w:rFonts w:ascii="Arial Narrow" w:hAnsi="Arial Narrow"/>
                <w:sz w:val="20"/>
                <w:lang w:val="en-US"/>
              </w:rPr>
            </w:pPr>
            <w:r>
              <w:rPr>
                <w:rFonts w:ascii="Arial Narrow" w:hAnsi="Arial Narrow"/>
                <w:sz w:val="20"/>
                <w:lang w:val="en-US"/>
              </w:rPr>
              <w:t>515</w:t>
            </w:r>
          </w:p>
        </w:tc>
        <w:tc>
          <w:tcPr>
            <w:tcW w:w="1014" w:type="pct"/>
            <w:vMerge w:val="restart"/>
            <w:shd w:val="clear" w:color="auto" w:fill="auto"/>
            <w:vAlign w:val="center"/>
          </w:tcPr>
          <w:p w:rsidR="000950D9" w:rsidRPr="00E2771E" w:rsidRDefault="000950D9" w:rsidP="00D73941">
            <w:pPr>
              <w:keepNext/>
              <w:widowControl/>
              <w:jc w:val="center"/>
              <w:rPr>
                <w:rFonts w:ascii="Arial Narrow" w:hAnsi="Arial Narrow"/>
                <w:sz w:val="20"/>
                <w:lang w:val="en-US"/>
              </w:rPr>
            </w:pPr>
            <w:r>
              <w:rPr>
                <w:rFonts w:ascii="Arial Narrow" w:hAnsi="Arial Narrow"/>
                <w:sz w:val="20"/>
              </w:rPr>
              <w:t>R, DB, MC, MN, phase 3</w:t>
            </w:r>
          </w:p>
        </w:tc>
        <w:tc>
          <w:tcPr>
            <w:tcW w:w="423" w:type="pct"/>
            <w:vMerge w:val="restart"/>
            <w:shd w:val="clear" w:color="auto" w:fill="auto"/>
            <w:vAlign w:val="center"/>
          </w:tcPr>
          <w:p w:rsidR="000950D9" w:rsidRPr="00E2771E" w:rsidRDefault="000950D9" w:rsidP="00D73941">
            <w:pPr>
              <w:keepNext/>
              <w:widowControl/>
              <w:jc w:val="center"/>
              <w:rPr>
                <w:rFonts w:ascii="Arial Narrow" w:hAnsi="Arial Narrow"/>
                <w:sz w:val="20"/>
                <w:lang w:val="en-US"/>
              </w:rPr>
            </w:pPr>
            <w:r>
              <w:rPr>
                <w:rFonts w:ascii="Arial Narrow" w:hAnsi="Arial Narrow"/>
                <w:sz w:val="20"/>
                <w:lang w:val="en-US"/>
              </w:rPr>
              <w:t>Low</w:t>
            </w:r>
          </w:p>
        </w:tc>
        <w:tc>
          <w:tcPr>
            <w:tcW w:w="593" w:type="pct"/>
            <w:vMerge w:val="restart"/>
            <w:shd w:val="clear" w:color="auto" w:fill="auto"/>
            <w:vAlign w:val="center"/>
          </w:tcPr>
          <w:p w:rsidR="000950D9" w:rsidRPr="00E2771E" w:rsidRDefault="000950D9" w:rsidP="00D73941">
            <w:pPr>
              <w:keepNext/>
              <w:widowControl/>
              <w:jc w:val="center"/>
              <w:rPr>
                <w:rFonts w:ascii="Arial Narrow" w:hAnsi="Arial Narrow"/>
                <w:sz w:val="20"/>
                <w:lang w:val="en-US"/>
              </w:rPr>
            </w:pPr>
            <w:r>
              <w:rPr>
                <w:rFonts w:ascii="Arial Narrow" w:hAnsi="Arial Narrow"/>
                <w:sz w:val="20"/>
                <w:lang w:val="en-US"/>
              </w:rPr>
              <w:t>IPF</w:t>
            </w:r>
          </w:p>
        </w:tc>
        <w:tc>
          <w:tcPr>
            <w:tcW w:w="763" w:type="pct"/>
            <w:vMerge/>
            <w:shd w:val="clear" w:color="auto" w:fill="auto"/>
            <w:vAlign w:val="center"/>
          </w:tcPr>
          <w:p w:rsidR="000950D9" w:rsidRPr="00E2771E" w:rsidRDefault="000950D9" w:rsidP="00D73941">
            <w:pPr>
              <w:keepNext/>
              <w:widowControl/>
              <w:jc w:val="center"/>
              <w:rPr>
                <w:rFonts w:ascii="Arial Narrow" w:hAnsi="Arial Narrow"/>
                <w:sz w:val="20"/>
                <w:lang w:val="en-US"/>
              </w:rPr>
            </w:pPr>
          </w:p>
        </w:tc>
        <w:tc>
          <w:tcPr>
            <w:tcW w:w="1525" w:type="pct"/>
            <w:vMerge w:val="restart"/>
            <w:shd w:val="clear" w:color="auto" w:fill="auto"/>
            <w:vAlign w:val="center"/>
          </w:tcPr>
          <w:p w:rsidR="000950D9" w:rsidRPr="00E2771E" w:rsidRDefault="000950D9" w:rsidP="00D73941">
            <w:pPr>
              <w:keepNext/>
              <w:widowControl/>
              <w:jc w:val="center"/>
              <w:rPr>
                <w:rFonts w:ascii="Arial Narrow" w:hAnsi="Arial Narrow"/>
                <w:sz w:val="20"/>
                <w:lang w:val="en-US"/>
              </w:rPr>
            </w:pPr>
            <w:r>
              <w:rPr>
                <w:rFonts w:ascii="Arial Narrow" w:hAnsi="Arial Narrow"/>
                <w:sz w:val="20"/>
              </w:rPr>
              <w:t xml:space="preserve">Kaplan </w:t>
            </w:r>
            <w:r w:rsidR="002F15A9">
              <w:rPr>
                <w:rFonts w:ascii="Arial Narrow" w:hAnsi="Arial Narrow"/>
                <w:sz w:val="20"/>
              </w:rPr>
              <w:t xml:space="preserve">Meier </w:t>
            </w:r>
            <w:r>
              <w:rPr>
                <w:rFonts w:ascii="Arial Narrow" w:hAnsi="Arial Narrow"/>
                <w:sz w:val="20"/>
              </w:rPr>
              <w:t>survival analysis: parametric extrapolation; transition probabilities, cycle probabilities of adverse events; utilities: EQ-5D</w:t>
            </w:r>
          </w:p>
        </w:tc>
      </w:tr>
      <w:tr w:rsidR="000950D9" w:rsidRPr="00E2771E" w:rsidTr="00582AFC">
        <w:tc>
          <w:tcPr>
            <w:tcW w:w="426" w:type="pct"/>
            <w:shd w:val="clear" w:color="auto" w:fill="auto"/>
            <w:vAlign w:val="center"/>
          </w:tcPr>
          <w:p w:rsidR="000950D9" w:rsidRPr="00E2771E" w:rsidRDefault="000950D9" w:rsidP="00D73941">
            <w:pPr>
              <w:keepNext/>
              <w:widowControl/>
              <w:jc w:val="left"/>
              <w:rPr>
                <w:rFonts w:ascii="Arial Narrow" w:hAnsi="Arial Narrow"/>
                <w:sz w:val="20"/>
                <w:lang w:val="en-US"/>
              </w:rPr>
            </w:pPr>
            <w:r>
              <w:rPr>
                <w:rFonts w:ascii="Arial Narrow" w:hAnsi="Arial Narrow"/>
                <w:sz w:val="20"/>
                <w:lang w:val="en-US"/>
              </w:rPr>
              <w:t>Trial 34</w:t>
            </w:r>
          </w:p>
        </w:tc>
        <w:tc>
          <w:tcPr>
            <w:tcW w:w="256" w:type="pct"/>
            <w:shd w:val="clear" w:color="auto" w:fill="auto"/>
            <w:vAlign w:val="center"/>
          </w:tcPr>
          <w:p w:rsidR="000950D9" w:rsidRPr="00E2771E" w:rsidRDefault="000950D9" w:rsidP="00D73941">
            <w:pPr>
              <w:keepNext/>
              <w:widowControl/>
              <w:jc w:val="center"/>
              <w:rPr>
                <w:rFonts w:ascii="Arial Narrow" w:hAnsi="Arial Narrow"/>
                <w:sz w:val="20"/>
                <w:lang w:val="en-US"/>
              </w:rPr>
            </w:pPr>
            <w:r>
              <w:rPr>
                <w:rFonts w:ascii="Arial Narrow" w:hAnsi="Arial Narrow"/>
                <w:sz w:val="20"/>
                <w:lang w:val="en-US"/>
              </w:rPr>
              <w:t>551</w:t>
            </w:r>
          </w:p>
        </w:tc>
        <w:tc>
          <w:tcPr>
            <w:tcW w:w="1014" w:type="pct"/>
            <w:vMerge/>
            <w:shd w:val="clear" w:color="auto" w:fill="auto"/>
            <w:vAlign w:val="center"/>
          </w:tcPr>
          <w:p w:rsidR="000950D9" w:rsidRPr="00E2771E" w:rsidRDefault="000950D9" w:rsidP="00D73941">
            <w:pPr>
              <w:keepNext/>
              <w:widowControl/>
              <w:jc w:val="center"/>
              <w:rPr>
                <w:rFonts w:ascii="Arial Narrow" w:hAnsi="Arial Narrow"/>
                <w:sz w:val="20"/>
                <w:lang w:val="en-US"/>
              </w:rPr>
            </w:pPr>
          </w:p>
        </w:tc>
        <w:tc>
          <w:tcPr>
            <w:tcW w:w="423" w:type="pct"/>
            <w:vMerge/>
            <w:shd w:val="clear" w:color="auto" w:fill="auto"/>
            <w:vAlign w:val="center"/>
          </w:tcPr>
          <w:p w:rsidR="000950D9" w:rsidRPr="00E2771E" w:rsidRDefault="000950D9" w:rsidP="00D73941">
            <w:pPr>
              <w:keepNext/>
              <w:widowControl/>
              <w:jc w:val="center"/>
              <w:rPr>
                <w:rFonts w:ascii="Arial Narrow" w:hAnsi="Arial Narrow"/>
                <w:sz w:val="20"/>
                <w:lang w:val="en-US"/>
              </w:rPr>
            </w:pPr>
          </w:p>
        </w:tc>
        <w:tc>
          <w:tcPr>
            <w:tcW w:w="593" w:type="pct"/>
            <w:vMerge/>
            <w:shd w:val="clear" w:color="auto" w:fill="auto"/>
            <w:vAlign w:val="center"/>
          </w:tcPr>
          <w:p w:rsidR="000950D9" w:rsidRPr="00E2771E" w:rsidRDefault="000950D9" w:rsidP="00D73941">
            <w:pPr>
              <w:keepNext/>
              <w:widowControl/>
              <w:jc w:val="center"/>
              <w:rPr>
                <w:rFonts w:ascii="Arial Narrow" w:hAnsi="Arial Narrow"/>
                <w:sz w:val="20"/>
                <w:lang w:val="en-US"/>
              </w:rPr>
            </w:pPr>
          </w:p>
        </w:tc>
        <w:tc>
          <w:tcPr>
            <w:tcW w:w="763" w:type="pct"/>
            <w:vMerge/>
            <w:shd w:val="clear" w:color="auto" w:fill="auto"/>
            <w:vAlign w:val="center"/>
          </w:tcPr>
          <w:p w:rsidR="000950D9" w:rsidRPr="00E2771E" w:rsidRDefault="000950D9" w:rsidP="00D73941">
            <w:pPr>
              <w:keepNext/>
              <w:widowControl/>
              <w:jc w:val="center"/>
              <w:rPr>
                <w:rFonts w:ascii="Arial Narrow" w:hAnsi="Arial Narrow"/>
                <w:sz w:val="20"/>
                <w:lang w:val="en-US"/>
              </w:rPr>
            </w:pPr>
          </w:p>
        </w:tc>
        <w:tc>
          <w:tcPr>
            <w:tcW w:w="1525" w:type="pct"/>
            <w:vMerge/>
            <w:shd w:val="clear" w:color="auto" w:fill="auto"/>
            <w:vAlign w:val="center"/>
          </w:tcPr>
          <w:p w:rsidR="000950D9" w:rsidRPr="00E2771E" w:rsidRDefault="000950D9" w:rsidP="00D73941">
            <w:pPr>
              <w:keepNext/>
              <w:widowControl/>
              <w:jc w:val="center"/>
              <w:rPr>
                <w:rFonts w:ascii="Arial Narrow" w:hAnsi="Arial Narrow"/>
                <w:sz w:val="20"/>
                <w:lang w:val="en-US"/>
              </w:rPr>
            </w:pPr>
          </w:p>
        </w:tc>
      </w:tr>
    </w:tbl>
    <w:p w:rsidR="000950D9" w:rsidRPr="0072416F" w:rsidRDefault="000950D9" w:rsidP="00D73941">
      <w:pPr>
        <w:pStyle w:val="TableFooter"/>
        <w:widowControl/>
        <w:ind w:left="720"/>
      </w:pPr>
      <w:r w:rsidRPr="002D50C6">
        <w:t>^ High risk of bias associated with the analyses of FVC change from baseline and incidence of acute IPF exacerbations.</w:t>
      </w:r>
      <w:r>
        <w:rPr>
          <w:i/>
        </w:rPr>
        <w:t xml:space="preserve">  </w:t>
      </w:r>
      <w:r>
        <w:t xml:space="preserve">Abbreviations: </w:t>
      </w:r>
      <w:r w:rsidRPr="0072416F">
        <w:t xml:space="preserve">DB=double blind; </w:t>
      </w:r>
      <w:r>
        <w:t xml:space="preserve">FVC=forced vital capacity; IPF=idiopathic pulmonary fibrosis.  </w:t>
      </w:r>
      <w:r w:rsidRPr="0072416F">
        <w:t>MC=multi-centre</w:t>
      </w:r>
      <w:r>
        <w:t>; MN=multinational</w:t>
      </w:r>
      <w:r w:rsidRPr="0072416F">
        <w:t>; R=randomised</w:t>
      </w:r>
      <w:r>
        <w:t>; SGRQ=St George’s Respiratory Questionnaire</w:t>
      </w:r>
      <w:r w:rsidRPr="0072416F">
        <w:t>.</w:t>
      </w:r>
      <w:r>
        <w:t xml:space="preserve"> </w:t>
      </w:r>
      <w:r w:rsidRPr="0072416F">
        <w:t>Source: compiled during the evaluation</w:t>
      </w:r>
    </w:p>
    <w:p w:rsidR="000950D9" w:rsidRDefault="000950D9" w:rsidP="00D73941">
      <w:pPr>
        <w:widowControl/>
      </w:pPr>
    </w:p>
    <w:p w:rsidR="000950D9" w:rsidRDefault="000950D9" w:rsidP="00D73941">
      <w:pPr>
        <w:pStyle w:val="ListParagraph"/>
        <w:widowControl/>
        <w:numPr>
          <w:ilvl w:val="1"/>
          <w:numId w:val="2"/>
        </w:numPr>
      </w:pPr>
      <w:r>
        <w:t xml:space="preserve">Meta-analyses of results from Trial 30, 32 and 34 </w:t>
      </w:r>
      <w:r w:rsidR="00130D2B">
        <w:t xml:space="preserve">were </w:t>
      </w:r>
      <w:r>
        <w:t xml:space="preserve">presented by the submission.  </w:t>
      </w:r>
      <w:r w:rsidRPr="002D50C6">
        <w:t xml:space="preserve">The inclusion of </w:t>
      </w:r>
      <w:r w:rsidR="002F15A9" w:rsidRPr="002D50C6">
        <w:t xml:space="preserve">the phase 2 </w:t>
      </w:r>
      <w:r w:rsidRPr="002D50C6">
        <w:t xml:space="preserve">Trial 30 in the meta-analyses </w:t>
      </w:r>
      <w:r w:rsidR="007B4FF2" w:rsidRPr="002D50C6">
        <w:t>was</w:t>
      </w:r>
      <w:r w:rsidRPr="002D50C6">
        <w:t xml:space="preserve"> questionable, due to differences in the handling of missing data (last observation carried forward approach) and the comparability of the trial populations (differing diagnostic criteria </w:t>
      </w:r>
      <w:r w:rsidR="00E8581E" w:rsidRPr="002D50C6">
        <w:t>was</w:t>
      </w:r>
      <w:r w:rsidRPr="002D50C6">
        <w:t xml:space="preserve"> applied for the diagnosis of IPF).</w:t>
      </w:r>
    </w:p>
    <w:p w:rsidR="00463031" w:rsidRDefault="00463031" w:rsidP="00D73941">
      <w:pPr>
        <w:pStyle w:val="ListParagraph"/>
        <w:widowControl/>
      </w:pPr>
    </w:p>
    <w:p w:rsidR="00463031" w:rsidRPr="00F16534" w:rsidRDefault="00463031" w:rsidP="00D73941">
      <w:pPr>
        <w:pStyle w:val="ListParagraph"/>
        <w:widowControl/>
        <w:numPr>
          <w:ilvl w:val="1"/>
          <w:numId w:val="2"/>
        </w:numPr>
      </w:pPr>
      <w:r w:rsidRPr="00F16534">
        <w:t xml:space="preserve">The PSCR acknowledged ‘the potential bias as a result of the difference in the handling of missing data’. The PSCR </w:t>
      </w:r>
      <w:r w:rsidR="00AE5C6F" w:rsidRPr="00F16534">
        <w:t>argued</w:t>
      </w:r>
      <w:r w:rsidRPr="00F16534">
        <w:t>, however, that the inclusion or exclusion of Trial 30 did not significantly alter the conclusions and that ‘despite the difference in diagnostic criteria there were no clinically significant differences between the trial populations’.</w:t>
      </w:r>
      <w:r w:rsidR="00AE5C6F" w:rsidRPr="00F16534">
        <w:t xml:space="preserve"> The ESC noted that the diagnostic criteria used in Trial 30 were the more recent updated criteria (Raghu 2011).</w:t>
      </w:r>
    </w:p>
    <w:p w:rsidR="000950D9" w:rsidRDefault="000950D9" w:rsidP="00D73941">
      <w:pPr>
        <w:widowControl/>
        <w:rPr>
          <w:szCs w:val="22"/>
        </w:rPr>
      </w:pPr>
    </w:p>
    <w:p w:rsidR="00F16534" w:rsidRPr="00F16534" w:rsidRDefault="00F16534" w:rsidP="00D73941">
      <w:pPr>
        <w:pStyle w:val="PBACHeading1"/>
        <w:numPr>
          <w:ilvl w:val="0"/>
          <w:numId w:val="0"/>
        </w:numPr>
        <w:ind w:left="720"/>
        <w:rPr>
          <w:b w:val="0"/>
          <w:i/>
        </w:rPr>
      </w:pPr>
      <w:r w:rsidRPr="00F16534">
        <w:rPr>
          <w:b w:val="0"/>
          <w:i/>
        </w:rPr>
        <w:t>For more detail on PBAC’s view, see section 7 “PBAC outcome”</w:t>
      </w:r>
    </w:p>
    <w:p w:rsidR="00F16534" w:rsidRPr="00882085" w:rsidRDefault="00F16534" w:rsidP="00D73941">
      <w:pPr>
        <w:widowControl/>
        <w:rPr>
          <w:szCs w:val="22"/>
        </w:rPr>
      </w:pPr>
    </w:p>
    <w:p w:rsidR="000950D9" w:rsidRPr="00E14A81" w:rsidRDefault="000950D9" w:rsidP="00D73941">
      <w:pPr>
        <w:pStyle w:val="Heading2"/>
        <w:widowControl/>
      </w:pPr>
      <w:bookmarkStart w:id="9" w:name="_Toc409510371"/>
      <w:r w:rsidRPr="00E14A81">
        <w:t>Comparative effectiveness</w:t>
      </w:r>
      <w:bookmarkEnd w:id="9"/>
    </w:p>
    <w:p w:rsidR="000950D9" w:rsidRDefault="000950D9" w:rsidP="00D73941">
      <w:pPr>
        <w:widowControl/>
        <w:rPr>
          <w:szCs w:val="22"/>
        </w:rPr>
      </w:pPr>
    </w:p>
    <w:p w:rsidR="0095703C" w:rsidRDefault="0095703C" w:rsidP="00D73941">
      <w:pPr>
        <w:pStyle w:val="ListParagraph"/>
        <w:widowControl/>
        <w:numPr>
          <w:ilvl w:val="1"/>
          <w:numId w:val="2"/>
        </w:numPr>
        <w:rPr>
          <w:szCs w:val="22"/>
        </w:rPr>
      </w:pPr>
      <w:r>
        <w:rPr>
          <w:szCs w:val="22"/>
        </w:rPr>
        <w:t>Key results from the meta-</w:t>
      </w:r>
      <w:r w:rsidR="000D0A81">
        <w:rPr>
          <w:szCs w:val="22"/>
        </w:rPr>
        <w:t>analyses</w:t>
      </w:r>
      <w:r>
        <w:rPr>
          <w:szCs w:val="22"/>
        </w:rPr>
        <w:t xml:space="preserve"> are presented in the table below</w:t>
      </w:r>
      <w:r w:rsidR="006E30DB">
        <w:rPr>
          <w:szCs w:val="22"/>
        </w:rPr>
        <w:t>.</w:t>
      </w:r>
    </w:p>
    <w:p w:rsidR="0095703C" w:rsidRPr="00882085" w:rsidRDefault="0095703C" w:rsidP="00D73941">
      <w:pPr>
        <w:pStyle w:val="ListParagraph"/>
        <w:widowControl/>
        <w:rPr>
          <w:szCs w:val="22"/>
        </w:rPr>
      </w:pPr>
    </w:p>
    <w:p w:rsidR="000950D9" w:rsidRDefault="000950D9" w:rsidP="00D73941">
      <w:pPr>
        <w:widowControl/>
        <w:ind w:firstLine="720"/>
        <w:rPr>
          <w:rStyle w:val="CommentReference"/>
        </w:rPr>
      </w:pPr>
      <w:r>
        <w:rPr>
          <w:rStyle w:val="CommentReference"/>
        </w:rPr>
        <w:t>Summary of the meta-analyses of key efficacy outcom</w:t>
      </w:r>
      <w:r w:rsidR="00603C00">
        <w:rPr>
          <w:rStyle w:val="CommentReference"/>
        </w:rPr>
        <w:t>es from the nintedanib trials</w:t>
      </w:r>
      <w:r>
        <w:rPr>
          <w:rStyle w:val="CommentReference"/>
        </w:rPr>
        <w:t xml:space="preserve">  </w:t>
      </w:r>
    </w:p>
    <w:tbl>
      <w:tblPr>
        <w:tblStyle w:val="TableGrid"/>
        <w:tblW w:w="8363" w:type="dxa"/>
        <w:tblInd w:w="737" w:type="dxa"/>
        <w:tblCellMar>
          <w:left w:w="28" w:type="dxa"/>
          <w:right w:w="28" w:type="dxa"/>
        </w:tblCellMar>
        <w:tblLook w:val="0480" w:firstRow="0" w:lastRow="0" w:firstColumn="1" w:lastColumn="0" w:noHBand="0" w:noVBand="1"/>
      </w:tblPr>
      <w:tblGrid>
        <w:gridCol w:w="1418"/>
        <w:gridCol w:w="3827"/>
        <w:gridCol w:w="3118"/>
      </w:tblGrid>
      <w:tr w:rsidR="000950D9" w:rsidRPr="00BE43F1" w:rsidTr="00A75604">
        <w:trPr>
          <w:tblHeader/>
        </w:trPr>
        <w:tc>
          <w:tcPr>
            <w:tcW w:w="5245" w:type="dxa"/>
            <w:gridSpan w:val="2"/>
            <w:vAlign w:val="center"/>
          </w:tcPr>
          <w:p w:rsidR="000950D9" w:rsidRPr="00BE43F1" w:rsidRDefault="000950D9" w:rsidP="00D73941">
            <w:pPr>
              <w:widowControl/>
              <w:jc w:val="left"/>
              <w:rPr>
                <w:rStyle w:val="CommentReference"/>
              </w:rPr>
            </w:pPr>
            <w:r w:rsidRPr="00BE43F1">
              <w:rPr>
                <w:rStyle w:val="CommentReference"/>
              </w:rPr>
              <w:t>Outcome</w:t>
            </w:r>
          </w:p>
        </w:tc>
        <w:tc>
          <w:tcPr>
            <w:tcW w:w="3118" w:type="dxa"/>
            <w:vAlign w:val="center"/>
          </w:tcPr>
          <w:p w:rsidR="000950D9" w:rsidRPr="00BE43F1" w:rsidRDefault="000950D9" w:rsidP="00D73941">
            <w:pPr>
              <w:widowControl/>
              <w:jc w:val="center"/>
              <w:rPr>
                <w:rStyle w:val="CommentReference"/>
              </w:rPr>
            </w:pPr>
            <w:r w:rsidRPr="00BE43F1">
              <w:rPr>
                <w:rStyle w:val="CommentReference"/>
              </w:rPr>
              <w:t>Meta analyses</w:t>
            </w:r>
            <w:r>
              <w:rPr>
                <w:rStyle w:val="CommentReference"/>
              </w:rPr>
              <w:t xml:space="preserve"> (Trial 30, 32 &amp; 34)</w:t>
            </w:r>
          </w:p>
        </w:tc>
      </w:tr>
      <w:tr w:rsidR="000950D9" w:rsidTr="00A75604">
        <w:tc>
          <w:tcPr>
            <w:tcW w:w="5245" w:type="dxa"/>
            <w:gridSpan w:val="2"/>
            <w:vAlign w:val="center"/>
          </w:tcPr>
          <w:p w:rsidR="000950D9" w:rsidRDefault="000950D9" w:rsidP="00D73941">
            <w:pPr>
              <w:widowControl/>
              <w:jc w:val="left"/>
              <w:rPr>
                <w:rStyle w:val="CommentReference"/>
                <w:b w:val="0"/>
              </w:rPr>
            </w:pPr>
            <w:r>
              <w:rPr>
                <w:rStyle w:val="CommentReference"/>
                <w:b w:val="0"/>
              </w:rPr>
              <w:t>Annual rate of decline in FVC (ml/year)</w:t>
            </w:r>
          </w:p>
        </w:tc>
        <w:tc>
          <w:tcPr>
            <w:tcW w:w="3118" w:type="dxa"/>
            <w:vAlign w:val="center"/>
          </w:tcPr>
          <w:p w:rsidR="000950D9" w:rsidRPr="00D73D23" w:rsidRDefault="000950D9" w:rsidP="00D73941">
            <w:pPr>
              <w:widowControl/>
              <w:jc w:val="center"/>
              <w:rPr>
                <w:rStyle w:val="CommentReference"/>
                <w:b w:val="0"/>
              </w:rPr>
            </w:pPr>
            <w:r>
              <w:rPr>
                <w:rStyle w:val="CommentReference"/>
                <w:b w:val="0"/>
              </w:rPr>
              <w:t>MD</w:t>
            </w:r>
            <w:r w:rsidRPr="00D73D23">
              <w:rPr>
                <w:rStyle w:val="CommentReference"/>
                <w:b w:val="0"/>
              </w:rPr>
              <w:t xml:space="preserve"> (95% CI) = </w:t>
            </w:r>
            <w:r w:rsidR="00ED4A35">
              <w:rPr>
                <w:rStyle w:val="CommentReference"/>
                <w:b w:val="0"/>
                <w:noProof/>
                <w:color w:val="000000"/>
                <w:highlight w:val="black"/>
              </w:rPr>
              <w:t>''''''''''''''' ''''''''''''''' ''''''''''''''''''</w:t>
            </w:r>
          </w:p>
        </w:tc>
      </w:tr>
      <w:tr w:rsidR="000950D9" w:rsidTr="00A75604">
        <w:tc>
          <w:tcPr>
            <w:tcW w:w="5245" w:type="dxa"/>
            <w:gridSpan w:val="2"/>
            <w:vAlign w:val="center"/>
          </w:tcPr>
          <w:p w:rsidR="000950D9" w:rsidRDefault="000950D9" w:rsidP="00D73941">
            <w:pPr>
              <w:widowControl/>
              <w:jc w:val="left"/>
              <w:rPr>
                <w:rStyle w:val="CommentReference"/>
                <w:b w:val="0"/>
              </w:rPr>
            </w:pPr>
            <w:r>
              <w:rPr>
                <w:rStyle w:val="CommentReference"/>
                <w:b w:val="0"/>
              </w:rPr>
              <w:t>Absolute change in FVC%Pred from baseline to week 52</w:t>
            </w:r>
          </w:p>
        </w:tc>
        <w:tc>
          <w:tcPr>
            <w:tcW w:w="3118" w:type="dxa"/>
            <w:vAlign w:val="center"/>
          </w:tcPr>
          <w:p w:rsidR="000950D9" w:rsidRDefault="000950D9" w:rsidP="00D73941">
            <w:pPr>
              <w:widowControl/>
              <w:jc w:val="center"/>
              <w:rPr>
                <w:rStyle w:val="CommentReference"/>
                <w:b w:val="0"/>
              </w:rPr>
            </w:pPr>
            <w:r>
              <w:rPr>
                <w:rStyle w:val="CommentReference"/>
                <w:b w:val="0"/>
              </w:rPr>
              <w:t xml:space="preserve">MD (95% CI) = </w:t>
            </w:r>
            <w:r w:rsidR="00ED4A35">
              <w:rPr>
                <w:rStyle w:val="CommentReference"/>
                <w:b w:val="0"/>
                <w:noProof/>
                <w:color w:val="000000"/>
                <w:highlight w:val="black"/>
              </w:rPr>
              <w:t>'''''''''' ''''''''''''''' '''''''''''</w:t>
            </w:r>
          </w:p>
        </w:tc>
      </w:tr>
      <w:tr w:rsidR="000950D9" w:rsidTr="00A75604">
        <w:tc>
          <w:tcPr>
            <w:tcW w:w="5245" w:type="dxa"/>
            <w:gridSpan w:val="2"/>
            <w:vAlign w:val="center"/>
          </w:tcPr>
          <w:p w:rsidR="000950D9" w:rsidRPr="00D73D23" w:rsidRDefault="000950D9" w:rsidP="00D73941">
            <w:pPr>
              <w:widowControl/>
              <w:jc w:val="left"/>
              <w:rPr>
                <w:rStyle w:val="CommentReference"/>
                <w:b w:val="0"/>
              </w:rPr>
            </w:pPr>
            <w:r w:rsidRPr="00D73D23">
              <w:rPr>
                <w:rStyle w:val="CommentReference"/>
                <w:b w:val="0"/>
              </w:rPr>
              <w:t xml:space="preserve">Proportion of patients with a decline in </w:t>
            </w:r>
            <w:proofErr w:type="spellStart"/>
            <w:r w:rsidRPr="00D73D23">
              <w:rPr>
                <w:rStyle w:val="CommentReference"/>
                <w:b w:val="0"/>
              </w:rPr>
              <w:t>FVC%pred</w:t>
            </w:r>
            <w:proofErr w:type="spellEnd"/>
            <w:r w:rsidRPr="00D73D23">
              <w:rPr>
                <w:rStyle w:val="CommentReference"/>
                <w:b w:val="0"/>
              </w:rPr>
              <w:t xml:space="preserve"> &lt;5% over 52 weeks</w:t>
            </w:r>
          </w:p>
        </w:tc>
        <w:tc>
          <w:tcPr>
            <w:tcW w:w="3118" w:type="dxa"/>
            <w:vAlign w:val="center"/>
          </w:tcPr>
          <w:p w:rsidR="000950D9" w:rsidRDefault="000950D9" w:rsidP="00D73941">
            <w:pPr>
              <w:widowControl/>
              <w:jc w:val="center"/>
              <w:rPr>
                <w:rStyle w:val="CommentReference"/>
                <w:b w:val="0"/>
              </w:rPr>
            </w:pPr>
            <w:r>
              <w:rPr>
                <w:rStyle w:val="CommentReference"/>
                <w:b w:val="0"/>
              </w:rPr>
              <w:t xml:space="preserve">RR (95% CI) = </w:t>
            </w:r>
            <w:r w:rsidR="00ED4A35">
              <w:rPr>
                <w:rStyle w:val="CommentReference"/>
                <w:b w:val="0"/>
                <w:noProof/>
                <w:color w:val="000000"/>
                <w:highlight w:val="black"/>
              </w:rPr>
              <w:t>'''''''''' ''''''''''''' ''''''''''''''</w:t>
            </w:r>
          </w:p>
        </w:tc>
      </w:tr>
      <w:tr w:rsidR="000950D9" w:rsidTr="00A75604">
        <w:tc>
          <w:tcPr>
            <w:tcW w:w="1418" w:type="dxa"/>
            <w:vMerge w:val="restart"/>
            <w:vAlign w:val="center"/>
          </w:tcPr>
          <w:p w:rsidR="000950D9" w:rsidRDefault="000950D9" w:rsidP="00D73941">
            <w:pPr>
              <w:widowControl/>
              <w:jc w:val="left"/>
              <w:rPr>
                <w:rStyle w:val="CommentReference"/>
                <w:b w:val="0"/>
              </w:rPr>
            </w:pPr>
            <w:r>
              <w:rPr>
                <w:rStyle w:val="CommentReference"/>
                <w:b w:val="0"/>
              </w:rPr>
              <w:t>Incidence of acute IPF exacerbation</w:t>
            </w:r>
          </w:p>
        </w:tc>
        <w:tc>
          <w:tcPr>
            <w:tcW w:w="3827" w:type="dxa"/>
            <w:vAlign w:val="center"/>
          </w:tcPr>
          <w:p w:rsidR="000950D9" w:rsidRDefault="000950D9" w:rsidP="00D73941">
            <w:pPr>
              <w:widowControl/>
              <w:jc w:val="left"/>
              <w:rPr>
                <w:rStyle w:val="CommentReference"/>
                <w:b w:val="0"/>
              </w:rPr>
            </w:pPr>
            <w:r>
              <w:rPr>
                <w:rStyle w:val="CommentReference"/>
                <w:b w:val="0"/>
              </w:rPr>
              <w:t>Investigator reported</w:t>
            </w:r>
          </w:p>
        </w:tc>
        <w:tc>
          <w:tcPr>
            <w:tcW w:w="3118" w:type="dxa"/>
            <w:vAlign w:val="center"/>
          </w:tcPr>
          <w:p w:rsidR="000950D9" w:rsidRDefault="000950D9" w:rsidP="00D73941">
            <w:pPr>
              <w:widowControl/>
              <w:jc w:val="center"/>
              <w:rPr>
                <w:rStyle w:val="CommentReference"/>
                <w:b w:val="0"/>
              </w:rPr>
            </w:pPr>
            <w:r>
              <w:rPr>
                <w:rStyle w:val="CommentReference"/>
                <w:b w:val="0"/>
              </w:rPr>
              <w:t xml:space="preserve">RR (95% CI) = </w:t>
            </w:r>
            <w:r w:rsidR="00ED4A35">
              <w:rPr>
                <w:rStyle w:val="CommentReference"/>
                <w:b w:val="0"/>
                <w:noProof/>
                <w:color w:val="000000"/>
                <w:highlight w:val="black"/>
              </w:rPr>
              <w:t>'''''''''' ''''''''''''''' ''''''''''''''</w:t>
            </w:r>
          </w:p>
        </w:tc>
      </w:tr>
      <w:tr w:rsidR="000950D9" w:rsidTr="00A75604">
        <w:tc>
          <w:tcPr>
            <w:tcW w:w="1418" w:type="dxa"/>
            <w:vMerge/>
            <w:vAlign w:val="center"/>
          </w:tcPr>
          <w:p w:rsidR="000950D9" w:rsidRDefault="000950D9" w:rsidP="00D73941">
            <w:pPr>
              <w:widowControl/>
              <w:jc w:val="left"/>
              <w:rPr>
                <w:rStyle w:val="CommentReference"/>
                <w:b w:val="0"/>
              </w:rPr>
            </w:pPr>
          </w:p>
        </w:tc>
        <w:tc>
          <w:tcPr>
            <w:tcW w:w="3827" w:type="dxa"/>
            <w:vAlign w:val="center"/>
          </w:tcPr>
          <w:p w:rsidR="000950D9" w:rsidRDefault="000950D9" w:rsidP="00D73941">
            <w:pPr>
              <w:widowControl/>
              <w:jc w:val="left"/>
              <w:rPr>
                <w:rStyle w:val="CommentReference"/>
                <w:b w:val="0"/>
              </w:rPr>
            </w:pPr>
            <w:r>
              <w:rPr>
                <w:rStyle w:val="CommentReference"/>
                <w:b w:val="0"/>
              </w:rPr>
              <w:t>Independent adjudication (Trial 32 &amp; 34)</w:t>
            </w:r>
          </w:p>
        </w:tc>
        <w:tc>
          <w:tcPr>
            <w:tcW w:w="3118" w:type="dxa"/>
            <w:vAlign w:val="center"/>
          </w:tcPr>
          <w:p w:rsidR="000950D9" w:rsidRDefault="000950D9" w:rsidP="00D73941">
            <w:pPr>
              <w:widowControl/>
              <w:jc w:val="center"/>
              <w:rPr>
                <w:rStyle w:val="CommentReference"/>
                <w:b w:val="0"/>
              </w:rPr>
            </w:pPr>
            <w:r>
              <w:rPr>
                <w:rStyle w:val="CommentReference"/>
                <w:b w:val="0"/>
              </w:rPr>
              <w:t xml:space="preserve">RR (95% CI) = </w:t>
            </w:r>
            <w:r w:rsidR="00ED4A35">
              <w:rPr>
                <w:rStyle w:val="CommentReference"/>
                <w:b w:val="0"/>
                <w:noProof/>
                <w:color w:val="000000"/>
                <w:highlight w:val="black"/>
              </w:rPr>
              <w:t>'''''''''' '''''''''''''' '''''''''''''</w:t>
            </w:r>
          </w:p>
        </w:tc>
      </w:tr>
      <w:tr w:rsidR="000950D9" w:rsidTr="00A75604">
        <w:tc>
          <w:tcPr>
            <w:tcW w:w="5245" w:type="dxa"/>
            <w:gridSpan w:val="2"/>
            <w:vAlign w:val="center"/>
          </w:tcPr>
          <w:p w:rsidR="000950D9" w:rsidRDefault="000950D9" w:rsidP="00D73941">
            <w:pPr>
              <w:widowControl/>
              <w:jc w:val="left"/>
              <w:rPr>
                <w:rStyle w:val="CommentReference"/>
                <w:b w:val="0"/>
              </w:rPr>
            </w:pPr>
            <w:r>
              <w:rPr>
                <w:rStyle w:val="CommentReference"/>
                <w:b w:val="0"/>
              </w:rPr>
              <w:t>Survival: all-cause mortality over 52 weeks</w:t>
            </w:r>
          </w:p>
        </w:tc>
        <w:tc>
          <w:tcPr>
            <w:tcW w:w="3118" w:type="dxa"/>
            <w:vAlign w:val="center"/>
          </w:tcPr>
          <w:p w:rsidR="000950D9" w:rsidRDefault="000950D9" w:rsidP="00D73941">
            <w:pPr>
              <w:widowControl/>
              <w:jc w:val="center"/>
              <w:rPr>
                <w:rStyle w:val="CommentReference"/>
                <w:b w:val="0"/>
              </w:rPr>
            </w:pPr>
            <w:r>
              <w:rPr>
                <w:rStyle w:val="CommentReference"/>
                <w:b w:val="0"/>
              </w:rPr>
              <w:t xml:space="preserve">RR (95% CI) = </w:t>
            </w:r>
            <w:r w:rsidR="00ED4A35">
              <w:rPr>
                <w:rStyle w:val="CommentReference"/>
                <w:b w:val="0"/>
                <w:noProof/>
                <w:color w:val="000000"/>
                <w:highlight w:val="black"/>
              </w:rPr>
              <w:t>'''''''''' '''''''''''' ''''''''''''</w:t>
            </w:r>
          </w:p>
        </w:tc>
      </w:tr>
      <w:tr w:rsidR="000950D9" w:rsidTr="00A75604">
        <w:tc>
          <w:tcPr>
            <w:tcW w:w="5245" w:type="dxa"/>
            <w:gridSpan w:val="2"/>
            <w:vAlign w:val="center"/>
          </w:tcPr>
          <w:p w:rsidR="000950D9" w:rsidRDefault="000950D9" w:rsidP="00D73941">
            <w:pPr>
              <w:widowControl/>
              <w:jc w:val="left"/>
              <w:rPr>
                <w:rStyle w:val="CommentReference"/>
                <w:b w:val="0"/>
              </w:rPr>
            </w:pPr>
            <w:r>
              <w:rPr>
                <w:rStyle w:val="CommentReference"/>
                <w:b w:val="0"/>
              </w:rPr>
              <w:t>SGRQ: change from baseline over 52 weeks</w:t>
            </w:r>
          </w:p>
        </w:tc>
        <w:tc>
          <w:tcPr>
            <w:tcW w:w="3118" w:type="dxa"/>
            <w:vAlign w:val="center"/>
          </w:tcPr>
          <w:p w:rsidR="000950D9" w:rsidRDefault="000950D9" w:rsidP="00D73941">
            <w:pPr>
              <w:widowControl/>
              <w:jc w:val="center"/>
              <w:rPr>
                <w:rStyle w:val="CommentReference"/>
                <w:b w:val="0"/>
              </w:rPr>
            </w:pPr>
            <w:r>
              <w:rPr>
                <w:rStyle w:val="CommentReference"/>
                <w:b w:val="0"/>
              </w:rPr>
              <w:t>MD (95% CI) = -</w:t>
            </w:r>
            <w:r w:rsidR="00ED4A35">
              <w:rPr>
                <w:rStyle w:val="CommentReference"/>
                <w:b w:val="0"/>
                <w:noProof/>
                <w:color w:val="000000"/>
                <w:highlight w:val="black"/>
              </w:rPr>
              <w:t>''''''''''' '''''''''''''''' '''''''''''</w:t>
            </w:r>
          </w:p>
        </w:tc>
      </w:tr>
    </w:tbl>
    <w:p w:rsidR="000950D9" w:rsidRPr="007F1017" w:rsidRDefault="000950D9" w:rsidP="00D73941">
      <w:pPr>
        <w:pStyle w:val="TableFooter"/>
        <w:widowControl/>
        <w:ind w:left="720"/>
      </w:pPr>
      <w:r>
        <w:t xml:space="preserve">Abbreviations: FVC = forced vital capacity; IPF = idiopathic pulmonary fibrosis; MD = mean difference; RR = relative risk; SGRQ = St George’s Respiratory Questionnaire.  </w:t>
      </w:r>
      <w:r w:rsidRPr="007F1017">
        <w:t xml:space="preserve">Source: </w:t>
      </w:r>
      <w:r>
        <w:t>Table B.8-1, pp107-108 of the submission</w:t>
      </w:r>
    </w:p>
    <w:p w:rsidR="000950D9" w:rsidRDefault="000950D9" w:rsidP="00D73941">
      <w:pPr>
        <w:widowControl/>
        <w:rPr>
          <w:szCs w:val="22"/>
        </w:rPr>
      </w:pPr>
    </w:p>
    <w:p w:rsidR="00650E41" w:rsidRDefault="00650E41" w:rsidP="00D73941">
      <w:pPr>
        <w:pStyle w:val="ListParagraph"/>
        <w:widowControl/>
        <w:numPr>
          <w:ilvl w:val="1"/>
          <w:numId w:val="2"/>
        </w:numPr>
        <w:rPr>
          <w:szCs w:val="22"/>
        </w:rPr>
      </w:pPr>
      <w:r w:rsidRPr="002D50C6">
        <w:rPr>
          <w:szCs w:val="22"/>
        </w:rPr>
        <w:t xml:space="preserve">The impact of </w:t>
      </w:r>
      <w:r w:rsidR="002F15A9" w:rsidRPr="002D50C6">
        <w:rPr>
          <w:szCs w:val="22"/>
        </w:rPr>
        <w:t>the statistically significant difference across measures of change in FVC over 52 weeks</w:t>
      </w:r>
      <w:r w:rsidRPr="002D50C6">
        <w:rPr>
          <w:szCs w:val="22"/>
        </w:rPr>
        <w:t xml:space="preserve"> upon patient relevant outcomes is addressed in the clinical claim.</w:t>
      </w:r>
      <w:bookmarkStart w:id="10" w:name="_GoBack"/>
      <w:bookmarkEnd w:id="10"/>
    </w:p>
    <w:p w:rsidR="0045632B" w:rsidRDefault="0045632B" w:rsidP="00D73941">
      <w:pPr>
        <w:pStyle w:val="ListParagraph"/>
        <w:widowControl/>
        <w:rPr>
          <w:szCs w:val="22"/>
        </w:rPr>
      </w:pPr>
    </w:p>
    <w:p w:rsidR="0045632B" w:rsidRPr="00F16534" w:rsidRDefault="0045632B" w:rsidP="00D73941">
      <w:pPr>
        <w:pStyle w:val="ListParagraph"/>
        <w:widowControl/>
        <w:numPr>
          <w:ilvl w:val="1"/>
          <w:numId w:val="2"/>
        </w:numPr>
        <w:rPr>
          <w:szCs w:val="22"/>
        </w:rPr>
      </w:pPr>
      <w:r w:rsidRPr="00F16534">
        <w:rPr>
          <w:szCs w:val="22"/>
        </w:rPr>
        <w:lastRenderedPageBreak/>
        <w:t xml:space="preserve">The table </w:t>
      </w:r>
      <w:r w:rsidR="000940CC" w:rsidRPr="00F16534">
        <w:rPr>
          <w:szCs w:val="22"/>
        </w:rPr>
        <w:t xml:space="preserve">below </w:t>
      </w:r>
      <w:r w:rsidRPr="00F16534">
        <w:rPr>
          <w:szCs w:val="22"/>
        </w:rPr>
        <w:t xml:space="preserve">presents </w:t>
      </w:r>
      <w:r w:rsidR="009C3F3A">
        <w:rPr>
          <w:szCs w:val="22"/>
        </w:rPr>
        <w:t xml:space="preserve">the </w:t>
      </w:r>
      <w:r w:rsidRPr="00F16534">
        <w:rPr>
          <w:szCs w:val="22"/>
        </w:rPr>
        <w:t>results of the incidence of investigator reported and adjudicated acute IPF exacerbations.</w:t>
      </w:r>
      <w:r w:rsidR="00907459" w:rsidRPr="00F16534">
        <w:rPr>
          <w:szCs w:val="22"/>
        </w:rPr>
        <w:t xml:space="preserve"> Results for the incidence of </w:t>
      </w:r>
      <w:r w:rsidR="00412B52" w:rsidRPr="00F16534">
        <w:rPr>
          <w:szCs w:val="22"/>
        </w:rPr>
        <w:t>acute</w:t>
      </w:r>
      <w:r w:rsidR="00907459" w:rsidRPr="00F16534">
        <w:rPr>
          <w:szCs w:val="22"/>
        </w:rPr>
        <w:t xml:space="preserve"> IPF exacerbations were </w:t>
      </w:r>
      <w:r w:rsidR="00412B52" w:rsidRPr="00F16534">
        <w:rPr>
          <w:szCs w:val="22"/>
        </w:rPr>
        <w:t>inconsistent</w:t>
      </w:r>
      <w:r w:rsidR="00907459" w:rsidRPr="00F16534">
        <w:rPr>
          <w:szCs w:val="22"/>
        </w:rPr>
        <w:t xml:space="preserve"> across the trials and a</w:t>
      </w:r>
      <w:r w:rsidRPr="00F16534">
        <w:t xml:space="preserve">cute IPF exacerbations in Trial 30 were </w:t>
      </w:r>
      <w:r w:rsidR="000940CC" w:rsidRPr="00F16534">
        <w:t xml:space="preserve">based on investigator-assessed outcomes </w:t>
      </w:r>
      <w:r w:rsidRPr="00F16534">
        <w:t>reporting. The PSCR</w:t>
      </w:r>
      <w:r w:rsidR="00907459" w:rsidRPr="00F16534">
        <w:t xml:space="preserve"> acknowledged </w:t>
      </w:r>
      <w:r w:rsidRPr="00F16534">
        <w:t xml:space="preserve">that, given the subjectivity associated with the assessment of acute IPF exacerbation, </w:t>
      </w:r>
      <w:r w:rsidR="00907459" w:rsidRPr="00F16534">
        <w:t>the</w:t>
      </w:r>
      <w:r w:rsidRPr="00F16534">
        <w:t xml:space="preserve"> independent adjudication process used in Trial</w:t>
      </w:r>
      <w:r w:rsidR="001204A0" w:rsidRPr="00F16534">
        <w:t>s</w:t>
      </w:r>
      <w:r w:rsidR="0043374B">
        <w:t xml:space="preserve"> 32 and 34 wa</w:t>
      </w:r>
      <w:r w:rsidRPr="00F16534">
        <w:t xml:space="preserve">s less </w:t>
      </w:r>
      <w:r w:rsidR="00130D2B">
        <w:t xml:space="preserve">subject to </w:t>
      </w:r>
      <w:r w:rsidRPr="00F16534">
        <w:t xml:space="preserve">bias. </w:t>
      </w:r>
      <w:r w:rsidR="00F859A0">
        <w:t xml:space="preserve">The statistically significant risk ratio for the incidence of adjudicated acute IPF exacerbations </w:t>
      </w:r>
      <w:r w:rsidR="00F859A0">
        <w:rPr>
          <w:szCs w:val="22"/>
        </w:rPr>
        <w:t>i</w:t>
      </w:r>
      <w:r w:rsidR="00F859A0" w:rsidRPr="004B0536">
        <w:rPr>
          <w:szCs w:val="22"/>
        </w:rPr>
        <w:t>nd</w:t>
      </w:r>
      <w:r w:rsidR="00F859A0">
        <w:rPr>
          <w:szCs w:val="22"/>
        </w:rPr>
        <w:t>icated</w:t>
      </w:r>
      <w:r w:rsidR="00F859A0" w:rsidRPr="004B0536">
        <w:rPr>
          <w:szCs w:val="22"/>
        </w:rPr>
        <w:t xml:space="preserve"> an approximately 65% reduction assoc</w:t>
      </w:r>
      <w:r w:rsidR="00F859A0">
        <w:rPr>
          <w:szCs w:val="22"/>
        </w:rPr>
        <w:t xml:space="preserve">iated with nintedanib treatment. </w:t>
      </w:r>
      <w:r w:rsidRPr="00F16534">
        <w:t xml:space="preserve">The ESC noted the </w:t>
      </w:r>
      <w:r w:rsidR="00907459" w:rsidRPr="00F16534">
        <w:t xml:space="preserve">absolute </w:t>
      </w:r>
      <w:r w:rsidRPr="00F16534">
        <w:t>number</w:t>
      </w:r>
      <w:r w:rsidR="00907459" w:rsidRPr="00F16534">
        <w:t>s</w:t>
      </w:r>
      <w:r w:rsidRPr="00F16534">
        <w:t xml:space="preserve"> of adjudicated acute IPF exacerbations </w:t>
      </w:r>
      <w:r w:rsidR="00AE5C6F" w:rsidRPr="00F16534">
        <w:t>were small</w:t>
      </w:r>
      <w:r w:rsidR="00130D2B">
        <w:t>,</w:t>
      </w:r>
      <w:r w:rsidR="00AE5C6F" w:rsidRPr="00F16534">
        <w:t xml:space="preserve"> </w:t>
      </w:r>
      <w:r w:rsidRPr="00F16534">
        <w:t>with 12</w:t>
      </w:r>
      <w:r w:rsidR="007418A9" w:rsidRPr="00F16534">
        <w:t xml:space="preserve"> </w:t>
      </w:r>
      <w:r w:rsidR="00AE5C6F" w:rsidRPr="00F16534">
        <w:t>out of</w:t>
      </w:r>
      <w:r w:rsidR="007418A9" w:rsidRPr="00F16534">
        <w:t xml:space="preserve"> </w:t>
      </w:r>
      <w:r w:rsidRPr="00F16534">
        <w:t xml:space="preserve">638 </w:t>
      </w:r>
      <w:r w:rsidR="007418A9" w:rsidRPr="00F16534">
        <w:t xml:space="preserve">participants </w:t>
      </w:r>
      <w:r w:rsidR="00AE5C6F" w:rsidRPr="00F16534">
        <w:t xml:space="preserve">experiencing an acute exacerbation event </w:t>
      </w:r>
      <w:r w:rsidRPr="00F16534">
        <w:t xml:space="preserve">in the nintedanib arm </w:t>
      </w:r>
      <w:r w:rsidR="00AE5C6F" w:rsidRPr="00F16534">
        <w:t xml:space="preserve">compared with </w:t>
      </w:r>
      <w:r w:rsidR="007418A9" w:rsidRPr="00F16534">
        <w:t xml:space="preserve">24 of </w:t>
      </w:r>
      <w:r w:rsidRPr="00F16534">
        <w:t xml:space="preserve">423 </w:t>
      </w:r>
      <w:r w:rsidR="00AE5C6F" w:rsidRPr="00F16534">
        <w:t xml:space="preserve">participants </w:t>
      </w:r>
      <w:r w:rsidRPr="00F16534">
        <w:t>in the placebo arm</w:t>
      </w:r>
      <w:r w:rsidR="00907459" w:rsidRPr="00F16534">
        <w:t xml:space="preserve">. </w:t>
      </w:r>
    </w:p>
    <w:p w:rsidR="00F77074" w:rsidRDefault="00F77074" w:rsidP="00D73941">
      <w:pPr>
        <w:pStyle w:val="PBACHeading1"/>
        <w:numPr>
          <w:ilvl w:val="0"/>
          <w:numId w:val="0"/>
        </w:numPr>
        <w:ind w:left="720" w:hanging="720"/>
      </w:pPr>
    </w:p>
    <w:p w:rsidR="00F77074" w:rsidRPr="00F16534" w:rsidRDefault="00F77074" w:rsidP="00D73941">
      <w:pPr>
        <w:keepNext/>
        <w:widowControl/>
        <w:ind w:left="709"/>
        <w:rPr>
          <w:rStyle w:val="CommentReference"/>
        </w:rPr>
      </w:pPr>
      <w:r w:rsidRPr="00F16534">
        <w:rPr>
          <w:rStyle w:val="CommentReference"/>
        </w:rPr>
        <w:t>Incidence of acute IPF exacerbations: investigator reported; adjudicated events</w:t>
      </w:r>
    </w:p>
    <w:tbl>
      <w:tblPr>
        <w:tblStyle w:val="TableGrid"/>
        <w:tblW w:w="4592" w:type="pct"/>
        <w:tblInd w:w="737" w:type="dxa"/>
        <w:tblCellMar>
          <w:left w:w="28" w:type="dxa"/>
          <w:right w:w="28" w:type="dxa"/>
        </w:tblCellMar>
        <w:tblLook w:val="04A0" w:firstRow="1" w:lastRow="0" w:firstColumn="1" w:lastColumn="0" w:noHBand="0" w:noVBand="1"/>
      </w:tblPr>
      <w:tblGrid>
        <w:gridCol w:w="707"/>
        <w:gridCol w:w="1702"/>
        <w:gridCol w:w="1418"/>
        <w:gridCol w:w="1560"/>
        <w:gridCol w:w="1415"/>
        <w:gridCol w:w="1540"/>
      </w:tblGrid>
      <w:tr w:rsidR="00F77074" w:rsidRPr="00F16534" w:rsidTr="00F77074">
        <w:trPr>
          <w:tblHeader/>
        </w:trPr>
        <w:tc>
          <w:tcPr>
            <w:tcW w:w="424" w:type="pct"/>
            <w:vMerge w:val="restart"/>
            <w:vAlign w:val="center"/>
          </w:tcPr>
          <w:p w:rsidR="00F77074" w:rsidRPr="00F16534" w:rsidRDefault="00F77074" w:rsidP="00D73941">
            <w:pPr>
              <w:keepNext/>
              <w:widowControl/>
              <w:jc w:val="left"/>
              <w:rPr>
                <w:rStyle w:val="CommentReference"/>
              </w:rPr>
            </w:pPr>
            <w:r w:rsidRPr="00F16534">
              <w:rPr>
                <w:rStyle w:val="CommentReference"/>
              </w:rPr>
              <w:t>Trial</w:t>
            </w:r>
          </w:p>
        </w:tc>
        <w:tc>
          <w:tcPr>
            <w:tcW w:w="1870" w:type="pct"/>
            <w:gridSpan w:val="2"/>
            <w:vAlign w:val="center"/>
          </w:tcPr>
          <w:p w:rsidR="00F77074" w:rsidRPr="00F16534" w:rsidRDefault="00F77074" w:rsidP="00D73941">
            <w:pPr>
              <w:keepNext/>
              <w:widowControl/>
              <w:jc w:val="center"/>
              <w:rPr>
                <w:rStyle w:val="CommentReference"/>
              </w:rPr>
            </w:pPr>
            <w:r w:rsidRPr="00F16534">
              <w:rPr>
                <w:rStyle w:val="CommentReference"/>
              </w:rPr>
              <w:t>Incidence of acute IPF exacerbations: n/N (%)</w:t>
            </w:r>
          </w:p>
        </w:tc>
        <w:tc>
          <w:tcPr>
            <w:tcW w:w="2706" w:type="pct"/>
            <w:gridSpan w:val="3"/>
            <w:vAlign w:val="center"/>
          </w:tcPr>
          <w:p w:rsidR="00F77074" w:rsidRPr="00F16534" w:rsidRDefault="00F77074" w:rsidP="00D73941">
            <w:pPr>
              <w:keepNext/>
              <w:widowControl/>
              <w:jc w:val="center"/>
              <w:rPr>
                <w:rStyle w:val="CommentReference"/>
              </w:rPr>
            </w:pPr>
            <w:r w:rsidRPr="00F16534">
              <w:rPr>
                <w:rStyle w:val="CommentReference"/>
              </w:rPr>
              <w:t>Treatment effect</w:t>
            </w:r>
          </w:p>
        </w:tc>
      </w:tr>
      <w:tr w:rsidR="00F77074" w:rsidRPr="00F16534" w:rsidTr="00F77074">
        <w:trPr>
          <w:tblHeader/>
        </w:trPr>
        <w:tc>
          <w:tcPr>
            <w:tcW w:w="424" w:type="pct"/>
            <w:vMerge/>
            <w:vAlign w:val="center"/>
          </w:tcPr>
          <w:p w:rsidR="00F77074" w:rsidRPr="00F16534" w:rsidRDefault="00F77074" w:rsidP="00D73941">
            <w:pPr>
              <w:keepNext/>
              <w:widowControl/>
              <w:jc w:val="left"/>
              <w:rPr>
                <w:rStyle w:val="CommentReference"/>
                <w:b w:val="0"/>
              </w:rPr>
            </w:pPr>
          </w:p>
        </w:tc>
        <w:tc>
          <w:tcPr>
            <w:tcW w:w="1020" w:type="pct"/>
            <w:vAlign w:val="center"/>
          </w:tcPr>
          <w:p w:rsidR="00F77074" w:rsidRPr="00F16534" w:rsidRDefault="00F77074" w:rsidP="00D73941">
            <w:pPr>
              <w:keepNext/>
              <w:widowControl/>
              <w:jc w:val="center"/>
              <w:rPr>
                <w:rStyle w:val="CommentReference"/>
              </w:rPr>
            </w:pPr>
            <w:r w:rsidRPr="00F16534">
              <w:rPr>
                <w:rStyle w:val="CommentReference"/>
              </w:rPr>
              <w:t xml:space="preserve">Nintedanib </w:t>
            </w:r>
          </w:p>
        </w:tc>
        <w:tc>
          <w:tcPr>
            <w:tcW w:w="850" w:type="pct"/>
            <w:vAlign w:val="center"/>
          </w:tcPr>
          <w:p w:rsidR="00F77074" w:rsidRPr="00F16534" w:rsidRDefault="00F77074" w:rsidP="00D73941">
            <w:pPr>
              <w:keepNext/>
              <w:widowControl/>
              <w:jc w:val="center"/>
              <w:rPr>
                <w:rStyle w:val="CommentReference"/>
              </w:rPr>
            </w:pPr>
            <w:r w:rsidRPr="00F16534">
              <w:rPr>
                <w:rStyle w:val="CommentReference"/>
              </w:rPr>
              <w:t>Placebo</w:t>
            </w:r>
          </w:p>
        </w:tc>
        <w:tc>
          <w:tcPr>
            <w:tcW w:w="935" w:type="pct"/>
            <w:vAlign w:val="center"/>
          </w:tcPr>
          <w:p w:rsidR="00F77074" w:rsidRPr="00F16534" w:rsidRDefault="00F77074" w:rsidP="00D73941">
            <w:pPr>
              <w:keepNext/>
              <w:widowControl/>
              <w:jc w:val="center"/>
              <w:rPr>
                <w:rStyle w:val="CommentReference"/>
              </w:rPr>
            </w:pPr>
            <w:r w:rsidRPr="00F16534">
              <w:rPr>
                <w:rStyle w:val="CommentReference"/>
              </w:rPr>
              <w:t>HR (95% CI)</w:t>
            </w:r>
          </w:p>
        </w:tc>
        <w:tc>
          <w:tcPr>
            <w:tcW w:w="848" w:type="pct"/>
            <w:vAlign w:val="center"/>
          </w:tcPr>
          <w:p w:rsidR="00F77074" w:rsidRPr="00F16534" w:rsidRDefault="00F77074" w:rsidP="00D73941">
            <w:pPr>
              <w:keepNext/>
              <w:widowControl/>
              <w:jc w:val="center"/>
              <w:rPr>
                <w:rStyle w:val="CommentReference"/>
              </w:rPr>
            </w:pPr>
            <w:r w:rsidRPr="00F16534">
              <w:rPr>
                <w:rStyle w:val="CommentReference"/>
              </w:rPr>
              <w:t>RR (95% CI)</w:t>
            </w:r>
          </w:p>
        </w:tc>
        <w:tc>
          <w:tcPr>
            <w:tcW w:w="923" w:type="pct"/>
            <w:vAlign w:val="center"/>
          </w:tcPr>
          <w:p w:rsidR="00F77074" w:rsidRPr="00F16534" w:rsidRDefault="00F77074" w:rsidP="00D73941">
            <w:pPr>
              <w:keepNext/>
              <w:widowControl/>
              <w:jc w:val="center"/>
              <w:rPr>
                <w:rStyle w:val="CommentReference"/>
              </w:rPr>
            </w:pPr>
            <w:r w:rsidRPr="00F16534">
              <w:rPr>
                <w:rStyle w:val="CommentReference"/>
              </w:rPr>
              <w:t>RD (95% CI)</w:t>
            </w:r>
          </w:p>
        </w:tc>
      </w:tr>
      <w:tr w:rsidR="00F77074" w:rsidRPr="00F16534" w:rsidTr="00F77074">
        <w:tc>
          <w:tcPr>
            <w:tcW w:w="5000" w:type="pct"/>
            <w:gridSpan w:val="6"/>
            <w:vAlign w:val="center"/>
          </w:tcPr>
          <w:p w:rsidR="00F77074" w:rsidRPr="00F16534" w:rsidRDefault="00F77074" w:rsidP="00D73941">
            <w:pPr>
              <w:keepNext/>
              <w:widowControl/>
              <w:jc w:val="left"/>
              <w:rPr>
                <w:rStyle w:val="CommentReference"/>
              </w:rPr>
            </w:pPr>
            <w:r w:rsidRPr="00F16534">
              <w:rPr>
                <w:rStyle w:val="CommentReference"/>
              </w:rPr>
              <w:t>Incidence of investigator reported acute IPF exacerbations</w:t>
            </w:r>
          </w:p>
        </w:tc>
      </w:tr>
      <w:tr w:rsidR="00F77074" w:rsidRPr="00F16534" w:rsidTr="00F77074">
        <w:tc>
          <w:tcPr>
            <w:tcW w:w="424" w:type="pct"/>
            <w:vAlign w:val="center"/>
          </w:tcPr>
          <w:p w:rsidR="00F77074" w:rsidRPr="00F16534" w:rsidRDefault="00F77074" w:rsidP="00D73941">
            <w:pPr>
              <w:keepNext/>
              <w:widowControl/>
              <w:jc w:val="left"/>
              <w:rPr>
                <w:rStyle w:val="CommentReference"/>
                <w:b w:val="0"/>
              </w:rPr>
            </w:pPr>
            <w:r w:rsidRPr="00F16534">
              <w:rPr>
                <w:rStyle w:val="CommentReference"/>
                <w:b w:val="0"/>
              </w:rPr>
              <w:t>Trial 30</w:t>
            </w:r>
          </w:p>
        </w:tc>
        <w:tc>
          <w:tcPr>
            <w:tcW w:w="1020" w:type="pct"/>
            <w:vAlign w:val="center"/>
          </w:tcPr>
          <w:p w:rsidR="00F77074" w:rsidRPr="00F16534" w:rsidRDefault="00F77074" w:rsidP="00D73941">
            <w:pPr>
              <w:keepNext/>
              <w:widowControl/>
              <w:jc w:val="center"/>
              <w:rPr>
                <w:rStyle w:val="CommentReference"/>
                <w:b w:val="0"/>
              </w:rPr>
            </w:pPr>
            <w:r w:rsidRPr="00F16534">
              <w:rPr>
                <w:rStyle w:val="CommentReference"/>
                <w:b w:val="0"/>
              </w:rPr>
              <w:t>2/86 (2.3)</w:t>
            </w:r>
          </w:p>
        </w:tc>
        <w:tc>
          <w:tcPr>
            <w:tcW w:w="850" w:type="pct"/>
            <w:vAlign w:val="center"/>
          </w:tcPr>
          <w:p w:rsidR="00F77074" w:rsidRPr="00F16534" w:rsidRDefault="00F77074" w:rsidP="00D73941">
            <w:pPr>
              <w:keepNext/>
              <w:widowControl/>
              <w:jc w:val="center"/>
              <w:rPr>
                <w:rStyle w:val="CommentReference"/>
                <w:b w:val="0"/>
              </w:rPr>
            </w:pPr>
            <w:r w:rsidRPr="00F16534">
              <w:rPr>
                <w:rStyle w:val="CommentReference"/>
                <w:b w:val="0"/>
              </w:rPr>
              <w:t>12/87 (13.8)</w:t>
            </w:r>
          </w:p>
        </w:tc>
        <w:tc>
          <w:tcPr>
            <w:tcW w:w="935" w:type="pct"/>
            <w:vAlign w:val="center"/>
          </w:tcPr>
          <w:p w:rsidR="00F77074" w:rsidRPr="00F16534" w:rsidRDefault="00F77074" w:rsidP="00D73941">
            <w:pPr>
              <w:keepNext/>
              <w:widowControl/>
              <w:jc w:val="center"/>
              <w:rPr>
                <w:rStyle w:val="CommentReference"/>
              </w:rPr>
            </w:pPr>
            <w:r w:rsidRPr="00F16534">
              <w:rPr>
                <w:rStyle w:val="CommentReference"/>
              </w:rPr>
              <w:t>0.16 (0.03, 0.71)</w:t>
            </w:r>
          </w:p>
        </w:tc>
        <w:tc>
          <w:tcPr>
            <w:tcW w:w="848" w:type="pct"/>
            <w:vAlign w:val="center"/>
          </w:tcPr>
          <w:p w:rsidR="00F77074" w:rsidRPr="00F16534" w:rsidRDefault="00F77074" w:rsidP="00D73941">
            <w:pPr>
              <w:keepNext/>
              <w:widowControl/>
              <w:jc w:val="center"/>
              <w:rPr>
                <w:rStyle w:val="CommentReference"/>
              </w:rPr>
            </w:pPr>
            <w:r w:rsidRPr="00F16534">
              <w:rPr>
                <w:rStyle w:val="CommentReference"/>
              </w:rPr>
              <w:t>0.17 (0.04, 0.73)</w:t>
            </w:r>
          </w:p>
        </w:tc>
        <w:tc>
          <w:tcPr>
            <w:tcW w:w="923" w:type="pct"/>
            <w:vAlign w:val="center"/>
          </w:tcPr>
          <w:p w:rsidR="00F77074" w:rsidRPr="00F16534" w:rsidRDefault="00F77074" w:rsidP="00D73941">
            <w:pPr>
              <w:keepNext/>
              <w:widowControl/>
              <w:jc w:val="center"/>
              <w:rPr>
                <w:rStyle w:val="CommentReference"/>
              </w:rPr>
            </w:pPr>
            <w:r w:rsidRPr="00F16534">
              <w:rPr>
                <w:rStyle w:val="CommentReference"/>
              </w:rPr>
              <w:t>-0.11 (-0.19, -0.04)</w:t>
            </w:r>
          </w:p>
        </w:tc>
      </w:tr>
      <w:tr w:rsidR="00F77074" w:rsidRPr="00F16534" w:rsidTr="00F77074">
        <w:tc>
          <w:tcPr>
            <w:tcW w:w="424" w:type="pct"/>
            <w:vAlign w:val="center"/>
          </w:tcPr>
          <w:p w:rsidR="00F77074" w:rsidRPr="00F16534" w:rsidRDefault="00F77074" w:rsidP="00D73941">
            <w:pPr>
              <w:keepNext/>
              <w:widowControl/>
              <w:jc w:val="left"/>
              <w:rPr>
                <w:rStyle w:val="CommentReference"/>
                <w:b w:val="0"/>
              </w:rPr>
            </w:pPr>
            <w:r w:rsidRPr="00F16534">
              <w:rPr>
                <w:rStyle w:val="CommentReference"/>
                <w:b w:val="0"/>
              </w:rPr>
              <w:t>Trial 32</w:t>
            </w:r>
          </w:p>
        </w:tc>
        <w:tc>
          <w:tcPr>
            <w:tcW w:w="1020" w:type="pct"/>
            <w:vAlign w:val="center"/>
          </w:tcPr>
          <w:p w:rsidR="00F77074" w:rsidRPr="00F16534" w:rsidRDefault="00F77074" w:rsidP="00D73941">
            <w:pPr>
              <w:keepNext/>
              <w:widowControl/>
              <w:jc w:val="center"/>
              <w:rPr>
                <w:rStyle w:val="CommentReference"/>
                <w:b w:val="0"/>
              </w:rPr>
            </w:pPr>
            <w:r w:rsidRPr="00F16534">
              <w:rPr>
                <w:rStyle w:val="CommentReference"/>
                <w:b w:val="0"/>
              </w:rPr>
              <w:t>19/309 (6.1)</w:t>
            </w:r>
          </w:p>
        </w:tc>
        <w:tc>
          <w:tcPr>
            <w:tcW w:w="850" w:type="pct"/>
            <w:vAlign w:val="center"/>
          </w:tcPr>
          <w:p w:rsidR="00F77074" w:rsidRPr="00F16534" w:rsidRDefault="00F77074" w:rsidP="00D73941">
            <w:pPr>
              <w:keepNext/>
              <w:widowControl/>
              <w:jc w:val="center"/>
              <w:rPr>
                <w:rStyle w:val="CommentReference"/>
                <w:b w:val="0"/>
              </w:rPr>
            </w:pPr>
            <w:r w:rsidRPr="00F16534">
              <w:rPr>
                <w:rStyle w:val="CommentReference"/>
                <w:b w:val="0"/>
              </w:rPr>
              <w:t>11/204 (5.4)</w:t>
            </w:r>
          </w:p>
        </w:tc>
        <w:tc>
          <w:tcPr>
            <w:tcW w:w="935" w:type="pct"/>
            <w:vAlign w:val="center"/>
          </w:tcPr>
          <w:p w:rsidR="00F77074" w:rsidRPr="00F16534" w:rsidRDefault="00F77074" w:rsidP="00D73941">
            <w:pPr>
              <w:keepNext/>
              <w:widowControl/>
              <w:jc w:val="center"/>
              <w:rPr>
                <w:rStyle w:val="CommentReference"/>
                <w:b w:val="0"/>
              </w:rPr>
            </w:pPr>
            <w:r w:rsidRPr="00F16534">
              <w:rPr>
                <w:rStyle w:val="CommentReference"/>
                <w:b w:val="0"/>
              </w:rPr>
              <w:t>1.15 (0.54, 2.42)</w:t>
            </w:r>
          </w:p>
        </w:tc>
        <w:tc>
          <w:tcPr>
            <w:tcW w:w="848" w:type="pct"/>
            <w:vAlign w:val="center"/>
          </w:tcPr>
          <w:p w:rsidR="00F77074" w:rsidRPr="00F16534" w:rsidRDefault="00F77074" w:rsidP="00D73941">
            <w:pPr>
              <w:keepNext/>
              <w:widowControl/>
              <w:jc w:val="center"/>
              <w:rPr>
                <w:rStyle w:val="CommentReference"/>
                <w:b w:val="0"/>
              </w:rPr>
            </w:pPr>
            <w:r w:rsidRPr="00F16534">
              <w:rPr>
                <w:rStyle w:val="CommentReference"/>
                <w:b w:val="0"/>
              </w:rPr>
              <w:t>1.14 (0.55, 2.35)</w:t>
            </w:r>
          </w:p>
        </w:tc>
        <w:tc>
          <w:tcPr>
            <w:tcW w:w="923" w:type="pct"/>
            <w:vAlign w:val="center"/>
          </w:tcPr>
          <w:p w:rsidR="00F77074" w:rsidRPr="00F16534" w:rsidRDefault="00F77074" w:rsidP="00D73941">
            <w:pPr>
              <w:keepNext/>
              <w:widowControl/>
              <w:jc w:val="center"/>
              <w:rPr>
                <w:rStyle w:val="CommentReference"/>
                <w:b w:val="0"/>
              </w:rPr>
            </w:pPr>
            <w:r w:rsidRPr="00F16534">
              <w:rPr>
                <w:rStyle w:val="CommentReference"/>
                <w:b w:val="0"/>
              </w:rPr>
              <w:t>0.01 (-0.03, 0.05)</w:t>
            </w:r>
          </w:p>
        </w:tc>
      </w:tr>
      <w:tr w:rsidR="00F77074" w:rsidRPr="00F16534" w:rsidTr="00F77074">
        <w:tc>
          <w:tcPr>
            <w:tcW w:w="424" w:type="pct"/>
            <w:vAlign w:val="center"/>
          </w:tcPr>
          <w:p w:rsidR="00F77074" w:rsidRPr="00F16534" w:rsidRDefault="00F77074" w:rsidP="00D73941">
            <w:pPr>
              <w:keepNext/>
              <w:widowControl/>
              <w:jc w:val="left"/>
              <w:rPr>
                <w:rStyle w:val="CommentReference"/>
                <w:b w:val="0"/>
              </w:rPr>
            </w:pPr>
            <w:r w:rsidRPr="00F16534">
              <w:rPr>
                <w:rStyle w:val="CommentReference"/>
                <w:b w:val="0"/>
              </w:rPr>
              <w:t>Trial 34</w:t>
            </w:r>
          </w:p>
        </w:tc>
        <w:tc>
          <w:tcPr>
            <w:tcW w:w="1020" w:type="pct"/>
            <w:vAlign w:val="center"/>
          </w:tcPr>
          <w:p w:rsidR="00F77074" w:rsidRPr="00F16534" w:rsidRDefault="00F77074" w:rsidP="00D73941">
            <w:pPr>
              <w:keepNext/>
              <w:widowControl/>
              <w:jc w:val="center"/>
              <w:rPr>
                <w:rStyle w:val="CommentReference"/>
                <w:b w:val="0"/>
              </w:rPr>
            </w:pPr>
            <w:r w:rsidRPr="00F16534">
              <w:rPr>
                <w:rStyle w:val="CommentReference"/>
                <w:b w:val="0"/>
              </w:rPr>
              <w:t>12/329 (3.6)</w:t>
            </w:r>
          </w:p>
        </w:tc>
        <w:tc>
          <w:tcPr>
            <w:tcW w:w="850" w:type="pct"/>
            <w:vAlign w:val="center"/>
          </w:tcPr>
          <w:p w:rsidR="00F77074" w:rsidRPr="00F16534" w:rsidRDefault="00F77074" w:rsidP="00D73941">
            <w:pPr>
              <w:keepNext/>
              <w:widowControl/>
              <w:jc w:val="center"/>
              <w:rPr>
                <w:rStyle w:val="CommentReference"/>
                <w:b w:val="0"/>
              </w:rPr>
            </w:pPr>
            <w:r w:rsidRPr="00F16534">
              <w:rPr>
                <w:rStyle w:val="CommentReference"/>
                <w:b w:val="0"/>
              </w:rPr>
              <w:t>21/219 (9.6)</w:t>
            </w:r>
          </w:p>
        </w:tc>
        <w:tc>
          <w:tcPr>
            <w:tcW w:w="935" w:type="pct"/>
            <w:vAlign w:val="center"/>
          </w:tcPr>
          <w:p w:rsidR="00F77074" w:rsidRPr="00F16534" w:rsidRDefault="00F77074" w:rsidP="00D73941">
            <w:pPr>
              <w:keepNext/>
              <w:widowControl/>
              <w:jc w:val="center"/>
              <w:rPr>
                <w:rStyle w:val="CommentReference"/>
              </w:rPr>
            </w:pPr>
            <w:r w:rsidRPr="00F16534">
              <w:rPr>
                <w:rStyle w:val="CommentReference"/>
              </w:rPr>
              <w:t>0.38 (0.19, 0.77)</w:t>
            </w:r>
          </w:p>
        </w:tc>
        <w:tc>
          <w:tcPr>
            <w:tcW w:w="848" w:type="pct"/>
            <w:vAlign w:val="center"/>
          </w:tcPr>
          <w:p w:rsidR="00F77074" w:rsidRPr="00F16534" w:rsidRDefault="00F77074" w:rsidP="00D73941">
            <w:pPr>
              <w:keepNext/>
              <w:widowControl/>
              <w:jc w:val="center"/>
              <w:rPr>
                <w:rStyle w:val="CommentReference"/>
              </w:rPr>
            </w:pPr>
            <w:r w:rsidRPr="00F16534">
              <w:rPr>
                <w:rStyle w:val="CommentReference"/>
              </w:rPr>
              <w:t>0.38 (0.19, 0.76)</w:t>
            </w:r>
          </w:p>
        </w:tc>
        <w:tc>
          <w:tcPr>
            <w:tcW w:w="923" w:type="pct"/>
            <w:vAlign w:val="center"/>
          </w:tcPr>
          <w:p w:rsidR="00F77074" w:rsidRPr="00F16534" w:rsidRDefault="00F77074" w:rsidP="00D73941">
            <w:pPr>
              <w:keepNext/>
              <w:widowControl/>
              <w:jc w:val="center"/>
              <w:rPr>
                <w:rStyle w:val="CommentReference"/>
              </w:rPr>
            </w:pPr>
            <w:r w:rsidRPr="00F16534">
              <w:rPr>
                <w:rStyle w:val="CommentReference"/>
              </w:rPr>
              <w:t>-0.06 (-0.10, -0.02)</w:t>
            </w:r>
          </w:p>
        </w:tc>
      </w:tr>
      <w:tr w:rsidR="00F77074" w:rsidRPr="00F16534" w:rsidTr="00F77074">
        <w:tc>
          <w:tcPr>
            <w:tcW w:w="2294" w:type="pct"/>
            <w:gridSpan w:val="3"/>
            <w:vAlign w:val="center"/>
          </w:tcPr>
          <w:p w:rsidR="00F77074" w:rsidRPr="00F16534" w:rsidRDefault="00F77074" w:rsidP="00D73941">
            <w:pPr>
              <w:keepNext/>
              <w:widowControl/>
              <w:jc w:val="left"/>
              <w:rPr>
                <w:rStyle w:val="CommentReference"/>
                <w:b w:val="0"/>
              </w:rPr>
            </w:pPr>
            <w:r w:rsidRPr="00F16534">
              <w:rPr>
                <w:rStyle w:val="CommentReference"/>
                <w:b w:val="0"/>
              </w:rPr>
              <w:t>Meta-analysis</w:t>
            </w:r>
          </w:p>
        </w:tc>
        <w:tc>
          <w:tcPr>
            <w:tcW w:w="935" w:type="pct"/>
            <w:vAlign w:val="center"/>
          </w:tcPr>
          <w:p w:rsidR="00F77074" w:rsidRPr="00F16534" w:rsidRDefault="00F77074" w:rsidP="00D73941">
            <w:pPr>
              <w:keepNext/>
              <w:widowControl/>
              <w:jc w:val="center"/>
              <w:rPr>
                <w:rStyle w:val="CommentReference"/>
                <w:b w:val="0"/>
              </w:rPr>
            </w:pPr>
            <w:r w:rsidRPr="00F16534">
              <w:rPr>
                <w:rStyle w:val="CommentReference"/>
                <w:b w:val="0"/>
              </w:rPr>
              <w:t xml:space="preserve">Trial 32 &amp; 34: </w:t>
            </w:r>
            <w:r w:rsidRPr="00F16534">
              <w:rPr>
                <w:rStyle w:val="CommentReference"/>
                <w:b w:val="0"/>
              </w:rPr>
              <w:br/>
            </w:r>
            <w:r w:rsidR="00ED4A35">
              <w:rPr>
                <w:rStyle w:val="CommentReference"/>
                <w:b w:val="0"/>
                <w:noProof/>
                <w:color w:val="000000"/>
                <w:highlight w:val="black"/>
              </w:rPr>
              <w:t>''''''''''' ''''''''''''' '''''''''''</w:t>
            </w:r>
          </w:p>
        </w:tc>
        <w:tc>
          <w:tcPr>
            <w:tcW w:w="848" w:type="pct"/>
            <w:vAlign w:val="center"/>
          </w:tcPr>
          <w:p w:rsidR="00F77074" w:rsidRPr="00ED4A35" w:rsidRDefault="00ED4A35" w:rsidP="00D73941">
            <w:pPr>
              <w:keepNext/>
              <w:widowControl/>
              <w:jc w:val="center"/>
              <w:rPr>
                <w:rStyle w:val="CommentReference"/>
                <w:b w:val="0"/>
                <w:highlight w:val="black"/>
              </w:rPr>
            </w:pPr>
            <w:r>
              <w:rPr>
                <w:rStyle w:val="CommentReference"/>
                <w:b w:val="0"/>
                <w:noProof/>
                <w:color w:val="000000"/>
                <w:highlight w:val="black"/>
              </w:rPr>
              <w:t>'''''''''' '''''''''''''' ''''''''''''</w:t>
            </w:r>
          </w:p>
        </w:tc>
        <w:tc>
          <w:tcPr>
            <w:tcW w:w="923" w:type="pct"/>
            <w:vAlign w:val="center"/>
          </w:tcPr>
          <w:p w:rsidR="00F77074" w:rsidRPr="00ED4A35" w:rsidRDefault="00ED4A35" w:rsidP="00D73941">
            <w:pPr>
              <w:keepNext/>
              <w:widowControl/>
              <w:jc w:val="center"/>
              <w:rPr>
                <w:rStyle w:val="CommentReference"/>
                <w:b w:val="0"/>
                <w:highlight w:val="black"/>
              </w:rPr>
            </w:pPr>
            <w:r>
              <w:rPr>
                <w:rStyle w:val="CommentReference"/>
                <w:b w:val="0"/>
                <w:noProof/>
                <w:color w:val="000000"/>
                <w:highlight w:val="black"/>
              </w:rPr>
              <w:t>''''''''''''' '''''''''''''''' ''''''''''''</w:t>
            </w:r>
          </w:p>
        </w:tc>
      </w:tr>
      <w:tr w:rsidR="00F77074" w:rsidRPr="00F16534" w:rsidTr="00F77074">
        <w:tc>
          <w:tcPr>
            <w:tcW w:w="2294" w:type="pct"/>
            <w:gridSpan w:val="3"/>
            <w:vAlign w:val="center"/>
          </w:tcPr>
          <w:p w:rsidR="00F77074" w:rsidRPr="00F16534" w:rsidRDefault="00F77074" w:rsidP="00D73941">
            <w:pPr>
              <w:keepNext/>
              <w:widowControl/>
              <w:jc w:val="left"/>
              <w:rPr>
                <w:rStyle w:val="CommentReference"/>
                <w:b w:val="0"/>
              </w:rPr>
            </w:pPr>
            <w:r w:rsidRPr="00F16534">
              <w:rPr>
                <w:rStyle w:val="CommentReference"/>
                <w:b w:val="0"/>
              </w:rPr>
              <w:t>Heterogeneity</w:t>
            </w:r>
          </w:p>
        </w:tc>
        <w:tc>
          <w:tcPr>
            <w:tcW w:w="935" w:type="pct"/>
            <w:vAlign w:val="center"/>
          </w:tcPr>
          <w:p w:rsidR="00F77074" w:rsidRPr="00F16534" w:rsidRDefault="00F77074" w:rsidP="00D73941">
            <w:pPr>
              <w:keepNext/>
              <w:widowControl/>
              <w:jc w:val="center"/>
              <w:rPr>
                <w:rStyle w:val="CommentReference"/>
                <w:b w:val="0"/>
              </w:rPr>
            </w:pPr>
            <w:r w:rsidRPr="00F16534">
              <w:rPr>
                <w:rStyle w:val="CommentReference"/>
                <w:b w:val="0"/>
              </w:rPr>
              <w:t>NA</w:t>
            </w:r>
          </w:p>
        </w:tc>
        <w:tc>
          <w:tcPr>
            <w:tcW w:w="848" w:type="pct"/>
            <w:vAlign w:val="center"/>
          </w:tcPr>
          <w:p w:rsidR="00F77074" w:rsidRPr="00F16534" w:rsidRDefault="00F77074" w:rsidP="00D73941">
            <w:pPr>
              <w:keepNext/>
              <w:widowControl/>
              <w:jc w:val="center"/>
              <w:rPr>
                <w:rStyle w:val="CommentReference"/>
                <w:b w:val="0"/>
              </w:rPr>
            </w:pPr>
            <w:r w:rsidRPr="00F16534">
              <w:rPr>
                <w:rStyle w:val="CommentReference"/>
                <w:b w:val="0"/>
              </w:rPr>
              <w:t>I</w:t>
            </w:r>
            <w:r w:rsidRPr="00F16534">
              <w:rPr>
                <w:rStyle w:val="CommentReference"/>
                <w:b w:val="0"/>
                <w:vertAlign w:val="superscript"/>
              </w:rPr>
              <w:t>2</w:t>
            </w:r>
            <w:r w:rsidRPr="00F16534">
              <w:rPr>
                <w:rStyle w:val="CommentReference"/>
                <w:b w:val="0"/>
              </w:rPr>
              <w:t xml:space="preserve"> = </w:t>
            </w:r>
            <w:r w:rsidR="00ED4A35">
              <w:rPr>
                <w:rStyle w:val="CommentReference"/>
                <w:b w:val="0"/>
                <w:noProof/>
                <w:color w:val="000000"/>
                <w:highlight w:val="black"/>
              </w:rPr>
              <w:t>''''''''''</w:t>
            </w:r>
          </w:p>
        </w:tc>
        <w:tc>
          <w:tcPr>
            <w:tcW w:w="923" w:type="pct"/>
            <w:vAlign w:val="center"/>
          </w:tcPr>
          <w:p w:rsidR="00F77074" w:rsidRPr="00F16534" w:rsidRDefault="00F77074" w:rsidP="00D73941">
            <w:pPr>
              <w:keepNext/>
              <w:widowControl/>
              <w:jc w:val="center"/>
              <w:rPr>
                <w:rStyle w:val="CommentReference"/>
                <w:b w:val="0"/>
              </w:rPr>
            </w:pPr>
            <w:r w:rsidRPr="00F16534">
              <w:rPr>
                <w:rStyle w:val="CommentReference"/>
                <w:b w:val="0"/>
              </w:rPr>
              <w:t>I</w:t>
            </w:r>
            <w:r w:rsidRPr="00F16534">
              <w:rPr>
                <w:rStyle w:val="CommentReference"/>
                <w:b w:val="0"/>
                <w:vertAlign w:val="superscript"/>
              </w:rPr>
              <w:t>2</w:t>
            </w:r>
            <w:r w:rsidRPr="00F16534">
              <w:rPr>
                <w:rStyle w:val="CommentReference"/>
                <w:b w:val="0"/>
              </w:rPr>
              <w:t xml:space="preserve"> = </w:t>
            </w:r>
            <w:r w:rsidR="00ED4A35">
              <w:rPr>
                <w:rStyle w:val="CommentReference"/>
                <w:b w:val="0"/>
                <w:noProof/>
                <w:color w:val="000000"/>
                <w:highlight w:val="black"/>
              </w:rPr>
              <w:t>''''''''''</w:t>
            </w:r>
          </w:p>
        </w:tc>
      </w:tr>
      <w:tr w:rsidR="00F77074" w:rsidRPr="00F16534" w:rsidTr="00F77074">
        <w:tc>
          <w:tcPr>
            <w:tcW w:w="5000" w:type="pct"/>
            <w:gridSpan w:val="6"/>
            <w:vAlign w:val="center"/>
          </w:tcPr>
          <w:p w:rsidR="00F77074" w:rsidRPr="00F16534" w:rsidRDefault="00F77074" w:rsidP="00D73941">
            <w:pPr>
              <w:keepNext/>
              <w:widowControl/>
              <w:jc w:val="left"/>
              <w:rPr>
                <w:rStyle w:val="CommentReference"/>
              </w:rPr>
            </w:pPr>
            <w:r w:rsidRPr="00F16534">
              <w:rPr>
                <w:rStyle w:val="CommentReference"/>
              </w:rPr>
              <w:t>Incidence of adjudicated acute IPF exacerbations</w:t>
            </w:r>
          </w:p>
        </w:tc>
      </w:tr>
      <w:tr w:rsidR="00F77074" w:rsidRPr="00F16534" w:rsidTr="00F77074">
        <w:trPr>
          <w:trHeight w:val="70"/>
        </w:trPr>
        <w:tc>
          <w:tcPr>
            <w:tcW w:w="424" w:type="pct"/>
            <w:vAlign w:val="center"/>
          </w:tcPr>
          <w:p w:rsidR="00F77074" w:rsidRPr="00F16534" w:rsidRDefault="00F77074" w:rsidP="00D73941">
            <w:pPr>
              <w:keepNext/>
              <w:widowControl/>
              <w:jc w:val="left"/>
              <w:rPr>
                <w:rStyle w:val="CommentReference"/>
                <w:b w:val="0"/>
              </w:rPr>
            </w:pPr>
            <w:r w:rsidRPr="00F16534">
              <w:rPr>
                <w:rStyle w:val="CommentReference"/>
                <w:b w:val="0"/>
              </w:rPr>
              <w:t>Trial 32</w:t>
            </w:r>
          </w:p>
        </w:tc>
        <w:tc>
          <w:tcPr>
            <w:tcW w:w="1020" w:type="pct"/>
            <w:vAlign w:val="center"/>
          </w:tcPr>
          <w:p w:rsidR="00F77074" w:rsidRPr="00F16534" w:rsidRDefault="00F77074" w:rsidP="00D73941">
            <w:pPr>
              <w:keepNext/>
              <w:widowControl/>
              <w:jc w:val="center"/>
              <w:rPr>
                <w:rStyle w:val="CommentReference"/>
                <w:b w:val="0"/>
              </w:rPr>
            </w:pPr>
            <w:r w:rsidRPr="00F16534">
              <w:rPr>
                <w:rStyle w:val="CommentReference"/>
                <w:b w:val="0"/>
              </w:rPr>
              <w:t>7/309 (2.3)</w:t>
            </w:r>
          </w:p>
        </w:tc>
        <w:tc>
          <w:tcPr>
            <w:tcW w:w="850" w:type="pct"/>
            <w:vAlign w:val="center"/>
          </w:tcPr>
          <w:p w:rsidR="00F77074" w:rsidRPr="00F16534" w:rsidRDefault="00F77074" w:rsidP="00D73941">
            <w:pPr>
              <w:keepNext/>
              <w:widowControl/>
              <w:jc w:val="center"/>
              <w:rPr>
                <w:rStyle w:val="CommentReference"/>
                <w:b w:val="0"/>
              </w:rPr>
            </w:pPr>
            <w:r w:rsidRPr="00F16534">
              <w:rPr>
                <w:rStyle w:val="CommentReference"/>
                <w:b w:val="0"/>
              </w:rPr>
              <w:t>8/204 (3.9)</w:t>
            </w:r>
          </w:p>
        </w:tc>
        <w:tc>
          <w:tcPr>
            <w:tcW w:w="935" w:type="pct"/>
            <w:vAlign w:val="center"/>
          </w:tcPr>
          <w:p w:rsidR="00F77074" w:rsidRPr="00F16534" w:rsidRDefault="00F77074" w:rsidP="00D73941">
            <w:pPr>
              <w:keepNext/>
              <w:widowControl/>
              <w:jc w:val="center"/>
              <w:rPr>
                <w:rStyle w:val="CommentReference"/>
                <w:b w:val="0"/>
              </w:rPr>
            </w:pPr>
            <w:r w:rsidRPr="00F16534">
              <w:rPr>
                <w:rStyle w:val="CommentReference"/>
                <w:b w:val="0"/>
              </w:rPr>
              <w:t>0.55 (0.20, 1.54)</w:t>
            </w:r>
          </w:p>
        </w:tc>
        <w:tc>
          <w:tcPr>
            <w:tcW w:w="848" w:type="pct"/>
            <w:vAlign w:val="center"/>
          </w:tcPr>
          <w:p w:rsidR="00F77074" w:rsidRPr="00F16534" w:rsidRDefault="00F77074" w:rsidP="00D73941">
            <w:pPr>
              <w:keepNext/>
              <w:widowControl/>
              <w:jc w:val="center"/>
              <w:rPr>
                <w:rStyle w:val="CommentReference"/>
                <w:b w:val="0"/>
              </w:rPr>
            </w:pPr>
            <w:r w:rsidRPr="00F16534">
              <w:rPr>
                <w:rStyle w:val="CommentReference"/>
                <w:b w:val="0"/>
              </w:rPr>
              <w:t>0.58 (0.21, 1.57)</w:t>
            </w:r>
          </w:p>
        </w:tc>
        <w:tc>
          <w:tcPr>
            <w:tcW w:w="923" w:type="pct"/>
            <w:vAlign w:val="center"/>
          </w:tcPr>
          <w:p w:rsidR="00F77074" w:rsidRPr="00F16534" w:rsidRDefault="00F77074" w:rsidP="00D73941">
            <w:pPr>
              <w:keepNext/>
              <w:widowControl/>
              <w:jc w:val="center"/>
              <w:rPr>
                <w:rStyle w:val="CommentReference"/>
                <w:b w:val="0"/>
              </w:rPr>
            </w:pPr>
            <w:r w:rsidRPr="00F16534">
              <w:rPr>
                <w:rStyle w:val="CommentReference"/>
                <w:b w:val="0"/>
              </w:rPr>
              <w:t>-0.02 (-0.05, 0.01)</w:t>
            </w:r>
          </w:p>
        </w:tc>
      </w:tr>
      <w:tr w:rsidR="00F77074" w:rsidRPr="00F16534" w:rsidTr="00F77074">
        <w:tc>
          <w:tcPr>
            <w:tcW w:w="424" w:type="pct"/>
            <w:vAlign w:val="center"/>
          </w:tcPr>
          <w:p w:rsidR="00F77074" w:rsidRPr="00F16534" w:rsidRDefault="00F77074" w:rsidP="00D73941">
            <w:pPr>
              <w:keepNext/>
              <w:widowControl/>
              <w:jc w:val="left"/>
              <w:rPr>
                <w:rStyle w:val="CommentReference"/>
                <w:b w:val="0"/>
              </w:rPr>
            </w:pPr>
            <w:r w:rsidRPr="00F16534">
              <w:rPr>
                <w:rStyle w:val="CommentReference"/>
                <w:b w:val="0"/>
              </w:rPr>
              <w:t>Trial 34</w:t>
            </w:r>
          </w:p>
        </w:tc>
        <w:tc>
          <w:tcPr>
            <w:tcW w:w="1020" w:type="pct"/>
            <w:vAlign w:val="center"/>
          </w:tcPr>
          <w:p w:rsidR="00F77074" w:rsidRPr="00F16534" w:rsidRDefault="00F77074" w:rsidP="00D73941">
            <w:pPr>
              <w:keepNext/>
              <w:widowControl/>
              <w:jc w:val="center"/>
              <w:rPr>
                <w:rStyle w:val="CommentReference"/>
                <w:b w:val="0"/>
              </w:rPr>
            </w:pPr>
            <w:r w:rsidRPr="00F16534">
              <w:rPr>
                <w:rStyle w:val="CommentReference"/>
                <w:b w:val="0"/>
              </w:rPr>
              <w:t>5/329 (1.5)</w:t>
            </w:r>
          </w:p>
        </w:tc>
        <w:tc>
          <w:tcPr>
            <w:tcW w:w="850" w:type="pct"/>
            <w:vAlign w:val="center"/>
          </w:tcPr>
          <w:p w:rsidR="00F77074" w:rsidRPr="00F16534" w:rsidRDefault="00F77074" w:rsidP="00D73941">
            <w:pPr>
              <w:keepNext/>
              <w:widowControl/>
              <w:jc w:val="center"/>
              <w:rPr>
                <w:rStyle w:val="CommentReference"/>
                <w:b w:val="0"/>
              </w:rPr>
            </w:pPr>
            <w:r w:rsidRPr="00F16534">
              <w:rPr>
                <w:rStyle w:val="CommentReference"/>
                <w:b w:val="0"/>
              </w:rPr>
              <w:t>16/219 (7.3)</w:t>
            </w:r>
          </w:p>
        </w:tc>
        <w:tc>
          <w:tcPr>
            <w:tcW w:w="935" w:type="pct"/>
            <w:vAlign w:val="center"/>
          </w:tcPr>
          <w:p w:rsidR="00F77074" w:rsidRPr="00F16534" w:rsidRDefault="00F77074" w:rsidP="00D73941">
            <w:pPr>
              <w:keepNext/>
              <w:widowControl/>
              <w:jc w:val="center"/>
              <w:rPr>
                <w:rStyle w:val="CommentReference"/>
              </w:rPr>
            </w:pPr>
            <w:r w:rsidRPr="00F16534">
              <w:rPr>
                <w:rStyle w:val="CommentReference"/>
              </w:rPr>
              <w:t>0.20 (0.07, 0.56)</w:t>
            </w:r>
          </w:p>
        </w:tc>
        <w:tc>
          <w:tcPr>
            <w:tcW w:w="848" w:type="pct"/>
            <w:vAlign w:val="center"/>
          </w:tcPr>
          <w:p w:rsidR="00F77074" w:rsidRPr="00F16534" w:rsidRDefault="00F77074" w:rsidP="00D73941">
            <w:pPr>
              <w:keepNext/>
              <w:widowControl/>
              <w:jc w:val="center"/>
              <w:rPr>
                <w:rStyle w:val="CommentReference"/>
              </w:rPr>
            </w:pPr>
            <w:r w:rsidRPr="00F16534">
              <w:rPr>
                <w:rStyle w:val="CommentReference"/>
              </w:rPr>
              <w:t>0.21 (0.08, 0.56)</w:t>
            </w:r>
          </w:p>
        </w:tc>
        <w:tc>
          <w:tcPr>
            <w:tcW w:w="923" w:type="pct"/>
            <w:vAlign w:val="center"/>
          </w:tcPr>
          <w:p w:rsidR="00F77074" w:rsidRPr="00F16534" w:rsidRDefault="00F77074" w:rsidP="00D73941">
            <w:pPr>
              <w:keepNext/>
              <w:widowControl/>
              <w:jc w:val="center"/>
              <w:rPr>
                <w:rStyle w:val="CommentReference"/>
              </w:rPr>
            </w:pPr>
            <w:r w:rsidRPr="00F16534">
              <w:rPr>
                <w:rStyle w:val="CommentReference"/>
              </w:rPr>
              <w:t>-0.06 (-0.09, -0.02)</w:t>
            </w:r>
          </w:p>
        </w:tc>
      </w:tr>
      <w:tr w:rsidR="00F77074" w:rsidRPr="00F16534" w:rsidTr="00F77074">
        <w:tc>
          <w:tcPr>
            <w:tcW w:w="2294" w:type="pct"/>
            <w:gridSpan w:val="3"/>
            <w:vAlign w:val="center"/>
          </w:tcPr>
          <w:p w:rsidR="00F77074" w:rsidRPr="00F16534" w:rsidRDefault="00F77074" w:rsidP="00D73941">
            <w:pPr>
              <w:keepNext/>
              <w:widowControl/>
              <w:jc w:val="left"/>
              <w:rPr>
                <w:rStyle w:val="CommentReference"/>
                <w:b w:val="0"/>
              </w:rPr>
            </w:pPr>
            <w:proofErr w:type="spellStart"/>
            <w:r w:rsidRPr="00F16534">
              <w:rPr>
                <w:rStyle w:val="CommentReference"/>
                <w:b w:val="0"/>
              </w:rPr>
              <w:t>Meta analysis</w:t>
            </w:r>
            <w:proofErr w:type="spellEnd"/>
          </w:p>
        </w:tc>
        <w:tc>
          <w:tcPr>
            <w:tcW w:w="935" w:type="pct"/>
            <w:vAlign w:val="center"/>
          </w:tcPr>
          <w:p w:rsidR="00F77074" w:rsidRPr="00ED4A35" w:rsidRDefault="00ED4A35" w:rsidP="00D73941">
            <w:pPr>
              <w:keepNext/>
              <w:widowControl/>
              <w:jc w:val="center"/>
              <w:rPr>
                <w:rStyle w:val="CommentReference"/>
                <w:highlight w:val="black"/>
              </w:rPr>
            </w:pPr>
            <w:r>
              <w:rPr>
                <w:rStyle w:val="CommentReference"/>
                <w:noProof/>
                <w:color w:val="000000"/>
                <w:highlight w:val="black"/>
              </w:rPr>
              <w:t>'''''''''' ''''''''''' ''''''''''</w:t>
            </w:r>
          </w:p>
        </w:tc>
        <w:tc>
          <w:tcPr>
            <w:tcW w:w="848" w:type="pct"/>
            <w:vAlign w:val="center"/>
          </w:tcPr>
          <w:p w:rsidR="00F77074" w:rsidRPr="00ED4A35" w:rsidRDefault="00ED4A35" w:rsidP="00D73941">
            <w:pPr>
              <w:keepNext/>
              <w:widowControl/>
              <w:jc w:val="center"/>
              <w:rPr>
                <w:rStyle w:val="CommentReference"/>
                <w:highlight w:val="black"/>
              </w:rPr>
            </w:pPr>
            <w:r>
              <w:rPr>
                <w:rStyle w:val="CommentReference"/>
                <w:noProof/>
                <w:color w:val="000000"/>
                <w:highlight w:val="black"/>
              </w:rPr>
              <w:t>'''''''' ''''''''''' ''''''''''</w:t>
            </w:r>
          </w:p>
        </w:tc>
        <w:tc>
          <w:tcPr>
            <w:tcW w:w="923" w:type="pct"/>
            <w:vAlign w:val="center"/>
          </w:tcPr>
          <w:p w:rsidR="00F77074" w:rsidRPr="00ED4A35" w:rsidRDefault="00ED4A35" w:rsidP="00D73941">
            <w:pPr>
              <w:keepNext/>
              <w:widowControl/>
              <w:jc w:val="center"/>
              <w:rPr>
                <w:rStyle w:val="CommentReference"/>
                <w:b w:val="0"/>
                <w:highlight w:val="black"/>
              </w:rPr>
            </w:pPr>
            <w:r>
              <w:rPr>
                <w:rStyle w:val="CommentReference"/>
                <w:b w:val="0"/>
                <w:noProof/>
                <w:color w:val="000000"/>
                <w:highlight w:val="black"/>
              </w:rPr>
              <w:t>''''''''''' ''''''''''''''' '''''''''''''</w:t>
            </w:r>
          </w:p>
        </w:tc>
      </w:tr>
      <w:tr w:rsidR="00F77074" w:rsidRPr="00F16534" w:rsidTr="00F77074">
        <w:tc>
          <w:tcPr>
            <w:tcW w:w="2294" w:type="pct"/>
            <w:gridSpan w:val="3"/>
            <w:vAlign w:val="center"/>
          </w:tcPr>
          <w:p w:rsidR="00F77074" w:rsidRPr="00F16534" w:rsidRDefault="00F77074" w:rsidP="00D73941">
            <w:pPr>
              <w:keepNext/>
              <w:widowControl/>
              <w:jc w:val="left"/>
              <w:rPr>
                <w:rStyle w:val="CommentReference"/>
                <w:b w:val="0"/>
              </w:rPr>
            </w:pPr>
            <w:r w:rsidRPr="00F16534">
              <w:rPr>
                <w:rStyle w:val="CommentReference"/>
                <w:b w:val="0"/>
              </w:rPr>
              <w:t>Heterogeneity</w:t>
            </w:r>
          </w:p>
        </w:tc>
        <w:tc>
          <w:tcPr>
            <w:tcW w:w="935" w:type="pct"/>
            <w:vAlign w:val="center"/>
          </w:tcPr>
          <w:p w:rsidR="00F77074" w:rsidRPr="00F16534" w:rsidRDefault="00F77074" w:rsidP="00D73941">
            <w:pPr>
              <w:keepNext/>
              <w:widowControl/>
              <w:jc w:val="center"/>
              <w:rPr>
                <w:rStyle w:val="CommentReference"/>
                <w:b w:val="0"/>
              </w:rPr>
            </w:pPr>
            <w:r w:rsidRPr="00F16534">
              <w:rPr>
                <w:rStyle w:val="CommentReference"/>
                <w:b w:val="0"/>
              </w:rPr>
              <w:t>NA</w:t>
            </w:r>
          </w:p>
        </w:tc>
        <w:tc>
          <w:tcPr>
            <w:tcW w:w="848" w:type="pct"/>
            <w:vAlign w:val="center"/>
          </w:tcPr>
          <w:p w:rsidR="00F77074" w:rsidRPr="00F16534" w:rsidRDefault="00F77074" w:rsidP="00D73941">
            <w:pPr>
              <w:keepNext/>
              <w:widowControl/>
              <w:jc w:val="center"/>
              <w:rPr>
                <w:rStyle w:val="CommentReference"/>
                <w:b w:val="0"/>
              </w:rPr>
            </w:pPr>
            <w:r w:rsidRPr="00F16534">
              <w:rPr>
                <w:rStyle w:val="CommentReference"/>
                <w:b w:val="0"/>
              </w:rPr>
              <w:t>I</w:t>
            </w:r>
            <w:r w:rsidRPr="00F16534">
              <w:rPr>
                <w:rStyle w:val="CommentReference"/>
                <w:b w:val="0"/>
                <w:vertAlign w:val="superscript"/>
              </w:rPr>
              <w:t>2</w:t>
            </w:r>
            <w:r w:rsidRPr="00F16534">
              <w:rPr>
                <w:rStyle w:val="CommentReference"/>
                <w:b w:val="0"/>
              </w:rPr>
              <w:t xml:space="preserve"> = </w:t>
            </w:r>
            <w:r w:rsidR="00ED4A35">
              <w:rPr>
                <w:rStyle w:val="CommentReference"/>
                <w:b w:val="0"/>
                <w:noProof/>
                <w:color w:val="000000"/>
                <w:highlight w:val="black"/>
              </w:rPr>
              <w:t>''''''''''</w:t>
            </w:r>
          </w:p>
        </w:tc>
        <w:tc>
          <w:tcPr>
            <w:tcW w:w="923" w:type="pct"/>
            <w:vAlign w:val="center"/>
          </w:tcPr>
          <w:p w:rsidR="00F77074" w:rsidRPr="00F16534" w:rsidRDefault="00F77074" w:rsidP="00D73941">
            <w:pPr>
              <w:keepNext/>
              <w:widowControl/>
              <w:jc w:val="center"/>
              <w:rPr>
                <w:rStyle w:val="CommentReference"/>
                <w:b w:val="0"/>
              </w:rPr>
            </w:pPr>
            <w:r w:rsidRPr="00F16534">
              <w:rPr>
                <w:rStyle w:val="CommentReference"/>
                <w:b w:val="0"/>
              </w:rPr>
              <w:t>I</w:t>
            </w:r>
            <w:r w:rsidRPr="00F16534">
              <w:rPr>
                <w:rStyle w:val="CommentReference"/>
                <w:b w:val="0"/>
                <w:vertAlign w:val="superscript"/>
              </w:rPr>
              <w:t>2</w:t>
            </w:r>
            <w:r w:rsidRPr="00F16534">
              <w:rPr>
                <w:rStyle w:val="CommentReference"/>
                <w:b w:val="0"/>
              </w:rPr>
              <w:t xml:space="preserve"> = </w:t>
            </w:r>
            <w:r w:rsidR="00ED4A35">
              <w:rPr>
                <w:rStyle w:val="CommentReference"/>
                <w:b w:val="0"/>
                <w:noProof/>
                <w:color w:val="000000"/>
                <w:highlight w:val="black"/>
              </w:rPr>
              <w:t>''''''''''</w:t>
            </w:r>
          </w:p>
        </w:tc>
      </w:tr>
    </w:tbl>
    <w:p w:rsidR="00F77074" w:rsidRPr="00F16534" w:rsidRDefault="00F77074" w:rsidP="00D73941">
      <w:pPr>
        <w:keepNext/>
        <w:widowControl/>
        <w:ind w:left="709"/>
        <w:rPr>
          <w:rStyle w:val="CommentReference"/>
          <w:b w:val="0"/>
          <w:sz w:val="18"/>
        </w:rPr>
      </w:pPr>
      <w:r w:rsidRPr="00F16534">
        <w:rPr>
          <w:rStyle w:val="CommentReference"/>
          <w:b w:val="0"/>
          <w:sz w:val="18"/>
        </w:rPr>
        <w:t>Figures in bold indicate results that are statistically significant</w:t>
      </w:r>
    </w:p>
    <w:p w:rsidR="00F77074" w:rsidRPr="00F16534" w:rsidRDefault="00F77074" w:rsidP="00D73941">
      <w:pPr>
        <w:keepNext/>
        <w:widowControl/>
        <w:ind w:left="709"/>
        <w:rPr>
          <w:rStyle w:val="CommentReference"/>
          <w:b w:val="0"/>
          <w:sz w:val="18"/>
        </w:rPr>
      </w:pPr>
      <w:r w:rsidRPr="00F16534">
        <w:rPr>
          <w:rStyle w:val="CommentReference"/>
          <w:b w:val="0"/>
          <w:sz w:val="18"/>
        </w:rPr>
        <w:t xml:space="preserve">Abbreviations: IPF = idiopathic pulmonary fibrosis.  </w:t>
      </w:r>
    </w:p>
    <w:p w:rsidR="00F77074" w:rsidRPr="00F16534" w:rsidRDefault="00F77074" w:rsidP="00D73941">
      <w:pPr>
        <w:pStyle w:val="PBACHeading1"/>
        <w:numPr>
          <w:ilvl w:val="0"/>
          <w:numId w:val="0"/>
        </w:numPr>
        <w:ind w:left="709"/>
      </w:pPr>
      <w:r w:rsidRPr="00F16534">
        <w:rPr>
          <w:rStyle w:val="CommentReference"/>
          <w:sz w:val="18"/>
        </w:rPr>
        <w:t>Source: Table 3.2.1.3: 1, p85 and Table 3.2.1.3: 2, p89, Summary of Clinical Efficacy (U13-2383-01); Table B.6-7, p84, Table B.6-8, p85 of the submission.</w:t>
      </w:r>
    </w:p>
    <w:p w:rsidR="000950D9" w:rsidRDefault="000950D9" w:rsidP="00D73941">
      <w:pPr>
        <w:widowControl/>
        <w:rPr>
          <w:szCs w:val="22"/>
        </w:rPr>
      </w:pPr>
    </w:p>
    <w:p w:rsidR="00F16534" w:rsidRPr="00F16534" w:rsidRDefault="00F16534" w:rsidP="00D73941">
      <w:pPr>
        <w:pStyle w:val="PBACHeading1"/>
        <w:numPr>
          <w:ilvl w:val="0"/>
          <w:numId w:val="0"/>
        </w:numPr>
        <w:ind w:left="720"/>
        <w:rPr>
          <w:b w:val="0"/>
          <w:i/>
        </w:rPr>
      </w:pPr>
      <w:r w:rsidRPr="00F16534">
        <w:rPr>
          <w:b w:val="0"/>
          <w:i/>
        </w:rPr>
        <w:t>For more detail on PBAC’s view, see section 7 “PBAC outcome”</w:t>
      </w:r>
    </w:p>
    <w:p w:rsidR="00F16534" w:rsidRPr="00882085" w:rsidRDefault="00F16534" w:rsidP="00D73941">
      <w:pPr>
        <w:widowControl/>
        <w:rPr>
          <w:szCs w:val="22"/>
        </w:rPr>
      </w:pPr>
    </w:p>
    <w:p w:rsidR="000950D9" w:rsidRPr="00E14A81" w:rsidRDefault="000950D9" w:rsidP="00D73941">
      <w:pPr>
        <w:pStyle w:val="Heading2"/>
        <w:widowControl/>
      </w:pPr>
      <w:bookmarkStart w:id="11" w:name="_Toc409510372"/>
      <w:r w:rsidRPr="00E14A81">
        <w:t>Comparative harms</w:t>
      </w:r>
      <w:bookmarkEnd w:id="11"/>
    </w:p>
    <w:p w:rsidR="000950D9" w:rsidRDefault="000950D9" w:rsidP="00D73941">
      <w:pPr>
        <w:widowControl/>
        <w:ind w:left="720" w:hanging="720"/>
        <w:rPr>
          <w:szCs w:val="22"/>
        </w:rPr>
      </w:pPr>
    </w:p>
    <w:p w:rsidR="0095703C" w:rsidRDefault="0095703C" w:rsidP="00D73941">
      <w:pPr>
        <w:pStyle w:val="ListParagraph"/>
        <w:widowControl/>
        <w:numPr>
          <w:ilvl w:val="1"/>
          <w:numId w:val="2"/>
        </w:numPr>
        <w:rPr>
          <w:szCs w:val="22"/>
        </w:rPr>
      </w:pPr>
      <w:r>
        <w:rPr>
          <w:szCs w:val="22"/>
        </w:rPr>
        <w:t xml:space="preserve">Key results from the meta-analyses of safety outcomes are presented in the </w:t>
      </w:r>
      <w:r w:rsidR="000F3E37">
        <w:rPr>
          <w:szCs w:val="22"/>
        </w:rPr>
        <w:t xml:space="preserve">following </w:t>
      </w:r>
      <w:r w:rsidR="006E30DB">
        <w:rPr>
          <w:szCs w:val="22"/>
        </w:rPr>
        <w:t>table.</w:t>
      </w:r>
    </w:p>
    <w:p w:rsidR="0095703C" w:rsidRPr="00882085" w:rsidRDefault="0095703C" w:rsidP="00D73941">
      <w:pPr>
        <w:widowControl/>
        <w:ind w:left="720" w:hanging="720"/>
        <w:rPr>
          <w:szCs w:val="22"/>
        </w:rPr>
      </w:pPr>
    </w:p>
    <w:p w:rsidR="000950D9" w:rsidRPr="00413325" w:rsidRDefault="000950D9" w:rsidP="00D73941">
      <w:pPr>
        <w:keepNext/>
        <w:widowControl/>
        <w:ind w:left="720"/>
        <w:rPr>
          <w:rStyle w:val="CommentReference"/>
        </w:rPr>
      </w:pPr>
      <w:r>
        <w:rPr>
          <w:rStyle w:val="CommentReference"/>
        </w:rPr>
        <w:lastRenderedPageBreak/>
        <w:t>Summary of the meta-analyses of key safety outcomes from the nintedanib trials</w:t>
      </w:r>
    </w:p>
    <w:tbl>
      <w:tblPr>
        <w:tblStyle w:val="TableGrid"/>
        <w:tblW w:w="0" w:type="auto"/>
        <w:tblInd w:w="737" w:type="dxa"/>
        <w:tblCellMar>
          <w:left w:w="28" w:type="dxa"/>
          <w:right w:w="28" w:type="dxa"/>
        </w:tblCellMar>
        <w:tblLook w:val="04A0" w:firstRow="1" w:lastRow="0" w:firstColumn="1" w:lastColumn="0" w:noHBand="0" w:noVBand="1"/>
      </w:tblPr>
      <w:tblGrid>
        <w:gridCol w:w="4173"/>
        <w:gridCol w:w="4173"/>
      </w:tblGrid>
      <w:tr w:rsidR="000950D9" w:rsidTr="00C32C0F">
        <w:trPr>
          <w:tblHeader/>
        </w:trPr>
        <w:tc>
          <w:tcPr>
            <w:tcW w:w="4173" w:type="dxa"/>
            <w:vAlign w:val="center"/>
          </w:tcPr>
          <w:p w:rsidR="000950D9" w:rsidRDefault="000950D9" w:rsidP="00D73941">
            <w:pPr>
              <w:keepNext/>
              <w:widowControl/>
              <w:jc w:val="left"/>
              <w:rPr>
                <w:rStyle w:val="CommentReference"/>
                <w:b w:val="0"/>
              </w:rPr>
            </w:pPr>
          </w:p>
        </w:tc>
        <w:tc>
          <w:tcPr>
            <w:tcW w:w="4173" w:type="dxa"/>
            <w:vAlign w:val="center"/>
          </w:tcPr>
          <w:p w:rsidR="000950D9" w:rsidRPr="00DB3DE1" w:rsidRDefault="000950D9" w:rsidP="00D73941">
            <w:pPr>
              <w:keepNext/>
              <w:widowControl/>
              <w:jc w:val="center"/>
              <w:rPr>
                <w:rStyle w:val="CommentReference"/>
              </w:rPr>
            </w:pPr>
            <w:r w:rsidRPr="00DB3DE1">
              <w:rPr>
                <w:rStyle w:val="CommentReference"/>
              </w:rPr>
              <w:t>Meta</w:t>
            </w:r>
            <w:r>
              <w:rPr>
                <w:rStyle w:val="CommentReference"/>
              </w:rPr>
              <w:t>-</w:t>
            </w:r>
            <w:r w:rsidRPr="00DB3DE1">
              <w:rPr>
                <w:rStyle w:val="CommentReference"/>
              </w:rPr>
              <w:t>analysis (Trial 30</w:t>
            </w:r>
            <w:r>
              <w:rPr>
                <w:rStyle w:val="CommentReference"/>
              </w:rPr>
              <w:t>, 32 &amp;</w:t>
            </w:r>
            <w:r w:rsidRPr="00DB3DE1">
              <w:rPr>
                <w:rStyle w:val="CommentReference"/>
              </w:rPr>
              <w:t xml:space="preserve"> 34): RR (95% CI)</w:t>
            </w:r>
          </w:p>
        </w:tc>
      </w:tr>
      <w:tr w:rsidR="000950D9" w:rsidTr="000A4ECE">
        <w:tc>
          <w:tcPr>
            <w:tcW w:w="8346" w:type="dxa"/>
            <w:gridSpan w:val="2"/>
            <w:vAlign w:val="center"/>
          </w:tcPr>
          <w:p w:rsidR="000950D9" w:rsidRPr="00DB3DE1" w:rsidRDefault="000950D9" w:rsidP="00D73941">
            <w:pPr>
              <w:keepNext/>
              <w:widowControl/>
              <w:jc w:val="left"/>
              <w:rPr>
                <w:rStyle w:val="CommentReference"/>
              </w:rPr>
            </w:pPr>
            <w:r>
              <w:rPr>
                <w:rStyle w:val="CommentReference"/>
              </w:rPr>
              <w:t>Overall safety outcomes</w:t>
            </w:r>
          </w:p>
        </w:tc>
      </w:tr>
      <w:tr w:rsidR="000950D9" w:rsidTr="000A4ECE">
        <w:tc>
          <w:tcPr>
            <w:tcW w:w="4173" w:type="dxa"/>
            <w:vAlign w:val="center"/>
          </w:tcPr>
          <w:p w:rsidR="000950D9" w:rsidRDefault="000950D9" w:rsidP="00D73941">
            <w:pPr>
              <w:keepNext/>
              <w:widowControl/>
              <w:jc w:val="left"/>
              <w:rPr>
                <w:rStyle w:val="CommentReference"/>
                <w:b w:val="0"/>
              </w:rPr>
            </w:pPr>
            <w:r>
              <w:rPr>
                <w:rStyle w:val="CommentReference"/>
                <w:b w:val="0"/>
              </w:rPr>
              <w:t>Number of patients with any AEs</w:t>
            </w:r>
          </w:p>
        </w:tc>
        <w:tc>
          <w:tcPr>
            <w:tcW w:w="4173" w:type="dxa"/>
            <w:vAlign w:val="center"/>
          </w:tcPr>
          <w:p w:rsidR="000950D9" w:rsidRPr="00ED4A35" w:rsidRDefault="00ED4A35" w:rsidP="00D73941">
            <w:pPr>
              <w:keepNext/>
              <w:widowControl/>
              <w:jc w:val="center"/>
              <w:rPr>
                <w:rStyle w:val="CommentReference"/>
                <w:b w:val="0"/>
                <w:highlight w:val="black"/>
              </w:rPr>
            </w:pPr>
            <w:r>
              <w:rPr>
                <w:rStyle w:val="CommentReference"/>
                <w:b w:val="0"/>
                <w:noProof/>
                <w:color w:val="000000"/>
                <w:highlight w:val="black"/>
              </w:rPr>
              <w:t>''''''''''' '''''''''''''' ''''''''''''</w:t>
            </w:r>
          </w:p>
        </w:tc>
      </w:tr>
      <w:tr w:rsidR="000950D9" w:rsidTr="000A4ECE">
        <w:tc>
          <w:tcPr>
            <w:tcW w:w="4173" w:type="dxa"/>
            <w:vAlign w:val="center"/>
          </w:tcPr>
          <w:p w:rsidR="000950D9" w:rsidRDefault="000950D9" w:rsidP="00D73941">
            <w:pPr>
              <w:keepNext/>
              <w:widowControl/>
              <w:jc w:val="left"/>
              <w:rPr>
                <w:rStyle w:val="CommentReference"/>
                <w:b w:val="0"/>
              </w:rPr>
            </w:pPr>
            <w:r>
              <w:rPr>
                <w:rStyle w:val="CommentReference"/>
                <w:b w:val="0"/>
              </w:rPr>
              <w:t>Drug related AEs</w:t>
            </w:r>
          </w:p>
        </w:tc>
        <w:tc>
          <w:tcPr>
            <w:tcW w:w="4173" w:type="dxa"/>
            <w:vAlign w:val="center"/>
          </w:tcPr>
          <w:p w:rsidR="000950D9" w:rsidRPr="00ED4A35" w:rsidRDefault="00ED4A35" w:rsidP="00D73941">
            <w:pPr>
              <w:keepNext/>
              <w:widowControl/>
              <w:jc w:val="center"/>
              <w:rPr>
                <w:rStyle w:val="CommentReference"/>
                <w:b w:val="0"/>
                <w:highlight w:val="black"/>
              </w:rPr>
            </w:pPr>
            <w:r>
              <w:rPr>
                <w:rStyle w:val="CommentReference"/>
                <w:b w:val="0"/>
                <w:noProof/>
                <w:color w:val="000000"/>
                <w:highlight w:val="black"/>
              </w:rPr>
              <w:t>'''''''''' '''''''''''''''' '''''''''''</w:t>
            </w:r>
          </w:p>
        </w:tc>
      </w:tr>
      <w:tr w:rsidR="000950D9" w:rsidTr="000A4ECE">
        <w:tc>
          <w:tcPr>
            <w:tcW w:w="4173" w:type="dxa"/>
            <w:vAlign w:val="center"/>
          </w:tcPr>
          <w:p w:rsidR="000950D9" w:rsidRDefault="000950D9" w:rsidP="00D73941">
            <w:pPr>
              <w:keepNext/>
              <w:widowControl/>
              <w:jc w:val="left"/>
              <w:rPr>
                <w:rStyle w:val="CommentReference"/>
                <w:b w:val="0"/>
              </w:rPr>
            </w:pPr>
            <w:r>
              <w:rPr>
                <w:rStyle w:val="CommentReference"/>
                <w:b w:val="0"/>
              </w:rPr>
              <w:t>Patients with AEs leading to discontinuation</w:t>
            </w:r>
          </w:p>
        </w:tc>
        <w:tc>
          <w:tcPr>
            <w:tcW w:w="4173" w:type="dxa"/>
            <w:vAlign w:val="center"/>
          </w:tcPr>
          <w:p w:rsidR="000950D9" w:rsidRPr="00ED4A35" w:rsidRDefault="00ED4A35" w:rsidP="00D73941">
            <w:pPr>
              <w:keepNext/>
              <w:widowControl/>
              <w:jc w:val="center"/>
              <w:rPr>
                <w:rStyle w:val="CommentReference"/>
                <w:b w:val="0"/>
                <w:highlight w:val="black"/>
              </w:rPr>
            </w:pPr>
            <w:r>
              <w:rPr>
                <w:rStyle w:val="CommentReference"/>
                <w:b w:val="0"/>
                <w:noProof/>
                <w:color w:val="000000"/>
                <w:highlight w:val="black"/>
              </w:rPr>
              <w:t>''''''''''' ''''''''''''' ''''''''''''</w:t>
            </w:r>
          </w:p>
        </w:tc>
      </w:tr>
      <w:tr w:rsidR="000950D9" w:rsidTr="000A4ECE">
        <w:tc>
          <w:tcPr>
            <w:tcW w:w="4173" w:type="dxa"/>
            <w:vAlign w:val="center"/>
          </w:tcPr>
          <w:p w:rsidR="000950D9" w:rsidRDefault="000950D9" w:rsidP="00D73941">
            <w:pPr>
              <w:keepNext/>
              <w:widowControl/>
              <w:jc w:val="left"/>
              <w:rPr>
                <w:rStyle w:val="CommentReference"/>
                <w:b w:val="0"/>
              </w:rPr>
            </w:pPr>
            <w:r>
              <w:rPr>
                <w:rStyle w:val="CommentReference"/>
                <w:b w:val="0"/>
              </w:rPr>
              <w:t>Patients with SAEs</w:t>
            </w:r>
          </w:p>
        </w:tc>
        <w:tc>
          <w:tcPr>
            <w:tcW w:w="4173" w:type="dxa"/>
            <w:vAlign w:val="center"/>
          </w:tcPr>
          <w:p w:rsidR="000950D9" w:rsidRPr="00ED4A35" w:rsidRDefault="00ED4A35" w:rsidP="00D73941">
            <w:pPr>
              <w:keepNext/>
              <w:widowControl/>
              <w:jc w:val="center"/>
              <w:rPr>
                <w:rStyle w:val="CommentReference"/>
                <w:b w:val="0"/>
                <w:highlight w:val="black"/>
              </w:rPr>
            </w:pPr>
            <w:r>
              <w:rPr>
                <w:rStyle w:val="CommentReference"/>
                <w:b w:val="0"/>
                <w:noProof/>
                <w:color w:val="000000"/>
                <w:highlight w:val="black"/>
              </w:rPr>
              <w:t>'''''''''' ''''''''''''' ''''''''''''</w:t>
            </w:r>
          </w:p>
        </w:tc>
      </w:tr>
      <w:tr w:rsidR="000950D9" w:rsidTr="000A4ECE">
        <w:tc>
          <w:tcPr>
            <w:tcW w:w="8346" w:type="dxa"/>
            <w:gridSpan w:val="2"/>
            <w:vAlign w:val="center"/>
          </w:tcPr>
          <w:p w:rsidR="000950D9" w:rsidRPr="00612414" w:rsidRDefault="000950D9" w:rsidP="00D73941">
            <w:pPr>
              <w:keepNext/>
              <w:widowControl/>
              <w:jc w:val="left"/>
              <w:rPr>
                <w:rStyle w:val="CommentReference"/>
                <w:b w:val="0"/>
              </w:rPr>
            </w:pPr>
            <w:r>
              <w:rPr>
                <w:rStyle w:val="CommentReference"/>
              </w:rPr>
              <w:t>Common adverse events (&gt;5%)</w:t>
            </w:r>
          </w:p>
        </w:tc>
      </w:tr>
      <w:tr w:rsidR="000950D9" w:rsidTr="000A4ECE">
        <w:tc>
          <w:tcPr>
            <w:tcW w:w="4173" w:type="dxa"/>
            <w:vAlign w:val="center"/>
          </w:tcPr>
          <w:p w:rsidR="000950D9" w:rsidRDefault="000950D9" w:rsidP="00D73941">
            <w:pPr>
              <w:keepNext/>
              <w:widowControl/>
              <w:jc w:val="left"/>
              <w:rPr>
                <w:rStyle w:val="CommentReference"/>
                <w:b w:val="0"/>
              </w:rPr>
            </w:pPr>
            <w:r>
              <w:rPr>
                <w:rStyle w:val="CommentReference"/>
                <w:b w:val="0"/>
              </w:rPr>
              <w:t>Diarrhoea</w:t>
            </w:r>
          </w:p>
        </w:tc>
        <w:tc>
          <w:tcPr>
            <w:tcW w:w="4173" w:type="dxa"/>
            <w:vAlign w:val="center"/>
          </w:tcPr>
          <w:p w:rsidR="000950D9" w:rsidRPr="00ED4A35" w:rsidRDefault="00ED4A35" w:rsidP="00D73941">
            <w:pPr>
              <w:keepNext/>
              <w:widowControl/>
              <w:jc w:val="center"/>
              <w:rPr>
                <w:rStyle w:val="CommentReference"/>
                <w:b w:val="0"/>
                <w:highlight w:val="black"/>
              </w:rPr>
            </w:pPr>
            <w:r>
              <w:rPr>
                <w:rStyle w:val="CommentReference"/>
                <w:b w:val="0"/>
                <w:noProof/>
                <w:color w:val="000000"/>
                <w:highlight w:val="black"/>
              </w:rPr>
              <w:t>''''''''''' '''''''''''''' ''''''''''''''</w:t>
            </w:r>
          </w:p>
        </w:tc>
      </w:tr>
      <w:tr w:rsidR="000950D9" w:rsidTr="000A4ECE">
        <w:tc>
          <w:tcPr>
            <w:tcW w:w="4173" w:type="dxa"/>
            <w:vAlign w:val="center"/>
          </w:tcPr>
          <w:p w:rsidR="000950D9" w:rsidRDefault="000950D9" w:rsidP="00D73941">
            <w:pPr>
              <w:keepNext/>
              <w:widowControl/>
              <w:jc w:val="left"/>
              <w:rPr>
                <w:rStyle w:val="CommentReference"/>
                <w:b w:val="0"/>
              </w:rPr>
            </w:pPr>
            <w:r>
              <w:rPr>
                <w:rStyle w:val="CommentReference"/>
                <w:b w:val="0"/>
              </w:rPr>
              <w:t>Nausea</w:t>
            </w:r>
          </w:p>
        </w:tc>
        <w:tc>
          <w:tcPr>
            <w:tcW w:w="4173" w:type="dxa"/>
            <w:vAlign w:val="center"/>
          </w:tcPr>
          <w:p w:rsidR="000950D9" w:rsidRPr="00ED4A35" w:rsidRDefault="00ED4A35" w:rsidP="00D73941">
            <w:pPr>
              <w:keepNext/>
              <w:widowControl/>
              <w:jc w:val="center"/>
              <w:rPr>
                <w:rStyle w:val="CommentReference"/>
                <w:b w:val="0"/>
                <w:highlight w:val="black"/>
              </w:rPr>
            </w:pPr>
            <w:r>
              <w:rPr>
                <w:rStyle w:val="CommentReference"/>
                <w:b w:val="0"/>
                <w:noProof/>
                <w:color w:val="000000"/>
                <w:highlight w:val="black"/>
              </w:rPr>
              <w:t>'''''''''' ''''''''''''''' '''''''''''</w:t>
            </w:r>
          </w:p>
        </w:tc>
      </w:tr>
      <w:tr w:rsidR="000950D9" w:rsidTr="000A4ECE">
        <w:tc>
          <w:tcPr>
            <w:tcW w:w="4173" w:type="dxa"/>
            <w:vAlign w:val="center"/>
          </w:tcPr>
          <w:p w:rsidR="000950D9" w:rsidRDefault="000950D9" w:rsidP="00D73941">
            <w:pPr>
              <w:keepNext/>
              <w:widowControl/>
              <w:jc w:val="left"/>
              <w:rPr>
                <w:rStyle w:val="CommentReference"/>
                <w:b w:val="0"/>
              </w:rPr>
            </w:pPr>
            <w:r>
              <w:rPr>
                <w:rStyle w:val="CommentReference"/>
                <w:b w:val="0"/>
              </w:rPr>
              <w:t>Vomiting</w:t>
            </w:r>
          </w:p>
        </w:tc>
        <w:tc>
          <w:tcPr>
            <w:tcW w:w="4173" w:type="dxa"/>
            <w:vAlign w:val="center"/>
          </w:tcPr>
          <w:p w:rsidR="000950D9" w:rsidRPr="00ED4A35" w:rsidRDefault="00ED4A35" w:rsidP="00D73941">
            <w:pPr>
              <w:keepNext/>
              <w:widowControl/>
              <w:jc w:val="center"/>
              <w:rPr>
                <w:rStyle w:val="CommentReference"/>
                <w:b w:val="0"/>
                <w:highlight w:val="black"/>
              </w:rPr>
            </w:pPr>
            <w:r>
              <w:rPr>
                <w:rStyle w:val="CommentReference"/>
                <w:b w:val="0"/>
                <w:noProof/>
                <w:color w:val="000000"/>
                <w:highlight w:val="black"/>
              </w:rPr>
              <w:t>'''''''''' ''''''''''''''' ''''''''''''</w:t>
            </w:r>
          </w:p>
        </w:tc>
      </w:tr>
      <w:tr w:rsidR="000950D9" w:rsidTr="000A4ECE">
        <w:tc>
          <w:tcPr>
            <w:tcW w:w="4173" w:type="dxa"/>
            <w:vAlign w:val="center"/>
          </w:tcPr>
          <w:p w:rsidR="000950D9" w:rsidRDefault="000950D9" w:rsidP="00D73941">
            <w:pPr>
              <w:keepNext/>
              <w:widowControl/>
              <w:jc w:val="left"/>
              <w:rPr>
                <w:rStyle w:val="CommentReference"/>
                <w:b w:val="0"/>
              </w:rPr>
            </w:pPr>
            <w:r>
              <w:rPr>
                <w:rStyle w:val="CommentReference"/>
                <w:b w:val="0"/>
              </w:rPr>
              <w:t>Dyspnoea</w:t>
            </w:r>
          </w:p>
        </w:tc>
        <w:tc>
          <w:tcPr>
            <w:tcW w:w="4173" w:type="dxa"/>
            <w:vAlign w:val="center"/>
          </w:tcPr>
          <w:p w:rsidR="000950D9" w:rsidRPr="00ED4A35" w:rsidRDefault="00ED4A35" w:rsidP="00D73941">
            <w:pPr>
              <w:keepNext/>
              <w:widowControl/>
              <w:jc w:val="center"/>
              <w:rPr>
                <w:rStyle w:val="CommentReference"/>
                <w:b w:val="0"/>
                <w:highlight w:val="black"/>
              </w:rPr>
            </w:pPr>
            <w:r>
              <w:rPr>
                <w:rStyle w:val="CommentReference"/>
                <w:b w:val="0"/>
                <w:noProof/>
                <w:color w:val="000000"/>
                <w:highlight w:val="black"/>
              </w:rPr>
              <w:t>'''''''''' '''''''''''''' '''''''''''</w:t>
            </w:r>
          </w:p>
        </w:tc>
      </w:tr>
    </w:tbl>
    <w:p w:rsidR="005F652A" w:rsidRDefault="000950D9" w:rsidP="00D73941">
      <w:pPr>
        <w:pStyle w:val="TableFooter"/>
        <w:keepNext/>
        <w:widowControl/>
        <w:ind w:firstLine="720"/>
      </w:pPr>
      <w:r>
        <w:t xml:space="preserve">Abbreviations: AE = adverse event; SAE = serious adverse event.  </w:t>
      </w:r>
    </w:p>
    <w:p w:rsidR="000950D9" w:rsidRPr="00612414" w:rsidRDefault="000950D9" w:rsidP="00D73941">
      <w:pPr>
        <w:pStyle w:val="TableFooter"/>
        <w:widowControl/>
        <w:ind w:firstLine="720"/>
      </w:pPr>
      <w:r>
        <w:t>Source: Table B.6-12, pp93-94 and Table B.8-1, pp107-108 of the submission</w:t>
      </w:r>
    </w:p>
    <w:p w:rsidR="000950D9" w:rsidRDefault="000950D9" w:rsidP="00D73941">
      <w:pPr>
        <w:pStyle w:val="ListParagraph"/>
        <w:widowControl/>
        <w:ind w:left="0"/>
        <w:rPr>
          <w:szCs w:val="22"/>
        </w:rPr>
      </w:pPr>
    </w:p>
    <w:p w:rsidR="000950D9" w:rsidRPr="00F16534" w:rsidRDefault="000950D9" w:rsidP="00D73941">
      <w:pPr>
        <w:pStyle w:val="ListParagraph"/>
        <w:widowControl/>
        <w:numPr>
          <w:ilvl w:val="1"/>
          <w:numId w:val="2"/>
        </w:numPr>
        <w:rPr>
          <w:szCs w:val="22"/>
        </w:rPr>
      </w:pPr>
      <w:r>
        <w:rPr>
          <w:szCs w:val="22"/>
        </w:rPr>
        <w:t>N</w:t>
      </w:r>
      <w:r w:rsidR="006E30DB">
        <w:rPr>
          <w:szCs w:val="22"/>
        </w:rPr>
        <w:t xml:space="preserve">intedanib was associated with </w:t>
      </w:r>
      <w:r>
        <w:rPr>
          <w:szCs w:val="22"/>
        </w:rPr>
        <w:t>statistically significantly higher instances of drug related adverse events</w:t>
      </w:r>
      <w:r w:rsidR="002D48EA">
        <w:rPr>
          <w:szCs w:val="22"/>
        </w:rPr>
        <w:t xml:space="preserve"> and gastro</w:t>
      </w:r>
      <w:r w:rsidR="00650E41">
        <w:rPr>
          <w:szCs w:val="22"/>
        </w:rPr>
        <w:t xml:space="preserve">intestinal adverse events including </w:t>
      </w:r>
      <w:r w:rsidR="006E30DB">
        <w:rPr>
          <w:szCs w:val="22"/>
        </w:rPr>
        <w:t>diarrhoea, nausea and vomiting</w:t>
      </w:r>
      <w:r w:rsidR="00306B1A">
        <w:rPr>
          <w:szCs w:val="22"/>
        </w:rPr>
        <w:t xml:space="preserve"> compared with </w:t>
      </w:r>
      <w:r w:rsidR="00130D2B">
        <w:rPr>
          <w:szCs w:val="22"/>
        </w:rPr>
        <w:t>best supportive care</w:t>
      </w:r>
      <w:r w:rsidR="006E30DB">
        <w:rPr>
          <w:szCs w:val="22"/>
        </w:rPr>
        <w:t>.</w:t>
      </w:r>
      <w:r w:rsidR="00650E41">
        <w:rPr>
          <w:szCs w:val="22"/>
        </w:rPr>
        <w:t xml:space="preserve"> </w:t>
      </w:r>
      <w:r w:rsidR="00FC00BC">
        <w:rPr>
          <w:szCs w:val="22"/>
        </w:rPr>
        <w:t>Additionally, there was a significant reduction</w:t>
      </w:r>
      <w:r w:rsidR="006E30DB">
        <w:rPr>
          <w:szCs w:val="22"/>
        </w:rPr>
        <w:t xml:space="preserve"> in the incidence of dyspnoea.</w:t>
      </w:r>
      <w:r w:rsidR="002D48EA">
        <w:rPr>
          <w:szCs w:val="22"/>
        </w:rPr>
        <w:t xml:space="preserve"> </w:t>
      </w:r>
      <w:r w:rsidR="002D48EA" w:rsidRPr="00F16534">
        <w:rPr>
          <w:szCs w:val="22"/>
        </w:rPr>
        <w:t>The ESC noted that the reduction in the incidence of dyspnoea could be considered a benefit of treatment as opposed to an adverse event.</w:t>
      </w:r>
    </w:p>
    <w:p w:rsidR="000950D9" w:rsidRPr="00F16534" w:rsidRDefault="000950D9" w:rsidP="00D73941">
      <w:pPr>
        <w:pStyle w:val="ListParagraph"/>
        <w:widowControl/>
        <w:ind w:left="0"/>
        <w:rPr>
          <w:szCs w:val="22"/>
        </w:rPr>
      </w:pPr>
    </w:p>
    <w:p w:rsidR="000950D9" w:rsidRPr="00F16534" w:rsidRDefault="000950D9" w:rsidP="00D73941">
      <w:pPr>
        <w:pStyle w:val="ListParagraph"/>
        <w:widowControl/>
        <w:numPr>
          <w:ilvl w:val="1"/>
          <w:numId w:val="2"/>
        </w:numPr>
        <w:rPr>
          <w:szCs w:val="22"/>
        </w:rPr>
      </w:pPr>
      <w:r w:rsidRPr="00F16534">
        <w:rPr>
          <w:szCs w:val="22"/>
        </w:rPr>
        <w:t xml:space="preserve">In the pooled analysis of the phase 3 trials (Appendix 9 of the submission), for adverse events of special interest, there </w:t>
      </w:r>
      <w:r w:rsidR="002D48EA" w:rsidRPr="00F16534">
        <w:rPr>
          <w:szCs w:val="22"/>
        </w:rPr>
        <w:t>were</w:t>
      </w:r>
      <w:r w:rsidRPr="00F16534">
        <w:rPr>
          <w:szCs w:val="22"/>
        </w:rPr>
        <w:t xml:space="preserve"> higher incidences of thromboembolic events (</w:t>
      </w:r>
      <w:r w:rsidR="00ED4A35">
        <w:rPr>
          <w:noProof/>
          <w:color w:val="000000"/>
          <w:szCs w:val="22"/>
          <w:highlight w:val="black"/>
        </w:rPr>
        <w:t>'''''''''</w:t>
      </w:r>
      <w:r w:rsidRPr="009736C4">
        <w:rPr>
          <w:szCs w:val="22"/>
        </w:rPr>
        <w:t xml:space="preserve">% vs </w:t>
      </w:r>
      <w:r w:rsidR="00ED4A35">
        <w:rPr>
          <w:noProof/>
          <w:color w:val="000000"/>
          <w:szCs w:val="22"/>
          <w:highlight w:val="black"/>
        </w:rPr>
        <w:t>'''''''</w:t>
      </w:r>
      <w:r w:rsidRPr="009736C4">
        <w:rPr>
          <w:szCs w:val="22"/>
        </w:rPr>
        <w:t>%)</w:t>
      </w:r>
      <w:r w:rsidRPr="00F16534">
        <w:rPr>
          <w:szCs w:val="22"/>
        </w:rPr>
        <w:t xml:space="preserve"> and hypertension (</w:t>
      </w:r>
      <w:r w:rsidR="00ED4A35">
        <w:rPr>
          <w:noProof/>
          <w:color w:val="000000"/>
          <w:szCs w:val="22"/>
          <w:highlight w:val="black"/>
        </w:rPr>
        <w:t>'''''''''</w:t>
      </w:r>
      <w:r w:rsidRPr="009736C4">
        <w:rPr>
          <w:szCs w:val="22"/>
        </w:rPr>
        <w:t xml:space="preserve">% vs </w:t>
      </w:r>
      <w:r w:rsidR="00ED4A35">
        <w:rPr>
          <w:noProof/>
          <w:color w:val="000000"/>
          <w:szCs w:val="22"/>
          <w:highlight w:val="black"/>
        </w:rPr>
        <w:t>'''''''</w:t>
      </w:r>
      <w:r w:rsidRPr="009736C4">
        <w:rPr>
          <w:szCs w:val="22"/>
        </w:rPr>
        <w:t>%)</w:t>
      </w:r>
      <w:r w:rsidRPr="00F16534">
        <w:rPr>
          <w:szCs w:val="22"/>
        </w:rPr>
        <w:t xml:space="preserve"> in</w:t>
      </w:r>
      <w:r w:rsidR="004963EB" w:rsidRPr="00F16534">
        <w:rPr>
          <w:szCs w:val="22"/>
        </w:rPr>
        <w:t xml:space="preserve"> the nintedanib treatment arms.</w:t>
      </w:r>
      <w:r w:rsidRPr="00F16534">
        <w:rPr>
          <w:szCs w:val="22"/>
        </w:rPr>
        <w:t xml:space="preserve"> </w:t>
      </w:r>
      <w:r w:rsidR="00C625B5" w:rsidRPr="00F16534">
        <w:rPr>
          <w:szCs w:val="22"/>
        </w:rPr>
        <w:t>A s</w:t>
      </w:r>
      <w:r w:rsidRPr="00F16534">
        <w:rPr>
          <w:szCs w:val="22"/>
        </w:rPr>
        <w:t xml:space="preserve">tatistically significant difference </w:t>
      </w:r>
      <w:r w:rsidR="00C625B5" w:rsidRPr="00F16534">
        <w:rPr>
          <w:szCs w:val="22"/>
        </w:rPr>
        <w:t xml:space="preserve">was </w:t>
      </w:r>
      <w:r w:rsidRPr="00F16534">
        <w:rPr>
          <w:szCs w:val="22"/>
        </w:rPr>
        <w:t xml:space="preserve">observed for arterial thromboembolic events (RR = </w:t>
      </w:r>
      <w:r w:rsidR="00ED4A35">
        <w:rPr>
          <w:noProof/>
          <w:color w:val="000000"/>
          <w:szCs w:val="22"/>
          <w:highlight w:val="black"/>
        </w:rPr>
        <w:t>''''''''''''</w:t>
      </w:r>
      <w:r w:rsidRPr="00F16534">
        <w:rPr>
          <w:szCs w:val="22"/>
        </w:rPr>
        <w:t xml:space="preserve">, 95% CI: </w:t>
      </w:r>
      <w:r w:rsidR="00ED4A35">
        <w:rPr>
          <w:noProof/>
          <w:color w:val="000000"/>
          <w:szCs w:val="22"/>
          <w:highlight w:val="black"/>
        </w:rPr>
        <w:t>''''''''''''</w:t>
      </w:r>
      <w:r w:rsidRPr="00F16534">
        <w:rPr>
          <w:szCs w:val="22"/>
        </w:rPr>
        <w:t xml:space="preserve">, </w:t>
      </w:r>
      <w:r w:rsidR="00ED4A35">
        <w:rPr>
          <w:noProof/>
          <w:color w:val="000000"/>
          <w:szCs w:val="22"/>
          <w:highlight w:val="black"/>
        </w:rPr>
        <w:t>''''''''''''</w:t>
      </w:r>
      <w:r w:rsidRPr="00F16534">
        <w:rPr>
          <w:szCs w:val="22"/>
        </w:rPr>
        <w:t>).</w:t>
      </w:r>
      <w:r w:rsidR="006E30DB" w:rsidRPr="00F16534">
        <w:rPr>
          <w:szCs w:val="22"/>
        </w:rPr>
        <w:t xml:space="preserve"> </w:t>
      </w:r>
      <w:r w:rsidRPr="00F16534">
        <w:rPr>
          <w:szCs w:val="22"/>
        </w:rPr>
        <w:t xml:space="preserve">No evidence </w:t>
      </w:r>
      <w:r w:rsidR="004D0580" w:rsidRPr="00F16534">
        <w:rPr>
          <w:szCs w:val="22"/>
        </w:rPr>
        <w:t>was</w:t>
      </w:r>
      <w:r w:rsidRPr="00F16534">
        <w:rPr>
          <w:szCs w:val="22"/>
        </w:rPr>
        <w:t xml:space="preserve"> available to determine whether the above cardiovascular/thromboembolic safety signals would have any substantial impact upon long term patient risks.</w:t>
      </w:r>
    </w:p>
    <w:p w:rsidR="0054591B" w:rsidRPr="00F16534" w:rsidRDefault="0054591B" w:rsidP="00D73941">
      <w:pPr>
        <w:pStyle w:val="ListParagraph"/>
        <w:widowControl/>
        <w:rPr>
          <w:szCs w:val="22"/>
        </w:rPr>
      </w:pPr>
    </w:p>
    <w:p w:rsidR="0054591B" w:rsidRPr="00F16534" w:rsidRDefault="0054591B" w:rsidP="00D73941">
      <w:pPr>
        <w:pStyle w:val="ListParagraph"/>
        <w:widowControl/>
        <w:numPr>
          <w:ilvl w:val="1"/>
          <w:numId w:val="2"/>
        </w:numPr>
        <w:rPr>
          <w:szCs w:val="22"/>
        </w:rPr>
      </w:pPr>
      <w:r w:rsidRPr="00F16534">
        <w:rPr>
          <w:szCs w:val="22"/>
        </w:rPr>
        <w:t>The ESC noted that the draft Product Information state</w:t>
      </w:r>
      <w:r w:rsidR="00F859A0">
        <w:rPr>
          <w:szCs w:val="22"/>
        </w:rPr>
        <w:t>d</w:t>
      </w:r>
      <w:r w:rsidRPr="00F16534">
        <w:rPr>
          <w:szCs w:val="22"/>
        </w:rPr>
        <w:t xml:space="preserve"> that ‘a higher percentage of patients experienced myocardial infarctions in the nintedanib group (1.6%) compared to the placebo group (0.5%). Use caution when treating patients at higher cardiovascular risk including known coronary artery disease. Treatment interruption should be considered in patients who develop signs or symptoms of acute myocardial </w:t>
      </w:r>
      <w:proofErr w:type="spellStart"/>
      <w:r w:rsidRPr="00F16534">
        <w:rPr>
          <w:szCs w:val="22"/>
        </w:rPr>
        <w:t>ischaemia</w:t>
      </w:r>
      <w:proofErr w:type="spellEnd"/>
      <w:r w:rsidRPr="00F16534">
        <w:rPr>
          <w:szCs w:val="22"/>
        </w:rPr>
        <w:t xml:space="preserve">.’ </w:t>
      </w:r>
      <w:r w:rsidR="000940CC" w:rsidRPr="00F16534">
        <w:rPr>
          <w:szCs w:val="22"/>
        </w:rPr>
        <w:t>This risk was also a discussion point in the published versions of the trials (NEJM).</w:t>
      </w:r>
    </w:p>
    <w:p w:rsidR="000950D9" w:rsidRDefault="000950D9" w:rsidP="00D73941">
      <w:pPr>
        <w:pStyle w:val="ListParagraph"/>
        <w:widowControl/>
        <w:ind w:left="0"/>
        <w:rPr>
          <w:i/>
          <w:szCs w:val="22"/>
        </w:rPr>
      </w:pPr>
    </w:p>
    <w:p w:rsidR="00F16534" w:rsidRPr="00F16534" w:rsidRDefault="00F16534" w:rsidP="00D73941">
      <w:pPr>
        <w:pStyle w:val="PBACHeading1"/>
        <w:numPr>
          <w:ilvl w:val="0"/>
          <w:numId w:val="0"/>
        </w:numPr>
        <w:ind w:left="720"/>
        <w:rPr>
          <w:b w:val="0"/>
          <w:i/>
        </w:rPr>
      </w:pPr>
      <w:r w:rsidRPr="00F16534">
        <w:rPr>
          <w:b w:val="0"/>
          <w:i/>
        </w:rPr>
        <w:t>For more detail on PBAC’s view, see section 7 “PBAC outcome”</w:t>
      </w:r>
    </w:p>
    <w:p w:rsidR="00F16534" w:rsidRPr="001943FC" w:rsidRDefault="00F16534" w:rsidP="00D73941">
      <w:pPr>
        <w:pStyle w:val="ListParagraph"/>
        <w:widowControl/>
        <w:ind w:left="0"/>
        <w:rPr>
          <w:i/>
          <w:szCs w:val="22"/>
        </w:rPr>
      </w:pPr>
    </w:p>
    <w:p w:rsidR="000950D9" w:rsidRPr="00E14A81" w:rsidRDefault="000950D9" w:rsidP="00D73941">
      <w:pPr>
        <w:pStyle w:val="Heading2"/>
        <w:widowControl/>
        <w:rPr>
          <w:szCs w:val="22"/>
        </w:rPr>
      </w:pPr>
      <w:bookmarkStart w:id="12" w:name="_Toc409510373"/>
      <w:r w:rsidRPr="00E14A81">
        <w:t>Benefits/harms</w:t>
      </w:r>
      <w:bookmarkEnd w:id="12"/>
    </w:p>
    <w:p w:rsidR="000950D9" w:rsidRDefault="000950D9" w:rsidP="00D73941">
      <w:pPr>
        <w:widowControl/>
      </w:pPr>
    </w:p>
    <w:p w:rsidR="0095703C" w:rsidRDefault="0095703C" w:rsidP="00D73941">
      <w:pPr>
        <w:pStyle w:val="ListParagraph"/>
        <w:widowControl/>
        <w:numPr>
          <w:ilvl w:val="1"/>
          <w:numId w:val="2"/>
        </w:numPr>
      </w:pPr>
      <w:r>
        <w:t xml:space="preserve">A summary of the comparative benefits and harms for nintedanib and placebo are presented in the </w:t>
      </w:r>
      <w:r w:rsidR="000F3E37">
        <w:t xml:space="preserve">following </w:t>
      </w:r>
      <w:r w:rsidR="006E30DB">
        <w:t>table.</w:t>
      </w:r>
    </w:p>
    <w:p w:rsidR="0095703C" w:rsidRDefault="0095703C" w:rsidP="00D73941">
      <w:pPr>
        <w:widowControl/>
      </w:pPr>
    </w:p>
    <w:p w:rsidR="000950D9" w:rsidRPr="00A578DC" w:rsidRDefault="000950D9" w:rsidP="00D73941">
      <w:pPr>
        <w:keepNext/>
        <w:widowControl/>
        <w:ind w:firstLine="720"/>
        <w:rPr>
          <w:rStyle w:val="CommentReference"/>
        </w:rPr>
      </w:pPr>
      <w:r w:rsidRPr="00A578DC">
        <w:rPr>
          <w:rStyle w:val="CommentReference"/>
        </w:rPr>
        <w:lastRenderedPageBreak/>
        <w:t xml:space="preserve">Summary of comparative benefits and harms for </w:t>
      </w:r>
      <w:r w:rsidR="0095703C">
        <w:rPr>
          <w:rStyle w:val="CommentReference"/>
        </w:rPr>
        <w:t>nintedanib and placebo</w:t>
      </w:r>
    </w:p>
    <w:tbl>
      <w:tblPr>
        <w:tblStyle w:val="TableGrid"/>
        <w:tblW w:w="4625" w:type="pct"/>
        <w:tblInd w:w="698" w:type="dxa"/>
        <w:tblLayout w:type="fixed"/>
        <w:tblCellMar>
          <w:left w:w="28" w:type="dxa"/>
          <w:right w:w="28" w:type="dxa"/>
        </w:tblCellMar>
        <w:tblLook w:val="06A0" w:firstRow="1" w:lastRow="0" w:firstColumn="1" w:lastColumn="0" w:noHBand="1" w:noVBand="1"/>
      </w:tblPr>
      <w:tblGrid>
        <w:gridCol w:w="1323"/>
        <w:gridCol w:w="997"/>
        <w:gridCol w:w="1201"/>
        <w:gridCol w:w="1286"/>
        <w:gridCol w:w="1292"/>
        <w:gridCol w:w="776"/>
        <w:gridCol w:w="1527"/>
      </w:tblGrid>
      <w:tr w:rsidR="00010300" w:rsidRPr="00E2771E" w:rsidTr="00A75604">
        <w:trPr>
          <w:trHeight w:val="150"/>
          <w:tblHeader/>
        </w:trPr>
        <w:tc>
          <w:tcPr>
            <w:tcW w:w="787" w:type="pct"/>
            <w:vMerge w:val="restart"/>
            <w:shd w:val="clear" w:color="auto" w:fill="auto"/>
            <w:vAlign w:val="center"/>
          </w:tcPr>
          <w:p w:rsidR="000950D9" w:rsidRPr="00E2771E" w:rsidRDefault="000950D9" w:rsidP="00D73941">
            <w:pPr>
              <w:keepNext/>
              <w:widowControl/>
              <w:rPr>
                <w:rFonts w:ascii="Arial Narrow" w:hAnsi="Arial Narrow"/>
                <w:b/>
                <w:color w:val="000000"/>
                <w:sz w:val="20"/>
                <w:szCs w:val="18"/>
              </w:rPr>
            </w:pPr>
            <w:r w:rsidRPr="00E2771E">
              <w:rPr>
                <w:rFonts w:ascii="Arial Narrow" w:hAnsi="Arial Narrow"/>
                <w:b/>
                <w:color w:val="000000"/>
                <w:sz w:val="20"/>
                <w:szCs w:val="18"/>
              </w:rPr>
              <w:t>Trial</w:t>
            </w:r>
          </w:p>
        </w:tc>
        <w:tc>
          <w:tcPr>
            <w:tcW w:w="593" w:type="pct"/>
            <w:vMerge w:val="restart"/>
            <w:vAlign w:val="center"/>
          </w:tcPr>
          <w:p w:rsidR="000950D9" w:rsidRPr="00E2771E" w:rsidRDefault="000950D9" w:rsidP="00D73941">
            <w:pPr>
              <w:keepNext/>
              <w:widowControl/>
              <w:jc w:val="center"/>
              <w:rPr>
                <w:rFonts w:ascii="Arial Narrow" w:hAnsi="Arial Narrow"/>
                <w:b/>
                <w:color w:val="000000"/>
                <w:sz w:val="20"/>
                <w:szCs w:val="18"/>
              </w:rPr>
            </w:pPr>
            <w:r>
              <w:rPr>
                <w:rFonts w:ascii="Arial Narrow" w:hAnsi="Arial Narrow"/>
                <w:b/>
                <w:color w:val="000000"/>
                <w:sz w:val="20"/>
                <w:szCs w:val="18"/>
              </w:rPr>
              <w:t>Nintedanib</w:t>
            </w:r>
          </w:p>
        </w:tc>
        <w:tc>
          <w:tcPr>
            <w:tcW w:w="715" w:type="pct"/>
            <w:vMerge w:val="restart"/>
            <w:vAlign w:val="center"/>
          </w:tcPr>
          <w:p w:rsidR="000950D9" w:rsidRPr="00E2771E" w:rsidRDefault="000950D9" w:rsidP="00D73941">
            <w:pPr>
              <w:keepNext/>
              <w:widowControl/>
              <w:jc w:val="center"/>
              <w:rPr>
                <w:rFonts w:ascii="Arial Narrow" w:hAnsi="Arial Narrow"/>
                <w:b/>
                <w:color w:val="000000"/>
                <w:sz w:val="20"/>
                <w:szCs w:val="18"/>
              </w:rPr>
            </w:pPr>
            <w:r>
              <w:rPr>
                <w:rFonts w:ascii="Arial Narrow" w:hAnsi="Arial Narrow"/>
                <w:b/>
                <w:color w:val="000000"/>
                <w:sz w:val="20"/>
                <w:szCs w:val="18"/>
              </w:rPr>
              <w:t>Placebo</w:t>
            </w:r>
          </w:p>
        </w:tc>
        <w:tc>
          <w:tcPr>
            <w:tcW w:w="765" w:type="pct"/>
            <w:vMerge w:val="restart"/>
            <w:vAlign w:val="center"/>
          </w:tcPr>
          <w:p w:rsidR="000950D9" w:rsidRPr="00E2771E" w:rsidRDefault="000950D9" w:rsidP="00D73941">
            <w:pPr>
              <w:keepNext/>
              <w:widowControl/>
              <w:jc w:val="center"/>
              <w:rPr>
                <w:rFonts w:ascii="Arial Narrow" w:hAnsi="Arial Narrow"/>
                <w:b/>
                <w:color w:val="000000"/>
                <w:sz w:val="20"/>
                <w:szCs w:val="18"/>
              </w:rPr>
            </w:pPr>
            <w:r w:rsidRPr="00E2771E">
              <w:rPr>
                <w:rFonts w:ascii="Arial Narrow" w:hAnsi="Arial Narrow"/>
                <w:b/>
                <w:color w:val="000000"/>
                <w:sz w:val="20"/>
                <w:szCs w:val="18"/>
              </w:rPr>
              <w:t>RR</w:t>
            </w:r>
            <w:r w:rsidR="00010300">
              <w:rPr>
                <w:rFonts w:ascii="Arial Narrow" w:hAnsi="Arial Narrow"/>
                <w:b/>
                <w:color w:val="000000"/>
                <w:sz w:val="20"/>
                <w:szCs w:val="18"/>
              </w:rPr>
              <w:t xml:space="preserve"> </w:t>
            </w:r>
            <w:r w:rsidRPr="00E2771E">
              <w:rPr>
                <w:rFonts w:ascii="Arial Narrow" w:hAnsi="Arial Narrow"/>
                <w:b/>
                <w:color w:val="000000"/>
                <w:sz w:val="20"/>
                <w:szCs w:val="18"/>
              </w:rPr>
              <w:t>(95% CI)</w:t>
            </w:r>
          </w:p>
        </w:tc>
        <w:tc>
          <w:tcPr>
            <w:tcW w:w="1231" w:type="pct"/>
            <w:gridSpan w:val="2"/>
            <w:vAlign w:val="center"/>
          </w:tcPr>
          <w:p w:rsidR="000950D9" w:rsidRPr="00E2771E" w:rsidRDefault="007B4FF2" w:rsidP="00D73941">
            <w:pPr>
              <w:keepNext/>
              <w:widowControl/>
              <w:jc w:val="center"/>
              <w:rPr>
                <w:rFonts w:ascii="Arial Narrow" w:hAnsi="Arial Narrow"/>
                <w:b/>
                <w:color w:val="000000"/>
                <w:sz w:val="20"/>
                <w:szCs w:val="18"/>
              </w:rPr>
            </w:pPr>
            <w:r>
              <w:rPr>
                <w:rFonts w:ascii="Arial Narrow" w:hAnsi="Arial Narrow"/>
                <w:b/>
                <w:color w:val="000000"/>
                <w:sz w:val="20"/>
                <w:szCs w:val="18"/>
              </w:rPr>
              <w:t>Event rate/100 patients*</w:t>
            </w:r>
            <w:r w:rsidR="000950D9" w:rsidRPr="00E2771E">
              <w:rPr>
                <w:rFonts w:ascii="Arial Narrow" w:hAnsi="Arial Narrow"/>
                <w:b/>
                <w:color w:val="000000"/>
                <w:sz w:val="20"/>
                <w:szCs w:val="18"/>
              </w:rPr>
              <w:t xml:space="preserve"> </w:t>
            </w:r>
          </w:p>
        </w:tc>
        <w:tc>
          <w:tcPr>
            <w:tcW w:w="909" w:type="pct"/>
            <w:vMerge w:val="restart"/>
            <w:vAlign w:val="center"/>
          </w:tcPr>
          <w:p w:rsidR="000950D9" w:rsidRPr="00E2771E" w:rsidRDefault="000950D9" w:rsidP="00D73941">
            <w:pPr>
              <w:keepNext/>
              <w:widowControl/>
              <w:jc w:val="center"/>
              <w:rPr>
                <w:rFonts w:ascii="Arial Narrow" w:hAnsi="Arial Narrow"/>
                <w:b/>
                <w:color w:val="000000"/>
                <w:sz w:val="20"/>
                <w:szCs w:val="18"/>
              </w:rPr>
            </w:pPr>
            <w:r w:rsidRPr="00E2771E">
              <w:rPr>
                <w:rFonts w:ascii="Arial Narrow" w:hAnsi="Arial Narrow"/>
                <w:b/>
                <w:color w:val="000000"/>
                <w:sz w:val="20"/>
                <w:szCs w:val="18"/>
              </w:rPr>
              <w:t>RD</w:t>
            </w:r>
            <w:r w:rsidR="00010300">
              <w:rPr>
                <w:rFonts w:ascii="Arial Narrow" w:hAnsi="Arial Narrow"/>
                <w:b/>
                <w:color w:val="000000"/>
                <w:sz w:val="20"/>
                <w:szCs w:val="18"/>
              </w:rPr>
              <w:t xml:space="preserve"> </w:t>
            </w:r>
            <w:r w:rsidRPr="00E2771E">
              <w:rPr>
                <w:rFonts w:ascii="Arial Narrow" w:hAnsi="Arial Narrow"/>
                <w:b/>
                <w:color w:val="000000"/>
                <w:sz w:val="20"/>
                <w:szCs w:val="18"/>
              </w:rPr>
              <w:t>(95% CI)</w:t>
            </w:r>
          </w:p>
        </w:tc>
      </w:tr>
      <w:tr w:rsidR="00010300" w:rsidRPr="00E2771E" w:rsidTr="00A75604">
        <w:trPr>
          <w:trHeight w:val="70"/>
        </w:trPr>
        <w:tc>
          <w:tcPr>
            <w:tcW w:w="787" w:type="pct"/>
            <w:vMerge/>
            <w:shd w:val="clear" w:color="auto" w:fill="auto"/>
            <w:vAlign w:val="center"/>
          </w:tcPr>
          <w:p w:rsidR="000950D9" w:rsidRPr="00E2771E" w:rsidRDefault="000950D9" w:rsidP="00D73941">
            <w:pPr>
              <w:keepNext/>
              <w:widowControl/>
              <w:rPr>
                <w:rFonts w:ascii="Arial Narrow" w:hAnsi="Arial Narrow"/>
                <w:b/>
                <w:color w:val="000000"/>
                <w:sz w:val="20"/>
                <w:szCs w:val="18"/>
              </w:rPr>
            </w:pPr>
          </w:p>
        </w:tc>
        <w:tc>
          <w:tcPr>
            <w:tcW w:w="593" w:type="pct"/>
            <w:vMerge/>
            <w:vAlign w:val="center"/>
          </w:tcPr>
          <w:p w:rsidR="000950D9" w:rsidRPr="00E2771E" w:rsidRDefault="000950D9" w:rsidP="00D73941">
            <w:pPr>
              <w:keepNext/>
              <w:widowControl/>
              <w:jc w:val="center"/>
              <w:rPr>
                <w:rFonts w:ascii="Arial Narrow" w:hAnsi="Arial Narrow"/>
                <w:b/>
                <w:color w:val="000000"/>
                <w:sz w:val="20"/>
                <w:szCs w:val="18"/>
              </w:rPr>
            </w:pPr>
          </w:p>
        </w:tc>
        <w:tc>
          <w:tcPr>
            <w:tcW w:w="715" w:type="pct"/>
            <w:vMerge/>
            <w:vAlign w:val="center"/>
          </w:tcPr>
          <w:p w:rsidR="000950D9" w:rsidRPr="00E2771E" w:rsidRDefault="000950D9" w:rsidP="00D73941">
            <w:pPr>
              <w:keepNext/>
              <w:widowControl/>
              <w:jc w:val="center"/>
              <w:rPr>
                <w:rFonts w:ascii="Arial Narrow" w:hAnsi="Arial Narrow"/>
                <w:b/>
                <w:color w:val="000000"/>
                <w:sz w:val="20"/>
                <w:szCs w:val="18"/>
              </w:rPr>
            </w:pPr>
          </w:p>
        </w:tc>
        <w:tc>
          <w:tcPr>
            <w:tcW w:w="765" w:type="pct"/>
            <w:vMerge/>
            <w:vAlign w:val="center"/>
          </w:tcPr>
          <w:p w:rsidR="000950D9" w:rsidRPr="00E2771E" w:rsidRDefault="000950D9" w:rsidP="00D73941">
            <w:pPr>
              <w:keepNext/>
              <w:widowControl/>
              <w:jc w:val="center"/>
              <w:rPr>
                <w:rFonts w:ascii="Arial Narrow" w:hAnsi="Arial Narrow"/>
                <w:b/>
                <w:color w:val="000000"/>
                <w:sz w:val="20"/>
                <w:szCs w:val="18"/>
              </w:rPr>
            </w:pPr>
          </w:p>
        </w:tc>
        <w:tc>
          <w:tcPr>
            <w:tcW w:w="769" w:type="pct"/>
            <w:vAlign w:val="center"/>
          </w:tcPr>
          <w:p w:rsidR="000950D9" w:rsidRPr="00E2771E" w:rsidRDefault="000950D9" w:rsidP="00D73941">
            <w:pPr>
              <w:keepNext/>
              <w:widowControl/>
              <w:jc w:val="center"/>
              <w:rPr>
                <w:rFonts w:ascii="Arial Narrow" w:hAnsi="Arial Narrow"/>
                <w:b/>
                <w:color w:val="000000"/>
                <w:sz w:val="20"/>
                <w:szCs w:val="18"/>
              </w:rPr>
            </w:pPr>
            <w:r>
              <w:rPr>
                <w:rFonts w:ascii="Arial Narrow" w:hAnsi="Arial Narrow"/>
                <w:b/>
                <w:color w:val="000000"/>
                <w:sz w:val="20"/>
                <w:szCs w:val="18"/>
              </w:rPr>
              <w:t>Nintedanib</w:t>
            </w:r>
          </w:p>
        </w:tc>
        <w:tc>
          <w:tcPr>
            <w:tcW w:w="462" w:type="pct"/>
            <w:vAlign w:val="center"/>
          </w:tcPr>
          <w:p w:rsidR="000950D9" w:rsidRPr="00E2771E" w:rsidRDefault="000950D9" w:rsidP="00D73941">
            <w:pPr>
              <w:keepNext/>
              <w:widowControl/>
              <w:jc w:val="center"/>
              <w:rPr>
                <w:rFonts w:ascii="Arial Narrow" w:hAnsi="Arial Narrow"/>
                <w:b/>
                <w:color w:val="000000"/>
                <w:sz w:val="20"/>
                <w:szCs w:val="18"/>
              </w:rPr>
            </w:pPr>
            <w:r>
              <w:rPr>
                <w:rFonts w:ascii="Arial Narrow" w:hAnsi="Arial Narrow"/>
                <w:b/>
                <w:color w:val="000000"/>
                <w:sz w:val="20"/>
                <w:szCs w:val="18"/>
              </w:rPr>
              <w:t>Placebo</w:t>
            </w:r>
          </w:p>
        </w:tc>
        <w:tc>
          <w:tcPr>
            <w:tcW w:w="909" w:type="pct"/>
            <w:vMerge/>
            <w:vAlign w:val="center"/>
          </w:tcPr>
          <w:p w:rsidR="000950D9" w:rsidRPr="00E2771E" w:rsidRDefault="000950D9" w:rsidP="00D73941">
            <w:pPr>
              <w:keepNext/>
              <w:widowControl/>
              <w:jc w:val="center"/>
              <w:rPr>
                <w:rFonts w:ascii="Arial Narrow" w:hAnsi="Arial Narrow"/>
                <w:b/>
                <w:color w:val="000000"/>
                <w:sz w:val="20"/>
                <w:szCs w:val="18"/>
              </w:rPr>
            </w:pPr>
          </w:p>
        </w:tc>
      </w:tr>
      <w:tr w:rsidR="000950D9" w:rsidRPr="007B4FF2" w:rsidTr="00A75604">
        <w:tc>
          <w:tcPr>
            <w:tcW w:w="5000" w:type="pct"/>
            <w:gridSpan w:val="7"/>
            <w:shd w:val="clear" w:color="auto" w:fill="auto"/>
            <w:vAlign w:val="center"/>
          </w:tcPr>
          <w:p w:rsidR="000950D9" w:rsidRPr="007B4FF2" w:rsidRDefault="000950D9" w:rsidP="00D73941">
            <w:pPr>
              <w:keepNext/>
              <w:widowControl/>
              <w:rPr>
                <w:rFonts w:ascii="Arial Narrow" w:hAnsi="Arial Narrow"/>
                <w:b/>
                <w:color w:val="000000"/>
                <w:sz w:val="20"/>
                <w:szCs w:val="18"/>
              </w:rPr>
            </w:pPr>
            <w:r w:rsidRPr="007B4FF2">
              <w:rPr>
                <w:rFonts w:ascii="Arial Narrow" w:hAnsi="Arial Narrow"/>
                <w:b/>
                <w:color w:val="000000"/>
                <w:sz w:val="20"/>
                <w:szCs w:val="18"/>
              </w:rPr>
              <w:t>Benefits</w:t>
            </w:r>
          </w:p>
        </w:tc>
      </w:tr>
      <w:tr w:rsidR="000950D9" w:rsidRPr="007B4FF2" w:rsidTr="00A75604">
        <w:tc>
          <w:tcPr>
            <w:tcW w:w="5000" w:type="pct"/>
            <w:gridSpan w:val="7"/>
            <w:shd w:val="clear" w:color="auto" w:fill="auto"/>
            <w:vAlign w:val="center"/>
          </w:tcPr>
          <w:p w:rsidR="000950D9" w:rsidRPr="007B4FF2" w:rsidRDefault="00EC6F16" w:rsidP="00D73941">
            <w:pPr>
              <w:keepNext/>
              <w:widowControl/>
              <w:rPr>
                <w:rFonts w:ascii="Arial Narrow" w:hAnsi="Arial Narrow"/>
                <w:b/>
                <w:color w:val="000000"/>
                <w:sz w:val="20"/>
                <w:szCs w:val="18"/>
              </w:rPr>
            </w:pPr>
            <w:r>
              <w:rPr>
                <w:rFonts w:ascii="Arial Narrow" w:hAnsi="Arial Narrow"/>
                <w:b/>
                <w:color w:val="000000"/>
                <w:sz w:val="20"/>
                <w:szCs w:val="18"/>
              </w:rPr>
              <w:t>A</w:t>
            </w:r>
            <w:r w:rsidR="000950D9" w:rsidRPr="007B4FF2">
              <w:rPr>
                <w:rFonts w:ascii="Arial Narrow" w:hAnsi="Arial Narrow"/>
                <w:b/>
                <w:color w:val="000000"/>
                <w:sz w:val="20"/>
                <w:szCs w:val="18"/>
              </w:rPr>
              <w:t>ll-cause mortality over 52 weeks</w:t>
            </w:r>
          </w:p>
        </w:tc>
      </w:tr>
      <w:tr w:rsidR="00010300" w:rsidRPr="00E2771E" w:rsidTr="00A75604">
        <w:tc>
          <w:tcPr>
            <w:tcW w:w="787" w:type="pct"/>
            <w:shd w:val="clear" w:color="auto" w:fill="auto"/>
            <w:vAlign w:val="center"/>
          </w:tcPr>
          <w:p w:rsidR="00EC6F16" w:rsidRPr="00E2771E" w:rsidRDefault="00EC6F16" w:rsidP="00D73941">
            <w:pPr>
              <w:keepNext/>
              <w:widowControl/>
              <w:rPr>
                <w:rFonts w:ascii="Arial Narrow" w:hAnsi="Arial Narrow"/>
                <w:color w:val="000000"/>
                <w:sz w:val="20"/>
                <w:szCs w:val="18"/>
              </w:rPr>
            </w:pPr>
            <w:r w:rsidRPr="00E2771E">
              <w:rPr>
                <w:rFonts w:ascii="Arial Narrow" w:hAnsi="Arial Narrow"/>
                <w:color w:val="000000"/>
                <w:sz w:val="20"/>
                <w:szCs w:val="18"/>
              </w:rPr>
              <w:t>Trial</w:t>
            </w:r>
            <w:r>
              <w:rPr>
                <w:rFonts w:ascii="Arial Narrow" w:hAnsi="Arial Narrow"/>
                <w:color w:val="000000"/>
                <w:sz w:val="20"/>
                <w:szCs w:val="18"/>
              </w:rPr>
              <w:t xml:space="preserve"> 30, 32 &amp; 34</w:t>
            </w:r>
          </w:p>
        </w:tc>
        <w:tc>
          <w:tcPr>
            <w:tcW w:w="593" w:type="pct"/>
            <w:vAlign w:val="center"/>
          </w:tcPr>
          <w:p w:rsidR="00EC6F16" w:rsidRPr="00E2771E" w:rsidRDefault="00EC6F16" w:rsidP="00D73941">
            <w:pPr>
              <w:keepNext/>
              <w:widowControl/>
              <w:jc w:val="center"/>
              <w:rPr>
                <w:rFonts w:ascii="Arial Narrow" w:hAnsi="Arial Narrow"/>
                <w:color w:val="000000"/>
                <w:sz w:val="20"/>
                <w:szCs w:val="18"/>
              </w:rPr>
            </w:pPr>
            <w:r>
              <w:rPr>
                <w:rFonts w:ascii="Arial Narrow" w:hAnsi="Arial Narrow"/>
                <w:color w:val="000000"/>
                <w:sz w:val="20"/>
                <w:szCs w:val="18"/>
              </w:rPr>
              <w:t>42/724</w:t>
            </w:r>
          </w:p>
        </w:tc>
        <w:tc>
          <w:tcPr>
            <w:tcW w:w="715" w:type="pct"/>
            <w:vAlign w:val="center"/>
          </w:tcPr>
          <w:p w:rsidR="00EC6F16" w:rsidRPr="00E2771E" w:rsidRDefault="00EC6F16" w:rsidP="00D73941">
            <w:pPr>
              <w:keepNext/>
              <w:widowControl/>
              <w:jc w:val="center"/>
              <w:rPr>
                <w:rFonts w:ascii="Arial Narrow" w:hAnsi="Arial Narrow"/>
                <w:color w:val="000000"/>
                <w:sz w:val="20"/>
                <w:szCs w:val="18"/>
              </w:rPr>
            </w:pPr>
            <w:r>
              <w:rPr>
                <w:rFonts w:ascii="Arial Narrow" w:hAnsi="Arial Narrow"/>
                <w:color w:val="000000"/>
                <w:sz w:val="20"/>
                <w:szCs w:val="18"/>
              </w:rPr>
              <w:t>42/510</w:t>
            </w:r>
          </w:p>
        </w:tc>
        <w:tc>
          <w:tcPr>
            <w:tcW w:w="765" w:type="pct"/>
            <w:vAlign w:val="center"/>
          </w:tcPr>
          <w:p w:rsidR="00EC6F16" w:rsidRPr="00ED4A35" w:rsidRDefault="00ED4A35" w:rsidP="00D73941">
            <w:pPr>
              <w:keepNext/>
              <w:widowControl/>
              <w:jc w:val="center"/>
              <w:rPr>
                <w:rFonts w:ascii="Arial Narrow" w:hAnsi="Arial Narrow"/>
                <w:color w:val="000000"/>
                <w:sz w:val="20"/>
                <w:szCs w:val="18"/>
                <w:highlight w:val="black"/>
              </w:rPr>
            </w:pPr>
            <w:r>
              <w:rPr>
                <w:rStyle w:val="CommentReference"/>
                <w:b w:val="0"/>
                <w:noProof/>
                <w:color w:val="000000"/>
                <w:highlight w:val="black"/>
              </w:rPr>
              <w:t>''''''''''' '''''''''''''' '''''''''''''</w:t>
            </w:r>
          </w:p>
        </w:tc>
        <w:tc>
          <w:tcPr>
            <w:tcW w:w="769" w:type="pct"/>
            <w:vAlign w:val="center"/>
          </w:tcPr>
          <w:p w:rsidR="00EC6F16" w:rsidRPr="00E2771E" w:rsidRDefault="00EC6F16" w:rsidP="00D73941">
            <w:pPr>
              <w:keepNext/>
              <w:widowControl/>
              <w:jc w:val="center"/>
              <w:rPr>
                <w:rFonts w:ascii="Arial Narrow" w:hAnsi="Arial Narrow"/>
                <w:color w:val="000000"/>
                <w:sz w:val="20"/>
                <w:szCs w:val="18"/>
              </w:rPr>
            </w:pPr>
            <w:r>
              <w:rPr>
                <w:rFonts w:ascii="Arial Narrow" w:hAnsi="Arial Narrow"/>
                <w:color w:val="000000"/>
                <w:sz w:val="20"/>
                <w:szCs w:val="18"/>
              </w:rPr>
              <w:t>5.8</w:t>
            </w:r>
          </w:p>
        </w:tc>
        <w:tc>
          <w:tcPr>
            <w:tcW w:w="462" w:type="pct"/>
            <w:vAlign w:val="center"/>
          </w:tcPr>
          <w:p w:rsidR="00EC6F16" w:rsidRPr="00E2771E" w:rsidRDefault="00EC6F16" w:rsidP="00D73941">
            <w:pPr>
              <w:keepNext/>
              <w:widowControl/>
              <w:jc w:val="center"/>
              <w:rPr>
                <w:rFonts w:ascii="Arial Narrow" w:hAnsi="Arial Narrow"/>
                <w:color w:val="000000"/>
                <w:sz w:val="20"/>
                <w:szCs w:val="18"/>
              </w:rPr>
            </w:pPr>
            <w:r>
              <w:rPr>
                <w:rFonts w:ascii="Arial Narrow" w:hAnsi="Arial Narrow"/>
                <w:color w:val="000000"/>
                <w:sz w:val="20"/>
                <w:szCs w:val="18"/>
              </w:rPr>
              <w:t>8.2</w:t>
            </w:r>
          </w:p>
        </w:tc>
        <w:tc>
          <w:tcPr>
            <w:tcW w:w="909" w:type="pct"/>
            <w:vAlign w:val="center"/>
          </w:tcPr>
          <w:p w:rsidR="00EC6F16" w:rsidRPr="00ED4A35" w:rsidRDefault="00ED4A35" w:rsidP="00D73941">
            <w:pPr>
              <w:keepNext/>
              <w:widowControl/>
              <w:jc w:val="center"/>
              <w:rPr>
                <w:rFonts w:ascii="Arial Narrow" w:hAnsi="Arial Narrow"/>
                <w:color w:val="000000"/>
                <w:sz w:val="20"/>
                <w:szCs w:val="18"/>
                <w:highlight w:val="black"/>
              </w:rPr>
            </w:pPr>
            <w:r>
              <w:rPr>
                <w:rStyle w:val="CommentReference"/>
                <w:b w:val="0"/>
                <w:noProof/>
                <w:color w:val="000000"/>
                <w:highlight w:val="black"/>
              </w:rPr>
              <w:t>''''''''''''' ''''''''''''''''' '''''''''''''</w:t>
            </w:r>
          </w:p>
        </w:tc>
      </w:tr>
      <w:tr w:rsidR="00EC6F16" w:rsidRPr="007B4FF2" w:rsidTr="00A75604">
        <w:tc>
          <w:tcPr>
            <w:tcW w:w="5000" w:type="pct"/>
            <w:gridSpan w:val="7"/>
            <w:shd w:val="clear" w:color="auto" w:fill="auto"/>
            <w:vAlign w:val="center"/>
          </w:tcPr>
          <w:p w:rsidR="00EC6F16" w:rsidRPr="007B4FF2" w:rsidRDefault="00EC6F16" w:rsidP="00D73941">
            <w:pPr>
              <w:keepNext/>
              <w:widowControl/>
              <w:jc w:val="left"/>
              <w:rPr>
                <w:rFonts w:ascii="Arial Narrow" w:hAnsi="Arial Narrow"/>
                <w:b/>
                <w:color w:val="000000"/>
                <w:sz w:val="20"/>
                <w:szCs w:val="18"/>
              </w:rPr>
            </w:pPr>
            <w:r w:rsidRPr="007B4FF2">
              <w:rPr>
                <w:rFonts w:ascii="Arial Narrow" w:hAnsi="Arial Narrow"/>
                <w:b/>
                <w:color w:val="000000"/>
                <w:sz w:val="20"/>
                <w:szCs w:val="18"/>
              </w:rPr>
              <w:t>Acute IPF exacerbation: investigator reported</w:t>
            </w:r>
          </w:p>
        </w:tc>
      </w:tr>
      <w:tr w:rsidR="00010300" w:rsidRPr="00E2771E" w:rsidTr="00A75604">
        <w:tc>
          <w:tcPr>
            <w:tcW w:w="787" w:type="pct"/>
            <w:tcBorders>
              <w:bottom w:val="single" w:sz="4" w:space="0" w:color="auto"/>
            </w:tcBorders>
            <w:shd w:val="clear" w:color="auto" w:fill="auto"/>
            <w:vAlign w:val="center"/>
          </w:tcPr>
          <w:p w:rsidR="009B3C82" w:rsidRPr="00E2771E" w:rsidRDefault="009B3C82" w:rsidP="00D73941">
            <w:pPr>
              <w:keepNext/>
              <w:widowControl/>
              <w:rPr>
                <w:rFonts w:ascii="Arial Narrow" w:hAnsi="Arial Narrow"/>
                <w:color w:val="000000"/>
                <w:sz w:val="20"/>
                <w:szCs w:val="18"/>
              </w:rPr>
            </w:pPr>
            <w:r w:rsidRPr="00E2771E">
              <w:rPr>
                <w:rFonts w:ascii="Arial Narrow" w:hAnsi="Arial Narrow"/>
                <w:color w:val="000000"/>
                <w:sz w:val="20"/>
                <w:szCs w:val="18"/>
              </w:rPr>
              <w:t>Trial</w:t>
            </w:r>
            <w:r>
              <w:rPr>
                <w:rFonts w:ascii="Arial Narrow" w:hAnsi="Arial Narrow"/>
                <w:color w:val="000000"/>
                <w:sz w:val="20"/>
                <w:szCs w:val="18"/>
              </w:rPr>
              <w:t xml:space="preserve"> 30, 32 &amp; 34</w:t>
            </w:r>
          </w:p>
        </w:tc>
        <w:tc>
          <w:tcPr>
            <w:tcW w:w="593" w:type="pct"/>
            <w:tcBorders>
              <w:bottom w:val="single" w:sz="4" w:space="0" w:color="auto"/>
            </w:tcBorders>
            <w:vAlign w:val="center"/>
          </w:tcPr>
          <w:p w:rsidR="009B3C82" w:rsidRPr="00E2771E" w:rsidRDefault="009B3C82" w:rsidP="00D73941">
            <w:pPr>
              <w:keepNext/>
              <w:widowControl/>
              <w:jc w:val="center"/>
              <w:rPr>
                <w:rFonts w:ascii="Arial Narrow" w:hAnsi="Arial Narrow"/>
                <w:color w:val="000000"/>
                <w:sz w:val="20"/>
                <w:szCs w:val="18"/>
              </w:rPr>
            </w:pPr>
            <w:r>
              <w:rPr>
                <w:rFonts w:ascii="Arial Narrow" w:hAnsi="Arial Narrow"/>
                <w:color w:val="000000"/>
                <w:sz w:val="20"/>
                <w:szCs w:val="18"/>
              </w:rPr>
              <w:t>33/724</w:t>
            </w:r>
          </w:p>
        </w:tc>
        <w:tc>
          <w:tcPr>
            <w:tcW w:w="715" w:type="pct"/>
            <w:tcBorders>
              <w:bottom w:val="single" w:sz="4" w:space="0" w:color="auto"/>
            </w:tcBorders>
            <w:vAlign w:val="center"/>
          </w:tcPr>
          <w:p w:rsidR="009B3C82" w:rsidRPr="00E2771E" w:rsidRDefault="009B3C82" w:rsidP="00D73941">
            <w:pPr>
              <w:keepNext/>
              <w:widowControl/>
              <w:jc w:val="center"/>
              <w:rPr>
                <w:rFonts w:ascii="Arial Narrow" w:hAnsi="Arial Narrow"/>
                <w:color w:val="000000"/>
                <w:sz w:val="20"/>
                <w:szCs w:val="18"/>
              </w:rPr>
            </w:pPr>
            <w:r>
              <w:rPr>
                <w:rFonts w:ascii="Arial Narrow" w:hAnsi="Arial Narrow"/>
                <w:color w:val="000000"/>
                <w:sz w:val="20"/>
                <w:szCs w:val="18"/>
              </w:rPr>
              <w:t>44/510</w:t>
            </w:r>
          </w:p>
        </w:tc>
        <w:tc>
          <w:tcPr>
            <w:tcW w:w="765" w:type="pct"/>
            <w:tcBorders>
              <w:bottom w:val="single" w:sz="4" w:space="0" w:color="auto"/>
            </w:tcBorders>
            <w:vAlign w:val="center"/>
          </w:tcPr>
          <w:p w:rsidR="009B3C82" w:rsidRPr="00ED4A35" w:rsidRDefault="00ED4A35" w:rsidP="00D73941">
            <w:pPr>
              <w:keepNext/>
              <w:widowControl/>
              <w:jc w:val="center"/>
              <w:rPr>
                <w:rFonts w:ascii="Arial Narrow" w:hAnsi="Arial Narrow"/>
                <w:color w:val="000000"/>
                <w:sz w:val="20"/>
                <w:szCs w:val="18"/>
                <w:highlight w:val="black"/>
              </w:rPr>
            </w:pPr>
            <w:r>
              <w:rPr>
                <w:rStyle w:val="CommentReference"/>
                <w:b w:val="0"/>
                <w:noProof/>
                <w:color w:val="000000"/>
                <w:highlight w:val="black"/>
              </w:rPr>
              <w:t>''''''''''' ''''''''''''''' '''''''''''''</w:t>
            </w:r>
          </w:p>
        </w:tc>
        <w:tc>
          <w:tcPr>
            <w:tcW w:w="769" w:type="pct"/>
            <w:tcBorders>
              <w:bottom w:val="single" w:sz="4" w:space="0" w:color="auto"/>
            </w:tcBorders>
            <w:vAlign w:val="center"/>
          </w:tcPr>
          <w:p w:rsidR="009B3C82" w:rsidRPr="00E2771E" w:rsidRDefault="009B3C82" w:rsidP="00D73941">
            <w:pPr>
              <w:keepNext/>
              <w:widowControl/>
              <w:jc w:val="center"/>
              <w:rPr>
                <w:rFonts w:ascii="Arial Narrow" w:hAnsi="Arial Narrow"/>
                <w:color w:val="000000"/>
                <w:sz w:val="20"/>
                <w:szCs w:val="18"/>
              </w:rPr>
            </w:pPr>
            <w:r>
              <w:rPr>
                <w:rFonts w:ascii="Arial Narrow" w:hAnsi="Arial Narrow"/>
                <w:color w:val="000000"/>
                <w:sz w:val="20"/>
                <w:szCs w:val="18"/>
              </w:rPr>
              <w:t>4.6</w:t>
            </w:r>
          </w:p>
        </w:tc>
        <w:tc>
          <w:tcPr>
            <w:tcW w:w="462" w:type="pct"/>
            <w:tcBorders>
              <w:bottom w:val="single" w:sz="4" w:space="0" w:color="auto"/>
            </w:tcBorders>
            <w:vAlign w:val="center"/>
          </w:tcPr>
          <w:p w:rsidR="009B3C82" w:rsidRPr="00E2771E" w:rsidRDefault="009B3C82" w:rsidP="00D73941">
            <w:pPr>
              <w:keepNext/>
              <w:widowControl/>
              <w:jc w:val="center"/>
              <w:rPr>
                <w:rFonts w:ascii="Arial Narrow" w:hAnsi="Arial Narrow"/>
                <w:color w:val="000000"/>
                <w:sz w:val="20"/>
                <w:szCs w:val="18"/>
              </w:rPr>
            </w:pPr>
            <w:r>
              <w:rPr>
                <w:rFonts w:ascii="Arial Narrow" w:hAnsi="Arial Narrow"/>
                <w:color w:val="000000"/>
                <w:sz w:val="20"/>
                <w:szCs w:val="18"/>
              </w:rPr>
              <w:t>8.6</w:t>
            </w:r>
          </w:p>
        </w:tc>
        <w:tc>
          <w:tcPr>
            <w:tcW w:w="909" w:type="pct"/>
            <w:tcBorders>
              <w:bottom w:val="single" w:sz="4" w:space="0" w:color="auto"/>
            </w:tcBorders>
            <w:vAlign w:val="center"/>
          </w:tcPr>
          <w:p w:rsidR="009B3C82" w:rsidRPr="00ED4A35" w:rsidRDefault="00ED4A35" w:rsidP="00D73941">
            <w:pPr>
              <w:keepNext/>
              <w:widowControl/>
              <w:jc w:val="center"/>
              <w:rPr>
                <w:rFonts w:ascii="Arial Narrow" w:hAnsi="Arial Narrow"/>
                <w:color w:val="000000"/>
                <w:sz w:val="20"/>
                <w:szCs w:val="18"/>
                <w:highlight w:val="black"/>
              </w:rPr>
            </w:pPr>
            <w:r>
              <w:rPr>
                <w:rStyle w:val="CommentReference"/>
                <w:b w:val="0"/>
                <w:noProof/>
                <w:color w:val="000000"/>
                <w:highlight w:val="black"/>
              </w:rPr>
              <w:t>'''''''''''''' '''''''''''''' ''''''''''''</w:t>
            </w:r>
          </w:p>
        </w:tc>
      </w:tr>
      <w:tr w:rsidR="00412B52" w:rsidRPr="00E2771E" w:rsidTr="00A75604">
        <w:tc>
          <w:tcPr>
            <w:tcW w:w="5000" w:type="pct"/>
            <w:gridSpan w:val="7"/>
            <w:tcBorders>
              <w:bottom w:val="single" w:sz="4" w:space="0" w:color="auto"/>
            </w:tcBorders>
            <w:shd w:val="clear" w:color="auto" w:fill="auto"/>
            <w:vAlign w:val="center"/>
          </w:tcPr>
          <w:p w:rsidR="00412B52" w:rsidRPr="00F16534" w:rsidRDefault="00412B52" w:rsidP="00D73941">
            <w:pPr>
              <w:keepNext/>
              <w:widowControl/>
              <w:jc w:val="left"/>
              <w:rPr>
                <w:rStyle w:val="CommentReference"/>
                <w:b w:val="0"/>
              </w:rPr>
            </w:pPr>
            <w:r w:rsidRPr="00F16534">
              <w:rPr>
                <w:rFonts w:ascii="Arial Narrow" w:hAnsi="Arial Narrow"/>
                <w:b/>
                <w:color w:val="000000"/>
                <w:sz w:val="20"/>
                <w:szCs w:val="18"/>
              </w:rPr>
              <w:t>Acute IPF exacerbation: adjudicated</w:t>
            </w:r>
          </w:p>
        </w:tc>
      </w:tr>
      <w:tr w:rsidR="00412B52" w:rsidRPr="00E2771E" w:rsidTr="00A75604">
        <w:tc>
          <w:tcPr>
            <w:tcW w:w="787" w:type="pct"/>
            <w:tcBorders>
              <w:bottom w:val="double" w:sz="4" w:space="0" w:color="auto"/>
            </w:tcBorders>
            <w:shd w:val="clear" w:color="auto" w:fill="auto"/>
            <w:vAlign w:val="center"/>
          </w:tcPr>
          <w:p w:rsidR="00412B52" w:rsidRPr="00F16534" w:rsidRDefault="00412B52" w:rsidP="00D73941">
            <w:pPr>
              <w:keepNext/>
              <w:widowControl/>
              <w:rPr>
                <w:rFonts w:ascii="Arial Narrow" w:hAnsi="Arial Narrow"/>
                <w:color w:val="000000"/>
                <w:sz w:val="20"/>
                <w:szCs w:val="18"/>
              </w:rPr>
            </w:pPr>
            <w:r w:rsidRPr="00F16534">
              <w:rPr>
                <w:rFonts w:ascii="Arial Narrow" w:hAnsi="Arial Narrow"/>
                <w:color w:val="000000"/>
                <w:sz w:val="20"/>
                <w:szCs w:val="18"/>
              </w:rPr>
              <w:t>Trial 32 &amp; 34</w:t>
            </w:r>
          </w:p>
        </w:tc>
        <w:tc>
          <w:tcPr>
            <w:tcW w:w="593" w:type="pct"/>
            <w:tcBorders>
              <w:bottom w:val="double" w:sz="4" w:space="0" w:color="auto"/>
            </w:tcBorders>
            <w:vAlign w:val="center"/>
          </w:tcPr>
          <w:p w:rsidR="00412B52" w:rsidRPr="00F16534" w:rsidRDefault="00412B52" w:rsidP="00D73941">
            <w:pPr>
              <w:keepNext/>
              <w:widowControl/>
              <w:jc w:val="center"/>
              <w:rPr>
                <w:rFonts w:ascii="Arial Narrow" w:hAnsi="Arial Narrow"/>
                <w:color w:val="000000"/>
                <w:sz w:val="20"/>
                <w:szCs w:val="18"/>
              </w:rPr>
            </w:pPr>
            <w:r w:rsidRPr="00F16534">
              <w:rPr>
                <w:rFonts w:ascii="Arial Narrow" w:hAnsi="Arial Narrow"/>
                <w:color w:val="000000"/>
                <w:sz w:val="20"/>
                <w:szCs w:val="18"/>
              </w:rPr>
              <w:t>12/638</w:t>
            </w:r>
          </w:p>
        </w:tc>
        <w:tc>
          <w:tcPr>
            <w:tcW w:w="715" w:type="pct"/>
            <w:tcBorders>
              <w:bottom w:val="double" w:sz="4" w:space="0" w:color="auto"/>
            </w:tcBorders>
            <w:vAlign w:val="center"/>
          </w:tcPr>
          <w:p w:rsidR="00412B52" w:rsidRPr="00F16534" w:rsidRDefault="00412B52" w:rsidP="00D73941">
            <w:pPr>
              <w:keepNext/>
              <w:widowControl/>
              <w:jc w:val="center"/>
              <w:rPr>
                <w:rFonts w:ascii="Arial Narrow" w:hAnsi="Arial Narrow"/>
                <w:color w:val="000000"/>
                <w:sz w:val="20"/>
                <w:szCs w:val="18"/>
              </w:rPr>
            </w:pPr>
            <w:r w:rsidRPr="00F16534">
              <w:rPr>
                <w:rFonts w:ascii="Arial Narrow" w:hAnsi="Arial Narrow"/>
                <w:color w:val="000000"/>
                <w:sz w:val="20"/>
                <w:szCs w:val="18"/>
              </w:rPr>
              <w:t>24/423</w:t>
            </w:r>
          </w:p>
        </w:tc>
        <w:tc>
          <w:tcPr>
            <w:tcW w:w="765" w:type="pct"/>
            <w:tcBorders>
              <w:bottom w:val="double" w:sz="4" w:space="0" w:color="auto"/>
            </w:tcBorders>
            <w:vAlign w:val="center"/>
          </w:tcPr>
          <w:p w:rsidR="00412B52" w:rsidRPr="00F16534" w:rsidRDefault="00412B52" w:rsidP="00D73941">
            <w:pPr>
              <w:keepNext/>
              <w:widowControl/>
              <w:jc w:val="center"/>
              <w:rPr>
                <w:rStyle w:val="CommentReference"/>
                <w:b w:val="0"/>
              </w:rPr>
            </w:pPr>
            <w:r w:rsidRPr="00F16534">
              <w:rPr>
                <w:rStyle w:val="CommentReference"/>
                <w:b w:val="0"/>
              </w:rPr>
              <w:t>0.35 (0.13, 0.94)</w:t>
            </w:r>
          </w:p>
        </w:tc>
        <w:tc>
          <w:tcPr>
            <w:tcW w:w="769" w:type="pct"/>
            <w:tcBorders>
              <w:bottom w:val="double" w:sz="4" w:space="0" w:color="auto"/>
            </w:tcBorders>
            <w:vAlign w:val="center"/>
          </w:tcPr>
          <w:p w:rsidR="00412B52" w:rsidRPr="00F16534" w:rsidRDefault="00412B52" w:rsidP="00D73941">
            <w:pPr>
              <w:keepNext/>
              <w:widowControl/>
              <w:jc w:val="center"/>
              <w:rPr>
                <w:rFonts w:ascii="Arial Narrow" w:hAnsi="Arial Narrow"/>
                <w:color w:val="000000"/>
                <w:sz w:val="20"/>
                <w:szCs w:val="18"/>
              </w:rPr>
            </w:pPr>
            <w:r w:rsidRPr="00F16534">
              <w:rPr>
                <w:rFonts w:ascii="Arial Narrow" w:hAnsi="Arial Narrow"/>
                <w:color w:val="000000"/>
                <w:sz w:val="20"/>
                <w:szCs w:val="18"/>
              </w:rPr>
              <w:t>1.9</w:t>
            </w:r>
          </w:p>
        </w:tc>
        <w:tc>
          <w:tcPr>
            <w:tcW w:w="462" w:type="pct"/>
            <w:tcBorders>
              <w:bottom w:val="double" w:sz="4" w:space="0" w:color="auto"/>
            </w:tcBorders>
            <w:vAlign w:val="center"/>
          </w:tcPr>
          <w:p w:rsidR="00412B52" w:rsidRPr="00F16534" w:rsidRDefault="00412B52" w:rsidP="00D73941">
            <w:pPr>
              <w:keepNext/>
              <w:widowControl/>
              <w:jc w:val="center"/>
              <w:rPr>
                <w:rFonts w:ascii="Arial Narrow" w:hAnsi="Arial Narrow"/>
                <w:color w:val="000000"/>
                <w:sz w:val="20"/>
                <w:szCs w:val="18"/>
              </w:rPr>
            </w:pPr>
            <w:r w:rsidRPr="00F16534">
              <w:rPr>
                <w:rFonts w:ascii="Arial Narrow" w:hAnsi="Arial Narrow"/>
                <w:color w:val="000000"/>
                <w:sz w:val="20"/>
                <w:szCs w:val="18"/>
              </w:rPr>
              <w:t>5.7</w:t>
            </w:r>
          </w:p>
        </w:tc>
        <w:tc>
          <w:tcPr>
            <w:tcW w:w="909" w:type="pct"/>
            <w:tcBorders>
              <w:bottom w:val="double" w:sz="4" w:space="0" w:color="auto"/>
            </w:tcBorders>
            <w:vAlign w:val="center"/>
          </w:tcPr>
          <w:p w:rsidR="00412B52" w:rsidRPr="00F16534" w:rsidRDefault="00412B52" w:rsidP="00D73941">
            <w:pPr>
              <w:keepNext/>
              <w:widowControl/>
              <w:jc w:val="center"/>
              <w:rPr>
                <w:rStyle w:val="CommentReference"/>
                <w:b w:val="0"/>
              </w:rPr>
            </w:pPr>
            <w:r w:rsidRPr="00F16534">
              <w:rPr>
                <w:rStyle w:val="CommentReference"/>
                <w:b w:val="0"/>
              </w:rPr>
              <w:t>-0.04 (-0.08, 0.01)</w:t>
            </w:r>
          </w:p>
        </w:tc>
      </w:tr>
      <w:tr w:rsidR="004E08A8" w:rsidRPr="00E2771E" w:rsidTr="00A75604">
        <w:trPr>
          <w:trHeight w:val="225"/>
        </w:trPr>
        <w:tc>
          <w:tcPr>
            <w:tcW w:w="787" w:type="pct"/>
            <w:vMerge w:val="restart"/>
            <w:tcBorders>
              <w:top w:val="double" w:sz="4" w:space="0" w:color="auto"/>
            </w:tcBorders>
            <w:shd w:val="clear" w:color="auto" w:fill="auto"/>
            <w:vAlign w:val="center"/>
          </w:tcPr>
          <w:p w:rsidR="009B3C82" w:rsidRPr="00E2771E" w:rsidRDefault="009B3C82" w:rsidP="00D73941">
            <w:pPr>
              <w:keepNext/>
              <w:widowControl/>
              <w:rPr>
                <w:rFonts w:ascii="Arial Narrow" w:hAnsi="Arial Narrow"/>
                <w:color w:val="000000"/>
                <w:sz w:val="20"/>
                <w:szCs w:val="18"/>
              </w:rPr>
            </w:pPr>
          </w:p>
        </w:tc>
        <w:tc>
          <w:tcPr>
            <w:tcW w:w="1308" w:type="pct"/>
            <w:gridSpan w:val="2"/>
            <w:tcBorders>
              <w:top w:val="double" w:sz="4" w:space="0" w:color="auto"/>
            </w:tcBorders>
            <w:vAlign w:val="center"/>
          </w:tcPr>
          <w:p w:rsidR="009B3C82" w:rsidRPr="00E2771E" w:rsidRDefault="00603C00" w:rsidP="00D73941">
            <w:pPr>
              <w:keepNext/>
              <w:widowControl/>
              <w:jc w:val="center"/>
              <w:rPr>
                <w:rFonts w:ascii="Arial Narrow" w:hAnsi="Arial Narrow"/>
                <w:color w:val="000000"/>
                <w:sz w:val="20"/>
                <w:szCs w:val="18"/>
              </w:rPr>
            </w:pPr>
            <w:r>
              <w:rPr>
                <w:rFonts w:ascii="Arial Narrow" w:hAnsi="Arial Narrow"/>
                <w:b/>
                <w:color w:val="000000"/>
                <w:sz w:val="20"/>
                <w:szCs w:val="18"/>
              </w:rPr>
              <w:t>Ninte</w:t>
            </w:r>
            <w:r w:rsidR="009B3C82">
              <w:rPr>
                <w:rFonts w:ascii="Arial Narrow" w:hAnsi="Arial Narrow"/>
                <w:b/>
                <w:color w:val="000000"/>
                <w:sz w:val="20"/>
                <w:szCs w:val="18"/>
              </w:rPr>
              <w:t>d</w:t>
            </w:r>
            <w:r>
              <w:rPr>
                <w:rFonts w:ascii="Arial Narrow" w:hAnsi="Arial Narrow"/>
                <w:b/>
                <w:color w:val="000000"/>
                <w:sz w:val="20"/>
                <w:szCs w:val="18"/>
              </w:rPr>
              <w:t>a</w:t>
            </w:r>
            <w:r w:rsidR="009B3C82">
              <w:rPr>
                <w:rFonts w:ascii="Arial Narrow" w:hAnsi="Arial Narrow"/>
                <w:b/>
                <w:color w:val="000000"/>
                <w:sz w:val="20"/>
                <w:szCs w:val="18"/>
              </w:rPr>
              <w:t>nib</w:t>
            </w:r>
          </w:p>
        </w:tc>
        <w:tc>
          <w:tcPr>
            <w:tcW w:w="1534" w:type="pct"/>
            <w:gridSpan w:val="2"/>
            <w:tcBorders>
              <w:top w:val="double" w:sz="4" w:space="0" w:color="auto"/>
            </w:tcBorders>
            <w:vAlign w:val="center"/>
          </w:tcPr>
          <w:p w:rsidR="009B3C82" w:rsidRPr="00E2771E" w:rsidRDefault="009B3C82" w:rsidP="00D73941">
            <w:pPr>
              <w:keepNext/>
              <w:widowControl/>
              <w:jc w:val="center"/>
              <w:rPr>
                <w:rFonts w:ascii="Arial Narrow" w:hAnsi="Arial Narrow"/>
                <w:color w:val="000000"/>
                <w:sz w:val="20"/>
                <w:szCs w:val="18"/>
              </w:rPr>
            </w:pPr>
            <w:r>
              <w:rPr>
                <w:rFonts w:ascii="Arial Narrow" w:hAnsi="Arial Narrow"/>
                <w:b/>
                <w:color w:val="000000"/>
                <w:sz w:val="20"/>
                <w:szCs w:val="18"/>
              </w:rPr>
              <w:t>Placebo</w:t>
            </w:r>
          </w:p>
        </w:tc>
        <w:tc>
          <w:tcPr>
            <w:tcW w:w="1371" w:type="pct"/>
            <w:gridSpan w:val="2"/>
            <w:vMerge w:val="restart"/>
            <w:tcBorders>
              <w:top w:val="double" w:sz="4" w:space="0" w:color="auto"/>
            </w:tcBorders>
            <w:vAlign w:val="center"/>
          </w:tcPr>
          <w:p w:rsidR="009B3C82" w:rsidRPr="00E2771E" w:rsidRDefault="009B3C82" w:rsidP="00D73941">
            <w:pPr>
              <w:keepNext/>
              <w:widowControl/>
              <w:jc w:val="center"/>
              <w:rPr>
                <w:rFonts w:ascii="Arial Narrow" w:hAnsi="Arial Narrow"/>
                <w:b/>
                <w:sz w:val="20"/>
                <w:szCs w:val="18"/>
              </w:rPr>
            </w:pPr>
            <w:r>
              <w:rPr>
                <w:rFonts w:ascii="Arial Narrow" w:hAnsi="Arial Narrow"/>
                <w:b/>
                <w:sz w:val="20"/>
                <w:szCs w:val="18"/>
              </w:rPr>
              <w:t>Mean difference</w:t>
            </w:r>
          </w:p>
          <w:p w:rsidR="009B3C82" w:rsidRPr="00E2771E" w:rsidRDefault="009B3C82" w:rsidP="00D73941">
            <w:pPr>
              <w:keepNext/>
              <w:widowControl/>
              <w:jc w:val="center"/>
              <w:rPr>
                <w:rFonts w:ascii="Arial Narrow" w:hAnsi="Arial Narrow"/>
                <w:b/>
                <w:sz w:val="20"/>
                <w:szCs w:val="18"/>
              </w:rPr>
            </w:pPr>
            <w:r w:rsidRPr="00E2771E">
              <w:rPr>
                <w:rFonts w:ascii="Arial Narrow" w:hAnsi="Arial Narrow"/>
                <w:b/>
                <w:sz w:val="20"/>
                <w:szCs w:val="18"/>
              </w:rPr>
              <w:t>(95% CI)</w:t>
            </w:r>
          </w:p>
        </w:tc>
      </w:tr>
      <w:tr w:rsidR="00010300" w:rsidRPr="00E2771E" w:rsidTr="00A75604">
        <w:trPr>
          <w:trHeight w:val="70"/>
        </w:trPr>
        <w:tc>
          <w:tcPr>
            <w:tcW w:w="787" w:type="pct"/>
            <w:vMerge/>
            <w:shd w:val="clear" w:color="auto" w:fill="auto"/>
            <w:vAlign w:val="center"/>
          </w:tcPr>
          <w:p w:rsidR="00655048" w:rsidRPr="00E2771E" w:rsidRDefault="00655048" w:rsidP="00D73941">
            <w:pPr>
              <w:keepNext/>
              <w:widowControl/>
              <w:rPr>
                <w:rFonts w:ascii="Arial Narrow" w:hAnsi="Arial Narrow"/>
                <w:color w:val="000000"/>
                <w:sz w:val="20"/>
                <w:szCs w:val="18"/>
              </w:rPr>
            </w:pPr>
          </w:p>
        </w:tc>
        <w:tc>
          <w:tcPr>
            <w:tcW w:w="593" w:type="pct"/>
            <w:vAlign w:val="center"/>
          </w:tcPr>
          <w:p w:rsidR="00655048" w:rsidRPr="00E2771E" w:rsidRDefault="00655048" w:rsidP="00D73941">
            <w:pPr>
              <w:keepNext/>
              <w:widowControl/>
              <w:jc w:val="center"/>
              <w:rPr>
                <w:rFonts w:ascii="Arial Narrow" w:hAnsi="Arial Narrow"/>
                <w:b/>
                <w:color w:val="000000"/>
                <w:sz w:val="20"/>
                <w:szCs w:val="18"/>
              </w:rPr>
            </w:pPr>
            <w:r w:rsidRPr="00E2771E">
              <w:rPr>
                <w:rFonts w:ascii="Arial Narrow" w:hAnsi="Arial Narrow"/>
                <w:b/>
                <w:color w:val="000000"/>
                <w:sz w:val="20"/>
                <w:szCs w:val="18"/>
              </w:rPr>
              <w:t>n</w:t>
            </w:r>
          </w:p>
        </w:tc>
        <w:tc>
          <w:tcPr>
            <w:tcW w:w="715" w:type="pct"/>
            <w:vAlign w:val="center"/>
          </w:tcPr>
          <w:p w:rsidR="00655048" w:rsidRPr="00E2771E" w:rsidRDefault="00655048" w:rsidP="00D73941">
            <w:pPr>
              <w:keepNext/>
              <w:widowControl/>
              <w:jc w:val="center"/>
              <w:rPr>
                <w:rFonts w:ascii="Arial Narrow" w:hAnsi="Arial Narrow"/>
                <w:b/>
                <w:sz w:val="20"/>
                <w:szCs w:val="18"/>
              </w:rPr>
            </w:pPr>
            <w:r w:rsidRPr="00E2771E">
              <w:rPr>
                <w:rFonts w:ascii="Arial Narrow" w:hAnsi="Arial Narrow"/>
                <w:b/>
                <w:sz w:val="20"/>
                <w:szCs w:val="18"/>
              </w:rPr>
              <w:t xml:space="preserve">Mean ∆ baseline </w:t>
            </w:r>
            <w:r>
              <w:rPr>
                <w:rFonts w:ascii="Arial Narrow" w:hAnsi="Arial Narrow"/>
                <w:b/>
                <w:sz w:val="20"/>
                <w:szCs w:val="18"/>
              </w:rPr>
              <w:t>(SE)</w:t>
            </w:r>
          </w:p>
        </w:tc>
        <w:tc>
          <w:tcPr>
            <w:tcW w:w="765" w:type="pct"/>
            <w:vAlign w:val="center"/>
          </w:tcPr>
          <w:p w:rsidR="00655048" w:rsidRPr="00E2771E" w:rsidRDefault="00655048" w:rsidP="00D73941">
            <w:pPr>
              <w:keepNext/>
              <w:widowControl/>
              <w:jc w:val="center"/>
              <w:rPr>
                <w:rFonts w:ascii="Arial Narrow" w:hAnsi="Arial Narrow"/>
                <w:b/>
                <w:color w:val="000000"/>
                <w:sz w:val="20"/>
                <w:szCs w:val="18"/>
              </w:rPr>
            </w:pPr>
            <w:r w:rsidRPr="00E2771E">
              <w:rPr>
                <w:rFonts w:ascii="Arial Narrow" w:hAnsi="Arial Narrow"/>
                <w:b/>
                <w:color w:val="000000"/>
                <w:sz w:val="20"/>
                <w:szCs w:val="18"/>
              </w:rPr>
              <w:t>n</w:t>
            </w:r>
          </w:p>
        </w:tc>
        <w:tc>
          <w:tcPr>
            <w:tcW w:w="769" w:type="pct"/>
            <w:vAlign w:val="center"/>
          </w:tcPr>
          <w:p w:rsidR="00655048" w:rsidRPr="00E2771E" w:rsidRDefault="00655048" w:rsidP="00D73941">
            <w:pPr>
              <w:keepNext/>
              <w:widowControl/>
              <w:jc w:val="center"/>
              <w:rPr>
                <w:rFonts w:ascii="Arial Narrow" w:hAnsi="Arial Narrow"/>
                <w:b/>
                <w:sz w:val="20"/>
                <w:szCs w:val="18"/>
              </w:rPr>
            </w:pPr>
            <w:r w:rsidRPr="00E2771E">
              <w:rPr>
                <w:rFonts w:ascii="Arial Narrow" w:hAnsi="Arial Narrow"/>
                <w:b/>
                <w:sz w:val="20"/>
                <w:szCs w:val="18"/>
              </w:rPr>
              <w:t xml:space="preserve">Mean ∆ baseline </w:t>
            </w:r>
            <w:r>
              <w:rPr>
                <w:rFonts w:ascii="Arial Narrow" w:hAnsi="Arial Narrow"/>
                <w:b/>
                <w:sz w:val="20"/>
                <w:szCs w:val="18"/>
              </w:rPr>
              <w:t>(SE)</w:t>
            </w:r>
          </w:p>
        </w:tc>
        <w:tc>
          <w:tcPr>
            <w:tcW w:w="1371" w:type="pct"/>
            <w:gridSpan w:val="2"/>
            <w:vMerge/>
            <w:vAlign w:val="center"/>
          </w:tcPr>
          <w:p w:rsidR="00655048" w:rsidRPr="00E2771E" w:rsidRDefault="00655048" w:rsidP="00D73941">
            <w:pPr>
              <w:keepNext/>
              <w:widowControl/>
              <w:jc w:val="center"/>
              <w:rPr>
                <w:rFonts w:ascii="Arial Narrow" w:hAnsi="Arial Narrow"/>
                <w:b/>
                <w:sz w:val="20"/>
                <w:szCs w:val="18"/>
              </w:rPr>
            </w:pPr>
          </w:p>
        </w:tc>
      </w:tr>
      <w:tr w:rsidR="009B3C82" w:rsidRPr="007B4FF2" w:rsidTr="00A75604">
        <w:tc>
          <w:tcPr>
            <w:tcW w:w="5000" w:type="pct"/>
            <w:gridSpan w:val="7"/>
            <w:shd w:val="clear" w:color="auto" w:fill="auto"/>
            <w:vAlign w:val="center"/>
          </w:tcPr>
          <w:p w:rsidR="009B3C82" w:rsidRPr="007B4FF2" w:rsidRDefault="009B3C82" w:rsidP="00D73941">
            <w:pPr>
              <w:keepNext/>
              <w:widowControl/>
              <w:jc w:val="left"/>
              <w:rPr>
                <w:rFonts w:ascii="Arial Narrow" w:hAnsi="Arial Narrow"/>
                <w:b/>
                <w:sz w:val="20"/>
                <w:szCs w:val="18"/>
              </w:rPr>
            </w:pPr>
            <w:r w:rsidRPr="007B4FF2">
              <w:rPr>
                <w:rStyle w:val="CommentReference"/>
              </w:rPr>
              <w:t>Annual rate of decline in FVC (ml/year)</w:t>
            </w:r>
          </w:p>
        </w:tc>
      </w:tr>
      <w:tr w:rsidR="004E08A8" w:rsidRPr="00E2771E" w:rsidTr="00A75604">
        <w:tc>
          <w:tcPr>
            <w:tcW w:w="787" w:type="pct"/>
            <w:shd w:val="clear" w:color="auto" w:fill="auto"/>
            <w:vAlign w:val="center"/>
          </w:tcPr>
          <w:p w:rsidR="00655048" w:rsidRPr="00E2771E" w:rsidRDefault="00655048" w:rsidP="00D73941">
            <w:pPr>
              <w:keepNext/>
              <w:widowControl/>
              <w:rPr>
                <w:rFonts w:ascii="Arial Narrow" w:hAnsi="Arial Narrow"/>
                <w:color w:val="000000"/>
                <w:sz w:val="20"/>
                <w:szCs w:val="18"/>
              </w:rPr>
            </w:pPr>
            <w:r w:rsidRPr="00E2771E">
              <w:rPr>
                <w:rFonts w:ascii="Arial Narrow" w:hAnsi="Arial Narrow"/>
                <w:color w:val="000000"/>
                <w:sz w:val="20"/>
                <w:szCs w:val="18"/>
              </w:rPr>
              <w:t>Trial</w:t>
            </w:r>
            <w:r>
              <w:rPr>
                <w:rFonts w:ascii="Arial Narrow" w:hAnsi="Arial Narrow"/>
                <w:color w:val="000000"/>
                <w:sz w:val="20"/>
                <w:szCs w:val="18"/>
              </w:rPr>
              <w:t xml:space="preserve"> 30</w:t>
            </w:r>
          </w:p>
        </w:tc>
        <w:tc>
          <w:tcPr>
            <w:tcW w:w="593" w:type="pct"/>
            <w:vAlign w:val="center"/>
          </w:tcPr>
          <w:p w:rsidR="00655048" w:rsidRPr="00E2771E" w:rsidRDefault="00655048" w:rsidP="00D73941">
            <w:pPr>
              <w:keepNext/>
              <w:widowControl/>
              <w:jc w:val="center"/>
              <w:rPr>
                <w:rFonts w:ascii="Arial Narrow" w:hAnsi="Arial Narrow"/>
                <w:color w:val="000000"/>
                <w:sz w:val="20"/>
                <w:szCs w:val="18"/>
              </w:rPr>
            </w:pPr>
            <w:r>
              <w:rPr>
                <w:rFonts w:ascii="Arial Narrow" w:hAnsi="Arial Narrow"/>
                <w:color w:val="000000"/>
                <w:sz w:val="20"/>
                <w:szCs w:val="18"/>
              </w:rPr>
              <w:t>84</w:t>
            </w:r>
          </w:p>
        </w:tc>
        <w:tc>
          <w:tcPr>
            <w:tcW w:w="715" w:type="pct"/>
            <w:vAlign w:val="center"/>
          </w:tcPr>
          <w:p w:rsidR="00655048" w:rsidRPr="00E2771E" w:rsidRDefault="00655048" w:rsidP="00D73941">
            <w:pPr>
              <w:keepNext/>
              <w:widowControl/>
              <w:jc w:val="center"/>
              <w:rPr>
                <w:rFonts w:ascii="Arial Narrow" w:hAnsi="Arial Narrow"/>
                <w:color w:val="000000"/>
                <w:sz w:val="20"/>
                <w:szCs w:val="18"/>
              </w:rPr>
            </w:pPr>
            <w:r>
              <w:rPr>
                <w:rStyle w:val="CommentReference"/>
                <w:b w:val="0"/>
              </w:rPr>
              <w:t>-60 (39)</w:t>
            </w:r>
          </w:p>
        </w:tc>
        <w:tc>
          <w:tcPr>
            <w:tcW w:w="765" w:type="pct"/>
            <w:vAlign w:val="center"/>
          </w:tcPr>
          <w:p w:rsidR="00655048" w:rsidRPr="00E2771E" w:rsidRDefault="00655048" w:rsidP="00D73941">
            <w:pPr>
              <w:keepNext/>
              <w:widowControl/>
              <w:jc w:val="center"/>
              <w:rPr>
                <w:rFonts w:ascii="Arial Narrow" w:hAnsi="Arial Narrow"/>
                <w:color w:val="000000"/>
                <w:sz w:val="20"/>
                <w:szCs w:val="18"/>
              </w:rPr>
            </w:pPr>
            <w:r>
              <w:rPr>
                <w:rStyle w:val="CommentReference"/>
                <w:b w:val="0"/>
              </w:rPr>
              <w:t>83</w:t>
            </w:r>
          </w:p>
        </w:tc>
        <w:tc>
          <w:tcPr>
            <w:tcW w:w="769" w:type="pct"/>
            <w:vAlign w:val="center"/>
          </w:tcPr>
          <w:p w:rsidR="00655048" w:rsidRPr="00E2771E" w:rsidRDefault="00655048" w:rsidP="00D73941">
            <w:pPr>
              <w:keepNext/>
              <w:widowControl/>
              <w:jc w:val="center"/>
              <w:rPr>
                <w:rFonts w:ascii="Arial Narrow" w:hAnsi="Arial Narrow"/>
                <w:color w:val="000000"/>
                <w:sz w:val="20"/>
                <w:szCs w:val="18"/>
              </w:rPr>
            </w:pPr>
            <w:r>
              <w:rPr>
                <w:rStyle w:val="CommentReference"/>
                <w:b w:val="0"/>
              </w:rPr>
              <w:t>-190 (36)</w:t>
            </w:r>
          </w:p>
        </w:tc>
        <w:tc>
          <w:tcPr>
            <w:tcW w:w="1371" w:type="pct"/>
            <w:gridSpan w:val="2"/>
            <w:vMerge w:val="restart"/>
            <w:vAlign w:val="center"/>
          </w:tcPr>
          <w:p w:rsidR="00655048" w:rsidRPr="00ED4A35" w:rsidRDefault="00ED4A35" w:rsidP="00D73941">
            <w:pPr>
              <w:keepNext/>
              <w:widowControl/>
              <w:jc w:val="center"/>
              <w:rPr>
                <w:rFonts w:ascii="Arial Narrow" w:hAnsi="Arial Narrow"/>
                <w:b/>
                <w:sz w:val="20"/>
                <w:szCs w:val="18"/>
                <w:highlight w:val="black"/>
              </w:rPr>
            </w:pPr>
            <w:r>
              <w:rPr>
                <w:rStyle w:val="CommentReference"/>
                <w:b w:val="0"/>
                <w:noProof/>
                <w:color w:val="000000"/>
                <w:highlight w:val="black"/>
              </w:rPr>
              <w:t>'''''''''''''''' '''''''''''''''' '''''''''''''''''''</w:t>
            </w:r>
          </w:p>
        </w:tc>
      </w:tr>
      <w:tr w:rsidR="004E08A8" w:rsidRPr="00E2771E" w:rsidTr="00A75604">
        <w:tc>
          <w:tcPr>
            <w:tcW w:w="787" w:type="pct"/>
            <w:shd w:val="clear" w:color="auto" w:fill="auto"/>
            <w:vAlign w:val="center"/>
          </w:tcPr>
          <w:p w:rsidR="00655048" w:rsidRPr="00E2771E" w:rsidRDefault="00655048" w:rsidP="00D73941">
            <w:pPr>
              <w:keepNext/>
              <w:widowControl/>
              <w:rPr>
                <w:rFonts w:ascii="Arial Narrow" w:hAnsi="Arial Narrow"/>
                <w:color w:val="000000"/>
                <w:sz w:val="20"/>
                <w:szCs w:val="18"/>
              </w:rPr>
            </w:pPr>
            <w:r>
              <w:rPr>
                <w:rFonts w:ascii="Arial Narrow" w:hAnsi="Arial Narrow"/>
                <w:color w:val="000000"/>
                <w:sz w:val="20"/>
                <w:szCs w:val="18"/>
              </w:rPr>
              <w:t>Trial 32</w:t>
            </w:r>
          </w:p>
        </w:tc>
        <w:tc>
          <w:tcPr>
            <w:tcW w:w="593" w:type="pct"/>
            <w:vAlign w:val="center"/>
          </w:tcPr>
          <w:p w:rsidR="00655048" w:rsidRPr="00E2771E" w:rsidRDefault="00655048" w:rsidP="00D73941">
            <w:pPr>
              <w:keepNext/>
              <w:widowControl/>
              <w:jc w:val="center"/>
              <w:rPr>
                <w:rFonts w:ascii="Arial Narrow" w:hAnsi="Arial Narrow"/>
                <w:color w:val="000000"/>
                <w:sz w:val="20"/>
                <w:szCs w:val="18"/>
              </w:rPr>
            </w:pPr>
            <w:r>
              <w:rPr>
                <w:rFonts w:ascii="Arial Narrow" w:hAnsi="Arial Narrow"/>
                <w:color w:val="000000"/>
                <w:sz w:val="20"/>
                <w:szCs w:val="18"/>
              </w:rPr>
              <w:t>250</w:t>
            </w:r>
          </w:p>
        </w:tc>
        <w:tc>
          <w:tcPr>
            <w:tcW w:w="715" w:type="pct"/>
            <w:vAlign w:val="center"/>
          </w:tcPr>
          <w:p w:rsidR="00655048" w:rsidRPr="00E2771E" w:rsidRDefault="00655048" w:rsidP="00D73941">
            <w:pPr>
              <w:keepNext/>
              <w:widowControl/>
              <w:jc w:val="center"/>
              <w:rPr>
                <w:rFonts w:ascii="Arial Narrow" w:hAnsi="Arial Narrow"/>
                <w:color w:val="000000"/>
                <w:sz w:val="20"/>
                <w:szCs w:val="18"/>
              </w:rPr>
            </w:pPr>
            <w:r>
              <w:rPr>
                <w:rStyle w:val="CommentReference"/>
                <w:b w:val="0"/>
              </w:rPr>
              <w:t>-114.65 (15.33)</w:t>
            </w:r>
          </w:p>
        </w:tc>
        <w:tc>
          <w:tcPr>
            <w:tcW w:w="765" w:type="pct"/>
            <w:vAlign w:val="center"/>
          </w:tcPr>
          <w:p w:rsidR="00655048" w:rsidRPr="00E2771E" w:rsidRDefault="00655048" w:rsidP="00D73941">
            <w:pPr>
              <w:keepNext/>
              <w:widowControl/>
              <w:jc w:val="center"/>
              <w:rPr>
                <w:rFonts w:ascii="Arial Narrow" w:hAnsi="Arial Narrow"/>
                <w:color w:val="000000"/>
                <w:sz w:val="20"/>
                <w:szCs w:val="18"/>
              </w:rPr>
            </w:pPr>
            <w:r>
              <w:rPr>
                <w:rStyle w:val="CommentReference"/>
                <w:b w:val="0"/>
              </w:rPr>
              <w:t>204</w:t>
            </w:r>
          </w:p>
        </w:tc>
        <w:tc>
          <w:tcPr>
            <w:tcW w:w="769" w:type="pct"/>
            <w:vAlign w:val="center"/>
          </w:tcPr>
          <w:p w:rsidR="00655048" w:rsidRPr="00E2771E" w:rsidRDefault="00655048" w:rsidP="00D73941">
            <w:pPr>
              <w:keepNext/>
              <w:widowControl/>
              <w:jc w:val="center"/>
              <w:rPr>
                <w:rFonts w:ascii="Arial Narrow" w:hAnsi="Arial Narrow"/>
                <w:color w:val="000000"/>
                <w:sz w:val="20"/>
                <w:szCs w:val="18"/>
              </w:rPr>
            </w:pPr>
            <w:r>
              <w:rPr>
                <w:rStyle w:val="CommentReference"/>
                <w:b w:val="0"/>
              </w:rPr>
              <w:t>-239.91 (18.71)</w:t>
            </w:r>
          </w:p>
        </w:tc>
        <w:tc>
          <w:tcPr>
            <w:tcW w:w="1371" w:type="pct"/>
            <w:gridSpan w:val="2"/>
            <w:vMerge/>
            <w:vAlign w:val="center"/>
          </w:tcPr>
          <w:p w:rsidR="00655048" w:rsidRPr="00E2771E" w:rsidRDefault="00655048" w:rsidP="00D73941">
            <w:pPr>
              <w:keepNext/>
              <w:widowControl/>
              <w:jc w:val="center"/>
              <w:rPr>
                <w:rFonts w:ascii="Arial Narrow" w:hAnsi="Arial Narrow"/>
                <w:sz w:val="20"/>
                <w:szCs w:val="18"/>
              </w:rPr>
            </w:pPr>
          </w:p>
        </w:tc>
      </w:tr>
      <w:tr w:rsidR="004E08A8" w:rsidRPr="00E2771E" w:rsidTr="00A75604">
        <w:tc>
          <w:tcPr>
            <w:tcW w:w="787" w:type="pct"/>
            <w:shd w:val="clear" w:color="auto" w:fill="auto"/>
            <w:vAlign w:val="center"/>
          </w:tcPr>
          <w:p w:rsidR="00655048" w:rsidRPr="00E2771E" w:rsidRDefault="00655048" w:rsidP="00D73941">
            <w:pPr>
              <w:keepNext/>
              <w:widowControl/>
              <w:rPr>
                <w:rFonts w:ascii="Arial Narrow" w:hAnsi="Arial Narrow"/>
                <w:color w:val="000000"/>
                <w:sz w:val="20"/>
                <w:szCs w:val="18"/>
              </w:rPr>
            </w:pPr>
            <w:r>
              <w:rPr>
                <w:rFonts w:ascii="Arial Narrow" w:hAnsi="Arial Narrow"/>
                <w:color w:val="000000"/>
                <w:sz w:val="20"/>
                <w:szCs w:val="18"/>
              </w:rPr>
              <w:t>Trial 34</w:t>
            </w:r>
          </w:p>
        </w:tc>
        <w:tc>
          <w:tcPr>
            <w:tcW w:w="593" w:type="pct"/>
            <w:vAlign w:val="center"/>
          </w:tcPr>
          <w:p w:rsidR="00655048" w:rsidRPr="00E2771E" w:rsidRDefault="00655048" w:rsidP="00D73941">
            <w:pPr>
              <w:keepNext/>
              <w:widowControl/>
              <w:jc w:val="center"/>
              <w:rPr>
                <w:rFonts w:ascii="Arial Narrow" w:hAnsi="Arial Narrow"/>
                <w:color w:val="000000"/>
                <w:sz w:val="20"/>
                <w:szCs w:val="18"/>
              </w:rPr>
            </w:pPr>
            <w:r>
              <w:rPr>
                <w:rFonts w:ascii="Arial Narrow" w:hAnsi="Arial Narrow"/>
                <w:color w:val="000000"/>
                <w:sz w:val="20"/>
                <w:szCs w:val="18"/>
              </w:rPr>
              <w:t>269</w:t>
            </w:r>
          </w:p>
        </w:tc>
        <w:tc>
          <w:tcPr>
            <w:tcW w:w="715" w:type="pct"/>
            <w:vAlign w:val="center"/>
          </w:tcPr>
          <w:p w:rsidR="00655048" w:rsidRPr="00E2771E" w:rsidRDefault="00655048" w:rsidP="00D73941">
            <w:pPr>
              <w:keepNext/>
              <w:widowControl/>
              <w:jc w:val="center"/>
              <w:rPr>
                <w:rFonts w:ascii="Arial Narrow" w:hAnsi="Arial Narrow"/>
                <w:color w:val="000000"/>
                <w:sz w:val="20"/>
                <w:szCs w:val="18"/>
              </w:rPr>
            </w:pPr>
            <w:r>
              <w:rPr>
                <w:rStyle w:val="CommentReference"/>
                <w:b w:val="0"/>
              </w:rPr>
              <w:t>-113.59 (15.73)</w:t>
            </w:r>
          </w:p>
        </w:tc>
        <w:tc>
          <w:tcPr>
            <w:tcW w:w="765" w:type="pct"/>
            <w:vAlign w:val="center"/>
          </w:tcPr>
          <w:p w:rsidR="00655048" w:rsidRPr="00E2771E" w:rsidRDefault="00655048" w:rsidP="00D73941">
            <w:pPr>
              <w:keepNext/>
              <w:widowControl/>
              <w:jc w:val="center"/>
              <w:rPr>
                <w:rFonts w:ascii="Arial Narrow" w:hAnsi="Arial Narrow"/>
                <w:color w:val="000000"/>
                <w:sz w:val="20"/>
                <w:szCs w:val="18"/>
              </w:rPr>
            </w:pPr>
            <w:r>
              <w:rPr>
                <w:rStyle w:val="CommentReference"/>
                <w:b w:val="0"/>
              </w:rPr>
              <w:t>219</w:t>
            </w:r>
          </w:p>
        </w:tc>
        <w:tc>
          <w:tcPr>
            <w:tcW w:w="769" w:type="pct"/>
            <w:vAlign w:val="center"/>
          </w:tcPr>
          <w:p w:rsidR="00655048" w:rsidRPr="00E2771E" w:rsidRDefault="00655048" w:rsidP="00D73941">
            <w:pPr>
              <w:keepNext/>
              <w:widowControl/>
              <w:jc w:val="center"/>
              <w:rPr>
                <w:rFonts w:ascii="Arial Narrow" w:hAnsi="Arial Narrow"/>
                <w:color w:val="000000"/>
                <w:sz w:val="20"/>
                <w:szCs w:val="18"/>
              </w:rPr>
            </w:pPr>
            <w:r>
              <w:rPr>
                <w:rStyle w:val="CommentReference"/>
                <w:b w:val="0"/>
              </w:rPr>
              <w:t>-207.32 (19.31)</w:t>
            </w:r>
          </w:p>
        </w:tc>
        <w:tc>
          <w:tcPr>
            <w:tcW w:w="1371" w:type="pct"/>
            <w:gridSpan w:val="2"/>
            <w:vMerge/>
            <w:vAlign w:val="center"/>
          </w:tcPr>
          <w:p w:rsidR="00655048" w:rsidRPr="00E2771E" w:rsidRDefault="00655048" w:rsidP="00D73941">
            <w:pPr>
              <w:keepNext/>
              <w:widowControl/>
              <w:jc w:val="center"/>
              <w:rPr>
                <w:rFonts w:ascii="Arial Narrow" w:hAnsi="Arial Narrow"/>
                <w:sz w:val="20"/>
                <w:szCs w:val="18"/>
              </w:rPr>
            </w:pPr>
          </w:p>
        </w:tc>
      </w:tr>
      <w:tr w:rsidR="00655048" w:rsidRPr="007B4FF2" w:rsidTr="00A75604">
        <w:tc>
          <w:tcPr>
            <w:tcW w:w="5000" w:type="pct"/>
            <w:gridSpan w:val="7"/>
            <w:tcBorders>
              <w:bottom w:val="single" w:sz="4" w:space="0" w:color="auto"/>
            </w:tcBorders>
            <w:shd w:val="clear" w:color="auto" w:fill="auto"/>
            <w:vAlign w:val="center"/>
          </w:tcPr>
          <w:p w:rsidR="00655048" w:rsidRPr="007B4FF2" w:rsidRDefault="00655048" w:rsidP="00D73941">
            <w:pPr>
              <w:keepNext/>
              <w:widowControl/>
              <w:jc w:val="left"/>
              <w:rPr>
                <w:rFonts w:ascii="Arial Narrow" w:hAnsi="Arial Narrow"/>
                <w:b/>
                <w:sz w:val="20"/>
                <w:szCs w:val="18"/>
              </w:rPr>
            </w:pPr>
            <w:r w:rsidRPr="007B4FF2">
              <w:rPr>
                <w:rStyle w:val="CommentReference"/>
              </w:rPr>
              <w:t>Absolute change in FVC%Pred from baseline to week 52</w:t>
            </w:r>
          </w:p>
        </w:tc>
      </w:tr>
      <w:tr w:rsidR="004E08A8" w:rsidRPr="00E2771E" w:rsidTr="00A75604">
        <w:tc>
          <w:tcPr>
            <w:tcW w:w="787" w:type="pct"/>
            <w:tcBorders>
              <w:bottom w:val="single" w:sz="4" w:space="0" w:color="auto"/>
            </w:tcBorders>
            <w:shd w:val="clear" w:color="auto" w:fill="auto"/>
            <w:vAlign w:val="center"/>
          </w:tcPr>
          <w:p w:rsidR="00655048" w:rsidRPr="00E2771E" w:rsidRDefault="00655048" w:rsidP="00D73941">
            <w:pPr>
              <w:keepNext/>
              <w:widowControl/>
              <w:rPr>
                <w:rFonts w:ascii="Arial Narrow" w:hAnsi="Arial Narrow"/>
                <w:color w:val="000000"/>
                <w:sz w:val="20"/>
                <w:szCs w:val="18"/>
              </w:rPr>
            </w:pPr>
            <w:r w:rsidRPr="00E2771E">
              <w:rPr>
                <w:rFonts w:ascii="Arial Narrow" w:hAnsi="Arial Narrow"/>
                <w:color w:val="000000"/>
                <w:sz w:val="20"/>
                <w:szCs w:val="18"/>
              </w:rPr>
              <w:t>Trial</w:t>
            </w:r>
            <w:r>
              <w:rPr>
                <w:rFonts w:ascii="Arial Narrow" w:hAnsi="Arial Narrow"/>
                <w:color w:val="000000"/>
                <w:sz w:val="20"/>
                <w:szCs w:val="18"/>
              </w:rPr>
              <w:t xml:space="preserve"> 30</w:t>
            </w:r>
          </w:p>
        </w:tc>
        <w:tc>
          <w:tcPr>
            <w:tcW w:w="593" w:type="pct"/>
            <w:tcBorders>
              <w:bottom w:val="single" w:sz="4" w:space="0" w:color="auto"/>
            </w:tcBorders>
            <w:vAlign w:val="center"/>
          </w:tcPr>
          <w:p w:rsidR="00655048" w:rsidRPr="00E2771E" w:rsidRDefault="00655048" w:rsidP="00D73941">
            <w:pPr>
              <w:keepNext/>
              <w:widowControl/>
              <w:jc w:val="center"/>
              <w:rPr>
                <w:rFonts w:ascii="Arial Narrow" w:hAnsi="Arial Narrow"/>
                <w:color w:val="000000"/>
                <w:sz w:val="20"/>
                <w:szCs w:val="18"/>
              </w:rPr>
            </w:pPr>
            <w:r>
              <w:rPr>
                <w:rFonts w:ascii="Arial Narrow" w:hAnsi="Arial Narrow"/>
                <w:color w:val="000000"/>
                <w:sz w:val="20"/>
                <w:szCs w:val="18"/>
              </w:rPr>
              <w:t>84</w:t>
            </w:r>
          </w:p>
        </w:tc>
        <w:tc>
          <w:tcPr>
            <w:tcW w:w="715" w:type="pct"/>
            <w:tcBorders>
              <w:bottom w:val="single" w:sz="4" w:space="0" w:color="auto"/>
            </w:tcBorders>
            <w:vAlign w:val="center"/>
          </w:tcPr>
          <w:p w:rsidR="00655048" w:rsidRPr="00E2771E" w:rsidRDefault="00655048" w:rsidP="00D73941">
            <w:pPr>
              <w:keepNext/>
              <w:widowControl/>
              <w:jc w:val="center"/>
              <w:rPr>
                <w:rFonts w:ascii="Arial Narrow" w:hAnsi="Arial Narrow"/>
                <w:color w:val="000000"/>
                <w:sz w:val="20"/>
                <w:szCs w:val="18"/>
              </w:rPr>
            </w:pPr>
            <w:r>
              <w:rPr>
                <w:rStyle w:val="CommentReference"/>
                <w:b w:val="0"/>
              </w:rPr>
              <w:t>-1.04 (0.99)</w:t>
            </w:r>
          </w:p>
        </w:tc>
        <w:tc>
          <w:tcPr>
            <w:tcW w:w="765" w:type="pct"/>
            <w:tcBorders>
              <w:bottom w:val="single" w:sz="4" w:space="0" w:color="auto"/>
            </w:tcBorders>
            <w:vAlign w:val="center"/>
          </w:tcPr>
          <w:p w:rsidR="00655048" w:rsidRPr="00E2771E" w:rsidRDefault="00655048" w:rsidP="00D73941">
            <w:pPr>
              <w:keepNext/>
              <w:widowControl/>
              <w:jc w:val="center"/>
              <w:rPr>
                <w:rFonts w:ascii="Arial Narrow" w:hAnsi="Arial Narrow"/>
                <w:color w:val="000000"/>
                <w:sz w:val="20"/>
                <w:szCs w:val="18"/>
              </w:rPr>
            </w:pPr>
            <w:r>
              <w:rPr>
                <w:rStyle w:val="CommentReference"/>
                <w:b w:val="0"/>
              </w:rPr>
              <w:t>84</w:t>
            </w:r>
          </w:p>
        </w:tc>
        <w:tc>
          <w:tcPr>
            <w:tcW w:w="769" w:type="pct"/>
            <w:tcBorders>
              <w:bottom w:val="single" w:sz="4" w:space="0" w:color="auto"/>
            </w:tcBorders>
            <w:vAlign w:val="center"/>
          </w:tcPr>
          <w:p w:rsidR="00655048" w:rsidRPr="00E2771E" w:rsidRDefault="00655048" w:rsidP="00D73941">
            <w:pPr>
              <w:keepNext/>
              <w:widowControl/>
              <w:jc w:val="center"/>
              <w:rPr>
                <w:rFonts w:ascii="Arial Narrow" w:hAnsi="Arial Narrow"/>
                <w:color w:val="000000"/>
                <w:sz w:val="20"/>
                <w:szCs w:val="18"/>
              </w:rPr>
            </w:pPr>
            <w:r>
              <w:rPr>
                <w:rStyle w:val="CommentReference"/>
                <w:b w:val="0"/>
              </w:rPr>
              <w:t>-6.00 (1.02)</w:t>
            </w:r>
          </w:p>
        </w:tc>
        <w:tc>
          <w:tcPr>
            <w:tcW w:w="1371" w:type="pct"/>
            <w:gridSpan w:val="2"/>
            <w:vMerge w:val="restart"/>
            <w:vAlign w:val="center"/>
          </w:tcPr>
          <w:p w:rsidR="00655048" w:rsidRPr="00ED4A35" w:rsidRDefault="00ED4A35" w:rsidP="00D73941">
            <w:pPr>
              <w:keepNext/>
              <w:widowControl/>
              <w:jc w:val="center"/>
              <w:rPr>
                <w:rFonts w:ascii="Arial Narrow" w:hAnsi="Arial Narrow"/>
                <w:b/>
                <w:sz w:val="20"/>
                <w:szCs w:val="18"/>
                <w:highlight w:val="black"/>
              </w:rPr>
            </w:pPr>
            <w:r>
              <w:rPr>
                <w:rStyle w:val="CommentReference"/>
                <w:b w:val="0"/>
                <w:noProof/>
                <w:color w:val="000000"/>
                <w:highlight w:val="black"/>
              </w:rPr>
              <w:t>'''''''''' '''''''''''' ''''''''''''''</w:t>
            </w:r>
          </w:p>
        </w:tc>
      </w:tr>
      <w:tr w:rsidR="004E08A8" w:rsidRPr="00E2771E" w:rsidTr="00A75604">
        <w:tc>
          <w:tcPr>
            <w:tcW w:w="787" w:type="pct"/>
            <w:tcBorders>
              <w:bottom w:val="single" w:sz="4" w:space="0" w:color="auto"/>
            </w:tcBorders>
            <w:shd w:val="clear" w:color="auto" w:fill="auto"/>
            <w:vAlign w:val="center"/>
          </w:tcPr>
          <w:p w:rsidR="00655048" w:rsidRPr="00E2771E" w:rsidRDefault="00655048" w:rsidP="00D73941">
            <w:pPr>
              <w:keepNext/>
              <w:widowControl/>
              <w:rPr>
                <w:rFonts w:ascii="Arial Narrow" w:hAnsi="Arial Narrow"/>
                <w:color w:val="000000"/>
                <w:sz w:val="20"/>
                <w:szCs w:val="18"/>
              </w:rPr>
            </w:pPr>
            <w:r>
              <w:rPr>
                <w:rFonts w:ascii="Arial Narrow" w:hAnsi="Arial Narrow"/>
                <w:color w:val="000000"/>
                <w:sz w:val="20"/>
                <w:szCs w:val="18"/>
              </w:rPr>
              <w:t>Trial 32</w:t>
            </w:r>
          </w:p>
        </w:tc>
        <w:tc>
          <w:tcPr>
            <w:tcW w:w="593" w:type="pct"/>
            <w:tcBorders>
              <w:bottom w:val="single" w:sz="4" w:space="0" w:color="auto"/>
            </w:tcBorders>
            <w:vAlign w:val="center"/>
          </w:tcPr>
          <w:p w:rsidR="00655048" w:rsidRPr="00E2771E" w:rsidRDefault="00655048" w:rsidP="00D73941">
            <w:pPr>
              <w:keepNext/>
              <w:widowControl/>
              <w:jc w:val="center"/>
              <w:rPr>
                <w:rFonts w:ascii="Arial Narrow" w:hAnsi="Arial Narrow"/>
                <w:color w:val="000000"/>
                <w:sz w:val="20"/>
                <w:szCs w:val="18"/>
              </w:rPr>
            </w:pPr>
            <w:r>
              <w:rPr>
                <w:rFonts w:ascii="Arial Narrow" w:hAnsi="Arial Narrow"/>
                <w:color w:val="000000"/>
                <w:sz w:val="20"/>
                <w:szCs w:val="18"/>
              </w:rPr>
              <w:t>250</w:t>
            </w:r>
          </w:p>
        </w:tc>
        <w:tc>
          <w:tcPr>
            <w:tcW w:w="715" w:type="pct"/>
            <w:tcBorders>
              <w:bottom w:val="single" w:sz="4" w:space="0" w:color="auto"/>
            </w:tcBorders>
            <w:vAlign w:val="center"/>
          </w:tcPr>
          <w:p w:rsidR="00655048" w:rsidRPr="00E2771E" w:rsidRDefault="00655048" w:rsidP="00D73941">
            <w:pPr>
              <w:keepNext/>
              <w:widowControl/>
              <w:jc w:val="center"/>
              <w:rPr>
                <w:rFonts w:ascii="Arial Narrow" w:hAnsi="Arial Narrow"/>
                <w:color w:val="000000"/>
                <w:sz w:val="20"/>
                <w:szCs w:val="18"/>
              </w:rPr>
            </w:pPr>
            <w:r>
              <w:rPr>
                <w:rStyle w:val="CommentReference"/>
                <w:b w:val="0"/>
              </w:rPr>
              <w:t>-2.76 (0.41)</w:t>
            </w:r>
          </w:p>
        </w:tc>
        <w:tc>
          <w:tcPr>
            <w:tcW w:w="765" w:type="pct"/>
            <w:tcBorders>
              <w:bottom w:val="single" w:sz="4" w:space="0" w:color="auto"/>
            </w:tcBorders>
            <w:vAlign w:val="center"/>
          </w:tcPr>
          <w:p w:rsidR="00655048" w:rsidRPr="00E2771E" w:rsidRDefault="00655048" w:rsidP="00D73941">
            <w:pPr>
              <w:keepNext/>
              <w:widowControl/>
              <w:jc w:val="center"/>
              <w:rPr>
                <w:rFonts w:ascii="Arial Narrow" w:hAnsi="Arial Narrow"/>
                <w:color w:val="000000"/>
                <w:sz w:val="20"/>
                <w:szCs w:val="18"/>
              </w:rPr>
            </w:pPr>
            <w:r>
              <w:rPr>
                <w:rStyle w:val="CommentReference"/>
                <w:b w:val="0"/>
              </w:rPr>
              <w:t>165</w:t>
            </w:r>
          </w:p>
        </w:tc>
        <w:tc>
          <w:tcPr>
            <w:tcW w:w="769" w:type="pct"/>
            <w:tcBorders>
              <w:bottom w:val="single" w:sz="4" w:space="0" w:color="auto"/>
            </w:tcBorders>
            <w:vAlign w:val="center"/>
          </w:tcPr>
          <w:p w:rsidR="00655048" w:rsidRPr="00E2771E" w:rsidRDefault="00655048" w:rsidP="00D73941">
            <w:pPr>
              <w:keepNext/>
              <w:widowControl/>
              <w:jc w:val="center"/>
              <w:rPr>
                <w:rFonts w:ascii="Arial Narrow" w:hAnsi="Arial Narrow"/>
                <w:color w:val="000000"/>
                <w:sz w:val="20"/>
                <w:szCs w:val="18"/>
              </w:rPr>
            </w:pPr>
            <w:r>
              <w:rPr>
                <w:rStyle w:val="CommentReference"/>
                <w:b w:val="0"/>
              </w:rPr>
              <w:t>-5.98 (0.47)</w:t>
            </w:r>
          </w:p>
        </w:tc>
        <w:tc>
          <w:tcPr>
            <w:tcW w:w="1371" w:type="pct"/>
            <w:gridSpan w:val="2"/>
            <w:vMerge/>
            <w:vAlign w:val="center"/>
          </w:tcPr>
          <w:p w:rsidR="00655048" w:rsidRPr="00E2771E" w:rsidRDefault="00655048" w:rsidP="00D73941">
            <w:pPr>
              <w:keepNext/>
              <w:widowControl/>
              <w:jc w:val="center"/>
              <w:rPr>
                <w:rFonts w:ascii="Arial Narrow" w:hAnsi="Arial Narrow"/>
                <w:sz w:val="20"/>
                <w:szCs w:val="18"/>
              </w:rPr>
            </w:pPr>
          </w:p>
        </w:tc>
      </w:tr>
      <w:tr w:rsidR="004E08A8" w:rsidRPr="00E2771E" w:rsidTr="00A75604">
        <w:tc>
          <w:tcPr>
            <w:tcW w:w="787" w:type="pct"/>
            <w:tcBorders>
              <w:top w:val="single" w:sz="4" w:space="0" w:color="auto"/>
              <w:bottom w:val="double" w:sz="4" w:space="0" w:color="auto"/>
            </w:tcBorders>
            <w:shd w:val="clear" w:color="auto" w:fill="auto"/>
            <w:vAlign w:val="center"/>
          </w:tcPr>
          <w:p w:rsidR="00655048" w:rsidRPr="00E2771E" w:rsidRDefault="00655048" w:rsidP="00D73941">
            <w:pPr>
              <w:keepNext/>
              <w:widowControl/>
              <w:rPr>
                <w:rFonts w:ascii="Arial Narrow" w:hAnsi="Arial Narrow"/>
                <w:color w:val="000000"/>
                <w:sz w:val="20"/>
                <w:szCs w:val="18"/>
              </w:rPr>
            </w:pPr>
            <w:r>
              <w:rPr>
                <w:rFonts w:ascii="Arial Narrow" w:hAnsi="Arial Narrow"/>
                <w:color w:val="000000"/>
                <w:sz w:val="20"/>
                <w:szCs w:val="18"/>
              </w:rPr>
              <w:t>Trial 34</w:t>
            </w:r>
          </w:p>
        </w:tc>
        <w:tc>
          <w:tcPr>
            <w:tcW w:w="593" w:type="pct"/>
            <w:tcBorders>
              <w:top w:val="single" w:sz="4" w:space="0" w:color="auto"/>
              <w:bottom w:val="double" w:sz="4" w:space="0" w:color="auto"/>
            </w:tcBorders>
            <w:vAlign w:val="center"/>
          </w:tcPr>
          <w:p w:rsidR="00655048" w:rsidRPr="00E2771E" w:rsidRDefault="00655048" w:rsidP="00D73941">
            <w:pPr>
              <w:keepNext/>
              <w:widowControl/>
              <w:jc w:val="center"/>
              <w:rPr>
                <w:rFonts w:ascii="Arial Narrow" w:hAnsi="Arial Narrow"/>
                <w:color w:val="000000"/>
                <w:sz w:val="20"/>
                <w:szCs w:val="18"/>
              </w:rPr>
            </w:pPr>
            <w:r>
              <w:rPr>
                <w:rFonts w:ascii="Arial Narrow" w:hAnsi="Arial Narrow"/>
                <w:color w:val="000000"/>
                <w:sz w:val="20"/>
                <w:szCs w:val="18"/>
              </w:rPr>
              <w:t>269</w:t>
            </w:r>
          </w:p>
        </w:tc>
        <w:tc>
          <w:tcPr>
            <w:tcW w:w="715" w:type="pct"/>
            <w:tcBorders>
              <w:top w:val="single" w:sz="4" w:space="0" w:color="auto"/>
              <w:bottom w:val="double" w:sz="4" w:space="0" w:color="auto"/>
            </w:tcBorders>
            <w:vAlign w:val="center"/>
          </w:tcPr>
          <w:p w:rsidR="00655048" w:rsidRPr="00E2771E" w:rsidRDefault="00655048" w:rsidP="00D73941">
            <w:pPr>
              <w:keepNext/>
              <w:widowControl/>
              <w:jc w:val="center"/>
              <w:rPr>
                <w:rFonts w:ascii="Arial Narrow" w:hAnsi="Arial Narrow"/>
                <w:color w:val="000000"/>
                <w:sz w:val="20"/>
                <w:szCs w:val="18"/>
              </w:rPr>
            </w:pPr>
            <w:r>
              <w:rPr>
                <w:rStyle w:val="CommentReference"/>
                <w:b w:val="0"/>
              </w:rPr>
              <w:t>-3.09 (0.43)</w:t>
            </w:r>
          </w:p>
        </w:tc>
        <w:tc>
          <w:tcPr>
            <w:tcW w:w="765" w:type="pct"/>
            <w:tcBorders>
              <w:top w:val="single" w:sz="4" w:space="0" w:color="auto"/>
              <w:bottom w:val="double" w:sz="4" w:space="0" w:color="auto"/>
            </w:tcBorders>
            <w:vAlign w:val="center"/>
          </w:tcPr>
          <w:p w:rsidR="00655048" w:rsidRPr="00E2771E" w:rsidRDefault="00655048" w:rsidP="00D73941">
            <w:pPr>
              <w:keepNext/>
              <w:widowControl/>
              <w:jc w:val="center"/>
              <w:rPr>
                <w:rFonts w:ascii="Arial Narrow" w:hAnsi="Arial Narrow"/>
                <w:color w:val="000000"/>
                <w:sz w:val="20"/>
                <w:szCs w:val="18"/>
              </w:rPr>
            </w:pPr>
            <w:r>
              <w:rPr>
                <w:rStyle w:val="CommentReference"/>
                <w:b w:val="0"/>
              </w:rPr>
              <w:t>180</w:t>
            </w:r>
          </w:p>
        </w:tc>
        <w:tc>
          <w:tcPr>
            <w:tcW w:w="769" w:type="pct"/>
            <w:tcBorders>
              <w:top w:val="single" w:sz="4" w:space="0" w:color="auto"/>
              <w:bottom w:val="double" w:sz="4" w:space="0" w:color="auto"/>
            </w:tcBorders>
            <w:vAlign w:val="center"/>
          </w:tcPr>
          <w:p w:rsidR="00655048" w:rsidRPr="00E2771E" w:rsidRDefault="00655048" w:rsidP="00D73941">
            <w:pPr>
              <w:keepNext/>
              <w:widowControl/>
              <w:jc w:val="center"/>
              <w:rPr>
                <w:rFonts w:ascii="Arial Narrow" w:hAnsi="Arial Narrow"/>
                <w:color w:val="000000"/>
                <w:sz w:val="20"/>
                <w:szCs w:val="18"/>
              </w:rPr>
            </w:pPr>
            <w:r>
              <w:rPr>
                <w:rStyle w:val="CommentReference"/>
                <w:b w:val="0"/>
              </w:rPr>
              <w:t>-6.15 (0.51)</w:t>
            </w:r>
          </w:p>
        </w:tc>
        <w:tc>
          <w:tcPr>
            <w:tcW w:w="1371" w:type="pct"/>
            <w:gridSpan w:val="2"/>
            <w:vMerge/>
            <w:tcBorders>
              <w:bottom w:val="double" w:sz="4" w:space="0" w:color="auto"/>
            </w:tcBorders>
            <w:vAlign w:val="center"/>
          </w:tcPr>
          <w:p w:rsidR="00655048" w:rsidRPr="00E2771E" w:rsidRDefault="00655048" w:rsidP="00D73941">
            <w:pPr>
              <w:keepNext/>
              <w:widowControl/>
              <w:jc w:val="center"/>
              <w:rPr>
                <w:rFonts w:ascii="Arial Narrow" w:hAnsi="Arial Narrow"/>
                <w:sz w:val="20"/>
                <w:szCs w:val="18"/>
              </w:rPr>
            </w:pPr>
          </w:p>
        </w:tc>
      </w:tr>
      <w:tr w:rsidR="00655048" w:rsidRPr="00E2771E" w:rsidTr="00A75604">
        <w:tc>
          <w:tcPr>
            <w:tcW w:w="5000" w:type="pct"/>
            <w:gridSpan w:val="7"/>
            <w:tcBorders>
              <w:top w:val="double" w:sz="4" w:space="0" w:color="auto"/>
            </w:tcBorders>
            <w:shd w:val="clear" w:color="auto" w:fill="auto"/>
            <w:vAlign w:val="center"/>
          </w:tcPr>
          <w:p w:rsidR="00655048" w:rsidRPr="00E2771E" w:rsidRDefault="00655048" w:rsidP="00D73941">
            <w:pPr>
              <w:keepNext/>
              <w:widowControl/>
              <w:rPr>
                <w:rFonts w:ascii="Arial Narrow" w:hAnsi="Arial Narrow"/>
                <w:b/>
                <w:color w:val="000000"/>
                <w:sz w:val="20"/>
                <w:szCs w:val="18"/>
              </w:rPr>
            </w:pPr>
            <w:r w:rsidRPr="00E2771E">
              <w:rPr>
                <w:rFonts w:ascii="Arial Narrow" w:hAnsi="Arial Narrow"/>
                <w:b/>
                <w:color w:val="000000"/>
                <w:sz w:val="20"/>
                <w:szCs w:val="18"/>
              </w:rPr>
              <w:t xml:space="preserve">Harms </w:t>
            </w:r>
          </w:p>
        </w:tc>
      </w:tr>
      <w:tr w:rsidR="004E08A8" w:rsidRPr="00E2771E" w:rsidTr="00A75604">
        <w:trPr>
          <w:trHeight w:val="70"/>
        </w:trPr>
        <w:tc>
          <w:tcPr>
            <w:tcW w:w="787" w:type="pct"/>
            <w:vMerge w:val="restart"/>
            <w:shd w:val="clear" w:color="auto" w:fill="auto"/>
            <w:vAlign w:val="center"/>
          </w:tcPr>
          <w:p w:rsidR="00655048" w:rsidRPr="00E2771E" w:rsidRDefault="00655048" w:rsidP="00D73941">
            <w:pPr>
              <w:keepNext/>
              <w:widowControl/>
              <w:rPr>
                <w:rFonts w:ascii="Arial Narrow" w:hAnsi="Arial Narrow"/>
                <w:b/>
                <w:color w:val="000000"/>
                <w:sz w:val="20"/>
                <w:szCs w:val="18"/>
              </w:rPr>
            </w:pPr>
          </w:p>
        </w:tc>
        <w:tc>
          <w:tcPr>
            <w:tcW w:w="593" w:type="pct"/>
            <w:vMerge w:val="restart"/>
            <w:vAlign w:val="center"/>
          </w:tcPr>
          <w:p w:rsidR="00655048" w:rsidRPr="00E2771E" w:rsidRDefault="00655048" w:rsidP="00D73941">
            <w:pPr>
              <w:keepNext/>
              <w:widowControl/>
              <w:jc w:val="center"/>
              <w:rPr>
                <w:rFonts w:ascii="Arial Narrow" w:hAnsi="Arial Narrow"/>
                <w:b/>
                <w:color w:val="000000"/>
                <w:sz w:val="20"/>
                <w:szCs w:val="18"/>
              </w:rPr>
            </w:pPr>
            <w:r>
              <w:rPr>
                <w:rFonts w:ascii="Arial Narrow" w:hAnsi="Arial Narrow"/>
                <w:b/>
                <w:color w:val="000000"/>
                <w:sz w:val="20"/>
                <w:szCs w:val="18"/>
              </w:rPr>
              <w:t>Nintedanib</w:t>
            </w:r>
          </w:p>
        </w:tc>
        <w:tc>
          <w:tcPr>
            <w:tcW w:w="715" w:type="pct"/>
            <w:vMerge w:val="restart"/>
            <w:vAlign w:val="center"/>
          </w:tcPr>
          <w:p w:rsidR="00655048" w:rsidRPr="00E2771E" w:rsidRDefault="00655048" w:rsidP="00D73941">
            <w:pPr>
              <w:keepNext/>
              <w:widowControl/>
              <w:jc w:val="center"/>
              <w:rPr>
                <w:rFonts w:ascii="Arial Narrow" w:hAnsi="Arial Narrow"/>
                <w:b/>
                <w:color w:val="000000"/>
                <w:sz w:val="20"/>
                <w:szCs w:val="18"/>
              </w:rPr>
            </w:pPr>
            <w:r>
              <w:rPr>
                <w:rFonts w:ascii="Arial Narrow" w:hAnsi="Arial Narrow"/>
                <w:b/>
                <w:color w:val="000000"/>
                <w:sz w:val="20"/>
                <w:szCs w:val="18"/>
              </w:rPr>
              <w:t>Placebo</w:t>
            </w:r>
          </w:p>
        </w:tc>
        <w:tc>
          <w:tcPr>
            <w:tcW w:w="765" w:type="pct"/>
            <w:vMerge w:val="restart"/>
            <w:vAlign w:val="center"/>
          </w:tcPr>
          <w:p w:rsidR="00655048" w:rsidRPr="00E2771E" w:rsidRDefault="00655048" w:rsidP="00D73941">
            <w:pPr>
              <w:keepNext/>
              <w:widowControl/>
              <w:jc w:val="center"/>
              <w:rPr>
                <w:rFonts w:ascii="Arial Narrow" w:hAnsi="Arial Narrow"/>
                <w:b/>
                <w:color w:val="000000"/>
                <w:sz w:val="20"/>
                <w:szCs w:val="18"/>
              </w:rPr>
            </w:pPr>
            <w:r w:rsidRPr="00E2771E">
              <w:rPr>
                <w:rFonts w:ascii="Arial Narrow" w:hAnsi="Arial Narrow"/>
                <w:b/>
                <w:color w:val="000000"/>
                <w:sz w:val="20"/>
                <w:szCs w:val="18"/>
              </w:rPr>
              <w:t>RR</w:t>
            </w:r>
            <w:r w:rsidR="00010300">
              <w:rPr>
                <w:rFonts w:ascii="Arial Narrow" w:hAnsi="Arial Narrow"/>
                <w:b/>
                <w:color w:val="000000"/>
                <w:sz w:val="20"/>
                <w:szCs w:val="18"/>
              </w:rPr>
              <w:t xml:space="preserve"> </w:t>
            </w:r>
            <w:r w:rsidRPr="00E2771E">
              <w:rPr>
                <w:rFonts w:ascii="Arial Narrow" w:hAnsi="Arial Narrow"/>
                <w:b/>
                <w:color w:val="000000"/>
                <w:sz w:val="20"/>
                <w:szCs w:val="18"/>
              </w:rPr>
              <w:t>(95% CI)</w:t>
            </w:r>
          </w:p>
        </w:tc>
        <w:tc>
          <w:tcPr>
            <w:tcW w:w="1231" w:type="pct"/>
            <w:gridSpan w:val="2"/>
            <w:vAlign w:val="center"/>
          </w:tcPr>
          <w:p w:rsidR="00655048" w:rsidRPr="00E2771E" w:rsidRDefault="00655048" w:rsidP="00D73941">
            <w:pPr>
              <w:keepNext/>
              <w:widowControl/>
              <w:jc w:val="center"/>
              <w:rPr>
                <w:rFonts w:ascii="Arial Narrow" w:hAnsi="Arial Narrow"/>
                <w:b/>
                <w:color w:val="000000"/>
                <w:sz w:val="20"/>
                <w:szCs w:val="18"/>
              </w:rPr>
            </w:pPr>
            <w:r w:rsidRPr="00E2771E">
              <w:rPr>
                <w:rFonts w:ascii="Arial Narrow" w:hAnsi="Arial Narrow"/>
                <w:b/>
                <w:color w:val="000000"/>
                <w:sz w:val="20"/>
                <w:szCs w:val="18"/>
              </w:rPr>
              <w:t>Event rate/100 patients</w:t>
            </w:r>
            <w:r>
              <w:rPr>
                <w:rFonts w:ascii="Arial Narrow" w:hAnsi="Arial Narrow"/>
                <w:b/>
                <w:color w:val="000000"/>
                <w:sz w:val="20"/>
                <w:szCs w:val="18"/>
              </w:rPr>
              <w:t>*</w:t>
            </w:r>
          </w:p>
        </w:tc>
        <w:tc>
          <w:tcPr>
            <w:tcW w:w="909" w:type="pct"/>
            <w:vMerge w:val="restart"/>
            <w:vAlign w:val="center"/>
          </w:tcPr>
          <w:p w:rsidR="00655048" w:rsidRPr="00E2771E" w:rsidRDefault="00655048" w:rsidP="00D73941">
            <w:pPr>
              <w:keepNext/>
              <w:widowControl/>
              <w:jc w:val="center"/>
              <w:rPr>
                <w:rFonts w:ascii="Arial Narrow" w:hAnsi="Arial Narrow"/>
                <w:b/>
                <w:color w:val="000000"/>
                <w:sz w:val="20"/>
                <w:szCs w:val="18"/>
              </w:rPr>
            </w:pPr>
            <w:r w:rsidRPr="00E2771E">
              <w:rPr>
                <w:rFonts w:ascii="Arial Narrow" w:hAnsi="Arial Narrow"/>
                <w:b/>
                <w:color w:val="000000"/>
                <w:sz w:val="20"/>
                <w:szCs w:val="18"/>
              </w:rPr>
              <w:t>RD</w:t>
            </w:r>
            <w:r w:rsidR="00010300">
              <w:rPr>
                <w:rFonts w:ascii="Arial Narrow" w:hAnsi="Arial Narrow"/>
                <w:b/>
                <w:color w:val="000000"/>
                <w:sz w:val="20"/>
                <w:szCs w:val="18"/>
              </w:rPr>
              <w:t xml:space="preserve"> </w:t>
            </w:r>
            <w:r w:rsidRPr="00E2771E">
              <w:rPr>
                <w:rFonts w:ascii="Arial Narrow" w:hAnsi="Arial Narrow"/>
                <w:b/>
                <w:color w:val="000000"/>
                <w:sz w:val="20"/>
                <w:szCs w:val="18"/>
              </w:rPr>
              <w:t>(95% CI)</w:t>
            </w:r>
          </w:p>
        </w:tc>
      </w:tr>
      <w:tr w:rsidR="00010300" w:rsidRPr="00E2771E" w:rsidTr="00A75604">
        <w:trPr>
          <w:trHeight w:val="70"/>
        </w:trPr>
        <w:tc>
          <w:tcPr>
            <w:tcW w:w="787" w:type="pct"/>
            <w:vMerge/>
            <w:shd w:val="clear" w:color="auto" w:fill="auto"/>
            <w:vAlign w:val="center"/>
          </w:tcPr>
          <w:p w:rsidR="00655048" w:rsidRPr="00E2771E" w:rsidRDefault="00655048" w:rsidP="00D73941">
            <w:pPr>
              <w:keepNext/>
              <w:widowControl/>
              <w:rPr>
                <w:rFonts w:ascii="Arial Narrow" w:hAnsi="Arial Narrow"/>
                <w:b/>
                <w:color w:val="000000"/>
                <w:sz w:val="20"/>
                <w:szCs w:val="18"/>
              </w:rPr>
            </w:pPr>
          </w:p>
        </w:tc>
        <w:tc>
          <w:tcPr>
            <w:tcW w:w="593" w:type="pct"/>
            <w:vMerge/>
            <w:vAlign w:val="center"/>
          </w:tcPr>
          <w:p w:rsidR="00655048" w:rsidRPr="00E2771E" w:rsidRDefault="00655048" w:rsidP="00D73941">
            <w:pPr>
              <w:keepNext/>
              <w:widowControl/>
              <w:jc w:val="center"/>
              <w:rPr>
                <w:rFonts w:ascii="Arial Narrow" w:hAnsi="Arial Narrow"/>
                <w:b/>
                <w:color w:val="000000"/>
                <w:sz w:val="20"/>
                <w:szCs w:val="18"/>
              </w:rPr>
            </w:pPr>
          </w:p>
        </w:tc>
        <w:tc>
          <w:tcPr>
            <w:tcW w:w="715" w:type="pct"/>
            <w:vMerge/>
            <w:vAlign w:val="center"/>
          </w:tcPr>
          <w:p w:rsidR="00655048" w:rsidRPr="00E2771E" w:rsidRDefault="00655048" w:rsidP="00D73941">
            <w:pPr>
              <w:keepNext/>
              <w:widowControl/>
              <w:jc w:val="center"/>
              <w:rPr>
                <w:rFonts w:ascii="Arial Narrow" w:hAnsi="Arial Narrow"/>
                <w:b/>
                <w:color w:val="000000"/>
                <w:sz w:val="20"/>
                <w:szCs w:val="18"/>
              </w:rPr>
            </w:pPr>
          </w:p>
        </w:tc>
        <w:tc>
          <w:tcPr>
            <w:tcW w:w="765" w:type="pct"/>
            <w:vMerge/>
            <w:vAlign w:val="center"/>
          </w:tcPr>
          <w:p w:rsidR="00655048" w:rsidRPr="00E2771E" w:rsidRDefault="00655048" w:rsidP="00D73941">
            <w:pPr>
              <w:keepNext/>
              <w:widowControl/>
              <w:jc w:val="center"/>
              <w:rPr>
                <w:rFonts w:ascii="Arial Narrow" w:hAnsi="Arial Narrow"/>
                <w:b/>
                <w:color w:val="000000"/>
                <w:sz w:val="20"/>
                <w:szCs w:val="18"/>
              </w:rPr>
            </w:pPr>
          </w:p>
        </w:tc>
        <w:tc>
          <w:tcPr>
            <w:tcW w:w="769" w:type="pct"/>
            <w:vAlign w:val="center"/>
          </w:tcPr>
          <w:p w:rsidR="00655048" w:rsidRPr="00E2771E" w:rsidRDefault="00655048" w:rsidP="00D73941">
            <w:pPr>
              <w:keepNext/>
              <w:widowControl/>
              <w:jc w:val="center"/>
              <w:rPr>
                <w:rFonts w:ascii="Arial Narrow" w:hAnsi="Arial Narrow"/>
                <w:b/>
                <w:color w:val="000000"/>
                <w:sz w:val="20"/>
                <w:szCs w:val="18"/>
              </w:rPr>
            </w:pPr>
            <w:r>
              <w:rPr>
                <w:rFonts w:ascii="Arial Narrow" w:hAnsi="Arial Narrow"/>
                <w:b/>
                <w:color w:val="000000"/>
                <w:sz w:val="20"/>
                <w:szCs w:val="18"/>
              </w:rPr>
              <w:t>Nintedanib</w:t>
            </w:r>
          </w:p>
        </w:tc>
        <w:tc>
          <w:tcPr>
            <w:tcW w:w="462" w:type="pct"/>
            <w:vAlign w:val="center"/>
          </w:tcPr>
          <w:p w:rsidR="00655048" w:rsidRPr="00E2771E" w:rsidRDefault="00655048" w:rsidP="00D73941">
            <w:pPr>
              <w:keepNext/>
              <w:widowControl/>
              <w:jc w:val="center"/>
              <w:rPr>
                <w:rFonts w:ascii="Arial Narrow" w:hAnsi="Arial Narrow"/>
                <w:b/>
                <w:color w:val="000000"/>
                <w:sz w:val="20"/>
                <w:szCs w:val="18"/>
              </w:rPr>
            </w:pPr>
            <w:r>
              <w:rPr>
                <w:rFonts w:ascii="Arial Narrow" w:hAnsi="Arial Narrow"/>
                <w:b/>
                <w:color w:val="000000"/>
                <w:sz w:val="20"/>
                <w:szCs w:val="18"/>
              </w:rPr>
              <w:t>Placebo</w:t>
            </w:r>
          </w:p>
        </w:tc>
        <w:tc>
          <w:tcPr>
            <w:tcW w:w="909" w:type="pct"/>
            <w:vMerge/>
            <w:vAlign w:val="center"/>
          </w:tcPr>
          <w:p w:rsidR="00655048" w:rsidRPr="00E2771E" w:rsidRDefault="00655048" w:rsidP="00D73941">
            <w:pPr>
              <w:keepNext/>
              <w:widowControl/>
              <w:jc w:val="center"/>
              <w:rPr>
                <w:rFonts w:ascii="Arial Narrow" w:hAnsi="Arial Narrow"/>
                <w:b/>
                <w:color w:val="000000"/>
                <w:sz w:val="20"/>
                <w:szCs w:val="18"/>
              </w:rPr>
            </w:pPr>
          </w:p>
        </w:tc>
      </w:tr>
      <w:tr w:rsidR="00655048" w:rsidRPr="00E2771E" w:rsidTr="00A75604">
        <w:tc>
          <w:tcPr>
            <w:tcW w:w="5000" w:type="pct"/>
            <w:gridSpan w:val="7"/>
            <w:shd w:val="clear" w:color="auto" w:fill="auto"/>
            <w:vAlign w:val="center"/>
          </w:tcPr>
          <w:p w:rsidR="00655048" w:rsidRPr="00E2771E" w:rsidRDefault="00655048" w:rsidP="00D73941">
            <w:pPr>
              <w:keepNext/>
              <w:widowControl/>
              <w:rPr>
                <w:rFonts w:ascii="Arial Narrow" w:hAnsi="Arial Narrow"/>
                <w:b/>
                <w:color w:val="000000"/>
                <w:sz w:val="20"/>
                <w:szCs w:val="18"/>
              </w:rPr>
            </w:pPr>
            <w:r>
              <w:rPr>
                <w:rFonts w:ascii="Arial Narrow" w:hAnsi="Arial Narrow"/>
                <w:b/>
                <w:color w:val="000000"/>
                <w:sz w:val="20"/>
                <w:szCs w:val="18"/>
              </w:rPr>
              <w:t>Diarrhoea</w:t>
            </w:r>
          </w:p>
        </w:tc>
      </w:tr>
      <w:tr w:rsidR="00010300" w:rsidRPr="00E2771E" w:rsidTr="00A75604">
        <w:tc>
          <w:tcPr>
            <w:tcW w:w="787" w:type="pct"/>
            <w:shd w:val="clear" w:color="auto" w:fill="auto"/>
            <w:vAlign w:val="center"/>
          </w:tcPr>
          <w:p w:rsidR="00655048" w:rsidRPr="00E2771E" w:rsidRDefault="00655048" w:rsidP="00D73941">
            <w:pPr>
              <w:keepNext/>
              <w:widowControl/>
              <w:rPr>
                <w:rFonts w:ascii="Arial Narrow" w:hAnsi="Arial Narrow"/>
                <w:color w:val="000000"/>
                <w:sz w:val="20"/>
                <w:szCs w:val="18"/>
              </w:rPr>
            </w:pPr>
            <w:r w:rsidRPr="00E2771E">
              <w:rPr>
                <w:rFonts w:ascii="Arial Narrow" w:hAnsi="Arial Narrow"/>
                <w:color w:val="000000"/>
                <w:sz w:val="20"/>
                <w:szCs w:val="18"/>
              </w:rPr>
              <w:t>Trial</w:t>
            </w:r>
            <w:r>
              <w:rPr>
                <w:rFonts w:ascii="Arial Narrow" w:hAnsi="Arial Narrow"/>
                <w:color w:val="000000"/>
                <w:sz w:val="20"/>
                <w:szCs w:val="18"/>
              </w:rPr>
              <w:t xml:space="preserve"> 30, 32 &amp; 34</w:t>
            </w:r>
          </w:p>
        </w:tc>
        <w:tc>
          <w:tcPr>
            <w:tcW w:w="593" w:type="pct"/>
            <w:vAlign w:val="center"/>
          </w:tcPr>
          <w:p w:rsidR="00655048" w:rsidRPr="00E2771E" w:rsidRDefault="00010300" w:rsidP="00D73941">
            <w:pPr>
              <w:keepNext/>
              <w:widowControl/>
              <w:jc w:val="center"/>
              <w:rPr>
                <w:rFonts w:ascii="Arial Narrow" w:hAnsi="Arial Narrow"/>
                <w:color w:val="000000"/>
                <w:sz w:val="20"/>
                <w:szCs w:val="18"/>
              </w:rPr>
            </w:pPr>
            <w:r>
              <w:rPr>
                <w:rFonts w:ascii="Arial Narrow" w:hAnsi="Arial Narrow"/>
                <w:color w:val="000000"/>
                <w:sz w:val="20"/>
                <w:szCs w:val="18"/>
              </w:rPr>
              <w:t>445/723</w:t>
            </w:r>
          </w:p>
        </w:tc>
        <w:tc>
          <w:tcPr>
            <w:tcW w:w="715" w:type="pct"/>
            <w:vAlign w:val="center"/>
          </w:tcPr>
          <w:p w:rsidR="00655048" w:rsidRPr="00E2771E" w:rsidRDefault="00010300" w:rsidP="00D73941">
            <w:pPr>
              <w:keepNext/>
              <w:widowControl/>
              <w:jc w:val="center"/>
              <w:rPr>
                <w:rFonts w:ascii="Arial Narrow" w:hAnsi="Arial Narrow"/>
                <w:color w:val="000000"/>
                <w:sz w:val="20"/>
                <w:szCs w:val="18"/>
              </w:rPr>
            </w:pPr>
            <w:r>
              <w:rPr>
                <w:rFonts w:ascii="Arial Narrow" w:hAnsi="Arial Narrow"/>
                <w:color w:val="000000"/>
                <w:sz w:val="20"/>
                <w:szCs w:val="18"/>
              </w:rPr>
              <w:t>91/508</w:t>
            </w:r>
          </w:p>
        </w:tc>
        <w:tc>
          <w:tcPr>
            <w:tcW w:w="765" w:type="pct"/>
            <w:vAlign w:val="center"/>
          </w:tcPr>
          <w:p w:rsidR="00655048" w:rsidRPr="00655048" w:rsidRDefault="00655048" w:rsidP="00D73941">
            <w:pPr>
              <w:keepNext/>
              <w:widowControl/>
              <w:jc w:val="center"/>
              <w:rPr>
                <w:rFonts w:ascii="Arial Narrow" w:hAnsi="Arial Narrow"/>
                <w:b/>
                <w:color w:val="000000"/>
                <w:sz w:val="20"/>
                <w:szCs w:val="18"/>
              </w:rPr>
            </w:pPr>
            <w:r w:rsidRPr="00655048">
              <w:rPr>
                <w:rStyle w:val="CommentReference"/>
                <w:b w:val="0"/>
              </w:rPr>
              <w:t>3.41</w:t>
            </w:r>
            <w:r w:rsidR="00010300">
              <w:rPr>
                <w:rStyle w:val="CommentReference"/>
                <w:b w:val="0"/>
              </w:rPr>
              <w:t xml:space="preserve"> </w:t>
            </w:r>
            <w:r w:rsidRPr="00655048">
              <w:rPr>
                <w:rStyle w:val="CommentReference"/>
                <w:b w:val="0"/>
              </w:rPr>
              <w:t>(2.81, 4.15)</w:t>
            </w:r>
          </w:p>
        </w:tc>
        <w:tc>
          <w:tcPr>
            <w:tcW w:w="769" w:type="pct"/>
            <w:vAlign w:val="center"/>
          </w:tcPr>
          <w:p w:rsidR="00655048" w:rsidRPr="00E2771E" w:rsidRDefault="00065CEC" w:rsidP="00D73941">
            <w:pPr>
              <w:keepNext/>
              <w:widowControl/>
              <w:jc w:val="center"/>
              <w:rPr>
                <w:rFonts w:ascii="Arial Narrow" w:hAnsi="Arial Narrow"/>
                <w:color w:val="000000"/>
                <w:sz w:val="20"/>
                <w:szCs w:val="18"/>
              </w:rPr>
            </w:pPr>
            <w:r>
              <w:rPr>
                <w:rFonts w:ascii="Arial Narrow" w:hAnsi="Arial Narrow"/>
                <w:color w:val="000000"/>
                <w:sz w:val="20"/>
                <w:szCs w:val="18"/>
              </w:rPr>
              <w:t>61.5</w:t>
            </w:r>
          </w:p>
        </w:tc>
        <w:tc>
          <w:tcPr>
            <w:tcW w:w="462" w:type="pct"/>
            <w:vAlign w:val="center"/>
          </w:tcPr>
          <w:p w:rsidR="00655048" w:rsidRPr="00E2771E" w:rsidRDefault="00065CEC" w:rsidP="00D73941">
            <w:pPr>
              <w:keepNext/>
              <w:widowControl/>
              <w:jc w:val="center"/>
              <w:rPr>
                <w:rFonts w:ascii="Arial Narrow" w:hAnsi="Arial Narrow"/>
                <w:color w:val="000000"/>
                <w:sz w:val="20"/>
                <w:szCs w:val="18"/>
              </w:rPr>
            </w:pPr>
            <w:r>
              <w:rPr>
                <w:rFonts w:ascii="Arial Narrow" w:hAnsi="Arial Narrow"/>
                <w:color w:val="000000"/>
                <w:sz w:val="20"/>
                <w:szCs w:val="18"/>
              </w:rPr>
              <w:t>17.9</w:t>
            </w:r>
          </w:p>
        </w:tc>
        <w:tc>
          <w:tcPr>
            <w:tcW w:w="909" w:type="pct"/>
            <w:vAlign w:val="center"/>
          </w:tcPr>
          <w:p w:rsidR="00655048" w:rsidRPr="00ED4A35" w:rsidRDefault="00ED4A35" w:rsidP="00D73941">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r>
      <w:tr w:rsidR="00655048" w:rsidRPr="00E2771E" w:rsidTr="00A75604">
        <w:tc>
          <w:tcPr>
            <w:tcW w:w="5000" w:type="pct"/>
            <w:gridSpan w:val="7"/>
            <w:shd w:val="clear" w:color="auto" w:fill="auto"/>
            <w:vAlign w:val="center"/>
          </w:tcPr>
          <w:p w:rsidR="00655048" w:rsidRPr="00E2771E" w:rsidRDefault="00655048" w:rsidP="00D73941">
            <w:pPr>
              <w:keepNext/>
              <w:widowControl/>
              <w:rPr>
                <w:rFonts w:ascii="Arial Narrow" w:hAnsi="Arial Narrow"/>
                <w:color w:val="000000"/>
                <w:sz w:val="20"/>
                <w:szCs w:val="18"/>
              </w:rPr>
            </w:pPr>
            <w:r>
              <w:rPr>
                <w:rFonts w:ascii="Arial Narrow" w:hAnsi="Arial Narrow"/>
                <w:b/>
                <w:color w:val="000000"/>
                <w:sz w:val="20"/>
                <w:szCs w:val="18"/>
              </w:rPr>
              <w:t>Vomiting</w:t>
            </w:r>
          </w:p>
        </w:tc>
      </w:tr>
      <w:tr w:rsidR="00010300" w:rsidRPr="00E2771E" w:rsidTr="00A75604">
        <w:tc>
          <w:tcPr>
            <w:tcW w:w="787" w:type="pct"/>
            <w:shd w:val="clear" w:color="auto" w:fill="auto"/>
            <w:vAlign w:val="center"/>
          </w:tcPr>
          <w:p w:rsidR="00655048" w:rsidRPr="00E2771E" w:rsidRDefault="00655048" w:rsidP="00D73941">
            <w:pPr>
              <w:keepNext/>
              <w:widowControl/>
              <w:rPr>
                <w:rFonts w:ascii="Arial Narrow" w:hAnsi="Arial Narrow"/>
                <w:color w:val="000000"/>
                <w:sz w:val="20"/>
                <w:szCs w:val="18"/>
              </w:rPr>
            </w:pPr>
            <w:r w:rsidRPr="00E2771E">
              <w:rPr>
                <w:rFonts w:ascii="Arial Narrow" w:hAnsi="Arial Narrow"/>
                <w:color w:val="000000"/>
                <w:sz w:val="20"/>
                <w:szCs w:val="18"/>
              </w:rPr>
              <w:t>Trial</w:t>
            </w:r>
            <w:r>
              <w:rPr>
                <w:rFonts w:ascii="Arial Narrow" w:hAnsi="Arial Narrow"/>
                <w:color w:val="000000"/>
                <w:sz w:val="20"/>
                <w:szCs w:val="18"/>
              </w:rPr>
              <w:t xml:space="preserve"> 30, 32 &amp; 34</w:t>
            </w:r>
          </w:p>
        </w:tc>
        <w:tc>
          <w:tcPr>
            <w:tcW w:w="593" w:type="pct"/>
            <w:vAlign w:val="center"/>
          </w:tcPr>
          <w:p w:rsidR="00655048" w:rsidRPr="00E2771E" w:rsidRDefault="00065CEC" w:rsidP="00D73941">
            <w:pPr>
              <w:keepNext/>
              <w:widowControl/>
              <w:jc w:val="center"/>
              <w:rPr>
                <w:rFonts w:ascii="Arial Narrow" w:hAnsi="Arial Narrow"/>
                <w:color w:val="000000"/>
                <w:sz w:val="20"/>
                <w:szCs w:val="18"/>
              </w:rPr>
            </w:pPr>
            <w:r>
              <w:rPr>
                <w:rFonts w:ascii="Arial Narrow" w:hAnsi="Arial Narrow"/>
                <w:color w:val="000000"/>
                <w:sz w:val="20"/>
                <w:szCs w:val="18"/>
              </w:rPr>
              <w:t>85/723</w:t>
            </w:r>
          </w:p>
        </w:tc>
        <w:tc>
          <w:tcPr>
            <w:tcW w:w="715" w:type="pct"/>
            <w:vAlign w:val="center"/>
          </w:tcPr>
          <w:p w:rsidR="00655048" w:rsidRPr="00E2771E" w:rsidRDefault="00065CEC" w:rsidP="00D73941">
            <w:pPr>
              <w:keepNext/>
              <w:widowControl/>
              <w:jc w:val="center"/>
              <w:rPr>
                <w:rFonts w:ascii="Arial Narrow" w:hAnsi="Arial Narrow"/>
                <w:color w:val="000000"/>
                <w:sz w:val="20"/>
                <w:szCs w:val="18"/>
              </w:rPr>
            </w:pPr>
            <w:r>
              <w:rPr>
                <w:rFonts w:ascii="Arial Narrow" w:hAnsi="Arial Narrow"/>
                <w:color w:val="000000"/>
                <w:sz w:val="20"/>
                <w:szCs w:val="18"/>
              </w:rPr>
              <w:t>15/508</w:t>
            </w:r>
          </w:p>
        </w:tc>
        <w:tc>
          <w:tcPr>
            <w:tcW w:w="765" w:type="pct"/>
            <w:vAlign w:val="center"/>
          </w:tcPr>
          <w:p w:rsidR="00655048" w:rsidRPr="00655048" w:rsidRDefault="00655048" w:rsidP="00D73941">
            <w:pPr>
              <w:keepNext/>
              <w:widowControl/>
              <w:jc w:val="center"/>
              <w:rPr>
                <w:rFonts w:ascii="Arial Narrow" w:hAnsi="Arial Narrow"/>
                <w:b/>
                <w:color w:val="000000"/>
                <w:sz w:val="20"/>
                <w:szCs w:val="18"/>
              </w:rPr>
            </w:pPr>
            <w:r w:rsidRPr="00655048">
              <w:rPr>
                <w:rStyle w:val="CommentReference"/>
                <w:b w:val="0"/>
              </w:rPr>
              <w:t>3.82</w:t>
            </w:r>
            <w:r w:rsidR="00010300">
              <w:rPr>
                <w:rStyle w:val="CommentReference"/>
                <w:b w:val="0"/>
              </w:rPr>
              <w:t xml:space="preserve"> </w:t>
            </w:r>
            <w:r w:rsidRPr="00655048">
              <w:rPr>
                <w:rStyle w:val="CommentReference"/>
                <w:b w:val="0"/>
              </w:rPr>
              <w:t>(2.22, 6.58)</w:t>
            </w:r>
          </w:p>
        </w:tc>
        <w:tc>
          <w:tcPr>
            <w:tcW w:w="769" w:type="pct"/>
            <w:vAlign w:val="center"/>
          </w:tcPr>
          <w:p w:rsidR="00655048" w:rsidRPr="00E2771E" w:rsidRDefault="00065CEC" w:rsidP="00D73941">
            <w:pPr>
              <w:keepNext/>
              <w:widowControl/>
              <w:jc w:val="center"/>
              <w:rPr>
                <w:rFonts w:ascii="Arial Narrow" w:hAnsi="Arial Narrow"/>
                <w:color w:val="000000"/>
                <w:sz w:val="20"/>
                <w:szCs w:val="18"/>
              </w:rPr>
            </w:pPr>
            <w:r>
              <w:rPr>
                <w:rFonts w:ascii="Arial Narrow" w:hAnsi="Arial Narrow"/>
                <w:color w:val="000000"/>
                <w:sz w:val="20"/>
                <w:szCs w:val="18"/>
              </w:rPr>
              <w:t>11.8</w:t>
            </w:r>
          </w:p>
        </w:tc>
        <w:tc>
          <w:tcPr>
            <w:tcW w:w="462" w:type="pct"/>
            <w:vAlign w:val="center"/>
          </w:tcPr>
          <w:p w:rsidR="00655048" w:rsidRPr="00E2771E" w:rsidRDefault="00065CEC" w:rsidP="00D73941">
            <w:pPr>
              <w:keepNext/>
              <w:widowControl/>
              <w:jc w:val="center"/>
              <w:rPr>
                <w:rFonts w:ascii="Arial Narrow" w:hAnsi="Arial Narrow"/>
                <w:color w:val="000000"/>
                <w:sz w:val="20"/>
                <w:szCs w:val="18"/>
              </w:rPr>
            </w:pPr>
            <w:r>
              <w:rPr>
                <w:rFonts w:ascii="Arial Narrow" w:hAnsi="Arial Narrow"/>
                <w:color w:val="000000"/>
                <w:sz w:val="20"/>
                <w:szCs w:val="18"/>
              </w:rPr>
              <w:t>3.0</w:t>
            </w:r>
          </w:p>
        </w:tc>
        <w:tc>
          <w:tcPr>
            <w:tcW w:w="909" w:type="pct"/>
            <w:vAlign w:val="center"/>
          </w:tcPr>
          <w:p w:rsidR="00655048" w:rsidRPr="00ED4A35" w:rsidRDefault="00ED4A35" w:rsidP="00D73941">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r>
      <w:tr w:rsidR="004E08A8" w:rsidRPr="004E08A8" w:rsidTr="00A75604">
        <w:tc>
          <w:tcPr>
            <w:tcW w:w="5000" w:type="pct"/>
            <w:gridSpan w:val="7"/>
            <w:shd w:val="clear" w:color="auto" w:fill="auto"/>
            <w:vAlign w:val="center"/>
          </w:tcPr>
          <w:p w:rsidR="004E08A8" w:rsidRPr="004E08A8" w:rsidRDefault="004E08A8" w:rsidP="00D73941">
            <w:pPr>
              <w:keepNext/>
              <w:widowControl/>
              <w:jc w:val="left"/>
              <w:rPr>
                <w:rFonts w:ascii="Arial Narrow" w:hAnsi="Arial Narrow"/>
                <w:b/>
                <w:color w:val="000000"/>
                <w:sz w:val="20"/>
                <w:szCs w:val="18"/>
              </w:rPr>
            </w:pPr>
            <w:r w:rsidRPr="004E08A8">
              <w:rPr>
                <w:rFonts w:ascii="Arial Narrow" w:hAnsi="Arial Narrow"/>
                <w:b/>
                <w:color w:val="000000"/>
                <w:sz w:val="20"/>
                <w:szCs w:val="18"/>
              </w:rPr>
              <w:t>Dyspnoea</w:t>
            </w:r>
          </w:p>
        </w:tc>
      </w:tr>
      <w:tr w:rsidR="004E08A8" w:rsidRPr="00E2771E" w:rsidTr="00A75604">
        <w:tc>
          <w:tcPr>
            <w:tcW w:w="787" w:type="pct"/>
            <w:shd w:val="clear" w:color="auto" w:fill="auto"/>
            <w:vAlign w:val="center"/>
          </w:tcPr>
          <w:p w:rsidR="004E08A8" w:rsidRPr="00E2771E" w:rsidRDefault="004E08A8" w:rsidP="00D73941">
            <w:pPr>
              <w:keepNext/>
              <w:widowControl/>
              <w:rPr>
                <w:rFonts w:ascii="Arial Narrow" w:hAnsi="Arial Narrow"/>
                <w:color w:val="000000"/>
                <w:sz w:val="20"/>
                <w:szCs w:val="18"/>
              </w:rPr>
            </w:pPr>
            <w:r w:rsidRPr="00E2771E">
              <w:rPr>
                <w:rFonts w:ascii="Arial Narrow" w:hAnsi="Arial Narrow"/>
                <w:color w:val="000000"/>
                <w:sz w:val="20"/>
                <w:szCs w:val="18"/>
              </w:rPr>
              <w:t>Trial</w:t>
            </w:r>
            <w:r>
              <w:rPr>
                <w:rFonts w:ascii="Arial Narrow" w:hAnsi="Arial Narrow"/>
                <w:color w:val="000000"/>
                <w:sz w:val="20"/>
                <w:szCs w:val="18"/>
              </w:rPr>
              <w:t xml:space="preserve"> 30, 32 &amp; 34</w:t>
            </w:r>
          </w:p>
        </w:tc>
        <w:tc>
          <w:tcPr>
            <w:tcW w:w="593" w:type="pct"/>
            <w:vAlign w:val="center"/>
          </w:tcPr>
          <w:p w:rsidR="004E08A8" w:rsidRDefault="004E08A8" w:rsidP="00D73941">
            <w:pPr>
              <w:keepNext/>
              <w:widowControl/>
              <w:jc w:val="center"/>
              <w:rPr>
                <w:rFonts w:ascii="Arial Narrow" w:hAnsi="Arial Narrow"/>
                <w:color w:val="000000"/>
                <w:sz w:val="20"/>
                <w:szCs w:val="18"/>
              </w:rPr>
            </w:pPr>
            <w:r>
              <w:rPr>
                <w:rFonts w:ascii="Arial Narrow" w:hAnsi="Arial Narrow"/>
                <w:color w:val="000000"/>
                <w:sz w:val="20"/>
                <w:szCs w:val="18"/>
              </w:rPr>
              <w:t>55/723</w:t>
            </w:r>
          </w:p>
        </w:tc>
        <w:tc>
          <w:tcPr>
            <w:tcW w:w="715" w:type="pct"/>
            <w:vAlign w:val="center"/>
          </w:tcPr>
          <w:p w:rsidR="004E08A8" w:rsidRDefault="004E08A8" w:rsidP="00D73941">
            <w:pPr>
              <w:keepNext/>
              <w:widowControl/>
              <w:jc w:val="center"/>
              <w:rPr>
                <w:rFonts w:ascii="Arial Narrow" w:hAnsi="Arial Narrow"/>
                <w:color w:val="000000"/>
                <w:sz w:val="20"/>
                <w:szCs w:val="18"/>
              </w:rPr>
            </w:pPr>
            <w:r>
              <w:rPr>
                <w:rFonts w:ascii="Arial Narrow" w:hAnsi="Arial Narrow"/>
                <w:color w:val="000000"/>
                <w:sz w:val="20"/>
                <w:szCs w:val="18"/>
              </w:rPr>
              <w:t>59/508</w:t>
            </w:r>
          </w:p>
        </w:tc>
        <w:tc>
          <w:tcPr>
            <w:tcW w:w="765" w:type="pct"/>
            <w:vAlign w:val="center"/>
          </w:tcPr>
          <w:p w:rsidR="004E08A8" w:rsidRPr="00655048" w:rsidRDefault="004E08A8" w:rsidP="00D73941">
            <w:pPr>
              <w:keepNext/>
              <w:widowControl/>
              <w:jc w:val="center"/>
              <w:rPr>
                <w:rStyle w:val="CommentReference"/>
                <w:b w:val="0"/>
              </w:rPr>
            </w:pPr>
            <w:r>
              <w:rPr>
                <w:rStyle w:val="CommentReference"/>
                <w:b w:val="0"/>
              </w:rPr>
              <w:t>0.66 (0.46, 0.93)</w:t>
            </w:r>
          </w:p>
        </w:tc>
        <w:tc>
          <w:tcPr>
            <w:tcW w:w="769" w:type="pct"/>
            <w:vAlign w:val="center"/>
          </w:tcPr>
          <w:p w:rsidR="004E08A8" w:rsidRDefault="004E08A8" w:rsidP="00D73941">
            <w:pPr>
              <w:keepNext/>
              <w:widowControl/>
              <w:jc w:val="center"/>
              <w:rPr>
                <w:rFonts w:ascii="Arial Narrow" w:hAnsi="Arial Narrow"/>
                <w:color w:val="000000"/>
                <w:sz w:val="20"/>
                <w:szCs w:val="18"/>
              </w:rPr>
            </w:pPr>
            <w:r>
              <w:rPr>
                <w:rFonts w:ascii="Arial Narrow" w:hAnsi="Arial Narrow"/>
                <w:color w:val="000000"/>
                <w:sz w:val="20"/>
                <w:szCs w:val="18"/>
              </w:rPr>
              <w:t>7.6</w:t>
            </w:r>
          </w:p>
        </w:tc>
        <w:tc>
          <w:tcPr>
            <w:tcW w:w="462" w:type="pct"/>
            <w:vAlign w:val="center"/>
          </w:tcPr>
          <w:p w:rsidR="004E08A8" w:rsidRDefault="004E08A8" w:rsidP="00D73941">
            <w:pPr>
              <w:keepNext/>
              <w:widowControl/>
              <w:jc w:val="center"/>
              <w:rPr>
                <w:rFonts w:ascii="Arial Narrow" w:hAnsi="Arial Narrow"/>
                <w:color w:val="000000"/>
                <w:sz w:val="20"/>
                <w:szCs w:val="18"/>
              </w:rPr>
            </w:pPr>
            <w:r>
              <w:rPr>
                <w:rFonts w:ascii="Arial Narrow" w:hAnsi="Arial Narrow"/>
                <w:color w:val="000000"/>
                <w:sz w:val="20"/>
                <w:szCs w:val="18"/>
              </w:rPr>
              <w:t>11.6</w:t>
            </w:r>
          </w:p>
        </w:tc>
        <w:tc>
          <w:tcPr>
            <w:tcW w:w="909" w:type="pct"/>
            <w:vAlign w:val="center"/>
          </w:tcPr>
          <w:p w:rsidR="004E08A8" w:rsidRPr="00ED4A35" w:rsidRDefault="00ED4A35" w:rsidP="00D73941">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r>
    </w:tbl>
    <w:p w:rsidR="000950D9" w:rsidRPr="0072416F" w:rsidRDefault="007B4FF2" w:rsidP="00D73941">
      <w:pPr>
        <w:pStyle w:val="TableFooter"/>
        <w:keepNext/>
        <w:widowControl/>
        <w:ind w:left="720"/>
      </w:pPr>
      <w:r w:rsidRPr="007B4FF2">
        <w:t>*</w:t>
      </w:r>
      <w:r>
        <w:t xml:space="preserve"> Duration of follow-up: Trial 30, 32 &amp; 34 – 52 weeks.  </w:t>
      </w:r>
      <w:r w:rsidR="000950D9" w:rsidRPr="0072416F">
        <w:t>Abbreviations:</w:t>
      </w:r>
      <w:r w:rsidR="00EC6F16">
        <w:t xml:space="preserve"> FVC = forced vital capacity;</w:t>
      </w:r>
      <w:r w:rsidR="000950D9" w:rsidRPr="0072416F">
        <w:t xml:space="preserve"> </w:t>
      </w:r>
      <w:r w:rsidR="00EC6F16">
        <w:t xml:space="preserve">IPF = idiopathic pulmonary fibrosis; </w:t>
      </w:r>
      <w:r w:rsidR="000950D9" w:rsidRPr="0072416F">
        <w:t>RD = risk difference; RR = risk ratio</w:t>
      </w:r>
      <w:r w:rsidR="00655048">
        <w:t>, SE = standard error</w:t>
      </w:r>
      <w:r w:rsidR="00EC6F16">
        <w:t xml:space="preserve">.  </w:t>
      </w:r>
      <w:r w:rsidR="000950D9" w:rsidRPr="0072416F">
        <w:t>Source: Compiled during the evaluation</w:t>
      </w:r>
    </w:p>
    <w:p w:rsidR="00B60939" w:rsidRPr="00882085" w:rsidRDefault="00B60939" w:rsidP="00D73941">
      <w:pPr>
        <w:widowControl/>
      </w:pPr>
    </w:p>
    <w:p w:rsidR="002546B0" w:rsidRDefault="002546B0" w:rsidP="00D73941">
      <w:pPr>
        <w:pStyle w:val="ListParagraph"/>
        <w:widowControl/>
        <w:numPr>
          <w:ilvl w:val="1"/>
          <w:numId w:val="2"/>
        </w:numPr>
        <w:rPr>
          <w:szCs w:val="22"/>
        </w:rPr>
      </w:pPr>
      <w:r w:rsidRPr="002546B0">
        <w:rPr>
          <w:szCs w:val="22"/>
        </w:rPr>
        <w:t xml:space="preserve">On the basis of </w:t>
      </w:r>
      <w:r>
        <w:rPr>
          <w:szCs w:val="22"/>
        </w:rPr>
        <w:t>direct</w:t>
      </w:r>
      <w:r w:rsidRPr="002546B0">
        <w:rPr>
          <w:szCs w:val="22"/>
        </w:rPr>
        <w:t xml:space="preserve"> evidence presented by the submission, </w:t>
      </w:r>
      <w:r>
        <w:rPr>
          <w:szCs w:val="22"/>
        </w:rPr>
        <w:t xml:space="preserve">in comparison to </w:t>
      </w:r>
      <w:r w:rsidR="00740D87">
        <w:rPr>
          <w:szCs w:val="22"/>
        </w:rPr>
        <w:t>placebo</w:t>
      </w:r>
      <w:r>
        <w:rPr>
          <w:szCs w:val="22"/>
        </w:rPr>
        <w:t>, nintedanib was associated with</w:t>
      </w:r>
      <w:r w:rsidRPr="002546B0">
        <w:rPr>
          <w:szCs w:val="22"/>
        </w:rPr>
        <w:t>:</w:t>
      </w:r>
    </w:p>
    <w:p w:rsidR="002546B0" w:rsidRDefault="002546B0" w:rsidP="00D73941">
      <w:pPr>
        <w:pStyle w:val="ListParagraph"/>
        <w:widowControl/>
        <w:numPr>
          <w:ilvl w:val="0"/>
          <w:numId w:val="1"/>
        </w:numPr>
        <w:ind w:left="993" w:hanging="284"/>
        <w:rPr>
          <w:szCs w:val="22"/>
        </w:rPr>
      </w:pPr>
      <w:r>
        <w:rPr>
          <w:szCs w:val="22"/>
        </w:rPr>
        <w:t>Approximately a 118.9 ml/year reduction in the annual rate of decline in FVC</w:t>
      </w:r>
      <w:r w:rsidR="006E30DB">
        <w:rPr>
          <w:szCs w:val="22"/>
        </w:rPr>
        <w:t>.</w:t>
      </w:r>
    </w:p>
    <w:p w:rsidR="002546B0" w:rsidRDefault="002546B0" w:rsidP="00D73941">
      <w:pPr>
        <w:pStyle w:val="ListParagraph"/>
        <w:widowControl/>
        <w:numPr>
          <w:ilvl w:val="0"/>
          <w:numId w:val="1"/>
        </w:numPr>
        <w:ind w:left="993" w:hanging="284"/>
        <w:rPr>
          <w:szCs w:val="22"/>
        </w:rPr>
      </w:pPr>
      <w:r>
        <w:rPr>
          <w:szCs w:val="22"/>
        </w:rPr>
        <w:t xml:space="preserve">Approximately a 3.31% reduction in absolute change in FVC%Pred </w:t>
      </w:r>
      <w:r w:rsidR="00D73941">
        <w:rPr>
          <w:szCs w:val="22"/>
        </w:rPr>
        <w:t>(</w:t>
      </w:r>
      <w:r w:rsidR="00D73941" w:rsidRPr="00172009">
        <w:rPr>
          <w:szCs w:val="22"/>
        </w:rPr>
        <w:t>proportion of predicted normal FVC for age, gender and weight)</w:t>
      </w:r>
      <w:r w:rsidR="00D73941">
        <w:rPr>
          <w:szCs w:val="22"/>
        </w:rPr>
        <w:t xml:space="preserve"> </w:t>
      </w:r>
      <w:r>
        <w:rPr>
          <w:szCs w:val="22"/>
        </w:rPr>
        <w:t>from baseline to week 52</w:t>
      </w:r>
      <w:r w:rsidR="006E30DB">
        <w:rPr>
          <w:szCs w:val="22"/>
        </w:rPr>
        <w:t>.</w:t>
      </w:r>
    </w:p>
    <w:p w:rsidR="002546B0" w:rsidRDefault="002546B0" w:rsidP="00D73941">
      <w:pPr>
        <w:pStyle w:val="ListParagraph"/>
        <w:widowControl/>
        <w:numPr>
          <w:ilvl w:val="0"/>
          <w:numId w:val="1"/>
        </w:numPr>
        <w:ind w:left="993" w:hanging="284"/>
        <w:rPr>
          <w:szCs w:val="22"/>
        </w:rPr>
      </w:pPr>
      <w:r>
        <w:rPr>
          <w:szCs w:val="22"/>
        </w:rPr>
        <w:t xml:space="preserve">No significant difference </w:t>
      </w:r>
      <w:r w:rsidR="00E8581E">
        <w:rPr>
          <w:szCs w:val="22"/>
        </w:rPr>
        <w:t>was</w:t>
      </w:r>
      <w:r>
        <w:rPr>
          <w:szCs w:val="22"/>
        </w:rPr>
        <w:t xml:space="preserve"> observed for all</w:t>
      </w:r>
      <w:r w:rsidR="004E08A8">
        <w:rPr>
          <w:szCs w:val="22"/>
        </w:rPr>
        <w:t>-</w:t>
      </w:r>
      <w:r>
        <w:rPr>
          <w:szCs w:val="22"/>
        </w:rPr>
        <w:t>c</w:t>
      </w:r>
      <w:r w:rsidR="004E08A8">
        <w:rPr>
          <w:szCs w:val="22"/>
        </w:rPr>
        <w:t>ause mortality over 52 weeks</w:t>
      </w:r>
      <w:r w:rsidR="006E30DB">
        <w:rPr>
          <w:szCs w:val="22"/>
        </w:rPr>
        <w:t>.</w:t>
      </w:r>
    </w:p>
    <w:p w:rsidR="00EB2DB4" w:rsidRDefault="004E08A8" w:rsidP="00D73941">
      <w:pPr>
        <w:pStyle w:val="ListParagraph"/>
        <w:widowControl/>
        <w:numPr>
          <w:ilvl w:val="0"/>
          <w:numId w:val="1"/>
        </w:numPr>
        <w:ind w:left="993" w:hanging="284"/>
        <w:rPr>
          <w:szCs w:val="22"/>
        </w:rPr>
      </w:pPr>
      <w:r>
        <w:rPr>
          <w:szCs w:val="22"/>
        </w:rPr>
        <w:t xml:space="preserve">No significant difference </w:t>
      </w:r>
      <w:r w:rsidR="00E8581E">
        <w:rPr>
          <w:szCs w:val="22"/>
        </w:rPr>
        <w:t>was</w:t>
      </w:r>
      <w:r>
        <w:rPr>
          <w:szCs w:val="22"/>
        </w:rPr>
        <w:t xml:space="preserve"> observed for the incidence of acute investigator reported</w:t>
      </w:r>
      <w:r w:rsidR="001204A0">
        <w:rPr>
          <w:szCs w:val="22"/>
        </w:rPr>
        <w:t xml:space="preserve"> </w:t>
      </w:r>
      <w:r>
        <w:rPr>
          <w:szCs w:val="22"/>
        </w:rPr>
        <w:t>IPF exacerbations.</w:t>
      </w:r>
    </w:p>
    <w:p w:rsidR="004E08A8" w:rsidRDefault="00EB2DB4" w:rsidP="00D73941">
      <w:pPr>
        <w:pStyle w:val="ListParagraph"/>
        <w:widowControl/>
        <w:numPr>
          <w:ilvl w:val="0"/>
          <w:numId w:val="1"/>
        </w:numPr>
        <w:ind w:left="993" w:hanging="284"/>
        <w:rPr>
          <w:szCs w:val="22"/>
        </w:rPr>
      </w:pPr>
      <w:r>
        <w:rPr>
          <w:szCs w:val="22"/>
        </w:rPr>
        <w:t xml:space="preserve">Approximately 65% reduction in adjudicated acute exacerbations of IPF. </w:t>
      </w:r>
    </w:p>
    <w:p w:rsidR="004E08A8" w:rsidRPr="004E08A8" w:rsidRDefault="004E08A8" w:rsidP="00D73941">
      <w:pPr>
        <w:widowControl/>
        <w:rPr>
          <w:szCs w:val="22"/>
        </w:rPr>
      </w:pPr>
    </w:p>
    <w:p w:rsidR="00FC1884" w:rsidRPr="00B50DB8" w:rsidRDefault="00EC00C9" w:rsidP="00D73941">
      <w:pPr>
        <w:pStyle w:val="ListParagraph"/>
        <w:widowControl/>
        <w:numPr>
          <w:ilvl w:val="1"/>
          <w:numId w:val="2"/>
        </w:numPr>
        <w:rPr>
          <w:szCs w:val="22"/>
        </w:rPr>
      </w:pPr>
      <w:r w:rsidRPr="00CF6EE4">
        <w:t xml:space="preserve">On the basis of direct evidence presented by the submission, for every 100 patients treated with </w:t>
      </w:r>
      <w:r w:rsidR="004E08A8">
        <w:t>nintedanib</w:t>
      </w:r>
      <w:r w:rsidRPr="00CF6EE4">
        <w:t xml:space="preserve"> in comparison to </w:t>
      </w:r>
      <w:r w:rsidR="004E08A8">
        <w:t>placebo</w:t>
      </w:r>
      <w:r w:rsidR="006E30DB">
        <w:t>:</w:t>
      </w:r>
    </w:p>
    <w:p w:rsidR="00FC1884" w:rsidRPr="00CF6EE4" w:rsidRDefault="00FC1884" w:rsidP="00D73941">
      <w:pPr>
        <w:pStyle w:val="ListParagraph"/>
        <w:widowControl/>
        <w:numPr>
          <w:ilvl w:val="0"/>
          <w:numId w:val="1"/>
        </w:numPr>
        <w:ind w:left="993" w:hanging="284"/>
      </w:pPr>
      <w:r w:rsidRPr="00CF6EE4">
        <w:t xml:space="preserve">Approximately </w:t>
      </w:r>
      <w:r w:rsidR="004E08A8">
        <w:t>43</w:t>
      </w:r>
      <w:r w:rsidRPr="00CF6EE4">
        <w:t xml:space="preserve"> additional patients would have </w:t>
      </w:r>
      <w:r w:rsidR="004E08A8">
        <w:t>diarrhoea</w:t>
      </w:r>
      <w:r w:rsidRPr="00CF6EE4">
        <w:t xml:space="preserve"> over a </w:t>
      </w:r>
      <w:r w:rsidR="004E08A8">
        <w:t>52 week</w:t>
      </w:r>
      <w:r w:rsidRPr="00CF6EE4">
        <w:t xml:space="preserve"> duration of follow-up</w:t>
      </w:r>
      <w:r w:rsidR="006E30DB">
        <w:t>.</w:t>
      </w:r>
    </w:p>
    <w:p w:rsidR="004E08A8" w:rsidRPr="00CF6EE4" w:rsidRDefault="004E08A8" w:rsidP="00D73941">
      <w:pPr>
        <w:pStyle w:val="ListParagraph"/>
        <w:widowControl/>
        <w:numPr>
          <w:ilvl w:val="0"/>
          <w:numId w:val="1"/>
        </w:numPr>
        <w:ind w:left="993" w:hanging="284"/>
      </w:pPr>
      <w:r>
        <w:t>Approximately 9 additional patients would have vomiting over a 52 week duration of follow-up</w:t>
      </w:r>
      <w:r w:rsidR="006E30DB">
        <w:t>.</w:t>
      </w:r>
    </w:p>
    <w:p w:rsidR="00FC1884" w:rsidRDefault="00FC1884" w:rsidP="00D73941">
      <w:pPr>
        <w:pStyle w:val="ListParagraph"/>
        <w:widowControl/>
        <w:numPr>
          <w:ilvl w:val="0"/>
          <w:numId w:val="1"/>
        </w:numPr>
        <w:ind w:left="993" w:hanging="284"/>
      </w:pPr>
      <w:r w:rsidRPr="00CF6EE4">
        <w:lastRenderedPageBreak/>
        <w:t xml:space="preserve">Approximately </w:t>
      </w:r>
      <w:r w:rsidR="00EA2A4A">
        <w:t>4</w:t>
      </w:r>
      <w:r w:rsidRPr="00CF6EE4">
        <w:t xml:space="preserve"> fewer patients would have </w:t>
      </w:r>
      <w:r w:rsidR="004E08A8">
        <w:t>dyspnoea</w:t>
      </w:r>
      <w:r w:rsidRPr="00CF6EE4">
        <w:t xml:space="preserve"> over a </w:t>
      </w:r>
      <w:r w:rsidR="004E08A8">
        <w:t>52 week duration of follow-up</w:t>
      </w:r>
      <w:r w:rsidR="006E30DB">
        <w:t>.</w:t>
      </w:r>
    </w:p>
    <w:p w:rsidR="004E08A8" w:rsidRPr="00CF6EE4" w:rsidRDefault="004E08A8" w:rsidP="00D73941">
      <w:pPr>
        <w:widowControl/>
      </w:pPr>
    </w:p>
    <w:p w:rsidR="00B60939" w:rsidRPr="00E14A81" w:rsidRDefault="00B60939" w:rsidP="00D73941">
      <w:pPr>
        <w:pStyle w:val="Heading2"/>
        <w:keepNext/>
        <w:widowControl/>
      </w:pPr>
      <w:bookmarkStart w:id="13" w:name="_Toc409510374"/>
      <w:r w:rsidRPr="00E14A81">
        <w:t>Clinical claim</w:t>
      </w:r>
      <w:bookmarkEnd w:id="13"/>
    </w:p>
    <w:p w:rsidR="00B60939" w:rsidRPr="00882085" w:rsidRDefault="00B60939" w:rsidP="00D73941">
      <w:pPr>
        <w:keepNext/>
        <w:widowControl/>
        <w:ind w:left="720" w:hanging="720"/>
        <w:rPr>
          <w:szCs w:val="22"/>
        </w:rPr>
      </w:pPr>
    </w:p>
    <w:p w:rsidR="00650E41" w:rsidRPr="002D50C6" w:rsidRDefault="00650E41" w:rsidP="00D73941">
      <w:pPr>
        <w:pStyle w:val="ListParagraph"/>
        <w:widowControl/>
        <w:numPr>
          <w:ilvl w:val="1"/>
          <w:numId w:val="2"/>
        </w:numPr>
        <w:rPr>
          <w:szCs w:val="22"/>
        </w:rPr>
      </w:pPr>
      <w:r w:rsidRPr="00650E41">
        <w:t>The submission describe</w:t>
      </w:r>
      <w:r w:rsidR="00FC00BC">
        <w:t>d</w:t>
      </w:r>
      <w:r w:rsidRPr="00650E41">
        <w:t xml:space="preserve"> nintedanib as superior in efficacy when compared with placebo for the treatment of IPF</w:t>
      </w:r>
      <w:r w:rsidR="00FC00BC">
        <w:t xml:space="preserve">. </w:t>
      </w:r>
      <w:r w:rsidRPr="002D50C6">
        <w:rPr>
          <w:szCs w:val="22"/>
        </w:rPr>
        <w:t>Although</w:t>
      </w:r>
      <w:r w:rsidR="00E8581E" w:rsidRPr="002D50C6">
        <w:rPr>
          <w:szCs w:val="22"/>
        </w:rPr>
        <w:t xml:space="preserve"> a</w:t>
      </w:r>
      <w:r w:rsidRPr="002D50C6">
        <w:rPr>
          <w:szCs w:val="22"/>
        </w:rPr>
        <w:t xml:space="preserve"> statistically significant difference</w:t>
      </w:r>
      <w:r w:rsidR="00256054" w:rsidRPr="002D50C6">
        <w:rPr>
          <w:szCs w:val="22"/>
        </w:rPr>
        <w:t xml:space="preserve"> w</w:t>
      </w:r>
      <w:r w:rsidR="00E8581E" w:rsidRPr="002D50C6">
        <w:rPr>
          <w:szCs w:val="22"/>
        </w:rPr>
        <w:t>as</w:t>
      </w:r>
      <w:r w:rsidR="00256054" w:rsidRPr="002D50C6">
        <w:rPr>
          <w:szCs w:val="22"/>
        </w:rPr>
        <w:t xml:space="preserve"> observed</w:t>
      </w:r>
      <w:r w:rsidRPr="002D50C6">
        <w:rPr>
          <w:szCs w:val="22"/>
        </w:rPr>
        <w:t xml:space="preserve"> </w:t>
      </w:r>
      <w:r w:rsidR="00256054" w:rsidRPr="002D50C6">
        <w:rPr>
          <w:szCs w:val="22"/>
        </w:rPr>
        <w:t>for</w:t>
      </w:r>
      <w:r w:rsidRPr="002D50C6">
        <w:rPr>
          <w:szCs w:val="22"/>
        </w:rPr>
        <w:t xml:space="preserve"> measures</w:t>
      </w:r>
      <w:r w:rsidR="00EB2DB4">
        <w:rPr>
          <w:szCs w:val="22"/>
        </w:rPr>
        <w:t xml:space="preserve"> of change in FVC over 52 weeks, </w:t>
      </w:r>
      <w:r w:rsidR="00256054" w:rsidRPr="002D50C6">
        <w:rPr>
          <w:szCs w:val="22"/>
        </w:rPr>
        <w:t xml:space="preserve">proportion of </w:t>
      </w:r>
      <w:r w:rsidR="00EB2DB4">
        <w:rPr>
          <w:szCs w:val="22"/>
        </w:rPr>
        <w:t>FVC responders and adjudicated acute exacerbations,</w:t>
      </w:r>
      <w:r w:rsidRPr="002D50C6">
        <w:rPr>
          <w:szCs w:val="22"/>
        </w:rPr>
        <w:t xml:space="preserve"> impact upon </w:t>
      </w:r>
      <w:r w:rsidR="00EB2DB4">
        <w:rPr>
          <w:szCs w:val="22"/>
        </w:rPr>
        <w:t xml:space="preserve">most </w:t>
      </w:r>
      <w:r w:rsidRPr="002D50C6">
        <w:rPr>
          <w:szCs w:val="22"/>
        </w:rPr>
        <w:t xml:space="preserve">patient relevant outcomes </w:t>
      </w:r>
      <w:r w:rsidR="004D0580" w:rsidRPr="002D50C6">
        <w:rPr>
          <w:szCs w:val="22"/>
        </w:rPr>
        <w:t>was</w:t>
      </w:r>
      <w:r w:rsidRPr="002D50C6">
        <w:rPr>
          <w:szCs w:val="22"/>
        </w:rPr>
        <w:t xml:space="preserve"> limited </w:t>
      </w:r>
      <w:r w:rsidR="004400E3" w:rsidRPr="002D50C6">
        <w:rPr>
          <w:szCs w:val="22"/>
        </w:rPr>
        <w:t>due to</w:t>
      </w:r>
      <w:r w:rsidR="00A4603F">
        <w:rPr>
          <w:szCs w:val="22"/>
        </w:rPr>
        <w:t xml:space="preserve"> the following reasons:</w:t>
      </w:r>
    </w:p>
    <w:p w:rsidR="00566871" w:rsidRPr="00F16534" w:rsidRDefault="00650E41" w:rsidP="00D73941">
      <w:pPr>
        <w:pStyle w:val="ListParagraph"/>
        <w:widowControl/>
        <w:numPr>
          <w:ilvl w:val="0"/>
          <w:numId w:val="1"/>
        </w:numPr>
        <w:ind w:left="993" w:hanging="284"/>
        <w:rPr>
          <w:szCs w:val="22"/>
        </w:rPr>
      </w:pPr>
      <w:r w:rsidRPr="002D50C6">
        <w:rPr>
          <w:szCs w:val="22"/>
        </w:rPr>
        <w:t xml:space="preserve">No statistically significant difference </w:t>
      </w:r>
      <w:r w:rsidR="00E8581E" w:rsidRPr="002D50C6">
        <w:rPr>
          <w:szCs w:val="22"/>
        </w:rPr>
        <w:t>was</w:t>
      </w:r>
      <w:r w:rsidRPr="002D50C6">
        <w:rPr>
          <w:szCs w:val="22"/>
        </w:rPr>
        <w:t xml:space="preserve"> observed for overall survival, acute investigator reported IPF exacerbations, or disease specific </w:t>
      </w:r>
      <w:r w:rsidR="00110BF6" w:rsidRPr="002D50C6">
        <w:rPr>
          <w:szCs w:val="22"/>
        </w:rPr>
        <w:t xml:space="preserve">quality of life </w:t>
      </w:r>
      <w:r w:rsidRPr="002D50C6">
        <w:rPr>
          <w:szCs w:val="22"/>
        </w:rPr>
        <w:t>measures (St George’s Respiratory Questionnaire</w:t>
      </w:r>
      <w:r w:rsidR="001204A0">
        <w:rPr>
          <w:szCs w:val="22"/>
        </w:rPr>
        <w:t xml:space="preserve"> (SGRQ)</w:t>
      </w:r>
      <w:r w:rsidRPr="002D50C6">
        <w:rPr>
          <w:szCs w:val="22"/>
        </w:rPr>
        <w:t>)</w:t>
      </w:r>
      <w:r w:rsidR="009C2C4C" w:rsidRPr="002D50C6">
        <w:rPr>
          <w:szCs w:val="22"/>
        </w:rPr>
        <w:t xml:space="preserve">. </w:t>
      </w:r>
      <w:r w:rsidR="002152A0" w:rsidRPr="00F16534">
        <w:rPr>
          <w:szCs w:val="22"/>
        </w:rPr>
        <w:t>The ESC</w:t>
      </w:r>
      <w:r w:rsidR="001204A0" w:rsidRPr="00F16534">
        <w:rPr>
          <w:szCs w:val="22"/>
        </w:rPr>
        <w:t xml:space="preserve"> noted that the SGRQ was originally designed for patients with chronic obstructive pulmonary disease and is not a disease-specific instrument for IPF. </w:t>
      </w:r>
      <w:r w:rsidR="00566871" w:rsidRPr="00F16534">
        <w:rPr>
          <w:szCs w:val="22"/>
        </w:rPr>
        <w:t xml:space="preserve">The ESC also acknowledged the </w:t>
      </w:r>
      <w:r w:rsidR="00F859A0">
        <w:rPr>
          <w:szCs w:val="22"/>
        </w:rPr>
        <w:t xml:space="preserve">statistically significant difference in adjudicated acute IPF exacerbations and the </w:t>
      </w:r>
      <w:r w:rsidR="00566871" w:rsidRPr="00F16534">
        <w:rPr>
          <w:szCs w:val="22"/>
        </w:rPr>
        <w:t>small absolute numbers of acute exacerbations and death over the time period, n</w:t>
      </w:r>
      <w:r w:rsidR="00F859A0">
        <w:rPr>
          <w:szCs w:val="22"/>
        </w:rPr>
        <w:t>oting that the submission claimed</w:t>
      </w:r>
      <w:r w:rsidR="00566871" w:rsidRPr="00F16534">
        <w:rPr>
          <w:szCs w:val="22"/>
        </w:rPr>
        <w:t xml:space="preserve"> that </w:t>
      </w:r>
      <w:r w:rsidR="00E55E67" w:rsidRPr="00F16534">
        <w:rPr>
          <w:szCs w:val="22"/>
        </w:rPr>
        <w:t xml:space="preserve">a longer trial period and </w:t>
      </w:r>
      <w:r w:rsidR="00566871" w:rsidRPr="00F16534">
        <w:rPr>
          <w:szCs w:val="22"/>
        </w:rPr>
        <w:t>extensive rec</w:t>
      </w:r>
      <w:r w:rsidR="00E55E67" w:rsidRPr="00F16534">
        <w:rPr>
          <w:szCs w:val="22"/>
        </w:rPr>
        <w:t>ruitment (potentially up to n=6000) would be</w:t>
      </w:r>
      <w:r w:rsidR="00566871" w:rsidRPr="00F16534">
        <w:rPr>
          <w:szCs w:val="22"/>
        </w:rPr>
        <w:t xml:space="preserve"> necessary to provide statistical demonstration of an improvement in survival.</w:t>
      </w:r>
    </w:p>
    <w:p w:rsidR="001204A0" w:rsidRPr="00F16534" w:rsidRDefault="00650E41" w:rsidP="00D73941">
      <w:pPr>
        <w:pStyle w:val="ListParagraph"/>
        <w:widowControl/>
        <w:numPr>
          <w:ilvl w:val="0"/>
          <w:numId w:val="1"/>
        </w:numPr>
        <w:ind w:left="993" w:hanging="284"/>
        <w:rPr>
          <w:szCs w:val="22"/>
        </w:rPr>
      </w:pPr>
      <w:r w:rsidRPr="00F16534">
        <w:rPr>
          <w:szCs w:val="22"/>
        </w:rPr>
        <w:t xml:space="preserve">FVC </w:t>
      </w:r>
      <w:r w:rsidR="00BF4A31" w:rsidRPr="00F16534">
        <w:rPr>
          <w:szCs w:val="22"/>
        </w:rPr>
        <w:t xml:space="preserve">has not been validated </w:t>
      </w:r>
      <w:r w:rsidRPr="00F16534">
        <w:rPr>
          <w:szCs w:val="22"/>
        </w:rPr>
        <w:t>as a surrogate measure for mortality</w:t>
      </w:r>
      <w:r w:rsidR="00BF5406">
        <w:rPr>
          <w:szCs w:val="22"/>
        </w:rPr>
        <w:t>. The PSCR</w:t>
      </w:r>
      <w:r w:rsidR="00BF4A31" w:rsidRPr="00F16534">
        <w:rPr>
          <w:szCs w:val="22"/>
        </w:rPr>
        <w:t xml:space="preserve"> argues that the submission presented evidence from the literature which demonstrates a higher risk of death in IPF patients who have a greater than or equal to 10% decline in FVC. </w:t>
      </w:r>
      <w:r w:rsidR="00BF4A31" w:rsidRPr="00F16534">
        <w:t xml:space="preserve">The ESC acknowledged that there are epidemiologically based data showing that FVC, change in FVC and change in </w:t>
      </w:r>
      <w:r w:rsidR="001204A0" w:rsidRPr="00F16534">
        <w:t>FVC%Pred</w:t>
      </w:r>
      <w:r w:rsidR="00BF4A31" w:rsidRPr="00F16534">
        <w:t xml:space="preserve"> are associated with mortality.</w:t>
      </w:r>
    </w:p>
    <w:p w:rsidR="00650E41" w:rsidRPr="00F16534" w:rsidRDefault="00650E41" w:rsidP="003B73B8">
      <w:pPr>
        <w:pStyle w:val="ListParagraph"/>
        <w:widowControl/>
        <w:numPr>
          <w:ilvl w:val="0"/>
          <w:numId w:val="1"/>
        </w:numPr>
        <w:ind w:left="993" w:hanging="284"/>
        <w:rPr>
          <w:szCs w:val="22"/>
        </w:rPr>
      </w:pPr>
      <w:r w:rsidRPr="00F16534">
        <w:rPr>
          <w:szCs w:val="22"/>
        </w:rPr>
        <w:t xml:space="preserve">The submission claimed a minimally clinically important difference (MCID) for </w:t>
      </w:r>
      <w:r w:rsidR="00983B9C">
        <w:rPr>
          <w:szCs w:val="22"/>
        </w:rPr>
        <w:t xml:space="preserve">change in </w:t>
      </w:r>
      <w:r w:rsidRPr="00F16534">
        <w:rPr>
          <w:szCs w:val="22"/>
        </w:rPr>
        <w:t xml:space="preserve">FVC%Pred </w:t>
      </w:r>
      <w:r w:rsidR="00224389" w:rsidRPr="00F16534">
        <w:rPr>
          <w:szCs w:val="22"/>
        </w:rPr>
        <w:t>of 2-6%.</w:t>
      </w:r>
      <w:r w:rsidR="00671FAC">
        <w:rPr>
          <w:szCs w:val="22"/>
        </w:rPr>
        <w:t xml:space="preserve"> </w:t>
      </w:r>
      <w:r w:rsidR="003B73B8">
        <w:rPr>
          <w:szCs w:val="22"/>
        </w:rPr>
        <w:t xml:space="preserve">The MCID was sourced from du Bois et al 2011a which used </w:t>
      </w:r>
      <w:r w:rsidR="00BD6992">
        <w:rPr>
          <w:szCs w:val="22"/>
        </w:rPr>
        <w:t>a distribution method b</w:t>
      </w:r>
      <w:r w:rsidR="00671FAC" w:rsidRPr="003B73B8">
        <w:rPr>
          <w:szCs w:val="22"/>
        </w:rPr>
        <w:t xml:space="preserve">ased on the standard error of the measurement (SEM) of </w:t>
      </w:r>
      <w:r w:rsidR="0091605A" w:rsidRPr="003B73B8">
        <w:rPr>
          <w:szCs w:val="22"/>
        </w:rPr>
        <w:t>FVC%Pred</w:t>
      </w:r>
      <w:r w:rsidR="00671FAC" w:rsidRPr="003B73B8">
        <w:rPr>
          <w:szCs w:val="22"/>
        </w:rPr>
        <w:t xml:space="preserve"> from baseline to </w:t>
      </w:r>
      <w:r w:rsidR="003B73B8">
        <w:rPr>
          <w:szCs w:val="22"/>
        </w:rPr>
        <w:t xml:space="preserve">a range of alternative time intervals (e.g. week 48, </w:t>
      </w:r>
      <w:r w:rsidR="00671FAC" w:rsidRPr="003B73B8">
        <w:rPr>
          <w:szCs w:val="22"/>
        </w:rPr>
        <w:t xml:space="preserve">SEM = 3.4, 95% CI: 3.2, 3.5). </w:t>
      </w:r>
      <w:r w:rsidR="00BD6992" w:rsidRPr="003B73B8">
        <w:rPr>
          <w:szCs w:val="22"/>
        </w:rPr>
        <w:t>The evaluation noted that SEM is representative of a minimal detectable effect that is unlikely to be attributable to random measurement error.</w:t>
      </w:r>
      <w:r w:rsidR="00671FAC" w:rsidRPr="003B73B8">
        <w:rPr>
          <w:szCs w:val="22"/>
        </w:rPr>
        <w:t xml:space="preserve"> </w:t>
      </w:r>
      <w:r w:rsidR="00671FAC">
        <w:rPr>
          <w:szCs w:val="22"/>
        </w:rPr>
        <w:t>The evaluation considered that</w:t>
      </w:r>
      <w:r w:rsidR="00BD6992">
        <w:rPr>
          <w:szCs w:val="22"/>
        </w:rPr>
        <w:t>,</w:t>
      </w:r>
      <w:r w:rsidR="00671FAC">
        <w:rPr>
          <w:szCs w:val="22"/>
        </w:rPr>
        <w:t xml:space="preserve"> </w:t>
      </w:r>
      <w:r w:rsidR="00BD6992">
        <w:rPr>
          <w:szCs w:val="22"/>
        </w:rPr>
        <w:t>as the d</w:t>
      </w:r>
      <w:r w:rsidR="00BD6992" w:rsidRPr="003B73B8">
        <w:rPr>
          <w:szCs w:val="22"/>
        </w:rPr>
        <w:t xml:space="preserve">istribution method was </w:t>
      </w:r>
      <w:r w:rsidR="00671FAC" w:rsidRPr="003B73B8">
        <w:rPr>
          <w:szCs w:val="22"/>
        </w:rPr>
        <w:t>primarily based on statistical reasoning</w:t>
      </w:r>
      <w:r w:rsidR="00BD6992" w:rsidRPr="003B73B8">
        <w:rPr>
          <w:szCs w:val="22"/>
        </w:rPr>
        <w:t>, there was a lack of clinical or patient input in determining the MCID</w:t>
      </w:r>
      <w:r w:rsidR="00671FAC" w:rsidRPr="003B73B8">
        <w:rPr>
          <w:szCs w:val="22"/>
        </w:rPr>
        <w:t xml:space="preserve">. Alternatively, </w:t>
      </w:r>
      <w:r w:rsidR="00BD6992" w:rsidRPr="003B73B8">
        <w:rPr>
          <w:szCs w:val="22"/>
        </w:rPr>
        <w:t xml:space="preserve">application of the </w:t>
      </w:r>
      <w:r w:rsidR="005000D0" w:rsidRPr="00F16534">
        <w:rPr>
          <w:szCs w:val="22"/>
        </w:rPr>
        <w:t>anchor method</w:t>
      </w:r>
      <w:r w:rsidR="005000D0">
        <w:rPr>
          <w:szCs w:val="22"/>
        </w:rPr>
        <w:t xml:space="preserve"> </w:t>
      </w:r>
      <w:r w:rsidR="00BD6992" w:rsidRPr="003B73B8">
        <w:rPr>
          <w:szCs w:val="22"/>
        </w:rPr>
        <w:t>in du Bois et al 2011a resulted</w:t>
      </w:r>
      <w:r w:rsidR="003B73B8">
        <w:rPr>
          <w:szCs w:val="22"/>
        </w:rPr>
        <w:t xml:space="preserve"> in a </w:t>
      </w:r>
      <w:r w:rsidR="00BD6992" w:rsidRPr="003B73B8">
        <w:rPr>
          <w:szCs w:val="22"/>
        </w:rPr>
        <w:t>MCID of 3.3% or 3.7%. T</w:t>
      </w:r>
      <w:r w:rsidR="00671FAC" w:rsidRPr="003B73B8">
        <w:rPr>
          <w:szCs w:val="22"/>
        </w:rPr>
        <w:t>he</w:t>
      </w:r>
      <w:r w:rsidR="00BD6992" w:rsidRPr="003B73B8">
        <w:rPr>
          <w:szCs w:val="22"/>
        </w:rPr>
        <w:t xml:space="preserve"> evaluation considered that the</w:t>
      </w:r>
      <w:r w:rsidR="00671FAC" w:rsidRPr="003B73B8">
        <w:rPr>
          <w:szCs w:val="22"/>
        </w:rPr>
        <w:t xml:space="preserve"> use of anchor methods, which are based on the patient assessment of improvement/decline, </w:t>
      </w:r>
      <w:r w:rsidR="00BD6992" w:rsidRPr="003B73B8">
        <w:rPr>
          <w:szCs w:val="22"/>
        </w:rPr>
        <w:t>were</w:t>
      </w:r>
      <w:r w:rsidR="00671FAC" w:rsidRPr="003B73B8">
        <w:rPr>
          <w:szCs w:val="22"/>
        </w:rPr>
        <w:t xml:space="preserve"> a more suitable means of calculating the MCID given the focus of the analysis is directly linked to patient relevant outcomes.</w:t>
      </w:r>
      <w:r w:rsidR="00983B9C" w:rsidRPr="00F16534">
        <w:rPr>
          <w:szCs w:val="22"/>
        </w:rPr>
        <w:t xml:space="preserve"> </w:t>
      </w:r>
      <w:r w:rsidRPr="00F16534">
        <w:rPr>
          <w:szCs w:val="22"/>
        </w:rPr>
        <w:t>The meta-analysis of the phase 3 trials (</w:t>
      </w:r>
      <w:r w:rsidR="00ED4A35">
        <w:rPr>
          <w:noProof/>
          <w:color w:val="000000"/>
          <w:szCs w:val="22"/>
          <w:highlight w:val="black"/>
        </w:rPr>
        <w:t>''''''''''''''' ''''''''''' '''''' ''''''''''''''''' '''''''''''''''''</w:t>
      </w:r>
      <w:r w:rsidRPr="00F16534">
        <w:rPr>
          <w:szCs w:val="22"/>
        </w:rPr>
        <w:t xml:space="preserve">) </w:t>
      </w:r>
      <w:r w:rsidR="00110BF6" w:rsidRPr="00F16534">
        <w:rPr>
          <w:szCs w:val="22"/>
        </w:rPr>
        <w:t>did not</w:t>
      </w:r>
      <w:r w:rsidRPr="00F16534">
        <w:rPr>
          <w:szCs w:val="22"/>
        </w:rPr>
        <w:t xml:space="preserve"> rea</w:t>
      </w:r>
      <w:r w:rsidR="00224389" w:rsidRPr="00F16534">
        <w:rPr>
          <w:szCs w:val="22"/>
        </w:rPr>
        <w:t>ch this alternative benchmark.</w:t>
      </w:r>
      <w:r w:rsidR="00BF5406">
        <w:rPr>
          <w:szCs w:val="22"/>
        </w:rPr>
        <w:t xml:space="preserve"> The PSCR</w:t>
      </w:r>
      <w:r w:rsidR="001204A0" w:rsidRPr="00F16534">
        <w:rPr>
          <w:szCs w:val="22"/>
        </w:rPr>
        <w:t xml:space="preserve"> argue</w:t>
      </w:r>
      <w:r w:rsidR="00983B9C">
        <w:rPr>
          <w:szCs w:val="22"/>
        </w:rPr>
        <w:t>d</w:t>
      </w:r>
      <w:r w:rsidR="001204A0" w:rsidRPr="00F16534">
        <w:rPr>
          <w:szCs w:val="22"/>
        </w:rPr>
        <w:t xml:space="preserve"> that ‘the authors concluded that a decline of 2-6% in FVC%Pred represents a clinically important difference… The authors based this range on several approaches to triangulate the results, rather than a point-estimate based on one method.’</w:t>
      </w:r>
    </w:p>
    <w:p w:rsidR="00650E41" w:rsidRPr="00650E41" w:rsidRDefault="00650E41" w:rsidP="00D73941">
      <w:pPr>
        <w:widowControl/>
        <w:rPr>
          <w:i/>
          <w:szCs w:val="22"/>
        </w:rPr>
      </w:pPr>
    </w:p>
    <w:p w:rsidR="00B60939" w:rsidRDefault="00FC00BC" w:rsidP="00D73941">
      <w:pPr>
        <w:pStyle w:val="ListParagraph"/>
        <w:widowControl/>
        <w:numPr>
          <w:ilvl w:val="1"/>
          <w:numId w:val="2"/>
        </w:numPr>
        <w:rPr>
          <w:szCs w:val="22"/>
        </w:rPr>
      </w:pPr>
      <w:r>
        <w:rPr>
          <w:szCs w:val="22"/>
        </w:rPr>
        <w:t xml:space="preserve">The submission described nintedanib as being </w:t>
      </w:r>
      <w:r w:rsidRPr="00FC00BC">
        <w:rPr>
          <w:szCs w:val="22"/>
        </w:rPr>
        <w:t xml:space="preserve">associated with a higher incidence of drug-related adverse events, which are well managed and did not lead to a significantly higher incidence of discontinuation. </w:t>
      </w:r>
      <w:r w:rsidRPr="002D50C6">
        <w:rPr>
          <w:szCs w:val="22"/>
        </w:rPr>
        <w:t xml:space="preserve">Although gastrointestinal adverse events </w:t>
      </w:r>
      <w:r w:rsidR="00664D26" w:rsidRPr="002D50C6">
        <w:rPr>
          <w:szCs w:val="22"/>
        </w:rPr>
        <w:t xml:space="preserve">were </w:t>
      </w:r>
      <w:r w:rsidRPr="002D50C6">
        <w:rPr>
          <w:szCs w:val="22"/>
        </w:rPr>
        <w:t>generally mild to moderate in intensity, notable differences in the duration of diarrhoea (134-139 days vs. 6.5-9.0 d</w:t>
      </w:r>
      <w:r w:rsidR="00224389" w:rsidRPr="002D50C6">
        <w:rPr>
          <w:szCs w:val="22"/>
        </w:rPr>
        <w:t>ays) and nausea (5-8 days vs. 1 </w:t>
      </w:r>
      <w:r w:rsidRPr="002D50C6">
        <w:rPr>
          <w:szCs w:val="22"/>
        </w:rPr>
        <w:t>day) was observed for the comparison of nintedanib and placebo.</w:t>
      </w:r>
    </w:p>
    <w:p w:rsidR="00EB2424" w:rsidRDefault="00EB2424" w:rsidP="00D73941">
      <w:pPr>
        <w:pStyle w:val="ListParagraph"/>
        <w:widowControl/>
        <w:rPr>
          <w:szCs w:val="22"/>
        </w:rPr>
      </w:pPr>
    </w:p>
    <w:p w:rsidR="00EB2424" w:rsidRPr="00F7238D" w:rsidRDefault="00EB2424" w:rsidP="00D73941">
      <w:pPr>
        <w:pStyle w:val="ListParagraph"/>
        <w:widowControl/>
        <w:numPr>
          <w:ilvl w:val="1"/>
          <w:numId w:val="2"/>
        </w:numPr>
        <w:rPr>
          <w:szCs w:val="22"/>
        </w:rPr>
      </w:pPr>
      <w:r w:rsidRPr="00F7238D">
        <w:rPr>
          <w:szCs w:val="22"/>
        </w:rPr>
        <w:t>The PBAC considered that the claim of superior comparative effectiveness was adequately supported in terms of measures of change in FVC over 52 weeks, proportion of FVC responders and adjudicated acute exacerbations.</w:t>
      </w:r>
      <w:r w:rsidR="0097206D" w:rsidRPr="00F7238D">
        <w:rPr>
          <w:szCs w:val="22"/>
        </w:rPr>
        <w:t xml:space="preserve"> </w:t>
      </w:r>
      <w:r w:rsidR="00F7238D" w:rsidRPr="00F7238D">
        <w:rPr>
          <w:szCs w:val="22"/>
        </w:rPr>
        <w:t>The PBAC considered that it is clear that lower FVC is associated w</w:t>
      </w:r>
      <w:r w:rsidR="00F569A1">
        <w:rPr>
          <w:szCs w:val="22"/>
        </w:rPr>
        <w:t xml:space="preserve">ith a higher risk of </w:t>
      </w:r>
      <w:r w:rsidR="00A07ACA">
        <w:rPr>
          <w:szCs w:val="22"/>
        </w:rPr>
        <w:t>mortality</w:t>
      </w:r>
      <w:r w:rsidR="00F569A1">
        <w:rPr>
          <w:szCs w:val="22"/>
        </w:rPr>
        <w:t xml:space="preserve">. However, the PBAC considered that </w:t>
      </w:r>
      <w:r w:rsidR="00F7238D" w:rsidRPr="00F7238D">
        <w:rPr>
          <w:szCs w:val="22"/>
        </w:rPr>
        <w:t xml:space="preserve">quantifying the </w:t>
      </w:r>
      <w:r w:rsidR="00983B9C">
        <w:rPr>
          <w:szCs w:val="22"/>
        </w:rPr>
        <w:t xml:space="preserve">relationship </w:t>
      </w:r>
      <w:r w:rsidR="00F7238D" w:rsidRPr="00F7238D">
        <w:rPr>
          <w:szCs w:val="22"/>
        </w:rPr>
        <w:t xml:space="preserve">between change in FVC from nintedanib </w:t>
      </w:r>
      <w:r w:rsidR="00A07ACA">
        <w:rPr>
          <w:szCs w:val="22"/>
        </w:rPr>
        <w:t xml:space="preserve">and </w:t>
      </w:r>
      <w:r w:rsidR="00F7238D" w:rsidRPr="00F7238D">
        <w:rPr>
          <w:szCs w:val="22"/>
        </w:rPr>
        <w:t>a change in mortality risk (and resulting survival gain) is challenging</w:t>
      </w:r>
      <w:r w:rsidR="00A07ACA">
        <w:rPr>
          <w:szCs w:val="22"/>
        </w:rPr>
        <w:t xml:space="preserve"> </w:t>
      </w:r>
      <w:r w:rsidR="00A07ACA" w:rsidRPr="00A07ACA">
        <w:rPr>
          <w:szCs w:val="22"/>
        </w:rPr>
        <w:t>given the lack of demonstration of a statistically significant impact on survival or quality of life in the trial</w:t>
      </w:r>
      <w:r w:rsidR="00F7238D" w:rsidRPr="00F7238D">
        <w:rPr>
          <w:szCs w:val="22"/>
        </w:rPr>
        <w:t>.</w:t>
      </w:r>
    </w:p>
    <w:p w:rsidR="00EB2424" w:rsidRPr="00EB2424" w:rsidRDefault="00EB2424" w:rsidP="00D73941">
      <w:pPr>
        <w:pStyle w:val="ListParagraph"/>
        <w:widowControl/>
        <w:rPr>
          <w:szCs w:val="22"/>
        </w:rPr>
      </w:pPr>
    </w:p>
    <w:p w:rsidR="00EB2424" w:rsidRPr="00FC00BC" w:rsidRDefault="00EB2424" w:rsidP="00D73941">
      <w:pPr>
        <w:pStyle w:val="ListParagraph"/>
        <w:widowControl/>
        <w:numPr>
          <w:ilvl w:val="1"/>
          <w:numId w:val="2"/>
        </w:numPr>
        <w:rPr>
          <w:szCs w:val="22"/>
        </w:rPr>
      </w:pPr>
      <w:r>
        <w:rPr>
          <w:szCs w:val="22"/>
        </w:rPr>
        <w:t>The PBAC considered that the claim of inferior comparative safety was reasonable.</w:t>
      </w:r>
    </w:p>
    <w:p w:rsidR="00B60939" w:rsidRDefault="00B60939" w:rsidP="00D73941">
      <w:pPr>
        <w:widowControl/>
        <w:ind w:left="720" w:hanging="720"/>
        <w:rPr>
          <w:szCs w:val="22"/>
        </w:rPr>
      </w:pPr>
    </w:p>
    <w:p w:rsidR="00F16534" w:rsidRPr="00F16534" w:rsidRDefault="00F16534" w:rsidP="00D73941">
      <w:pPr>
        <w:pStyle w:val="PBACHeading1"/>
        <w:numPr>
          <w:ilvl w:val="0"/>
          <w:numId w:val="0"/>
        </w:numPr>
        <w:ind w:left="720"/>
        <w:rPr>
          <w:b w:val="0"/>
          <w:i/>
        </w:rPr>
      </w:pPr>
      <w:r w:rsidRPr="00F16534">
        <w:rPr>
          <w:b w:val="0"/>
          <w:i/>
        </w:rPr>
        <w:t>For more detail on PBAC’s view, see section 7 “PBAC outcome”</w:t>
      </w:r>
    </w:p>
    <w:p w:rsidR="00F16534" w:rsidRPr="00882085" w:rsidRDefault="00F16534" w:rsidP="00D73941">
      <w:pPr>
        <w:widowControl/>
        <w:ind w:left="720" w:hanging="720"/>
        <w:rPr>
          <w:szCs w:val="22"/>
        </w:rPr>
      </w:pPr>
    </w:p>
    <w:p w:rsidR="00B60939" w:rsidRPr="00E14A81" w:rsidRDefault="00B60939" w:rsidP="00D73941">
      <w:pPr>
        <w:pStyle w:val="Heading2"/>
        <w:keepNext/>
        <w:widowControl/>
      </w:pPr>
      <w:bookmarkStart w:id="14" w:name="_Toc409510375"/>
      <w:r w:rsidRPr="00E14A81">
        <w:t>Economic analysis</w:t>
      </w:r>
      <w:bookmarkEnd w:id="14"/>
      <w:r w:rsidR="00491B3A" w:rsidRPr="00E14A81">
        <w:t xml:space="preserve"> </w:t>
      </w:r>
    </w:p>
    <w:p w:rsidR="00B60939" w:rsidRPr="00882085" w:rsidRDefault="00B60939" w:rsidP="00D73941">
      <w:pPr>
        <w:keepNext/>
        <w:widowControl/>
        <w:ind w:left="720" w:hanging="720"/>
        <w:rPr>
          <w:szCs w:val="22"/>
        </w:rPr>
      </w:pPr>
    </w:p>
    <w:p w:rsidR="00B60939" w:rsidRPr="00566871" w:rsidRDefault="004F07AC" w:rsidP="00D73941">
      <w:pPr>
        <w:pStyle w:val="ListParagraph"/>
        <w:widowControl/>
        <w:numPr>
          <w:ilvl w:val="1"/>
          <w:numId w:val="2"/>
        </w:numPr>
        <w:rPr>
          <w:szCs w:val="22"/>
        </w:rPr>
      </w:pPr>
      <w:r>
        <w:t>The submission presented</w:t>
      </w:r>
      <w:r w:rsidR="006F05DD" w:rsidRPr="006F05DD">
        <w:t xml:space="preserve"> a modelled economic evaluation using a cost </w:t>
      </w:r>
      <w:r w:rsidR="002D50C6">
        <w:t xml:space="preserve">utility analysis. </w:t>
      </w:r>
      <w:r w:rsidR="002835DE" w:rsidRPr="002835DE">
        <w:t>The</w:t>
      </w:r>
      <w:r w:rsidR="00595D49">
        <w:t xml:space="preserve"> risk shar</w:t>
      </w:r>
      <w:r w:rsidR="00AC6F2E">
        <w:t>ing</w:t>
      </w:r>
      <w:r w:rsidR="00595D49">
        <w:t xml:space="preserve"> arrangement</w:t>
      </w:r>
      <w:r w:rsidR="002835DE" w:rsidRPr="002835DE">
        <w:t xml:space="preserve"> </w:t>
      </w:r>
      <w:r w:rsidR="00595D49">
        <w:t>(</w:t>
      </w:r>
      <w:r w:rsidR="002835DE" w:rsidRPr="002835DE">
        <w:t>RSA</w:t>
      </w:r>
      <w:r w:rsidR="00595D49">
        <w:t>)</w:t>
      </w:r>
      <w:r w:rsidR="002835DE" w:rsidRPr="002835DE">
        <w:t xml:space="preserve"> proposed by the sponsor </w:t>
      </w:r>
      <w:r w:rsidR="004D0580">
        <w:t>was</w:t>
      </w:r>
      <w:r w:rsidR="002835DE" w:rsidRPr="002835DE">
        <w:t xml:space="preserve"> incorporated into the economic evalua</w:t>
      </w:r>
      <w:r w:rsidR="002835DE" w:rsidRPr="007A4B0E">
        <w:t>tion</w:t>
      </w:r>
      <w:r w:rsidR="00E55E67" w:rsidRPr="007A4B0E">
        <w:t xml:space="preserve"> (</w:t>
      </w:r>
      <w:r w:rsidR="00E57EE0">
        <w:t>see paragraph 6.40</w:t>
      </w:r>
      <w:r w:rsidR="00E55E67" w:rsidRPr="007A4B0E">
        <w:t>)</w:t>
      </w:r>
      <w:r w:rsidR="002835DE" w:rsidRPr="007A4B0E">
        <w:t>.</w:t>
      </w:r>
    </w:p>
    <w:p w:rsidR="00566871" w:rsidRPr="00566871" w:rsidRDefault="00566871" w:rsidP="00D73941">
      <w:pPr>
        <w:pStyle w:val="ListParagraph"/>
        <w:widowControl/>
        <w:rPr>
          <w:szCs w:val="22"/>
        </w:rPr>
      </w:pPr>
    </w:p>
    <w:p w:rsidR="00566871" w:rsidRPr="00F16534" w:rsidRDefault="00566871" w:rsidP="00D73941">
      <w:pPr>
        <w:pStyle w:val="ListParagraph"/>
        <w:widowControl/>
        <w:numPr>
          <w:ilvl w:val="1"/>
          <w:numId w:val="2"/>
        </w:numPr>
        <w:rPr>
          <w:szCs w:val="22"/>
        </w:rPr>
      </w:pPr>
      <w:r w:rsidRPr="00F16534">
        <w:rPr>
          <w:szCs w:val="22"/>
        </w:rPr>
        <w:t>T</w:t>
      </w:r>
      <w:r w:rsidR="00E55E67" w:rsidRPr="00F16534">
        <w:rPr>
          <w:szCs w:val="22"/>
        </w:rPr>
        <w:t>he ESC questioned</w:t>
      </w:r>
      <w:r w:rsidR="00783A66">
        <w:rPr>
          <w:szCs w:val="22"/>
        </w:rPr>
        <w:t xml:space="preserve"> whether there wa</w:t>
      </w:r>
      <w:r w:rsidRPr="00F16534">
        <w:rPr>
          <w:szCs w:val="22"/>
        </w:rPr>
        <w:t xml:space="preserve">s sufficient clinical evidence to proceed to a modelled economic evaluation, particularly a cost utility analysis, given: </w:t>
      </w:r>
    </w:p>
    <w:p w:rsidR="00566871" w:rsidRPr="00F16534" w:rsidRDefault="00566871" w:rsidP="00D73941">
      <w:pPr>
        <w:pStyle w:val="ListParagraph"/>
        <w:widowControl/>
        <w:numPr>
          <w:ilvl w:val="0"/>
          <w:numId w:val="1"/>
        </w:numPr>
        <w:ind w:left="993" w:hanging="284"/>
        <w:rPr>
          <w:szCs w:val="22"/>
        </w:rPr>
      </w:pPr>
      <w:r w:rsidRPr="00F16534">
        <w:rPr>
          <w:szCs w:val="22"/>
        </w:rPr>
        <w:t xml:space="preserve">non-significant overall survival or quality of life outcomes; </w:t>
      </w:r>
    </w:p>
    <w:p w:rsidR="00566871" w:rsidRPr="00F16534" w:rsidRDefault="00566871" w:rsidP="00D73941">
      <w:pPr>
        <w:pStyle w:val="ListParagraph"/>
        <w:widowControl/>
        <w:numPr>
          <w:ilvl w:val="0"/>
          <w:numId w:val="1"/>
        </w:numPr>
        <w:ind w:left="993" w:hanging="284"/>
        <w:rPr>
          <w:szCs w:val="22"/>
        </w:rPr>
      </w:pPr>
      <w:r w:rsidRPr="00F16534">
        <w:rPr>
          <w:szCs w:val="22"/>
        </w:rPr>
        <w:t>uncertain clinical significance of surrogate outcome of rate of FVC decline; and</w:t>
      </w:r>
    </w:p>
    <w:p w:rsidR="00566871" w:rsidRPr="00F16534" w:rsidRDefault="00566871" w:rsidP="00D73941">
      <w:pPr>
        <w:pStyle w:val="ListParagraph"/>
        <w:widowControl/>
        <w:numPr>
          <w:ilvl w:val="0"/>
          <w:numId w:val="1"/>
        </w:numPr>
        <w:ind w:left="993" w:hanging="284"/>
        <w:rPr>
          <w:szCs w:val="22"/>
        </w:rPr>
      </w:pPr>
      <w:r w:rsidRPr="00F16534">
        <w:rPr>
          <w:szCs w:val="22"/>
        </w:rPr>
        <w:t>uncertain statistical and clinical significance of FVC%Pred outcome (compared with MCID).</w:t>
      </w:r>
    </w:p>
    <w:p w:rsidR="00275C5A" w:rsidRDefault="00275C5A" w:rsidP="00D73941">
      <w:pPr>
        <w:widowControl/>
        <w:rPr>
          <w:szCs w:val="22"/>
        </w:rPr>
      </w:pPr>
    </w:p>
    <w:p w:rsidR="00275C5A" w:rsidRDefault="00275C5A" w:rsidP="00D73941">
      <w:pPr>
        <w:keepNext/>
        <w:widowControl/>
        <w:ind w:firstLine="720"/>
        <w:rPr>
          <w:rStyle w:val="CommentReference"/>
        </w:rPr>
      </w:pPr>
      <w:r w:rsidRPr="00A56B6A">
        <w:rPr>
          <w:rStyle w:val="CommentReference"/>
        </w:rPr>
        <w:t>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Key drivers of the economic model"/>
      </w:tblPr>
      <w:tblGrid>
        <w:gridCol w:w="1133"/>
        <w:gridCol w:w="7212"/>
      </w:tblGrid>
      <w:tr w:rsidR="00275C5A" w:rsidRPr="00E2771E" w:rsidTr="006F05DD">
        <w:trPr>
          <w:tblHeader/>
        </w:trPr>
        <w:tc>
          <w:tcPr>
            <w:tcW w:w="679" w:type="pct"/>
            <w:shd w:val="clear" w:color="auto" w:fill="auto"/>
            <w:vAlign w:val="center"/>
          </w:tcPr>
          <w:p w:rsidR="00275C5A" w:rsidRPr="00E2771E" w:rsidRDefault="00275C5A" w:rsidP="00D73941">
            <w:pPr>
              <w:keepNext/>
              <w:widowControl/>
              <w:jc w:val="left"/>
              <w:rPr>
                <w:rFonts w:ascii="Arial Narrow" w:hAnsi="Arial Narrow"/>
                <w:b/>
                <w:sz w:val="20"/>
              </w:rPr>
            </w:pPr>
            <w:r w:rsidRPr="00E2771E">
              <w:rPr>
                <w:rFonts w:ascii="Arial Narrow" w:hAnsi="Arial Narrow"/>
                <w:b/>
                <w:sz w:val="20"/>
              </w:rPr>
              <w:t>Component</w:t>
            </w:r>
          </w:p>
        </w:tc>
        <w:tc>
          <w:tcPr>
            <w:tcW w:w="4321" w:type="pct"/>
            <w:shd w:val="clear" w:color="auto" w:fill="auto"/>
            <w:vAlign w:val="center"/>
          </w:tcPr>
          <w:p w:rsidR="00275C5A" w:rsidRPr="00E2771E" w:rsidRDefault="00275C5A" w:rsidP="00D73941">
            <w:pPr>
              <w:keepNext/>
              <w:widowControl/>
              <w:jc w:val="center"/>
              <w:rPr>
                <w:rFonts w:ascii="Arial Narrow" w:hAnsi="Arial Narrow"/>
                <w:b/>
                <w:sz w:val="20"/>
              </w:rPr>
            </w:pPr>
            <w:r w:rsidRPr="00E2771E">
              <w:rPr>
                <w:rFonts w:ascii="Arial Narrow" w:hAnsi="Arial Narrow"/>
                <w:b/>
                <w:sz w:val="20"/>
              </w:rPr>
              <w:t>Summary</w:t>
            </w:r>
          </w:p>
        </w:tc>
      </w:tr>
      <w:tr w:rsidR="006F05DD" w:rsidRPr="00E2771E" w:rsidTr="006F05DD">
        <w:tc>
          <w:tcPr>
            <w:tcW w:w="679" w:type="pct"/>
            <w:shd w:val="clear" w:color="auto" w:fill="auto"/>
            <w:vAlign w:val="center"/>
          </w:tcPr>
          <w:p w:rsidR="006F05DD" w:rsidRPr="00E2771E" w:rsidRDefault="006F05DD" w:rsidP="00D73941">
            <w:pPr>
              <w:keepNext/>
              <w:widowControl/>
              <w:jc w:val="left"/>
              <w:rPr>
                <w:rFonts w:ascii="Arial Narrow" w:hAnsi="Arial Narrow"/>
                <w:sz w:val="20"/>
              </w:rPr>
            </w:pPr>
            <w:r w:rsidRPr="00E2771E">
              <w:rPr>
                <w:rFonts w:ascii="Arial Narrow" w:hAnsi="Arial Narrow"/>
                <w:sz w:val="20"/>
              </w:rPr>
              <w:t>Time horizon</w:t>
            </w:r>
          </w:p>
        </w:tc>
        <w:tc>
          <w:tcPr>
            <w:tcW w:w="4321" w:type="pct"/>
            <w:shd w:val="clear" w:color="auto" w:fill="auto"/>
          </w:tcPr>
          <w:p w:rsidR="006F05DD" w:rsidRPr="00E2771E" w:rsidRDefault="006F05DD" w:rsidP="00D73941">
            <w:pPr>
              <w:keepNext/>
              <w:widowControl/>
              <w:jc w:val="left"/>
              <w:rPr>
                <w:rFonts w:ascii="Arial Narrow" w:hAnsi="Arial Narrow"/>
                <w:sz w:val="20"/>
              </w:rPr>
            </w:pPr>
            <w:r w:rsidRPr="00536468">
              <w:rPr>
                <w:rFonts w:ascii="Arial Narrow" w:hAnsi="Arial Narrow"/>
                <w:sz w:val="20"/>
              </w:rPr>
              <w:t>10 years in the model base case versus 12 months in the nintedanib trials</w:t>
            </w:r>
            <w:r w:rsidR="00566871">
              <w:rPr>
                <w:rFonts w:ascii="Arial Narrow" w:hAnsi="Arial Narrow"/>
                <w:sz w:val="20"/>
              </w:rPr>
              <w:t xml:space="preserve">. </w:t>
            </w:r>
            <w:r w:rsidR="00566871" w:rsidRPr="00F16534">
              <w:rPr>
                <w:rFonts w:ascii="Arial Narrow" w:hAnsi="Arial Narrow"/>
                <w:sz w:val="20"/>
              </w:rPr>
              <w:t>The E</w:t>
            </w:r>
            <w:r w:rsidR="00783A66">
              <w:rPr>
                <w:rFonts w:ascii="Arial Narrow" w:hAnsi="Arial Narrow"/>
                <w:sz w:val="20"/>
              </w:rPr>
              <w:t>SC questioned whether 10 years wa</w:t>
            </w:r>
            <w:r w:rsidR="00566871" w:rsidRPr="00F16534">
              <w:rPr>
                <w:rFonts w:ascii="Arial Narrow" w:hAnsi="Arial Narrow"/>
                <w:sz w:val="20"/>
              </w:rPr>
              <w:t>s the clinically appropriate time horizon for this condition, given a median survival of 3.5 years</w:t>
            </w:r>
          </w:p>
        </w:tc>
      </w:tr>
      <w:tr w:rsidR="006F05DD" w:rsidRPr="00E2771E" w:rsidTr="006F05DD">
        <w:tc>
          <w:tcPr>
            <w:tcW w:w="679" w:type="pct"/>
            <w:shd w:val="clear" w:color="auto" w:fill="auto"/>
            <w:vAlign w:val="center"/>
          </w:tcPr>
          <w:p w:rsidR="006F05DD" w:rsidRPr="00E2771E" w:rsidRDefault="006F05DD" w:rsidP="00D73941">
            <w:pPr>
              <w:keepNext/>
              <w:widowControl/>
              <w:jc w:val="left"/>
              <w:rPr>
                <w:rFonts w:ascii="Arial Narrow" w:hAnsi="Arial Narrow"/>
                <w:sz w:val="20"/>
              </w:rPr>
            </w:pPr>
            <w:r w:rsidRPr="00E2771E">
              <w:rPr>
                <w:rFonts w:ascii="Arial Narrow" w:hAnsi="Arial Narrow"/>
                <w:sz w:val="20"/>
              </w:rPr>
              <w:t>Outcomes</w:t>
            </w:r>
          </w:p>
        </w:tc>
        <w:tc>
          <w:tcPr>
            <w:tcW w:w="4321" w:type="pct"/>
            <w:shd w:val="clear" w:color="auto" w:fill="auto"/>
          </w:tcPr>
          <w:p w:rsidR="006F05DD" w:rsidRPr="00E2771E" w:rsidRDefault="006F05DD" w:rsidP="00D73941">
            <w:pPr>
              <w:keepNext/>
              <w:widowControl/>
              <w:jc w:val="left"/>
              <w:rPr>
                <w:rFonts w:ascii="Arial Narrow" w:hAnsi="Arial Narrow"/>
                <w:sz w:val="20"/>
              </w:rPr>
            </w:pPr>
            <w:r w:rsidRPr="00536468">
              <w:rPr>
                <w:rFonts w:ascii="Arial Narrow" w:hAnsi="Arial Narrow"/>
                <w:sz w:val="20"/>
              </w:rPr>
              <w:t>Cost/LYG</w:t>
            </w:r>
            <w:r w:rsidR="007326C7">
              <w:rPr>
                <w:rFonts w:ascii="Arial Narrow" w:hAnsi="Arial Narrow"/>
                <w:sz w:val="20"/>
              </w:rPr>
              <w:t>;</w:t>
            </w:r>
            <w:r w:rsidRPr="00536468">
              <w:rPr>
                <w:rFonts w:ascii="Arial Narrow" w:hAnsi="Arial Narrow"/>
                <w:sz w:val="20"/>
              </w:rPr>
              <w:t xml:space="preserve"> Cost/QALY</w:t>
            </w:r>
            <w:r w:rsidR="007326C7">
              <w:rPr>
                <w:rFonts w:ascii="Arial Narrow" w:hAnsi="Arial Narrow"/>
                <w:sz w:val="20"/>
              </w:rPr>
              <w:t xml:space="preserve"> (trial based EQ-5D utilities) </w:t>
            </w:r>
          </w:p>
        </w:tc>
      </w:tr>
      <w:tr w:rsidR="006F05DD" w:rsidRPr="00E2771E" w:rsidTr="006F05DD">
        <w:tc>
          <w:tcPr>
            <w:tcW w:w="679" w:type="pct"/>
            <w:shd w:val="clear" w:color="auto" w:fill="auto"/>
            <w:vAlign w:val="center"/>
          </w:tcPr>
          <w:p w:rsidR="006F05DD" w:rsidRPr="00E2771E" w:rsidRDefault="006F05DD" w:rsidP="00D73941">
            <w:pPr>
              <w:keepNext/>
              <w:widowControl/>
              <w:jc w:val="left"/>
              <w:rPr>
                <w:rFonts w:ascii="Arial Narrow" w:hAnsi="Arial Narrow"/>
                <w:sz w:val="20"/>
              </w:rPr>
            </w:pPr>
            <w:r w:rsidRPr="00E2771E">
              <w:rPr>
                <w:rFonts w:ascii="Arial Narrow" w:hAnsi="Arial Narrow"/>
                <w:sz w:val="20"/>
              </w:rPr>
              <w:t>Methods used to generate results</w:t>
            </w:r>
          </w:p>
        </w:tc>
        <w:tc>
          <w:tcPr>
            <w:tcW w:w="4321" w:type="pct"/>
            <w:shd w:val="clear" w:color="auto" w:fill="auto"/>
            <w:vAlign w:val="center"/>
          </w:tcPr>
          <w:p w:rsidR="006F05DD" w:rsidRPr="00E2771E" w:rsidRDefault="006F05DD" w:rsidP="00D73941">
            <w:pPr>
              <w:keepNext/>
              <w:widowControl/>
              <w:jc w:val="left"/>
              <w:rPr>
                <w:rFonts w:ascii="Arial Narrow" w:hAnsi="Arial Narrow"/>
                <w:sz w:val="20"/>
              </w:rPr>
            </w:pPr>
            <w:r>
              <w:rPr>
                <w:rFonts w:ascii="Arial Narrow" w:hAnsi="Arial Narrow"/>
                <w:sz w:val="20"/>
              </w:rPr>
              <w:t>Markov state transition model separated into two parts: ‘no exacerbation’ and ‘exacerbations’.  P</w:t>
            </w:r>
            <w:r w:rsidRPr="006F05DD">
              <w:rPr>
                <w:rFonts w:ascii="Arial Narrow" w:hAnsi="Arial Narrow"/>
                <w:sz w:val="20"/>
              </w:rPr>
              <w:t>atients may either remain stable or transition via a one-step decline in FVC%Pred health state according to ‘no exacerbation’ or ‘exacerbation’ status</w:t>
            </w:r>
            <w:r>
              <w:rPr>
                <w:rFonts w:ascii="Arial Narrow" w:hAnsi="Arial Narrow"/>
                <w:sz w:val="20"/>
              </w:rPr>
              <w:t xml:space="preserve">.  </w:t>
            </w:r>
            <w:r w:rsidRPr="006F05DD">
              <w:rPr>
                <w:rFonts w:ascii="Arial Narrow" w:hAnsi="Arial Narrow"/>
                <w:sz w:val="20"/>
              </w:rPr>
              <w:t xml:space="preserve">Discontinuation probabilities </w:t>
            </w:r>
            <w:r w:rsidR="005F652A">
              <w:rPr>
                <w:rFonts w:ascii="Arial Narrow" w:hAnsi="Arial Narrow"/>
                <w:sz w:val="20"/>
              </w:rPr>
              <w:t>are</w:t>
            </w:r>
            <w:r w:rsidRPr="006F05DD">
              <w:rPr>
                <w:rFonts w:ascii="Arial Narrow" w:hAnsi="Arial Narrow"/>
                <w:sz w:val="20"/>
              </w:rPr>
              <w:t xml:space="preserve"> also applied to the nintedanib arm of the model.  Upon discontinuation of treatment, the economic model applie</w:t>
            </w:r>
            <w:r w:rsidR="00F5553A">
              <w:rPr>
                <w:rFonts w:ascii="Arial Narrow" w:hAnsi="Arial Narrow"/>
                <w:sz w:val="20"/>
              </w:rPr>
              <w:t>d</w:t>
            </w:r>
            <w:r w:rsidRPr="006F05DD">
              <w:rPr>
                <w:rFonts w:ascii="Arial Narrow" w:hAnsi="Arial Narrow"/>
                <w:sz w:val="20"/>
              </w:rPr>
              <w:t xml:space="preserve"> relevant transition probabilities associated with BSC.  Patients </w:t>
            </w:r>
            <w:r w:rsidR="00F5553A">
              <w:rPr>
                <w:rFonts w:ascii="Arial Narrow" w:hAnsi="Arial Narrow"/>
                <w:sz w:val="20"/>
              </w:rPr>
              <w:t>could</w:t>
            </w:r>
            <w:r w:rsidRPr="006F05DD">
              <w:rPr>
                <w:rFonts w:ascii="Arial Narrow" w:hAnsi="Arial Narrow"/>
                <w:sz w:val="20"/>
              </w:rPr>
              <w:t xml:space="preserve"> transition to the self-absorbing death health state at any time, as determined by the Kaplan Meier estimates (trial based economic evaluation) or Weibull extrapolations to 10 years (modelled evaluation).  </w:t>
            </w:r>
          </w:p>
        </w:tc>
      </w:tr>
      <w:tr w:rsidR="006F05DD" w:rsidRPr="00E2771E" w:rsidTr="006F05DD">
        <w:tc>
          <w:tcPr>
            <w:tcW w:w="679" w:type="pct"/>
            <w:shd w:val="clear" w:color="auto" w:fill="auto"/>
            <w:vAlign w:val="center"/>
          </w:tcPr>
          <w:p w:rsidR="006F05DD" w:rsidRPr="00E2771E" w:rsidRDefault="006F05DD" w:rsidP="00D73941">
            <w:pPr>
              <w:keepNext/>
              <w:widowControl/>
              <w:jc w:val="left"/>
              <w:rPr>
                <w:rFonts w:ascii="Arial Narrow" w:hAnsi="Arial Narrow"/>
                <w:sz w:val="20"/>
              </w:rPr>
            </w:pPr>
            <w:r w:rsidRPr="00E2771E">
              <w:rPr>
                <w:rFonts w:ascii="Arial Narrow" w:hAnsi="Arial Narrow"/>
                <w:sz w:val="20"/>
              </w:rPr>
              <w:t>Health states</w:t>
            </w:r>
          </w:p>
        </w:tc>
        <w:tc>
          <w:tcPr>
            <w:tcW w:w="4321" w:type="pct"/>
            <w:shd w:val="clear" w:color="auto" w:fill="auto"/>
            <w:vAlign w:val="center"/>
          </w:tcPr>
          <w:p w:rsidR="006F05DD" w:rsidRPr="00E2771E" w:rsidRDefault="006F05DD" w:rsidP="00D73941">
            <w:pPr>
              <w:keepNext/>
              <w:widowControl/>
              <w:jc w:val="left"/>
              <w:rPr>
                <w:rFonts w:ascii="Arial Narrow" w:hAnsi="Arial Narrow"/>
                <w:sz w:val="20"/>
              </w:rPr>
            </w:pPr>
            <w:r>
              <w:rPr>
                <w:rFonts w:ascii="Arial Narrow" w:hAnsi="Arial Narrow"/>
                <w:sz w:val="20"/>
              </w:rPr>
              <w:t>8 FVC%Pred health states and death</w:t>
            </w:r>
          </w:p>
        </w:tc>
      </w:tr>
      <w:tr w:rsidR="006C7D36" w:rsidRPr="00E2771E" w:rsidTr="004C63C0">
        <w:tc>
          <w:tcPr>
            <w:tcW w:w="679" w:type="pct"/>
            <w:shd w:val="clear" w:color="auto" w:fill="auto"/>
            <w:vAlign w:val="center"/>
          </w:tcPr>
          <w:p w:rsidR="006C7D36" w:rsidRPr="00E2771E" w:rsidRDefault="006C7D36" w:rsidP="00D73941">
            <w:pPr>
              <w:keepNext/>
              <w:widowControl/>
              <w:jc w:val="left"/>
              <w:rPr>
                <w:rFonts w:ascii="Arial Narrow" w:hAnsi="Arial Narrow"/>
                <w:sz w:val="20"/>
              </w:rPr>
            </w:pPr>
            <w:r w:rsidRPr="00E2771E">
              <w:rPr>
                <w:rFonts w:ascii="Arial Narrow" w:hAnsi="Arial Narrow"/>
                <w:sz w:val="20"/>
              </w:rPr>
              <w:t>Cycle length</w:t>
            </w:r>
          </w:p>
        </w:tc>
        <w:tc>
          <w:tcPr>
            <w:tcW w:w="4321" w:type="pct"/>
            <w:shd w:val="clear" w:color="auto" w:fill="auto"/>
          </w:tcPr>
          <w:p w:rsidR="006C7D36" w:rsidRPr="00E2771E" w:rsidRDefault="006C7D36" w:rsidP="00D73941">
            <w:pPr>
              <w:keepNext/>
              <w:widowControl/>
              <w:jc w:val="left"/>
              <w:rPr>
                <w:rFonts w:ascii="Arial Narrow" w:hAnsi="Arial Narrow"/>
                <w:sz w:val="20"/>
              </w:rPr>
            </w:pPr>
            <w:r w:rsidRPr="00536468">
              <w:rPr>
                <w:rFonts w:ascii="Arial Narrow" w:hAnsi="Arial Narrow"/>
                <w:sz w:val="20"/>
              </w:rPr>
              <w:t>0.25 years</w:t>
            </w:r>
            <w:r>
              <w:rPr>
                <w:rFonts w:ascii="Arial Narrow" w:hAnsi="Arial Narrow"/>
                <w:sz w:val="20"/>
              </w:rPr>
              <w:t>; half cycle correction applied</w:t>
            </w:r>
          </w:p>
        </w:tc>
      </w:tr>
      <w:tr w:rsidR="006F05DD" w:rsidRPr="00E2771E" w:rsidTr="006F05DD">
        <w:tc>
          <w:tcPr>
            <w:tcW w:w="679" w:type="pct"/>
            <w:shd w:val="clear" w:color="auto" w:fill="auto"/>
            <w:vAlign w:val="center"/>
          </w:tcPr>
          <w:p w:rsidR="006F05DD" w:rsidRPr="00E2771E" w:rsidRDefault="006F05DD" w:rsidP="00D73941">
            <w:pPr>
              <w:keepNext/>
              <w:widowControl/>
              <w:jc w:val="left"/>
              <w:rPr>
                <w:rFonts w:ascii="Arial Narrow" w:hAnsi="Arial Narrow"/>
                <w:sz w:val="20"/>
              </w:rPr>
            </w:pPr>
            <w:r w:rsidRPr="00E2771E">
              <w:rPr>
                <w:rFonts w:ascii="Arial Narrow" w:hAnsi="Arial Narrow"/>
                <w:sz w:val="20"/>
              </w:rPr>
              <w:t>Transition probabilities</w:t>
            </w:r>
          </w:p>
        </w:tc>
        <w:tc>
          <w:tcPr>
            <w:tcW w:w="4321" w:type="pct"/>
            <w:shd w:val="clear" w:color="auto" w:fill="auto"/>
            <w:vAlign w:val="center"/>
          </w:tcPr>
          <w:p w:rsidR="006F05DD" w:rsidRPr="00E2771E" w:rsidRDefault="006C7D36" w:rsidP="00D73941">
            <w:pPr>
              <w:keepNext/>
              <w:widowControl/>
              <w:jc w:val="left"/>
              <w:rPr>
                <w:rFonts w:ascii="Arial Narrow" w:hAnsi="Arial Narrow"/>
                <w:sz w:val="20"/>
              </w:rPr>
            </w:pPr>
            <w:r w:rsidRPr="00536468">
              <w:rPr>
                <w:rFonts w:ascii="Arial Narrow" w:hAnsi="Arial Narrow" w:cs="Times New Roman"/>
                <w:sz w:val="20"/>
              </w:rPr>
              <w:t>On the basis of pooled data from Trial 32 and Trial 34, a logistic function was used to determine the probability for progressing to a worse FVC%Pred health state</w:t>
            </w:r>
          </w:p>
        </w:tc>
      </w:tr>
    </w:tbl>
    <w:p w:rsidR="00275C5A" w:rsidRDefault="00275C5A" w:rsidP="00D73941">
      <w:pPr>
        <w:pStyle w:val="TableFooter"/>
        <w:widowControl/>
        <w:ind w:firstLine="720"/>
      </w:pPr>
      <w:r w:rsidRPr="00275C5A">
        <w:t>Source: compiled during the evaluation</w:t>
      </w:r>
    </w:p>
    <w:p w:rsidR="00D73941" w:rsidRPr="00F16534" w:rsidRDefault="00D73941" w:rsidP="00D73941">
      <w:pPr>
        <w:keepNext/>
        <w:widowControl/>
        <w:ind w:left="709"/>
        <w:rPr>
          <w:rStyle w:val="CommentReference"/>
          <w:b w:val="0"/>
          <w:sz w:val="18"/>
        </w:rPr>
      </w:pPr>
      <w:r w:rsidRPr="00F16534">
        <w:rPr>
          <w:rStyle w:val="CommentReference"/>
          <w:b w:val="0"/>
          <w:sz w:val="18"/>
        </w:rPr>
        <w:t xml:space="preserve">Abbreviations: </w:t>
      </w:r>
      <w:r>
        <w:rPr>
          <w:rStyle w:val="CommentReference"/>
          <w:b w:val="0"/>
          <w:sz w:val="18"/>
        </w:rPr>
        <w:t xml:space="preserve">BSC = best supportive care, </w:t>
      </w:r>
      <w:r w:rsidRPr="00F16534">
        <w:rPr>
          <w:rStyle w:val="CommentReference"/>
          <w:b w:val="0"/>
          <w:sz w:val="18"/>
        </w:rPr>
        <w:t>IPF = idiopathic pulmonary fibrosis</w:t>
      </w:r>
      <w:r>
        <w:rPr>
          <w:rStyle w:val="CommentReference"/>
          <w:b w:val="0"/>
          <w:sz w:val="18"/>
        </w:rPr>
        <w:t xml:space="preserve">, LYG = life year gained, QALY = </w:t>
      </w:r>
      <w:r w:rsidR="00A108E2">
        <w:rPr>
          <w:rStyle w:val="CommentReference"/>
          <w:b w:val="0"/>
          <w:sz w:val="18"/>
        </w:rPr>
        <w:t>quality adjusted life years</w:t>
      </w:r>
      <w:r w:rsidRPr="00F16534">
        <w:rPr>
          <w:rStyle w:val="CommentReference"/>
          <w:b w:val="0"/>
          <w:sz w:val="18"/>
        </w:rPr>
        <w:t>.</w:t>
      </w:r>
    </w:p>
    <w:p w:rsidR="00275C5A" w:rsidRPr="00275C5A" w:rsidRDefault="00275C5A" w:rsidP="00D73941">
      <w:pPr>
        <w:widowControl/>
        <w:rPr>
          <w:szCs w:val="22"/>
        </w:rPr>
      </w:pPr>
    </w:p>
    <w:p w:rsidR="00E561B2" w:rsidRPr="002D50C6" w:rsidRDefault="00E561B2" w:rsidP="00D73941">
      <w:pPr>
        <w:pStyle w:val="ListParagraph"/>
        <w:widowControl/>
        <w:numPr>
          <w:ilvl w:val="1"/>
          <w:numId w:val="2"/>
        </w:numPr>
        <w:rPr>
          <w:szCs w:val="22"/>
        </w:rPr>
      </w:pPr>
      <w:r w:rsidRPr="002D50C6">
        <w:t>With the exception of survival extrapolati</w:t>
      </w:r>
      <w:r w:rsidR="00F5553A" w:rsidRPr="002D50C6">
        <w:t>ons, the economic model utilised</w:t>
      </w:r>
      <w:r w:rsidRPr="002D50C6">
        <w:t xml:space="preserve"> a constant hazards approach </w:t>
      </w:r>
      <w:r w:rsidR="00401F85" w:rsidRPr="002D50C6">
        <w:t xml:space="preserve">in which </w:t>
      </w:r>
      <w:r w:rsidRPr="002D50C6">
        <w:t xml:space="preserve">the transition probabilities </w:t>
      </w:r>
      <w:r w:rsidR="00401F85" w:rsidRPr="002D50C6">
        <w:t xml:space="preserve">moved </w:t>
      </w:r>
      <w:r w:rsidRPr="002D50C6">
        <w:t>to a worse FVC%Pred health state and the risks of exacerbation remain</w:t>
      </w:r>
      <w:r w:rsidR="00401F85" w:rsidRPr="002D50C6">
        <w:t>ed</w:t>
      </w:r>
      <w:r w:rsidRPr="002D50C6">
        <w:t xml:space="preserve"> constant throughout t</w:t>
      </w:r>
      <w:r w:rsidR="00F81B71" w:rsidRPr="002D50C6">
        <w:t xml:space="preserve">he 10 year modelled timeframe. </w:t>
      </w:r>
      <w:r w:rsidRPr="002D50C6">
        <w:t xml:space="preserve">The risk of disease progression and exacerbation </w:t>
      </w:r>
      <w:r w:rsidR="00330293" w:rsidRPr="002D50C6">
        <w:t xml:space="preserve">could </w:t>
      </w:r>
      <w:r w:rsidRPr="002D50C6">
        <w:t xml:space="preserve">alter </w:t>
      </w:r>
      <w:r w:rsidRPr="002D50C6">
        <w:lastRenderedPageBreak/>
        <w:t>o</w:t>
      </w:r>
      <w:r w:rsidR="00F81B71" w:rsidRPr="002D50C6">
        <w:t xml:space="preserve">ver the course of the disease. </w:t>
      </w:r>
      <w:r w:rsidRPr="002D50C6">
        <w:t>Overall, the constant hazards approach may inadequately represent the clinical course of IPF progression over time.</w:t>
      </w:r>
    </w:p>
    <w:p w:rsidR="00E561B2" w:rsidRPr="006B32BA" w:rsidRDefault="00E561B2" w:rsidP="00D73941">
      <w:pPr>
        <w:widowControl/>
        <w:rPr>
          <w:szCs w:val="22"/>
        </w:rPr>
      </w:pPr>
    </w:p>
    <w:p w:rsidR="0095703C" w:rsidRDefault="0095703C" w:rsidP="00D73941">
      <w:pPr>
        <w:pStyle w:val="ListParagraph"/>
        <w:widowControl/>
        <w:numPr>
          <w:ilvl w:val="1"/>
          <w:numId w:val="2"/>
        </w:numPr>
        <w:rPr>
          <w:szCs w:val="22"/>
        </w:rPr>
      </w:pPr>
      <w:r>
        <w:rPr>
          <w:szCs w:val="22"/>
        </w:rPr>
        <w:t>Key drivers of the model are summarised in the table below</w:t>
      </w:r>
      <w:r w:rsidR="00F81B71">
        <w:rPr>
          <w:szCs w:val="22"/>
        </w:rPr>
        <w:t>.</w:t>
      </w:r>
    </w:p>
    <w:p w:rsidR="0095703C" w:rsidRPr="006B32BA" w:rsidRDefault="0095703C" w:rsidP="00D73941">
      <w:pPr>
        <w:widowControl/>
        <w:rPr>
          <w:szCs w:val="22"/>
        </w:rPr>
      </w:pPr>
    </w:p>
    <w:p w:rsidR="00D110BD" w:rsidRDefault="00D110BD" w:rsidP="00D73941">
      <w:pPr>
        <w:widowControl/>
        <w:ind w:firstLine="720"/>
        <w:rPr>
          <w:rStyle w:val="CommentReference"/>
        </w:rPr>
      </w:pPr>
      <w:r w:rsidRPr="00A56B6A">
        <w:rPr>
          <w:rStyle w:val="CommentReference"/>
        </w:rPr>
        <w:t>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01"/>
        <w:gridCol w:w="4112"/>
        <w:gridCol w:w="2532"/>
      </w:tblGrid>
      <w:tr w:rsidR="00A021ED" w:rsidRPr="00E2771E" w:rsidTr="00A021ED">
        <w:trPr>
          <w:tblHeader/>
        </w:trPr>
        <w:tc>
          <w:tcPr>
            <w:tcW w:w="1019" w:type="pct"/>
            <w:shd w:val="clear" w:color="auto" w:fill="auto"/>
            <w:vAlign w:val="center"/>
          </w:tcPr>
          <w:p w:rsidR="00D110BD" w:rsidRPr="00E2771E" w:rsidRDefault="00D110BD" w:rsidP="00D73941">
            <w:pPr>
              <w:widowControl/>
              <w:jc w:val="left"/>
              <w:rPr>
                <w:rFonts w:ascii="Arial Narrow" w:hAnsi="Arial Narrow"/>
                <w:b/>
                <w:sz w:val="20"/>
                <w:lang w:val="en-US"/>
              </w:rPr>
            </w:pPr>
            <w:r w:rsidRPr="00E2771E">
              <w:rPr>
                <w:rFonts w:ascii="Arial Narrow" w:hAnsi="Arial Narrow"/>
                <w:b/>
                <w:sz w:val="20"/>
                <w:lang w:val="en-US"/>
              </w:rPr>
              <w:t>Description</w:t>
            </w:r>
          </w:p>
        </w:tc>
        <w:tc>
          <w:tcPr>
            <w:tcW w:w="2464" w:type="pct"/>
            <w:shd w:val="clear" w:color="auto" w:fill="auto"/>
            <w:vAlign w:val="center"/>
          </w:tcPr>
          <w:p w:rsidR="00D110BD" w:rsidRPr="00E2771E" w:rsidRDefault="00D110BD" w:rsidP="00D73941">
            <w:pPr>
              <w:widowControl/>
              <w:jc w:val="center"/>
              <w:rPr>
                <w:rFonts w:ascii="Arial Narrow" w:hAnsi="Arial Narrow"/>
                <w:b/>
                <w:sz w:val="20"/>
                <w:lang w:val="en-US"/>
              </w:rPr>
            </w:pPr>
            <w:r w:rsidRPr="00E2771E">
              <w:rPr>
                <w:rFonts w:ascii="Arial Narrow" w:hAnsi="Arial Narrow"/>
                <w:b/>
                <w:sz w:val="20"/>
                <w:lang w:val="en-US"/>
              </w:rPr>
              <w:t>Method/Value</w:t>
            </w:r>
          </w:p>
        </w:tc>
        <w:tc>
          <w:tcPr>
            <w:tcW w:w="1517" w:type="pct"/>
            <w:shd w:val="clear" w:color="auto" w:fill="auto"/>
            <w:vAlign w:val="center"/>
          </w:tcPr>
          <w:p w:rsidR="00D110BD" w:rsidRPr="00E2771E" w:rsidRDefault="00D110BD" w:rsidP="00D73941">
            <w:pPr>
              <w:widowControl/>
              <w:jc w:val="center"/>
              <w:rPr>
                <w:rFonts w:ascii="Arial Narrow" w:hAnsi="Arial Narrow"/>
                <w:b/>
                <w:sz w:val="20"/>
                <w:lang w:val="en-US"/>
              </w:rPr>
            </w:pPr>
            <w:r w:rsidRPr="00E2771E">
              <w:rPr>
                <w:rFonts w:ascii="Arial Narrow" w:hAnsi="Arial Narrow"/>
                <w:b/>
                <w:sz w:val="20"/>
                <w:lang w:val="en-US"/>
              </w:rPr>
              <w:t>Impact</w:t>
            </w:r>
          </w:p>
        </w:tc>
      </w:tr>
      <w:tr w:rsidR="00A021ED" w:rsidRPr="00E2771E" w:rsidTr="00A021ED">
        <w:tc>
          <w:tcPr>
            <w:tcW w:w="1019" w:type="pct"/>
            <w:shd w:val="clear" w:color="auto" w:fill="auto"/>
            <w:vAlign w:val="center"/>
          </w:tcPr>
          <w:p w:rsidR="003D25D4" w:rsidRPr="00E2771E" w:rsidRDefault="003D25D4" w:rsidP="00D73941">
            <w:pPr>
              <w:widowControl/>
              <w:jc w:val="left"/>
              <w:rPr>
                <w:rFonts w:ascii="Arial Narrow" w:hAnsi="Arial Narrow"/>
                <w:sz w:val="20"/>
                <w:lang w:val="en-US"/>
              </w:rPr>
            </w:pPr>
            <w:r>
              <w:rPr>
                <w:rFonts w:ascii="Arial Narrow" w:hAnsi="Arial Narrow"/>
                <w:sz w:val="20"/>
                <w:lang w:val="en-US"/>
              </w:rPr>
              <w:t>Survival extrapolation</w:t>
            </w:r>
          </w:p>
        </w:tc>
        <w:tc>
          <w:tcPr>
            <w:tcW w:w="2464" w:type="pct"/>
            <w:shd w:val="clear" w:color="auto" w:fill="auto"/>
            <w:vAlign w:val="center"/>
          </w:tcPr>
          <w:p w:rsidR="003D25D4" w:rsidRPr="00E2771E" w:rsidRDefault="003D25D4" w:rsidP="00D73941">
            <w:pPr>
              <w:widowControl/>
              <w:jc w:val="center"/>
              <w:rPr>
                <w:rFonts w:ascii="Arial Narrow" w:hAnsi="Arial Narrow"/>
                <w:sz w:val="20"/>
                <w:lang w:val="en-US"/>
              </w:rPr>
            </w:pPr>
            <w:r>
              <w:rPr>
                <w:rFonts w:ascii="Arial Narrow" w:hAnsi="Arial Narrow"/>
                <w:sz w:val="20"/>
                <w:lang w:val="en-US"/>
              </w:rPr>
              <w:t xml:space="preserve">Parametric extrapolation to 10 years </w:t>
            </w:r>
          </w:p>
        </w:tc>
        <w:tc>
          <w:tcPr>
            <w:tcW w:w="1517" w:type="pct"/>
            <w:shd w:val="clear" w:color="auto" w:fill="auto"/>
            <w:vAlign w:val="center"/>
          </w:tcPr>
          <w:p w:rsidR="003D25D4" w:rsidRPr="00E2771E" w:rsidRDefault="003D25D4" w:rsidP="00D73941">
            <w:pPr>
              <w:widowControl/>
              <w:jc w:val="center"/>
              <w:rPr>
                <w:rFonts w:ascii="Arial Narrow" w:hAnsi="Arial Narrow"/>
                <w:sz w:val="20"/>
                <w:lang w:val="en-US"/>
              </w:rPr>
            </w:pPr>
            <w:r w:rsidRPr="00E2771E">
              <w:rPr>
                <w:rFonts w:ascii="Arial Narrow" w:hAnsi="Arial Narrow"/>
                <w:sz w:val="20"/>
                <w:lang w:val="en-US"/>
              </w:rPr>
              <w:t>High,</w:t>
            </w:r>
            <w:r w:rsidRPr="00603C00">
              <w:rPr>
                <w:rFonts w:ascii="Arial Narrow" w:hAnsi="Arial Narrow"/>
                <w:sz w:val="20"/>
              </w:rPr>
              <w:t xml:space="preserve"> favours</w:t>
            </w:r>
            <w:r w:rsidRPr="00E2771E">
              <w:rPr>
                <w:rFonts w:ascii="Arial Narrow" w:hAnsi="Arial Narrow"/>
                <w:sz w:val="20"/>
                <w:lang w:val="en-US"/>
              </w:rPr>
              <w:t xml:space="preserve"> </w:t>
            </w:r>
            <w:r>
              <w:rPr>
                <w:rFonts w:ascii="Arial Narrow" w:hAnsi="Arial Narrow"/>
                <w:sz w:val="20"/>
                <w:lang w:val="en-US"/>
              </w:rPr>
              <w:t>nintedanib</w:t>
            </w:r>
          </w:p>
        </w:tc>
      </w:tr>
      <w:tr w:rsidR="00A021ED" w:rsidRPr="00E2771E" w:rsidTr="00A021ED">
        <w:tc>
          <w:tcPr>
            <w:tcW w:w="1019" w:type="pct"/>
            <w:shd w:val="clear" w:color="auto" w:fill="auto"/>
            <w:vAlign w:val="center"/>
          </w:tcPr>
          <w:p w:rsidR="003D25D4" w:rsidRPr="00E2771E" w:rsidRDefault="003D25D4" w:rsidP="00D73941">
            <w:pPr>
              <w:widowControl/>
              <w:jc w:val="left"/>
              <w:rPr>
                <w:rFonts w:ascii="Arial Narrow" w:hAnsi="Arial Narrow"/>
                <w:sz w:val="20"/>
                <w:lang w:val="en-US"/>
              </w:rPr>
            </w:pPr>
            <w:r w:rsidRPr="00E2771E">
              <w:rPr>
                <w:rFonts w:ascii="Arial Narrow" w:hAnsi="Arial Narrow"/>
                <w:sz w:val="20"/>
                <w:lang w:val="en-US"/>
              </w:rPr>
              <w:t>Time horizon</w:t>
            </w:r>
          </w:p>
        </w:tc>
        <w:tc>
          <w:tcPr>
            <w:tcW w:w="2464" w:type="pct"/>
            <w:shd w:val="clear" w:color="auto" w:fill="auto"/>
            <w:vAlign w:val="center"/>
          </w:tcPr>
          <w:p w:rsidR="003D25D4" w:rsidRPr="00E2771E" w:rsidRDefault="003D25D4" w:rsidP="00D73941">
            <w:pPr>
              <w:widowControl/>
              <w:jc w:val="center"/>
              <w:rPr>
                <w:rFonts w:ascii="Arial Narrow" w:hAnsi="Arial Narrow"/>
                <w:sz w:val="20"/>
                <w:lang w:val="en-US"/>
              </w:rPr>
            </w:pPr>
            <w:r>
              <w:rPr>
                <w:rFonts w:ascii="Arial Narrow" w:hAnsi="Arial Narrow"/>
                <w:sz w:val="20"/>
                <w:lang w:val="en-US"/>
              </w:rPr>
              <w:t>10</w:t>
            </w:r>
            <w:r w:rsidRPr="00E2771E">
              <w:rPr>
                <w:rFonts w:ascii="Arial Narrow" w:hAnsi="Arial Narrow"/>
                <w:sz w:val="20"/>
                <w:lang w:val="en-US"/>
              </w:rPr>
              <w:t xml:space="preserve"> years; assumed from </w:t>
            </w:r>
            <w:r>
              <w:rPr>
                <w:rFonts w:ascii="Arial Narrow" w:hAnsi="Arial Narrow"/>
                <w:sz w:val="20"/>
                <w:lang w:val="en-US"/>
              </w:rPr>
              <w:t>12</w:t>
            </w:r>
            <w:r w:rsidRPr="00E2771E">
              <w:rPr>
                <w:rFonts w:ascii="Arial Narrow" w:hAnsi="Arial Narrow"/>
                <w:sz w:val="20"/>
                <w:lang w:val="en-US"/>
              </w:rPr>
              <w:t xml:space="preserve"> month trial duration</w:t>
            </w:r>
          </w:p>
        </w:tc>
        <w:tc>
          <w:tcPr>
            <w:tcW w:w="1517" w:type="pct"/>
            <w:shd w:val="clear" w:color="auto" w:fill="auto"/>
            <w:vAlign w:val="center"/>
          </w:tcPr>
          <w:p w:rsidR="003D25D4" w:rsidRPr="00E2771E" w:rsidRDefault="003D25D4" w:rsidP="00D73941">
            <w:pPr>
              <w:widowControl/>
              <w:jc w:val="center"/>
              <w:rPr>
                <w:rFonts w:ascii="Arial Narrow" w:hAnsi="Arial Narrow"/>
                <w:sz w:val="20"/>
                <w:lang w:val="en-US"/>
              </w:rPr>
            </w:pPr>
            <w:r w:rsidRPr="00E2771E">
              <w:rPr>
                <w:rFonts w:ascii="Arial Narrow" w:hAnsi="Arial Narrow"/>
                <w:sz w:val="20"/>
                <w:lang w:val="en-US"/>
              </w:rPr>
              <w:t>High,</w:t>
            </w:r>
            <w:r w:rsidRPr="00603C00">
              <w:rPr>
                <w:rFonts w:ascii="Arial Narrow" w:hAnsi="Arial Narrow"/>
                <w:sz w:val="20"/>
              </w:rPr>
              <w:t xml:space="preserve"> favours</w:t>
            </w:r>
            <w:r w:rsidRPr="00E2771E">
              <w:rPr>
                <w:rFonts w:ascii="Arial Narrow" w:hAnsi="Arial Narrow"/>
                <w:sz w:val="20"/>
                <w:lang w:val="en-US"/>
              </w:rPr>
              <w:t xml:space="preserve"> </w:t>
            </w:r>
            <w:r>
              <w:rPr>
                <w:rFonts w:ascii="Arial Narrow" w:hAnsi="Arial Narrow"/>
                <w:sz w:val="20"/>
                <w:lang w:val="en-US"/>
              </w:rPr>
              <w:t>nintedanib</w:t>
            </w:r>
          </w:p>
        </w:tc>
      </w:tr>
    </w:tbl>
    <w:p w:rsidR="00D110BD" w:rsidRPr="00D110BD" w:rsidRDefault="00D110BD" w:rsidP="00D73941">
      <w:pPr>
        <w:pStyle w:val="TableFooter"/>
        <w:widowControl/>
        <w:ind w:firstLine="720"/>
      </w:pPr>
      <w:r w:rsidRPr="00D110BD">
        <w:t>Source: compiled during the evaluation</w:t>
      </w:r>
    </w:p>
    <w:p w:rsidR="00D110BD" w:rsidRPr="00275C5A" w:rsidRDefault="00D110BD" w:rsidP="00D73941">
      <w:pPr>
        <w:widowControl/>
        <w:rPr>
          <w:szCs w:val="22"/>
        </w:rPr>
      </w:pPr>
    </w:p>
    <w:p w:rsidR="007326C7" w:rsidRPr="00EC7A97" w:rsidRDefault="00983B9C" w:rsidP="004E7770">
      <w:pPr>
        <w:pStyle w:val="ListParagraph"/>
        <w:widowControl/>
        <w:numPr>
          <w:ilvl w:val="1"/>
          <w:numId w:val="2"/>
        </w:numPr>
        <w:rPr>
          <w:szCs w:val="22"/>
        </w:rPr>
      </w:pPr>
      <w:r>
        <w:rPr>
          <w:szCs w:val="22"/>
        </w:rPr>
        <w:t>T</w:t>
      </w:r>
      <w:r w:rsidR="003D25D4" w:rsidRPr="002D50C6">
        <w:rPr>
          <w:szCs w:val="22"/>
        </w:rPr>
        <w:t xml:space="preserve">he reliability of the economic model </w:t>
      </w:r>
      <w:r w:rsidR="004D0580" w:rsidRPr="002D50C6">
        <w:rPr>
          <w:szCs w:val="22"/>
        </w:rPr>
        <w:t>was</w:t>
      </w:r>
      <w:r>
        <w:rPr>
          <w:szCs w:val="22"/>
        </w:rPr>
        <w:t xml:space="preserve"> significantly compromised by</w:t>
      </w:r>
      <w:r w:rsidR="003D25D4" w:rsidRPr="002D50C6">
        <w:rPr>
          <w:szCs w:val="22"/>
        </w:rPr>
        <w:t xml:space="preserve"> the submission’s assumption that non-statistically significant survival benefits associated with nintedanib persist</w:t>
      </w:r>
      <w:r w:rsidR="00F81B71" w:rsidRPr="002D50C6">
        <w:rPr>
          <w:szCs w:val="22"/>
        </w:rPr>
        <w:t xml:space="preserve"> for the 10 year time horizon. </w:t>
      </w:r>
      <w:r>
        <w:rPr>
          <w:szCs w:val="22"/>
        </w:rPr>
        <w:t>The evaluation considered t</w:t>
      </w:r>
      <w:r w:rsidR="003D25D4" w:rsidRPr="002D50C6">
        <w:rPr>
          <w:szCs w:val="22"/>
        </w:rPr>
        <w:t xml:space="preserve">his </w:t>
      </w:r>
      <w:r w:rsidR="004D0580" w:rsidRPr="002D50C6">
        <w:rPr>
          <w:szCs w:val="22"/>
        </w:rPr>
        <w:t>was</w:t>
      </w:r>
      <w:r w:rsidR="003D25D4" w:rsidRPr="002D50C6">
        <w:rPr>
          <w:szCs w:val="22"/>
        </w:rPr>
        <w:t xml:space="preserve"> a highly optimistic interpretation of the evidence</w:t>
      </w:r>
      <w:r w:rsidR="00F81B71" w:rsidRPr="002D50C6">
        <w:rPr>
          <w:szCs w:val="22"/>
        </w:rPr>
        <w:t>.</w:t>
      </w:r>
      <w:r w:rsidR="00442ED5" w:rsidRPr="002D50C6">
        <w:rPr>
          <w:szCs w:val="22"/>
        </w:rPr>
        <w:t xml:space="preserve"> Overall, the </w:t>
      </w:r>
      <w:r w:rsidR="00C625B5" w:rsidRPr="002D50C6">
        <w:rPr>
          <w:szCs w:val="22"/>
        </w:rPr>
        <w:t>W</w:t>
      </w:r>
      <w:r w:rsidR="00442ED5" w:rsidRPr="002D50C6">
        <w:rPr>
          <w:szCs w:val="22"/>
        </w:rPr>
        <w:t>eibull extrapolations</w:t>
      </w:r>
      <w:r w:rsidR="00C625B5" w:rsidRPr="002D50C6">
        <w:rPr>
          <w:szCs w:val="22"/>
        </w:rPr>
        <w:t xml:space="preserve"> </w:t>
      </w:r>
      <w:r>
        <w:rPr>
          <w:szCs w:val="22"/>
        </w:rPr>
        <w:t>were</w:t>
      </w:r>
      <w:r w:rsidRPr="002D50C6">
        <w:rPr>
          <w:szCs w:val="22"/>
        </w:rPr>
        <w:t xml:space="preserve"> </w:t>
      </w:r>
      <w:r w:rsidR="00442ED5" w:rsidRPr="002D50C6">
        <w:rPr>
          <w:szCs w:val="22"/>
        </w:rPr>
        <w:t xml:space="preserve">incapable of representing potential long term survival benefits, considering </w:t>
      </w:r>
      <w:r>
        <w:rPr>
          <w:szCs w:val="22"/>
        </w:rPr>
        <w:t>that the treatment effect estimated from the trials was not statistically significant</w:t>
      </w:r>
      <w:r w:rsidR="00F81B71" w:rsidRPr="002D50C6">
        <w:rPr>
          <w:szCs w:val="22"/>
        </w:rPr>
        <w:t>.</w:t>
      </w:r>
      <w:r w:rsidR="003D25D4" w:rsidRPr="002D50C6">
        <w:rPr>
          <w:szCs w:val="22"/>
        </w:rPr>
        <w:t xml:space="preserve"> </w:t>
      </w:r>
      <w:r w:rsidR="007326C7" w:rsidRPr="002D50C6">
        <w:rPr>
          <w:szCs w:val="22"/>
        </w:rPr>
        <w:t>A</w:t>
      </w:r>
      <w:r w:rsidR="00A07ACA">
        <w:rPr>
          <w:szCs w:val="22"/>
        </w:rPr>
        <w:t xml:space="preserve"> more</w:t>
      </w:r>
      <w:r w:rsidR="007326C7" w:rsidRPr="002D50C6">
        <w:rPr>
          <w:szCs w:val="22"/>
        </w:rPr>
        <w:t xml:space="preserve"> acceptable</w:t>
      </w:r>
      <w:r w:rsidR="00A07ACA">
        <w:rPr>
          <w:szCs w:val="22"/>
        </w:rPr>
        <w:t>, but conservative,</w:t>
      </w:r>
      <w:r w:rsidR="007326C7" w:rsidRPr="002D50C6">
        <w:rPr>
          <w:szCs w:val="22"/>
        </w:rPr>
        <w:t xml:space="preserve"> approach would have been the use of trial based Kaplan Meier survival estimates to 21 months</w:t>
      </w:r>
      <w:r w:rsidR="003E5B2B">
        <w:rPr>
          <w:szCs w:val="22"/>
        </w:rPr>
        <w:t xml:space="preserve"> (provided in an appendix to the submission)</w:t>
      </w:r>
      <w:r w:rsidR="007326C7" w:rsidRPr="002D50C6">
        <w:rPr>
          <w:szCs w:val="22"/>
        </w:rPr>
        <w:t xml:space="preserve"> followed by adjustment of the nintedanib survival curves for the gradient of the </w:t>
      </w:r>
      <w:r w:rsidR="00130D2B">
        <w:rPr>
          <w:szCs w:val="22"/>
        </w:rPr>
        <w:t>best supportive care</w:t>
      </w:r>
      <w:r w:rsidR="00130D2B" w:rsidRPr="002D50C6">
        <w:rPr>
          <w:szCs w:val="22"/>
        </w:rPr>
        <w:t xml:space="preserve"> </w:t>
      </w:r>
      <w:r w:rsidR="007326C7" w:rsidRPr="002D50C6">
        <w:rPr>
          <w:szCs w:val="22"/>
        </w:rPr>
        <w:t>curve</w:t>
      </w:r>
      <w:r w:rsidR="00F81B71" w:rsidRPr="002D50C6">
        <w:rPr>
          <w:szCs w:val="22"/>
        </w:rPr>
        <w:t xml:space="preserve">. </w:t>
      </w:r>
      <w:r w:rsidR="007326C7" w:rsidRPr="002D50C6">
        <w:rPr>
          <w:szCs w:val="22"/>
        </w:rPr>
        <w:t xml:space="preserve">The modelled economic evaluation </w:t>
      </w:r>
      <w:r w:rsidR="004D0580" w:rsidRPr="002D50C6">
        <w:rPr>
          <w:szCs w:val="22"/>
        </w:rPr>
        <w:t>was</w:t>
      </w:r>
      <w:r w:rsidR="007326C7" w:rsidRPr="002D50C6">
        <w:rPr>
          <w:szCs w:val="22"/>
        </w:rPr>
        <w:t xml:space="preserve"> highly sensitive to this re-specification of the </w:t>
      </w:r>
      <w:r w:rsidR="0014382C">
        <w:rPr>
          <w:szCs w:val="22"/>
        </w:rPr>
        <w:t xml:space="preserve">survival extrapolations (ICER </w:t>
      </w:r>
      <w:r w:rsidR="004E7770" w:rsidRPr="00EC7A97">
        <w:rPr>
          <w:szCs w:val="22"/>
        </w:rPr>
        <w:t>more than $200,000/QALY</w:t>
      </w:r>
      <w:r w:rsidR="007326C7" w:rsidRPr="00EC7A97">
        <w:rPr>
          <w:szCs w:val="22"/>
        </w:rPr>
        <w:t>).</w:t>
      </w:r>
    </w:p>
    <w:p w:rsidR="001B2EF4" w:rsidRPr="00EC7A97" w:rsidRDefault="001B2EF4" w:rsidP="00D73941">
      <w:pPr>
        <w:pStyle w:val="ListParagraph"/>
        <w:widowControl/>
        <w:rPr>
          <w:szCs w:val="22"/>
        </w:rPr>
      </w:pPr>
    </w:p>
    <w:p w:rsidR="001B2EF4" w:rsidRPr="00EC7A97" w:rsidRDefault="001B2EF4" w:rsidP="004E7770">
      <w:pPr>
        <w:pStyle w:val="ListParagraph"/>
        <w:widowControl/>
        <w:numPr>
          <w:ilvl w:val="1"/>
          <w:numId w:val="2"/>
        </w:numPr>
        <w:rPr>
          <w:szCs w:val="22"/>
        </w:rPr>
      </w:pPr>
      <w:r w:rsidRPr="00EC7A97">
        <w:t xml:space="preserve">The PSCR argued that the approach </w:t>
      </w:r>
      <w:r w:rsidR="000940CC" w:rsidRPr="00EC7A97">
        <w:t xml:space="preserve">proposed above </w:t>
      </w:r>
      <w:r w:rsidR="00983B9C" w:rsidRPr="00EC7A97">
        <w:t>wa</w:t>
      </w:r>
      <w:r w:rsidRPr="00EC7A97">
        <w:t xml:space="preserve">s not appropriate. The ESC considered that the submission’s approach (with a base case ICER of </w:t>
      </w:r>
      <w:r w:rsidR="004E7770" w:rsidRPr="00EC7A97">
        <w:t>$105,000/QALY – $200,000/QALY</w:t>
      </w:r>
      <w:r w:rsidRPr="00EC7A97">
        <w:t xml:space="preserve">) was optimistic as it used non-significant survival and quality of life benefits extrapolated from 12 months to 10 years to </w:t>
      </w:r>
      <w:r w:rsidR="000940CC" w:rsidRPr="00EC7A97">
        <w:t>estimate</w:t>
      </w:r>
      <w:r w:rsidRPr="00EC7A97">
        <w:t xml:space="preserve"> LYs and QALYs gained. However, the ESC also considered that using the trial based Kaplan</w:t>
      </w:r>
      <w:r w:rsidR="00A52184" w:rsidRPr="00EC7A97">
        <w:t xml:space="preserve"> Meier survival estimates to 21 </w:t>
      </w:r>
      <w:r w:rsidRPr="00EC7A97">
        <w:t xml:space="preserve">months </w:t>
      </w:r>
      <w:r w:rsidR="00225E7A" w:rsidRPr="00EC7A97">
        <w:t xml:space="preserve">(resulting in an ICER of </w:t>
      </w:r>
      <w:r w:rsidR="004E7770" w:rsidRPr="00EC7A97">
        <w:t>more than $200,000/QALY</w:t>
      </w:r>
      <w:r w:rsidR="00225E7A" w:rsidRPr="00EC7A97">
        <w:t xml:space="preserve">) </w:t>
      </w:r>
      <w:r w:rsidRPr="00EC7A97">
        <w:t>would be a conservative approach.</w:t>
      </w:r>
    </w:p>
    <w:p w:rsidR="009C3F3A" w:rsidRPr="009C3F3A" w:rsidRDefault="009C3F3A" w:rsidP="00D73941">
      <w:pPr>
        <w:pStyle w:val="ListParagraph"/>
        <w:widowControl/>
        <w:rPr>
          <w:szCs w:val="22"/>
        </w:rPr>
      </w:pPr>
    </w:p>
    <w:p w:rsidR="009C3F3A" w:rsidRPr="00F16534" w:rsidRDefault="003367CD" w:rsidP="00D73941">
      <w:pPr>
        <w:pStyle w:val="ListParagraph"/>
        <w:widowControl/>
        <w:numPr>
          <w:ilvl w:val="1"/>
          <w:numId w:val="2"/>
        </w:numPr>
        <w:rPr>
          <w:szCs w:val="22"/>
        </w:rPr>
      </w:pPr>
      <w:r>
        <w:t xml:space="preserve">The Pre-PBAC Response argued that the modelled 10 year time horizon was reasonable compared with </w:t>
      </w:r>
      <w:r w:rsidR="009C3F3A">
        <w:rPr>
          <w:szCs w:val="22"/>
        </w:rPr>
        <w:t xml:space="preserve">the time horizons </w:t>
      </w:r>
      <w:r w:rsidR="00983B9C">
        <w:rPr>
          <w:szCs w:val="22"/>
        </w:rPr>
        <w:t xml:space="preserve">used </w:t>
      </w:r>
      <w:r w:rsidR="009C3F3A">
        <w:rPr>
          <w:szCs w:val="22"/>
        </w:rPr>
        <w:t xml:space="preserve">in evaluation of IPF therapies considered by NICE (60 years) and SMC (18.5 years). </w:t>
      </w:r>
      <w:r>
        <w:rPr>
          <w:szCs w:val="22"/>
        </w:rPr>
        <w:t>Furthermore, the Pre-PBAC Response argue</w:t>
      </w:r>
      <w:r w:rsidR="00983B9C">
        <w:rPr>
          <w:szCs w:val="22"/>
        </w:rPr>
        <w:t>d</w:t>
      </w:r>
      <w:r w:rsidR="00783A66">
        <w:rPr>
          <w:szCs w:val="22"/>
        </w:rPr>
        <w:t xml:space="preserve"> that the time horizon wa</w:t>
      </w:r>
      <w:r>
        <w:rPr>
          <w:szCs w:val="22"/>
        </w:rPr>
        <w:t>s clinically appropriate as the predicted median survival of 3.3 years over the 10 year time horizon</w:t>
      </w:r>
      <w:r w:rsidR="00783A66">
        <w:rPr>
          <w:szCs w:val="22"/>
        </w:rPr>
        <w:t xml:space="preserve"> wa</w:t>
      </w:r>
      <w:r w:rsidR="009C3F3A">
        <w:rPr>
          <w:szCs w:val="22"/>
        </w:rPr>
        <w:t>s almost identical to the published median survival of 3.5 years and indicate</w:t>
      </w:r>
      <w:r w:rsidR="005264F6">
        <w:rPr>
          <w:szCs w:val="22"/>
        </w:rPr>
        <w:t>d</w:t>
      </w:r>
      <w:r w:rsidR="00783A66">
        <w:rPr>
          <w:szCs w:val="22"/>
        </w:rPr>
        <w:t xml:space="preserve"> that the modelled survival wa</w:t>
      </w:r>
      <w:r w:rsidR="009C3F3A">
        <w:rPr>
          <w:szCs w:val="22"/>
        </w:rPr>
        <w:t>s similar to that observed in clinical practice.</w:t>
      </w:r>
    </w:p>
    <w:p w:rsidR="007326C7" w:rsidRPr="006B32BA" w:rsidRDefault="007326C7" w:rsidP="00D73941">
      <w:pPr>
        <w:widowControl/>
        <w:rPr>
          <w:szCs w:val="22"/>
        </w:rPr>
      </w:pPr>
    </w:p>
    <w:p w:rsidR="00275C5A" w:rsidRPr="007326C7" w:rsidRDefault="00733512" w:rsidP="00D73941">
      <w:pPr>
        <w:pStyle w:val="ListParagraph"/>
        <w:widowControl/>
        <w:numPr>
          <w:ilvl w:val="1"/>
          <w:numId w:val="2"/>
        </w:numPr>
        <w:rPr>
          <w:szCs w:val="22"/>
        </w:rPr>
      </w:pPr>
      <w:r>
        <w:t>T</w:t>
      </w:r>
      <w:r w:rsidR="007326C7">
        <w:t>he results of the stepped economic evaluation</w:t>
      </w:r>
      <w:r>
        <w:t xml:space="preserve"> are provided </w:t>
      </w:r>
      <w:r w:rsidR="0095703C">
        <w:t xml:space="preserve">in the </w:t>
      </w:r>
      <w:r w:rsidR="003B73B8">
        <w:t xml:space="preserve">following </w:t>
      </w:r>
      <w:r w:rsidR="0059082D">
        <w:t>t</w:t>
      </w:r>
      <w:r w:rsidR="0095703C">
        <w:t>able</w:t>
      </w:r>
      <w:r w:rsidR="00F81B71">
        <w:t>.</w:t>
      </w:r>
    </w:p>
    <w:p w:rsidR="00D110BD" w:rsidRDefault="00D110BD" w:rsidP="00D73941">
      <w:pPr>
        <w:widowControl/>
        <w:rPr>
          <w:szCs w:val="22"/>
        </w:rPr>
      </w:pPr>
    </w:p>
    <w:p w:rsidR="0095703C" w:rsidRPr="0095703C" w:rsidRDefault="0095703C" w:rsidP="003B73B8">
      <w:pPr>
        <w:keepNext/>
        <w:widowControl/>
        <w:ind w:left="720"/>
        <w:rPr>
          <w:rFonts w:ascii="Arial Narrow" w:hAnsi="Arial Narrow"/>
          <w:b/>
          <w:sz w:val="20"/>
          <w:szCs w:val="22"/>
        </w:rPr>
      </w:pPr>
      <w:r>
        <w:rPr>
          <w:rFonts w:ascii="Arial Narrow" w:hAnsi="Arial Narrow"/>
          <w:b/>
          <w:sz w:val="20"/>
          <w:szCs w:val="22"/>
        </w:rPr>
        <w:lastRenderedPageBreak/>
        <w:t>Results of the stepped economic evaluation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Results of the economic evaluation"/>
      </w:tblPr>
      <w:tblGrid>
        <w:gridCol w:w="2087"/>
        <w:gridCol w:w="2086"/>
        <w:gridCol w:w="2086"/>
        <w:gridCol w:w="2086"/>
      </w:tblGrid>
      <w:tr w:rsidR="007326C7" w:rsidRPr="004E2ADC" w:rsidTr="00C32C0F">
        <w:trPr>
          <w:tblHeader/>
        </w:trPr>
        <w:tc>
          <w:tcPr>
            <w:tcW w:w="1250" w:type="pct"/>
            <w:vAlign w:val="center"/>
          </w:tcPr>
          <w:p w:rsidR="007326C7" w:rsidRPr="004E2ADC" w:rsidRDefault="007326C7" w:rsidP="003B73B8">
            <w:pPr>
              <w:keepNext/>
              <w:widowControl/>
              <w:jc w:val="left"/>
              <w:rPr>
                <w:rFonts w:ascii="Arial Narrow" w:hAnsi="Arial Narrow" w:cs="Times New Roman"/>
                <w:b/>
                <w:sz w:val="20"/>
              </w:rPr>
            </w:pPr>
            <w:r w:rsidRPr="004E2ADC">
              <w:rPr>
                <w:rFonts w:ascii="Arial Narrow" w:hAnsi="Arial Narrow" w:cs="Times New Roman"/>
                <w:b/>
                <w:sz w:val="20"/>
              </w:rPr>
              <w:t>Step and component</w:t>
            </w:r>
          </w:p>
        </w:tc>
        <w:tc>
          <w:tcPr>
            <w:tcW w:w="1250" w:type="pct"/>
            <w:vAlign w:val="center"/>
          </w:tcPr>
          <w:p w:rsidR="007326C7" w:rsidRPr="004E2ADC" w:rsidRDefault="007326C7" w:rsidP="003B73B8">
            <w:pPr>
              <w:keepNext/>
              <w:widowControl/>
              <w:jc w:val="center"/>
              <w:rPr>
                <w:rFonts w:ascii="Arial Narrow" w:hAnsi="Arial Narrow" w:cs="Times New Roman"/>
                <w:b/>
                <w:sz w:val="20"/>
              </w:rPr>
            </w:pPr>
            <w:r>
              <w:rPr>
                <w:rFonts w:ascii="Arial Narrow" w:hAnsi="Arial Narrow" w:cs="Times New Roman"/>
                <w:b/>
                <w:sz w:val="20"/>
              </w:rPr>
              <w:t>Nintedanib</w:t>
            </w:r>
          </w:p>
        </w:tc>
        <w:tc>
          <w:tcPr>
            <w:tcW w:w="1250" w:type="pct"/>
            <w:vAlign w:val="center"/>
          </w:tcPr>
          <w:p w:rsidR="007326C7" w:rsidRPr="004E2ADC" w:rsidRDefault="007326C7" w:rsidP="003B73B8">
            <w:pPr>
              <w:keepNext/>
              <w:widowControl/>
              <w:jc w:val="center"/>
              <w:rPr>
                <w:rFonts w:ascii="Arial Narrow" w:hAnsi="Arial Narrow" w:cs="Times New Roman"/>
                <w:b/>
                <w:sz w:val="20"/>
              </w:rPr>
            </w:pPr>
            <w:r>
              <w:rPr>
                <w:rFonts w:ascii="Arial Narrow" w:hAnsi="Arial Narrow" w:cs="Times New Roman"/>
                <w:b/>
                <w:sz w:val="20"/>
              </w:rPr>
              <w:t>BSC</w:t>
            </w:r>
          </w:p>
        </w:tc>
        <w:tc>
          <w:tcPr>
            <w:tcW w:w="1250" w:type="pct"/>
            <w:vAlign w:val="center"/>
          </w:tcPr>
          <w:p w:rsidR="007326C7" w:rsidRPr="004E2ADC" w:rsidRDefault="007326C7" w:rsidP="003B73B8">
            <w:pPr>
              <w:keepNext/>
              <w:widowControl/>
              <w:jc w:val="center"/>
              <w:rPr>
                <w:rFonts w:ascii="Arial Narrow" w:hAnsi="Arial Narrow" w:cs="Times New Roman"/>
                <w:b/>
                <w:sz w:val="20"/>
              </w:rPr>
            </w:pPr>
            <w:r w:rsidRPr="004E2ADC">
              <w:rPr>
                <w:rFonts w:ascii="Arial Narrow" w:hAnsi="Arial Narrow" w:cs="Times New Roman"/>
                <w:b/>
                <w:sz w:val="20"/>
              </w:rPr>
              <w:t>Increment</w:t>
            </w:r>
          </w:p>
        </w:tc>
      </w:tr>
      <w:tr w:rsidR="007326C7" w:rsidRPr="00650031" w:rsidTr="007326C7">
        <w:tc>
          <w:tcPr>
            <w:tcW w:w="5000" w:type="pct"/>
            <w:gridSpan w:val="4"/>
            <w:vAlign w:val="center"/>
          </w:tcPr>
          <w:p w:rsidR="007326C7" w:rsidRPr="00650031" w:rsidRDefault="007326C7" w:rsidP="003B73B8">
            <w:pPr>
              <w:keepNext/>
              <w:widowControl/>
              <w:jc w:val="left"/>
              <w:rPr>
                <w:rFonts w:ascii="Arial Narrow" w:hAnsi="Arial Narrow" w:cs="Arial Narrow"/>
                <w:b/>
                <w:bCs/>
                <w:sz w:val="20"/>
              </w:rPr>
            </w:pPr>
            <w:r w:rsidRPr="00650031">
              <w:rPr>
                <w:rFonts w:ascii="Arial Narrow" w:hAnsi="Arial Narrow" w:cs="Arial Narrow"/>
                <w:b/>
                <w:bCs/>
                <w:sz w:val="20"/>
              </w:rPr>
              <w:t>Step 1: trial based economic evaluation: 52 weeks</w:t>
            </w:r>
          </w:p>
        </w:tc>
      </w:tr>
      <w:tr w:rsidR="007326C7" w:rsidRPr="00650031" w:rsidTr="007326C7">
        <w:tc>
          <w:tcPr>
            <w:tcW w:w="1250" w:type="pct"/>
            <w:vAlign w:val="center"/>
          </w:tcPr>
          <w:p w:rsidR="007326C7" w:rsidRPr="00650031" w:rsidRDefault="007326C7" w:rsidP="003B73B8">
            <w:pPr>
              <w:keepNext/>
              <w:widowControl/>
              <w:jc w:val="left"/>
              <w:rPr>
                <w:rFonts w:ascii="Arial Narrow" w:hAnsi="Arial Narrow" w:cs="Times New Roman"/>
                <w:sz w:val="20"/>
              </w:rPr>
            </w:pPr>
            <w:r w:rsidRPr="00650031">
              <w:rPr>
                <w:rFonts w:ascii="Arial Narrow" w:hAnsi="Arial Narrow" w:cs="Times New Roman"/>
                <w:sz w:val="20"/>
              </w:rPr>
              <w:t>Costs</w:t>
            </w:r>
          </w:p>
        </w:tc>
        <w:tc>
          <w:tcPr>
            <w:tcW w:w="1250" w:type="pct"/>
            <w:vAlign w:val="center"/>
          </w:tcPr>
          <w:p w:rsidR="007326C7" w:rsidRPr="00EC7A97" w:rsidRDefault="007326C7" w:rsidP="003B73B8">
            <w:pPr>
              <w:keepNext/>
              <w:widowControl/>
              <w:jc w:val="center"/>
              <w:rPr>
                <w:rFonts w:ascii="Arial Narrow" w:hAnsi="Arial Narrow" w:cs="Times New Roman"/>
                <w:sz w:val="20"/>
              </w:rPr>
            </w:pPr>
            <w:r w:rsidRPr="00EC7A97">
              <w:rPr>
                <w:rFonts w:ascii="Arial Narrow" w:hAnsi="Arial Narrow" w:cs="Times New Roman"/>
                <w:sz w:val="20"/>
              </w:rPr>
              <w:t>$</w:t>
            </w:r>
            <w:r w:rsidR="00ED4A35">
              <w:rPr>
                <w:rFonts w:ascii="Arial Narrow" w:hAnsi="Arial Narrow" w:cs="Times New Roman"/>
                <w:noProof/>
                <w:color w:val="000000"/>
                <w:sz w:val="20"/>
                <w:highlight w:val="black"/>
              </w:rPr>
              <w:t>'''''''''''''''''''''</w:t>
            </w:r>
          </w:p>
        </w:tc>
        <w:tc>
          <w:tcPr>
            <w:tcW w:w="1250" w:type="pct"/>
            <w:vAlign w:val="center"/>
          </w:tcPr>
          <w:p w:rsidR="007326C7" w:rsidRPr="00EC7A97" w:rsidRDefault="007326C7" w:rsidP="003B73B8">
            <w:pPr>
              <w:keepNext/>
              <w:widowControl/>
              <w:jc w:val="center"/>
              <w:rPr>
                <w:rFonts w:ascii="Arial Narrow" w:hAnsi="Arial Narrow" w:cs="Times New Roman"/>
                <w:sz w:val="20"/>
              </w:rPr>
            </w:pPr>
            <w:r w:rsidRPr="00EC7A97">
              <w:rPr>
                <w:rFonts w:ascii="Arial Narrow" w:hAnsi="Arial Narrow" w:cs="Times New Roman"/>
                <w:sz w:val="20"/>
              </w:rPr>
              <w:t>$416.00</w:t>
            </w:r>
          </w:p>
        </w:tc>
        <w:tc>
          <w:tcPr>
            <w:tcW w:w="1250" w:type="pct"/>
            <w:vAlign w:val="center"/>
          </w:tcPr>
          <w:p w:rsidR="007326C7" w:rsidRPr="00EC7A97" w:rsidRDefault="007326C7" w:rsidP="003B73B8">
            <w:pPr>
              <w:keepNext/>
              <w:widowControl/>
              <w:jc w:val="center"/>
              <w:rPr>
                <w:rFonts w:ascii="Arial Narrow" w:hAnsi="Arial Narrow" w:cs="Times New Roman"/>
                <w:sz w:val="20"/>
              </w:rPr>
            </w:pPr>
            <w:r w:rsidRPr="00EC7A97">
              <w:rPr>
                <w:rFonts w:ascii="Arial Narrow" w:hAnsi="Arial Narrow" w:cs="Times New Roman"/>
                <w:sz w:val="20"/>
              </w:rPr>
              <w:t>$</w:t>
            </w:r>
            <w:r w:rsidR="00ED4A35">
              <w:rPr>
                <w:rFonts w:ascii="Arial Narrow" w:hAnsi="Arial Narrow" w:cs="Times New Roman"/>
                <w:noProof/>
                <w:color w:val="000000"/>
                <w:sz w:val="20"/>
                <w:highlight w:val="black"/>
              </w:rPr>
              <w:t>'''''''''''''''''''''''</w:t>
            </w:r>
          </w:p>
        </w:tc>
      </w:tr>
      <w:tr w:rsidR="007326C7" w:rsidRPr="00650031" w:rsidTr="007326C7">
        <w:tc>
          <w:tcPr>
            <w:tcW w:w="1250" w:type="pct"/>
            <w:vAlign w:val="center"/>
          </w:tcPr>
          <w:p w:rsidR="007326C7" w:rsidRPr="00650031" w:rsidRDefault="007326C7" w:rsidP="003B73B8">
            <w:pPr>
              <w:keepNext/>
              <w:widowControl/>
              <w:jc w:val="left"/>
              <w:rPr>
                <w:rFonts w:ascii="Arial Narrow" w:hAnsi="Arial Narrow" w:cs="Times New Roman"/>
                <w:sz w:val="20"/>
              </w:rPr>
            </w:pPr>
            <w:r w:rsidRPr="00650031">
              <w:rPr>
                <w:rFonts w:ascii="Arial Narrow" w:hAnsi="Arial Narrow" w:cs="Times New Roman"/>
                <w:sz w:val="20"/>
              </w:rPr>
              <w:t>LYG</w:t>
            </w:r>
          </w:p>
        </w:tc>
        <w:tc>
          <w:tcPr>
            <w:tcW w:w="1250" w:type="pct"/>
            <w:vAlign w:val="center"/>
          </w:tcPr>
          <w:p w:rsidR="007326C7" w:rsidRPr="00ED4A35" w:rsidRDefault="00ED4A35" w:rsidP="003B73B8">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50" w:type="pct"/>
            <w:vAlign w:val="center"/>
          </w:tcPr>
          <w:p w:rsidR="007326C7" w:rsidRPr="00ED4A35" w:rsidRDefault="00ED4A35" w:rsidP="003B73B8">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50" w:type="pct"/>
            <w:vAlign w:val="center"/>
          </w:tcPr>
          <w:p w:rsidR="007326C7" w:rsidRPr="00ED4A35" w:rsidRDefault="00ED4A35" w:rsidP="003B73B8">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7326C7" w:rsidRPr="00650031" w:rsidTr="007326C7">
        <w:tc>
          <w:tcPr>
            <w:tcW w:w="3750" w:type="pct"/>
            <w:gridSpan w:val="3"/>
            <w:vAlign w:val="center"/>
          </w:tcPr>
          <w:p w:rsidR="007326C7" w:rsidRPr="00EC7A97" w:rsidRDefault="007326C7" w:rsidP="003B73B8">
            <w:pPr>
              <w:keepNext/>
              <w:widowControl/>
              <w:jc w:val="left"/>
              <w:rPr>
                <w:rFonts w:ascii="Arial Narrow" w:hAnsi="Arial Narrow" w:cs="Times New Roman"/>
                <w:sz w:val="20"/>
              </w:rPr>
            </w:pPr>
            <w:r w:rsidRPr="00EC7A97">
              <w:rPr>
                <w:rFonts w:ascii="Arial Narrow" w:hAnsi="Arial Narrow" w:cs="Times New Roman"/>
                <w:b/>
                <w:snapToGrid/>
                <w:sz w:val="20"/>
              </w:rPr>
              <w:t>Incremental cost/LYG</w:t>
            </w:r>
          </w:p>
        </w:tc>
        <w:tc>
          <w:tcPr>
            <w:tcW w:w="1250" w:type="pct"/>
            <w:vAlign w:val="center"/>
          </w:tcPr>
          <w:p w:rsidR="007326C7" w:rsidRPr="00EC7A97" w:rsidRDefault="007326C7" w:rsidP="003B73B8">
            <w:pPr>
              <w:keepNext/>
              <w:widowControl/>
              <w:jc w:val="center"/>
              <w:rPr>
                <w:rFonts w:ascii="Arial Narrow" w:hAnsi="Arial Narrow" w:cs="Times New Roman"/>
                <w:sz w:val="20"/>
              </w:rPr>
            </w:pPr>
            <w:r w:rsidRPr="00EC7A97">
              <w:rPr>
                <w:rFonts w:ascii="Arial Narrow" w:hAnsi="Arial Narrow" w:cs="Times New Roman"/>
                <w:sz w:val="20"/>
              </w:rPr>
              <w:t>$</w:t>
            </w:r>
            <w:r w:rsidR="00ED4A35">
              <w:rPr>
                <w:rFonts w:ascii="Arial Narrow" w:hAnsi="Arial Narrow" w:cs="Times New Roman"/>
                <w:noProof/>
                <w:color w:val="000000"/>
                <w:sz w:val="20"/>
                <w:highlight w:val="black"/>
              </w:rPr>
              <w:t>'''''''''''''''''''''''''''''</w:t>
            </w:r>
          </w:p>
        </w:tc>
      </w:tr>
      <w:tr w:rsidR="007326C7" w:rsidRPr="004E2ADC" w:rsidTr="007326C7">
        <w:tc>
          <w:tcPr>
            <w:tcW w:w="5000" w:type="pct"/>
            <w:gridSpan w:val="4"/>
            <w:vAlign w:val="center"/>
          </w:tcPr>
          <w:p w:rsidR="007326C7" w:rsidRPr="00EC7A97" w:rsidRDefault="007326C7" w:rsidP="003B73B8">
            <w:pPr>
              <w:keepNext/>
              <w:widowControl/>
              <w:jc w:val="left"/>
              <w:rPr>
                <w:rFonts w:ascii="Arial Narrow" w:hAnsi="Arial Narrow" w:cs="Arial Narrow"/>
                <w:b/>
                <w:bCs/>
                <w:sz w:val="20"/>
              </w:rPr>
            </w:pPr>
            <w:r w:rsidRPr="00EC7A97">
              <w:rPr>
                <w:rFonts w:ascii="Arial Narrow" w:hAnsi="Arial Narrow" w:cs="Arial Narrow"/>
                <w:b/>
                <w:bCs/>
                <w:sz w:val="20"/>
              </w:rPr>
              <w:t>Step 2: modelled economic evaluation include healthcare resource utilisation: 52 weeks</w:t>
            </w:r>
          </w:p>
        </w:tc>
      </w:tr>
      <w:tr w:rsidR="007326C7" w:rsidRPr="004E2ADC" w:rsidTr="007326C7">
        <w:tc>
          <w:tcPr>
            <w:tcW w:w="1250" w:type="pct"/>
            <w:vAlign w:val="center"/>
          </w:tcPr>
          <w:p w:rsidR="007326C7" w:rsidRPr="004E2ADC" w:rsidRDefault="007326C7" w:rsidP="003B73B8">
            <w:pPr>
              <w:keepNext/>
              <w:widowControl/>
              <w:jc w:val="left"/>
              <w:rPr>
                <w:rFonts w:ascii="Arial Narrow" w:hAnsi="Arial Narrow" w:cs="Times New Roman"/>
                <w:sz w:val="20"/>
              </w:rPr>
            </w:pPr>
            <w:r w:rsidRPr="004E2ADC">
              <w:rPr>
                <w:rFonts w:ascii="Arial Narrow" w:hAnsi="Arial Narrow" w:cs="Times New Roman"/>
                <w:sz w:val="20"/>
              </w:rPr>
              <w:t>Costs</w:t>
            </w:r>
          </w:p>
        </w:tc>
        <w:tc>
          <w:tcPr>
            <w:tcW w:w="1250" w:type="pct"/>
            <w:vAlign w:val="center"/>
          </w:tcPr>
          <w:p w:rsidR="007326C7" w:rsidRPr="00EC7A97" w:rsidRDefault="007326C7" w:rsidP="003B73B8">
            <w:pPr>
              <w:keepNext/>
              <w:widowControl/>
              <w:jc w:val="center"/>
              <w:rPr>
                <w:rFonts w:ascii="Arial Narrow" w:hAnsi="Arial Narrow" w:cs="Times New Roman"/>
                <w:sz w:val="20"/>
              </w:rPr>
            </w:pPr>
            <w:r w:rsidRPr="00EC7A97">
              <w:rPr>
                <w:rFonts w:ascii="Arial Narrow" w:hAnsi="Arial Narrow" w:cs="Times New Roman"/>
                <w:sz w:val="20"/>
              </w:rPr>
              <w:t>$</w:t>
            </w:r>
            <w:r w:rsidR="00ED4A35">
              <w:rPr>
                <w:rFonts w:ascii="Arial Narrow" w:hAnsi="Arial Narrow" w:cs="Times New Roman"/>
                <w:noProof/>
                <w:color w:val="000000"/>
                <w:sz w:val="20"/>
                <w:highlight w:val="black"/>
              </w:rPr>
              <w:t>'''''''''''''''''''''''</w:t>
            </w:r>
          </w:p>
        </w:tc>
        <w:tc>
          <w:tcPr>
            <w:tcW w:w="1250" w:type="pct"/>
            <w:vAlign w:val="center"/>
          </w:tcPr>
          <w:p w:rsidR="007326C7" w:rsidRPr="00EC7A97" w:rsidRDefault="007326C7" w:rsidP="003B73B8">
            <w:pPr>
              <w:keepNext/>
              <w:widowControl/>
              <w:jc w:val="center"/>
              <w:rPr>
                <w:rFonts w:ascii="Arial Narrow" w:hAnsi="Arial Narrow" w:cs="Times New Roman"/>
                <w:sz w:val="20"/>
              </w:rPr>
            </w:pPr>
            <w:r w:rsidRPr="00EC7A97">
              <w:rPr>
                <w:rFonts w:ascii="Arial Narrow" w:hAnsi="Arial Narrow" w:cs="Times New Roman"/>
                <w:sz w:val="20"/>
              </w:rPr>
              <w:t>$3</w:t>
            </w:r>
            <w:r w:rsidR="00741031" w:rsidRPr="00EC7A97">
              <w:rPr>
                <w:rFonts w:ascii="Arial Narrow" w:hAnsi="Arial Narrow" w:cs="Times New Roman"/>
                <w:sz w:val="20"/>
              </w:rPr>
              <w:t>,</w:t>
            </w:r>
            <w:r w:rsidRPr="00EC7A97">
              <w:rPr>
                <w:rFonts w:ascii="Arial Narrow" w:hAnsi="Arial Narrow" w:cs="Times New Roman"/>
                <w:sz w:val="20"/>
              </w:rPr>
              <w:t>073.00</w:t>
            </w:r>
          </w:p>
        </w:tc>
        <w:tc>
          <w:tcPr>
            <w:tcW w:w="1250" w:type="pct"/>
            <w:vAlign w:val="center"/>
          </w:tcPr>
          <w:p w:rsidR="007326C7" w:rsidRPr="00EC7A97" w:rsidRDefault="007326C7" w:rsidP="003B73B8">
            <w:pPr>
              <w:keepNext/>
              <w:widowControl/>
              <w:jc w:val="center"/>
              <w:rPr>
                <w:rFonts w:ascii="Arial Narrow" w:hAnsi="Arial Narrow" w:cs="Times New Roman"/>
                <w:sz w:val="20"/>
              </w:rPr>
            </w:pPr>
            <w:r w:rsidRPr="00EC7A97">
              <w:rPr>
                <w:rFonts w:ascii="Arial Narrow" w:hAnsi="Arial Narrow" w:cs="Times New Roman"/>
                <w:sz w:val="20"/>
              </w:rPr>
              <w:t>$</w:t>
            </w:r>
            <w:r w:rsidR="00ED4A35">
              <w:rPr>
                <w:rFonts w:ascii="Arial Narrow" w:hAnsi="Arial Narrow" w:cs="Times New Roman"/>
                <w:noProof/>
                <w:color w:val="000000"/>
                <w:sz w:val="20"/>
                <w:highlight w:val="black"/>
              </w:rPr>
              <w:t>'''''''''''''''''''''''</w:t>
            </w:r>
          </w:p>
        </w:tc>
      </w:tr>
      <w:tr w:rsidR="007326C7" w:rsidRPr="004E2ADC" w:rsidTr="007326C7">
        <w:tc>
          <w:tcPr>
            <w:tcW w:w="1250" w:type="pct"/>
            <w:vAlign w:val="center"/>
          </w:tcPr>
          <w:p w:rsidR="007326C7" w:rsidRPr="004E2ADC" w:rsidRDefault="007326C7" w:rsidP="003B73B8">
            <w:pPr>
              <w:keepNext/>
              <w:widowControl/>
              <w:jc w:val="left"/>
              <w:rPr>
                <w:rFonts w:ascii="Arial Narrow" w:hAnsi="Arial Narrow" w:cs="Times New Roman"/>
                <w:sz w:val="20"/>
              </w:rPr>
            </w:pPr>
            <w:r>
              <w:rPr>
                <w:rFonts w:ascii="Arial Narrow" w:hAnsi="Arial Narrow" w:cs="Times New Roman"/>
                <w:sz w:val="20"/>
              </w:rPr>
              <w:t>LYG</w:t>
            </w:r>
          </w:p>
        </w:tc>
        <w:tc>
          <w:tcPr>
            <w:tcW w:w="1250" w:type="pct"/>
            <w:vAlign w:val="center"/>
          </w:tcPr>
          <w:p w:rsidR="007326C7" w:rsidRPr="00ED4A35" w:rsidRDefault="00ED4A35" w:rsidP="003B73B8">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50" w:type="pct"/>
            <w:vAlign w:val="center"/>
          </w:tcPr>
          <w:p w:rsidR="007326C7" w:rsidRPr="00ED4A35" w:rsidRDefault="00ED4A35" w:rsidP="003B73B8">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50" w:type="pct"/>
            <w:vAlign w:val="center"/>
          </w:tcPr>
          <w:p w:rsidR="007326C7" w:rsidRPr="00ED4A35" w:rsidRDefault="00ED4A35" w:rsidP="003B73B8">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7326C7" w:rsidRPr="004E2ADC" w:rsidTr="007326C7">
        <w:trPr>
          <w:trHeight w:val="70"/>
        </w:trPr>
        <w:tc>
          <w:tcPr>
            <w:tcW w:w="3750" w:type="pct"/>
            <w:gridSpan w:val="3"/>
            <w:vAlign w:val="center"/>
          </w:tcPr>
          <w:p w:rsidR="007326C7" w:rsidRPr="00EC7A97" w:rsidRDefault="007326C7" w:rsidP="003B73B8">
            <w:pPr>
              <w:keepNext/>
              <w:widowControl/>
              <w:jc w:val="left"/>
              <w:rPr>
                <w:rFonts w:ascii="Arial Narrow" w:hAnsi="Arial Narrow" w:cs="Times New Roman"/>
                <w:sz w:val="20"/>
              </w:rPr>
            </w:pPr>
            <w:r w:rsidRPr="00EC7A97">
              <w:rPr>
                <w:rFonts w:ascii="Arial Narrow" w:hAnsi="Arial Narrow" w:cs="Times New Roman"/>
                <w:b/>
                <w:snapToGrid/>
                <w:sz w:val="20"/>
              </w:rPr>
              <w:t>Incremental cost/LYG</w:t>
            </w:r>
          </w:p>
        </w:tc>
        <w:tc>
          <w:tcPr>
            <w:tcW w:w="1250" w:type="pct"/>
            <w:vAlign w:val="center"/>
          </w:tcPr>
          <w:p w:rsidR="007326C7" w:rsidRPr="00EC7A97" w:rsidRDefault="007326C7" w:rsidP="003B73B8">
            <w:pPr>
              <w:keepNext/>
              <w:widowControl/>
              <w:jc w:val="center"/>
              <w:rPr>
                <w:rFonts w:ascii="Arial Narrow" w:hAnsi="Arial Narrow" w:cs="Times New Roman"/>
                <w:sz w:val="20"/>
              </w:rPr>
            </w:pPr>
            <w:r w:rsidRPr="00EC7A97">
              <w:rPr>
                <w:rFonts w:ascii="Arial Narrow" w:hAnsi="Arial Narrow" w:cs="Times New Roman"/>
                <w:sz w:val="20"/>
              </w:rPr>
              <w:t>$</w:t>
            </w:r>
            <w:r w:rsidR="00ED4A35">
              <w:rPr>
                <w:rFonts w:ascii="Arial Narrow" w:hAnsi="Arial Narrow" w:cs="Times New Roman"/>
                <w:noProof/>
                <w:color w:val="000000"/>
                <w:sz w:val="20"/>
                <w:highlight w:val="black"/>
              </w:rPr>
              <w:t>''''''''''''''''''''''''''''</w:t>
            </w:r>
          </w:p>
        </w:tc>
      </w:tr>
      <w:tr w:rsidR="007326C7" w:rsidRPr="004E2ADC" w:rsidTr="007326C7">
        <w:tc>
          <w:tcPr>
            <w:tcW w:w="5000" w:type="pct"/>
            <w:gridSpan w:val="4"/>
            <w:vAlign w:val="center"/>
          </w:tcPr>
          <w:p w:rsidR="007326C7" w:rsidRPr="00EC7A97" w:rsidRDefault="007326C7" w:rsidP="003B73B8">
            <w:pPr>
              <w:keepNext/>
              <w:widowControl/>
              <w:jc w:val="left"/>
              <w:rPr>
                <w:rFonts w:ascii="Arial Narrow" w:hAnsi="Arial Narrow" w:cs="Arial Narrow"/>
                <w:b/>
                <w:bCs/>
                <w:sz w:val="20"/>
              </w:rPr>
            </w:pPr>
            <w:r w:rsidRPr="00EC7A97">
              <w:rPr>
                <w:rFonts w:ascii="Arial Narrow" w:hAnsi="Arial Narrow" w:cs="Arial Narrow"/>
                <w:b/>
                <w:bCs/>
                <w:sz w:val="20"/>
              </w:rPr>
              <w:t>Step 3: modelled economic evaluation including extrapolation (10 years)</w:t>
            </w:r>
          </w:p>
        </w:tc>
      </w:tr>
      <w:tr w:rsidR="007326C7" w:rsidRPr="004E2ADC" w:rsidTr="007326C7">
        <w:tc>
          <w:tcPr>
            <w:tcW w:w="1250" w:type="pct"/>
            <w:vAlign w:val="center"/>
          </w:tcPr>
          <w:p w:rsidR="007326C7" w:rsidRPr="004E2ADC" w:rsidRDefault="007326C7" w:rsidP="003B73B8">
            <w:pPr>
              <w:keepNext/>
              <w:widowControl/>
              <w:jc w:val="left"/>
              <w:rPr>
                <w:rFonts w:ascii="Arial Narrow" w:hAnsi="Arial Narrow" w:cs="Times New Roman"/>
                <w:sz w:val="20"/>
              </w:rPr>
            </w:pPr>
            <w:r w:rsidRPr="004E2ADC">
              <w:rPr>
                <w:rFonts w:ascii="Arial Narrow" w:hAnsi="Arial Narrow" w:cs="Times New Roman"/>
                <w:sz w:val="20"/>
              </w:rPr>
              <w:t>Costs</w:t>
            </w:r>
          </w:p>
        </w:tc>
        <w:tc>
          <w:tcPr>
            <w:tcW w:w="1250" w:type="pct"/>
            <w:vAlign w:val="center"/>
          </w:tcPr>
          <w:p w:rsidR="007326C7" w:rsidRPr="00EC7A97" w:rsidRDefault="007326C7" w:rsidP="003B73B8">
            <w:pPr>
              <w:keepNext/>
              <w:widowControl/>
              <w:jc w:val="center"/>
              <w:rPr>
                <w:rFonts w:ascii="Arial Narrow" w:hAnsi="Arial Narrow" w:cs="Times New Roman"/>
                <w:sz w:val="20"/>
              </w:rPr>
            </w:pPr>
            <w:r w:rsidRPr="00EC7A97">
              <w:rPr>
                <w:rFonts w:ascii="Arial Narrow" w:hAnsi="Arial Narrow" w:cs="Times New Roman"/>
                <w:sz w:val="20"/>
              </w:rPr>
              <w:t>$</w:t>
            </w:r>
            <w:r w:rsidR="00ED4A35">
              <w:rPr>
                <w:rFonts w:ascii="Arial Narrow" w:hAnsi="Arial Narrow" w:cs="Times New Roman"/>
                <w:noProof/>
                <w:color w:val="000000"/>
                <w:sz w:val="20"/>
                <w:highlight w:val="black"/>
              </w:rPr>
              <w:t>'''''''''''''''''''''''''</w:t>
            </w:r>
          </w:p>
        </w:tc>
        <w:tc>
          <w:tcPr>
            <w:tcW w:w="1250" w:type="pct"/>
            <w:vAlign w:val="center"/>
          </w:tcPr>
          <w:p w:rsidR="007326C7" w:rsidRPr="00EC7A97" w:rsidRDefault="007326C7" w:rsidP="003B73B8">
            <w:pPr>
              <w:keepNext/>
              <w:widowControl/>
              <w:jc w:val="center"/>
              <w:rPr>
                <w:rFonts w:ascii="Arial Narrow" w:hAnsi="Arial Narrow" w:cs="Times New Roman"/>
                <w:sz w:val="20"/>
              </w:rPr>
            </w:pPr>
            <w:r w:rsidRPr="00EC7A97">
              <w:rPr>
                <w:rFonts w:ascii="Arial Narrow" w:hAnsi="Arial Narrow" w:cs="Times New Roman"/>
                <w:sz w:val="20"/>
              </w:rPr>
              <w:t>$10,230.03</w:t>
            </w:r>
          </w:p>
        </w:tc>
        <w:tc>
          <w:tcPr>
            <w:tcW w:w="1250" w:type="pct"/>
            <w:vAlign w:val="center"/>
          </w:tcPr>
          <w:p w:rsidR="007326C7" w:rsidRPr="00EC7A97" w:rsidRDefault="007326C7" w:rsidP="003B73B8">
            <w:pPr>
              <w:keepNext/>
              <w:widowControl/>
              <w:jc w:val="center"/>
              <w:rPr>
                <w:rFonts w:ascii="Arial Narrow" w:hAnsi="Arial Narrow" w:cs="Times New Roman"/>
                <w:sz w:val="20"/>
              </w:rPr>
            </w:pPr>
            <w:r w:rsidRPr="00EC7A97">
              <w:rPr>
                <w:rFonts w:ascii="Arial Narrow" w:hAnsi="Arial Narrow" w:cs="Times New Roman"/>
                <w:sz w:val="20"/>
              </w:rPr>
              <w:t>$</w:t>
            </w:r>
            <w:r w:rsidR="00ED4A35">
              <w:rPr>
                <w:rFonts w:ascii="Arial Narrow" w:hAnsi="Arial Narrow" w:cs="Times New Roman"/>
                <w:noProof/>
                <w:color w:val="000000"/>
                <w:sz w:val="20"/>
                <w:highlight w:val="black"/>
              </w:rPr>
              <w:t>''''''''''''''''''''''''''</w:t>
            </w:r>
          </w:p>
        </w:tc>
      </w:tr>
      <w:tr w:rsidR="007326C7" w:rsidRPr="004E2ADC" w:rsidTr="007326C7">
        <w:tc>
          <w:tcPr>
            <w:tcW w:w="1250" w:type="pct"/>
            <w:vAlign w:val="center"/>
          </w:tcPr>
          <w:p w:rsidR="007326C7" w:rsidRPr="004E2ADC" w:rsidRDefault="007326C7" w:rsidP="003B73B8">
            <w:pPr>
              <w:keepNext/>
              <w:widowControl/>
              <w:jc w:val="left"/>
              <w:rPr>
                <w:rFonts w:ascii="Arial Narrow" w:hAnsi="Arial Narrow" w:cs="Times New Roman"/>
                <w:sz w:val="20"/>
              </w:rPr>
            </w:pPr>
            <w:r>
              <w:rPr>
                <w:rFonts w:ascii="Arial Narrow" w:hAnsi="Arial Narrow" w:cs="Times New Roman"/>
                <w:sz w:val="20"/>
              </w:rPr>
              <w:t>LYG</w:t>
            </w:r>
          </w:p>
        </w:tc>
        <w:tc>
          <w:tcPr>
            <w:tcW w:w="1250" w:type="pct"/>
            <w:vAlign w:val="center"/>
          </w:tcPr>
          <w:p w:rsidR="007326C7" w:rsidRPr="00ED4A35" w:rsidRDefault="00ED4A35" w:rsidP="003B73B8">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50" w:type="pct"/>
            <w:vAlign w:val="center"/>
          </w:tcPr>
          <w:p w:rsidR="007326C7" w:rsidRPr="00ED4A35" w:rsidRDefault="00ED4A35" w:rsidP="003B73B8">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50" w:type="pct"/>
            <w:vAlign w:val="center"/>
          </w:tcPr>
          <w:p w:rsidR="007326C7" w:rsidRPr="00ED4A35" w:rsidRDefault="00ED4A35" w:rsidP="003B73B8">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7326C7" w:rsidRPr="004E2ADC" w:rsidTr="007326C7">
        <w:tc>
          <w:tcPr>
            <w:tcW w:w="3750" w:type="pct"/>
            <w:gridSpan w:val="3"/>
            <w:vAlign w:val="center"/>
          </w:tcPr>
          <w:p w:rsidR="007326C7" w:rsidRPr="00EC7A97" w:rsidRDefault="007326C7" w:rsidP="003B73B8">
            <w:pPr>
              <w:keepNext/>
              <w:widowControl/>
              <w:jc w:val="left"/>
              <w:rPr>
                <w:rFonts w:ascii="Arial Narrow" w:hAnsi="Arial Narrow" w:cs="Times New Roman"/>
                <w:b/>
                <w:sz w:val="20"/>
              </w:rPr>
            </w:pPr>
            <w:r w:rsidRPr="00EC7A97">
              <w:rPr>
                <w:rFonts w:ascii="Arial Narrow" w:hAnsi="Arial Narrow" w:cs="Times New Roman"/>
                <w:b/>
                <w:sz w:val="20"/>
              </w:rPr>
              <w:t>Incremental cost/LYG</w:t>
            </w:r>
          </w:p>
        </w:tc>
        <w:tc>
          <w:tcPr>
            <w:tcW w:w="1250" w:type="pct"/>
            <w:vAlign w:val="center"/>
          </w:tcPr>
          <w:p w:rsidR="007326C7" w:rsidRPr="00EC7A97" w:rsidRDefault="007326C7" w:rsidP="003B73B8">
            <w:pPr>
              <w:keepNext/>
              <w:widowControl/>
              <w:jc w:val="center"/>
              <w:rPr>
                <w:rFonts w:ascii="Arial Narrow" w:hAnsi="Arial Narrow" w:cs="Times New Roman"/>
                <w:sz w:val="20"/>
              </w:rPr>
            </w:pPr>
            <w:r w:rsidRPr="00EC7A97">
              <w:rPr>
                <w:rFonts w:ascii="Arial Narrow" w:hAnsi="Arial Narrow" w:cs="Times New Roman"/>
                <w:sz w:val="20"/>
              </w:rPr>
              <w:t>$</w:t>
            </w:r>
            <w:r w:rsidR="00ED4A35">
              <w:rPr>
                <w:rFonts w:ascii="Arial Narrow" w:hAnsi="Arial Narrow" w:cs="Times New Roman"/>
                <w:noProof/>
                <w:color w:val="000000"/>
                <w:sz w:val="20"/>
                <w:highlight w:val="black"/>
              </w:rPr>
              <w:t>'''''''''''''''''''''''</w:t>
            </w:r>
          </w:p>
        </w:tc>
      </w:tr>
      <w:tr w:rsidR="007326C7" w:rsidRPr="004E2ADC" w:rsidTr="007326C7">
        <w:tc>
          <w:tcPr>
            <w:tcW w:w="5000" w:type="pct"/>
            <w:gridSpan w:val="4"/>
            <w:vAlign w:val="center"/>
          </w:tcPr>
          <w:p w:rsidR="007326C7" w:rsidRPr="00EC7A97" w:rsidRDefault="007326C7" w:rsidP="003B73B8">
            <w:pPr>
              <w:keepNext/>
              <w:widowControl/>
              <w:jc w:val="left"/>
              <w:rPr>
                <w:rFonts w:ascii="Arial Narrow" w:hAnsi="Arial Narrow" w:cs="Arial Narrow"/>
                <w:b/>
                <w:bCs/>
                <w:sz w:val="20"/>
              </w:rPr>
            </w:pPr>
            <w:r w:rsidRPr="00EC7A97">
              <w:rPr>
                <w:rFonts w:ascii="Arial Narrow" w:hAnsi="Arial Narrow" w:cs="Arial Narrow"/>
                <w:b/>
                <w:bCs/>
                <w:sz w:val="20"/>
              </w:rPr>
              <w:t>Step 4: modelled economic evaluation including utilities (10 years)</w:t>
            </w:r>
          </w:p>
        </w:tc>
      </w:tr>
      <w:tr w:rsidR="007326C7" w:rsidRPr="004E2ADC" w:rsidTr="007326C7">
        <w:tc>
          <w:tcPr>
            <w:tcW w:w="1250" w:type="pct"/>
            <w:vAlign w:val="center"/>
          </w:tcPr>
          <w:p w:rsidR="007326C7" w:rsidRPr="004E2ADC" w:rsidRDefault="007326C7" w:rsidP="003B73B8">
            <w:pPr>
              <w:keepNext/>
              <w:widowControl/>
              <w:jc w:val="left"/>
              <w:rPr>
                <w:rFonts w:ascii="Arial Narrow" w:hAnsi="Arial Narrow" w:cs="Times New Roman"/>
                <w:sz w:val="20"/>
              </w:rPr>
            </w:pPr>
            <w:r w:rsidRPr="004E2ADC">
              <w:rPr>
                <w:rFonts w:ascii="Arial Narrow" w:hAnsi="Arial Narrow" w:cs="Times New Roman"/>
                <w:sz w:val="20"/>
              </w:rPr>
              <w:t>Costs</w:t>
            </w:r>
          </w:p>
        </w:tc>
        <w:tc>
          <w:tcPr>
            <w:tcW w:w="1250" w:type="pct"/>
            <w:vAlign w:val="center"/>
          </w:tcPr>
          <w:p w:rsidR="007326C7" w:rsidRPr="00EC7A97" w:rsidRDefault="007326C7" w:rsidP="003B73B8">
            <w:pPr>
              <w:keepNext/>
              <w:widowControl/>
              <w:jc w:val="center"/>
              <w:rPr>
                <w:rFonts w:ascii="Arial Narrow" w:hAnsi="Arial Narrow" w:cs="Times New Roman"/>
                <w:sz w:val="20"/>
              </w:rPr>
            </w:pPr>
            <w:r w:rsidRPr="00EC7A97">
              <w:rPr>
                <w:rFonts w:ascii="Arial Narrow" w:hAnsi="Arial Narrow" w:cs="Times New Roman"/>
                <w:sz w:val="20"/>
              </w:rPr>
              <w:t>$</w:t>
            </w:r>
            <w:r w:rsidR="00ED4A35">
              <w:rPr>
                <w:rFonts w:ascii="Arial Narrow" w:hAnsi="Arial Narrow" w:cs="Times New Roman"/>
                <w:noProof/>
                <w:color w:val="000000"/>
                <w:sz w:val="20"/>
                <w:highlight w:val="black"/>
              </w:rPr>
              <w:t>''''''''''''''''''''''''</w:t>
            </w:r>
          </w:p>
        </w:tc>
        <w:tc>
          <w:tcPr>
            <w:tcW w:w="1250" w:type="pct"/>
            <w:vAlign w:val="center"/>
          </w:tcPr>
          <w:p w:rsidR="007326C7" w:rsidRPr="00EC7A97" w:rsidRDefault="007326C7" w:rsidP="003B73B8">
            <w:pPr>
              <w:keepNext/>
              <w:widowControl/>
              <w:jc w:val="center"/>
              <w:rPr>
                <w:rFonts w:ascii="Arial Narrow" w:hAnsi="Arial Narrow" w:cs="Times New Roman"/>
                <w:sz w:val="20"/>
              </w:rPr>
            </w:pPr>
            <w:r w:rsidRPr="00EC7A97">
              <w:rPr>
                <w:rFonts w:ascii="Arial Narrow" w:hAnsi="Arial Narrow" w:cs="Times New Roman"/>
                <w:sz w:val="20"/>
              </w:rPr>
              <w:t>$10,230.03</w:t>
            </w:r>
          </w:p>
        </w:tc>
        <w:tc>
          <w:tcPr>
            <w:tcW w:w="1250" w:type="pct"/>
            <w:vAlign w:val="center"/>
          </w:tcPr>
          <w:p w:rsidR="007326C7" w:rsidRPr="00EC7A97" w:rsidRDefault="007326C7" w:rsidP="003B73B8">
            <w:pPr>
              <w:keepNext/>
              <w:widowControl/>
              <w:jc w:val="center"/>
              <w:rPr>
                <w:rFonts w:ascii="Arial Narrow" w:hAnsi="Arial Narrow" w:cs="Times New Roman"/>
                <w:sz w:val="20"/>
              </w:rPr>
            </w:pPr>
            <w:r w:rsidRPr="00EC7A97">
              <w:rPr>
                <w:rFonts w:ascii="Arial Narrow" w:hAnsi="Arial Narrow" w:cs="Times New Roman"/>
                <w:sz w:val="20"/>
              </w:rPr>
              <w:t>$</w:t>
            </w:r>
            <w:r w:rsidR="00ED4A35">
              <w:rPr>
                <w:rFonts w:ascii="Arial Narrow" w:hAnsi="Arial Narrow" w:cs="Times New Roman"/>
                <w:noProof/>
                <w:color w:val="000000"/>
                <w:sz w:val="20"/>
                <w:highlight w:val="black"/>
              </w:rPr>
              <w:t>''''''''''''''''''''''</w:t>
            </w:r>
          </w:p>
        </w:tc>
      </w:tr>
      <w:tr w:rsidR="007326C7" w:rsidRPr="004E2ADC" w:rsidTr="007326C7">
        <w:tc>
          <w:tcPr>
            <w:tcW w:w="1250" w:type="pct"/>
            <w:vAlign w:val="center"/>
          </w:tcPr>
          <w:p w:rsidR="007326C7" w:rsidRPr="004E2ADC" w:rsidRDefault="007326C7" w:rsidP="003B73B8">
            <w:pPr>
              <w:keepNext/>
              <w:widowControl/>
              <w:jc w:val="left"/>
              <w:rPr>
                <w:rFonts w:ascii="Arial Narrow" w:hAnsi="Arial Narrow" w:cs="Times New Roman"/>
                <w:sz w:val="20"/>
              </w:rPr>
            </w:pPr>
            <w:r>
              <w:rPr>
                <w:rFonts w:ascii="Arial Narrow" w:hAnsi="Arial Narrow" w:cs="Times New Roman"/>
                <w:sz w:val="20"/>
              </w:rPr>
              <w:t>QALY</w:t>
            </w:r>
          </w:p>
        </w:tc>
        <w:tc>
          <w:tcPr>
            <w:tcW w:w="1250" w:type="pct"/>
            <w:vAlign w:val="center"/>
          </w:tcPr>
          <w:p w:rsidR="007326C7" w:rsidRPr="00ED4A35" w:rsidRDefault="00ED4A35" w:rsidP="003B73B8">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50" w:type="pct"/>
            <w:vAlign w:val="center"/>
          </w:tcPr>
          <w:p w:rsidR="007326C7" w:rsidRPr="00ED4A35" w:rsidRDefault="00ED4A35" w:rsidP="003B73B8">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50" w:type="pct"/>
            <w:vAlign w:val="center"/>
          </w:tcPr>
          <w:p w:rsidR="007326C7" w:rsidRPr="00ED4A35" w:rsidRDefault="00ED4A35" w:rsidP="003B73B8">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7326C7" w:rsidRPr="004E2ADC" w:rsidTr="007326C7">
        <w:trPr>
          <w:trHeight w:val="70"/>
        </w:trPr>
        <w:tc>
          <w:tcPr>
            <w:tcW w:w="3750" w:type="pct"/>
            <w:gridSpan w:val="3"/>
            <w:vAlign w:val="center"/>
          </w:tcPr>
          <w:p w:rsidR="007326C7" w:rsidRPr="00EC7A97" w:rsidRDefault="007326C7" w:rsidP="003B73B8">
            <w:pPr>
              <w:keepNext/>
              <w:widowControl/>
              <w:jc w:val="left"/>
              <w:rPr>
                <w:rFonts w:ascii="Arial Narrow" w:hAnsi="Arial Narrow" w:cs="Times New Roman"/>
                <w:b/>
                <w:sz w:val="20"/>
              </w:rPr>
            </w:pPr>
            <w:r w:rsidRPr="00EC7A97">
              <w:rPr>
                <w:rFonts w:ascii="Arial Narrow" w:hAnsi="Arial Narrow" w:cs="Times New Roman"/>
                <w:b/>
                <w:sz w:val="20"/>
              </w:rPr>
              <w:t>Incremental cost/QALY</w:t>
            </w:r>
          </w:p>
        </w:tc>
        <w:tc>
          <w:tcPr>
            <w:tcW w:w="1250" w:type="pct"/>
            <w:vAlign w:val="center"/>
          </w:tcPr>
          <w:p w:rsidR="007326C7" w:rsidRPr="00EC7A97" w:rsidRDefault="007326C7" w:rsidP="003B73B8">
            <w:pPr>
              <w:keepNext/>
              <w:widowControl/>
              <w:jc w:val="center"/>
              <w:rPr>
                <w:rFonts w:ascii="Arial Narrow" w:hAnsi="Arial Narrow" w:cs="Times New Roman"/>
                <w:b/>
                <w:sz w:val="20"/>
              </w:rPr>
            </w:pPr>
            <w:r w:rsidRPr="00EC7A97">
              <w:rPr>
                <w:rFonts w:ascii="Arial Narrow" w:hAnsi="Arial Narrow" w:cs="Times New Roman"/>
                <w:b/>
                <w:sz w:val="20"/>
              </w:rPr>
              <w:t>$</w:t>
            </w:r>
            <w:r w:rsidR="00ED4A35">
              <w:rPr>
                <w:rFonts w:ascii="Arial Narrow" w:hAnsi="Arial Narrow" w:cs="Times New Roman"/>
                <w:b/>
                <w:noProof/>
                <w:color w:val="000000"/>
                <w:sz w:val="20"/>
                <w:highlight w:val="black"/>
              </w:rPr>
              <w:t>'''''''''''''''''''''</w:t>
            </w:r>
          </w:p>
        </w:tc>
      </w:tr>
    </w:tbl>
    <w:p w:rsidR="007326C7" w:rsidRPr="00D13A3E" w:rsidRDefault="007326C7" w:rsidP="00D73941">
      <w:pPr>
        <w:pStyle w:val="TableFooter"/>
        <w:widowControl/>
        <w:ind w:firstLine="720"/>
      </w:pPr>
      <w:r w:rsidRPr="00D13A3E">
        <w:t xml:space="preserve">Source: </w:t>
      </w:r>
      <w:r>
        <w:t>Table D.5-1, Table D.5-2, Table D.5-3 and Table D.5-4, pp192-194 of the submission</w:t>
      </w:r>
    </w:p>
    <w:p w:rsidR="00D110BD" w:rsidRPr="00D110BD" w:rsidRDefault="00D110BD" w:rsidP="00D73941">
      <w:pPr>
        <w:widowControl/>
        <w:rPr>
          <w:szCs w:val="22"/>
        </w:rPr>
      </w:pPr>
    </w:p>
    <w:p w:rsidR="00C25D9C" w:rsidRPr="00561DB5" w:rsidRDefault="007326C7" w:rsidP="00D73941">
      <w:pPr>
        <w:pStyle w:val="ListParagraph"/>
        <w:widowControl/>
        <w:numPr>
          <w:ilvl w:val="1"/>
          <w:numId w:val="2"/>
        </w:numPr>
        <w:rPr>
          <w:i/>
          <w:szCs w:val="22"/>
        </w:rPr>
      </w:pPr>
      <w:r w:rsidRPr="00E561B2">
        <w:rPr>
          <w:szCs w:val="22"/>
        </w:rPr>
        <w:t xml:space="preserve">The submission claimed that the estimated ICER presented for nintedanib </w:t>
      </w:r>
      <w:r w:rsidR="000940CC">
        <w:rPr>
          <w:szCs w:val="22"/>
        </w:rPr>
        <w:t>might</w:t>
      </w:r>
      <w:r w:rsidRPr="00E561B2">
        <w:rPr>
          <w:szCs w:val="22"/>
        </w:rPr>
        <w:t xml:space="preserve"> be considered reasonable, especially since </w:t>
      </w:r>
      <w:r w:rsidR="00983B9C">
        <w:rPr>
          <w:szCs w:val="22"/>
        </w:rPr>
        <w:t xml:space="preserve">it </w:t>
      </w:r>
      <w:r w:rsidR="005264F6">
        <w:rPr>
          <w:szCs w:val="22"/>
        </w:rPr>
        <w:t>argued</w:t>
      </w:r>
      <w:r w:rsidR="003B73B8">
        <w:rPr>
          <w:szCs w:val="22"/>
        </w:rPr>
        <w:t xml:space="preserve"> </w:t>
      </w:r>
      <w:r w:rsidR="00983B9C">
        <w:rPr>
          <w:szCs w:val="22"/>
        </w:rPr>
        <w:t xml:space="preserve">that </w:t>
      </w:r>
      <w:r w:rsidRPr="00E561B2">
        <w:rPr>
          <w:szCs w:val="22"/>
        </w:rPr>
        <w:t xml:space="preserve">all criteria for the ‘rule of rescue’ are </w:t>
      </w:r>
      <w:r w:rsidRPr="00D65B1E">
        <w:rPr>
          <w:szCs w:val="22"/>
        </w:rPr>
        <w:t>met</w:t>
      </w:r>
      <w:r w:rsidR="00F81B71" w:rsidRPr="00D65B1E">
        <w:rPr>
          <w:szCs w:val="22"/>
        </w:rPr>
        <w:t>.</w:t>
      </w:r>
      <w:r w:rsidR="00F81B71">
        <w:rPr>
          <w:szCs w:val="22"/>
        </w:rPr>
        <w:t xml:space="preserve"> </w:t>
      </w:r>
      <w:r w:rsidR="00983B9C" w:rsidRPr="002D50C6">
        <w:rPr>
          <w:szCs w:val="22"/>
        </w:rPr>
        <w:t xml:space="preserve">The </w:t>
      </w:r>
      <w:r w:rsidR="003B73B8">
        <w:rPr>
          <w:szCs w:val="22"/>
        </w:rPr>
        <w:t xml:space="preserve">evaluation and the ESC considered that the </w:t>
      </w:r>
      <w:r w:rsidR="00983B9C" w:rsidRPr="002D50C6">
        <w:rPr>
          <w:szCs w:val="22"/>
        </w:rPr>
        <w:t xml:space="preserve">applicability of the ‘rule of rescue’ for nintedanib was compromised </w:t>
      </w:r>
      <w:r w:rsidR="00561DB5">
        <w:rPr>
          <w:szCs w:val="22"/>
        </w:rPr>
        <w:t>due to</w:t>
      </w:r>
      <w:r w:rsidR="00983B9C" w:rsidRPr="002D50C6">
        <w:rPr>
          <w:szCs w:val="22"/>
        </w:rPr>
        <w:t xml:space="preserve"> concerns regarding the extent of clinical impact (refer to the clinical claim) a</w:t>
      </w:r>
      <w:r w:rsidR="00561DB5">
        <w:rPr>
          <w:szCs w:val="22"/>
        </w:rPr>
        <w:t>nd the severity of the disease.</w:t>
      </w:r>
      <w:r w:rsidR="00983B9C" w:rsidRPr="002D50C6">
        <w:rPr>
          <w:szCs w:val="22"/>
        </w:rPr>
        <w:t xml:space="preserve"> The </w:t>
      </w:r>
      <w:r w:rsidR="00561DB5">
        <w:rPr>
          <w:szCs w:val="22"/>
        </w:rPr>
        <w:t xml:space="preserve">ESC noted that the </w:t>
      </w:r>
      <w:r w:rsidR="00983B9C" w:rsidRPr="002D50C6">
        <w:rPr>
          <w:szCs w:val="22"/>
        </w:rPr>
        <w:t>clinical course of IPF is highly variable, characterised by a patient populatio</w:t>
      </w:r>
      <w:r w:rsidR="00561DB5">
        <w:rPr>
          <w:szCs w:val="22"/>
        </w:rPr>
        <w:t xml:space="preserve">n of fast and slow </w:t>
      </w:r>
      <w:proofErr w:type="spellStart"/>
      <w:r w:rsidR="00561DB5">
        <w:rPr>
          <w:szCs w:val="22"/>
        </w:rPr>
        <w:t>progressors</w:t>
      </w:r>
      <w:proofErr w:type="spellEnd"/>
      <w:r w:rsidR="00561DB5">
        <w:rPr>
          <w:szCs w:val="22"/>
        </w:rPr>
        <w:t>.</w:t>
      </w:r>
      <w:r w:rsidR="00983B9C" w:rsidRPr="002D50C6">
        <w:rPr>
          <w:szCs w:val="22"/>
        </w:rPr>
        <w:t xml:space="preserve"> Although a median survival of 3.5 years was estimated for patients with IPF, approximately 20% of patients who have not experienced an acute exacerbation will be alive at 10 years.</w:t>
      </w:r>
      <w:r w:rsidR="00561DB5">
        <w:rPr>
          <w:szCs w:val="22"/>
        </w:rPr>
        <w:t xml:space="preserve"> </w:t>
      </w:r>
      <w:r w:rsidR="00561DB5" w:rsidRPr="006D02FB">
        <w:rPr>
          <w:szCs w:val="22"/>
        </w:rPr>
        <w:t>The PBAC</w:t>
      </w:r>
      <w:r w:rsidR="00561DB5">
        <w:rPr>
          <w:szCs w:val="22"/>
        </w:rPr>
        <w:t xml:space="preserve"> </w:t>
      </w:r>
      <w:r w:rsidR="005264F6">
        <w:rPr>
          <w:szCs w:val="22"/>
        </w:rPr>
        <w:t>agreed</w:t>
      </w:r>
      <w:r w:rsidR="00561DB5">
        <w:rPr>
          <w:szCs w:val="22"/>
        </w:rPr>
        <w:t xml:space="preserve"> that the </w:t>
      </w:r>
      <w:r w:rsidR="00E85B92">
        <w:rPr>
          <w:szCs w:val="22"/>
        </w:rPr>
        <w:t xml:space="preserve">criteria for </w:t>
      </w:r>
      <w:r w:rsidR="00561DB5">
        <w:rPr>
          <w:szCs w:val="22"/>
        </w:rPr>
        <w:t xml:space="preserve">the ‘rule of rescue’ </w:t>
      </w:r>
      <w:r w:rsidR="00E85B92">
        <w:rPr>
          <w:szCs w:val="22"/>
        </w:rPr>
        <w:t xml:space="preserve">were not met for nintedanib </w:t>
      </w:r>
      <w:r w:rsidR="00561DB5">
        <w:rPr>
          <w:szCs w:val="22"/>
        </w:rPr>
        <w:t>due to the extent and heterogeneity of the clinical impact and the severity of the disease</w:t>
      </w:r>
      <w:r w:rsidR="00E85B92">
        <w:rPr>
          <w:szCs w:val="22"/>
        </w:rPr>
        <w:t xml:space="preserve"> as well as lack of a true ‘rescue’ effect of the drug</w:t>
      </w:r>
      <w:r w:rsidR="005000D0">
        <w:rPr>
          <w:szCs w:val="22"/>
        </w:rPr>
        <w:t>.</w:t>
      </w:r>
    </w:p>
    <w:p w:rsidR="00684B75" w:rsidRPr="00741031" w:rsidRDefault="00684B75" w:rsidP="00D73941">
      <w:pPr>
        <w:pStyle w:val="ListParagraph"/>
        <w:widowControl/>
        <w:rPr>
          <w:i/>
          <w:szCs w:val="22"/>
        </w:rPr>
      </w:pPr>
    </w:p>
    <w:p w:rsidR="00684B75" w:rsidRPr="00741031" w:rsidRDefault="00684B75" w:rsidP="00D73941">
      <w:pPr>
        <w:pStyle w:val="ListParagraph"/>
        <w:widowControl/>
        <w:numPr>
          <w:ilvl w:val="1"/>
          <w:numId w:val="2"/>
        </w:numPr>
        <w:rPr>
          <w:szCs w:val="22"/>
        </w:rPr>
      </w:pPr>
      <w:r w:rsidRPr="00741031">
        <w:rPr>
          <w:szCs w:val="22"/>
        </w:rPr>
        <w:t xml:space="preserve">The PBAC </w:t>
      </w:r>
      <w:r w:rsidR="007E2543">
        <w:rPr>
          <w:szCs w:val="22"/>
        </w:rPr>
        <w:t>noted that</w:t>
      </w:r>
      <w:r w:rsidR="007E2543" w:rsidRPr="00741031">
        <w:rPr>
          <w:szCs w:val="22"/>
        </w:rPr>
        <w:t xml:space="preserve"> </w:t>
      </w:r>
      <w:r w:rsidRPr="00741031">
        <w:rPr>
          <w:szCs w:val="22"/>
        </w:rPr>
        <w:t xml:space="preserve">the application of </w:t>
      </w:r>
      <w:r w:rsidR="009B3770" w:rsidRPr="00741031">
        <w:rPr>
          <w:szCs w:val="22"/>
        </w:rPr>
        <w:t xml:space="preserve">the trial based </w:t>
      </w:r>
      <w:proofErr w:type="spellStart"/>
      <w:r w:rsidRPr="00741031">
        <w:rPr>
          <w:szCs w:val="22"/>
        </w:rPr>
        <w:t>disutilities</w:t>
      </w:r>
      <w:proofErr w:type="spellEnd"/>
      <w:r w:rsidRPr="00741031">
        <w:rPr>
          <w:szCs w:val="22"/>
        </w:rPr>
        <w:t xml:space="preserve"> for </w:t>
      </w:r>
      <w:r w:rsidR="00522B20">
        <w:rPr>
          <w:szCs w:val="22"/>
        </w:rPr>
        <w:t xml:space="preserve">acute IPF </w:t>
      </w:r>
      <w:r w:rsidRPr="00741031">
        <w:rPr>
          <w:szCs w:val="22"/>
        </w:rPr>
        <w:t xml:space="preserve">exacerbations and adverse events in the model </w:t>
      </w:r>
      <w:r w:rsidR="009B3770" w:rsidRPr="00741031">
        <w:rPr>
          <w:szCs w:val="22"/>
        </w:rPr>
        <w:t>would result in some double counting of the trial based utilities for FVC%Pred health states.</w:t>
      </w:r>
      <w:r w:rsidR="007E2543">
        <w:rPr>
          <w:szCs w:val="22"/>
        </w:rPr>
        <w:t xml:space="preserve"> However, the</w:t>
      </w:r>
      <w:r w:rsidR="001D03BF">
        <w:rPr>
          <w:szCs w:val="22"/>
        </w:rPr>
        <w:t xml:space="preserve"> PBAC noted that the</w:t>
      </w:r>
      <w:r w:rsidR="007E2543">
        <w:rPr>
          <w:szCs w:val="22"/>
        </w:rPr>
        <w:t xml:space="preserve"> model was relatively insensitive to </w:t>
      </w:r>
      <w:r w:rsidR="00E347C0">
        <w:rPr>
          <w:szCs w:val="22"/>
        </w:rPr>
        <w:t xml:space="preserve">the </w:t>
      </w:r>
      <w:r w:rsidR="007E2543">
        <w:rPr>
          <w:szCs w:val="22"/>
        </w:rPr>
        <w:t xml:space="preserve">removal of these </w:t>
      </w:r>
      <w:proofErr w:type="spellStart"/>
      <w:r w:rsidR="007E2543">
        <w:rPr>
          <w:szCs w:val="22"/>
        </w:rPr>
        <w:t>disutilties</w:t>
      </w:r>
      <w:proofErr w:type="spellEnd"/>
      <w:r w:rsidR="0091605A">
        <w:rPr>
          <w:szCs w:val="22"/>
        </w:rPr>
        <w:t>.</w:t>
      </w:r>
    </w:p>
    <w:p w:rsidR="00F81B71" w:rsidRPr="00741031" w:rsidRDefault="00F81B71" w:rsidP="00D73941">
      <w:pPr>
        <w:pStyle w:val="ListParagraph"/>
        <w:widowControl/>
        <w:rPr>
          <w:szCs w:val="22"/>
        </w:rPr>
      </w:pPr>
    </w:p>
    <w:p w:rsidR="00F16534" w:rsidRPr="00741031" w:rsidRDefault="00F16534" w:rsidP="00D73941">
      <w:pPr>
        <w:pStyle w:val="PBACHeading1"/>
        <w:numPr>
          <w:ilvl w:val="0"/>
          <w:numId w:val="0"/>
        </w:numPr>
        <w:ind w:left="720"/>
        <w:rPr>
          <w:b w:val="0"/>
          <w:i/>
        </w:rPr>
      </w:pPr>
      <w:r w:rsidRPr="00741031">
        <w:rPr>
          <w:b w:val="0"/>
          <w:i/>
        </w:rPr>
        <w:t>For more detail on PBAC’s view, see section 7 “PBAC outcome”</w:t>
      </w:r>
    </w:p>
    <w:p w:rsidR="00F16534" w:rsidRPr="00F81B71" w:rsidRDefault="00F16534" w:rsidP="00D73941">
      <w:pPr>
        <w:pStyle w:val="ListParagraph"/>
        <w:widowControl/>
        <w:rPr>
          <w:szCs w:val="22"/>
        </w:rPr>
      </w:pPr>
    </w:p>
    <w:p w:rsidR="00C25D9C" w:rsidRPr="00E14A81" w:rsidRDefault="00C25D9C" w:rsidP="00D73941">
      <w:pPr>
        <w:pStyle w:val="Heading2"/>
        <w:widowControl/>
        <w:rPr>
          <w:szCs w:val="22"/>
        </w:rPr>
      </w:pPr>
      <w:bookmarkStart w:id="15" w:name="_Toc409510376"/>
      <w:r w:rsidRPr="00E14A81">
        <w:t>Drug cost/patient/year: $</w:t>
      </w:r>
      <w:bookmarkEnd w:id="15"/>
      <w:r w:rsidR="00ED4A35">
        <w:rPr>
          <w:noProof/>
          <w:color w:val="000000"/>
          <w:highlight w:val="black"/>
        </w:rPr>
        <w:t>''''''''''''''''''</w:t>
      </w:r>
    </w:p>
    <w:p w:rsidR="00C25D9C" w:rsidRPr="00C25D9C" w:rsidRDefault="00C25D9C" w:rsidP="00D73941">
      <w:pPr>
        <w:widowControl/>
        <w:rPr>
          <w:szCs w:val="22"/>
        </w:rPr>
      </w:pPr>
    </w:p>
    <w:p w:rsidR="000F7BB0" w:rsidRPr="00F16534" w:rsidRDefault="00246AFC" w:rsidP="00D73941">
      <w:pPr>
        <w:pStyle w:val="ListParagraph"/>
        <w:widowControl/>
        <w:numPr>
          <w:ilvl w:val="1"/>
          <w:numId w:val="2"/>
        </w:numPr>
        <w:rPr>
          <w:szCs w:val="22"/>
        </w:rPr>
      </w:pPr>
      <w:r w:rsidRPr="00246AFC">
        <w:rPr>
          <w:szCs w:val="22"/>
        </w:rPr>
        <w:t xml:space="preserve">The estimated usage per patient </w:t>
      </w:r>
      <w:r w:rsidR="004D0580">
        <w:rPr>
          <w:szCs w:val="22"/>
        </w:rPr>
        <w:t>was</w:t>
      </w:r>
      <w:r w:rsidRPr="00246AFC">
        <w:rPr>
          <w:szCs w:val="22"/>
        </w:rPr>
        <w:t xml:space="preserve"> based on an expected compliance rate of 96.4%, a</w:t>
      </w:r>
      <w:r w:rsidR="00F81B71">
        <w:rPr>
          <w:szCs w:val="22"/>
        </w:rPr>
        <w:t>s observed in Trial</w:t>
      </w:r>
      <w:r w:rsidR="00F86E26">
        <w:rPr>
          <w:szCs w:val="22"/>
        </w:rPr>
        <w:t>s</w:t>
      </w:r>
      <w:r w:rsidR="00F81B71">
        <w:rPr>
          <w:szCs w:val="22"/>
        </w:rPr>
        <w:t xml:space="preserve"> 32 and 34. </w:t>
      </w:r>
      <w:r w:rsidRPr="00246AFC">
        <w:rPr>
          <w:szCs w:val="22"/>
        </w:rPr>
        <w:t>This results in an average of 11.73 nintedanib prescriptions pe</w:t>
      </w:r>
      <w:r w:rsidR="00F81B71">
        <w:rPr>
          <w:szCs w:val="22"/>
        </w:rPr>
        <w:t xml:space="preserve">r patient per year. </w:t>
      </w:r>
      <w:r w:rsidR="004F07AC">
        <w:rPr>
          <w:szCs w:val="22"/>
        </w:rPr>
        <w:t>The submission assumed</w:t>
      </w:r>
      <w:r w:rsidRPr="00246AFC">
        <w:rPr>
          <w:szCs w:val="22"/>
        </w:rPr>
        <w:t xml:space="preserve"> a proportional distribution of ninte</w:t>
      </w:r>
      <w:r w:rsidR="00741031">
        <w:rPr>
          <w:szCs w:val="22"/>
        </w:rPr>
        <w:t>danib 150mg and 100mg (76%/24%)</w:t>
      </w:r>
      <w:r w:rsidRPr="00246AFC">
        <w:rPr>
          <w:szCs w:val="22"/>
        </w:rPr>
        <w:t xml:space="preserve"> consistent with usag</w:t>
      </w:r>
      <w:r w:rsidR="00F81B71">
        <w:rPr>
          <w:szCs w:val="22"/>
        </w:rPr>
        <w:t>e reported in Trial</w:t>
      </w:r>
      <w:r w:rsidR="00F86E26">
        <w:rPr>
          <w:szCs w:val="22"/>
        </w:rPr>
        <w:t>s</w:t>
      </w:r>
      <w:r w:rsidR="00F81B71">
        <w:rPr>
          <w:szCs w:val="22"/>
        </w:rPr>
        <w:t xml:space="preserve"> 32 and 34.</w:t>
      </w:r>
    </w:p>
    <w:p w:rsidR="000F7BB0" w:rsidRPr="001E2B1E" w:rsidRDefault="000F7BB0" w:rsidP="00D73941">
      <w:pPr>
        <w:widowControl/>
        <w:rPr>
          <w:szCs w:val="22"/>
        </w:rPr>
      </w:pPr>
    </w:p>
    <w:p w:rsidR="00B60939" w:rsidRPr="00E14A81" w:rsidRDefault="00B60939" w:rsidP="0022113E">
      <w:pPr>
        <w:pStyle w:val="Heading2"/>
        <w:keepNext/>
        <w:widowControl/>
      </w:pPr>
      <w:bookmarkStart w:id="16" w:name="_Toc409510377"/>
      <w:r w:rsidRPr="00E14A81">
        <w:t>Estimated PBS usage &amp; financial implications</w:t>
      </w:r>
      <w:bookmarkEnd w:id="16"/>
    </w:p>
    <w:p w:rsidR="00B60939" w:rsidRPr="00882085" w:rsidRDefault="00B60939" w:rsidP="0022113E">
      <w:pPr>
        <w:keepNext/>
        <w:widowControl/>
      </w:pPr>
    </w:p>
    <w:p w:rsidR="006B0150" w:rsidRPr="006B0150" w:rsidRDefault="006B0150" w:rsidP="00D73941">
      <w:pPr>
        <w:pStyle w:val="ListParagraph"/>
        <w:widowControl/>
        <w:numPr>
          <w:ilvl w:val="1"/>
          <w:numId w:val="2"/>
        </w:numPr>
        <w:rPr>
          <w:bCs/>
          <w:szCs w:val="22"/>
        </w:rPr>
      </w:pPr>
      <w:r w:rsidRPr="006B0150">
        <w:t xml:space="preserve">The estimated use and financial implications </w:t>
      </w:r>
      <w:r w:rsidR="007E0CE2">
        <w:t xml:space="preserve">to the PBS in the submission, based on the effective price, </w:t>
      </w:r>
      <w:r w:rsidRPr="006B0150">
        <w:t xml:space="preserve">are presented in the below table. The submission estimated a cost </w:t>
      </w:r>
      <w:r w:rsidRPr="006B0150">
        <w:lastRenderedPageBreak/>
        <w:t xml:space="preserve">of </w:t>
      </w:r>
      <w:r w:rsidR="00214DCC" w:rsidRPr="00214DCC">
        <w:t xml:space="preserve">$30 - $60 million per year </w:t>
      </w:r>
      <w:r w:rsidRPr="006B0150">
        <w:t xml:space="preserve">over the first five years of listing. </w:t>
      </w:r>
      <w:r w:rsidRPr="002C4B58">
        <w:t xml:space="preserve">The submission did not include the RSA in the estimated financial implications for the PBS/RPBS. The submission indicated that it was not possible to determine </w:t>
      </w:r>
      <w:r w:rsidR="00983B9C">
        <w:t xml:space="preserve">accurately </w:t>
      </w:r>
      <w:r w:rsidRPr="002C4B58">
        <w:t>the exact value of the RSA and it was not further considered in the analysis.</w:t>
      </w:r>
    </w:p>
    <w:p w:rsidR="006B0150" w:rsidRPr="006E2AE3" w:rsidRDefault="006B0150" w:rsidP="00D73941">
      <w:pPr>
        <w:pStyle w:val="ListParagraph"/>
        <w:widowControl/>
        <w:rPr>
          <w:szCs w:val="22"/>
        </w:rPr>
      </w:pPr>
    </w:p>
    <w:p w:rsidR="006B0150" w:rsidRDefault="006B0150" w:rsidP="00D73941">
      <w:pPr>
        <w:keepNext/>
        <w:widowControl/>
        <w:ind w:firstLine="709"/>
        <w:rPr>
          <w:rStyle w:val="CommentReference"/>
        </w:rPr>
      </w:pPr>
      <w:r w:rsidRPr="001222FC">
        <w:rPr>
          <w:rStyle w:val="CommentReference"/>
        </w:rPr>
        <w:t>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Estimated PBS usage &amp; financial implications"/>
        <w:tblDescription w:val="Year 1 to 5"/>
      </w:tblPr>
      <w:tblGrid>
        <w:gridCol w:w="2410"/>
        <w:gridCol w:w="1187"/>
        <w:gridCol w:w="1187"/>
        <w:gridCol w:w="1189"/>
        <w:gridCol w:w="1187"/>
        <w:gridCol w:w="1187"/>
      </w:tblGrid>
      <w:tr w:rsidR="006B0150" w:rsidRPr="004E2ADC" w:rsidTr="003D16A4">
        <w:trPr>
          <w:tblHeader/>
        </w:trPr>
        <w:tc>
          <w:tcPr>
            <w:tcW w:w="1444" w:type="pct"/>
            <w:shd w:val="clear" w:color="auto" w:fill="auto"/>
            <w:vAlign w:val="center"/>
          </w:tcPr>
          <w:p w:rsidR="006B0150" w:rsidRPr="004E2ADC" w:rsidRDefault="006B0150" w:rsidP="00D73941">
            <w:pPr>
              <w:keepNext/>
              <w:widowControl/>
              <w:tabs>
                <w:tab w:val="left" w:pos="142"/>
              </w:tabs>
              <w:jc w:val="left"/>
              <w:rPr>
                <w:rFonts w:ascii="Arial Narrow" w:hAnsi="Arial Narrow"/>
                <w:b/>
                <w:sz w:val="20"/>
              </w:rPr>
            </w:pPr>
          </w:p>
        </w:tc>
        <w:tc>
          <w:tcPr>
            <w:tcW w:w="711" w:type="pct"/>
            <w:shd w:val="clear" w:color="auto" w:fill="auto"/>
            <w:vAlign w:val="center"/>
          </w:tcPr>
          <w:p w:rsidR="006B0150" w:rsidRPr="004E2ADC" w:rsidRDefault="006B0150" w:rsidP="00D73941">
            <w:pPr>
              <w:keepNext/>
              <w:widowControl/>
              <w:jc w:val="center"/>
              <w:rPr>
                <w:rFonts w:ascii="Arial Narrow" w:hAnsi="Arial Narrow"/>
                <w:b/>
                <w:sz w:val="20"/>
              </w:rPr>
            </w:pPr>
            <w:r w:rsidRPr="004E2ADC">
              <w:rPr>
                <w:rFonts w:ascii="Arial Narrow" w:hAnsi="Arial Narrow"/>
                <w:b/>
                <w:sz w:val="20"/>
              </w:rPr>
              <w:t>Year 1</w:t>
            </w:r>
          </w:p>
        </w:tc>
        <w:tc>
          <w:tcPr>
            <w:tcW w:w="711" w:type="pct"/>
            <w:shd w:val="clear" w:color="auto" w:fill="auto"/>
            <w:vAlign w:val="center"/>
          </w:tcPr>
          <w:p w:rsidR="006B0150" w:rsidRPr="004E2ADC" w:rsidRDefault="006B0150" w:rsidP="00D73941">
            <w:pPr>
              <w:keepNext/>
              <w:widowControl/>
              <w:jc w:val="center"/>
              <w:rPr>
                <w:rFonts w:ascii="Arial Narrow" w:hAnsi="Arial Narrow"/>
                <w:b/>
                <w:sz w:val="20"/>
              </w:rPr>
            </w:pPr>
            <w:r w:rsidRPr="004E2ADC">
              <w:rPr>
                <w:rFonts w:ascii="Arial Narrow" w:hAnsi="Arial Narrow"/>
                <w:b/>
                <w:sz w:val="20"/>
              </w:rPr>
              <w:t>Year 2</w:t>
            </w:r>
          </w:p>
        </w:tc>
        <w:tc>
          <w:tcPr>
            <w:tcW w:w="712" w:type="pct"/>
            <w:shd w:val="clear" w:color="auto" w:fill="auto"/>
            <w:vAlign w:val="center"/>
          </w:tcPr>
          <w:p w:rsidR="006B0150" w:rsidRPr="004E2ADC" w:rsidRDefault="006B0150" w:rsidP="00D73941">
            <w:pPr>
              <w:keepNext/>
              <w:widowControl/>
              <w:jc w:val="center"/>
              <w:rPr>
                <w:rFonts w:ascii="Arial Narrow" w:hAnsi="Arial Narrow"/>
                <w:b/>
                <w:sz w:val="20"/>
              </w:rPr>
            </w:pPr>
            <w:r w:rsidRPr="004E2ADC">
              <w:rPr>
                <w:rFonts w:ascii="Arial Narrow" w:hAnsi="Arial Narrow"/>
                <w:b/>
                <w:sz w:val="20"/>
              </w:rPr>
              <w:t>Year 3</w:t>
            </w:r>
          </w:p>
        </w:tc>
        <w:tc>
          <w:tcPr>
            <w:tcW w:w="711" w:type="pct"/>
            <w:shd w:val="clear" w:color="auto" w:fill="auto"/>
            <w:vAlign w:val="center"/>
          </w:tcPr>
          <w:p w:rsidR="006B0150" w:rsidRPr="004E2ADC" w:rsidRDefault="006B0150" w:rsidP="00D73941">
            <w:pPr>
              <w:keepNext/>
              <w:widowControl/>
              <w:jc w:val="center"/>
              <w:rPr>
                <w:rFonts w:ascii="Arial Narrow" w:hAnsi="Arial Narrow"/>
                <w:b/>
                <w:sz w:val="20"/>
              </w:rPr>
            </w:pPr>
            <w:r w:rsidRPr="004E2ADC">
              <w:rPr>
                <w:rFonts w:ascii="Arial Narrow" w:hAnsi="Arial Narrow"/>
                <w:b/>
                <w:sz w:val="20"/>
              </w:rPr>
              <w:t>Year 4</w:t>
            </w:r>
          </w:p>
        </w:tc>
        <w:tc>
          <w:tcPr>
            <w:tcW w:w="711" w:type="pct"/>
            <w:shd w:val="clear" w:color="auto" w:fill="auto"/>
            <w:vAlign w:val="center"/>
          </w:tcPr>
          <w:p w:rsidR="006B0150" w:rsidRPr="004E2ADC" w:rsidRDefault="006B0150" w:rsidP="00D73941">
            <w:pPr>
              <w:keepNext/>
              <w:widowControl/>
              <w:jc w:val="center"/>
              <w:rPr>
                <w:rFonts w:ascii="Arial Narrow" w:hAnsi="Arial Narrow"/>
                <w:b/>
                <w:sz w:val="20"/>
              </w:rPr>
            </w:pPr>
            <w:r w:rsidRPr="004E2ADC">
              <w:rPr>
                <w:rFonts w:ascii="Arial Narrow" w:hAnsi="Arial Narrow"/>
                <w:b/>
                <w:sz w:val="20"/>
              </w:rPr>
              <w:t>Year 5</w:t>
            </w:r>
          </w:p>
        </w:tc>
      </w:tr>
      <w:tr w:rsidR="006B0150" w:rsidRPr="004E2ADC" w:rsidTr="003D16A4">
        <w:tc>
          <w:tcPr>
            <w:tcW w:w="5000" w:type="pct"/>
            <w:gridSpan w:val="6"/>
            <w:shd w:val="clear" w:color="auto" w:fill="auto"/>
            <w:vAlign w:val="center"/>
          </w:tcPr>
          <w:p w:rsidR="006B0150" w:rsidRPr="004E2ADC" w:rsidRDefault="006B0150" w:rsidP="00D73941">
            <w:pPr>
              <w:keepNext/>
              <w:widowControl/>
              <w:jc w:val="left"/>
              <w:rPr>
                <w:rFonts w:ascii="Arial Narrow" w:hAnsi="Arial Narrow"/>
                <w:b/>
                <w:bCs/>
                <w:color w:val="000000"/>
                <w:sz w:val="20"/>
              </w:rPr>
            </w:pPr>
            <w:r w:rsidRPr="004E2ADC">
              <w:rPr>
                <w:rFonts w:ascii="Arial Narrow" w:hAnsi="Arial Narrow"/>
                <w:b/>
                <w:bCs/>
                <w:color w:val="000000"/>
                <w:sz w:val="20"/>
              </w:rPr>
              <w:t>Estimated extent of use</w:t>
            </w:r>
          </w:p>
        </w:tc>
      </w:tr>
      <w:tr w:rsidR="006B0150" w:rsidRPr="004E2ADC" w:rsidTr="003D16A4">
        <w:tc>
          <w:tcPr>
            <w:tcW w:w="1444" w:type="pct"/>
            <w:shd w:val="clear" w:color="auto" w:fill="auto"/>
            <w:vAlign w:val="center"/>
          </w:tcPr>
          <w:p w:rsidR="006B0150" w:rsidRPr="004E2ADC" w:rsidRDefault="006B0150" w:rsidP="00D73941">
            <w:pPr>
              <w:keepNext/>
              <w:widowControl/>
              <w:tabs>
                <w:tab w:val="left" w:pos="142"/>
              </w:tabs>
              <w:jc w:val="left"/>
              <w:rPr>
                <w:rFonts w:ascii="Arial Narrow" w:hAnsi="Arial Narrow"/>
                <w:sz w:val="20"/>
              </w:rPr>
            </w:pPr>
            <w:r>
              <w:rPr>
                <w:rFonts w:ascii="Arial Narrow" w:hAnsi="Arial Narrow"/>
                <w:sz w:val="20"/>
              </w:rPr>
              <w:t>Patients treated with nintedanib</w:t>
            </w:r>
          </w:p>
        </w:tc>
        <w:tc>
          <w:tcPr>
            <w:tcW w:w="711" w:type="pct"/>
            <w:shd w:val="clear" w:color="auto" w:fill="auto"/>
            <w:vAlign w:val="center"/>
          </w:tcPr>
          <w:p w:rsidR="006B0150" w:rsidRPr="00ED4A35" w:rsidRDefault="00ED4A35" w:rsidP="00D73941">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11" w:type="pct"/>
            <w:shd w:val="clear" w:color="auto" w:fill="auto"/>
            <w:vAlign w:val="center"/>
          </w:tcPr>
          <w:p w:rsidR="006B0150" w:rsidRPr="00ED4A35" w:rsidRDefault="00ED4A35" w:rsidP="00D73941">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12" w:type="pct"/>
            <w:shd w:val="clear" w:color="auto" w:fill="auto"/>
            <w:vAlign w:val="center"/>
          </w:tcPr>
          <w:p w:rsidR="006B0150" w:rsidRPr="00ED4A35" w:rsidRDefault="00ED4A35" w:rsidP="00D73941">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11" w:type="pct"/>
            <w:shd w:val="clear" w:color="auto" w:fill="auto"/>
            <w:vAlign w:val="center"/>
          </w:tcPr>
          <w:p w:rsidR="006B0150" w:rsidRPr="00ED4A35" w:rsidRDefault="00ED4A35" w:rsidP="00D73941">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11" w:type="pct"/>
            <w:shd w:val="clear" w:color="auto" w:fill="auto"/>
            <w:vAlign w:val="center"/>
          </w:tcPr>
          <w:p w:rsidR="006B0150" w:rsidRPr="00ED4A35" w:rsidRDefault="00ED4A35" w:rsidP="00D73941">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6B0150" w:rsidRPr="004E2ADC" w:rsidTr="003D16A4">
        <w:tc>
          <w:tcPr>
            <w:tcW w:w="1444" w:type="pct"/>
            <w:shd w:val="clear" w:color="auto" w:fill="auto"/>
            <w:vAlign w:val="center"/>
          </w:tcPr>
          <w:p w:rsidR="006B0150" w:rsidRPr="004E2ADC" w:rsidRDefault="006B0150" w:rsidP="00D73941">
            <w:pPr>
              <w:keepNext/>
              <w:widowControl/>
              <w:tabs>
                <w:tab w:val="left" w:pos="142"/>
              </w:tabs>
              <w:jc w:val="left"/>
              <w:rPr>
                <w:rFonts w:ascii="Arial Narrow" w:hAnsi="Arial Narrow"/>
                <w:sz w:val="20"/>
              </w:rPr>
            </w:pPr>
            <w:r>
              <w:rPr>
                <w:rFonts w:ascii="Arial Narrow" w:hAnsi="Arial Narrow"/>
                <w:sz w:val="20"/>
              </w:rPr>
              <w:t>Nintedanib prescriptions</w:t>
            </w:r>
          </w:p>
        </w:tc>
        <w:tc>
          <w:tcPr>
            <w:tcW w:w="711" w:type="pct"/>
            <w:shd w:val="clear" w:color="auto" w:fill="auto"/>
            <w:vAlign w:val="center"/>
          </w:tcPr>
          <w:p w:rsidR="006B0150" w:rsidRPr="00ED4A35" w:rsidRDefault="00ED4A35" w:rsidP="00D73941">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11" w:type="pct"/>
            <w:shd w:val="clear" w:color="auto" w:fill="auto"/>
            <w:vAlign w:val="center"/>
          </w:tcPr>
          <w:p w:rsidR="006B0150" w:rsidRPr="00ED4A35" w:rsidRDefault="00ED4A35" w:rsidP="00D73941">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12" w:type="pct"/>
            <w:shd w:val="clear" w:color="auto" w:fill="auto"/>
            <w:vAlign w:val="center"/>
          </w:tcPr>
          <w:p w:rsidR="006B0150" w:rsidRPr="00ED4A35" w:rsidRDefault="00ED4A35" w:rsidP="00D73941">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11" w:type="pct"/>
            <w:shd w:val="clear" w:color="auto" w:fill="auto"/>
            <w:vAlign w:val="center"/>
          </w:tcPr>
          <w:p w:rsidR="006B0150" w:rsidRPr="00ED4A35" w:rsidRDefault="00ED4A35" w:rsidP="00D73941">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11" w:type="pct"/>
            <w:shd w:val="clear" w:color="auto" w:fill="auto"/>
            <w:vAlign w:val="center"/>
          </w:tcPr>
          <w:p w:rsidR="006B0150" w:rsidRPr="00ED4A35" w:rsidRDefault="00ED4A35" w:rsidP="00D73941">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6B0150" w:rsidRPr="004E2ADC" w:rsidTr="003D16A4">
        <w:tc>
          <w:tcPr>
            <w:tcW w:w="5000" w:type="pct"/>
            <w:gridSpan w:val="6"/>
            <w:tcBorders>
              <w:top w:val="double" w:sz="4" w:space="0" w:color="auto"/>
            </w:tcBorders>
            <w:shd w:val="clear" w:color="auto" w:fill="auto"/>
            <w:vAlign w:val="center"/>
          </w:tcPr>
          <w:p w:rsidR="006B0150" w:rsidRPr="00EC7A97" w:rsidRDefault="006B0150" w:rsidP="00D73941">
            <w:pPr>
              <w:keepNext/>
              <w:widowControl/>
              <w:jc w:val="left"/>
              <w:rPr>
                <w:rFonts w:ascii="Arial Narrow" w:hAnsi="Arial Narrow"/>
                <w:b/>
                <w:bCs/>
                <w:sz w:val="19"/>
                <w:szCs w:val="19"/>
              </w:rPr>
            </w:pPr>
            <w:r w:rsidRPr="00EC7A97">
              <w:rPr>
                <w:rFonts w:ascii="Arial Narrow" w:hAnsi="Arial Narrow"/>
                <w:b/>
                <w:bCs/>
                <w:sz w:val="19"/>
                <w:szCs w:val="19"/>
              </w:rPr>
              <w:t xml:space="preserve">Net cost to PBS/RPBS </w:t>
            </w:r>
          </w:p>
        </w:tc>
      </w:tr>
      <w:tr w:rsidR="006B0150" w:rsidRPr="004E2ADC" w:rsidTr="003D16A4">
        <w:tc>
          <w:tcPr>
            <w:tcW w:w="1444" w:type="pct"/>
            <w:shd w:val="clear" w:color="auto" w:fill="auto"/>
            <w:vAlign w:val="center"/>
          </w:tcPr>
          <w:p w:rsidR="006B0150" w:rsidRPr="004C63C0" w:rsidRDefault="006B0150" w:rsidP="00D73941">
            <w:pPr>
              <w:keepNext/>
              <w:widowControl/>
              <w:tabs>
                <w:tab w:val="left" w:pos="142"/>
              </w:tabs>
              <w:jc w:val="left"/>
              <w:rPr>
                <w:rFonts w:ascii="Arial Narrow" w:hAnsi="Arial Narrow"/>
                <w:bCs/>
                <w:color w:val="000000"/>
                <w:sz w:val="20"/>
              </w:rPr>
            </w:pPr>
            <w:r w:rsidRPr="004C63C0">
              <w:rPr>
                <w:rFonts w:ascii="Arial Narrow" w:hAnsi="Arial Narrow"/>
                <w:bCs/>
                <w:color w:val="000000"/>
                <w:sz w:val="20"/>
              </w:rPr>
              <w:t>Total</w:t>
            </w:r>
          </w:p>
        </w:tc>
        <w:tc>
          <w:tcPr>
            <w:tcW w:w="711" w:type="pct"/>
            <w:shd w:val="clear" w:color="auto" w:fill="auto"/>
            <w:vAlign w:val="bottom"/>
          </w:tcPr>
          <w:p w:rsidR="006B0150" w:rsidRPr="00EC7A97" w:rsidRDefault="006B0150" w:rsidP="00D73941">
            <w:pPr>
              <w:keepNext/>
              <w:widowControl/>
              <w:jc w:val="center"/>
              <w:rPr>
                <w:rFonts w:ascii="Arial Narrow" w:hAnsi="Arial Narrow"/>
                <w:b/>
                <w:bCs/>
                <w:sz w:val="19"/>
                <w:szCs w:val="19"/>
              </w:rPr>
            </w:pPr>
            <w:r w:rsidRPr="00EC7A97">
              <w:rPr>
                <w:rFonts w:ascii="Arial Narrow" w:hAnsi="Arial Narrow"/>
                <w:b/>
                <w:sz w:val="20"/>
              </w:rPr>
              <w:t>$</w:t>
            </w:r>
            <w:r w:rsidR="00ED4A35">
              <w:rPr>
                <w:rFonts w:ascii="Arial Narrow" w:hAnsi="Arial Narrow"/>
                <w:b/>
                <w:noProof/>
                <w:color w:val="000000"/>
                <w:sz w:val="20"/>
                <w:highlight w:val="black"/>
              </w:rPr>
              <w:t>''''''''''''''''''''</w:t>
            </w:r>
          </w:p>
        </w:tc>
        <w:tc>
          <w:tcPr>
            <w:tcW w:w="711" w:type="pct"/>
            <w:shd w:val="clear" w:color="auto" w:fill="auto"/>
            <w:vAlign w:val="bottom"/>
          </w:tcPr>
          <w:p w:rsidR="006B0150" w:rsidRPr="00EC7A97" w:rsidRDefault="006B0150" w:rsidP="00D73941">
            <w:pPr>
              <w:keepNext/>
              <w:widowControl/>
              <w:jc w:val="center"/>
              <w:rPr>
                <w:rFonts w:ascii="Arial Narrow" w:hAnsi="Arial Narrow"/>
                <w:b/>
                <w:bCs/>
                <w:sz w:val="19"/>
                <w:szCs w:val="19"/>
              </w:rPr>
            </w:pPr>
            <w:r w:rsidRPr="00EC7A97">
              <w:rPr>
                <w:rFonts w:ascii="Arial Narrow" w:hAnsi="Arial Narrow"/>
                <w:b/>
                <w:sz w:val="20"/>
              </w:rPr>
              <w:t>$</w:t>
            </w:r>
            <w:r w:rsidR="00ED4A35">
              <w:rPr>
                <w:rFonts w:ascii="Arial Narrow" w:hAnsi="Arial Narrow"/>
                <w:b/>
                <w:noProof/>
                <w:color w:val="000000"/>
                <w:sz w:val="20"/>
                <w:highlight w:val="black"/>
              </w:rPr>
              <w:t>''''''''''''''''''''</w:t>
            </w:r>
          </w:p>
        </w:tc>
        <w:tc>
          <w:tcPr>
            <w:tcW w:w="712" w:type="pct"/>
            <w:shd w:val="clear" w:color="auto" w:fill="auto"/>
            <w:vAlign w:val="bottom"/>
          </w:tcPr>
          <w:p w:rsidR="006B0150" w:rsidRPr="00EC7A97" w:rsidRDefault="006B0150" w:rsidP="00D73941">
            <w:pPr>
              <w:keepNext/>
              <w:widowControl/>
              <w:jc w:val="center"/>
              <w:rPr>
                <w:rFonts w:ascii="Arial Narrow" w:hAnsi="Arial Narrow"/>
                <w:b/>
                <w:bCs/>
                <w:sz w:val="19"/>
                <w:szCs w:val="19"/>
              </w:rPr>
            </w:pPr>
            <w:r w:rsidRPr="00EC7A97">
              <w:rPr>
                <w:rFonts w:ascii="Arial Narrow" w:hAnsi="Arial Narrow"/>
                <w:b/>
                <w:sz w:val="20"/>
              </w:rPr>
              <w:t>$</w:t>
            </w:r>
            <w:r w:rsidR="00ED4A35">
              <w:rPr>
                <w:rFonts w:ascii="Arial Narrow" w:hAnsi="Arial Narrow"/>
                <w:b/>
                <w:noProof/>
                <w:color w:val="000000"/>
                <w:sz w:val="20"/>
                <w:highlight w:val="black"/>
              </w:rPr>
              <w:t>''''''''''''''''''''''''</w:t>
            </w:r>
          </w:p>
        </w:tc>
        <w:tc>
          <w:tcPr>
            <w:tcW w:w="711" w:type="pct"/>
            <w:shd w:val="clear" w:color="auto" w:fill="auto"/>
            <w:vAlign w:val="bottom"/>
          </w:tcPr>
          <w:p w:rsidR="006B0150" w:rsidRPr="00EC7A97" w:rsidRDefault="006B0150" w:rsidP="00D73941">
            <w:pPr>
              <w:keepNext/>
              <w:widowControl/>
              <w:jc w:val="center"/>
              <w:rPr>
                <w:rFonts w:ascii="Arial Narrow" w:hAnsi="Arial Narrow"/>
                <w:b/>
                <w:bCs/>
                <w:sz w:val="19"/>
                <w:szCs w:val="19"/>
              </w:rPr>
            </w:pPr>
            <w:r w:rsidRPr="00EC7A97">
              <w:rPr>
                <w:rFonts w:ascii="Arial Narrow" w:hAnsi="Arial Narrow"/>
                <w:b/>
                <w:sz w:val="20"/>
              </w:rPr>
              <w:t>$</w:t>
            </w:r>
            <w:r w:rsidR="00ED4A35">
              <w:rPr>
                <w:rFonts w:ascii="Arial Narrow" w:hAnsi="Arial Narrow"/>
                <w:b/>
                <w:noProof/>
                <w:color w:val="000000"/>
                <w:sz w:val="20"/>
                <w:highlight w:val="black"/>
              </w:rPr>
              <w:t>''''''''''''''''''''</w:t>
            </w:r>
          </w:p>
        </w:tc>
        <w:tc>
          <w:tcPr>
            <w:tcW w:w="711" w:type="pct"/>
            <w:shd w:val="clear" w:color="auto" w:fill="auto"/>
            <w:vAlign w:val="bottom"/>
          </w:tcPr>
          <w:p w:rsidR="006B0150" w:rsidRPr="00EC7A97" w:rsidRDefault="006B0150" w:rsidP="00D73941">
            <w:pPr>
              <w:keepNext/>
              <w:widowControl/>
              <w:jc w:val="center"/>
              <w:rPr>
                <w:rFonts w:ascii="Arial Narrow" w:hAnsi="Arial Narrow"/>
                <w:b/>
                <w:bCs/>
                <w:sz w:val="19"/>
                <w:szCs w:val="19"/>
              </w:rPr>
            </w:pPr>
            <w:r w:rsidRPr="00EC7A97">
              <w:rPr>
                <w:rFonts w:ascii="Arial Narrow" w:hAnsi="Arial Narrow"/>
                <w:b/>
                <w:sz w:val="20"/>
              </w:rPr>
              <w:t>$</w:t>
            </w:r>
            <w:r w:rsidR="00ED4A35">
              <w:rPr>
                <w:rFonts w:ascii="Arial Narrow" w:hAnsi="Arial Narrow"/>
                <w:b/>
                <w:noProof/>
                <w:color w:val="000000"/>
                <w:sz w:val="20"/>
                <w:highlight w:val="black"/>
              </w:rPr>
              <w:t>''''''''''''''''''''''</w:t>
            </w:r>
          </w:p>
        </w:tc>
      </w:tr>
    </w:tbl>
    <w:p w:rsidR="006B0150" w:rsidRPr="004C63C0" w:rsidRDefault="006B0150" w:rsidP="00D73941">
      <w:pPr>
        <w:widowControl/>
        <w:ind w:firstLine="720"/>
        <w:rPr>
          <w:rStyle w:val="CommentReference"/>
          <w:b w:val="0"/>
          <w:sz w:val="18"/>
          <w:szCs w:val="18"/>
        </w:rPr>
      </w:pPr>
      <w:r w:rsidRPr="004C63C0">
        <w:rPr>
          <w:rStyle w:val="CommentReference"/>
          <w:b w:val="0"/>
          <w:sz w:val="18"/>
          <w:szCs w:val="18"/>
        </w:rPr>
        <w:t>Source: Table E.2-5, Table E.2-6, pp212-213 of the submission</w:t>
      </w:r>
    </w:p>
    <w:p w:rsidR="006B0150" w:rsidRDefault="006B0150" w:rsidP="00D73941">
      <w:pPr>
        <w:widowControl/>
        <w:rPr>
          <w:szCs w:val="22"/>
        </w:rPr>
      </w:pPr>
    </w:p>
    <w:p w:rsidR="00495802" w:rsidRDefault="00495802" w:rsidP="00D73941">
      <w:pPr>
        <w:pStyle w:val="ListParagraph"/>
        <w:widowControl/>
        <w:numPr>
          <w:ilvl w:val="1"/>
          <w:numId w:val="2"/>
        </w:numPr>
        <w:rPr>
          <w:szCs w:val="22"/>
        </w:rPr>
      </w:pPr>
      <w:r>
        <w:rPr>
          <w:szCs w:val="22"/>
        </w:rPr>
        <w:t xml:space="preserve">The redacted table above shows that there is estimated to be less than 10,000 patients treated per year by year 5. The estimated financial expenditure is less than $10 million in year 1 increasing to $10 - $20 million per year in year 5. </w:t>
      </w:r>
    </w:p>
    <w:p w:rsidR="00495802" w:rsidRDefault="00495802" w:rsidP="00495802">
      <w:pPr>
        <w:pStyle w:val="ListParagraph"/>
        <w:widowControl/>
        <w:rPr>
          <w:szCs w:val="22"/>
        </w:rPr>
      </w:pPr>
    </w:p>
    <w:p w:rsidR="006B0150" w:rsidRDefault="006B0150" w:rsidP="00D73941">
      <w:pPr>
        <w:pStyle w:val="ListParagraph"/>
        <w:widowControl/>
        <w:numPr>
          <w:ilvl w:val="1"/>
          <w:numId w:val="2"/>
        </w:numPr>
        <w:rPr>
          <w:szCs w:val="22"/>
        </w:rPr>
      </w:pPr>
      <w:r w:rsidRPr="002C4B58">
        <w:rPr>
          <w:szCs w:val="22"/>
        </w:rPr>
        <w:t>There was limited epidemiological evidence to reliably determine the prevalence of IPF in Australia. Epidemiological studies located by the submission reported prevalence rates that varied from 1.25/100,000 to 27.9/100,000. While an average prevalence rate (</w:t>
      </w:r>
      <w:r w:rsidR="00ED4A35">
        <w:rPr>
          <w:noProof/>
          <w:color w:val="000000"/>
          <w:szCs w:val="22"/>
          <w:highlight w:val="black"/>
        </w:rPr>
        <w:t>''''''''''''''''''''''''''''''''''</w:t>
      </w:r>
      <w:r w:rsidRPr="002C4B58">
        <w:rPr>
          <w:szCs w:val="22"/>
        </w:rPr>
        <w:t>) was applied in the financial estimates, this</w:t>
      </w:r>
      <w:r w:rsidR="00783A66">
        <w:rPr>
          <w:szCs w:val="22"/>
        </w:rPr>
        <w:t xml:space="preserve"> wa</w:t>
      </w:r>
      <w:r w:rsidR="00012BEC">
        <w:rPr>
          <w:szCs w:val="22"/>
        </w:rPr>
        <w:t>s likely to be underestimated</w:t>
      </w:r>
      <w:r w:rsidRPr="002C4B58">
        <w:rPr>
          <w:szCs w:val="22"/>
        </w:rPr>
        <w:t xml:space="preserve"> given the inclusion of non-population</w:t>
      </w:r>
      <w:r w:rsidR="00012BEC">
        <w:rPr>
          <w:szCs w:val="22"/>
        </w:rPr>
        <w:t xml:space="preserve"> based studies in the analysis.</w:t>
      </w:r>
      <w:r w:rsidRPr="002C4B58">
        <w:rPr>
          <w:szCs w:val="22"/>
        </w:rPr>
        <w:t xml:space="preserve"> In addition, the uptake rate applied by the submission was highly conservative (</w:t>
      </w:r>
      <w:r w:rsidR="00ED4A35">
        <w:rPr>
          <w:noProof/>
          <w:color w:val="000000"/>
          <w:szCs w:val="22"/>
          <w:highlight w:val="black"/>
        </w:rPr>
        <w:t>''''''</w:t>
      </w:r>
      <w:r w:rsidRPr="002C4B58">
        <w:rPr>
          <w:szCs w:val="22"/>
        </w:rPr>
        <w:t xml:space="preserve">% in Year 1 increasing to </w:t>
      </w:r>
      <w:r w:rsidR="00ED4A35">
        <w:rPr>
          <w:noProof/>
          <w:color w:val="000000"/>
          <w:szCs w:val="22"/>
          <w:highlight w:val="black"/>
        </w:rPr>
        <w:t>''''''</w:t>
      </w:r>
      <w:r w:rsidRPr="002C4B58">
        <w:rPr>
          <w:szCs w:val="22"/>
        </w:rPr>
        <w:t xml:space="preserve">% in Year 5). No other specific IPF therapies are readily available in the Australian market. The accuracy of the estimated net costs may be further compromised by the prevalence only approach used </w:t>
      </w:r>
      <w:r w:rsidR="00DB5ACB">
        <w:rPr>
          <w:szCs w:val="22"/>
        </w:rPr>
        <w:t xml:space="preserve">in </w:t>
      </w:r>
      <w:r w:rsidRPr="002C4B58">
        <w:rPr>
          <w:szCs w:val="22"/>
        </w:rPr>
        <w:t>the financial model</w:t>
      </w:r>
      <w:r w:rsidR="00DB5ACB">
        <w:rPr>
          <w:szCs w:val="22"/>
        </w:rPr>
        <w:t xml:space="preserve"> which applied an average prevalence rate of </w:t>
      </w:r>
      <w:r w:rsidR="00ED4A35">
        <w:rPr>
          <w:noProof/>
          <w:color w:val="000000"/>
          <w:szCs w:val="22"/>
          <w:highlight w:val="black"/>
        </w:rPr>
        <w:t>'''''''''''''''''''''''''''''''''</w:t>
      </w:r>
      <w:r w:rsidR="00DB5ACB">
        <w:rPr>
          <w:szCs w:val="22"/>
        </w:rPr>
        <w:t xml:space="preserve"> per year</w:t>
      </w:r>
      <w:r w:rsidRPr="002C4B58">
        <w:rPr>
          <w:szCs w:val="22"/>
        </w:rPr>
        <w:t>.</w:t>
      </w:r>
      <w:r w:rsidR="00983B9C" w:rsidRPr="002C4B58">
        <w:rPr>
          <w:szCs w:val="22"/>
        </w:rPr>
        <w:t xml:space="preserve"> Without an incident population, the financial model was unable to </w:t>
      </w:r>
      <w:r w:rsidR="00492C60">
        <w:rPr>
          <w:szCs w:val="22"/>
        </w:rPr>
        <w:t>estimate the number of new</w:t>
      </w:r>
      <w:r w:rsidR="00492C60" w:rsidRPr="002C4B58">
        <w:rPr>
          <w:szCs w:val="22"/>
        </w:rPr>
        <w:t xml:space="preserve"> </w:t>
      </w:r>
      <w:r w:rsidR="00492C60">
        <w:rPr>
          <w:szCs w:val="22"/>
        </w:rPr>
        <w:t xml:space="preserve">IPF patients that would enter the PBS population each year </w:t>
      </w:r>
      <w:r w:rsidR="00983B9C" w:rsidRPr="002C4B58">
        <w:rPr>
          <w:szCs w:val="22"/>
        </w:rPr>
        <w:t>or consider the expected treatment duration over the 5 year estimates.</w:t>
      </w:r>
    </w:p>
    <w:p w:rsidR="00F569A1" w:rsidRPr="002C4B58" w:rsidRDefault="00F569A1" w:rsidP="00D73941">
      <w:pPr>
        <w:pStyle w:val="ListParagraph"/>
        <w:widowControl/>
        <w:rPr>
          <w:szCs w:val="22"/>
        </w:rPr>
      </w:pPr>
    </w:p>
    <w:p w:rsidR="002C4B58" w:rsidRPr="00012BEC" w:rsidRDefault="003542F0" w:rsidP="00D73941">
      <w:pPr>
        <w:pStyle w:val="ListParagraph"/>
        <w:widowControl/>
        <w:numPr>
          <w:ilvl w:val="1"/>
          <w:numId w:val="2"/>
        </w:numPr>
        <w:rPr>
          <w:szCs w:val="22"/>
        </w:rPr>
      </w:pPr>
      <w:r w:rsidRPr="00012BEC">
        <w:rPr>
          <w:bCs/>
          <w:szCs w:val="22"/>
        </w:rPr>
        <w:t xml:space="preserve">This submission was considered by </w:t>
      </w:r>
      <w:r w:rsidR="00012BEC">
        <w:rPr>
          <w:bCs/>
          <w:szCs w:val="22"/>
        </w:rPr>
        <w:t xml:space="preserve">the </w:t>
      </w:r>
      <w:r w:rsidRPr="00012BEC">
        <w:rPr>
          <w:bCs/>
          <w:szCs w:val="22"/>
        </w:rPr>
        <w:t xml:space="preserve">DUSC. </w:t>
      </w:r>
      <w:r w:rsidR="00012BEC">
        <w:rPr>
          <w:bCs/>
          <w:szCs w:val="22"/>
        </w:rPr>
        <w:t xml:space="preserve">The </w:t>
      </w:r>
      <w:r w:rsidR="006B0150" w:rsidRPr="00012BEC">
        <w:rPr>
          <w:szCs w:val="22"/>
        </w:rPr>
        <w:t xml:space="preserve">DUSC considered that the submission </w:t>
      </w:r>
      <w:r w:rsidR="002C4B58" w:rsidRPr="00012BEC">
        <w:rPr>
          <w:szCs w:val="22"/>
        </w:rPr>
        <w:t>had</w:t>
      </w:r>
      <w:r w:rsidR="006B0150" w:rsidRPr="00012BEC">
        <w:rPr>
          <w:szCs w:val="22"/>
        </w:rPr>
        <w:t xml:space="preserve"> underestimated the likely utilisation and budget impact resulting from the proposed listing of nintedanib for IPF</w:t>
      </w:r>
      <w:r w:rsidR="00983B9C">
        <w:rPr>
          <w:szCs w:val="22"/>
        </w:rPr>
        <w:t xml:space="preserve"> due to the following:</w:t>
      </w:r>
      <w:r w:rsidR="006B0150" w:rsidRPr="00012BEC">
        <w:rPr>
          <w:szCs w:val="22"/>
        </w:rPr>
        <w:t xml:space="preserve"> </w:t>
      </w:r>
    </w:p>
    <w:p w:rsidR="002C4B58" w:rsidRPr="00012BEC" w:rsidRDefault="006B0150" w:rsidP="00D73941">
      <w:pPr>
        <w:pStyle w:val="ListParagraph"/>
        <w:widowControl/>
        <w:numPr>
          <w:ilvl w:val="1"/>
          <w:numId w:val="27"/>
        </w:numPr>
        <w:ind w:left="1134" w:hanging="425"/>
        <w:rPr>
          <w:szCs w:val="22"/>
        </w:rPr>
      </w:pPr>
      <w:r w:rsidRPr="00012BEC">
        <w:rPr>
          <w:szCs w:val="22"/>
        </w:rPr>
        <w:t>The prevalence of IPF and the rate of uptake of nintedanib are li</w:t>
      </w:r>
      <w:r w:rsidR="002C4B58" w:rsidRPr="00012BEC">
        <w:rPr>
          <w:szCs w:val="22"/>
        </w:rPr>
        <w:t>kely to be higher than proposed. Limiting the analysis to population based studies resulted in an average prevalence of 14.4 per 100,000.</w:t>
      </w:r>
      <w:r w:rsidRPr="00012BEC">
        <w:rPr>
          <w:szCs w:val="22"/>
        </w:rPr>
        <w:t xml:space="preserve"> </w:t>
      </w:r>
    </w:p>
    <w:p w:rsidR="002C4B58" w:rsidRPr="00012BEC" w:rsidRDefault="002C4B58" w:rsidP="00D73941">
      <w:pPr>
        <w:pStyle w:val="ListParagraph"/>
        <w:widowControl/>
        <w:numPr>
          <w:ilvl w:val="1"/>
          <w:numId w:val="27"/>
        </w:numPr>
        <w:ind w:left="1134" w:hanging="425"/>
        <w:rPr>
          <w:szCs w:val="22"/>
        </w:rPr>
      </w:pPr>
      <w:r w:rsidRPr="00012BEC">
        <w:rPr>
          <w:szCs w:val="22"/>
        </w:rPr>
        <w:t xml:space="preserve">The submission applied an “Accuracy of diagnosis” rate of 87% to the estimated prevalent IPF population. </w:t>
      </w:r>
      <w:r w:rsidR="00012BEC">
        <w:rPr>
          <w:szCs w:val="22"/>
        </w:rPr>
        <w:t xml:space="preserve">The </w:t>
      </w:r>
      <w:r w:rsidRPr="00012BEC">
        <w:rPr>
          <w:szCs w:val="22"/>
        </w:rPr>
        <w:t xml:space="preserve">DUSC considered that this reduction was not necessary as the studies used to estimate prevalence only included diagnosed patients. </w:t>
      </w:r>
    </w:p>
    <w:p w:rsidR="002C4B58" w:rsidRPr="00012BEC" w:rsidRDefault="002C4B58" w:rsidP="00D73941">
      <w:pPr>
        <w:pStyle w:val="ListParagraph"/>
        <w:widowControl/>
        <w:numPr>
          <w:ilvl w:val="1"/>
          <w:numId w:val="27"/>
        </w:numPr>
        <w:ind w:left="1134" w:hanging="425"/>
        <w:rPr>
          <w:szCs w:val="22"/>
        </w:rPr>
      </w:pPr>
      <w:r w:rsidRPr="00012BEC">
        <w:rPr>
          <w:szCs w:val="22"/>
        </w:rPr>
        <w:t xml:space="preserve">Given that IPF is a progressive and ultimately fatal disease, with no other specific therapies available in Australia, </w:t>
      </w:r>
      <w:r w:rsidR="00012BEC">
        <w:rPr>
          <w:szCs w:val="22"/>
        </w:rPr>
        <w:t xml:space="preserve">the </w:t>
      </w:r>
      <w:r w:rsidRPr="00012BEC">
        <w:rPr>
          <w:szCs w:val="22"/>
        </w:rPr>
        <w:t xml:space="preserve">DUSC considered that uptake in the eligible population would be substantial. </w:t>
      </w:r>
      <w:r w:rsidR="00012BEC">
        <w:rPr>
          <w:szCs w:val="22"/>
        </w:rPr>
        <w:t xml:space="preserve">The </w:t>
      </w:r>
      <w:r w:rsidRPr="00012BEC">
        <w:rPr>
          <w:szCs w:val="22"/>
        </w:rPr>
        <w:t>DUSC recommended a revised uptake rate of 60% in Year 1 increasing to 100% in Year 5.</w:t>
      </w:r>
    </w:p>
    <w:p w:rsidR="006B0150" w:rsidRPr="002C4B58" w:rsidRDefault="00012BEC" w:rsidP="00D73941">
      <w:pPr>
        <w:widowControl/>
        <w:ind w:left="709"/>
        <w:rPr>
          <w:szCs w:val="22"/>
        </w:rPr>
      </w:pPr>
      <w:r>
        <w:rPr>
          <w:szCs w:val="22"/>
        </w:rPr>
        <w:t xml:space="preserve">The </w:t>
      </w:r>
      <w:r w:rsidR="006B0150" w:rsidRPr="00012BEC">
        <w:rPr>
          <w:szCs w:val="22"/>
        </w:rPr>
        <w:t>DUSC considered that the net cost to the PBS for listing nintedanib could be approximately triple the submission Year 1 estimates and approximately double the submission Year 5 estimates.</w:t>
      </w:r>
    </w:p>
    <w:p w:rsidR="006B0150" w:rsidRPr="009C4A39" w:rsidRDefault="006B0150" w:rsidP="00D73941">
      <w:pPr>
        <w:widowControl/>
        <w:rPr>
          <w:highlight w:val="yellow"/>
        </w:rPr>
      </w:pPr>
    </w:p>
    <w:p w:rsidR="003A0088" w:rsidRPr="002C4B58" w:rsidRDefault="00012BEC" w:rsidP="00D73941">
      <w:pPr>
        <w:pStyle w:val="ListParagraph"/>
        <w:widowControl/>
        <w:numPr>
          <w:ilvl w:val="1"/>
          <w:numId w:val="2"/>
        </w:numPr>
        <w:rPr>
          <w:szCs w:val="22"/>
        </w:rPr>
      </w:pPr>
      <w:r>
        <w:lastRenderedPageBreak/>
        <w:t>In addition, t</w:t>
      </w:r>
      <w:r w:rsidR="00C2473D" w:rsidRPr="002C4B58">
        <w:t xml:space="preserve">he ESC noted that estimates of use and financial implications were based on uncertain incidence and prevalence of IPF in Australia. The ESC considered that incidence and prevalence </w:t>
      </w:r>
      <w:r w:rsidR="00B62355" w:rsidRPr="002C4B58">
        <w:t xml:space="preserve">of IPF </w:t>
      </w:r>
      <w:r w:rsidR="006819E3" w:rsidRPr="002C4B58">
        <w:t xml:space="preserve">to date may </w:t>
      </w:r>
      <w:r w:rsidR="00C2473D" w:rsidRPr="002C4B58">
        <w:t xml:space="preserve">be underestimated </w:t>
      </w:r>
      <w:r w:rsidR="003A0088" w:rsidRPr="002C4B58">
        <w:rPr>
          <w:szCs w:val="22"/>
        </w:rPr>
        <w:t>given the</w:t>
      </w:r>
      <w:r w:rsidR="00C2473D" w:rsidRPr="002C4B58">
        <w:rPr>
          <w:szCs w:val="22"/>
        </w:rPr>
        <w:t xml:space="preserve"> </w:t>
      </w:r>
      <w:r w:rsidR="006819E3" w:rsidRPr="002C4B58">
        <w:rPr>
          <w:szCs w:val="22"/>
        </w:rPr>
        <w:t xml:space="preserve">absence of an effective treatment and the limited use of the major diagnostic test, </w:t>
      </w:r>
      <w:r w:rsidR="003A0088" w:rsidRPr="002C4B58">
        <w:rPr>
          <w:szCs w:val="22"/>
        </w:rPr>
        <w:t xml:space="preserve">HRCT </w:t>
      </w:r>
      <w:r w:rsidR="00B62355" w:rsidRPr="002C4B58">
        <w:rPr>
          <w:szCs w:val="22"/>
        </w:rPr>
        <w:t>c</w:t>
      </w:r>
      <w:r w:rsidR="003A0088" w:rsidRPr="002C4B58">
        <w:rPr>
          <w:szCs w:val="22"/>
        </w:rPr>
        <w:t xml:space="preserve">hest scanning. </w:t>
      </w:r>
      <w:r w:rsidR="004D0680" w:rsidRPr="002C4B58">
        <w:rPr>
          <w:szCs w:val="22"/>
        </w:rPr>
        <w:t>The ESC noted</w:t>
      </w:r>
      <w:r w:rsidR="003A0088" w:rsidRPr="002C4B58">
        <w:rPr>
          <w:szCs w:val="22"/>
        </w:rPr>
        <w:t xml:space="preserve"> </w:t>
      </w:r>
      <w:r w:rsidR="004D0680" w:rsidRPr="002C4B58">
        <w:rPr>
          <w:szCs w:val="22"/>
        </w:rPr>
        <w:t xml:space="preserve">that </w:t>
      </w:r>
      <w:r w:rsidR="003A0088" w:rsidRPr="002C4B58">
        <w:rPr>
          <w:szCs w:val="22"/>
        </w:rPr>
        <w:t xml:space="preserve">Raghu et al (2014) analysed a 5% random sample of </w:t>
      </w:r>
      <w:r w:rsidR="004D0680" w:rsidRPr="002C4B58">
        <w:rPr>
          <w:szCs w:val="22"/>
        </w:rPr>
        <w:t xml:space="preserve">US </w:t>
      </w:r>
      <w:r w:rsidR="003A0088" w:rsidRPr="002C4B58">
        <w:rPr>
          <w:szCs w:val="22"/>
        </w:rPr>
        <w:t xml:space="preserve">Medicare beneficiaries (age &gt;65) from 2000 to 2011 and found a </w:t>
      </w:r>
      <w:r w:rsidR="004D0680" w:rsidRPr="002C4B58">
        <w:rPr>
          <w:szCs w:val="22"/>
        </w:rPr>
        <w:t xml:space="preserve">stable </w:t>
      </w:r>
      <w:r w:rsidR="003A0088" w:rsidRPr="002C4B58">
        <w:rPr>
          <w:szCs w:val="22"/>
        </w:rPr>
        <w:t xml:space="preserve">incidence </w:t>
      </w:r>
      <w:r w:rsidR="004D0680" w:rsidRPr="002C4B58">
        <w:rPr>
          <w:szCs w:val="22"/>
        </w:rPr>
        <w:t>rate of 93.7 per 100,000 person years</w:t>
      </w:r>
      <w:r w:rsidR="003A0088" w:rsidRPr="002C4B58">
        <w:rPr>
          <w:szCs w:val="22"/>
        </w:rPr>
        <w:t xml:space="preserve"> and </w:t>
      </w:r>
      <w:r w:rsidR="004D0680" w:rsidRPr="002C4B58">
        <w:rPr>
          <w:szCs w:val="22"/>
        </w:rPr>
        <w:t xml:space="preserve">increasing </w:t>
      </w:r>
      <w:r w:rsidR="003A0088" w:rsidRPr="002C4B58">
        <w:rPr>
          <w:szCs w:val="22"/>
        </w:rPr>
        <w:t xml:space="preserve">prevalence </w:t>
      </w:r>
      <w:r w:rsidR="0079510F" w:rsidRPr="002C4B58">
        <w:rPr>
          <w:szCs w:val="22"/>
        </w:rPr>
        <w:t xml:space="preserve">from 202 per 100,000 in 2001 to 494 per </w:t>
      </w:r>
      <w:r w:rsidR="003A0088" w:rsidRPr="002C4B58">
        <w:rPr>
          <w:szCs w:val="22"/>
        </w:rPr>
        <w:t>100,000 in 2011</w:t>
      </w:r>
      <w:r w:rsidR="004D0680" w:rsidRPr="002C4B58">
        <w:rPr>
          <w:szCs w:val="22"/>
        </w:rPr>
        <w:t>,</w:t>
      </w:r>
      <w:r w:rsidR="003A0088" w:rsidRPr="002C4B58">
        <w:rPr>
          <w:szCs w:val="22"/>
        </w:rPr>
        <w:t xml:space="preserve"> with medi</w:t>
      </w:r>
      <w:r w:rsidR="00FB52B8" w:rsidRPr="002C4B58">
        <w:rPr>
          <w:szCs w:val="22"/>
        </w:rPr>
        <w:t>an survival increasing from 3.3 </w:t>
      </w:r>
      <w:r w:rsidR="003A0088" w:rsidRPr="002C4B58">
        <w:rPr>
          <w:szCs w:val="22"/>
        </w:rPr>
        <w:t>years to 4.0 from 2001 to 2007.</w:t>
      </w:r>
    </w:p>
    <w:p w:rsidR="008C5466" w:rsidRPr="008C5466" w:rsidRDefault="008C5466" w:rsidP="00D73941">
      <w:pPr>
        <w:pStyle w:val="ListParagraph"/>
        <w:widowControl/>
        <w:rPr>
          <w:szCs w:val="22"/>
          <w:highlight w:val="yellow"/>
        </w:rPr>
      </w:pPr>
    </w:p>
    <w:p w:rsidR="008C5466" w:rsidRPr="008C5466" w:rsidRDefault="008C5466" w:rsidP="00EC7A97">
      <w:pPr>
        <w:pStyle w:val="ListParagraph"/>
        <w:widowControl/>
        <w:numPr>
          <w:ilvl w:val="1"/>
          <w:numId w:val="2"/>
        </w:numPr>
        <w:rPr>
          <w:szCs w:val="22"/>
        </w:rPr>
      </w:pPr>
      <w:r w:rsidRPr="008C5466">
        <w:rPr>
          <w:szCs w:val="22"/>
        </w:rPr>
        <w:t xml:space="preserve">The </w:t>
      </w:r>
      <w:r>
        <w:rPr>
          <w:szCs w:val="22"/>
        </w:rPr>
        <w:t>Pre-PBAC Response accepted that the prevalence rate of 14.4/100,000 suggested by</w:t>
      </w:r>
      <w:r w:rsidR="00012BEC">
        <w:rPr>
          <w:szCs w:val="22"/>
        </w:rPr>
        <w:t xml:space="preserve"> the</w:t>
      </w:r>
      <w:r>
        <w:rPr>
          <w:szCs w:val="22"/>
        </w:rPr>
        <w:t xml:space="preserve"> DUSC was reasonable. </w:t>
      </w:r>
      <w:r w:rsidR="000F6EEC">
        <w:rPr>
          <w:szCs w:val="22"/>
        </w:rPr>
        <w:t xml:space="preserve">The Pre-PBAC Response presented revised financial estimates incorporating this revised prevalence rate and </w:t>
      </w:r>
      <w:r w:rsidR="008206AE">
        <w:rPr>
          <w:szCs w:val="22"/>
        </w:rPr>
        <w:t xml:space="preserve">diagnosis and uptake rates and </w:t>
      </w:r>
      <w:r w:rsidR="000F6EEC">
        <w:rPr>
          <w:szCs w:val="22"/>
        </w:rPr>
        <w:t xml:space="preserve">methodology </w:t>
      </w:r>
      <w:r w:rsidR="00983B9C">
        <w:rPr>
          <w:szCs w:val="22"/>
        </w:rPr>
        <w:t xml:space="preserve">recommended by the DUSC </w:t>
      </w:r>
      <w:r w:rsidR="000F6EEC">
        <w:rPr>
          <w:szCs w:val="22"/>
        </w:rPr>
        <w:t>to account for the proposed RSA. The listing of</w:t>
      </w:r>
      <w:r w:rsidR="00783A66">
        <w:rPr>
          <w:szCs w:val="22"/>
        </w:rPr>
        <w:t xml:space="preserve"> nintedanib on the PBS for IPF wa</w:t>
      </w:r>
      <w:r w:rsidR="000F6EEC">
        <w:rPr>
          <w:szCs w:val="22"/>
        </w:rPr>
        <w:t xml:space="preserve">s estimated in the </w:t>
      </w:r>
      <w:r w:rsidR="000F6EEC" w:rsidRPr="00EC7A97">
        <w:rPr>
          <w:szCs w:val="22"/>
        </w:rPr>
        <w:t>revised estimates to be $</w:t>
      </w:r>
      <w:r w:rsidR="00ED4A35">
        <w:rPr>
          <w:noProof/>
          <w:color w:val="000000"/>
          <w:szCs w:val="22"/>
          <w:highlight w:val="black"/>
        </w:rPr>
        <w:t>'''''''''''' '''''''''''''''</w:t>
      </w:r>
      <w:r w:rsidR="000F6EEC" w:rsidRPr="00EC7A97">
        <w:rPr>
          <w:szCs w:val="22"/>
        </w:rPr>
        <w:t xml:space="preserve"> in Year 1</w:t>
      </w:r>
      <w:r w:rsidR="008206AE" w:rsidRPr="00EC7A97">
        <w:rPr>
          <w:szCs w:val="22"/>
        </w:rPr>
        <w:t xml:space="preserve"> (with </w:t>
      </w:r>
      <w:r w:rsidR="00214DCC" w:rsidRPr="00EC7A97">
        <w:rPr>
          <w:szCs w:val="22"/>
        </w:rPr>
        <w:t xml:space="preserve">less than 10,000 </w:t>
      </w:r>
      <w:r w:rsidR="008206AE" w:rsidRPr="00214DCC">
        <w:rPr>
          <w:szCs w:val="22"/>
        </w:rPr>
        <w:t>patients</w:t>
      </w:r>
      <w:r w:rsidR="00EC7A97" w:rsidRPr="00EC7A97">
        <w:rPr>
          <w:szCs w:val="22"/>
        </w:rPr>
        <w:t xml:space="preserve"> </w:t>
      </w:r>
      <w:r w:rsidR="008206AE" w:rsidRPr="00EC7A97">
        <w:rPr>
          <w:szCs w:val="22"/>
        </w:rPr>
        <w:t>treated)</w:t>
      </w:r>
      <w:r w:rsidR="000F6EEC" w:rsidRPr="00EC7A97">
        <w:rPr>
          <w:szCs w:val="22"/>
        </w:rPr>
        <w:t>, increasing to $</w:t>
      </w:r>
      <w:r w:rsidR="00ED4A35">
        <w:rPr>
          <w:noProof/>
          <w:color w:val="000000"/>
          <w:szCs w:val="22"/>
          <w:highlight w:val="black"/>
        </w:rPr>
        <w:t>'''''''''' ''''''''''''''''</w:t>
      </w:r>
      <w:r w:rsidR="000F6EEC" w:rsidRPr="00EC7A97">
        <w:rPr>
          <w:szCs w:val="22"/>
        </w:rPr>
        <w:t xml:space="preserve"> in Year 5</w:t>
      </w:r>
      <w:r w:rsidR="008206AE" w:rsidRPr="00EC7A97">
        <w:rPr>
          <w:szCs w:val="22"/>
        </w:rPr>
        <w:t xml:space="preserve"> (with </w:t>
      </w:r>
      <w:r w:rsidR="00214DCC" w:rsidRPr="00EC7A97">
        <w:rPr>
          <w:szCs w:val="22"/>
        </w:rPr>
        <w:t xml:space="preserve">less than 10,000 </w:t>
      </w:r>
      <w:r w:rsidR="00214DCC">
        <w:rPr>
          <w:szCs w:val="22"/>
        </w:rPr>
        <w:t>patients</w:t>
      </w:r>
      <w:r w:rsidR="008206AE" w:rsidRPr="00EC7A97">
        <w:rPr>
          <w:szCs w:val="22"/>
        </w:rPr>
        <w:t>)</w:t>
      </w:r>
      <w:r w:rsidR="000F6EEC" w:rsidRPr="00EC7A97">
        <w:rPr>
          <w:szCs w:val="22"/>
        </w:rPr>
        <w:t>.</w:t>
      </w:r>
    </w:p>
    <w:p w:rsidR="00576972" w:rsidRDefault="00576972" w:rsidP="00D73941">
      <w:pPr>
        <w:widowControl/>
        <w:rPr>
          <w:szCs w:val="22"/>
        </w:rPr>
      </w:pPr>
    </w:p>
    <w:p w:rsidR="00F16534" w:rsidRPr="00F16534" w:rsidRDefault="00F16534" w:rsidP="00D73941">
      <w:pPr>
        <w:pStyle w:val="PBACHeading1"/>
        <w:numPr>
          <w:ilvl w:val="0"/>
          <w:numId w:val="0"/>
        </w:numPr>
        <w:ind w:left="720"/>
        <w:rPr>
          <w:b w:val="0"/>
          <w:i/>
        </w:rPr>
      </w:pPr>
      <w:r w:rsidRPr="00F16534">
        <w:rPr>
          <w:b w:val="0"/>
          <w:i/>
        </w:rPr>
        <w:t>For more detail on PBAC’s view, see section 7 “PBAC outcome”</w:t>
      </w:r>
    </w:p>
    <w:p w:rsidR="00F16534" w:rsidRDefault="00F16534" w:rsidP="00D73941">
      <w:pPr>
        <w:widowControl/>
        <w:rPr>
          <w:szCs w:val="22"/>
        </w:rPr>
      </w:pPr>
    </w:p>
    <w:p w:rsidR="00576972" w:rsidRPr="00E14A81" w:rsidRDefault="00576972" w:rsidP="00D73941">
      <w:pPr>
        <w:pStyle w:val="Heading2"/>
        <w:keepNext/>
        <w:widowControl/>
        <w:rPr>
          <w:szCs w:val="22"/>
        </w:rPr>
      </w:pPr>
      <w:bookmarkStart w:id="17" w:name="_Toc409510378"/>
      <w:r w:rsidRPr="00E14A81">
        <w:t>Financial Management – Risk Sharing Arrangement</w:t>
      </w:r>
      <w:bookmarkEnd w:id="17"/>
    </w:p>
    <w:p w:rsidR="00C25D9C" w:rsidRPr="00576972" w:rsidRDefault="00C25D9C" w:rsidP="00D73941">
      <w:pPr>
        <w:keepNext/>
        <w:widowControl/>
        <w:rPr>
          <w:szCs w:val="22"/>
        </w:rPr>
      </w:pPr>
    </w:p>
    <w:p w:rsidR="00C25D9C" w:rsidRPr="0052780A" w:rsidRDefault="00983B9C" w:rsidP="00D73941">
      <w:pPr>
        <w:pStyle w:val="ListParagraph"/>
        <w:widowControl/>
        <w:numPr>
          <w:ilvl w:val="1"/>
          <w:numId w:val="2"/>
        </w:numPr>
        <w:rPr>
          <w:szCs w:val="22"/>
        </w:rPr>
      </w:pPr>
      <w:r w:rsidRPr="0052780A">
        <w:rPr>
          <w:szCs w:val="22"/>
        </w:rPr>
        <w:t>For</w:t>
      </w:r>
      <w:r w:rsidR="00043D33" w:rsidRPr="0052780A">
        <w:rPr>
          <w:szCs w:val="22"/>
        </w:rPr>
        <w:t xml:space="preserve"> the IPF submission, a RSA </w:t>
      </w:r>
      <w:r w:rsidR="004D0580" w:rsidRPr="0052780A">
        <w:rPr>
          <w:szCs w:val="22"/>
        </w:rPr>
        <w:t>was</w:t>
      </w:r>
      <w:r w:rsidR="00043D33" w:rsidRPr="0052780A">
        <w:rPr>
          <w:szCs w:val="22"/>
        </w:rPr>
        <w:t xml:space="preserve"> proposed involving a </w:t>
      </w:r>
      <w:r w:rsidR="00ED4A35">
        <w:rPr>
          <w:noProof/>
          <w:color w:val="000000"/>
          <w:szCs w:val="22"/>
          <w:highlight w:val="black"/>
        </w:rPr>
        <w:t>'''''''''</w:t>
      </w:r>
      <w:r w:rsidR="00043D33" w:rsidRPr="0052780A">
        <w:rPr>
          <w:szCs w:val="22"/>
        </w:rPr>
        <w:t>% rebate for nintedanib use in patients with a</w:t>
      </w:r>
      <w:r w:rsidR="0079510F" w:rsidRPr="0052780A">
        <w:rPr>
          <w:szCs w:val="22"/>
        </w:rPr>
        <w:t xml:space="preserve"> FVC less than </w:t>
      </w:r>
      <w:r w:rsidR="00ED4A35">
        <w:rPr>
          <w:noProof/>
          <w:color w:val="000000"/>
          <w:szCs w:val="22"/>
          <w:highlight w:val="black"/>
        </w:rPr>
        <w:t>''''''</w:t>
      </w:r>
      <w:r w:rsidR="00125903" w:rsidRPr="0052780A">
        <w:rPr>
          <w:szCs w:val="22"/>
        </w:rPr>
        <w:t>% of predicted normal.</w:t>
      </w:r>
      <w:r w:rsidR="0079510F" w:rsidRPr="0052780A">
        <w:rPr>
          <w:szCs w:val="22"/>
        </w:rPr>
        <w:t xml:space="preserve"> The proposed restriction requires that patients must have a FVC%Pred of greater than 50%.</w:t>
      </w:r>
    </w:p>
    <w:p w:rsidR="00043D33" w:rsidRPr="006B32BA" w:rsidRDefault="00043D33" w:rsidP="00D73941">
      <w:pPr>
        <w:widowControl/>
        <w:rPr>
          <w:szCs w:val="22"/>
        </w:rPr>
      </w:pPr>
    </w:p>
    <w:p w:rsidR="00043D33" w:rsidRPr="00E22A0D" w:rsidRDefault="00043D33" w:rsidP="00D73941">
      <w:pPr>
        <w:pStyle w:val="ListParagraph"/>
        <w:widowControl/>
        <w:numPr>
          <w:ilvl w:val="1"/>
          <w:numId w:val="2"/>
        </w:numPr>
        <w:rPr>
          <w:szCs w:val="22"/>
        </w:rPr>
      </w:pPr>
      <w:r>
        <w:rPr>
          <w:szCs w:val="22"/>
        </w:rPr>
        <w:t>D</w:t>
      </w:r>
      <w:r w:rsidRPr="00043D33">
        <w:rPr>
          <w:szCs w:val="22"/>
        </w:rPr>
        <w:t>ata from the Australian IPF registry</w:t>
      </w:r>
      <w:r>
        <w:rPr>
          <w:szCs w:val="22"/>
        </w:rPr>
        <w:t xml:space="preserve"> indicated that</w:t>
      </w:r>
      <w:r w:rsidRPr="00043D33">
        <w:rPr>
          <w:szCs w:val="22"/>
        </w:rPr>
        <w:t xml:space="preserve"> </w:t>
      </w:r>
      <w:r w:rsidR="00ED4A35">
        <w:rPr>
          <w:noProof/>
          <w:color w:val="000000"/>
          <w:szCs w:val="22"/>
          <w:highlight w:val="black"/>
        </w:rPr>
        <w:t>''''''''''''</w:t>
      </w:r>
      <w:r w:rsidRPr="00043D33">
        <w:rPr>
          <w:szCs w:val="22"/>
        </w:rPr>
        <w:t>% of patients with IPF have a F</w:t>
      </w:r>
      <w:r w:rsidR="00125903">
        <w:rPr>
          <w:szCs w:val="22"/>
        </w:rPr>
        <w:t xml:space="preserve">VC%Pred of </w:t>
      </w:r>
      <w:r w:rsidR="00ED4A35">
        <w:rPr>
          <w:noProof/>
          <w:color w:val="000000"/>
          <w:szCs w:val="22"/>
          <w:highlight w:val="black"/>
        </w:rPr>
        <w:t>'''''''''''''</w:t>
      </w:r>
      <w:r w:rsidR="00125903">
        <w:rPr>
          <w:szCs w:val="22"/>
        </w:rPr>
        <w:t>%.</w:t>
      </w:r>
      <w:r>
        <w:rPr>
          <w:szCs w:val="22"/>
        </w:rPr>
        <w:t xml:space="preserve"> The submission considered </w:t>
      </w:r>
      <w:r w:rsidRPr="00043D33">
        <w:rPr>
          <w:szCs w:val="22"/>
        </w:rPr>
        <w:t xml:space="preserve">that use of nintedanib in patients with a FVC%Pred </w:t>
      </w:r>
      <w:r w:rsidR="00125903">
        <w:rPr>
          <w:szCs w:val="22"/>
        </w:rPr>
        <w:t xml:space="preserve">of </w:t>
      </w:r>
      <w:r w:rsidR="00125903" w:rsidRPr="00495802">
        <w:rPr>
          <w:szCs w:val="22"/>
        </w:rPr>
        <w:t>&lt;50</w:t>
      </w:r>
      <w:r w:rsidR="00125903">
        <w:rPr>
          <w:szCs w:val="22"/>
        </w:rPr>
        <w:t>% would be minimal.</w:t>
      </w:r>
    </w:p>
    <w:p w:rsidR="00B11630" w:rsidRDefault="00B11630" w:rsidP="00D73941">
      <w:pPr>
        <w:widowControl/>
        <w:rPr>
          <w:szCs w:val="22"/>
        </w:rPr>
      </w:pPr>
    </w:p>
    <w:p w:rsidR="00F16534" w:rsidRPr="00F16534" w:rsidRDefault="00F16534" w:rsidP="00D73941">
      <w:pPr>
        <w:pStyle w:val="PBACHeading1"/>
        <w:numPr>
          <w:ilvl w:val="0"/>
          <w:numId w:val="0"/>
        </w:numPr>
        <w:ind w:left="720"/>
        <w:rPr>
          <w:b w:val="0"/>
          <w:i/>
        </w:rPr>
      </w:pPr>
      <w:r w:rsidRPr="00F16534">
        <w:rPr>
          <w:b w:val="0"/>
          <w:i/>
        </w:rPr>
        <w:t>For more detail on PBAC’s view, see section 7 “PBAC outcome”</w:t>
      </w:r>
    </w:p>
    <w:p w:rsidR="00F16534" w:rsidRDefault="00F16534" w:rsidP="00D73941">
      <w:pPr>
        <w:widowControl/>
        <w:rPr>
          <w:szCs w:val="22"/>
        </w:rPr>
      </w:pPr>
    </w:p>
    <w:p w:rsidR="00DF6A27" w:rsidRPr="00E14A81" w:rsidRDefault="00DF6A27" w:rsidP="00D73941">
      <w:pPr>
        <w:pStyle w:val="Heading2"/>
        <w:keepNext/>
        <w:widowControl/>
      </w:pPr>
      <w:r w:rsidRPr="00E14A81">
        <w:t>Quality Use of Medicines</w:t>
      </w:r>
    </w:p>
    <w:p w:rsidR="00DF6A27" w:rsidRPr="00DF6A27" w:rsidRDefault="00DF6A27" w:rsidP="00D73941">
      <w:pPr>
        <w:keepNext/>
        <w:widowControl/>
      </w:pPr>
    </w:p>
    <w:p w:rsidR="00DF6A27" w:rsidRDefault="009B611D" w:rsidP="00D73941">
      <w:pPr>
        <w:pStyle w:val="ListParagraph"/>
        <w:widowControl/>
        <w:numPr>
          <w:ilvl w:val="1"/>
          <w:numId w:val="2"/>
        </w:numPr>
      </w:pPr>
      <w:r w:rsidRPr="00F16534">
        <w:t>The subm</w:t>
      </w:r>
      <w:r w:rsidR="00D65B1E" w:rsidRPr="00F16534">
        <w:t>ission indicated</w:t>
      </w:r>
      <w:r w:rsidRPr="00F16534">
        <w:t xml:space="preserve"> that </w:t>
      </w:r>
      <w:r w:rsidR="00983B9C">
        <w:t xml:space="preserve">the sponsor would </w:t>
      </w:r>
      <w:r w:rsidRPr="00F16534">
        <w:t>support education activities for prescribers and patients.</w:t>
      </w:r>
    </w:p>
    <w:p w:rsidR="003542F0" w:rsidRDefault="003542F0" w:rsidP="00D73941">
      <w:pPr>
        <w:pStyle w:val="ListParagraph"/>
        <w:widowControl/>
      </w:pPr>
    </w:p>
    <w:p w:rsidR="003542F0" w:rsidRPr="00012BEC" w:rsidRDefault="00012BEC" w:rsidP="00D73941">
      <w:pPr>
        <w:pStyle w:val="ListParagraph"/>
        <w:widowControl/>
        <w:numPr>
          <w:ilvl w:val="1"/>
          <w:numId w:val="2"/>
        </w:numPr>
      </w:pPr>
      <w:r>
        <w:t xml:space="preserve">The </w:t>
      </w:r>
      <w:r w:rsidR="003542F0" w:rsidRPr="00012BEC">
        <w:t>DUSC considered that diagnosis of IPF is complex, and despite the restriction requiring diagnosis of IPF by a respiratory physician or a specialist physician as part of a multi</w:t>
      </w:r>
      <w:r w:rsidR="0031692C">
        <w:t>-</w:t>
      </w:r>
      <w:r w:rsidR="003542F0" w:rsidRPr="00012BEC">
        <w:t>disciplinary team, that there may be misclassification of other fibrotic lung conditions (</w:t>
      </w:r>
      <w:r w:rsidR="002052D3" w:rsidRPr="00012BEC">
        <w:t>i.e.</w:t>
      </w:r>
      <w:r w:rsidR="003542F0" w:rsidRPr="00012BEC">
        <w:t xml:space="preserve"> false positives). </w:t>
      </w:r>
    </w:p>
    <w:p w:rsidR="003542F0" w:rsidRPr="00012BEC" w:rsidRDefault="003542F0" w:rsidP="00D73941">
      <w:pPr>
        <w:widowControl/>
      </w:pPr>
    </w:p>
    <w:p w:rsidR="00DF6A27" w:rsidRPr="00012BEC" w:rsidRDefault="003542F0" w:rsidP="00D73941">
      <w:pPr>
        <w:pStyle w:val="ListParagraph"/>
        <w:widowControl/>
        <w:numPr>
          <w:ilvl w:val="1"/>
          <w:numId w:val="2"/>
        </w:numPr>
      </w:pPr>
      <w:r w:rsidRPr="00012BEC">
        <w:t xml:space="preserve">Based on the number of patients requiring at least one dose reduction due to tolerability issues in the clinical trials, the submission estimated that 24% of patients </w:t>
      </w:r>
      <w:r w:rsidR="00983B9C">
        <w:t>would</w:t>
      </w:r>
      <w:r w:rsidR="00983B9C" w:rsidRPr="00012BEC">
        <w:t xml:space="preserve"> </w:t>
      </w:r>
      <w:r w:rsidRPr="00012BEC">
        <w:t xml:space="preserve">be on the 100mg dose. </w:t>
      </w:r>
      <w:r w:rsidR="00012BEC">
        <w:t xml:space="preserve">The </w:t>
      </w:r>
      <w:r w:rsidRPr="00012BEC">
        <w:t xml:space="preserve">DUSC noted that side effects were common at the 150mg dose with 60% of patients experiencing diarrhoea, 25% nausea and 12% vomiting. </w:t>
      </w:r>
      <w:r w:rsidR="00012BEC">
        <w:t xml:space="preserve">The </w:t>
      </w:r>
      <w:r w:rsidRPr="00012BEC">
        <w:t xml:space="preserve">DUSC recommended that if nintedanib is listed on the PBS for IPF that the Predicted versus Actual utilisation review should assess the proportion of use of the 100mg dose, and the duration of dose reductions or interruptions. </w:t>
      </w:r>
    </w:p>
    <w:p w:rsidR="00C361A9" w:rsidRDefault="00C361A9" w:rsidP="00D73941">
      <w:pPr>
        <w:widowControl/>
      </w:pPr>
    </w:p>
    <w:p w:rsidR="00C361A9" w:rsidRPr="0022113E" w:rsidRDefault="00C361A9" w:rsidP="00D73941">
      <w:pPr>
        <w:pStyle w:val="ListParagraph"/>
        <w:widowControl/>
        <w:numPr>
          <w:ilvl w:val="1"/>
          <w:numId w:val="2"/>
        </w:numPr>
        <w:rPr>
          <w:szCs w:val="22"/>
        </w:rPr>
      </w:pPr>
      <w:r>
        <w:lastRenderedPageBreak/>
        <w:t>T</w:t>
      </w:r>
      <w:r w:rsidRPr="003B00CE">
        <w:t>he Australian IPF Registry</w:t>
      </w:r>
      <w:r>
        <w:t xml:space="preserve"> </w:t>
      </w:r>
      <w:r w:rsidRPr="00C361A9">
        <w:rPr>
          <w:bCs/>
          <w:szCs w:val="22"/>
        </w:rPr>
        <w:t>Steering Committee, in correspondence</w:t>
      </w:r>
      <w:r w:rsidRPr="00C361A9">
        <w:t xml:space="preserve"> t</w:t>
      </w:r>
      <w:r w:rsidRPr="003B00CE">
        <w:t>o the PBAC</w:t>
      </w:r>
      <w:r>
        <w:t>,</w:t>
      </w:r>
      <w:r w:rsidRPr="003B00CE">
        <w:t xml:space="preserve"> </w:t>
      </w:r>
      <w:r>
        <w:t xml:space="preserve">indicated that it is </w:t>
      </w:r>
      <w:r w:rsidR="00BF5406">
        <w:t>‘</w:t>
      </w:r>
      <w:r>
        <w:t>well placed to assist the PBAC in collecting information on medications and disease outcomes in a timely and cost effective manner</w:t>
      </w:r>
      <w:r w:rsidR="00BF5406">
        <w:t>’</w:t>
      </w:r>
      <w:r>
        <w:t>.</w:t>
      </w:r>
    </w:p>
    <w:p w:rsidR="0022113E" w:rsidRPr="0022113E" w:rsidRDefault="0022113E" w:rsidP="0022113E">
      <w:pPr>
        <w:pStyle w:val="ListParagraph"/>
        <w:rPr>
          <w:szCs w:val="22"/>
        </w:rPr>
      </w:pPr>
    </w:p>
    <w:p w:rsidR="0022113E" w:rsidRPr="0022113E" w:rsidRDefault="0022113E" w:rsidP="0022113E">
      <w:pPr>
        <w:widowControl/>
        <w:rPr>
          <w:szCs w:val="22"/>
        </w:rPr>
      </w:pPr>
    </w:p>
    <w:p w:rsidR="00F16534" w:rsidRPr="00115271" w:rsidRDefault="00F16534" w:rsidP="00D73941">
      <w:pPr>
        <w:widowControl/>
        <w:numPr>
          <w:ilvl w:val="0"/>
          <w:numId w:val="2"/>
        </w:numPr>
        <w:rPr>
          <w:b/>
          <w:bCs/>
          <w:szCs w:val="22"/>
        </w:rPr>
      </w:pPr>
      <w:r w:rsidRPr="00115271">
        <w:rPr>
          <w:b/>
          <w:bCs/>
          <w:szCs w:val="22"/>
        </w:rPr>
        <w:t>PBAC Outcome</w:t>
      </w:r>
      <w:r w:rsidR="000D0D2F">
        <w:rPr>
          <w:b/>
          <w:bCs/>
          <w:szCs w:val="22"/>
        </w:rPr>
        <w:t xml:space="preserve"> </w:t>
      </w:r>
    </w:p>
    <w:p w:rsidR="00F16534" w:rsidRPr="006C307E" w:rsidRDefault="00F16534" w:rsidP="00D73941">
      <w:pPr>
        <w:widowControl/>
        <w:contextualSpacing/>
        <w:rPr>
          <w:b/>
          <w:bCs/>
          <w:szCs w:val="22"/>
          <w:highlight w:val="yellow"/>
          <w:lang w:val="en-GB"/>
        </w:rPr>
      </w:pPr>
    </w:p>
    <w:p w:rsidR="003C2B1E" w:rsidRDefault="00115271" w:rsidP="00D73941">
      <w:pPr>
        <w:pStyle w:val="ListParagraph"/>
        <w:widowControl/>
        <w:numPr>
          <w:ilvl w:val="1"/>
          <w:numId w:val="2"/>
        </w:numPr>
        <w:rPr>
          <w:szCs w:val="22"/>
        </w:rPr>
      </w:pPr>
      <w:r w:rsidRPr="00115271">
        <w:rPr>
          <w:szCs w:val="22"/>
        </w:rPr>
        <w:t xml:space="preserve">The PBAC </w:t>
      </w:r>
      <w:r>
        <w:rPr>
          <w:szCs w:val="22"/>
        </w:rPr>
        <w:t xml:space="preserve">rejected the </w:t>
      </w:r>
      <w:r w:rsidR="00830491">
        <w:rPr>
          <w:szCs w:val="22"/>
        </w:rPr>
        <w:t xml:space="preserve">request to list nintedanib for the treatment of patients with IPF on the basis of </w:t>
      </w:r>
      <w:r w:rsidR="00983B9C">
        <w:rPr>
          <w:szCs w:val="22"/>
        </w:rPr>
        <w:t xml:space="preserve">an </w:t>
      </w:r>
      <w:r w:rsidR="00830491">
        <w:rPr>
          <w:szCs w:val="22"/>
        </w:rPr>
        <w:t xml:space="preserve">uncertain </w:t>
      </w:r>
      <w:r w:rsidR="00983B9C">
        <w:rPr>
          <w:szCs w:val="22"/>
        </w:rPr>
        <w:t xml:space="preserve">estimate </w:t>
      </w:r>
      <w:r w:rsidR="003C2B1E">
        <w:rPr>
          <w:szCs w:val="22"/>
        </w:rPr>
        <w:t>of comparative effectiveness</w:t>
      </w:r>
      <w:r w:rsidR="008559C9">
        <w:rPr>
          <w:szCs w:val="22"/>
        </w:rPr>
        <w:t>,</w:t>
      </w:r>
      <w:r w:rsidR="003C2B1E">
        <w:rPr>
          <w:szCs w:val="22"/>
        </w:rPr>
        <w:t xml:space="preserve"> </w:t>
      </w:r>
      <w:r w:rsidR="00983B9C">
        <w:rPr>
          <w:szCs w:val="22"/>
        </w:rPr>
        <w:t xml:space="preserve">as measured by </w:t>
      </w:r>
      <w:r w:rsidR="00FF0998">
        <w:rPr>
          <w:szCs w:val="22"/>
        </w:rPr>
        <w:t xml:space="preserve">the </w:t>
      </w:r>
      <w:r w:rsidR="00983B9C">
        <w:rPr>
          <w:szCs w:val="22"/>
        </w:rPr>
        <w:t>effect on clinically relevant outcomes</w:t>
      </w:r>
      <w:r w:rsidR="00FF0998">
        <w:rPr>
          <w:szCs w:val="22"/>
        </w:rPr>
        <w:t>,</w:t>
      </w:r>
      <w:r w:rsidR="00983B9C">
        <w:rPr>
          <w:szCs w:val="22"/>
        </w:rPr>
        <w:t xml:space="preserve"> including </w:t>
      </w:r>
      <w:r w:rsidR="00522B20">
        <w:rPr>
          <w:szCs w:val="22"/>
        </w:rPr>
        <w:t xml:space="preserve">acute IPF </w:t>
      </w:r>
      <w:r w:rsidR="00983B9C">
        <w:rPr>
          <w:szCs w:val="22"/>
        </w:rPr>
        <w:t xml:space="preserve">exacerbations and </w:t>
      </w:r>
      <w:r w:rsidR="003C2B1E">
        <w:rPr>
          <w:szCs w:val="22"/>
        </w:rPr>
        <w:t>overall survival</w:t>
      </w:r>
      <w:r w:rsidR="008559C9">
        <w:rPr>
          <w:szCs w:val="22"/>
        </w:rPr>
        <w:t>,</w:t>
      </w:r>
      <w:r w:rsidR="003C2B1E">
        <w:rPr>
          <w:szCs w:val="22"/>
        </w:rPr>
        <w:t xml:space="preserve"> and </w:t>
      </w:r>
      <w:r w:rsidR="00983B9C">
        <w:rPr>
          <w:szCs w:val="22"/>
        </w:rPr>
        <w:t xml:space="preserve">a resulting very </w:t>
      </w:r>
      <w:r w:rsidR="007B207A">
        <w:rPr>
          <w:szCs w:val="22"/>
        </w:rPr>
        <w:t xml:space="preserve">high and </w:t>
      </w:r>
      <w:r w:rsidR="003C2B1E">
        <w:rPr>
          <w:szCs w:val="22"/>
        </w:rPr>
        <w:t xml:space="preserve">uncertain </w:t>
      </w:r>
      <w:r w:rsidR="00983B9C">
        <w:rPr>
          <w:szCs w:val="22"/>
        </w:rPr>
        <w:t xml:space="preserve">estimate of </w:t>
      </w:r>
      <w:r w:rsidR="00863590">
        <w:rPr>
          <w:szCs w:val="22"/>
        </w:rPr>
        <w:t>cost effectiveness.</w:t>
      </w:r>
    </w:p>
    <w:p w:rsidR="003C2B1E" w:rsidRDefault="003C2B1E" w:rsidP="00D73941">
      <w:pPr>
        <w:pStyle w:val="ListParagraph"/>
        <w:widowControl/>
        <w:rPr>
          <w:szCs w:val="22"/>
        </w:rPr>
      </w:pPr>
    </w:p>
    <w:p w:rsidR="00935322" w:rsidRPr="003C2B1E" w:rsidRDefault="003C2B1E" w:rsidP="00D73941">
      <w:pPr>
        <w:pStyle w:val="ListParagraph"/>
        <w:widowControl/>
        <w:numPr>
          <w:ilvl w:val="1"/>
          <w:numId w:val="2"/>
        </w:numPr>
        <w:rPr>
          <w:szCs w:val="22"/>
        </w:rPr>
      </w:pPr>
      <w:r w:rsidRPr="00A5102C">
        <w:rPr>
          <w:szCs w:val="22"/>
        </w:rPr>
        <w:t xml:space="preserve">The PBAC noted that </w:t>
      </w:r>
      <w:r>
        <w:rPr>
          <w:szCs w:val="22"/>
        </w:rPr>
        <w:t>t</w:t>
      </w:r>
      <w:r w:rsidRPr="00A5102C">
        <w:rPr>
          <w:szCs w:val="22"/>
        </w:rPr>
        <w:t>he submission was made under TGA/PBAC Parallel Process with the Delegate’s consideration expected in July 2015.</w:t>
      </w:r>
      <w:r>
        <w:rPr>
          <w:szCs w:val="22"/>
        </w:rPr>
        <w:t xml:space="preserve"> Accordingly, the PBAC noted that it </w:t>
      </w:r>
      <w:r w:rsidR="002974D0">
        <w:rPr>
          <w:szCs w:val="22"/>
        </w:rPr>
        <w:t>was</w:t>
      </w:r>
      <w:r>
        <w:rPr>
          <w:szCs w:val="22"/>
        </w:rPr>
        <w:t xml:space="preserve"> only </w:t>
      </w:r>
      <w:r w:rsidR="002974D0">
        <w:rPr>
          <w:szCs w:val="22"/>
        </w:rPr>
        <w:t xml:space="preserve">able to </w:t>
      </w:r>
      <w:r>
        <w:rPr>
          <w:szCs w:val="22"/>
        </w:rPr>
        <w:t>defer or reject the submission</w:t>
      </w:r>
      <w:r w:rsidRPr="003D62D4">
        <w:rPr>
          <w:szCs w:val="22"/>
        </w:rPr>
        <w:t xml:space="preserve">. However, the PBAC noted that even if a positive Delegate’s overview been available, it </w:t>
      </w:r>
      <w:r>
        <w:rPr>
          <w:szCs w:val="22"/>
        </w:rPr>
        <w:t>would have been</w:t>
      </w:r>
      <w:r w:rsidRPr="003D62D4">
        <w:rPr>
          <w:szCs w:val="22"/>
        </w:rPr>
        <w:t xml:space="preserve"> minded to reject the submission due to</w:t>
      </w:r>
      <w:r>
        <w:rPr>
          <w:szCs w:val="22"/>
        </w:rPr>
        <w:t xml:space="preserve"> </w:t>
      </w:r>
      <w:r w:rsidR="00983B9C">
        <w:rPr>
          <w:szCs w:val="22"/>
        </w:rPr>
        <w:t xml:space="preserve">high and </w:t>
      </w:r>
      <w:r>
        <w:rPr>
          <w:szCs w:val="22"/>
        </w:rPr>
        <w:t>uncertain cost effectiveness</w:t>
      </w:r>
      <w:r w:rsidRPr="003D62D4">
        <w:rPr>
          <w:szCs w:val="22"/>
        </w:rPr>
        <w:t>.</w:t>
      </w:r>
    </w:p>
    <w:p w:rsidR="00C06725" w:rsidRDefault="00C06725" w:rsidP="00D73941">
      <w:pPr>
        <w:widowControl/>
        <w:ind w:left="720"/>
        <w:contextualSpacing/>
        <w:rPr>
          <w:szCs w:val="22"/>
        </w:rPr>
      </w:pPr>
    </w:p>
    <w:p w:rsidR="003367CD" w:rsidRPr="0031692C" w:rsidRDefault="003367CD" w:rsidP="00D73941">
      <w:pPr>
        <w:pStyle w:val="ListParagraph"/>
        <w:widowControl/>
        <w:numPr>
          <w:ilvl w:val="1"/>
          <w:numId w:val="2"/>
        </w:numPr>
        <w:rPr>
          <w:szCs w:val="22"/>
        </w:rPr>
      </w:pPr>
      <w:r w:rsidRPr="0031692C">
        <w:rPr>
          <w:szCs w:val="22"/>
        </w:rPr>
        <w:t xml:space="preserve">The PBAC </w:t>
      </w:r>
      <w:r w:rsidR="00573159" w:rsidRPr="0031692C">
        <w:rPr>
          <w:szCs w:val="22"/>
        </w:rPr>
        <w:t xml:space="preserve">noted the proposed restriction and </w:t>
      </w:r>
      <w:r w:rsidR="00F67A11" w:rsidRPr="0031692C">
        <w:rPr>
          <w:szCs w:val="22"/>
        </w:rPr>
        <w:t>agreed that</w:t>
      </w:r>
      <w:r w:rsidRPr="0031692C">
        <w:rPr>
          <w:szCs w:val="22"/>
        </w:rPr>
        <w:t xml:space="preserve"> </w:t>
      </w:r>
      <w:r w:rsidR="00573159" w:rsidRPr="0031692C">
        <w:rPr>
          <w:szCs w:val="22"/>
        </w:rPr>
        <w:t xml:space="preserve">it </w:t>
      </w:r>
      <w:r w:rsidR="00F67A11" w:rsidRPr="0031692C">
        <w:rPr>
          <w:szCs w:val="22"/>
        </w:rPr>
        <w:t>should include the role of a mu</w:t>
      </w:r>
      <w:r w:rsidR="00573159" w:rsidRPr="0031692C">
        <w:rPr>
          <w:szCs w:val="22"/>
        </w:rPr>
        <w:t>lti</w:t>
      </w:r>
      <w:r w:rsidR="00573159" w:rsidRPr="0031692C">
        <w:rPr>
          <w:szCs w:val="22"/>
        </w:rPr>
        <w:noBreakHyphen/>
      </w:r>
      <w:r w:rsidR="00F67A11" w:rsidRPr="0031692C">
        <w:rPr>
          <w:szCs w:val="22"/>
        </w:rPr>
        <w:t>disciplinary team in diagnosing the condition</w:t>
      </w:r>
      <w:r w:rsidR="00573159" w:rsidRPr="0031692C">
        <w:rPr>
          <w:szCs w:val="22"/>
        </w:rPr>
        <w:t xml:space="preserve"> as recommended by the ESC</w:t>
      </w:r>
      <w:r w:rsidR="00C579A1">
        <w:rPr>
          <w:szCs w:val="22"/>
        </w:rPr>
        <w:t xml:space="preserve"> and</w:t>
      </w:r>
      <w:r w:rsidR="00573159" w:rsidRPr="0031692C">
        <w:rPr>
          <w:szCs w:val="22"/>
        </w:rPr>
        <w:t xml:space="preserve"> the </w:t>
      </w:r>
      <w:r w:rsidR="00573159" w:rsidRPr="0031692C">
        <w:rPr>
          <w:bCs/>
          <w:szCs w:val="22"/>
        </w:rPr>
        <w:t>Australian IPF Registry Steering Committee</w:t>
      </w:r>
      <w:r w:rsidR="00C579A1">
        <w:rPr>
          <w:bCs/>
          <w:szCs w:val="22"/>
        </w:rPr>
        <w:t>,</w:t>
      </w:r>
      <w:r w:rsidR="00573159" w:rsidRPr="0031692C">
        <w:rPr>
          <w:bCs/>
          <w:szCs w:val="22"/>
        </w:rPr>
        <w:t xml:space="preserve"> and </w:t>
      </w:r>
      <w:r w:rsidR="00FF0998">
        <w:rPr>
          <w:bCs/>
          <w:szCs w:val="22"/>
        </w:rPr>
        <w:t>proposed</w:t>
      </w:r>
      <w:r w:rsidR="00573159" w:rsidRPr="0031692C">
        <w:rPr>
          <w:bCs/>
          <w:szCs w:val="22"/>
        </w:rPr>
        <w:t xml:space="preserve"> by the sponsor</w:t>
      </w:r>
      <w:r w:rsidR="00F67A11" w:rsidRPr="0031692C">
        <w:rPr>
          <w:szCs w:val="22"/>
        </w:rPr>
        <w:t xml:space="preserve">. </w:t>
      </w:r>
      <w:r w:rsidR="0031692C" w:rsidRPr="0031692C">
        <w:rPr>
          <w:szCs w:val="22"/>
        </w:rPr>
        <w:t xml:space="preserve">The </w:t>
      </w:r>
      <w:r w:rsidR="0031692C" w:rsidRPr="0031692C">
        <w:rPr>
          <w:bCs/>
          <w:szCs w:val="22"/>
        </w:rPr>
        <w:t xml:space="preserve">Australian IPF Registry </w:t>
      </w:r>
      <w:r w:rsidR="0031692C" w:rsidRPr="0031692C">
        <w:rPr>
          <w:szCs w:val="22"/>
        </w:rPr>
        <w:t xml:space="preserve">Steering Committee </w:t>
      </w:r>
      <w:r w:rsidR="0031692C">
        <w:rPr>
          <w:szCs w:val="22"/>
        </w:rPr>
        <w:t xml:space="preserve">also </w:t>
      </w:r>
      <w:r w:rsidR="0031692C" w:rsidRPr="0031692C">
        <w:rPr>
          <w:szCs w:val="22"/>
        </w:rPr>
        <w:t>recommended that authority to prescribe nintedanib could be applied for and prescription be coordinated through only those hospitals regarded as having expertise in IPF diagnosis and management.</w:t>
      </w:r>
      <w:r w:rsidR="0031692C">
        <w:rPr>
          <w:szCs w:val="22"/>
        </w:rPr>
        <w:t xml:space="preserve"> </w:t>
      </w:r>
      <w:r w:rsidR="00F67A11" w:rsidRPr="0031692C">
        <w:rPr>
          <w:szCs w:val="22"/>
        </w:rPr>
        <w:t xml:space="preserve">The PBAC noted that if nintedanib was to be listed on the PBS, the finalisation of a restriction (including consideration of the other suggestions raised by ESC in paragraph 2.4) would require consultation with relevant </w:t>
      </w:r>
      <w:r w:rsidR="00573159" w:rsidRPr="0031692C">
        <w:rPr>
          <w:szCs w:val="22"/>
        </w:rPr>
        <w:t xml:space="preserve">clinicians and other </w:t>
      </w:r>
      <w:r w:rsidR="00F67A11" w:rsidRPr="0031692C">
        <w:rPr>
          <w:szCs w:val="22"/>
        </w:rPr>
        <w:t>stakeholders</w:t>
      </w:r>
      <w:r w:rsidR="002974D0" w:rsidRPr="0031692C">
        <w:rPr>
          <w:szCs w:val="22"/>
        </w:rPr>
        <w:t xml:space="preserve"> (including the Australian IPF Registry Steering Committee</w:t>
      </w:r>
      <w:r w:rsidR="0031692C">
        <w:rPr>
          <w:szCs w:val="22"/>
        </w:rPr>
        <w:t>)</w:t>
      </w:r>
      <w:r w:rsidR="00F67A11" w:rsidRPr="0031692C">
        <w:rPr>
          <w:szCs w:val="22"/>
        </w:rPr>
        <w:t>.</w:t>
      </w:r>
      <w:r w:rsidR="00573159" w:rsidRPr="0031692C">
        <w:rPr>
          <w:szCs w:val="22"/>
        </w:rPr>
        <w:t xml:space="preserve"> The PBAC noted the DUSC advice that diagnosis of IPF is complex</w:t>
      </w:r>
      <w:r w:rsidR="00F37F77" w:rsidRPr="0031692C">
        <w:rPr>
          <w:szCs w:val="22"/>
        </w:rPr>
        <w:t xml:space="preserve"> and there may be misclassification of other fibrotic lung conditions.</w:t>
      </w:r>
      <w:r w:rsidR="003D62D4" w:rsidRPr="0031692C">
        <w:rPr>
          <w:szCs w:val="22"/>
        </w:rPr>
        <w:t xml:space="preserve"> </w:t>
      </w:r>
      <w:r w:rsidR="0031692C" w:rsidRPr="0031692C">
        <w:rPr>
          <w:szCs w:val="22"/>
        </w:rPr>
        <w:t>Due to the difficulty in diagnosis</w:t>
      </w:r>
      <w:r w:rsidR="003D62D4" w:rsidRPr="0031692C">
        <w:rPr>
          <w:szCs w:val="22"/>
        </w:rPr>
        <w:t xml:space="preserve">, the PBAC considered that </w:t>
      </w:r>
      <w:r w:rsidR="007A1D56">
        <w:rPr>
          <w:szCs w:val="22"/>
        </w:rPr>
        <w:t xml:space="preserve">strategies for </w:t>
      </w:r>
      <w:r w:rsidR="005000D0">
        <w:rPr>
          <w:szCs w:val="22"/>
        </w:rPr>
        <w:t>managing the</w:t>
      </w:r>
      <w:r w:rsidR="005000D0" w:rsidRPr="0031692C">
        <w:rPr>
          <w:szCs w:val="22"/>
        </w:rPr>
        <w:t xml:space="preserve"> risk of leakage </w:t>
      </w:r>
      <w:r w:rsidR="005000D0">
        <w:rPr>
          <w:szCs w:val="22"/>
        </w:rPr>
        <w:t xml:space="preserve">to other indications, such as the wording for the requested write-in initial authority, </w:t>
      </w:r>
      <w:r w:rsidR="005000D0" w:rsidRPr="0031692C">
        <w:rPr>
          <w:szCs w:val="22"/>
        </w:rPr>
        <w:t xml:space="preserve">should be </w:t>
      </w:r>
      <w:r w:rsidR="005000D0">
        <w:rPr>
          <w:szCs w:val="22"/>
        </w:rPr>
        <w:t xml:space="preserve">considered if nintedanib is recommended for listing. </w:t>
      </w:r>
    </w:p>
    <w:p w:rsidR="0031692C" w:rsidRPr="0031692C" w:rsidRDefault="0031692C" w:rsidP="00D73941">
      <w:pPr>
        <w:widowControl/>
        <w:contextualSpacing/>
        <w:rPr>
          <w:szCs w:val="22"/>
        </w:rPr>
      </w:pPr>
    </w:p>
    <w:p w:rsidR="003367CD" w:rsidRDefault="0097206D" w:rsidP="00D73941">
      <w:pPr>
        <w:widowControl/>
        <w:numPr>
          <w:ilvl w:val="1"/>
          <w:numId w:val="2"/>
        </w:numPr>
        <w:contextualSpacing/>
        <w:rPr>
          <w:szCs w:val="22"/>
        </w:rPr>
      </w:pPr>
      <w:r>
        <w:rPr>
          <w:szCs w:val="22"/>
        </w:rPr>
        <w:t xml:space="preserve">The PBAC noted the high clinical need for </w:t>
      </w:r>
      <w:r w:rsidRPr="00F16534">
        <w:rPr>
          <w:szCs w:val="22"/>
        </w:rPr>
        <w:t>an effective treatment for IPF</w:t>
      </w:r>
      <w:r>
        <w:rPr>
          <w:szCs w:val="22"/>
        </w:rPr>
        <w:t>.</w:t>
      </w:r>
    </w:p>
    <w:p w:rsidR="003367CD" w:rsidRDefault="003367CD" w:rsidP="00D73941">
      <w:pPr>
        <w:pStyle w:val="ListParagraph"/>
        <w:widowControl/>
        <w:rPr>
          <w:szCs w:val="22"/>
        </w:rPr>
      </w:pPr>
    </w:p>
    <w:p w:rsidR="003367CD" w:rsidRDefault="003367CD" w:rsidP="00D73941">
      <w:pPr>
        <w:widowControl/>
        <w:numPr>
          <w:ilvl w:val="1"/>
          <w:numId w:val="2"/>
        </w:numPr>
        <w:contextualSpacing/>
        <w:rPr>
          <w:szCs w:val="22"/>
        </w:rPr>
      </w:pPr>
      <w:r>
        <w:rPr>
          <w:szCs w:val="22"/>
        </w:rPr>
        <w:t xml:space="preserve">The PBAC agreed that </w:t>
      </w:r>
      <w:r w:rsidR="00130D2B">
        <w:rPr>
          <w:szCs w:val="22"/>
        </w:rPr>
        <w:t xml:space="preserve">best supportive care </w:t>
      </w:r>
      <w:r>
        <w:rPr>
          <w:szCs w:val="22"/>
        </w:rPr>
        <w:t>was the appropriate comparator for nintedanib for IPF</w:t>
      </w:r>
      <w:r w:rsidR="003D62D4">
        <w:rPr>
          <w:szCs w:val="22"/>
        </w:rPr>
        <w:t xml:space="preserve"> and accepted the clinical place</w:t>
      </w:r>
      <w:r>
        <w:rPr>
          <w:szCs w:val="22"/>
        </w:rPr>
        <w:t xml:space="preserve">. The PBAC noted that another novel agent for the treatment of IPF, </w:t>
      </w:r>
      <w:proofErr w:type="spellStart"/>
      <w:r>
        <w:rPr>
          <w:szCs w:val="22"/>
        </w:rPr>
        <w:t>pirfenidone</w:t>
      </w:r>
      <w:proofErr w:type="spellEnd"/>
      <w:r>
        <w:rPr>
          <w:szCs w:val="22"/>
        </w:rPr>
        <w:t xml:space="preserve">, </w:t>
      </w:r>
      <w:r w:rsidR="00783A66">
        <w:rPr>
          <w:szCs w:val="22"/>
        </w:rPr>
        <w:t xml:space="preserve">was </w:t>
      </w:r>
      <w:r>
        <w:rPr>
          <w:szCs w:val="22"/>
        </w:rPr>
        <w:t xml:space="preserve">not </w:t>
      </w:r>
      <w:r w:rsidR="00783A66">
        <w:rPr>
          <w:szCs w:val="22"/>
        </w:rPr>
        <w:t xml:space="preserve">currently </w:t>
      </w:r>
      <w:r>
        <w:rPr>
          <w:szCs w:val="22"/>
        </w:rPr>
        <w:t>TGA approved or listed on the PBS.</w:t>
      </w:r>
    </w:p>
    <w:p w:rsidR="00935322" w:rsidRPr="00534B89" w:rsidRDefault="00935322" w:rsidP="00D73941">
      <w:pPr>
        <w:widowControl/>
        <w:ind w:left="720"/>
        <w:contextualSpacing/>
        <w:rPr>
          <w:szCs w:val="22"/>
        </w:rPr>
      </w:pPr>
    </w:p>
    <w:p w:rsidR="00935322" w:rsidRPr="00EB2424" w:rsidRDefault="003367CD" w:rsidP="00D73941">
      <w:pPr>
        <w:widowControl/>
        <w:numPr>
          <w:ilvl w:val="1"/>
          <w:numId w:val="2"/>
        </w:numPr>
        <w:contextualSpacing/>
        <w:rPr>
          <w:szCs w:val="22"/>
        </w:rPr>
      </w:pPr>
      <w:r>
        <w:rPr>
          <w:szCs w:val="22"/>
        </w:rPr>
        <w:t>The PBAC noted the submission was based on three head-to-head randomised trials comparing nintedanib to placebo. The PBAC questioned the appropriateness of incl</w:t>
      </w:r>
      <w:r w:rsidRPr="00682B08">
        <w:rPr>
          <w:szCs w:val="22"/>
        </w:rPr>
        <w:t>uding Trial 30 in the meta-analyses due to differences in the handling of missing data and the comparability of the trial populations (as discussed in paragraph</w:t>
      </w:r>
      <w:r w:rsidR="00863A5B" w:rsidRPr="00682B08">
        <w:rPr>
          <w:szCs w:val="22"/>
        </w:rPr>
        <w:t>s</w:t>
      </w:r>
      <w:r w:rsidRPr="00682B08">
        <w:rPr>
          <w:szCs w:val="22"/>
        </w:rPr>
        <w:t xml:space="preserve"> </w:t>
      </w:r>
      <w:r w:rsidR="00FF0998">
        <w:rPr>
          <w:szCs w:val="22"/>
        </w:rPr>
        <w:t>6.8</w:t>
      </w:r>
      <w:r w:rsidR="00610252">
        <w:rPr>
          <w:szCs w:val="22"/>
        </w:rPr>
        <w:t xml:space="preserve"> and</w:t>
      </w:r>
      <w:r w:rsidR="00863A5B" w:rsidRPr="00682B08">
        <w:rPr>
          <w:szCs w:val="22"/>
        </w:rPr>
        <w:t xml:space="preserve"> 6.</w:t>
      </w:r>
      <w:r w:rsidR="00FF0998">
        <w:rPr>
          <w:szCs w:val="22"/>
        </w:rPr>
        <w:t>9</w:t>
      </w:r>
      <w:r w:rsidRPr="00682B08">
        <w:rPr>
          <w:szCs w:val="22"/>
        </w:rPr>
        <w:t>).</w:t>
      </w:r>
    </w:p>
    <w:p w:rsidR="00935322" w:rsidRPr="00534B89" w:rsidRDefault="00935322" w:rsidP="00D73941">
      <w:pPr>
        <w:widowControl/>
        <w:ind w:left="720"/>
        <w:contextualSpacing/>
        <w:rPr>
          <w:szCs w:val="22"/>
        </w:rPr>
      </w:pPr>
    </w:p>
    <w:p w:rsidR="004B0536" w:rsidRDefault="004B0536" w:rsidP="00D73941">
      <w:pPr>
        <w:widowControl/>
        <w:numPr>
          <w:ilvl w:val="1"/>
          <w:numId w:val="2"/>
        </w:numPr>
        <w:contextualSpacing/>
        <w:rPr>
          <w:szCs w:val="22"/>
        </w:rPr>
      </w:pPr>
      <w:r>
        <w:rPr>
          <w:szCs w:val="22"/>
        </w:rPr>
        <w:t xml:space="preserve">The PBAC noted that a statistically </w:t>
      </w:r>
      <w:r w:rsidRPr="004B0536">
        <w:rPr>
          <w:szCs w:val="22"/>
        </w:rPr>
        <w:t xml:space="preserve">significant difference was observed </w:t>
      </w:r>
      <w:r w:rsidR="007552FA">
        <w:rPr>
          <w:szCs w:val="22"/>
        </w:rPr>
        <w:t xml:space="preserve">in terms of </w:t>
      </w:r>
      <w:r w:rsidRPr="004B0536">
        <w:rPr>
          <w:szCs w:val="22"/>
        </w:rPr>
        <w:t>change</w:t>
      </w:r>
      <w:r>
        <w:rPr>
          <w:szCs w:val="22"/>
        </w:rPr>
        <w:t xml:space="preserve"> </w:t>
      </w:r>
      <w:r w:rsidR="00C579A1">
        <w:rPr>
          <w:szCs w:val="22"/>
        </w:rPr>
        <w:t xml:space="preserve">in </w:t>
      </w:r>
      <w:r w:rsidRPr="004B0536">
        <w:rPr>
          <w:szCs w:val="22"/>
        </w:rPr>
        <w:t>FVC over 52 weeks and proportion of FVC responders</w:t>
      </w:r>
      <w:r>
        <w:rPr>
          <w:szCs w:val="22"/>
        </w:rPr>
        <w:t xml:space="preserve">. </w:t>
      </w:r>
      <w:r w:rsidR="007552FA">
        <w:rPr>
          <w:szCs w:val="22"/>
        </w:rPr>
        <w:t>There were n</w:t>
      </w:r>
      <w:r>
        <w:rPr>
          <w:szCs w:val="22"/>
        </w:rPr>
        <w:t xml:space="preserve">o statistically </w:t>
      </w:r>
      <w:r w:rsidRPr="004B0536">
        <w:rPr>
          <w:szCs w:val="22"/>
        </w:rPr>
        <w:t xml:space="preserve">significant differences </w:t>
      </w:r>
      <w:r w:rsidR="007552FA">
        <w:rPr>
          <w:szCs w:val="22"/>
        </w:rPr>
        <w:t>in</w:t>
      </w:r>
      <w:r w:rsidRPr="004B0536">
        <w:rPr>
          <w:szCs w:val="22"/>
        </w:rPr>
        <w:t xml:space="preserve"> overall survival, acute investigator reported IPF </w:t>
      </w:r>
      <w:r w:rsidRPr="004B0536">
        <w:rPr>
          <w:szCs w:val="22"/>
        </w:rPr>
        <w:lastRenderedPageBreak/>
        <w:t>exacerbations or disease specific quality of life measures</w:t>
      </w:r>
      <w:r>
        <w:rPr>
          <w:szCs w:val="22"/>
        </w:rPr>
        <w:t>, although t</w:t>
      </w:r>
      <w:r w:rsidRPr="004B0536">
        <w:rPr>
          <w:szCs w:val="22"/>
        </w:rPr>
        <w:t>he PBAC a</w:t>
      </w:r>
      <w:r w:rsidR="0097206D" w:rsidRPr="004B0536">
        <w:rPr>
          <w:szCs w:val="22"/>
        </w:rPr>
        <w:t>cknowledge</w:t>
      </w:r>
      <w:r w:rsidRPr="004B0536">
        <w:rPr>
          <w:szCs w:val="22"/>
        </w:rPr>
        <w:t>d the</w:t>
      </w:r>
      <w:r w:rsidR="0097206D" w:rsidRPr="004B0536">
        <w:rPr>
          <w:szCs w:val="22"/>
        </w:rPr>
        <w:t xml:space="preserve"> challenge in demonstrating a survival gain in this population.</w:t>
      </w:r>
      <w:r>
        <w:rPr>
          <w:szCs w:val="22"/>
        </w:rPr>
        <w:t xml:space="preserve"> </w:t>
      </w:r>
      <w:r w:rsidR="00CF2CC1">
        <w:rPr>
          <w:szCs w:val="22"/>
        </w:rPr>
        <w:t>The</w:t>
      </w:r>
      <w:r w:rsidR="00783A66">
        <w:rPr>
          <w:szCs w:val="22"/>
        </w:rPr>
        <w:t xml:space="preserve"> PBAC considered that while it wa</w:t>
      </w:r>
      <w:r w:rsidR="00CF2CC1">
        <w:rPr>
          <w:szCs w:val="22"/>
        </w:rPr>
        <w:t xml:space="preserve">s clear that lower FVC is associated with a higher risk of mortality, quantifying the </w:t>
      </w:r>
      <w:r w:rsidR="007552FA">
        <w:rPr>
          <w:szCs w:val="22"/>
        </w:rPr>
        <w:t>relationship between</w:t>
      </w:r>
      <w:r w:rsidR="00CF2CC1">
        <w:rPr>
          <w:szCs w:val="22"/>
        </w:rPr>
        <w:t xml:space="preserve"> change in FVC from nintedanib </w:t>
      </w:r>
      <w:r w:rsidR="007552FA">
        <w:rPr>
          <w:szCs w:val="22"/>
        </w:rPr>
        <w:t xml:space="preserve">and </w:t>
      </w:r>
      <w:r w:rsidR="00CF2CC1">
        <w:rPr>
          <w:szCs w:val="22"/>
        </w:rPr>
        <w:t>change in mortality (and resulting survival gain) is challenging.</w:t>
      </w:r>
    </w:p>
    <w:p w:rsidR="004B0536" w:rsidRDefault="004B0536" w:rsidP="00D73941">
      <w:pPr>
        <w:pStyle w:val="ListParagraph"/>
        <w:widowControl/>
        <w:rPr>
          <w:szCs w:val="22"/>
        </w:rPr>
      </w:pPr>
    </w:p>
    <w:p w:rsidR="004B0536" w:rsidRDefault="004B0536" w:rsidP="00D73941">
      <w:pPr>
        <w:pStyle w:val="ListParagraph"/>
        <w:widowControl/>
        <w:numPr>
          <w:ilvl w:val="1"/>
          <w:numId w:val="2"/>
        </w:numPr>
        <w:rPr>
          <w:szCs w:val="22"/>
        </w:rPr>
      </w:pPr>
      <w:r w:rsidRPr="004B0536">
        <w:rPr>
          <w:szCs w:val="22"/>
        </w:rPr>
        <w:t>The PBAC considered that</w:t>
      </w:r>
      <w:r w:rsidR="00522B20">
        <w:rPr>
          <w:szCs w:val="22"/>
        </w:rPr>
        <w:t>,</w:t>
      </w:r>
      <w:r w:rsidRPr="004B0536">
        <w:rPr>
          <w:szCs w:val="22"/>
        </w:rPr>
        <w:t xml:space="preserve"> </w:t>
      </w:r>
      <w:r w:rsidR="00522B20">
        <w:rPr>
          <w:szCs w:val="22"/>
        </w:rPr>
        <w:t xml:space="preserve">while there was no statistically significant difference in acute </w:t>
      </w:r>
      <w:r w:rsidR="00522B20" w:rsidRPr="00522B20">
        <w:rPr>
          <w:i/>
          <w:szCs w:val="22"/>
        </w:rPr>
        <w:t>investigator reported</w:t>
      </w:r>
      <w:r w:rsidR="00522B20">
        <w:rPr>
          <w:szCs w:val="22"/>
        </w:rPr>
        <w:t xml:space="preserve"> exacerbations, </w:t>
      </w:r>
      <w:r w:rsidRPr="004B0536">
        <w:rPr>
          <w:szCs w:val="22"/>
        </w:rPr>
        <w:t xml:space="preserve">the statistically significant </w:t>
      </w:r>
      <w:r w:rsidR="00F859A0">
        <w:rPr>
          <w:szCs w:val="22"/>
        </w:rPr>
        <w:t>risk</w:t>
      </w:r>
      <w:r w:rsidRPr="004B0536">
        <w:rPr>
          <w:szCs w:val="22"/>
        </w:rPr>
        <w:t xml:space="preserve"> ratio for </w:t>
      </w:r>
      <w:r w:rsidRPr="00522B20">
        <w:rPr>
          <w:i/>
          <w:szCs w:val="22"/>
        </w:rPr>
        <w:t>adjudicated</w:t>
      </w:r>
      <w:r w:rsidRPr="004B0536">
        <w:rPr>
          <w:szCs w:val="22"/>
        </w:rPr>
        <w:t xml:space="preserve"> acute</w:t>
      </w:r>
      <w:r w:rsidR="007552FA" w:rsidRPr="004B0536">
        <w:rPr>
          <w:szCs w:val="22"/>
        </w:rPr>
        <w:t xml:space="preserve"> exacerbations</w:t>
      </w:r>
      <w:r w:rsidRPr="004B0536">
        <w:rPr>
          <w:szCs w:val="22"/>
        </w:rPr>
        <w:t xml:space="preserve"> (indicating an approximately 65% reduction associated with nintedanib treatment) was pivotal evidence</w:t>
      </w:r>
      <w:r w:rsidR="00977B55">
        <w:rPr>
          <w:szCs w:val="22"/>
        </w:rPr>
        <w:t xml:space="preserve"> in favour of nintedanib</w:t>
      </w:r>
      <w:r w:rsidRPr="004B0536">
        <w:rPr>
          <w:szCs w:val="22"/>
        </w:rPr>
        <w:t>.</w:t>
      </w:r>
      <w:r w:rsidR="00522B20">
        <w:rPr>
          <w:szCs w:val="22"/>
        </w:rPr>
        <w:t xml:space="preserve"> In this regard, t</w:t>
      </w:r>
      <w:r w:rsidR="00522B20" w:rsidRPr="00F16534">
        <w:t xml:space="preserve">he </w:t>
      </w:r>
      <w:r w:rsidR="00522B20">
        <w:t>PBAC</w:t>
      </w:r>
      <w:r w:rsidR="00522B20" w:rsidRPr="00F16534">
        <w:t xml:space="preserve"> </w:t>
      </w:r>
      <w:r w:rsidR="00522B20">
        <w:t xml:space="preserve">noted </w:t>
      </w:r>
      <w:r w:rsidR="00522B20" w:rsidRPr="00F16534">
        <w:t>that, given the subjectivity associated with the assessment of acute IPF exacerbation</w:t>
      </w:r>
      <w:r w:rsidR="007A1D56">
        <w:t>s</w:t>
      </w:r>
      <w:r w:rsidR="00522B20" w:rsidRPr="00F16534">
        <w:t>,</w:t>
      </w:r>
      <w:r w:rsidR="00522B20">
        <w:t xml:space="preserve"> the</w:t>
      </w:r>
      <w:r w:rsidR="00522B20" w:rsidRPr="00522B20">
        <w:t xml:space="preserve"> </w:t>
      </w:r>
      <w:r w:rsidR="00522B20" w:rsidRPr="00F16534">
        <w:t>independent</w:t>
      </w:r>
      <w:r w:rsidR="00522B20">
        <w:t>ly</w:t>
      </w:r>
      <w:r w:rsidR="00522B20" w:rsidRPr="00F16534">
        <w:t xml:space="preserve"> </w:t>
      </w:r>
      <w:r w:rsidR="00522B20">
        <w:t xml:space="preserve">adjudicated acute exacerbations were </w:t>
      </w:r>
      <w:r w:rsidR="00522B20" w:rsidRPr="00F16534">
        <w:t xml:space="preserve">less </w:t>
      </w:r>
      <w:r w:rsidR="00522B20">
        <w:t xml:space="preserve">subject to </w:t>
      </w:r>
      <w:r w:rsidR="00522B20" w:rsidRPr="00F16534">
        <w:t>bias</w:t>
      </w:r>
      <w:r w:rsidR="00522B20">
        <w:t xml:space="preserve"> than the investigator reported exacerbations</w:t>
      </w:r>
      <w:r w:rsidR="00522B20" w:rsidRPr="00F16534">
        <w:t xml:space="preserve">. </w:t>
      </w:r>
      <w:r>
        <w:rPr>
          <w:szCs w:val="22"/>
        </w:rPr>
        <w:t xml:space="preserve">The </w:t>
      </w:r>
      <w:r w:rsidR="00461CCC">
        <w:rPr>
          <w:szCs w:val="22"/>
        </w:rPr>
        <w:t xml:space="preserve">PBAC noted that the </w:t>
      </w:r>
      <w:r>
        <w:rPr>
          <w:szCs w:val="22"/>
        </w:rPr>
        <w:t>r</w:t>
      </w:r>
      <w:r w:rsidRPr="004B0536">
        <w:rPr>
          <w:szCs w:val="22"/>
        </w:rPr>
        <w:t xml:space="preserve">elationship between mortality and FVC </w:t>
      </w:r>
      <w:r w:rsidR="00461CCC">
        <w:rPr>
          <w:szCs w:val="22"/>
        </w:rPr>
        <w:t xml:space="preserve">was </w:t>
      </w:r>
      <w:r w:rsidRPr="004B0536">
        <w:rPr>
          <w:szCs w:val="22"/>
        </w:rPr>
        <w:t xml:space="preserve">much more certain in </w:t>
      </w:r>
      <w:r>
        <w:rPr>
          <w:szCs w:val="22"/>
        </w:rPr>
        <w:t>patients</w:t>
      </w:r>
      <w:r w:rsidR="00977B55">
        <w:rPr>
          <w:szCs w:val="22"/>
        </w:rPr>
        <w:t xml:space="preserve"> with an acute exacerbation.</w:t>
      </w:r>
    </w:p>
    <w:p w:rsidR="00935322" w:rsidRPr="00534B89" w:rsidRDefault="00935322" w:rsidP="00D73941">
      <w:pPr>
        <w:widowControl/>
        <w:contextualSpacing/>
        <w:rPr>
          <w:szCs w:val="22"/>
        </w:rPr>
      </w:pPr>
    </w:p>
    <w:p w:rsidR="00F7238D" w:rsidRDefault="00EB2424" w:rsidP="00D73941">
      <w:pPr>
        <w:widowControl/>
        <w:numPr>
          <w:ilvl w:val="1"/>
          <w:numId w:val="2"/>
        </w:numPr>
        <w:contextualSpacing/>
        <w:rPr>
          <w:szCs w:val="22"/>
        </w:rPr>
      </w:pPr>
      <w:r>
        <w:rPr>
          <w:szCs w:val="22"/>
        </w:rPr>
        <w:t xml:space="preserve">The PBAC noted that nintedanib was associated with statistically significantly higher instances of drug related adverse events </w:t>
      </w:r>
      <w:r w:rsidRPr="00EB2424">
        <w:rPr>
          <w:szCs w:val="22"/>
        </w:rPr>
        <w:t>and gastrointestinal adverse events including diarrhoea, nausea and vomiting</w:t>
      </w:r>
      <w:r>
        <w:rPr>
          <w:szCs w:val="22"/>
        </w:rPr>
        <w:t>.</w:t>
      </w:r>
    </w:p>
    <w:p w:rsidR="00F569A1" w:rsidRDefault="00F569A1" w:rsidP="00D73941">
      <w:pPr>
        <w:pStyle w:val="ListParagraph"/>
        <w:widowControl/>
        <w:rPr>
          <w:szCs w:val="22"/>
        </w:rPr>
      </w:pPr>
    </w:p>
    <w:p w:rsidR="009B3770" w:rsidRPr="00BD0D34" w:rsidRDefault="009B3770" w:rsidP="00D73941">
      <w:pPr>
        <w:widowControl/>
        <w:numPr>
          <w:ilvl w:val="1"/>
          <w:numId w:val="2"/>
        </w:numPr>
        <w:contextualSpacing/>
        <w:rPr>
          <w:szCs w:val="22"/>
        </w:rPr>
      </w:pPr>
      <w:r>
        <w:rPr>
          <w:szCs w:val="22"/>
        </w:rPr>
        <w:t>The PBAC noted the following issues with the economic model:</w:t>
      </w:r>
    </w:p>
    <w:p w:rsidR="00684B75" w:rsidRPr="009B3770" w:rsidRDefault="007552FA" w:rsidP="00D73941">
      <w:pPr>
        <w:widowControl/>
        <w:numPr>
          <w:ilvl w:val="1"/>
          <w:numId w:val="28"/>
        </w:numPr>
        <w:ind w:left="993" w:hanging="284"/>
        <w:contextualSpacing/>
        <w:rPr>
          <w:szCs w:val="22"/>
        </w:rPr>
      </w:pPr>
      <w:r>
        <w:rPr>
          <w:szCs w:val="22"/>
        </w:rPr>
        <w:t>T</w:t>
      </w:r>
      <w:r w:rsidR="00684B75">
        <w:rPr>
          <w:szCs w:val="22"/>
        </w:rPr>
        <w:t>he CUA presented in the submission was inappropriate given the non-statistically significant point estimates for OS and no significant difference in quality of life.</w:t>
      </w:r>
    </w:p>
    <w:p w:rsidR="00684B75" w:rsidRPr="00BD0D34" w:rsidRDefault="007552FA" w:rsidP="00D73941">
      <w:pPr>
        <w:widowControl/>
        <w:numPr>
          <w:ilvl w:val="1"/>
          <w:numId w:val="28"/>
        </w:numPr>
        <w:ind w:left="993" w:hanging="284"/>
        <w:contextualSpacing/>
        <w:rPr>
          <w:szCs w:val="22"/>
        </w:rPr>
      </w:pPr>
      <w:r>
        <w:rPr>
          <w:szCs w:val="22"/>
        </w:rPr>
        <w:t>T</w:t>
      </w:r>
      <w:r w:rsidR="00684B75" w:rsidRPr="00684B75">
        <w:rPr>
          <w:szCs w:val="22"/>
        </w:rPr>
        <w:t xml:space="preserve">he base case ICER </w:t>
      </w:r>
      <w:r w:rsidR="00684B75" w:rsidRPr="00BD0D34">
        <w:rPr>
          <w:szCs w:val="22"/>
        </w:rPr>
        <w:t xml:space="preserve">(of </w:t>
      </w:r>
      <w:r w:rsidR="000C3D40" w:rsidRPr="00495802">
        <w:rPr>
          <w:szCs w:val="22"/>
        </w:rPr>
        <w:t xml:space="preserve">$105,000-$200,000 </w:t>
      </w:r>
      <w:r w:rsidR="00684B75" w:rsidRPr="00BD0D34">
        <w:rPr>
          <w:szCs w:val="22"/>
        </w:rPr>
        <w:t>per QALY)</w:t>
      </w:r>
      <w:r w:rsidR="00684B75">
        <w:rPr>
          <w:szCs w:val="22"/>
        </w:rPr>
        <w:t xml:space="preserve"> was unacceptably high</w:t>
      </w:r>
      <w:r w:rsidR="00684B75" w:rsidRPr="00684B75">
        <w:rPr>
          <w:szCs w:val="22"/>
        </w:rPr>
        <w:t xml:space="preserve"> and likely to be optimistic </w:t>
      </w:r>
      <w:r w:rsidR="00684B75">
        <w:rPr>
          <w:szCs w:val="22"/>
        </w:rPr>
        <w:t>as</w:t>
      </w:r>
      <w:r w:rsidR="00684B75" w:rsidRPr="00684B75">
        <w:rPr>
          <w:szCs w:val="22"/>
        </w:rPr>
        <w:t xml:space="preserve"> it </w:t>
      </w:r>
      <w:r w:rsidR="00684B75">
        <w:rPr>
          <w:szCs w:val="22"/>
        </w:rPr>
        <w:t xml:space="preserve">used </w:t>
      </w:r>
      <w:r w:rsidR="00684B75" w:rsidRPr="00172009">
        <w:t>non-significant survival and quality of life benefits extrapolated from 1</w:t>
      </w:r>
      <w:r w:rsidR="00684B75">
        <w:t xml:space="preserve">2 months to 10 years to </w:t>
      </w:r>
      <w:r>
        <w:t>estimate</w:t>
      </w:r>
      <w:r w:rsidR="00684B75">
        <w:t xml:space="preserve"> life years</w:t>
      </w:r>
      <w:r w:rsidR="00684B75" w:rsidRPr="00172009">
        <w:t xml:space="preserve"> and QALYs gained</w:t>
      </w:r>
      <w:r w:rsidR="00FF0998">
        <w:rPr>
          <w:szCs w:val="22"/>
        </w:rPr>
        <w:t>.</w:t>
      </w:r>
      <w:r w:rsidR="00684B75" w:rsidRPr="00684B75">
        <w:rPr>
          <w:szCs w:val="22"/>
        </w:rPr>
        <w:t xml:space="preserve"> </w:t>
      </w:r>
      <w:r w:rsidR="00684B75" w:rsidRPr="00BD0D34">
        <w:rPr>
          <w:szCs w:val="22"/>
        </w:rPr>
        <w:t xml:space="preserve">The ESC presented a more conservative ICER of </w:t>
      </w:r>
      <w:r w:rsidR="000C3D40" w:rsidRPr="00495802">
        <w:rPr>
          <w:szCs w:val="22"/>
        </w:rPr>
        <w:t xml:space="preserve">more than $200,000 </w:t>
      </w:r>
      <w:r w:rsidR="00684B75" w:rsidRPr="00BD0D34">
        <w:rPr>
          <w:szCs w:val="22"/>
        </w:rPr>
        <w:t xml:space="preserve">per QALY which was based on extrapolation of the </w:t>
      </w:r>
      <w:r w:rsidR="004F1F9B" w:rsidRPr="00BD0D34">
        <w:rPr>
          <w:szCs w:val="22"/>
        </w:rPr>
        <w:t>Kaplan</w:t>
      </w:r>
      <w:r w:rsidR="00684B75" w:rsidRPr="00BD0D34">
        <w:rPr>
          <w:szCs w:val="22"/>
        </w:rPr>
        <w:t xml:space="preserve"> Meier survival estimates to 21 months.</w:t>
      </w:r>
    </w:p>
    <w:p w:rsidR="009B3770" w:rsidRPr="009B3770" w:rsidRDefault="00F569A1" w:rsidP="00D73941">
      <w:pPr>
        <w:widowControl/>
        <w:numPr>
          <w:ilvl w:val="1"/>
          <w:numId w:val="28"/>
        </w:numPr>
        <w:ind w:left="993" w:hanging="284"/>
        <w:contextualSpacing/>
        <w:rPr>
          <w:szCs w:val="22"/>
        </w:rPr>
      </w:pPr>
      <w:r w:rsidRPr="00BD0D34">
        <w:rPr>
          <w:szCs w:val="22"/>
        </w:rPr>
        <w:t>T</w:t>
      </w:r>
      <w:r w:rsidRPr="009B3770">
        <w:t xml:space="preserve">he risks of exacerbation remained constant in the economic model </w:t>
      </w:r>
      <w:r w:rsidR="00684B75" w:rsidRPr="009B3770">
        <w:t xml:space="preserve">and therefore considered that </w:t>
      </w:r>
      <w:r w:rsidR="009B3770">
        <w:t>it</w:t>
      </w:r>
      <w:r w:rsidR="00684B75" w:rsidRPr="009B3770">
        <w:t xml:space="preserve"> </w:t>
      </w:r>
      <w:r w:rsidRPr="009B3770">
        <w:t>inadequately represent</w:t>
      </w:r>
      <w:r w:rsidR="009B3770">
        <w:t>ed</w:t>
      </w:r>
      <w:r w:rsidRPr="009B3770">
        <w:t xml:space="preserve"> the clinical course of IPF progression over time.</w:t>
      </w:r>
    </w:p>
    <w:p w:rsidR="009B3770" w:rsidRDefault="00E347C0" w:rsidP="00D73941">
      <w:pPr>
        <w:pStyle w:val="ListParagraph"/>
        <w:widowControl/>
        <w:numPr>
          <w:ilvl w:val="1"/>
          <w:numId w:val="28"/>
        </w:numPr>
        <w:ind w:left="993" w:hanging="284"/>
        <w:rPr>
          <w:szCs w:val="22"/>
        </w:rPr>
      </w:pPr>
      <w:r>
        <w:rPr>
          <w:szCs w:val="22"/>
        </w:rPr>
        <w:t>T</w:t>
      </w:r>
      <w:r w:rsidR="009B3770" w:rsidRPr="009B3770">
        <w:rPr>
          <w:szCs w:val="22"/>
        </w:rPr>
        <w:t xml:space="preserve">he application of the trial based </w:t>
      </w:r>
      <w:proofErr w:type="spellStart"/>
      <w:r w:rsidR="009B3770" w:rsidRPr="009B3770">
        <w:rPr>
          <w:szCs w:val="22"/>
        </w:rPr>
        <w:t>disutilities</w:t>
      </w:r>
      <w:proofErr w:type="spellEnd"/>
      <w:r w:rsidR="009B3770" w:rsidRPr="009B3770">
        <w:rPr>
          <w:szCs w:val="22"/>
        </w:rPr>
        <w:t xml:space="preserve"> for exacerbations and adverse events in the model result</w:t>
      </w:r>
      <w:r>
        <w:rPr>
          <w:szCs w:val="22"/>
        </w:rPr>
        <w:t>ed</w:t>
      </w:r>
      <w:r w:rsidR="009B3770" w:rsidRPr="009B3770">
        <w:rPr>
          <w:szCs w:val="22"/>
        </w:rPr>
        <w:t xml:space="preserve"> in some double counting of the trial based utilities for FVC%Pred health states.</w:t>
      </w:r>
      <w:r w:rsidR="00722E0F">
        <w:rPr>
          <w:szCs w:val="22"/>
        </w:rPr>
        <w:t xml:space="preserve"> </w:t>
      </w:r>
      <w:r>
        <w:rPr>
          <w:szCs w:val="22"/>
        </w:rPr>
        <w:t>Although</w:t>
      </w:r>
      <w:r w:rsidR="00722E0F">
        <w:rPr>
          <w:szCs w:val="22"/>
        </w:rPr>
        <w:t xml:space="preserve">, </w:t>
      </w:r>
      <w:r w:rsidR="001D03BF">
        <w:rPr>
          <w:szCs w:val="22"/>
        </w:rPr>
        <w:t xml:space="preserve">the PBAC noted that </w:t>
      </w:r>
      <w:r w:rsidR="00722E0F">
        <w:rPr>
          <w:szCs w:val="22"/>
        </w:rPr>
        <w:t xml:space="preserve">the model was relatively insensitive to </w:t>
      </w:r>
      <w:r>
        <w:rPr>
          <w:szCs w:val="22"/>
        </w:rPr>
        <w:t xml:space="preserve">the </w:t>
      </w:r>
      <w:r w:rsidR="00722E0F">
        <w:rPr>
          <w:szCs w:val="22"/>
        </w:rPr>
        <w:t xml:space="preserve">removal of these </w:t>
      </w:r>
      <w:proofErr w:type="spellStart"/>
      <w:r w:rsidR="00722E0F">
        <w:rPr>
          <w:szCs w:val="22"/>
        </w:rPr>
        <w:t>disutilties</w:t>
      </w:r>
      <w:proofErr w:type="spellEnd"/>
      <w:r w:rsidR="00722E0F">
        <w:rPr>
          <w:szCs w:val="22"/>
        </w:rPr>
        <w:t>.</w:t>
      </w:r>
    </w:p>
    <w:p w:rsidR="009B3770" w:rsidRDefault="007552FA" w:rsidP="00D73941">
      <w:pPr>
        <w:pStyle w:val="ListParagraph"/>
        <w:widowControl/>
        <w:numPr>
          <w:ilvl w:val="1"/>
          <w:numId w:val="28"/>
        </w:numPr>
        <w:ind w:left="993" w:hanging="284"/>
        <w:rPr>
          <w:szCs w:val="22"/>
        </w:rPr>
      </w:pPr>
      <w:r>
        <w:rPr>
          <w:szCs w:val="22"/>
        </w:rPr>
        <w:t>T</w:t>
      </w:r>
      <w:r w:rsidR="00ED3F5D">
        <w:rPr>
          <w:szCs w:val="22"/>
        </w:rPr>
        <w:t>he modelled time horizon should be determined in the context of both the natural history of the disease and the duration over which it is reasonable to model a benefit. In this regard, the PBAC agreed</w:t>
      </w:r>
      <w:r w:rsidR="009B3770">
        <w:rPr>
          <w:szCs w:val="22"/>
        </w:rPr>
        <w:t xml:space="preserve"> with the ESC that the time horizon was inappropriate given the uncertainty </w:t>
      </w:r>
      <w:r w:rsidR="00CE11E4">
        <w:rPr>
          <w:szCs w:val="22"/>
        </w:rPr>
        <w:t>regarding</w:t>
      </w:r>
      <w:r w:rsidR="009B3770">
        <w:rPr>
          <w:szCs w:val="22"/>
        </w:rPr>
        <w:t xml:space="preserve"> extrapolation</w:t>
      </w:r>
      <w:r w:rsidR="00ED3F5D">
        <w:rPr>
          <w:szCs w:val="22"/>
        </w:rPr>
        <w:t xml:space="preserve"> of non</w:t>
      </w:r>
      <w:r w:rsidR="00ED3F5D">
        <w:rPr>
          <w:szCs w:val="22"/>
        </w:rPr>
        <w:noBreakHyphen/>
      </w:r>
      <w:r w:rsidR="009B3770">
        <w:rPr>
          <w:szCs w:val="22"/>
        </w:rPr>
        <w:t>significant survival over 10 years</w:t>
      </w:r>
      <w:r w:rsidR="008A6EE2">
        <w:rPr>
          <w:szCs w:val="22"/>
        </w:rPr>
        <w:t>.</w:t>
      </w:r>
    </w:p>
    <w:p w:rsidR="00935322" w:rsidRPr="00534B89" w:rsidRDefault="00935322" w:rsidP="00D73941">
      <w:pPr>
        <w:widowControl/>
        <w:ind w:left="720"/>
        <w:contextualSpacing/>
        <w:rPr>
          <w:szCs w:val="22"/>
        </w:rPr>
      </w:pPr>
    </w:p>
    <w:p w:rsidR="002052D3" w:rsidRDefault="002052D3" w:rsidP="00D73941">
      <w:pPr>
        <w:pStyle w:val="ListParagraph"/>
        <w:widowControl/>
        <w:numPr>
          <w:ilvl w:val="1"/>
          <w:numId w:val="2"/>
        </w:numPr>
        <w:rPr>
          <w:szCs w:val="22"/>
        </w:rPr>
      </w:pPr>
      <w:r w:rsidRPr="002052D3">
        <w:rPr>
          <w:szCs w:val="22"/>
        </w:rPr>
        <w:t xml:space="preserve">The </w:t>
      </w:r>
      <w:r>
        <w:rPr>
          <w:szCs w:val="22"/>
        </w:rPr>
        <w:t xml:space="preserve">PBAC noted the challenges in identifying the appropriate patient population and that the Pre-PBAC Response accepted the DUSC recommended prevalence rate of </w:t>
      </w:r>
      <w:r w:rsidRPr="002052D3">
        <w:rPr>
          <w:szCs w:val="22"/>
        </w:rPr>
        <w:t>14.4 per 100,000</w:t>
      </w:r>
      <w:r>
        <w:rPr>
          <w:szCs w:val="22"/>
        </w:rPr>
        <w:t>. The PBAC also noted the revised</w:t>
      </w:r>
      <w:r w:rsidR="00CE11E4">
        <w:rPr>
          <w:szCs w:val="22"/>
        </w:rPr>
        <w:t xml:space="preserve"> financial estimates in the Pre</w:t>
      </w:r>
      <w:r w:rsidR="00CE11E4">
        <w:rPr>
          <w:szCs w:val="22"/>
        </w:rPr>
        <w:noBreakHyphen/>
      </w:r>
      <w:r>
        <w:rPr>
          <w:szCs w:val="22"/>
        </w:rPr>
        <w:t xml:space="preserve">PBAC Response were roughly in line with </w:t>
      </w:r>
      <w:r w:rsidR="00C579A1">
        <w:rPr>
          <w:szCs w:val="22"/>
        </w:rPr>
        <w:t xml:space="preserve">the </w:t>
      </w:r>
      <w:r>
        <w:rPr>
          <w:szCs w:val="22"/>
        </w:rPr>
        <w:t>DUSC’s consideration</w:t>
      </w:r>
      <w:r w:rsidRPr="002052D3">
        <w:rPr>
          <w:szCs w:val="22"/>
        </w:rPr>
        <w:t xml:space="preserve"> that the net cost to the PBS for listing nintedanib could be approximately triple the submission Year 1 estimates and approximately double the submission Year 5 estimates.</w:t>
      </w:r>
    </w:p>
    <w:p w:rsidR="005E32C0" w:rsidRDefault="005E32C0" w:rsidP="00D73941">
      <w:pPr>
        <w:pStyle w:val="ListParagraph"/>
        <w:widowControl/>
        <w:rPr>
          <w:szCs w:val="22"/>
        </w:rPr>
      </w:pPr>
    </w:p>
    <w:p w:rsidR="005E32C0" w:rsidRDefault="005E32C0" w:rsidP="00D73941">
      <w:pPr>
        <w:pStyle w:val="ListParagraph"/>
        <w:widowControl/>
        <w:numPr>
          <w:ilvl w:val="1"/>
          <w:numId w:val="2"/>
        </w:numPr>
        <w:rPr>
          <w:szCs w:val="22"/>
        </w:rPr>
      </w:pPr>
      <w:r>
        <w:rPr>
          <w:szCs w:val="22"/>
        </w:rPr>
        <w:lastRenderedPageBreak/>
        <w:t xml:space="preserve">The PBAC considered that a major resubmission would be required to </w:t>
      </w:r>
      <w:r w:rsidR="00CE11E4">
        <w:rPr>
          <w:szCs w:val="22"/>
        </w:rPr>
        <w:t xml:space="preserve">seek </w:t>
      </w:r>
      <w:r>
        <w:rPr>
          <w:szCs w:val="22"/>
        </w:rPr>
        <w:t>list</w:t>
      </w:r>
      <w:r w:rsidR="00CE11E4">
        <w:rPr>
          <w:szCs w:val="22"/>
        </w:rPr>
        <w:t xml:space="preserve">ing of </w:t>
      </w:r>
      <w:r>
        <w:rPr>
          <w:szCs w:val="22"/>
        </w:rPr>
        <w:t>nintedanib for IPF on the PBS. The resubmission should present a revised model that addresses the i</w:t>
      </w:r>
      <w:r w:rsidR="00A07ACA">
        <w:rPr>
          <w:szCs w:val="22"/>
        </w:rPr>
        <w:t>ssues outlined in paragraph 7.10</w:t>
      </w:r>
      <w:r w:rsidR="004346B7">
        <w:rPr>
          <w:szCs w:val="22"/>
        </w:rPr>
        <w:t xml:space="preserve">, including the use of </w:t>
      </w:r>
      <w:r w:rsidR="00CB17DC">
        <w:rPr>
          <w:szCs w:val="22"/>
        </w:rPr>
        <w:t>the</w:t>
      </w:r>
      <w:r w:rsidR="004346B7">
        <w:rPr>
          <w:szCs w:val="22"/>
        </w:rPr>
        <w:t xml:space="preserve"> more conservative methodology for </w:t>
      </w:r>
      <w:r w:rsidR="001C3654">
        <w:rPr>
          <w:szCs w:val="22"/>
        </w:rPr>
        <w:t>extrapolation of survival benefit associated with nintedanib</w:t>
      </w:r>
      <w:r w:rsidR="00CB17DC">
        <w:rPr>
          <w:szCs w:val="22"/>
        </w:rPr>
        <w:t xml:space="preserve"> recommended by the </w:t>
      </w:r>
      <w:r w:rsidR="005264F6">
        <w:rPr>
          <w:szCs w:val="22"/>
        </w:rPr>
        <w:t>evaluation (see paragraph 6.28)</w:t>
      </w:r>
      <w:r>
        <w:rPr>
          <w:szCs w:val="22"/>
        </w:rPr>
        <w:t>. The PBAC noted that a price reduction would likely be required to result in nintedanib bei</w:t>
      </w:r>
      <w:r w:rsidR="00CE11E4">
        <w:rPr>
          <w:szCs w:val="22"/>
        </w:rPr>
        <w:t>ng considered sufficiently cost-</w:t>
      </w:r>
      <w:r>
        <w:rPr>
          <w:szCs w:val="22"/>
        </w:rPr>
        <w:t>effective for the treatment of IPF.</w:t>
      </w:r>
      <w:r w:rsidR="004346B7">
        <w:rPr>
          <w:szCs w:val="22"/>
        </w:rPr>
        <w:t xml:space="preserve"> </w:t>
      </w:r>
      <w:r w:rsidR="004346B7" w:rsidRPr="007514DB">
        <w:rPr>
          <w:szCs w:val="22"/>
        </w:rPr>
        <w:t xml:space="preserve">Alternatively, the PBAC considered </w:t>
      </w:r>
      <w:r w:rsidR="001C3654" w:rsidRPr="007514DB">
        <w:rPr>
          <w:szCs w:val="22"/>
        </w:rPr>
        <w:t xml:space="preserve">that </w:t>
      </w:r>
      <w:r w:rsidR="00A1613E">
        <w:rPr>
          <w:szCs w:val="22"/>
        </w:rPr>
        <w:t xml:space="preserve">another way forward could be to present a new model that examined </w:t>
      </w:r>
      <w:r w:rsidR="00A1613E" w:rsidRPr="007514DB">
        <w:rPr>
          <w:szCs w:val="22"/>
        </w:rPr>
        <w:t>the impact of treatment with nintedanib</w:t>
      </w:r>
      <w:r w:rsidR="00A1613E">
        <w:rPr>
          <w:szCs w:val="22"/>
        </w:rPr>
        <w:t xml:space="preserve"> for patients with IPF on </w:t>
      </w:r>
      <w:r w:rsidR="007514DB" w:rsidRPr="007514DB">
        <w:rPr>
          <w:szCs w:val="22"/>
        </w:rPr>
        <w:t>acute exacerbations</w:t>
      </w:r>
      <w:r w:rsidR="001C3654" w:rsidRPr="007514DB">
        <w:rPr>
          <w:szCs w:val="22"/>
        </w:rPr>
        <w:t>.</w:t>
      </w:r>
    </w:p>
    <w:p w:rsidR="006D02FB" w:rsidRDefault="006D02FB" w:rsidP="00D73941">
      <w:pPr>
        <w:pStyle w:val="ListParagraph"/>
        <w:widowControl/>
        <w:rPr>
          <w:color w:val="5F497A" w:themeColor="accent4" w:themeShade="BF"/>
          <w:szCs w:val="22"/>
        </w:rPr>
      </w:pPr>
    </w:p>
    <w:p w:rsidR="006D02FB" w:rsidRPr="006D02FB" w:rsidRDefault="00E85B92" w:rsidP="00D73941">
      <w:pPr>
        <w:widowControl/>
        <w:numPr>
          <w:ilvl w:val="1"/>
          <w:numId w:val="2"/>
        </w:numPr>
        <w:rPr>
          <w:szCs w:val="22"/>
        </w:rPr>
      </w:pPr>
      <w:r w:rsidRPr="006D02FB">
        <w:rPr>
          <w:szCs w:val="22"/>
        </w:rPr>
        <w:t>The PBAC</w:t>
      </w:r>
      <w:r>
        <w:rPr>
          <w:szCs w:val="22"/>
        </w:rPr>
        <w:t xml:space="preserve"> considered that the criteria for the ‘rule of rescue’ were not met for nintedanib due to the extent and heterogeneity of the clinical impact and the severity of the disease as well as lack of a true ‘rescue’ effect of the drug.</w:t>
      </w:r>
    </w:p>
    <w:p w:rsidR="00935322" w:rsidRPr="00534B89" w:rsidRDefault="00935322" w:rsidP="00D73941">
      <w:pPr>
        <w:widowControl/>
        <w:rPr>
          <w:i/>
          <w:szCs w:val="22"/>
        </w:rPr>
      </w:pPr>
    </w:p>
    <w:p w:rsidR="00115271" w:rsidRPr="00115271" w:rsidRDefault="00935322" w:rsidP="00D73941">
      <w:pPr>
        <w:widowControl/>
        <w:numPr>
          <w:ilvl w:val="1"/>
          <w:numId w:val="2"/>
        </w:numPr>
        <w:contextualSpacing/>
        <w:rPr>
          <w:szCs w:val="22"/>
        </w:rPr>
      </w:pPr>
      <w:r w:rsidRPr="00534B89">
        <w:rPr>
          <w:szCs w:val="22"/>
        </w:rPr>
        <w:t>The PBAC noted that this submission is eligible for an Independent Review.</w:t>
      </w:r>
    </w:p>
    <w:p w:rsidR="00935322" w:rsidRPr="00534B89" w:rsidRDefault="00115271" w:rsidP="00D73941">
      <w:pPr>
        <w:widowControl/>
        <w:ind w:left="720"/>
        <w:contextualSpacing/>
        <w:rPr>
          <w:szCs w:val="22"/>
        </w:rPr>
      </w:pPr>
      <w:r w:rsidRPr="00534B89">
        <w:rPr>
          <w:szCs w:val="22"/>
        </w:rPr>
        <w:t xml:space="preserve"> </w:t>
      </w:r>
    </w:p>
    <w:p w:rsidR="00935322" w:rsidRPr="00534B89" w:rsidRDefault="00935322" w:rsidP="00D73941">
      <w:pPr>
        <w:widowControl/>
        <w:rPr>
          <w:b/>
          <w:szCs w:val="22"/>
        </w:rPr>
      </w:pPr>
      <w:r w:rsidRPr="00534B89">
        <w:rPr>
          <w:b/>
          <w:szCs w:val="22"/>
        </w:rPr>
        <w:t>Outcome:</w:t>
      </w:r>
    </w:p>
    <w:p w:rsidR="00935322" w:rsidRDefault="00115271" w:rsidP="00D73941">
      <w:pPr>
        <w:widowControl/>
        <w:rPr>
          <w:szCs w:val="22"/>
        </w:rPr>
      </w:pPr>
      <w:r>
        <w:rPr>
          <w:szCs w:val="22"/>
        </w:rPr>
        <w:t>Rejected</w:t>
      </w:r>
    </w:p>
    <w:p w:rsidR="00983696" w:rsidRDefault="00983696" w:rsidP="00D73941">
      <w:pPr>
        <w:widowControl/>
        <w:rPr>
          <w:szCs w:val="22"/>
        </w:rPr>
      </w:pPr>
    </w:p>
    <w:p w:rsidR="006E4702" w:rsidRDefault="006E4702" w:rsidP="006E4702">
      <w:pPr>
        <w:widowControl/>
        <w:rPr>
          <w:rFonts w:cs="Times New Roman"/>
          <w:snapToGrid/>
          <w:szCs w:val="22"/>
          <w:lang w:eastAsia="en-AU"/>
        </w:rPr>
      </w:pPr>
    </w:p>
    <w:p w:rsidR="006E4702" w:rsidRPr="00C45157" w:rsidRDefault="006E4702" w:rsidP="006E4702">
      <w:pPr>
        <w:widowControl/>
        <w:numPr>
          <w:ilvl w:val="0"/>
          <w:numId w:val="2"/>
        </w:numPr>
        <w:jc w:val="left"/>
        <w:rPr>
          <w:b/>
          <w:snapToGrid/>
          <w:szCs w:val="22"/>
        </w:rPr>
      </w:pPr>
      <w:r w:rsidRPr="00C45157">
        <w:rPr>
          <w:b/>
          <w:snapToGrid/>
          <w:szCs w:val="22"/>
        </w:rPr>
        <w:t>Context for Decision</w:t>
      </w:r>
    </w:p>
    <w:p w:rsidR="006E4702" w:rsidRPr="00C45157" w:rsidRDefault="006E4702" w:rsidP="006E4702">
      <w:pPr>
        <w:widowControl/>
        <w:ind w:left="720"/>
        <w:contextualSpacing/>
        <w:jc w:val="left"/>
        <w:rPr>
          <w:rFonts w:ascii="Times New Roman" w:hAnsi="Times New Roman" w:cs="Times New Roman"/>
          <w:b/>
          <w:snapToGrid/>
          <w:sz w:val="24"/>
          <w:szCs w:val="24"/>
          <w:lang w:eastAsia="en-AU"/>
        </w:rPr>
      </w:pPr>
    </w:p>
    <w:p w:rsidR="006E4702" w:rsidRPr="00C45157" w:rsidRDefault="006E4702" w:rsidP="006E4702">
      <w:pPr>
        <w:widowControl/>
        <w:ind w:left="720"/>
        <w:jc w:val="left"/>
        <w:rPr>
          <w:bCs/>
          <w:szCs w:val="22"/>
          <w:lang w:eastAsia="en-AU"/>
        </w:rPr>
      </w:pPr>
      <w:r w:rsidRPr="00C45157">
        <w:rPr>
          <w:bCs/>
          <w:szCs w:val="22"/>
          <w:lang w:eastAsia="en-AU"/>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E4702" w:rsidRPr="00C45157" w:rsidRDefault="006E4702" w:rsidP="006E4702">
      <w:pPr>
        <w:widowControl/>
        <w:jc w:val="left"/>
        <w:rPr>
          <w:rFonts w:ascii="Times New Roman" w:hAnsi="Times New Roman" w:cs="Times New Roman"/>
          <w:snapToGrid/>
          <w:sz w:val="24"/>
          <w:szCs w:val="24"/>
          <w:lang w:eastAsia="en-AU"/>
        </w:rPr>
      </w:pPr>
    </w:p>
    <w:p w:rsidR="006E4702" w:rsidRPr="00C45157" w:rsidRDefault="006E4702" w:rsidP="006E4702">
      <w:pPr>
        <w:widowControl/>
        <w:numPr>
          <w:ilvl w:val="0"/>
          <w:numId w:val="2"/>
        </w:numPr>
        <w:jc w:val="left"/>
        <w:rPr>
          <w:b/>
          <w:snapToGrid/>
          <w:szCs w:val="22"/>
        </w:rPr>
      </w:pPr>
      <w:r w:rsidRPr="00C45157">
        <w:rPr>
          <w:b/>
          <w:snapToGrid/>
          <w:szCs w:val="22"/>
        </w:rPr>
        <w:t>Sponsor’s Comment</w:t>
      </w:r>
    </w:p>
    <w:p w:rsidR="00E347C0" w:rsidRDefault="00E347C0" w:rsidP="0031709E">
      <w:pPr>
        <w:widowControl/>
        <w:rPr>
          <w:rFonts w:ascii="Calibri" w:hAnsi="Calibri" w:cs="Calibri"/>
        </w:rPr>
      </w:pPr>
    </w:p>
    <w:p w:rsidR="00495802" w:rsidRPr="00495802" w:rsidRDefault="00495802" w:rsidP="00495802">
      <w:pPr>
        <w:widowControl/>
        <w:ind w:firstLine="720"/>
      </w:pPr>
      <w:r w:rsidRPr="00495802">
        <w:t>The Sponsor had no comment.</w:t>
      </w:r>
    </w:p>
    <w:sectPr w:rsidR="00495802" w:rsidRPr="00495802" w:rsidSect="002D50C6">
      <w:headerReference w:type="default" r:id="rId9"/>
      <w:footerReference w:type="default" r:id="rId10"/>
      <w:pgSz w:w="11907" w:h="16840"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C33C5E" w15:done="0"/>
  <w15:commentEx w15:paraId="234E57C4" w15:done="0"/>
  <w15:commentEx w15:paraId="2AF447BE" w15:done="0"/>
  <w15:commentEx w15:paraId="34AC8F7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A35" w:rsidRDefault="00ED4A35" w:rsidP="00124A51">
      <w:r>
        <w:separator/>
      </w:r>
    </w:p>
  </w:endnote>
  <w:endnote w:type="continuationSeparator" w:id="0">
    <w:p w:rsidR="00ED4A35" w:rsidRDefault="00ED4A35"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887" w:rsidRDefault="00EA0887" w:rsidP="002D50C6">
    <w:pPr>
      <w:ind w:left="709"/>
      <w:contextualSpacing/>
      <w:jc w:val="center"/>
      <w:rPr>
        <w:b/>
        <w:bCs/>
        <w:szCs w:val="22"/>
      </w:rPr>
    </w:pPr>
  </w:p>
  <w:p w:rsidR="00EA0887" w:rsidRPr="00F16534" w:rsidRDefault="00EA0887" w:rsidP="00F16534">
    <w:pPr>
      <w:pStyle w:val="Footer"/>
      <w:ind w:left="360"/>
      <w:jc w:val="center"/>
      <w:rPr>
        <w:sz w:val="20"/>
      </w:rPr>
    </w:pPr>
    <w:r w:rsidRPr="00651169">
      <w:rPr>
        <w:sz w:val="20"/>
      </w:rPr>
      <w:fldChar w:fldCharType="begin"/>
    </w:r>
    <w:r w:rsidRPr="00651169">
      <w:rPr>
        <w:sz w:val="20"/>
      </w:rPr>
      <w:instrText xml:space="preserve"> PAGE   \* MERGEFORMAT </w:instrText>
    </w:r>
    <w:r w:rsidRPr="00651169">
      <w:rPr>
        <w:sz w:val="20"/>
      </w:rPr>
      <w:fldChar w:fldCharType="separate"/>
    </w:r>
    <w:r w:rsidR="00A108E2">
      <w:rPr>
        <w:noProof/>
        <w:sz w:val="20"/>
      </w:rPr>
      <w:t>10</w:t>
    </w:r>
    <w:r w:rsidRPr="00651169">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A35" w:rsidRDefault="00ED4A35" w:rsidP="00124A51">
      <w:r>
        <w:separator/>
      </w:r>
    </w:p>
  </w:footnote>
  <w:footnote w:type="continuationSeparator" w:id="0">
    <w:p w:rsidR="00ED4A35" w:rsidRDefault="00ED4A35"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887" w:rsidRPr="00DF217D" w:rsidRDefault="00EA0887" w:rsidP="00F16534">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March 2015 </w:t>
    </w:r>
    <w:r w:rsidRPr="00DF217D">
      <w:rPr>
        <w:i/>
        <w:color w:val="808080"/>
      </w:rPr>
      <w:t>PBAC</w:t>
    </w:r>
    <w:r>
      <w:rPr>
        <w:i/>
        <w:color w:val="808080"/>
      </w:rPr>
      <w:t xml:space="preserve"> </w:t>
    </w:r>
    <w:r w:rsidRPr="00DF217D">
      <w:rPr>
        <w:i/>
        <w:color w:val="808080"/>
      </w:rPr>
      <w:t>Meeting</w:t>
    </w:r>
  </w:p>
  <w:p w:rsidR="00EA0887" w:rsidRDefault="00EA08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B847C4"/>
    <w:multiLevelType w:val="hybridMultilevel"/>
    <w:tmpl w:val="F1F4C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3">
    <w:nsid w:val="27BC1BD9"/>
    <w:multiLevelType w:val="hybridMultilevel"/>
    <w:tmpl w:val="09EC1D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28061CFA"/>
    <w:multiLevelType w:val="hybridMultilevel"/>
    <w:tmpl w:val="9F0E74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0A7346E"/>
    <w:multiLevelType w:val="hybridMultilevel"/>
    <w:tmpl w:val="1D000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B9F1272"/>
    <w:multiLevelType w:val="hybridMultilevel"/>
    <w:tmpl w:val="8B70C468"/>
    <w:lvl w:ilvl="0" w:tplc="6DB887F2">
      <w:start w:val="1"/>
      <w:numFmt w:val="bullet"/>
      <w:lvlText w:val="•"/>
      <w:lvlJc w:val="left"/>
      <w:pPr>
        <w:tabs>
          <w:tab w:val="num" w:pos="720"/>
        </w:tabs>
        <w:ind w:left="720" w:hanging="360"/>
      </w:pPr>
      <w:rPr>
        <w:rFonts w:ascii="Arial" w:hAnsi="Arial" w:hint="default"/>
      </w:rPr>
    </w:lvl>
    <w:lvl w:ilvl="1" w:tplc="BDC4AF12" w:tentative="1">
      <w:start w:val="1"/>
      <w:numFmt w:val="bullet"/>
      <w:lvlText w:val="•"/>
      <w:lvlJc w:val="left"/>
      <w:pPr>
        <w:tabs>
          <w:tab w:val="num" w:pos="1440"/>
        </w:tabs>
        <w:ind w:left="1440" w:hanging="360"/>
      </w:pPr>
      <w:rPr>
        <w:rFonts w:ascii="Arial" w:hAnsi="Arial" w:hint="default"/>
      </w:rPr>
    </w:lvl>
    <w:lvl w:ilvl="2" w:tplc="C43821F8" w:tentative="1">
      <w:start w:val="1"/>
      <w:numFmt w:val="bullet"/>
      <w:lvlText w:val="•"/>
      <w:lvlJc w:val="left"/>
      <w:pPr>
        <w:tabs>
          <w:tab w:val="num" w:pos="2160"/>
        </w:tabs>
        <w:ind w:left="2160" w:hanging="360"/>
      </w:pPr>
      <w:rPr>
        <w:rFonts w:ascii="Arial" w:hAnsi="Arial" w:hint="default"/>
      </w:rPr>
    </w:lvl>
    <w:lvl w:ilvl="3" w:tplc="829639AA" w:tentative="1">
      <w:start w:val="1"/>
      <w:numFmt w:val="bullet"/>
      <w:lvlText w:val="•"/>
      <w:lvlJc w:val="left"/>
      <w:pPr>
        <w:tabs>
          <w:tab w:val="num" w:pos="2880"/>
        </w:tabs>
        <w:ind w:left="2880" w:hanging="360"/>
      </w:pPr>
      <w:rPr>
        <w:rFonts w:ascii="Arial" w:hAnsi="Arial" w:hint="default"/>
      </w:rPr>
    </w:lvl>
    <w:lvl w:ilvl="4" w:tplc="C27CAB6A" w:tentative="1">
      <w:start w:val="1"/>
      <w:numFmt w:val="bullet"/>
      <w:lvlText w:val="•"/>
      <w:lvlJc w:val="left"/>
      <w:pPr>
        <w:tabs>
          <w:tab w:val="num" w:pos="3600"/>
        </w:tabs>
        <w:ind w:left="3600" w:hanging="360"/>
      </w:pPr>
      <w:rPr>
        <w:rFonts w:ascii="Arial" w:hAnsi="Arial" w:hint="default"/>
      </w:rPr>
    </w:lvl>
    <w:lvl w:ilvl="5" w:tplc="6FF43BA0" w:tentative="1">
      <w:start w:val="1"/>
      <w:numFmt w:val="bullet"/>
      <w:lvlText w:val="•"/>
      <w:lvlJc w:val="left"/>
      <w:pPr>
        <w:tabs>
          <w:tab w:val="num" w:pos="4320"/>
        </w:tabs>
        <w:ind w:left="4320" w:hanging="360"/>
      </w:pPr>
      <w:rPr>
        <w:rFonts w:ascii="Arial" w:hAnsi="Arial" w:hint="default"/>
      </w:rPr>
    </w:lvl>
    <w:lvl w:ilvl="6" w:tplc="C3761E3E" w:tentative="1">
      <w:start w:val="1"/>
      <w:numFmt w:val="bullet"/>
      <w:lvlText w:val="•"/>
      <w:lvlJc w:val="left"/>
      <w:pPr>
        <w:tabs>
          <w:tab w:val="num" w:pos="5040"/>
        </w:tabs>
        <w:ind w:left="5040" w:hanging="360"/>
      </w:pPr>
      <w:rPr>
        <w:rFonts w:ascii="Arial" w:hAnsi="Arial" w:hint="default"/>
      </w:rPr>
    </w:lvl>
    <w:lvl w:ilvl="7" w:tplc="8BE447D4" w:tentative="1">
      <w:start w:val="1"/>
      <w:numFmt w:val="bullet"/>
      <w:lvlText w:val="•"/>
      <w:lvlJc w:val="left"/>
      <w:pPr>
        <w:tabs>
          <w:tab w:val="num" w:pos="5760"/>
        </w:tabs>
        <w:ind w:left="5760" w:hanging="360"/>
      </w:pPr>
      <w:rPr>
        <w:rFonts w:ascii="Arial" w:hAnsi="Arial" w:hint="default"/>
      </w:rPr>
    </w:lvl>
    <w:lvl w:ilvl="8" w:tplc="2826BE38" w:tentative="1">
      <w:start w:val="1"/>
      <w:numFmt w:val="bullet"/>
      <w:lvlText w:val="•"/>
      <w:lvlJc w:val="left"/>
      <w:pPr>
        <w:tabs>
          <w:tab w:val="num" w:pos="6480"/>
        </w:tabs>
        <w:ind w:left="6480" w:hanging="360"/>
      </w:pPr>
      <w:rPr>
        <w:rFonts w:ascii="Arial" w:hAnsi="Arial" w:hint="default"/>
      </w:rPr>
    </w:lvl>
  </w:abstractNum>
  <w:abstractNum w:abstractNumId="7">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8">
    <w:nsid w:val="405C566D"/>
    <w:multiLevelType w:val="hybridMultilevel"/>
    <w:tmpl w:val="52A01CD6"/>
    <w:lvl w:ilvl="0" w:tplc="785C05E4">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6F73ACD"/>
    <w:multiLevelType w:val="hybridMultilevel"/>
    <w:tmpl w:val="F0C8F37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48494A7B"/>
    <w:multiLevelType w:val="hybridMultilevel"/>
    <w:tmpl w:val="18389B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4A457794"/>
    <w:multiLevelType w:val="multilevel"/>
    <w:tmpl w:val="59F21F9E"/>
    <w:lvl w:ilvl="0">
      <w:start w:val="1"/>
      <w:numFmt w:val="decimal"/>
      <w:lvlText w:val="%1"/>
      <w:lvlJc w:val="left"/>
      <w:pPr>
        <w:ind w:left="720" w:hanging="720"/>
      </w:pPr>
      <w:rPr>
        <w:rFonts w:hint="default"/>
        <w:b/>
        <w:i w:val="0"/>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3">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A02514B"/>
    <w:multiLevelType w:val="hybridMultilevel"/>
    <w:tmpl w:val="E6F029C4"/>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64E97C68"/>
    <w:multiLevelType w:val="multilevel"/>
    <w:tmpl w:val="59F21F9E"/>
    <w:lvl w:ilvl="0">
      <w:start w:val="1"/>
      <w:numFmt w:val="decimal"/>
      <w:lvlText w:val="%1"/>
      <w:lvlJc w:val="left"/>
      <w:pPr>
        <w:ind w:left="720" w:hanging="720"/>
      </w:pPr>
      <w:rPr>
        <w:rFonts w:hint="default"/>
        <w:b/>
        <w:i w:val="0"/>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65BD4B9E"/>
    <w:multiLevelType w:val="hybridMultilevel"/>
    <w:tmpl w:val="C3B0D1F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66D24F4E"/>
    <w:multiLevelType w:val="hybridMultilevel"/>
    <w:tmpl w:val="2F7C12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nsid w:val="67D92DFE"/>
    <w:multiLevelType w:val="hybridMultilevel"/>
    <w:tmpl w:val="56BE2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0">
    <w:nsid w:val="784D033C"/>
    <w:multiLevelType w:val="multilevel"/>
    <w:tmpl w:val="A864B8FE"/>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2">
    <w:nsid w:val="7E0278AB"/>
    <w:multiLevelType w:val="hybridMultilevel"/>
    <w:tmpl w:val="34B0BD74"/>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7E74767F"/>
    <w:multiLevelType w:val="multilevel"/>
    <w:tmpl w:val="910853DA"/>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0"/>
  </w:num>
  <w:num w:numId="3">
    <w:abstractNumId w:val="10"/>
  </w:num>
  <w:num w:numId="4">
    <w:abstractNumId w:val="3"/>
  </w:num>
  <w:num w:numId="5">
    <w:abstractNumId w:val="8"/>
  </w:num>
  <w:num w:numId="6">
    <w:abstractNumId w:val="1"/>
  </w:num>
  <w:num w:numId="7">
    <w:abstractNumId w:val="4"/>
  </w:num>
  <w:num w:numId="8">
    <w:abstractNumId w:val="23"/>
  </w:num>
  <w:num w:numId="9">
    <w:abstractNumId w:val="22"/>
  </w:num>
  <w:num w:numId="10">
    <w:abstractNumId w:val="14"/>
  </w:num>
  <w:num w:numId="11">
    <w:abstractNumId w:val="20"/>
  </w:num>
  <w:num w:numId="12">
    <w:abstractNumId w:val="20"/>
  </w:num>
  <w:num w:numId="13">
    <w:abstractNumId w:val="12"/>
  </w:num>
  <w:num w:numId="14">
    <w:abstractNumId w:val="0"/>
  </w:num>
  <w:num w:numId="15">
    <w:abstractNumId w:val="7"/>
  </w:num>
  <w:num w:numId="16">
    <w:abstractNumId w:val="13"/>
  </w:num>
  <w:num w:numId="17">
    <w:abstractNumId w:val="19"/>
  </w:num>
  <w:num w:numId="18">
    <w:abstractNumId w:val="21"/>
  </w:num>
  <w:num w:numId="19">
    <w:abstractNumId w:val="2"/>
  </w:num>
  <w:num w:numId="20">
    <w:abstractNumId w:val="20"/>
  </w:num>
  <w:num w:numId="21">
    <w:abstractNumId w:val="18"/>
  </w:num>
  <w:num w:numId="22">
    <w:abstractNumId w:val="5"/>
  </w:num>
  <w:num w:numId="23">
    <w:abstractNumId w:val="17"/>
  </w:num>
  <w:num w:numId="24">
    <w:abstractNumId w:val="6"/>
  </w:num>
  <w:num w:numId="25">
    <w:abstractNumId w:val="9"/>
  </w:num>
  <w:num w:numId="26">
    <w:abstractNumId w:val="16"/>
  </w:num>
  <w:num w:numId="27">
    <w:abstractNumId w:val="11"/>
  </w:num>
  <w:num w:numId="28">
    <w:abstractNumId w:val="15"/>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llie Gavin">
    <w15:presenceInfo w15:providerId="Windows Live" w15:userId="76b95a7c3d3d5b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257"/>
    <w:rsid w:val="00000790"/>
    <w:rsid w:val="0000110B"/>
    <w:rsid w:val="00001B5A"/>
    <w:rsid w:val="00002712"/>
    <w:rsid w:val="0000346C"/>
    <w:rsid w:val="00003499"/>
    <w:rsid w:val="00007B7D"/>
    <w:rsid w:val="00010300"/>
    <w:rsid w:val="00012BEC"/>
    <w:rsid w:val="000130A8"/>
    <w:rsid w:val="00013247"/>
    <w:rsid w:val="00015886"/>
    <w:rsid w:val="000162EF"/>
    <w:rsid w:val="000211A4"/>
    <w:rsid w:val="00021EF8"/>
    <w:rsid w:val="0002225F"/>
    <w:rsid w:val="00022E25"/>
    <w:rsid w:val="00023763"/>
    <w:rsid w:val="00023F33"/>
    <w:rsid w:val="00025FE5"/>
    <w:rsid w:val="00027629"/>
    <w:rsid w:val="000307F9"/>
    <w:rsid w:val="00032DC5"/>
    <w:rsid w:val="000362E8"/>
    <w:rsid w:val="000405CD"/>
    <w:rsid w:val="00040895"/>
    <w:rsid w:val="00041735"/>
    <w:rsid w:val="000418FF"/>
    <w:rsid w:val="00041F6A"/>
    <w:rsid w:val="000423D0"/>
    <w:rsid w:val="000437E7"/>
    <w:rsid w:val="00043C37"/>
    <w:rsid w:val="00043D33"/>
    <w:rsid w:val="0004755F"/>
    <w:rsid w:val="000519DC"/>
    <w:rsid w:val="000526E1"/>
    <w:rsid w:val="00052751"/>
    <w:rsid w:val="000546D7"/>
    <w:rsid w:val="000547A7"/>
    <w:rsid w:val="000552E5"/>
    <w:rsid w:val="00056E8F"/>
    <w:rsid w:val="000605AD"/>
    <w:rsid w:val="0006200D"/>
    <w:rsid w:val="000639BA"/>
    <w:rsid w:val="00064EB9"/>
    <w:rsid w:val="000657A5"/>
    <w:rsid w:val="00065CEC"/>
    <w:rsid w:val="00065F0B"/>
    <w:rsid w:val="00065F2C"/>
    <w:rsid w:val="00067FBF"/>
    <w:rsid w:val="00071248"/>
    <w:rsid w:val="00071AEF"/>
    <w:rsid w:val="000720B9"/>
    <w:rsid w:val="00073DA8"/>
    <w:rsid w:val="00074656"/>
    <w:rsid w:val="000812CA"/>
    <w:rsid w:val="000817ED"/>
    <w:rsid w:val="000829B2"/>
    <w:rsid w:val="00082B6A"/>
    <w:rsid w:val="00084562"/>
    <w:rsid w:val="00085250"/>
    <w:rsid w:val="00086078"/>
    <w:rsid w:val="00086C7A"/>
    <w:rsid w:val="00087369"/>
    <w:rsid w:val="00090C7E"/>
    <w:rsid w:val="000921DE"/>
    <w:rsid w:val="00093013"/>
    <w:rsid w:val="00093728"/>
    <w:rsid w:val="000940CC"/>
    <w:rsid w:val="000950D9"/>
    <w:rsid w:val="00095854"/>
    <w:rsid w:val="00097B93"/>
    <w:rsid w:val="000A434A"/>
    <w:rsid w:val="000A4ECE"/>
    <w:rsid w:val="000A573B"/>
    <w:rsid w:val="000A590F"/>
    <w:rsid w:val="000A6C2E"/>
    <w:rsid w:val="000A7BFF"/>
    <w:rsid w:val="000A7CBD"/>
    <w:rsid w:val="000B155B"/>
    <w:rsid w:val="000B31FD"/>
    <w:rsid w:val="000B3480"/>
    <w:rsid w:val="000B5692"/>
    <w:rsid w:val="000B7EDA"/>
    <w:rsid w:val="000C32B1"/>
    <w:rsid w:val="000C3D40"/>
    <w:rsid w:val="000C5E83"/>
    <w:rsid w:val="000C797D"/>
    <w:rsid w:val="000D0A81"/>
    <w:rsid w:val="000D0D2F"/>
    <w:rsid w:val="000D1BFC"/>
    <w:rsid w:val="000D6F40"/>
    <w:rsid w:val="000D7188"/>
    <w:rsid w:val="000D72C9"/>
    <w:rsid w:val="000E0D1D"/>
    <w:rsid w:val="000E3F99"/>
    <w:rsid w:val="000E61DE"/>
    <w:rsid w:val="000F0D5E"/>
    <w:rsid w:val="000F1210"/>
    <w:rsid w:val="000F3E37"/>
    <w:rsid w:val="000F4651"/>
    <w:rsid w:val="000F4BB8"/>
    <w:rsid w:val="000F54D0"/>
    <w:rsid w:val="000F6EEC"/>
    <w:rsid w:val="000F7127"/>
    <w:rsid w:val="000F7BB0"/>
    <w:rsid w:val="00100F8A"/>
    <w:rsid w:val="00102837"/>
    <w:rsid w:val="001040A8"/>
    <w:rsid w:val="00105B0B"/>
    <w:rsid w:val="0011032E"/>
    <w:rsid w:val="0011084C"/>
    <w:rsid w:val="00110BF6"/>
    <w:rsid w:val="00111A13"/>
    <w:rsid w:val="0011348B"/>
    <w:rsid w:val="00113F9C"/>
    <w:rsid w:val="00115271"/>
    <w:rsid w:val="00116FA8"/>
    <w:rsid w:val="00117A4F"/>
    <w:rsid w:val="0012002A"/>
    <w:rsid w:val="001204A0"/>
    <w:rsid w:val="00121799"/>
    <w:rsid w:val="001222FC"/>
    <w:rsid w:val="00122810"/>
    <w:rsid w:val="00124A51"/>
    <w:rsid w:val="00125903"/>
    <w:rsid w:val="00126621"/>
    <w:rsid w:val="001301E9"/>
    <w:rsid w:val="00130D2B"/>
    <w:rsid w:val="0013449E"/>
    <w:rsid w:val="00135A3E"/>
    <w:rsid w:val="001369A6"/>
    <w:rsid w:val="00137645"/>
    <w:rsid w:val="0014015A"/>
    <w:rsid w:val="00140A50"/>
    <w:rsid w:val="00140E99"/>
    <w:rsid w:val="00141720"/>
    <w:rsid w:val="0014382C"/>
    <w:rsid w:val="001449A6"/>
    <w:rsid w:val="00145540"/>
    <w:rsid w:val="001456B0"/>
    <w:rsid w:val="00145849"/>
    <w:rsid w:val="00150878"/>
    <w:rsid w:val="001534AB"/>
    <w:rsid w:val="0015450B"/>
    <w:rsid w:val="00156F11"/>
    <w:rsid w:val="00157130"/>
    <w:rsid w:val="00162913"/>
    <w:rsid w:val="00162B9E"/>
    <w:rsid w:val="00162E3D"/>
    <w:rsid w:val="00163EFF"/>
    <w:rsid w:val="001640B4"/>
    <w:rsid w:val="001641D5"/>
    <w:rsid w:val="001661FB"/>
    <w:rsid w:val="00171B6F"/>
    <w:rsid w:val="001735FB"/>
    <w:rsid w:val="00173DAC"/>
    <w:rsid w:val="001742A0"/>
    <w:rsid w:val="00174829"/>
    <w:rsid w:val="001749DF"/>
    <w:rsid w:val="00180D1F"/>
    <w:rsid w:val="00181B25"/>
    <w:rsid w:val="0018295F"/>
    <w:rsid w:val="00183CD3"/>
    <w:rsid w:val="00184444"/>
    <w:rsid w:val="0018752F"/>
    <w:rsid w:val="00193573"/>
    <w:rsid w:val="00195222"/>
    <w:rsid w:val="00196B38"/>
    <w:rsid w:val="001975D8"/>
    <w:rsid w:val="001A03DD"/>
    <w:rsid w:val="001A0A21"/>
    <w:rsid w:val="001A26D2"/>
    <w:rsid w:val="001A3CA1"/>
    <w:rsid w:val="001A4B2A"/>
    <w:rsid w:val="001A788A"/>
    <w:rsid w:val="001A7E09"/>
    <w:rsid w:val="001B03A0"/>
    <w:rsid w:val="001B217A"/>
    <w:rsid w:val="001B22B4"/>
    <w:rsid w:val="001B2840"/>
    <w:rsid w:val="001B2EF4"/>
    <w:rsid w:val="001B3393"/>
    <w:rsid w:val="001B3443"/>
    <w:rsid w:val="001B6B34"/>
    <w:rsid w:val="001C0091"/>
    <w:rsid w:val="001C0B45"/>
    <w:rsid w:val="001C3654"/>
    <w:rsid w:val="001C6E66"/>
    <w:rsid w:val="001D03BF"/>
    <w:rsid w:val="001D0A5E"/>
    <w:rsid w:val="001D5C58"/>
    <w:rsid w:val="001D71ED"/>
    <w:rsid w:val="001E238E"/>
    <w:rsid w:val="001E2B1E"/>
    <w:rsid w:val="001E3140"/>
    <w:rsid w:val="001E4446"/>
    <w:rsid w:val="001E52EB"/>
    <w:rsid w:val="001E740C"/>
    <w:rsid w:val="001E7B2C"/>
    <w:rsid w:val="001F1235"/>
    <w:rsid w:val="001F1CB3"/>
    <w:rsid w:val="001F35FC"/>
    <w:rsid w:val="001F3710"/>
    <w:rsid w:val="001F387A"/>
    <w:rsid w:val="001F392A"/>
    <w:rsid w:val="001F61E9"/>
    <w:rsid w:val="001F7361"/>
    <w:rsid w:val="00200165"/>
    <w:rsid w:val="0020155C"/>
    <w:rsid w:val="0020318D"/>
    <w:rsid w:val="0020385F"/>
    <w:rsid w:val="002052D3"/>
    <w:rsid w:val="0020568F"/>
    <w:rsid w:val="00205E3B"/>
    <w:rsid w:val="002061F3"/>
    <w:rsid w:val="00206D79"/>
    <w:rsid w:val="00207021"/>
    <w:rsid w:val="0020762A"/>
    <w:rsid w:val="00207D00"/>
    <w:rsid w:val="002105C1"/>
    <w:rsid w:val="00214DCC"/>
    <w:rsid w:val="002152A0"/>
    <w:rsid w:val="00217C35"/>
    <w:rsid w:val="00220127"/>
    <w:rsid w:val="0022113E"/>
    <w:rsid w:val="002215F7"/>
    <w:rsid w:val="00222248"/>
    <w:rsid w:val="0022345B"/>
    <w:rsid w:val="00223B49"/>
    <w:rsid w:val="00224389"/>
    <w:rsid w:val="00224444"/>
    <w:rsid w:val="002249DD"/>
    <w:rsid w:val="00224DD4"/>
    <w:rsid w:val="00225E7A"/>
    <w:rsid w:val="00226093"/>
    <w:rsid w:val="00227A04"/>
    <w:rsid w:val="002309CC"/>
    <w:rsid w:val="002379C8"/>
    <w:rsid w:val="00240F74"/>
    <w:rsid w:val="002446A6"/>
    <w:rsid w:val="00245F86"/>
    <w:rsid w:val="00246AFC"/>
    <w:rsid w:val="002470B4"/>
    <w:rsid w:val="002513D5"/>
    <w:rsid w:val="00252F33"/>
    <w:rsid w:val="002546B0"/>
    <w:rsid w:val="00254DCF"/>
    <w:rsid w:val="0025534B"/>
    <w:rsid w:val="00255BB7"/>
    <w:rsid w:val="00256054"/>
    <w:rsid w:val="00256A2D"/>
    <w:rsid w:val="00256C73"/>
    <w:rsid w:val="0025742A"/>
    <w:rsid w:val="00261AE5"/>
    <w:rsid w:val="00261BBE"/>
    <w:rsid w:val="00262A87"/>
    <w:rsid w:val="00262E17"/>
    <w:rsid w:val="0026309C"/>
    <w:rsid w:val="00263D17"/>
    <w:rsid w:val="00266E83"/>
    <w:rsid w:val="00272A80"/>
    <w:rsid w:val="00273915"/>
    <w:rsid w:val="00275C5A"/>
    <w:rsid w:val="00280524"/>
    <w:rsid w:val="002807AF"/>
    <w:rsid w:val="00280886"/>
    <w:rsid w:val="00281014"/>
    <w:rsid w:val="0028226A"/>
    <w:rsid w:val="002835DE"/>
    <w:rsid w:val="00286D33"/>
    <w:rsid w:val="002974D0"/>
    <w:rsid w:val="002A0B82"/>
    <w:rsid w:val="002A135F"/>
    <w:rsid w:val="002A14AB"/>
    <w:rsid w:val="002A23BB"/>
    <w:rsid w:val="002A432F"/>
    <w:rsid w:val="002B1C1F"/>
    <w:rsid w:val="002B3FB9"/>
    <w:rsid w:val="002B432F"/>
    <w:rsid w:val="002B6964"/>
    <w:rsid w:val="002B6CCE"/>
    <w:rsid w:val="002B7BFB"/>
    <w:rsid w:val="002C0279"/>
    <w:rsid w:val="002C2775"/>
    <w:rsid w:val="002C27C1"/>
    <w:rsid w:val="002C2D61"/>
    <w:rsid w:val="002C4B58"/>
    <w:rsid w:val="002C695A"/>
    <w:rsid w:val="002C6E8C"/>
    <w:rsid w:val="002D002A"/>
    <w:rsid w:val="002D14D9"/>
    <w:rsid w:val="002D2D11"/>
    <w:rsid w:val="002D41DE"/>
    <w:rsid w:val="002D48EA"/>
    <w:rsid w:val="002D50C6"/>
    <w:rsid w:val="002E47DC"/>
    <w:rsid w:val="002E610C"/>
    <w:rsid w:val="002E6568"/>
    <w:rsid w:val="002E686B"/>
    <w:rsid w:val="002E78DF"/>
    <w:rsid w:val="002F0CCE"/>
    <w:rsid w:val="002F0FB5"/>
    <w:rsid w:val="002F15A9"/>
    <w:rsid w:val="002F1CAF"/>
    <w:rsid w:val="002F4EC1"/>
    <w:rsid w:val="00300276"/>
    <w:rsid w:val="00300FC0"/>
    <w:rsid w:val="00301017"/>
    <w:rsid w:val="00305EA4"/>
    <w:rsid w:val="00306B1A"/>
    <w:rsid w:val="003073CE"/>
    <w:rsid w:val="0030786C"/>
    <w:rsid w:val="0031031A"/>
    <w:rsid w:val="00310981"/>
    <w:rsid w:val="00312DF2"/>
    <w:rsid w:val="00313E5E"/>
    <w:rsid w:val="00315498"/>
    <w:rsid w:val="0031692C"/>
    <w:rsid w:val="00316EFE"/>
    <w:rsid w:val="0031709E"/>
    <w:rsid w:val="00317588"/>
    <w:rsid w:val="00317823"/>
    <w:rsid w:val="00321397"/>
    <w:rsid w:val="003216D7"/>
    <w:rsid w:val="00326DF1"/>
    <w:rsid w:val="00326E1F"/>
    <w:rsid w:val="00327ADE"/>
    <w:rsid w:val="00327BAA"/>
    <w:rsid w:val="00330293"/>
    <w:rsid w:val="00330AB9"/>
    <w:rsid w:val="003366C9"/>
    <w:rsid w:val="003367CD"/>
    <w:rsid w:val="003371B0"/>
    <w:rsid w:val="00344725"/>
    <w:rsid w:val="00345A7E"/>
    <w:rsid w:val="00346F56"/>
    <w:rsid w:val="00350523"/>
    <w:rsid w:val="00350BAC"/>
    <w:rsid w:val="00351DD0"/>
    <w:rsid w:val="003532E1"/>
    <w:rsid w:val="003536D6"/>
    <w:rsid w:val="003542F0"/>
    <w:rsid w:val="0035620E"/>
    <w:rsid w:val="00357E12"/>
    <w:rsid w:val="003606A7"/>
    <w:rsid w:val="00360827"/>
    <w:rsid w:val="003623BA"/>
    <w:rsid w:val="00365212"/>
    <w:rsid w:val="0036527A"/>
    <w:rsid w:val="003652AC"/>
    <w:rsid w:val="00365332"/>
    <w:rsid w:val="00372D81"/>
    <w:rsid w:val="003738AB"/>
    <w:rsid w:val="003746C7"/>
    <w:rsid w:val="00374B01"/>
    <w:rsid w:val="00380A3E"/>
    <w:rsid w:val="00380F71"/>
    <w:rsid w:val="003814E1"/>
    <w:rsid w:val="00381F9D"/>
    <w:rsid w:val="003822A4"/>
    <w:rsid w:val="0038365C"/>
    <w:rsid w:val="00384C19"/>
    <w:rsid w:val="00386875"/>
    <w:rsid w:val="0039039D"/>
    <w:rsid w:val="00390D15"/>
    <w:rsid w:val="0039527A"/>
    <w:rsid w:val="003968EA"/>
    <w:rsid w:val="00396FD0"/>
    <w:rsid w:val="003A0088"/>
    <w:rsid w:val="003A11A4"/>
    <w:rsid w:val="003A1A7A"/>
    <w:rsid w:val="003A2DC4"/>
    <w:rsid w:val="003A71F9"/>
    <w:rsid w:val="003B00CE"/>
    <w:rsid w:val="003B0701"/>
    <w:rsid w:val="003B174C"/>
    <w:rsid w:val="003B32A0"/>
    <w:rsid w:val="003B3F63"/>
    <w:rsid w:val="003B51D5"/>
    <w:rsid w:val="003B64E9"/>
    <w:rsid w:val="003B7185"/>
    <w:rsid w:val="003B73B8"/>
    <w:rsid w:val="003B781D"/>
    <w:rsid w:val="003B7E03"/>
    <w:rsid w:val="003C2B1E"/>
    <w:rsid w:val="003C532F"/>
    <w:rsid w:val="003C77EA"/>
    <w:rsid w:val="003D019F"/>
    <w:rsid w:val="003D16A4"/>
    <w:rsid w:val="003D1828"/>
    <w:rsid w:val="003D2422"/>
    <w:rsid w:val="003D25D4"/>
    <w:rsid w:val="003D2632"/>
    <w:rsid w:val="003D3A5E"/>
    <w:rsid w:val="003D3E5E"/>
    <w:rsid w:val="003D62D4"/>
    <w:rsid w:val="003E0FF6"/>
    <w:rsid w:val="003E19EB"/>
    <w:rsid w:val="003E2290"/>
    <w:rsid w:val="003E3C31"/>
    <w:rsid w:val="003E5B2B"/>
    <w:rsid w:val="003F0CE1"/>
    <w:rsid w:val="003F1EAA"/>
    <w:rsid w:val="003F22B2"/>
    <w:rsid w:val="003F4156"/>
    <w:rsid w:val="003F775B"/>
    <w:rsid w:val="003F797A"/>
    <w:rsid w:val="00400A2A"/>
    <w:rsid w:val="00401F85"/>
    <w:rsid w:val="00403894"/>
    <w:rsid w:val="004049B4"/>
    <w:rsid w:val="00406948"/>
    <w:rsid w:val="00407FD2"/>
    <w:rsid w:val="00410708"/>
    <w:rsid w:val="00410EC7"/>
    <w:rsid w:val="00412B52"/>
    <w:rsid w:val="0041328E"/>
    <w:rsid w:val="00414476"/>
    <w:rsid w:val="004166DD"/>
    <w:rsid w:val="004167CE"/>
    <w:rsid w:val="004207BE"/>
    <w:rsid w:val="00420B9F"/>
    <w:rsid w:val="00420C04"/>
    <w:rsid w:val="004226B1"/>
    <w:rsid w:val="00422E1E"/>
    <w:rsid w:val="00424EE4"/>
    <w:rsid w:val="004264A7"/>
    <w:rsid w:val="004319F8"/>
    <w:rsid w:val="00432464"/>
    <w:rsid w:val="00433044"/>
    <w:rsid w:val="00433447"/>
    <w:rsid w:val="0043374B"/>
    <w:rsid w:val="00433E7E"/>
    <w:rsid w:val="004346B7"/>
    <w:rsid w:val="004350E4"/>
    <w:rsid w:val="00435F7E"/>
    <w:rsid w:val="004400E3"/>
    <w:rsid w:val="00442ED5"/>
    <w:rsid w:val="004443A7"/>
    <w:rsid w:val="00445651"/>
    <w:rsid w:val="00446361"/>
    <w:rsid w:val="004464EB"/>
    <w:rsid w:val="004466A1"/>
    <w:rsid w:val="00451359"/>
    <w:rsid w:val="00451FA2"/>
    <w:rsid w:val="00455451"/>
    <w:rsid w:val="00455D45"/>
    <w:rsid w:val="0045632B"/>
    <w:rsid w:val="0045684A"/>
    <w:rsid w:val="004570B6"/>
    <w:rsid w:val="00461CCC"/>
    <w:rsid w:val="00461D12"/>
    <w:rsid w:val="00463031"/>
    <w:rsid w:val="00463406"/>
    <w:rsid w:val="00464595"/>
    <w:rsid w:val="00464DE5"/>
    <w:rsid w:val="00464FC2"/>
    <w:rsid w:val="00465ED8"/>
    <w:rsid w:val="0047076E"/>
    <w:rsid w:val="00472808"/>
    <w:rsid w:val="00476047"/>
    <w:rsid w:val="00477A75"/>
    <w:rsid w:val="00480883"/>
    <w:rsid w:val="00481193"/>
    <w:rsid w:val="0048184D"/>
    <w:rsid w:val="0048216B"/>
    <w:rsid w:val="00482B7D"/>
    <w:rsid w:val="004867E2"/>
    <w:rsid w:val="00487028"/>
    <w:rsid w:val="00487378"/>
    <w:rsid w:val="00487D59"/>
    <w:rsid w:val="00490900"/>
    <w:rsid w:val="0049154E"/>
    <w:rsid w:val="00491B3A"/>
    <w:rsid w:val="0049240D"/>
    <w:rsid w:val="00492BD0"/>
    <w:rsid w:val="00492C60"/>
    <w:rsid w:val="00492CFD"/>
    <w:rsid w:val="00494E0A"/>
    <w:rsid w:val="00494ED7"/>
    <w:rsid w:val="00495802"/>
    <w:rsid w:val="004962D2"/>
    <w:rsid w:val="004963EB"/>
    <w:rsid w:val="00497D34"/>
    <w:rsid w:val="004A0DA1"/>
    <w:rsid w:val="004A3CA2"/>
    <w:rsid w:val="004A6597"/>
    <w:rsid w:val="004B0536"/>
    <w:rsid w:val="004B1CB4"/>
    <w:rsid w:val="004B2D95"/>
    <w:rsid w:val="004B2F18"/>
    <w:rsid w:val="004B3DDB"/>
    <w:rsid w:val="004B40A5"/>
    <w:rsid w:val="004B4300"/>
    <w:rsid w:val="004B44E4"/>
    <w:rsid w:val="004B44FD"/>
    <w:rsid w:val="004B5003"/>
    <w:rsid w:val="004B5B56"/>
    <w:rsid w:val="004B5C07"/>
    <w:rsid w:val="004B5CFC"/>
    <w:rsid w:val="004B7067"/>
    <w:rsid w:val="004B755E"/>
    <w:rsid w:val="004B7930"/>
    <w:rsid w:val="004C2865"/>
    <w:rsid w:val="004C4AED"/>
    <w:rsid w:val="004C63C0"/>
    <w:rsid w:val="004C6BF1"/>
    <w:rsid w:val="004D03CC"/>
    <w:rsid w:val="004D0580"/>
    <w:rsid w:val="004D0680"/>
    <w:rsid w:val="004D1CAE"/>
    <w:rsid w:val="004D3136"/>
    <w:rsid w:val="004D417C"/>
    <w:rsid w:val="004D516A"/>
    <w:rsid w:val="004E08A8"/>
    <w:rsid w:val="004E0EB8"/>
    <w:rsid w:val="004E0F2B"/>
    <w:rsid w:val="004E2ADC"/>
    <w:rsid w:val="004E41AA"/>
    <w:rsid w:val="004E43B2"/>
    <w:rsid w:val="004E64D0"/>
    <w:rsid w:val="004E70A4"/>
    <w:rsid w:val="004E7770"/>
    <w:rsid w:val="004F07AC"/>
    <w:rsid w:val="004F1D02"/>
    <w:rsid w:val="004F1F9B"/>
    <w:rsid w:val="004F2679"/>
    <w:rsid w:val="004F2BB5"/>
    <w:rsid w:val="004F33A3"/>
    <w:rsid w:val="004F394E"/>
    <w:rsid w:val="004F5343"/>
    <w:rsid w:val="004F5AF1"/>
    <w:rsid w:val="004F6644"/>
    <w:rsid w:val="004F7865"/>
    <w:rsid w:val="004F7F4E"/>
    <w:rsid w:val="005000D0"/>
    <w:rsid w:val="00502364"/>
    <w:rsid w:val="00505145"/>
    <w:rsid w:val="005054A6"/>
    <w:rsid w:val="00506928"/>
    <w:rsid w:val="0050778D"/>
    <w:rsid w:val="00507C91"/>
    <w:rsid w:val="00510D79"/>
    <w:rsid w:val="00512217"/>
    <w:rsid w:val="00512D45"/>
    <w:rsid w:val="00513B09"/>
    <w:rsid w:val="00515147"/>
    <w:rsid w:val="005152B5"/>
    <w:rsid w:val="0051613D"/>
    <w:rsid w:val="00517232"/>
    <w:rsid w:val="0052070B"/>
    <w:rsid w:val="0052113E"/>
    <w:rsid w:val="00521319"/>
    <w:rsid w:val="00522200"/>
    <w:rsid w:val="00522503"/>
    <w:rsid w:val="00522B20"/>
    <w:rsid w:val="00522D0E"/>
    <w:rsid w:val="00522D4B"/>
    <w:rsid w:val="0052327A"/>
    <w:rsid w:val="00523C28"/>
    <w:rsid w:val="00525527"/>
    <w:rsid w:val="005264F6"/>
    <w:rsid w:val="00526E20"/>
    <w:rsid w:val="0052780A"/>
    <w:rsid w:val="00530AA2"/>
    <w:rsid w:val="005331FB"/>
    <w:rsid w:val="00534C23"/>
    <w:rsid w:val="00542F18"/>
    <w:rsid w:val="00544916"/>
    <w:rsid w:val="005452DE"/>
    <w:rsid w:val="005453D7"/>
    <w:rsid w:val="005453D8"/>
    <w:rsid w:val="0054591B"/>
    <w:rsid w:val="00545E9B"/>
    <w:rsid w:val="00547BBF"/>
    <w:rsid w:val="00551274"/>
    <w:rsid w:val="0055263A"/>
    <w:rsid w:val="00552BD3"/>
    <w:rsid w:val="00555109"/>
    <w:rsid w:val="005556B5"/>
    <w:rsid w:val="00560378"/>
    <w:rsid w:val="00561DB5"/>
    <w:rsid w:val="00565135"/>
    <w:rsid w:val="00565843"/>
    <w:rsid w:val="00565EB2"/>
    <w:rsid w:val="00566871"/>
    <w:rsid w:val="005668B4"/>
    <w:rsid w:val="0056696F"/>
    <w:rsid w:val="005709DB"/>
    <w:rsid w:val="00573159"/>
    <w:rsid w:val="005743CE"/>
    <w:rsid w:val="0057472E"/>
    <w:rsid w:val="00575D8D"/>
    <w:rsid w:val="00576972"/>
    <w:rsid w:val="00582AFC"/>
    <w:rsid w:val="00583699"/>
    <w:rsid w:val="00586987"/>
    <w:rsid w:val="0059082D"/>
    <w:rsid w:val="00591E88"/>
    <w:rsid w:val="00593F7D"/>
    <w:rsid w:val="005954DB"/>
    <w:rsid w:val="00595D49"/>
    <w:rsid w:val="005A15F3"/>
    <w:rsid w:val="005A1A65"/>
    <w:rsid w:val="005A2AF8"/>
    <w:rsid w:val="005A3A54"/>
    <w:rsid w:val="005A74AC"/>
    <w:rsid w:val="005A74CB"/>
    <w:rsid w:val="005B1CDA"/>
    <w:rsid w:val="005B2086"/>
    <w:rsid w:val="005B2D33"/>
    <w:rsid w:val="005B4B3C"/>
    <w:rsid w:val="005B5857"/>
    <w:rsid w:val="005B5B18"/>
    <w:rsid w:val="005B6DAA"/>
    <w:rsid w:val="005B7843"/>
    <w:rsid w:val="005C1B83"/>
    <w:rsid w:val="005C346B"/>
    <w:rsid w:val="005C58E8"/>
    <w:rsid w:val="005C71D5"/>
    <w:rsid w:val="005C7E42"/>
    <w:rsid w:val="005D044D"/>
    <w:rsid w:val="005D18AD"/>
    <w:rsid w:val="005D4C7B"/>
    <w:rsid w:val="005D5F02"/>
    <w:rsid w:val="005E32C0"/>
    <w:rsid w:val="005E3983"/>
    <w:rsid w:val="005E3B9D"/>
    <w:rsid w:val="005E5CF8"/>
    <w:rsid w:val="005E6C80"/>
    <w:rsid w:val="005E73C0"/>
    <w:rsid w:val="005E7A2F"/>
    <w:rsid w:val="005F2706"/>
    <w:rsid w:val="005F3161"/>
    <w:rsid w:val="005F49BF"/>
    <w:rsid w:val="005F5CF8"/>
    <w:rsid w:val="005F652A"/>
    <w:rsid w:val="005F6A8F"/>
    <w:rsid w:val="0060232E"/>
    <w:rsid w:val="006028C7"/>
    <w:rsid w:val="006029D6"/>
    <w:rsid w:val="00603C00"/>
    <w:rsid w:val="00603D4E"/>
    <w:rsid w:val="00606EC5"/>
    <w:rsid w:val="00607669"/>
    <w:rsid w:val="006077E9"/>
    <w:rsid w:val="00610252"/>
    <w:rsid w:val="00612F97"/>
    <w:rsid w:val="00612FE5"/>
    <w:rsid w:val="00613388"/>
    <w:rsid w:val="00613E50"/>
    <w:rsid w:val="0061440A"/>
    <w:rsid w:val="00616802"/>
    <w:rsid w:val="00616BEF"/>
    <w:rsid w:val="00617E12"/>
    <w:rsid w:val="00621477"/>
    <w:rsid w:val="006224BB"/>
    <w:rsid w:val="0062254A"/>
    <w:rsid w:val="00622EF1"/>
    <w:rsid w:val="00624BFB"/>
    <w:rsid w:val="006273E8"/>
    <w:rsid w:val="00630981"/>
    <w:rsid w:val="00631D6B"/>
    <w:rsid w:val="0063479F"/>
    <w:rsid w:val="00634AC4"/>
    <w:rsid w:val="0063577B"/>
    <w:rsid w:val="00636253"/>
    <w:rsid w:val="006364A1"/>
    <w:rsid w:val="00637BFD"/>
    <w:rsid w:val="00637E96"/>
    <w:rsid w:val="006409C6"/>
    <w:rsid w:val="00640AEC"/>
    <w:rsid w:val="00641993"/>
    <w:rsid w:val="00642403"/>
    <w:rsid w:val="006462D4"/>
    <w:rsid w:val="00646FA8"/>
    <w:rsid w:val="006471CC"/>
    <w:rsid w:val="006477DB"/>
    <w:rsid w:val="00647933"/>
    <w:rsid w:val="00650031"/>
    <w:rsid w:val="0065079F"/>
    <w:rsid w:val="006508B3"/>
    <w:rsid w:val="00650E41"/>
    <w:rsid w:val="00650FBE"/>
    <w:rsid w:val="00655048"/>
    <w:rsid w:val="00655D45"/>
    <w:rsid w:val="00657F4F"/>
    <w:rsid w:val="00662564"/>
    <w:rsid w:val="00663AFB"/>
    <w:rsid w:val="00664D26"/>
    <w:rsid w:val="006660D6"/>
    <w:rsid w:val="0066637A"/>
    <w:rsid w:val="00671FAC"/>
    <w:rsid w:val="00674E42"/>
    <w:rsid w:val="006819E3"/>
    <w:rsid w:val="00682112"/>
    <w:rsid w:val="00682B08"/>
    <w:rsid w:val="00682B96"/>
    <w:rsid w:val="00683044"/>
    <w:rsid w:val="00684B75"/>
    <w:rsid w:val="006872BA"/>
    <w:rsid w:val="006917D7"/>
    <w:rsid w:val="00691E2E"/>
    <w:rsid w:val="00691F65"/>
    <w:rsid w:val="00692C41"/>
    <w:rsid w:val="00693612"/>
    <w:rsid w:val="00693A6D"/>
    <w:rsid w:val="006943E5"/>
    <w:rsid w:val="006945CF"/>
    <w:rsid w:val="00694F44"/>
    <w:rsid w:val="006A1E01"/>
    <w:rsid w:val="006A3D3B"/>
    <w:rsid w:val="006B0115"/>
    <w:rsid w:val="006B0150"/>
    <w:rsid w:val="006B20A3"/>
    <w:rsid w:val="006B2869"/>
    <w:rsid w:val="006B3073"/>
    <w:rsid w:val="006B32BA"/>
    <w:rsid w:val="006B5A65"/>
    <w:rsid w:val="006B72CD"/>
    <w:rsid w:val="006B7E30"/>
    <w:rsid w:val="006C2A8E"/>
    <w:rsid w:val="006C3DE2"/>
    <w:rsid w:val="006C4140"/>
    <w:rsid w:val="006C5434"/>
    <w:rsid w:val="006C595C"/>
    <w:rsid w:val="006C6775"/>
    <w:rsid w:val="006C7D36"/>
    <w:rsid w:val="006D02FB"/>
    <w:rsid w:val="006D3C7D"/>
    <w:rsid w:val="006D42FF"/>
    <w:rsid w:val="006D4E40"/>
    <w:rsid w:val="006D55E4"/>
    <w:rsid w:val="006D5D5F"/>
    <w:rsid w:val="006E1140"/>
    <w:rsid w:val="006E14B3"/>
    <w:rsid w:val="006E22F3"/>
    <w:rsid w:val="006E2AE3"/>
    <w:rsid w:val="006E30DB"/>
    <w:rsid w:val="006E3108"/>
    <w:rsid w:val="006E340A"/>
    <w:rsid w:val="006E4702"/>
    <w:rsid w:val="006E5863"/>
    <w:rsid w:val="006E5A1F"/>
    <w:rsid w:val="006E6269"/>
    <w:rsid w:val="006F05DD"/>
    <w:rsid w:val="006F111C"/>
    <w:rsid w:val="006F12A4"/>
    <w:rsid w:val="006F34D5"/>
    <w:rsid w:val="006F3928"/>
    <w:rsid w:val="006F43A2"/>
    <w:rsid w:val="006F5323"/>
    <w:rsid w:val="006F63A5"/>
    <w:rsid w:val="007008D3"/>
    <w:rsid w:val="0070159C"/>
    <w:rsid w:val="0070276E"/>
    <w:rsid w:val="00702C84"/>
    <w:rsid w:val="00702F8F"/>
    <w:rsid w:val="007037B6"/>
    <w:rsid w:val="00704EA9"/>
    <w:rsid w:val="00707D2C"/>
    <w:rsid w:val="007107A7"/>
    <w:rsid w:val="00710913"/>
    <w:rsid w:val="00711A36"/>
    <w:rsid w:val="0071459F"/>
    <w:rsid w:val="007146F5"/>
    <w:rsid w:val="0071583D"/>
    <w:rsid w:val="007158E4"/>
    <w:rsid w:val="00716B90"/>
    <w:rsid w:val="007172AD"/>
    <w:rsid w:val="00720FFE"/>
    <w:rsid w:val="00722E0F"/>
    <w:rsid w:val="0072416F"/>
    <w:rsid w:val="00726513"/>
    <w:rsid w:val="007279F6"/>
    <w:rsid w:val="007326C7"/>
    <w:rsid w:val="00732D26"/>
    <w:rsid w:val="00733512"/>
    <w:rsid w:val="00734DE5"/>
    <w:rsid w:val="00735328"/>
    <w:rsid w:val="0073685B"/>
    <w:rsid w:val="00740D87"/>
    <w:rsid w:val="00741031"/>
    <w:rsid w:val="0074144C"/>
    <w:rsid w:val="007418A9"/>
    <w:rsid w:val="00743B26"/>
    <w:rsid w:val="00746ED1"/>
    <w:rsid w:val="00747465"/>
    <w:rsid w:val="007505EC"/>
    <w:rsid w:val="00750A62"/>
    <w:rsid w:val="007514DB"/>
    <w:rsid w:val="0075166F"/>
    <w:rsid w:val="007552FA"/>
    <w:rsid w:val="0075737C"/>
    <w:rsid w:val="00762346"/>
    <w:rsid w:val="007631E4"/>
    <w:rsid w:val="007636DF"/>
    <w:rsid w:val="007640A3"/>
    <w:rsid w:val="00767957"/>
    <w:rsid w:val="007700E0"/>
    <w:rsid w:val="007706B2"/>
    <w:rsid w:val="00771A72"/>
    <w:rsid w:val="00773446"/>
    <w:rsid w:val="00775156"/>
    <w:rsid w:val="00776935"/>
    <w:rsid w:val="00780BEC"/>
    <w:rsid w:val="007814DB"/>
    <w:rsid w:val="00783A66"/>
    <w:rsid w:val="00783EE4"/>
    <w:rsid w:val="00784AC9"/>
    <w:rsid w:val="00785F86"/>
    <w:rsid w:val="00786217"/>
    <w:rsid w:val="00790228"/>
    <w:rsid w:val="0079090F"/>
    <w:rsid w:val="00790D72"/>
    <w:rsid w:val="00794AE8"/>
    <w:rsid w:val="0079510F"/>
    <w:rsid w:val="00795A0A"/>
    <w:rsid w:val="007A0300"/>
    <w:rsid w:val="007A0A12"/>
    <w:rsid w:val="007A1D56"/>
    <w:rsid w:val="007A41F0"/>
    <w:rsid w:val="007A4B0E"/>
    <w:rsid w:val="007A5288"/>
    <w:rsid w:val="007A6155"/>
    <w:rsid w:val="007A6F63"/>
    <w:rsid w:val="007B1FEB"/>
    <w:rsid w:val="007B207A"/>
    <w:rsid w:val="007B24BD"/>
    <w:rsid w:val="007B251D"/>
    <w:rsid w:val="007B2FD7"/>
    <w:rsid w:val="007B4FF2"/>
    <w:rsid w:val="007B5624"/>
    <w:rsid w:val="007B77D1"/>
    <w:rsid w:val="007B77EB"/>
    <w:rsid w:val="007C1C0C"/>
    <w:rsid w:val="007C361D"/>
    <w:rsid w:val="007C4349"/>
    <w:rsid w:val="007D0586"/>
    <w:rsid w:val="007D07DC"/>
    <w:rsid w:val="007D0B38"/>
    <w:rsid w:val="007D1C13"/>
    <w:rsid w:val="007D1DF1"/>
    <w:rsid w:val="007D2626"/>
    <w:rsid w:val="007D6065"/>
    <w:rsid w:val="007E0CE2"/>
    <w:rsid w:val="007E2543"/>
    <w:rsid w:val="007E4231"/>
    <w:rsid w:val="007F1017"/>
    <w:rsid w:val="007F137C"/>
    <w:rsid w:val="007F3FFF"/>
    <w:rsid w:val="007F4A3F"/>
    <w:rsid w:val="00800117"/>
    <w:rsid w:val="0080278F"/>
    <w:rsid w:val="00802A1C"/>
    <w:rsid w:val="00804145"/>
    <w:rsid w:val="00804B4A"/>
    <w:rsid w:val="00805142"/>
    <w:rsid w:val="00806D57"/>
    <w:rsid w:val="00807575"/>
    <w:rsid w:val="00807A8B"/>
    <w:rsid w:val="008108F6"/>
    <w:rsid w:val="00811688"/>
    <w:rsid w:val="00812149"/>
    <w:rsid w:val="008157C3"/>
    <w:rsid w:val="00815DA8"/>
    <w:rsid w:val="008166EF"/>
    <w:rsid w:val="00817870"/>
    <w:rsid w:val="00820641"/>
    <w:rsid w:val="008206AE"/>
    <w:rsid w:val="008207B1"/>
    <w:rsid w:val="00820FB8"/>
    <w:rsid w:val="008212FA"/>
    <w:rsid w:val="008264EB"/>
    <w:rsid w:val="00830491"/>
    <w:rsid w:val="00831AB6"/>
    <w:rsid w:val="008331E0"/>
    <w:rsid w:val="00833B05"/>
    <w:rsid w:val="00835F29"/>
    <w:rsid w:val="00836417"/>
    <w:rsid w:val="00836BCB"/>
    <w:rsid w:val="00840526"/>
    <w:rsid w:val="00840CA2"/>
    <w:rsid w:val="00841B3F"/>
    <w:rsid w:val="00841B7F"/>
    <w:rsid w:val="008438C5"/>
    <w:rsid w:val="00846AB4"/>
    <w:rsid w:val="00846B8B"/>
    <w:rsid w:val="00846F2B"/>
    <w:rsid w:val="0085297C"/>
    <w:rsid w:val="00854FBE"/>
    <w:rsid w:val="00855835"/>
    <w:rsid w:val="008559C9"/>
    <w:rsid w:val="00855E55"/>
    <w:rsid w:val="00856E9A"/>
    <w:rsid w:val="008570D6"/>
    <w:rsid w:val="008571D5"/>
    <w:rsid w:val="00862502"/>
    <w:rsid w:val="008627D2"/>
    <w:rsid w:val="0086298C"/>
    <w:rsid w:val="00863590"/>
    <w:rsid w:val="008635FB"/>
    <w:rsid w:val="00863A5B"/>
    <w:rsid w:val="00867E28"/>
    <w:rsid w:val="00872623"/>
    <w:rsid w:val="00874E4C"/>
    <w:rsid w:val="00877E4E"/>
    <w:rsid w:val="00877E8A"/>
    <w:rsid w:val="00882874"/>
    <w:rsid w:val="00883787"/>
    <w:rsid w:val="00884EEE"/>
    <w:rsid w:val="00885F84"/>
    <w:rsid w:val="00886883"/>
    <w:rsid w:val="00887A98"/>
    <w:rsid w:val="0089060B"/>
    <w:rsid w:val="0089273C"/>
    <w:rsid w:val="00893421"/>
    <w:rsid w:val="008934E9"/>
    <w:rsid w:val="00894489"/>
    <w:rsid w:val="008963A5"/>
    <w:rsid w:val="00897B1C"/>
    <w:rsid w:val="008A21DF"/>
    <w:rsid w:val="008A349F"/>
    <w:rsid w:val="008A3C3E"/>
    <w:rsid w:val="008A3DD4"/>
    <w:rsid w:val="008A436F"/>
    <w:rsid w:val="008A48B0"/>
    <w:rsid w:val="008A5DEB"/>
    <w:rsid w:val="008A600E"/>
    <w:rsid w:val="008A6EE2"/>
    <w:rsid w:val="008A7631"/>
    <w:rsid w:val="008A79DE"/>
    <w:rsid w:val="008B2241"/>
    <w:rsid w:val="008B40A9"/>
    <w:rsid w:val="008B5E9D"/>
    <w:rsid w:val="008B741A"/>
    <w:rsid w:val="008B7D7E"/>
    <w:rsid w:val="008B7DEA"/>
    <w:rsid w:val="008C0E5D"/>
    <w:rsid w:val="008C5466"/>
    <w:rsid w:val="008C56C4"/>
    <w:rsid w:val="008C56D9"/>
    <w:rsid w:val="008C58FA"/>
    <w:rsid w:val="008C5C47"/>
    <w:rsid w:val="008C7ECB"/>
    <w:rsid w:val="008D16D8"/>
    <w:rsid w:val="008E0EA9"/>
    <w:rsid w:val="008E1B9E"/>
    <w:rsid w:val="008E5EA0"/>
    <w:rsid w:val="008E66E0"/>
    <w:rsid w:val="008E6EC2"/>
    <w:rsid w:val="008E7A06"/>
    <w:rsid w:val="008F120A"/>
    <w:rsid w:val="008F2666"/>
    <w:rsid w:val="008F48EB"/>
    <w:rsid w:val="008F493D"/>
    <w:rsid w:val="008F4D52"/>
    <w:rsid w:val="008F4F0B"/>
    <w:rsid w:val="00903FF2"/>
    <w:rsid w:val="00904144"/>
    <w:rsid w:val="00904778"/>
    <w:rsid w:val="009056DC"/>
    <w:rsid w:val="009062A5"/>
    <w:rsid w:val="00906862"/>
    <w:rsid w:val="00907459"/>
    <w:rsid w:val="00907960"/>
    <w:rsid w:val="0091096D"/>
    <w:rsid w:val="00911272"/>
    <w:rsid w:val="00912316"/>
    <w:rsid w:val="00913494"/>
    <w:rsid w:val="009136B6"/>
    <w:rsid w:val="009138A6"/>
    <w:rsid w:val="00913C83"/>
    <w:rsid w:val="00914716"/>
    <w:rsid w:val="0091605A"/>
    <w:rsid w:val="00920B01"/>
    <w:rsid w:val="00923F72"/>
    <w:rsid w:val="00926FD4"/>
    <w:rsid w:val="009314C0"/>
    <w:rsid w:val="00931983"/>
    <w:rsid w:val="00931E0E"/>
    <w:rsid w:val="00935322"/>
    <w:rsid w:val="00940DAA"/>
    <w:rsid w:val="009414B3"/>
    <w:rsid w:val="0094405D"/>
    <w:rsid w:val="009447A5"/>
    <w:rsid w:val="00945678"/>
    <w:rsid w:val="00946814"/>
    <w:rsid w:val="0095182E"/>
    <w:rsid w:val="00952D19"/>
    <w:rsid w:val="00954139"/>
    <w:rsid w:val="00954568"/>
    <w:rsid w:val="00954EAD"/>
    <w:rsid w:val="0095703C"/>
    <w:rsid w:val="009600D9"/>
    <w:rsid w:val="009625D5"/>
    <w:rsid w:val="00962CB9"/>
    <w:rsid w:val="009634B6"/>
    <w:rsid w:val="00963964"/>
    <w:rsid w:val="00964312"/>
    <w:rsid w:val="00964B41"/>
    <w:rsid w:val="00964D65"/>
    <w:rsid w:val="009701EF"/>
    <w:rsid w:val="009714D9"/>
    <w:rsid w:val="0097180F"/>
    <w:rsid w:val="0097206D"/>
    <w:rsid w:val="0097280C"/>
    <w:rsid w:val="009736C4"/>
    <w:rsid w:val="00973D37"/>
    <w:rsid w:val="0097478A"/>
    <w:rsid w:val="00975BD0"/>
    <w:rsid w:val="00976404"/>
    <w:rsid w:val="00977B55"/>
    <w:rsid w:val="00980177"/>
    <w:rsid w:val="00981644"/>
    <w:rsid w:val="00981703"/>
    <w:rsid w:val="00982ACA"/>
    <w:rsid w:val="00983696"/>
    <w:rsid w:val="00983B9C"/>
    <w:rsid w:val="00983E57"/>
    <w:rsid w:val="009844C0"/>
    <w:rsid w:val="009845E7"/>
    <w:rsid w:val="00991041"/>
    <w:rsid w:val="0099466D"/>
    <w:rsid w:val="009949C7"/>
    <w:rsid w:val="00994E0D"/>
    <w:rsid w:val="009965FB"/>
    <w:rsid w:val="00996B1A"/>
    <w:rsid w:val="009972E3"/>
    <w:rsid w:val="009A3873"/>
    <w:rsid w:val="009B2F04"/>
    <w:rsid w:val="009B3770"/>
    <w:rsid w:val="009B3C82"/>
    <w:rsid w:val="009B3E26"/>
    <w:rsid w:val="009B52E9"/>
    <w:rsid w:val="009B5D61"/>
    <w:rsid w:val="009B611D"/>
    <w:rsid w:val="009B7DAB"/>
    <w:rsid w:val="009C2C4C"/>
    <w:rsid w:val="009C3F3A"/>
    <w:rsid w:val="009C4A39"/>
    <w:rsid w:val="009C7206"/>
    <w:rsid w:val="009D20ED"/>
    <w:rsid w:val="009D2539"/>
    <w:rsid w:val="009D2864"/>
    <w:rsid w:val="009D3EE0"/>
    <w:rsid w:val="009D5B91"/>
    <w:rsid w:val="009D5ED2"/>
    <w:rsid w:val="009E0D99"/>
    <w:rsid w:val="009E150E"/>
    <w:rsid w:val="009E2168"/>
    <w:rsid w:val="009E4C07"/>
    <w:rsid w:val="009E5D2E"/>
    <w:rsid w:val="009E70DE"/>
    <w:rsid w:val="009E7C50"/>
    <w:rsid w:val="009E7EFF"/>
    <w:rsid w:val="009F3A96"/>
    <w:rsid w:val="009F6649"/>
    <w:rsid w:val="00A003DE"/>
    <w:rsid w:val="00A021ED"/>
    <w:rsid w:val="00A03D43"/>
    <w:rsid w:val="00A04380"/>
    <w:rsid w:val="00A060BA"/>
    <w:rsid w:val="00A06724"/>
    <w:rsid w:val="00A068C8"/>
    <w:rsid w:val="00A07ACA"/>
    <w:rsid w:val="00A108E2"/>
    <w:rsid w:val="00A125D4"/>
    <w:rsid w:val="00A12875"/>
    <w:rsid w:val="00A13948"/>
    <w:rsid w:val="00A1613E"/>
    <w:rsid w:val="00A16F3B"/>
    <w:rsid w:val="00A17489"/>
    <w:rsid w:val="00A17AB2"/>
    <w:rsid w:val="00A21882"/>
    <w:rsid w:val="00A21B4D"/>
    <w:rsid w:val="00A239A1"/>
    <w:rsid w:val="00A27983"/>
    <w:rsid w:val="00A27AEC"/>
    <w:rsid w:val="00A3394F"/>
    <w:rsid w:val="00A3424A"/>
    <w:rsid w:val="00A352D1"/>
    <w:rsid w:val="00A35D16"/>
    <w:rsid w:val="00A36073"/>
    <w:rsid w:val="00A37575"/>
    <w:rsid w:val="00A429D8"/>
    <w:rsid w:val="00A42FDB"/>
    <w:rsid w:val="00A438E6"/>
    <w:rsid w:val="00A43C59"/>
    <w:rsid w:val="00A4572A"/>
    <w:rsid w:val="00A4603F"/>
    <w:rsid w:val="00A506D4"/>
    <w:rsid w:val="00A50ECD"/>
    <w:rsid w:val="00A5102C"/>
    <w:rsid w:val="00A52184"/>
    <w:rsid w:val="00A5232A"/>
    <w:rsid w:val="00A52729"/>
    <w:rsid w:val="00A53675"/>
    <w:rsid w:val="00A56B6A"/>
    <w:rsid w:val="00A578DC"/>
    <w:rsid w:val="00A60F13"/>
    <w:rsid w:val="00A6382B"/>
    <w:rsid w:val="00A652B9"/>
    <w:rsid w:val="00A65860"/>
    <w:rsid w:val="00A65CEE"/>
    <w:rsid w:val="00A6725B"/>
    <w:rsid w:val="00A677DC"/>
    <w:rsid w:val="00A727F4"/>
    <w:rsid w:val="00A72B49"/>
    <w:rsid w:val="00A735F8"/>
    <w:rsid w:val="00A75604"/>
    <w:rsid w:val="00A800AB"/>
    <w:rsid w:val="00A8233D"/>
    <w:rsid w:val="00A82CBB"/>
    <w:rsid w:val="00A86E8B"/>
    <w:rsid w:val="00A93072"/>
    <w:rsid w:val="00A959D8"/>
    <w:rsid w:val="00A964A3"/>
    <w:rsid w:val="00A9739E"/>
    <w:rsid w:val="00AA0154"/>
    <w:rsid w:val="00AA3664"/>
    <w:rsid w:val="00AA3C1C"/>
    <w:rsid w:val="00AA4FFF"/>
    <w:rsid w:val="00AA5EC1"/>
    <w:rsid w:val="00AA7F75"/>
    <w:rsid w:val="00AA7FD8"/>
    <w:rsid w:val="00AB042A"/>
    <w:rsid w:val="00AB2D34"/>
    <w:rsid w:val="00AB3430"/>
    <w:rsid w:val="00AB3DE1"/>
    <w:rsid w:val="00AB6007"/>
    <w:rsid w:val="00AB74C5"/>
    <w:rsid w:val="00AB7CFA"/>
    <w:rsid w:val="00AC6025"/>
    <w:rsid w:val="00AC6D1B"/>
    <w:rsid w:val="00AC6F2E"/>
    <w:rsid w:val="00AD116B"/>
    <w:rsid w:val="00AD3FD6"/>
    <w:rsid w:val="00AD540C"/>
    <w:rsid w:val="00AD79A9"/>
    <w:rsid w:val="00AE0B8D"/>
    <w:rsid w:val="00AE1255"/>
    <w:rsid w:val="00AE5C6F"/>
    <w:rsid w:val="00AE6A70"/>
    <w:rsid w:val="00AE7C06"/>
    <w:rsid w:val="00AF1649"/>
    <w:rsid w:val="00AF27F1"/>
    <w:rsid w:val="00AF281B"/>
    <w:rsid w:val="00AF312D"/>
    <w:rsid w:val="00AF5C55"/>
    <w:rsid w:val="00B00978"/>
    <w:rsid w:val="00B04797"/>
    <w:rsid w:val="00B07337"/>
    <w:rsid w:val="00B110C4"/>
    <w:rsid w:val="00B11630"/>
    <w:rsid w:val="00B12CB9"/>
    <w:rsid w:val="00B2047A"/>
    <w:rsid w:val="00B25BC6"/>
    <w:rsid w:val="00B25FCB"/>
    <w:rsid w:val="00B26177"/>
    <w:rsid w:val="00B26380"/>
    <w:rsid w:val="00B303F4"/>
    <w:rsid w:val="00B30CB9"/>
    <w:rsid w:val="00B31AC5"/>
    <w:rsid w:val="00B32279"/>
    <w:rsid w:val="00B33287"/>
    <w:rsid w:val="00B3518B"/>
    <w:rsid w:val="00B42851"/>
    <w:rsid w:val="00B4407D"/>
    <w:rsid w:val="00B452C3"/>
    <w:rsid w:val="00B46150"/>
    <w:rsid w:val="00B472B8"/>
    <w:rsid w:val="00B50BC4"/>
    <w:rsid w:val="00B50DB8"/>
    <w:rsid w:val="00B50FBF"/>
    <w:rsid w:val="00B51E0C"/>
    <w:rsid w:val="00B5272A"/>
    <w:rsid w:val="00B5335E"/>
    <w:rsid w:val="00B53905"/>
    <w:rsid w:val="00B53B59"/>
    <w:rsid w:val="00B54982"/>
    <w:rsid w:val="00B54B5B"/>
    <w:rsid w:val="00B5562E"/>
    <w:rsid w:val="00B57000"/>
    <w:rsid w:val="00B60541"/>
    <w:rsid w:val="00B60939"/>
    <w:rsid w:val="00B60AFD"/>
    <w:rsid w:val="00B62355"/>
    <w:rsid w:val="00B62715"/>
    <w:rsid w:val="00B641C4"/>
    <w:rsid w:val="00B6468B"/>
    <w:rsid w:val="00B66BE9"/>
    <w:rsid w:val="00B67CEF"/>
    <w:rsid w:val="00B706C4"/>
    <w:rsid w:val="00B7215A"/>
    <w:rsid w:val="00B7319C"/>
    <w:rsid w:val="00B74E52"/>
    <w:rsid w:val="00B8050F"/>
    <w:rsid w:val="00B818A4"/>
    <w:rsid w:val="00B85CA3"/>
    <w:rsid w:val="00B8649C"/>
    <w:rsid w:val="00B91961"/>
    <w:rsid w:val="00B92D0B"/>
    <w:rsid w:val="00B94945"/>
    <w:rsid w:val="00B94B88"/>
    <w:rsid w:val="00B953E1"/>
    <w:rsid w:val="00B95E56"/>
    <w:rsid w:val="00B96C98"/>
    <w:rsid w:val="00B9789F"/>
    <w:rsid w:val="00BA3665"/>
    <w:rsid w:val="00BA3727"/>
    <w:rsid w:val="00BA4E66"/>
    <w:rsid w:val="00BB0075"/>
    <w:rsid w:val="00BB02D7"/>
    <w:rsid w:val="00BB0469"/>
    <w:rsid w:val="00BB3BE8"/>
    <w:rsid w:val="00BB5523"/>
    <w:rsid w:val="00BB5D63"/>
    <w:rsid w:val="00BB7050"/>
    <w:rsid w:val="00BB7405"/>
    <w:rsid w:val="00BC176A"/>
    <w:rsid w:val="00BC1AAD"/>
    <w:rsid w:val="00BC1B74"/>
    <w:rsid w:val="00BC36A6"/>
    <w:rsid w:val="00BC36E4"/>
    <w:rsid w:val="00BC373F"/>
    <w:rsid w:val="00BC384D"/>
    <w:rsid w:val="00BC542C"/>
    <w:rsid w:val="00BC6FD1"/>
    <w:rsid w:val="00BD01ED"/>
    <w:rsid w:val="00BD0D34"/>
    <w:rsid w:val="00BD37B7"/>
    <w:rsid w:val="00BD59C0"/>
    <w:rsid w:val="00BD6992"/>
    <w:rsid w:val="00BD6CF3"/>
    <w:rsid w:val="00BE0DCB"/>
    <w:rsid w:val="00BE1B34"/>
    <w:rsid w:val="00BE2180"/>
    <w:rsid w:val="00BE30F6"/>
    <w:rsid w:val="00BE4275"/>
    <w:rsid w:val="00BE75B2"/>
    <w:rsid w:val="00BF2433"/>
    <w:rsid w:val="00BF40FB"/>
    <w:rsid w:val="00BF4A31"/>
    <w:rsid w:val="00BF52BB"/>
    <w:rsid w:val="00BF5406"/>
    <w:rsid w:val="00BF61C9"/>
    <w:rsid w:val="00C015A4"/>
    <w:rsid w:val="00C06725"/>
    <w:rsid w:val="00C069C2"/>
    <w:rsid w:val="00C06F40"/>
    <w:rsid w:val="00C10194"/>
    <w:rsid w:val="00C1098D"/>
    <w:rsid w:val="00C11185"/>
    <w:rsid w:val="00C11DBE"/>
    <w:rsid w:val="00C14C4E"/>
    <w:rsid w:val="00C15CAC"/>
    <w:rsid w:val="00C17E6C"/>
    <w:rsid w:val="00C2208E"/>
    <w:rsid w:val="00C228ED"/>
    <w:rsid w:val="00C239E7"/>
    <w:rsid w:val="00C2473D"/>
    <w:rsid w:val="00C25418"/>
    <w:rsid w:val="00C25ADD"/>
    <w:rsid w:val="00C25D9C"/>
    <w:rsid w:val="00C3012C"/>
    <w:rsid w:val="00C30A78"/>
    <w:rsid w:val="00C31649"/>
    <w:rsid w:val="00C32154"/>
    <w:rsid w:val="00C32C0F"/>
    <w:rsid w:val="00C331C4"/>
    <w:rsid w:val="00C3320B"/>
    <w:rsid w:val="00C35CFD"/>
    <w:rsid w:val="00C361A9"/>
    <w:rsid w:val="00C40385"/>
    <w:rsid w:val="00C45091"/>
    <w:rsid w:val="00C45712"/>
    <w:rsid w:val="00C469A9"/>
    <w:rsid w:val="00C47A7F"/>
    <w:rsid w:val="00C5381E"/>
    <w:rsid w:val="00C53999"/>
    <w:rsid w:val="00C54E3D"/>
    <w:rsid w:val="00C55A46"/>
    <w:rsid w:val="00C55C9A"/>
    <w:rsid w:val="00C565AF"/>
    <w:rsid w:val="00C5782F"/>
    <w:rsid w:val="00C579A1"/>
    <w:rsid w:val="00C60887"/>
    <w:rsid w:val="00C625B5"/>
    <w:rsid w:val="00C6292B"/>
    <w:rsid w:val="00C65576"/>
    <w:rsid w:val="00C66165"/>
    <w:rsid w:val="00C66AC0"/>
    <w:rsid w:val="00C67B6E"/>
    <w:rsid w:val="00C72591"/>
    <w:rsid w:val="00C73A68"/>
    <w:rsid w:val="00C750C8"/>
    <w:rsid w:val="00C765AC"/>
    <w:rsid w:val="00C7702B"/>
    <w:rsid w:val="00C8213F"/>
    <w:rsid w:val="00C82497"/>
    <w:rsid w:val="00C832E3"/>
    <w:rsid w:val="00C8797A"/>
    <w:rsid w:val="00C90A81"/>
    <w:rsid w:val="00C9300A"/>
    <w:rsid w:val="00C938CF"/>
    <w:rsid w:val="00C942B4"/>
    <w:rsid w:val="00C95574"/>
    <w:rsid w:val="00CA20F8"/>
    <w:rsid w:val="00CA2F05"/>
    <w:rsid w:val="00CA5245"/>
    <w:rsid w:val="00CA535D"/>
    <w:rsid w:val="00CA5487"/>
    <w:rsid w:val="00CA5F1C"/>
    <w:rsid w:val="00CA709C"/>
    <w:rsid w:val="00CA7B09"/>
    <w:rsid w:val="00CB17DC"/>
    <w:rsid w:val="00CB1BAB"/>
    <w:rsid w:val="00CB2072"/>
    <w:rsid w:val="00CB240C"/>
    <w:rsid w:val="00CB5B1A"/>
    <w:rsid w:val="00CB6A65"/>
    <w:rsid w:val="00CB769D"/>
    <w:rsid w:val="00CC2784"/>
    <w:rsid w:val="00CC2F18"/>
    <w:rsid w:val="00CC4105"/>
    <w:rsid w:val="00CC4915"/>
    <w:rsid w:val="00CD011A"/>
    <w:rsid w:val="00CD2C26"/>
    <w:rsid w:val="00CD30D6"/>
    <w:rsid w:val="00CD32FB"/>
    <w:rsid w:val="00CD6482"/>
    <w:rsid w:val="00CD6ADC"/>
    <w:rsid w:val="00CD7CFE"/>
    <w:rsid w:val="00CE0224"/>
    <w:rsid w:val="00CE0A25"/>
    <w:rsid w:val="00CE11E4"/>
    <w:rsid w:val="00CE3187"/>
    <w:rsid w:val="00CE4F4B"/>
    <w:rsid w:val="00CE6274"/>
    <w:rsid w:val="00CE6EE0"/>
    <w:rsid w:val="00CE750B"/>
    <w:rsid w:val="00CF2CC1"/>
    <w:rsid w:val="00CF3A8A"/>
    <w:rsid w:val="00CF456B"/>
    <w:rsid w:val="00CF5A22"/>
    <w:rsid w:val="00CF5A66"/>
    <w:rsid w:val="00CF5B60"/>
    <w:rsid w:val="00CF6084"/>
    <w:rsid w:val="00D001A8"/>
    <w:rsid w:val="00D0262E"/>
    <w:rsid w:val="00D0421F"/>
    <w:rsid w:val="00D110BD"/>
    <w:rsid w:val="00D13733"/>
    <w:rsid w:val="00D13F87"/>
    <w:rsid w:val="00D16555"/>
    <w:rsid w:val="00D16D48"/>
    <w:rsid w:val="00D17D6C"/>
    <w:rsid w:val="00D22D58"/>
    <w:rsid w:val="00D273A4"/>
    <w:rsid w:val="00D27E8F"/>
    <w:rsid w:val="00D31557"/>
    <w:rsid w:val="00D319CE"/>
    <w:rsid w:val="00D32F77"/>
    <w:rsid w:val="00D357FF"/>
    <w:rsid w:val="00D360F6"/>
    <w:rsid w:val="00D463FA"/>
    <w:rsid w:val="00D47FF4"/>
    <w:rsid w:val="00D50C40"/>
    <w:rsid w:val="00D51689"/>
    <w:rsid w:val="00D5459C"/>
    <w:rsid w:val="00D557EE"/>
    <w:rsid w:val="00D573D6"/>
    <w:rsid w:val="00D61207"/>
    <w:rsid w:val="00D647AA"/>
    <w:rsid w:val="00D64BF7"/>
    <w:rsid w:val="00D65B1E"/>
    <w:rsid w:val="00D72AD7"/>
    <w:rsid w:val="00D73941"/>
    <w:rsid w:val="00D7430E"/>
    <w:rsid w:val="00D76A44"/>
    <w:rsid w:val="00D77B2F"/>
    <w:rsid w:val="00D80282"/>
    <w:rsid w:val="00D80C4A"/>
    <w:rsid w:val="00D84D07"/>
    <w:rsid w:val="00D853E8"/>
    <w:rsid w:val="00D86126"/>
    <w:rsid w:val="00D86233"/>
    <w:rsid w:val="00D876C2"/>
    <w:rsid w:val="00D92AEF"/>
    <w:rsid w:val="00D92FE6"/>
    <w:rsid w:val="00D93753"/>
    <w:rsid w:val="00D93821"/>
    <w:rsid w:val="00D93F8B"/>
    <w:rsid w:val="00D94281"/>
    <w:rsid w:val="00D953F3"/>
    <w:rsid w:val="00D97E0F"/>
    <w:rsid w:val="00DA2A74"/>
    <w:rsid w:val="00DA3722"/>
    <w:rsid w:val="00DA77A5"/>
    <w:rsid w:val="00DB143E"/>
    <w:rsid w:val="00DB3D22"/>
    <w:rsid w:val="00DB4C6F"/>
    <w:rsid w:val="00DB5ACB"/>
    <w:rsid w:val="00DC17CF"/>
    <w:rsid w:val="00DC2C2B"/>
    <w:rsid w:val="00DC5501"/>
    <w:rsid w:val="00DC73FF"/>
    <w:rsid w:val="00DC7C32"/>
    <w:rsid w:val="00DD0434"/>
    <w:rsid w:val="00DD21D1"/>
    <w:rsid w:val="00DD3F28"/>
    <w:rsid w:val="00DD4537"/>
    <w:rsid w:val="00DD4E15"/>
    <w:rsid w:val="00DE4FCB"/>
    <w:rsid w:val="00DE6FEE"/>
    <w:rsid w:val="00DF3B91"/>
    <w:rsid w:val="00DF5D2B"/>
    <w:rsid w:val="00DF6A27"/>
    <w:rsid w:val="00DF6A75"/>
    <w:rsid w:val="00E00837"/>
    <w:rsid w:val="00E018B1"/>
    <w:rsid w:val="00E071ED"/>
    <w:rsid w:val="00E10149"/>
    <w:rsid w:val="00E1332C"/>
    <w:rsid w:val="00E13B2D"/>
    <w:rsid w:val="00E14A81"/>
    <w:rsid w:val="00E151C3"/>
    <w:rsid w:val="00E16372"/>
    <w:rsid w:val="00E164E7"/>
    <w:rsid w:val="00E17F83"/>
    <w:rsid w:val="00E20ED6"/>
    <w:rsid w:val="00E21358"/>
    <w:rsid w:val="00E219B0"/>
    <w:rsid w:val="00E2249B"/>
    <w:rsid w:val="00E22A0D"/>
    <w:rsid w:val="00E23C33"/>
    <w:rsid w:val="00E23CC5"/>
    <w:rsid w:val="00E273DC"/>
    <w:rsid w:val="00E2771E"/>
    <w:rsid w:val="00E31307"/>
    <w:rsid w:val="00E31C37"/>
    <w:rsid w:val="00E31C65"/>
    <w:rsid w:val="00E32BAE"/>
    <w:rsid w:val="00E33AF5"/>
    <w:rsid w:val="00E33FBC"/>
    <w:rsid w:val="00E347C0"/>
    <w:rsid w:val="00E362AB"/>
    <w:rsid w:val="00E37569"/>
    <w:rsid w:val="00E41E30"/>
    <w:rsid w:val="00E4278B"/>
    <w:rsid w:val="00E43D70"/>
    <w:rsid w:val="00E44722"/>
    <w:rsid w:val="00E47B2C"/>
    <w:rsid w:val="00E51560"/>
    <w:rsid w:val="00E51A90"/>
    <w:rsid w:val="00E52441"/>
    <w:rsid w:val="00E53B4D"/>
    <w:rsid w:val="00E54F41"/>
    <w:rsid w:val="00E552A0"/>
    <w:rsid w:val="00E55424"/>
    <w:rsid w:val="00E55BB5"/>
    <w:rsid w:val="00E55E67"/>
    <w:rsid w:val="00E561B2"/>
    <w:rsid w:val="00E5747A"/>
    <w:rsid w:val="00E57EE0"/>
    <w:rsid w:val="00E605DF"/>
    <w:rsid w:val="00E613F0"/>
    <w:rsid w:val="00E6287F"/>
    <w:rsid w:val="00E63476"/>
    <w:rsid w:val="00E64F29"/>
    <w:rsid w:val="00E65E79"/>
    <w:rsid w:val="00E661DA"/>
    <w:rsid w:val="00E67416"/>
    <w:rsid w:val="00E700AA"/>
    <w:rsid w:val="00E70C2B"/>
    <w:rsid w:val="00E71625"/>
    <w:rsid w:val="00E718B6"/>
    <w:rsid w:val="00E726FA"/>
    <w:rsid w:val="00E73581"/>
    <w:rsid w:val="00E74DA2"/>
    <w:rsid w:val="00E754ED"/>
    <w:rsid w:val="00E75F45"/>
    <w:rsid w:val="00E77D0F"/>
    <w:rsid w:val="00E77FD4"/>
    <w:rsid w:val="00E80409"/>
    <w:rsid w:val="00E810AD"/>
    <w:rsid w:val="00E83499"/>
    <w:rsid w:val="00E83BDF"/>
    <w:rsid w:val="00E8567A"/>
    <w:rsid w:val="00E8581E"/>
    <w:rsid w:val="00E85B92"/>
    <w:rsid w:val="00E86C31"/>
    <w:rsid w:val="00E902DB"/>
    <w:rsid w:val="00E95739"/>
    <w:rsid w:val="00E9735D"/>
    <w:rsid w:val="00E975DD"/>
    <w:rsid w:val="00EA0887"/>
    <w:rsid w:val="00EA2A4A"/>
    <w:rsid w:val="00EA3864"/>
    <w:rsid w:val="00EA6E9B"/>
    <w:rsid w:val="00EA7081"/>
    <w:rsid w:val="00EB01FC"/>
    <w:rsid w:val="00EB15B6"/>
    <w:rsid w:val="00EB2424"/>
    <w:rsid w:val="00EB27FA"/>
    <w:rsid w:val="00EB2DB4"/>
    <w:rsid w:val="00EB4916"/>
    <w:rsid w:val="00EB62BE"/>
    <w:rsid w:val="00EB698B"/>
    <w:rsid w:val="00EC00C9"/>
    <w:rsid w:val="00EC3607"/>
    <w:rsid w:val="00EC4BB4"/>
    <w:rsid w:val="00EC5BC2"/>
    <w:rsid w:val="00EC6D7F"/>
    <w:rsid w:val="00EC6F16"/>
    <w:rsid w:val="00EC79C0"/>
    <w:rsid w:val="00EC7A97"/>
    <w:rsid w:val="00EC7C35"/>
    <w:rsid w:val="00ED145B"/>
    <w:rsid w:val="00ED3F5D"/>
    <w:rsid w:val="00ED4A35"/>
    <w:rsid w:val="00ED7994"/>
    <w:rsid w:val="00EE07D3"/>
    <w:rsid w:val="00EE584B"/>
    <w:rsid w:val="00EF2349"/>
    <w:rsid w:val="00EF5529"/>
    <w:rsid w:val="00F018D1"/>
    <w:rsid w:val="00F067A2"/>
    <w:rsid w:val="00F11ABF"/>
    <w:rsid w:val="00F11BB7"/>
    <w:rsid w:val="00F11C2E"/>
    <w:rsid w:val="00F14018"/>
    <w:rsid w:val="00F16534"/>
    <w:rsid w:val="00F16537"/>
    <w:rsid w:val="00F176D8"/>
    <w:rsid w:val="00F23CE3"/>
    <w:rsid w:val="00F23EF3"/>
    <w:rsid w:val="00F247F8"/>
    <w:rsid w:val="00F24837"/>
    <w:rsid w:val="00F25518"/>
    <w:rsid w:val="00F2575F"/>
    <w:rsid w:val="00F26403"/>
    <w:rsid w:val="00F33DE9"/>
    <w:rsid w:val="00F33F78"/>
    <w:rsid w:val="00F34079"/>
    <w:rsid w:val="00F35A5D"/>
    <w:rsid w:val="00F3619A"/>
    <w:rsid w:val="00F37F77"/>
    <w:rsid w:val="00F37FEA"/>
    <w:rsid w:val="00F42D9E"/>
    <w:rsid w:val="00F44EB1"/>
    <w:rsid w:val="00F4658F"/>
    <w:rsid w:val="00F46CB6"/>
    <w:rsid w:val="00F47F20"/>
    <w:rsid w:val="00F50609"/>
    <w:rsid w:val="00F55293"/>
    <w:rsid w:val="00F5553A"/>
    <w:rsid w:val="00F55E73"/>
    <w:rsid w:val="00F564DE"/>
    <w:rsid w:val="00F569A1"/>
    <w:rsid w:val="00F56E55"/>
    <w:rsid w:val="00F60092"/>
    <w:rsid w:val="00F61713"/>
    <w:rsid w:val="00F640F5"/>
    <w:rsid w:val="00F67A11"/>
    <w:rsid w:val="00F7238D"/>
    <w:rsid w:val="00F72CE5"/>
    <w:rsid w:val="00F75063"/>
    <w:rsid w:val="00F7687D"/>
    <w:rsid w:val="00F77074"/>
    <w:rsid w:val="00F77987"/>
    <w:rsid w:val="00F77B19"/>
    <w:rsid w:val="00F77C06"/>
    <w:rsid w:val="00F80E5D"/>
    <w:rsid w:val="00F8156F"/>
    <w:rsid w:val="00F81B71"/>
    <w:rsid w:val="00F82624"/>
    <w:rsid w:val="00F851CE"/>
    <w:rsid w:val="00F85838"/>
    <w:rsid w:val="00F859A0"/>
    <w:rsid w:val="00F86E26"/>
    <w:rsid w:val="00F90423"/>
    <w:rsid w:val="00F92DDE"/>
    <w:rsid w:val="00F94A91"/>
    <w:rsid w:val="00F960B8"/>
    <w:rsid w:val="00F9711F"/>
    <w:rsid w:val="00F978F8"/>
    <w:rsid w:val="00F97A78"/>
    <w:rsid w:val="00FA153E"/>
    <w:rsid w:val="00FA24E7"/>
    <w:rsid w:val="00FA6808"/>
    <w:rsid w:val="00FA7C7C"/>
    <w:rsid w:val="00FA7D6D"/>
    <w:rsid w:val="00FA7EE1"/>
    <w:rsid w:val="00FA7F3B"/>
    <w:rsid w:val="00FB2C86"/>
    <w:rsid w:val="00FB2FCB"/>
    <w:rsid w:val="00FB52B8"/>
    <w:rsid w:val="00FB65AD"/>
    <w:rsid w:val="00FC00BC"/>
    <w:rsid w:val="00FC1074"/>
    <w:rsid w:val="00FC1756"/>
    <w:rsid w:val="00FC1884"/>
    <w:rsid w:val="00FC19DF"/>
    <w:rsid w:val="00FC5E53"/>
    <w:rsid w:val="00FC7F9A"/>
    <w:rsid w:val="00FD07E3"/>
    <w:rsid w:val="00FD2100"/>
    <w:rsid w:val="00FD446D"/>
    <w:rsid w:val="00FD630D"/>
    <w:rsid w:val="00FD7085"/>
    <w:rsid w:val="00FD71DA"/>
    <w:rsid w:val="00FE1B55"/>
    <w:rsid w:val="00FE3567"/>
    <w:rsid w:val="00FE61E7"/>
    <w:rsid w:val="00FE7EEF"/>
    <w:rsid w:val="00FF0998"/>
    <w:rsid w:val="00FF0DE7"/>
    <w:rsid w:val="00FF2E89"/>
    <w:rsid w:val="00FF35D8"/>
    <w:rsid w:val="00FF3DCF"/>
    <w:rsid w:val="00FF4EDD"/>
    <w:rsid w:val="00FF5AA3"/>
    <w:rsid w:val="00FF639C"/>
    <w:rsid w:val="00FF78D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C5381E"/>
    <w:pPr>
      <w:widowControl/>
    </w:pPr>
    <w:rPr>
      <w:rFonts w:ascii="Arial" w:hAnsi="Arial"/>
      <w:sz w:val="28"/>
    </w:rPr>
  </w:style>
  <w:style w:type="character" w:customStyle="1" w:styleId="TitleChar">
    <w:name w:val="Title Char"/>
    <w:basedOn w:val="DefaultParagraphFont"/>
    <w:link w:val="Title"/>
    <w:rsid w:val="00C5381E"/>
    <w:rPr>
      <w:rFonts w:ascii="Arial" w:hAnsi="Arial"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2"/>
      </w:numPr>
    </w:pPr>
    <w:rPr>
      <w:rFonts w:ascii="Arial" w:hAnsi="Arial" w:cs="Arial"/>
      <w:b/>
      <w:snapToGrid w:val="0"/>
      <w:sz w:val="22"/>
      <w:szCs w:val="22"/>
      <w:lang w:eastAsia="en-US"/>
    </w:rPr>
  </w:style>
  <w:style w:type="paragraph" w:customStyle="1" w:styleId="Default">
    <w:name w:val="Default"/>
    <w:rsid w:val="00B452C3"/>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semiHidden/>
    <w:unhideWhenUsed/>
    <w:rsid w:val="000A590F"/>
    <w:rPr>
      <w:sz w:val="20"/>
    </w:rPr>
  </w:style>
  <w:style w:type="character" w:customStyle="1" w:styleId="FootnoteTextChar">
    <w:name w:val="Footnote Text Char"/>
    <w:basedOn w:val="DefaultParagraphFont"/>
    <w:link w:val="FootnoteText"/>
    <w:semiHidden/>
    <w:rsid w:val="000A590F"/>
    <w:rPr>
      <w:rFonts w:ascii="Arial" w:hAnsi="Arial" w:cs="Arial"/>
      <w:snapToGrid w:val="0"/>
      <w:lang w:eastAsia="en-US"/>
    </w:rPr>
  </w:style>
  <w:style w:type="character" w:styleId="FootnoteReference">
    <w:name w:val="footnote reference"/>
    <w:basedOn w:val="DefaultParagraphFont"/>
    <w:semiHidden/>
    <w:unhideWhenUsed/>
    <w:rsid w:val="000A590F"/>
    <w:rPr>
      <w:vertAlign w:val="superscript"/>
    </w:rPr>
  </w:style>
  <w:style w:type="character" w:styleId="PlaceholderText">
    <w:name w:val="Placeholder Text"/>
    <w:basedOn w:val="DefaultParagraphFont"/>
    <w:uiPriority w:val="99"/>
    <w:semiHidden/>
    <w:rsid w:val="003A2DC4"/>
    <w:rPr>
      <w:color w:val="808080"/>
    </w:rPr>
  </w:style>
  <w:style w:type="character" w:customStyle="1" w:styleId="ListParagraphChar">
    <w:name w:val="List Paragraph Char"/>
    <w:basedOn w:val="DefaultParagraphFont"/>
    <w:link w:val="ListParagraph"/>
    <w:uiPriority w:val="34"/>
    <w:rsid w:val="006273E8"/>
    <w:rPr>
      <w:rFonts w:ascii="Arial" w:hAnsi="Arial" w:cs="Arial"/>
      <w:snapToGrid w:val="0"/>
      <w:sz w:val="22"/>
      <w:lang w:eastAsia="en-US"/>
    </w:rPr>
  </w:style>
  <w:style w:type="table" w:customStyle="1" w:styleId="TableGrid7">
    <w:name w:val="Table Grid7"/>
    <w:basedOn w:val="TableNormal"/>
    <w:next w:val="TableGrid"/>
    <w:uiPriority w:val="59"/>
    <w:rsid w:val="006273E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0817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C5381E"/>
    <w:pPr>
      <w:widowControl/>
    </w:pPr>
    <w:rPr>
      <w:rFonts w:ascii="Arial" w:hAnsi="Arial"/>
      <w:sz w:val="28"/>
    </w:rPr>
  </w:style>
  <w:style w:type="character" w:customStyle="1" w:styleId="TitleChar">
    <w:name w:val="Title Char"/>
    <w:basedOn w:val="DefaultParagraphFont"/>
    <w:link w:val="Title"/>
    <w:rsid w:val="00C5381E"/>
    <w:rPr>
      <w:rFonts w:ascii="Arial" w:hAnsi="Arial"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2"/>
      </w:numPr>
    </w:pPr>
    <w:rPr>
      <w:rFonts w:ascii="Arial" w:hAnsi="Arial" w:cs="Arial"/>
      <w:b/>
      <w:snapToGrid w:val="0"/>
      <w:sz w:val="22"/>
      <w:szCs w:val="22"/>
      <w:lang w:eastAsia="en-US"/>
    </w:rPr>
  </w:style>
  <w:style w:type="paragraph" w:customStyle="1" w:styleId="Default">
    <w:name w:val="Default"/>
    <w:rsid w:val="00B452C3"/>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semiHidden/>
    <w:unhideWhenUsed/>
    <w:rsid w:val="000A590F"/>
    <w:rPr>
      <w:sz w:val="20"/>
    </w:rPr>
  </w:style>
  <w:style w:type="character" w:customStyle="1" w:styleId="FootnoteTextChar">
    <w:name w:val="Footnote Text Char"/>
    <w:basedOn w:val="DefaultParagraphFont"/>
    <w:link w:val="FootnoteText"/>
    <w:semiHidden/>
    <w:rsid w:val="000A590F"/>
    <w:rPr>
      <w:rFonts w:ascii="Arial" w:hAnsi="Arial" w:cs="Arial"/>
      <w:snapToGrid w:val="0"/>
      <w:lang w:eastAsia="en-US"/>
    </w:rPr>
  </w:style>
  <w:style w:type="character" w:styleId="FootnoteReference">
    <w:name w:val="footnote reference"/>
    <w:basedOn w:val="DefaultParagraphFont"/>
    <w:semiHidden/>
    <w:unhideWhenUsed/>
    <w:rsid w:val="000A590F"/>
    <w:rPr>
      <w:vertAlign w:val="superscript"/>
    </w:rPr>
  </w:style>
  <w:style w:type="character" w:styleId="PlaceholderText">
    <w:name w:val="Placeholder Text"/>
    <w:basedOn w:val="DefaultParagraphFont"/>
    <w:uiPriority w:val="99"/>
    <w:semiHidden/>
    <w:rsid w:val="003A2DC4"/>
    <w:rPr>
      <w:color w:val="808080"/>
    </w:rPr>
  </w:style>
  <w:style w:type="character" w:customStyle="1" w:styleId="ListParagraphChar">
    <w:name w:val="List Paragraph Char"/>
    <w:basedOn w:val="DefaultParagraphFont"/>
    <w:link w:val="ListParagraph"/>
    <w:uiPriority w:val="34"/>
    <w:rsid w:val="006273E8"/>
    <w:rPr>
      <w:rFonts w:ascii="Arial" w:hAnsi="Arial" w:cs="Arial"/>
      <w:snapToGrid w:val="0"/>
      <w:sz w:val="22"/>
      <w:lang w:eastAsia="en-US"/>
    </w:rPr>
  </w:style>
  <w:style w:type="table" w:customStyle="1" w:styleId="TableGrid7">
    <w:name w:val="Table Grid7"/>
    <w:basedOn w:val="TableNormal"/>
    <w:next w:val="TableGrid"/>
    <w:uiPriority w:val="59"/>
    <w:rsid w:val="006273E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0817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97234">
      <w:bodyDiv w:val="1"/>
      <w:marLeft w:val="0"/>
      <w:marRight w:val="0"/>
      <w:marTop w:val="0"/>
      <w:marBottom w:val="0"/>
      <w:divBdr>
        <w:top w:val="none" w:sz="0" w:space="0" w:color="auto"/>
        <w:left w:val="none" w:sz="0" w:space="0" w:color="auto"/>
        <w:bottom w:val="none" w:sz="0" w:space="0" w:color="auto"/>
        <w:right w:val="none" w:sz="0" w:space="0" w:color="auto"/>
      </w:divBdr>
    </w:div>
    <w:div w:id="1041904610">
      <w:bodyDiv w:val="1"/>
      <w:marLeft w:val="0"/>
      <w:marRight w:val="0"/>
      <w:marTop w:val="0"/>
      <w:marBottom w:val="0"/>
      <w:divBdr>
        <w:top w:val="none" w:sz="0" w:space="0" w:color="auto"/>
        <w:left w:val="none" w:sz="0" w:space="0" w:color="auto"/>
        <w:bottom w:val="none" w:sz="0" w:space="0" w:color="auto"/>
        <w:right w:val="none" w:sz="0" w:space="0" w:color="auto"/>
      </w:divBdr>
    </w:div>
    <w:div w:id="1203251159">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864516380">
          <w:marLeft w:val="547"/>
          <w:marRight w:val="0"/>
          <w:marTop w:val="144"/>
          <w:marBottom w:val="0"/>
          <w:divBdr>
            <w:top w:val="none" w:sz="0" w:space="0" w:color="auto"/>
            <w:left w:val="none" w:sz="0" w:space="0" w:color="auto"/>
            <w:bottom w:val="none" w:sz="0" w:space="0" w:color="auto"/>
            <w:right w:val="none" w:sz="0" w:space="0" w:color="auto"/>
          </w:divBdr>
        </w:div>
      </w:divsChild>
    </w:div>
    <w:div w:id="1597669022">
      <w:bodyDiv w:val="1"/>
      <w:marLeft w:val="0"/>
      <w:marRight w:val="0"/>
      <w:marTop w:val="0"/>
      <w:marBottom w:val="0"/>
      <w:divBdr>
        <w:top w:val="none" w:sz="0" w:space="0" w:color="auto"/>
        <w:left w:val="none" w:sz="0" w:space="0" w:color="auto"/>
        <w:bottom w:val="none" w:sz="0" w:space="0" w:color="auto"/>
        <w:right w:val="none" w:sz="0" w:space="0" w:color="auto"/>
      </w:divBdr>
    </w:div>
    <w:div w:id="175034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A1783-EFF8-489A-A225-0069F5903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8654</Words>
  <Characters>50007</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5-18 Nintedanib (idiopathic pulmonary fibrosis)</vt:lpstr>
    </vt:vector>
  </TitlesOfParts>
  <Manager/>
  <Company/>
  <LinksUpToDate>false</LinksUpToDate>
  <CharactersWithSpaces>58544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5-18 Nintedanib (idiopathic pulmonary fibrosis)</dc:title>
  <dc:creator/>
  <cp:lastModifiedBy/>
  <cp:revision>1</cp:revision>
  <dcterms:created xsi:type="dcterms:W3CDTF">2015-07-09T06:52:00Z</dcterms:created>
  <dcterms:modified xsi:type="dcterms:W3CDTF">2015-09-09T00:29:00Z</dcterms:modified>
</cp:coreProperties>
</file>