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67" w:rsidRPr="002B02B8" w:rsidRDefault="00A64F67" w:rsidP="00131B29">
      <w:pPr>
        <w:jc w:val="left"/>
        <w:rPr>
          <w:b/>
          <w:szCs w:val="28"/>
        </w:rPr>
      </w:pPr>
    </w:p>
    <w:p w:rsidR="008B264E" w:rsidRPr="005E69A0" w:rsidRDefault="00C964E3" w:rsidP="005E69A0">
      <w:pPr>
        <w:pStyle w:val="Title"/>
      </w:pPr>
      <w:r w:rsidRPr="005E69A0">
        <w:t>5.17</w:t>
      </w:r>
      <w:r w:rsidR="00B60939" w:rsidRPr="005E69A0">
        <w:tab/>
      </w:r>
      <w:r w:rsidRPr="005E69A0">
        <w:t>NINTEDANIB</w:t>
      </w:r>
    </w:p>
    <w:p w:rsidR="008B264E" w:rsidRPr="005E69A0" w:rsidRDefault="00C964E3" w:rsidP="005E69A0">
      <w:pPr>
        <w:pStyle w:val="Title"/>
        <w:ind w:firstLine="720"/>
      </w:pPr>
      <w:r w:rsidRPr="005E69A0">
        <w:t>100 mg c</w:t>
      </w:r>
      <w:r w:rsidR="008B264E" w:rsidRPr="005E69A0">
        <w:t>apsule, 60, 150 mg capsule, 60</w:t>
      </w:r>
      <w:r w:rsidR="001954DF">
        <w:t>;</w:t>
      </w:r>
    </w:p>
    <w:p w:rsidR="00B60939" w:rsidRPr="005E69A0" w:rsidRDefault="001954DF" w:rsidP="005E69A0">
      <w:pPr>
        <w:pStyle w:val="Title"/>
        <w:ind w:firstLine="720"/>
      </w:pPr>
      <w:proofErr w:type="spellStart"/>
      <w:proofErr w:type="gramStart"/>
      <w:r>
        <w:t>Ofev</w:t>
      </w:r>
      <w:proofErr w:type="spellEnd"/>
      <w:r>
        <w:t>®;</w:t>
      </w:r>
      <w:r w:rsidR="00C964E3" w:rsidRPr="005E69A0">
        <w:t xml:space="preserve"> </w:t>
      </w:r>
      <w:proofErr w:type="spellStart"/>
      <w:r w:rsidR="00C964E3" w:rsidRPr="005E69A0">
        <w:t>Boehringer</w:t>
      </w:r>
      <w:proofErr w:type="spellEnd"/>
      <w:r w:rsidR="00C964E3" w:rsidRPr="005E69A0">
        <w:t xml:space="preserve"> </w:t>
      </w:r>
      <w:proofErr w:type="spellStart"/>
      <w:r w:rsidR="00C964E3" w:rsidRPr="005E69A0">
        <w:t>Ingelheim</w:t>
      </w:r>
      <w:proofErr w:type="spellEnd"/>
      <w:r w:rsidR="00C964E3" w:rsidRPr="005E69A0">
        <w:t xml:space="preserve"> Pty Ltd</w:t>
      </w:r>
      <w:r w:rsidR="00B60939" w:rsidRPr="005E69A0">
        <w:t>.</w:t>
      </w:r>
      <w:proofErr w:type="gramEnd"/>
    </w:p>
    <w:p w:rsidR="00433044" w:rsidRDefault="00433044" w:rsidP="00281014">
      <w:pPr>
        <w:pStyle w:val="BodyText"/>
      </w:pPr>
    </w:p>
    <w:p w:rsidR="00B60939" w:rsidRDefault="00B60939" w:rsidP="00207D00"/>
    <w:p w:rsidR="00B50DB8" w:rsidRPr="00407F2D" w:rsidRDefault="00B50DB8" w:rsidP="00C964E3">
      <w:pPr>
        <w:pStyle w:val="PBACHeading1"/>
        <w:keepNext/>
      </w:pPr>
      <w:bookmarkStart w:id="0" w:name="_Toc409189295"/>
      <w:r w:rsidRPr="00407F2D">
        <w:t>Purpose of Application</w:t>
      </w:r>
      <w:bookmarkEnd w:id="0"/>
    </w:p>
    <w:p w:rsidR="00B60939" w:rsidRPr="00882085" w:rsidRDefault="00B60939" w:rsidP="00C964E3">
      <w:pPr>
        <w:keepNext/>
        <w:rPr>
          <w:szCs w:val="22"/>
        </w:rPr>
      </w:pPr>
    </w:p>
    <w:p w:rsidR="002C2775" w:rsidRPr="00B50DB8" w:rsidRDefault="00246070" w:rsidP="00EA0FDF">
      <w:pPr>
        <w:pStyle w:val="ListParagraph"/>
        <w:widowControl/>
        <w:numPr>
          <w:ilvl w:val="1"/>
          <w:numId w:val="4"/>
        </w:numPr>
        <w:rPr>
          <w:szCs w:val="22"/>
        </w:rPr>
      </w:pPr>
      <w:r>
        <w:t xml:space="preserve">To request </w:t>
      </w:r>
      <w:r w:rsidR="00F142BC">
        <w:t xml:space="preserve">Authority </w:t>
      </w:r>
      <w:proofErr w:type="gramStart"/>
      <w:r w:rsidR="00F142BC">
        <w:t>Required</w:t>
      </w:r>
      <w:proofErr w:type="gramEnd"/>
      <w:r w:rsidR="00F142BC">
        <w:t xml:space="preserve"> </w:t>
      </w:r>
      <w:r w:rsidR="001E238E" w:rsidRPr="004B3DDB">
        <w:t xml:space="preserve">listing for </w:t>
      </w:r>
      <w:r w:rsidR="00F142BC">
        <w:t>nintedanib in combination with docetaxel</w:t>
      </w:r>
      <w:r w:rsidR="001E238E" w:rsidRPr="004B3DDB">
        <w:t xml:space="preserve"> for </w:t>
      </w:r>
      <w:r w:rsidR="00F142BC">
        <w:t xml:space="preserve">second line </w:t>
      </w:r>
      <w:r w:rsidR="001E238E" w:rsidRPr="004B3DDB">
        <w:t xml:space="preserve">treatment of </w:t>
      </w:r>
      <w:r w:rsidR="00786B3B" w:rsidRPr="000B2D90">
        <w:rPr>
          <w:szCs w:val="22"/>
        </w:rPr>
        <w:t xml:space="preserve">non-small cell </w:t>
      </w:r>
      <w:r w:rsidR="00786B3B">
        <w:rPr>
          <w:szCs w:val="22"/>
        </w:rPr>
        <w:t xml:space="preserve">lung </w:t>
      </w:r>
      <w:r w:rsidR="00786B3B" w:rsidRPr="000B2D90">
        <w:rPr>
          <w:szCs w:val="22"/>
        </w:rPr>
        <w:t>cancer</w:t>
      </w:r>
      <w:r w:rsidR="00786B3B">
        <w:t xml:space="preserve"> (</w:t>
      </w:r>
      <w:r w:rsidR="00F142BC">
        <w:t>NSCLC</w:t>
      </w:r>
      <w:r w:rsidR="00786B3B">
        <w:t>)</w:t>
      </w:r>
      <w:r w:rsidR="00F142BC">
        <w:t xml:space="preserve"> in patients with adenocarcinoma histology.</w:t>
      </w:r>
    </w:p>
    <w:p w:rsidR="00B60939" w:rsidRDefault="00B60939" w:rsidP="004B1CB4"/>
    <w:p w:rsidR="004E43B2" w:rsidRPr="00882085" w:rsidRDefault="004E43B2" w:rsidP="004B1CB4"/>
    <w:p w:rsidR="00617E12" w:rsidRDefault="00B50DB8" w:rsidP="001D2714">
      <w:pPr>
        <w:pStyle w:val="PBACHeading1"/>
      </w:pPr>
      <w:bookmarkStart w:id="1" w:name="_Toc409189296"/>
      <w:r w:rsidRPr="00407F2D">
        <w:t>Requested listing</w:t>
      </w:r>
      <w:bookmarkEnd w:id="1"/>
    </w:p>
    <w:p w:rsidR="005D2420" w:rsidRDefault="005D2420" w:rsidP="005D2420">
      <w:pPr>
        <w:pStyle w:val="PBACHeading1"/>
        <w:numPr>
          <w:ilvl w:val="0"/>
          <w:numId w:val="0"/>
        </w:numPr>
        <w:ind w:left="720"/>
      </w:pPr>
    </w:p>
    <w:p w:rsidR="005D2420" w:rsidRPr="000E2641" w:rsidRDefault="005D2420" w:rsidP="00EA0FDF">
      <w:pPr>
        <w:pStyle w:val="ListParagraph"/>
        <w:widowControl/>
        <w:numPr>
          <w:ilvl w:val="1"/>
          <w:numId w:val="4"/>
        </w:numPr>
      </w:pPr>
      <w:r w:rsidRPr="000E2641">
        <w:rPr>
          <w:iCs/>
        </w:rPr>
        <w:t>Suggestions and additions proposed by the Secretariat to the requested listing are added in italics and suggested deletions are crossed out with strikethrough</w:t>
      </w:r>
      <w:r w:rsidRPr="000E2641">
        <w:t>.</w:t>
      </w:r>
    </w:p>
    <w:p w:rsidR="005D2420" w:rsidRDefault="005D2420" w:rsidP="005D2420">
      <w:pPr>
        <w:widowControl/>
        <w:rPr>
          <w:i/>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7376F5" w:rsidRPr="00260CE3" w:rsidTr="0053329E">
        <w:trPr>
          <w:trHeight w:val="471"/>
        </w:trPr>
        <w:tc>
          <w:tcPr>
            <w:tcW w:w="2552" w:type="dxa"/>
            <w:gridSpan w:val="2"/>
            <w:tcBorders>
              <w:bottom w:val="single" w:sz="4" w:space="0" w:color="auto"/>
            </w:tcBorders>
          </w:tcPr>
          <w:p w:rsidR="007376F5" w:rsidRPr="00260CE3" w:rsidRDefault="007376F5" w:rsidP="0053329E">
            <w:pPr>
              <w:keepNext/>
              <w:ind w:left="-108"/>
              <w:rPr>
                <w:rFonts w:ascii="Arial Narrow" w:hAnsi="Arial Narrow"/>
                <w:sz w:val="20"/>
              </w:rPr>
            </w:pPr>
            <w:r w:rsidRPr="00260CE3">
              <w:rPr>
                <w:rFonts w:ascii="Arial Narrow" w:hAnsi="Arial Narrow"/>
                <w:sz w:val="20"/>
              </w:rPr>
              <w:t>Name, Restriction,</w:t>
            </w:r>
          </w:p>
          <w:p w:rsidR="007376F5" w:rsidRPr="00260CE3" w:rsidRDefault="007376F5" w:rsidP="0053329E">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7376F5" w:rsidRPr="00260CE3" w:rsidRDefault="007376F5" w:rsidP="0053329E">
            <w:pPr>
              <w:keepNext/>
              <w:ind w:left="-108"/>
              <w:rPr>
                <w:rFonts w:ascii="Arial Narrow" w:hAnsi="Arial Narrow"/>
                <w:sz w:val="20"/>
              </w:rPr>
            </w:pPr>
            <w:r w:rsidRPr="00260CE3">
              <w:rPr>
                <w:rFonts w:ascii="Arial Narrow" w:hAnsi="Arial Narrow"/>
                <w:sz w:val="20"/>
              </w:rPr>
              <w:t>Max.</w:t>
            </w:r>
          </w:p>
          <w:p w:rsidR="007376F5" w:rsidRPr="00260CE3" w:rsidRDefault="007376F5" w:rsidP="0053329E">
            <w:pPr>
              <w:keepNext/>
              <w:ind w:left="-108"/>
              <w:rPr>
                <w:rFonts w:ascii="Arial Narrow" w:hAnsi="Arial Narrow"/>
                <w:sz w:val="20"/>
              </w:rPr>
            </w:pPr>
            <w:proofErr w:type="spellStart"/>
            <w:r w:rsidRPr="00260CE3">
              <w:rPr>
                <w:rFonts w:ascii="Arial Narrow" w:hAnsi="Arial Narrow"/>
                <w:sz w:val="20"/>
              </w:rPr>
              <w:t>Qty</w:t>
            </w:r>
            <w:proofErr w:type="spellEnd"/>
          </w:p>
        </w:tc>
        <w:tc>
          <w:tcPr>
            <w:tcW w:w="850" w:type="dxa"/>
            <w:tcBorders>
              <w:bottom w:val="single" w:sz="4" w:space="0" w:color="auto"/>
            </w:tcBorders>
          </w:tcPr>
          <w:p w:rsidR="007376F5" w:rsidRPr="00260CE3" w:rsidRDefault="007376F5" w:rsidP="0053329E">
            <w:pPr>
              <w:keepNext/>
              <w:ind w:left="-108"/>
              <w:rPr>
                <w:rFonts w:ascii="Arial Narrow" w:hAnsi="Arial Narrow"/>
                <w:sz w:val="20"/>
              </w:rPr>
            </w:pPr>
            <w:r w:rsidRPr="00260CE3">
              <w:rPr>
                <w:rFonts w:ascii="Arial Narrow" w:hAnsi="Arial Narrow"/>
                <w:sz w:val="20"/>
              </w:rPr>
              <w:t>№.of</w:t>
            </w:r>
          </w:p>
          <w:p w:rsidR="007376F5" w:rsidRPr="00260CE3" w:rsidRDefault="007376F5" w:rsidP="0053329E">
            <w:pPr>
              <w:keepNext/>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7376F5" w:rsidRPr="00260CE3" w:rsidRDefault="007376F5" w:rsidP="0053329E">
            <w:pPr>
              <w:keepNext/>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835" w:type="dxa"/>
            <w:gridSpan w:val="2"/>
            <w:tcBorders>
              <w:bottom w:val="single" w:sz="4" w:space="0" w:color="auto"/>
            </w:tcBorders>
          </w:tcPr>
          <w:p w:rsidR="007376F5" w:rsidRPr="00260CE3" w:rsidRDefault="007376F5" w:rsidP="0053329E">
            <w:pPr>
              <w:keepNext/>
              <w:rPr>
                <w:rFonts w:ascii="Arial Narrow" w:hAnsi="Arial Narrow"/>
                <w:sz w:val="20"/>
                <w:lang w:val="fr-FR"/>
              </w:rPr>
            </w:pPr>
            <w:r w:rsidRPr="00260CE3">
              <w:rPr>
                <w:rFonts w:ascii="Arial Narrow" w:hAnsi="Arial Narrow"/>
                <w:sz w:val="20"/>
              </w:rPr>
              <w:t>Proprietary Name and Manufacturer</w:t>
            </w:r>
          </w:p>
        </w:tc>
      </w:tr>
      <w:tr w:rsidR="007376F5" w:rsidRPr="00260CE3" w:rsidTr="0053329E">
        <w:trPr>
          <w:trHeight w:val="577"/>
        </w:trPr>
        <w:tc>
          <w:tcPr>
            <w:tcW w:w="2552" w:type="dxa"/>
            <w:gridSpan w:val="2"/>
          </w:tcPr>
          <w:p w:rsidR="007376F5" w:rsidRPr="00260CE3" w:rsidRDefault="007376F5" w:rsidP="0053329E">
            <w:pPr>
              <w:keepNext/>
              <w:ind w:left="-108"/>
              <w:rPr>
                <w:rFonts w:ascii="Arial Narrow" w:hAnsi="Arial Narrow"/>
                <w:sz w:val="20"/>
              </w:rPr>
            </w:pPr>
            <w:r>
              <w:rPr>
                <w:rFonts w:ascii="Arial Narrow" w:hAnsi="Arial Narrow"/>
                <w:smallCaps/>
                <w:sz w:val="20"/>
              </w:rPr>
              <w:t>NINTEDANIB</w:t>
            </w:r>
          </w:p>
          <w:p w:rsidR="007376F5" w:rsidRDefault="007376F5" w:rsidP="0053329E">
            <w:pPr>
              <w:keepNext/>
              <w:ind w:left="-108"/>
              <w:rPr>
                <w:rFonts w:ascii="Arial Narrow" w:hAnsi="Arial Narrow"/>
                <w:sz w:val="20"/>
              </w:rPr>
            </w:pPr>
            <w:r>
              <w:rPr>
                <w:rFonts w:ascii="Arial Narrow" w:hAnsi="Arial Narrow"/>
                <w:sz w:val="20"/>
              </w:rPr>
              <w:t>Nintedanib, 100 mg, capsules, 60</w:t>
            </w:r>
          </w:p>
          <w:p w:rsidR="007376F5" w:rsidRPr="00260CE3" w:rsidRDefault="007376F5" w:rsidP="0053329E">
            <w:pPr>
              <w:keepNext/>
              <w:ind w:left="-108"/>
              <w:rPr>
                <w:rFonts w:ascii="Arial Narrow" w:hAnsi="Arial Narrow"/>
                <w:sz w:val="20"/>
              </w:rPr>
            </w:pPr>
            <w:r>
              <w:rPr>
                <w:rFonts w:ascii="Arial Narrow" w:hAnsi="Arial Narrow"/>
                <w:sz w:val="20"/>
              </w:rPr>
              <w:t>Nintedanib, 150 mg, capsules, 60</w:t>
            </w:r>
          </w:p>
        </w:tc>
        <w:tc>
          <w:tcPr>
            <w:tcW w:w="567" w:type="dxa"/>
          </w:tcPr>
          <w:p w:rsidR="007376F5" w:rsidRPr="00260CE3" w:rsidRDefault="007376F5" w:rsidP="0053329E">
            <w:pPr>
              <w:keepNext/>
              <w:ind w:left="-108"/>
              <w:rPr>
                <w:rFonts w:ascii="Arial Narrow" w:hAnsi="Arial Narrow"/>
                <w:sz w:val="20"/>
              </w:rPr>
            </w:pPr>
          </w:p>
          <w:p w:rsidR="007376F5" w:rsidRDefault="007376F5" w:rsidP="0053329E">
            <w:pPr>
              <w:keepNext/>
              <w:ind w:left="-108"/>
              <w:rPr>
                <w:rFonts w:ascii="Arial Narrow" w:hAnsi="Arial Narrow"/>
                <w:sz w:val="20"/>
              </w:rPr>
            </w:pPr>
            <w:r>
              <w:rPr>
                <w:rFonts w:ascii="Arial Narrow" w:hAnsi="Arial Narrow"/>
                <w:sz w:val="20"/>
              </w:rPr>
              <w:t>2</w:t>
            </w:r>
          </w:p>
          <w:p w:rsidR="007376F5" w:rsidRPr="00260CE3" w:rsidRDefault="007376F5" w:rsidP="0053329E">
            <w:pPr>
              <w:keepNext/>
              <w:ind w:left="-108"/>
              <w:rPr>
                <w:rFonts w:ascii="Arial Narrow" w:hAnsi="Arial Narrow"/>
                <w:sz w:val="20"/>
              </w:rPr>
            </w:pPr>
            <w:r>
              <w:rPr>
                <w:rFonts w:ascii="Arial Narrow" w:hAnsi="Arial Narrow"/>
                <w:sz w:val="20"/>
              </w:rPr>
              <w:t>1</w:t>
            </w:r>
          </w:p>
        </w:tc>
        <w:tc>
          <w:tcPr>
            <w:tcW w:w="850" w:type="dxa"/>
          </w:tcPr>
          <w:p w:rsidR="007376F5" w:rsidRDefault="007376F5" w:rsidP="0053329E">
            <w:pPr>
              <w:keepNext/>
              <w:ind w:left="-108"/>
              <w:rPr>
                <w:rFonts w:ascii="Arial Narrow" w:hAnsi="Arial Narrow"/>
                <w:sz w:val="20"/>
              </w:rPr>
            </w:pPr>
          </w:p>
          <w:p w:rsidR="007376F5" w:rsidRDefault="007376F5" w:rsidP="0053329E">
            <w:pPr>
              <w:keepNext/>
              <w:ind w:left="-108"/>
              <w:rPr>
                <w:rFonts w:ascii="Arial Narrow" w:hAnsi="Arial Narrow"/>
                <w:sz w:val="20"/>
              </w:rPr>
            </w:pPr>
            <w:r>
              <w:rPr>
                <w:rFonts w:ascii="Arial Narrow" w:hAnsi="Arial Narrow"/>
                <w:sz w:val="20"/>
              </w:rPr>
              <w:t>3</w:t>
            </w:r>
          </w:p>
          <w:p w:rsidR="007376F5" w:rsidRPr="00260CE3" w:rsidRDefault="007376F5" w:rsidP="0053329E">
            <w:pPr>
              <w:keepNext/>
              <w:ind w:left="-108"/>
              <w:rPr>
                <w:rFonts w:ascii="Arial Narrow" w:hAnsi="Arial Narrow"/>
                <w:sz w:val="20"/>
              </w:rPr>
            </w:pPr>
            <w:r>
              <w:rPr>
                <w:rFonts w:ascii="Arial Narrow" w:hAnsi="Arial Narrow"/>
                <w:sz w:val="20"/>
              </w:rPr>
              <w:t>3</w:t>
            </w:r>
          </w:p>
        </w:tc>
        <w:tc>
          <w:tcPr>
            <w:tcW w:w="1701" w:type="dxa"/>
          </w:tcPr>
          <w:p w:rsidR="007376F5" w:rsidRPr="00260CE3" w:rsidRDefault="007376F5" w:rsidP="0053329E">
            <w:pPr>
              <w:keepNext/>
              <w:ind w:left="-108"/>
              <w:rPr>
                <w:rFonts w:ascii="Arial Narrow" w:hAnsi="Arial Narrow"/>
                <w:sz w:val="20"/>
              </w:rPr>
            </w:pPr>
          </w:p>
          <w:p w:rsidR="007376F5" w:rsidRPr="00B3432C" w:rsidRDefault="00B3432C" w:rsidP="0053329E">
            <w:pPr>
              <w:keepNext/>
              <w:ind w:left="-108"/>
              <w:rPr>
                <w:rFonts w:ascii="Arial Narrow" w:hAnsi="Arial Narrow"/>
                <w:sz w:val="20"/>
                <w:highlight w:val="black"/>
              </w:rPr>
            </w:pPr>
            <w:r>
              <w:rPr>
                <w:rFonts w:ascii="Arial Narrow" w:hAnsi="Arial Narrow"/>
                <w:noProof/>
                <w:color w:val="000000"/>
                <w:sz w:val="20"/>
                <w:highlight w:val="black"/>
              </w:rPr>
              <w:t>'''''''''''''''''''''''</w:t>
            </w:r>
          </w:p>
          <w:p w:rsidR="007376F5" w:rsidRPr="00B3432C" w:rsidRDefault="00B3432C" w:rsidP="0053329E">
            <w:pPr>
              <w:keepNext/>
              <w:ind w:left="-108"/>
              <w:rPr>
                <w:rFonts w:ascii="Arial Narrow" w:hAnsi="Arial Narrow"/>
                <w:sz w:val="20"/>
                <w:highlight w:val="black"/>
              </w:rPr>
            </w:pPr>
            <w:r>
              <w:rPr>
                <w:rFonts w:ascii="Arial Narrow" w:hAnsi="Arial Narrow"/>
                <w:noProof/>
                <w:color w:val="000000"/>
                <w:sz w:val="20"/>
                <w:highlight w:val="black"/>
              </w:rPr>
              <w:t>'''''''''''''''''''''''</w:t>
            </w:r>
          </w:p>
        </w:tc>
        <w:tc>
          <w:tcPr>
            <w:tcW w:w="1559" w:type="dxa"/>
          </w:tcPr>
          <w:p w:rsidR="007376F5" w:rsidRPr="00260CE3" w:rsidRDefault="007376F5" w:rsidP="0053329E">
            <w:pPr>
              <w:keepNext/>
              <w:rPr>
                <w:rFonts w:ascii="Arial Narrow" w:hAnsi="Arial Narrow"/>
                <w:sz w:val="20"/>
              </w:rPr>
            </w:pPr>
            <w:proofErr w:type="spellStart"/>
            <w:r>
              <w:rPr>
                <w:rFonts w:ascii="Arial Narrow" w:hAnsi="Arial Narrow"/>
                <w:sz w:val="20"/>
              </w:rPr>
              <w:t>Ofev</w:t>
            </w:r>
            <w:proofErr w:type="spellEnd"/>
          </w:p>
        </w:tc>
        <w:tc>
          <w:tcPr>
            <w:tcW w:w="1276" w:type="dxa"/>
          </w:tcPr>
          <w:p w:rsidR="007376F5" w:rsidRPr="00260CE3" w:rsidRDefault="007376F5" w:rsidP="0053329E">
            <w:pPr>
              <w:keepNext/>
              <w:rPr>
                <w:rFonts w:ascii="Arial Narrow" w:hAnsi="Arial Narrow"/>
                <w:sz w:val="20"/>
              </w:rPr>
            </w:pPr>
            <w:r>
              <w:rPr>
                <w:rFonts w:ascii="Arial Narrow" w:hAnsi="Arial Narrow"/>
                <w:sz w:val="20"/>
              </w:rPr>
              <w:t>BI</w:t>
            </w:r>
          </w:p>
        </w:tc>
      </w:tr>
      <w:tr w:rsidR="007376F5" w:rsidRPr="00260CE3" w:rsidTr="0053329E">
        <w:trPr>
          <w:trHeight w:val="360"/>
        </w:trPr>
        <w:tc>
          <w:tcPr>
            <w:tcW w:w="8505" w:type="dxa"/>
            <w:gridSpan w:val="7"/>
            <w:tcBorders>
              <w:bottom w:val="single" w:sz="4" w:space="0" w:color="auto"/>
            </w:tcBorders>
          </w:tcPr>
          <w:p w:rsidR="007376F5" w:rsidRPr="00260CE3" w:rsidRDefault="007376F5" w:rsidP="0053329E">
            <w:pPr>
              <w:rPr>
                <w:rFonts w:ascii="Arial Narrow" w:hAnsi="Arial Narrow"/>
                <w:sz w:val="20"/>
              </w:rPr>
            </w:pPr>
          </w:p>
        </w:tc>
      </w:tr>
      <w:tr w:rsidR="0053329E"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53329E" w:rsidRPr="00C879E8" w:rsidRDefault="0053329E" w:rsidP="0053329E">
            <w:pPr>
              <w:rPr>
                <w:rFonts w:ascii="Arial Narrow" w:hAnsi="Arial Narrow"/>
                <w:b/>
                <w:sz w:val="20"/>
              </w:rPr>
            </w:pPr>
            <w:r w:rsidRPr="00C879E8">
              <w:rPr>
                <w:rFonts w:ascii="Arial Narrow" w:hAnsi="Arial Narrow"/>
                <w:b/>
                <w:sz w:val="20"/>
              </w:rPr>
              <w:t xml:space="preserve">Category / </w:t>
            </w:r>
          </w:p>
          <w:p w:rsidR="0053329E" w:rsidRPr="00C879E8" w:rsidRDefault="0053329E" w:rsidP="0053329E">
            <w:pPr>
              <w:rPr>
                <w:rFonts w:ascii="Arial Narrow" w:hAnsi="Arial Narrow"/>
                <w:b/>
                <w:sz w:val="20"/>
              </w:rPr>
            </w:pPr>
            <w:r w:rsidRPr="00C879E8">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53329E" w:rsidRPr="00C879E8" w:rsidRDefault="006065EB" w:rsidP="0053329E">
            <w:pPr>
              <w:rPr>
                <w:rFonts w:ascii="Arial Narrow" w:hAnsi="Arial Narrow"/>
                <w:sz w:val="20"/>
              </w:rPr>
            </w:pPr>
            <w:r w:rsidRPr="006065EB">
              <w:rPr>
                <w:rFonts w:ascii="Arial Narrow" w:hAnsi="Arial Narrow"/>
                <w:sz w:val="20"/>
              </w:rPr>
              <w:t>Efficient Funding of Chemotherapy – Section 100 Arrangements</w:t>
            </w:r>
          </w:p>
        </w:tc>
      </w:tr>
      <w:tr w:rsidR="0053329E"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53329E" w:rsidRPr="00C879E8" w:rsidRDefault="0053329E" w:rsidP="0053329E">
            <w:pPr>
              <w:rPr>
                <w:rFonts w:ascii="Arial Narrow" w:hAnsi="Arial Narrow"/>
                <w:b/>
                <w:sz w:val="20"/>
              </w:rPr>
            </w:pPr>
            <w:r w:rsidRPr="00C879E8">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53329E" w:rsidRPr="00260CE3" w:rsidRDefault="0053329E" w:rsidP="0053329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53329E" w:rsidRPr="00C879E8" w:rsidRDefault="0053329E" w:rsidP="0053329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7376F5"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Locally advanced,</w:t>
            </w:r>
            <w:r>
              <w:rPr>
                <w:rFonts w:ascii="Arial Narrow" w:hAnsi="Arial Narrow"/>
                <w:sz w:val="20"/>
              </w:rPr>
              <w:t xml:space="preserve"> </w:t>
            </w:r>
            <w:r w:rsidRPr="00D6449D">
              <w:rPr>
                <w:rFonts w:ascii="Arial Narrow" w:hAnsi="Arial Narrow"/>
                <w:i/>
                <w:sz w:val="20"/>
              </w:rPr>
              <w:t>or</w:t>
            </w:r>
            <w:r w:rsidRPr="00C879E8">
              <w:rPr>
                <w:rFonts w:ascii="Arial Narrow" w:hAnsi="Arial Narrow"/>
                <w:sz w:val="20"/>
              </w:rPr>
              <w:t xml:space="preserve"> metastatic </w:t>
            </w:r>
            <w:r w:rsidRPr="00D6449D">
              <w:rPr>
                <w:rFonts w:ascii="Arial Narrow" w:hAnsi="Arial Narrow"/>
                <w:strike/>
                <w:sz w:val="20"/>
              </w:rPr>
              <w:t>or recurrent</w:t>
            </w:r>
          </w:p>
        </w:tc>
      </w:tr>
      <w:tr w:rsidR="007376F5"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 xml:space="preserve">Non-small cell lung cancer </w:t>
            </w:r>
            <w:r w:rsidRPr="00D6449D">
              <w:rPr>
                <w:rFonts w:ascii="Arial Narrow" w:hAnsi="Arial Narrow"/>
                <w:strike/>
                <w:sz w:val="20"/>
              </w:rPr>
              <w:t>(NSCLC)</w:t>
            </w:r>
          </w:p>
        </w:tc>
      </w:tr>
      <w:tr w:rsidR="007376F5"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Locally advanced,</w:t>
            </w:r>
            <w:r>
              <w:rPr>
                <w:rFonts w:ascii="Arial Narrow" w:hAnsi="Arial Narrow"/>
                <w:sz w:val="20"/>
              </w:rPr>
              <w:t xml:space="preserve"> </w:t>
            </w:r>
            <w:r>
              <w:rPr>
                <w:rFonts w:ascii="Arial Narrow" w:hAnsi="Arial Narrow"/>
                <w:i/>
                <w:sz w:val="20"/>
              </w:rPr>
              <w:t>or</w:t>
            </w:r>
            <w:r w:rsidRPr="00C879E8">
              <w:rPr>
                <w:rFonts w:ascii="Arial Narrow" w:hAnsi="Arial Narrow"/>
                <w:sz w:val="20"/>
              </w:rPr>
              <w:t xml:space="preserve"> metastatic </w:t>
            </w:r>
            <w:r w:rsidRPr="00D6449D">
              <w:rPr>
                <w:rFonts w:ascii="Arial Narrow" w:hAnsi="Arial Narrow"/>
                <w:strike/>
                <w:sz w:val="20"/>
              </w:rPr>
              <w:t>or recurrent</w:t>
            </w:r>
            <w:r w:rsidRPr="00C879E8">
              <w:rPr>
                <w:rFonts w:ascii="Arial Narrow" w:hAnsi="Arial Narrow"/>
                <w:sz w:val="20"/>
              </w:rPr>
              <w:t xml:space="preserve"> non-small cell lung cancer </w:t>
            </w:r>
            <w:r w:rsidRPr="00D6449D">
              <w:rPr>
                <w:rFonts w:ascii="Arial Narrow" w:hAnsi="Arial Narrow"/>
                <w:strike/>
                <w:sz w:val="20"/>
              </w:rPr>
              <w:t>(NSCLC) of adenocarcinoma tumour histology</w:t>
            </w:r>
          </w:p>
        </w:tc>
      </w:tr>
      <w:tr w:rsidR="007376F5"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Treatment phase:</w:t>
            </w:r>
          </w:p>
          <w:p w:rsidR="007376F5" w:rsidRPr="00C879E8" w:rsidRDefault="007376F5" w:rsidP="0053329E">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Initial treatment</w:t>
            </w:r>
          </w:p>
        </w:tc>
      </w:tr>
      <w:tr w:rsidR="007376F5"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jc w:val="left"/>
              <w:rPr>
                <w:rFonts w:ascii="Arial Narrow" w:hAnsi="Arial Narrow"/>
                <w:b/>
                <w:sz w:val="20"/>
              </w:rPr>
            </w:pPr>
            <w:r w:rsidRPr="00C879E8">
              <w:rPr>
                <w:rFonts w:ascii="Arial Narrow" w:hAnsi="Arial Narrow"/>
                <w:b/>
                <w:sz w:val="20"/>
              </w:rPr>
              <w:t>Restriction Level / Method:</w:t>
            </w:r>
          </w:p>
          <w:p w:rsidR="007376F5" w:rsidRPr="00C879E8" w:rsidRDefault="007376F5" w:rsidP="0053329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Authority Required - In Writing</w:t>
            </w:r>
          </w:p>
          <w:p w:rsidR="007376F5" w:rsidRPr="00C879E8" w:rsidRDefault="007376F5" w:rsidP="0053329E">
            <w:pPr>
              <w:rPr>
                <w:rFonts w:ascii="Arial Narrow" w:hAnsi="Arial Narrow"/>
                <w:sz w:val="20"/>
              </w:rPr>
            </w:pPr>
            <w:r w:rsidRPr="00C879E8">
              <w:rPr>
                <w:rFonts w:ascii="Arial Narrow" w:hAnsi="Arial Narrow"/>
                <w:sz w:val="20"/>
              </w:rPr>
              <w:t>Authority Required - Telephone</w:t>
            </w:r>
          </w:p>
          <w:p w:rsidR="007376F5" w:rsidRPr="00C879E8" w:rsidRDefault="007376F5" w:rsidP="0053329E">
            <w:pPr>
              <w:rPr>
                <w:rFonts w:ascii="Arial Narrow" w:hAnsi="Arial Narrow"/>
                <w:sz w:val="20"/>
              </w:rPr>
            </w:pPr>
            <w:r w:rsidRPr="00C879E8">
              <w:rPr>
                <w:rFonts w:ascii="Arial Narrow" w:hAnsi="Arial Narrow"/>
                <w:sz w:val="20"/>
              </w:rPr>
              <w:t>Authority Required – Emergency</w:t>
            </w:r>
          </w:p>
          <w:p w:rsidR="007376F5" w:rsidRPr="00C879E8" w:rsidRDefault="007376F5" w:rsidP="0053329E">
            <w:pPr>
              <w:rPr>
                <w:rFonts w:ascii="Arial Narrow" w:hAnsi="Arial Narrow"/>
                <w:sz w:val="20"/>
              </w:rPr>
            </w:pPr>
            <w:r w:rsidRPr="00C879E8">
              <w:rPr>
                <w:rFonts w:ascii="Arial Narrow" w:hAnsi="Arial Narrow"/>
                <w:sz w:val="20"/>
              </w:rPr>
              <w:t>Authority Required - Electronic</w:t>
            </w:r>
          </w:p>
        </w:tc>
      </w:tr>
      <w:tr w:rsidR="007376F5"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Clinical criteria:</w:t>
            </w:r>
          </w:p>
          <w:p w:rsidR="007376F5" w:rsidRPr="00C879E8" w:rsidRDefault="007376F5" w:rsidP="0053329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The treatment must be in combination with docetaxel</w:t>
            </w:r>
          </w:p>
          <w:p w:rsidR="007376F5" w:rsidRPr="00C879E8" w:rsidRDefault="007376F5" w:rsidP="0053329E">
            <w:pPr>
              <w:rPr>
                <w:rFonts w:ascii="Arial Narrow" w:hAnsi="Arial Narrow"/>
                <w:sz w:val="20"/>
              </w:rPr>
            </w:pPr>
          </w:p>
          <w:p w:rsidR="007376F5" w:rsidRPr="00C879E8" w:rsidRDefault="007376F5" w:rsidP="0053329E">
            <w:pPr>
              <w:rPr>
                <w:rFonts w:ascii="Arial Narrow" w:hAnsi="Arial Narrow"/>
                <w:sz w:val="20"/>
              </w:rPr>
            </w:pPr>
            <w:r w:rsidRPr="00C879E8">
              <w:rPr>
                <w:rFonts w:ascii="Arial Narrow" w:hAnsi="Arial Narrow"/>
                <w:sz w:val="20"/>
              </w:rPr>
              <w:t>AND</w:t>
            </w:r>
          </w:p>
          <w:p w:rsidR="007376F5" w:rsidRPr="00C879E8" w:rsidRDefault="007376F5" w:rsidP="0053329E">
            <w:pPr>
              <w:rPr>
                <w:rFonts w:ascii="Arial Narrow" w:hAnsi="Arial Narrow"/>
                <w:sz w:val="20"/>
              </w:rPr>
            </w:pPr>
          </w:p>
          <w:p w:rsidR="007376F5" w:rsidRPr="00C879E8" w:rsidRDefault="007376F5" w:rsidP="0053329E">
            <w:pPr>
              <w:rPr>
                <w:rFonts w:ascii="Arial Narrow" w:hAnsi="Arial Narrow"/>
                <w:sz w:val="20"/>
              </w:rPr>
            </w:pPr>
            <w:r w:rsidRPr="00C879E8">
              <w:rPr>
                <w:rFonts w:ascii="Arial Narrow" w:hAnsi="Arial Narrow"/>
                <w:sz w:val="20"/>
              </w:rPr>
              <w:t>The condition must be non-small cell lung cancer (NSCLC) of adenocarcinoma tumour histology</w:t>
            </w:r>
          </w:p>
          <w:p w:rsidR="007376F5" w:rsidRPr="00C879E8" w:rsidRDefault="007376F5" w:rsidP="0053329E">
            <w:pPr>
              <w:rPr>
                <w:rFonts w:ascii="Arial Narrow" w:hAnsi="Arial Narrow"/>
                <w:sz w:val="20"/>
              </w:rPr>
            </w:pPr>
          </w:p>
          <w:p w:rsidR="007376F5" w:rsidRPr="00C879E8" w:rsidRDefault="007376F5" w:rsidP="0053329E">
            <w:pPr>
              <w:rPr>
                <w:rFonts w:ascii="Arial Narrow" w:hAnsi="Arial Narrow"/>
                <w:sz w:val="20"/>
              </w:rPr>
            </w:pPr>
            <w:r w:rsidRPr="00C879E8">
              <w:rPr>
                <w:rFonts w:ascii="Arial Narrow" w:hAnsi="Arial Narrow"/>
                <w:sz w:val="20"/>
              </w:rPr>
              <w:t>AND</w:t>
            </w:r>
          </w:p>
          <w:p w:rsidR="007376F5" w:rsidRPr="00C879E8" w:rsidRDefault="007376F5" w:rsidP="0053329E">
            <w:pPr>
              <w:rPr>
                <w:rFonts w:ascii="Arial Narrow" w:hAnsi="Arial Narrow"/>
                <w:sz w:val="20"/>
              </w:rPr>
            </w:pPr>
          </w:p>
          <w:p w:rsidR="007376F5" w:rsidRPr="00C879E8" w:rsidRDefault="007376F5" w:rsidP="0053329E">
            <w:pPr>
              <w:rPr>
                <w:rFonts w:ascii="Arial Narrow" w:hAnsi="Arial Narrow"/>
                <w:sz w:val="20"/>
              </w:rPr>
            </w:pPr>
            <w:r w:rsidRPr="00C879E8">
              <w:rPr>
                <w:rFonts w:ascii="Arial Narrow" w:hAnsi="Arial Narrow"/>
                <w:sz w:val="20"/>
              </w:rPr>
              <w:t>The treatment must be after failure of first line chemotherapy</w:t>
            </w:r>
          </w:p>
          <w:p w:rsidR="007376F5" w:rsidRPr="00C879E8" w:rsidRDefault="007376F5" w:rsidP="0053329E">
            <w:pPr>
              <w:rPr>
                <w:rFonts w:ascii="Arial Narrow" w:hAnsi="Arial Narrow"/>
                <w:sz w:val="20"/>
              </w:rPr>
            </w:pPr>
          </w:p>
          <w:p w:rsidR="007376F5" w:rsidRPr="00C879E8" w:rsidRDefault="007376F5" w:rsidP="0053329E">
            <w:pPr>
              <w:rPr>
                <w:rFonts w:ascii="Arial Narrow" w:hAnsi="Arial Narrow"/>
                <w:sz w:val="20"/>
              </w:rPr>
            </w:pPr>
            <w:r w:rsidRPr="00C879E8">
              <w:rPr>
                <w:rFonts w:ascii="Arial Narrow" w:hAnsi="Arial Narrow"/>
                <w:sz w:val="20"/>
              </w:rPr>
              <w:t>AND</w:t>
            </w:r>
          </w:p>
          <w:p w:rsidR="007376F5" w:rsidRPr="00C879E8" w:rsidRDefault="007376F5" w:rsidP="0053329E">
            <w:pPr>
              <w:rPr>
                <w:rFonts w:ascii="Arial Narrow" w:hAnsi="Arial Narrow"/>
                <w:sz w:val="20"/>
              </w:rPr>
            </w:pPr>
          </w:p>
          <w:p w:rsidR="007376F5" w:rsidRPr="00C879E8" w:rsidRDefault="007376F5" w:rsidP="0053329E">
            <w:pPr>
              <w:rPr>
                <w:rFonts w:ascii="Arial Narrow" w:hAnsi="Arial Narrow"/>
                <w:sz w:val="20"/>
              </w:rPr>
            </w:pPr>
            <w:r w:rsidRPr="00C879E8">
              <w:rPr>
                <w:rFonts w:ascii="Arial Narrow" w:hAnsi="Arial Narrow"/>
                <w:strike/>
                <w:sz w:val="20"/>
              </w:rPr>
              <w:t xml:space="preserve">The </w:t>
            </w:r>
            <w:r w:rsidRPr="00C879E8">
              <w:rPr>
                <w:rFonts w:ascii="Arial Narrow" w:hAnsi="Arial Narrow"/>
                <w:sz w:val="20"/>
              </w:rPr>
              <w:t>Patient must have a WHO</w:t>
            </w:r>
            <w:r w:rsidRPr="00C879E8">
              <w:rPr>
                <w:rFonts w:ascii="Arial Narrow" w:hAnsi="Arial Narrow"/>
                <w:strike/>
                <w:sz w:val="20"/>
              </w:rPr>
              <w:t>/ECOG</w:t>
            </w:r>
            <w:r w:rsidRPr="00C879E8">
              <w:rPr>
                <w:rFonts w:ascii="Arial Narrow" w:hAnsi="Arial Narrow"/>
                <w:sz w:val="20"/>
              </w:rPr>
              <w:t xml:space="preserve"> performance status of 2 or less</w:t>
            </w:r>
          </w:p>
        </w:tc>
      </w:tr>
      <w:tr w:rsidR="007376F5" w:rsidRPr="00C879E8" w:rsidTr="0053329E">
        <w:trPr>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i/>
                <w:color w:val="FF0000"/>
                <w:sz w:val="20"/>
              </w:rPr>
            </w:pPr>
            <w:r w:rsidRPr="00582650">
              <w:rPr>
                <w:rFonts w:ascii="Arial Narrow" w:hAnsi="Arial Narrow"/>
                <w:i/>
                <w:sz w:val="20"/>
              </w:rPr>
              <w:t>Special Pricing Arrangements apply.</w:t>
            </w:r>
          </w:p>
        </w:tc>
      </w:tr>
    </w:tbl>
    <w:p w:rsidR="007376F5" w:rsidRPr="00C879E8" w:rsidRDefault="007376F5" w:rsidP="007376F5">
      <w:pPr>
        <w:rPr>
          <w:rFonts w:ascii="Arial Narrow" w:hAnsi="Arial Narrow"/>
          <w:sz w:val="20"/>
        </w:rPr>
      </w:pPr>
    </w:p>
    <w:tbl>
      <w:tblPr>
        <w:tblW w:w="8505" w:type="dxa"/>
        <w:tblInd w:w="817" w:type="dxa"/>
        <w:tblLayout w:type="fixed"/>
        <w:tblLook w:val="0000" w:firstRow="0" w:lastRow="0" w:firstColumn="0" w:lastColumn="0" w:noHBand="0" w:noVBand="0"/>
      </w:tblPr>
      <w:tblGrid>
        <w:gridCol w:w="2126"/>
        <w:gridCol w:w="6379"/>
      </w:tblGrid>
      <w:tr w:rsidR="0053329E"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53329E" w:rsidRPr="00C879E8" w:rsidRDefault="0053329E" w:rsidP="0053329E">
            <w:pPr>
              <w:rPr>
                <w:rFonts w:ascii="Arial Narrow" w:hAnsi="Arial Narrow"/>
                <w:b/>
                <w:sz w:val="20"/>
              </w:rPr>
            </w:pPr>
            <w:r w:rsidRPr="00C879E8">
              <w:rPr>
                <w:rFonts w:ascii="Arial Narrow" w:hAnsi="Arial Narrow"/>
                <w:b/>
                <w:sz w:val="20"/>
              </w:rPr>
              <w:t xml:space="preserve">Category / </w:t>
            </w:r>
          </w:p>
          <w:p w:rsidR="0053329E" w:rsidRPr="00C879E8" w:rsidRDefault="0053329E" w:rsidP="0053329E">
            <w:pPr>
              <w:rPr>
                <w:rFonts w:ascii="Arial Narrow" w:hAnsi="Arial Narrow"/>
                <w:b/>
                <w:sz w:val="20"/>
              </w:rPr>
            </w:pPr>
            <w:r w:rsidRPr="00C879E8">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53329E" w:rsidRPr="00C879E8" w:rsidRDefault="006065EB" w:rsidP="0053329E">
            <w:pPr>
              <w:rPr>
                <w:rFonts w:ascii="Arial Narrow" w:hAnsi="Arial Narrow"/>
                <w:sz w:val="20"/>
              </w:rPr>
            </w:pPr>
            <w:r w:rsidRPr="006065EB">
              <w:rPr>
                <w:rFonts w:ascii="Arial Narrow" w:hAnsi="Arial Narrow"/>
                <w:sz w:val="20"/>
              </w:rPr>
              <w:t>Efficient Funding of Chemotherapy – Section 100 Arrangements</w:t>
            </w:r>
          </w:p>
        </w:tc>
      </w:tr>
      <w:tr w:rsidR="0053329E"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53329E" w:rsidRPr="00C879E8" w:rsidRDefault="0053329E" w:rsidP="0053329E">
            <w:pPr>
              <w:rPr>
                <w:rFonts w:ascii="Arial Narrow" w:hAnsi="Arial Narrow"/>
                <w:b/>
                <w:sz w:val="20"/>
              </w:rPr>
            </w:pPr>
            <w:r w:rsidRPr="00C879E8">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53329E" w:rsidRPr="00260CE3" w:rsidRDefault="0053329E" w:rsidP="0053329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53329E" w:rsidRPr="00C879E8" w:rsidRDefault="0053329E" w:rsidP="0053329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71C1E">
              <w:rPr>
                <w:rFonts w:ascii="Arial Narrow" w:hAnsi="Arial Narrow"/>
                <w:sz w:val="20"/>
              </w:rPr>
            </w:r>
            <w:r w:rsidR="00871C1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7376F5"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Locally advanced, metastatic or recurrent</w:t>
            </w:r>
          </w:p>
        </w:tc>
      </w:tr>
      <w:tr w:rsidR="007376F5"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 xml:space="preserve">Non-small cell lung cancer </w:t>
            </w:r>
            <w:r w:rsidRPr="00CF13C7">
              <w:rPr>
                <w:rFonts w:ascii="Arial Narrow" w:hAnsi="Arial Narrow"/>
                <w:strike/>
                <w:sz w:val="20"/>
              </w:rPr>
              <w:t>(NSCLC)</w:t>
            </w:r>
          </w:p>
        </w:tc>
      </w:tr>
      <w:tr w:rsidR="007376F5"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 xml:space="preserve">Locally advanced, </w:t>
            </w:r>
            <w:r w:rsidRPr="00D6449D">
              <w:rPr>
                <w:rFonts w:ascii="Arial Narrow" w:hAnsi="Arial Narrow"/>
                <w:i/>
                <w:sz w:val="20"/>
              </w:rPr>
              <w:t>or</w:t>
            </w:r>
            <w:r>
              <w:rPr>
                <w:rFonts w:ascii="Arial Narrow" w:hAnsi="Arial Narrow"/>
                <w:sz w:val="20"/>
              </w:rPr>
              <w:t xml:space="preserve"> </w:t>
            </w:r>
            <w:r w:rsidRPr="00C879E8">
              <w:rPr>
                <w:rFonts w:ascii="Arial Narrow" w:hAnsi="Arial Narrow"/>
                <w:sz w:val="20"/>
              </w:rPr>
              <w:t xml:space="preserve">metastatic </w:t>
            </w:r>
            <w:r w:rsidRPr="00D6449D">
              <w:rPr>
                <w:rFonts w:ascii="Arial Narrow" w:hAnsi="Arial Narrow"/>
                <w:strike/>
                <w:sz w:val="20"/>
              </w:rPr>
              <w:t>or recurrent</w:t>
            </w:r>
            <w:r w:rsidRPr="00C879E8">
              <w:rPr>
                <w:rFonts w:ascii="Arial Narrow" w:hAnsi="Arial Narrow"/>
                <w:sz w:val="20"/>
              </w:rPr>
              <w:t xml:space="preserve"> non-small cell lung cancer </w:t>
            </w:r>
            <w:r w:rsidRPr="00F20EA4">
              <w:rPr>
                <w:rFonts w:ascii="Arial Narrow" w:hAnsi="Arial Narrow"/>
                <w:strike/>
                <w:sz w:val="20"/>
              </w:rPr>
              <w:t>(NSCLC) of adenocarcinoma tumour histology</w:t>
            </w:r>
          </w:p>
        </w:tc>
      </w:tr>
      <w:tr w:rsidR="007376F5"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Treatment phase:</w:t>
            </w:r>
          </w:p>
          <w:p w:rsidR="007376F5" w:rsidRPr="00C879E8" w:rsidRDefault="007376F5" w:rsidP="0053329E">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Continuing treatment</w:t>
            </w:r>
          </w:p>
        </w:tc>
      </w:tr>
      <w:tr w:rsidR="007376F5"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jc w:val="left"/>
              <w:rPr>
                <w:rFonts w:ascii="Arial Narrow" w:hAnsi="Arial Narrow"/>
                <w:b/>
                <w:sz w:val="20"/>
              </w:rPr>
            </w:pPr>
            <w:r w:rsidRPr="00C879E8">
              <w:rPr>
                <w:rFonts w:ascii="Arial Narrow" w:hAnsi="Arial Narrow"/>
                <w:b/>
                <w:sz w:val="20"/>
              </w:rPr>
              <w:t>Restriction Level / Method:</w:t>
            </w:r>
          </w:p>
          <w:p w:rsidR="007376F5" w:rsidRPr="00C879E8" w:rsidRDefault="007376F5" w:rsidP="0053329E">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Authority Required - In Writing</w:t>
            </w:r>
          </w:p>
          <w:p w:rsidR="007376F5" w:rsidRPr="00C879E8" w:rsidRDefault="007376F5" w:rsidP="0053329E">
            <w:pPr>
              <w:rPr>
                <w:rFonts w:ascii="Arial Narrow" w:hAnsi="Arial Narrow"/>
                <w:sz w:val="20"/>
              </w:rPr>
            </w:pPr>
            <w:r w:rsidRPr="00C879E8">
              <w:rPr>
                <w:rFonts w:ascii="Arial Narrow" w:hAnsi="Arial Narrow"/>
                <w:sz w:val="20"/>
              </w:rPr>
              <w:t>Authority Required - Telephone</w:t>
            </w:r>
          </w:p>
          <w:p w:rsidR="007376F5" w:rsidRPr="00C879E8" w:rsidRDefault="007376F5" w:rsidP="0053329E">
            <w:pPr>
              <w:rPr>
                <w:rFonts w:ascii="Arial Narrow" w:hAnsi="Arial Narrow"/>
                <w:sz w:val="20"/>
              </w:rPr>
            </w:pPr>
            <w:r w:rsidRPr="00C879E8">
              <w:rPr>
                <w:rFonts w:ascii="Arial Narrow" w:hAnsi="Arial Narrow"/>
                <w:sz w:val="20"/>
              </w:rPr>
              <w:t>Authority Required – Emergency</w:t>
            </w:r>
          </w:p>
          <w:p w:rsidR="007376F5" w:rsidRPr="00C879E8" w:rsidRDefault="007376F5" w:rsidP="0053329E">
            <w:pPr>
              <w:rPr>
                <w:rFonts w:ascii="Arial Narrow" w:hAnsi="Arial Narrow"/>
                <w:sz w:val="20"/>
              </w:rPr>
            </w:pPr>
            <w:r w:rsidRPr="00C879E8">
              <w:rPr>
                <w:rFonts w:ascii="Arial Narrow" w:hAnsi="Arial Narrow"/>
                <w:sz w:val="20"/>
              </w:rPr>
              <w:t>Authority Required - Electronic</w:t>
            </w:r>
          </w:p>
        </w:tc>
      </w:tr>
      <w:tr w:rsidR="007376F5"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Clinical criteria:</w:t>
            </w:r>
          </w:p>
          <w:p w:rsidR="007376F5" w:rsidRPr="00C879E8" w:rsidRDefault="007376F5" w:rsidP="0053329E">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sz w:val="20"/>
              </w:rPr>
            </w:pPr>
            <w:r w:rsidRPr="00C879E8">
              <w:rPr>
                <w:rFonts w:ascii="Arial Narrow" w:hAnsi="Arial Narrow"/>
                <w:sz w:val="20"/>
              </w:rPr>
              <w:t>Patient must have previously been issued with an authority prescription for this drug</w:t>
            </w:r>
          </w:p>
          <w:p w:rsidR="007376F5" w:rsidRPr="00C879E8" w:rsidRDefault="007376F5" w:rsidP="0053329E">
            <w:pPr>
              <w:rPr>
                <w:rFonts w:ascii="Arial Narrow" w:hAnsi="Arial Narrow"/>
                <w:sz w:val="20"/>
              </w:rPr>
            </w:pPr>
          </w:p>
          <w:p w:rsidR="007376F5" w:rsidRPr="00C879E8" w:rsidRDefault="007376F5" w:rsidP="0053329E">
            <w:pPr>
              <w:rPr>
                <w:rFonts w:ascii="Arial Narrow" w:hAnsi="Arial Narrow"/>
                <w:sz w:val="20"/>
              </w:rPr>
            </w:pPr>
            <w:r w:rsidRPr="00C879E8">
              <w:rPr>
                <w:rFonts w:ascii="Arial Narrow" w:hAnsi="Arial Narrow"/>
                <w:sz w:val="20"/>
              </w:rPr>
              <w:t>AND</w:t>
            </w:r>
          </w:p>
          <w:p w:rsidR="007376F5" w:rsidRPr="00C879E8" w:rsidRDefault="007376F5" w:rsidP="0053329E">
            <w:pPr>
              <w:rPr>
                <w:rFonts w:ascii="Arial Narrow" w:hAnsi="Arial Narrow"/>
                <w:sz w:val="20"/>
              </w:rPr>
            </w:pPr>
          </w:p>
          <w:p w:rsidR="007376F5" w:rsidRPr="00C879E8" w:rsidRDefault="007376F5" w:rsidP="0053329E">
            <w:pPr>
              <w:rPr>
                <w:rFonts w:ascii="Arial Narrow" w:hAnsi="Arial Narrow"/>
                <w:sz w:val="20"/>
              </w:rPr>
            </w:pPr>
            <w:r w:rsidRPr="00C879E8">
              <w:rPr>
                <w:rFonts w:ascii="Arial Narrow" w:hAnsi="Arial Narrow"/>
                <w:sz w:val="20"/>
              </w:rPr>
              <w:t>Patient must not have progressive disease</w:t>
            </w:r>
          </w:p>
        </w:tc>
      </w:tr>
      <w:tr w:rsidR="007376F5" w:rsidRPr="00C879E8" w:rsidTr="0053329E">
        <w:trPr>
          <w:cantSplit/>
          <w:trHeight w:val="360"/>
        </w:trPr>
        <w:tc>
          <w:tcPr>
            <w:tcW w:w="2126"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b/>
                <w:sz w:val="20"/>
              </w:rPr>
            </w:pPr>
            <w:r w:rsidRPr="00C879E8">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7376F5" w:rsidRPr="00C879E8" w:rsidRDefault="007376F5" w:rsidP="0053329E">
            <w:pPr>
              <w:rPr>
                <w:rFonts w:ascii="Arial Narrow" w:hAnsi="Arial Narrow"/>
                <w:i/>
                <w:color w:val="FF0000"/>
                <w:sz w:val="20"/>
              </w:rPr>
            </w:pPr>
            <w:r w:rsidRPr="00582650">
              <w:rPr>
                <w:rFonts w:ascii="Arial Narrow" w:hAnsi="Arial Narrow"/>
                <w:i/>
                <w:sz w:val="20"/>
              </w:rPr>
              <w:t>Special Pricing Arrangements apply.</w:t>
            </w:r>
          </w:p>
        </w:tc>
      </w:tr>
    </w:tbl>
    <w:p w:rsidR="007376F5" w:rsidRPr="005D2420" w:rsidRDefault="007376F5" w:rsidP="005D2420">
      <w:pPr>
        <w:widowControl/>
        <w:rPr>
          <w:i/>
          <w:szCs w:val="22"/>
        </w:rPr>
      </w:pPr>
    </w:p>
    <w:p w:rsidR="00131B29" w:rsidRPr="000E2641" w:rsidRDefault="00131B29" w:rsidP="00EA0FDF">
      <w:pPr>
        <w:pStyle w:val="ListParagraph"/>
        <w:widowControl/>
        <w:numPr>
          <w:ilvl w:val="1"/>
          <w:numId w:val="4"/>
        </w:numPr>
        <w:rPr>
          <w:szCs w:val="22"/>
        </w:rPr>
      </w:pPr>
      <w:r w:rsidRPr="000E2641">
        <w:rPr>
          <w:szCs w:val="22"/>
        </w:rPr>
        <w:t>The Pre-Sub-Committee Response (PSCR)</w:t>
      </w:r>
      <w:r w:rsidR="000B3FF8">
        <w:rPr>
          <w:szCs w:val="22"/>
        </w:rPr>
        <w:t xml:space="preserve"> </w:t>
      </w:r>
      <w:r w:rsidRPr="000E2641">
        <w:rPr>
          <w:szCs w:val="22"/>
        </w:rPr>
        <w:t>accepted the suggested revisions to the restriction for PBAC consideration.</w:t>
      </w:r>
    </w:p>
    <w:p w:rsidR="00131B29" w:rsidRDefault="00131B29" w:rsidP="00131B29">
      <w:pPr>
        <w:pStyle w:val="ListParagraph"/>
        <w:widowControl/>
        <w:rPr>
          <w:szCs w:val="22"/>
        </w:rPr>
      </w:pPr>
    </w:p>
    <w:p w:rsidR="002C2775" w:rsidRDefault="001F3A8A" w:rsidP="00EA0FDF">
      <w:pPr>
        <w:pStyle w:val="ListParagraph"/>
        <w:widowControl/>
        <w:numPr>
          <w:ilvl w:val="1"/>
          <w:numId w:val="4"/>
        </w:numPr>
        <w:rPr>
          <w:szCs w:val="22"/>
        </w:rPr>
      </w:pPr>
      <w:r w:rsidRPr="001F3A8A">
        <w:rPr>
          <w:szCs w:val="22"/>
        </w:rPr>
        <w:t xml:space="preserve">The </w:t>
      </w:r>
      <w:r w:rsidR="00F35943">
        <w:rPr>
          <w:szCs w:val="22"/>
        </w:rPr>
        <w:t>submission sought listing on the basis of</w:t>
      </w:r>
      <w:r w:rsidRPr="001F3A8A">
        <w:rPr>
          <w:szCs w:val="22"/>
        </w:rPr>
        <w:t xml:space="preserve"> </w:t>
      </w:r>
      <w:r w:rsidR="00F35943">
        <w:rPr>
          <w:szCs w:val="22"/>
        </w:rPr>
        <w:t>a cost-utility analysis</w:t>
      </w:r>
      <w:r w:rsidRPr="001F3A8A">
        <w:rPr>
          <w:szCs w:val="22"/>
        </w:rPr>
        <w:t xml:space="preserve"> </w:t>
      </w:r>
      <w:r w:rsidR="00F35943">
        <w:rPr>
          <w:szCs w:val="22"/>
        </w:rPr>
        <w:t xml:space="preserve">comparing nintedanib and docetaxel combination therapy to </w:t>
      </w:r>
      <w:r w:rsidRPr="001F3A8A">
        <w:rPr>
          <w:szCs w:val="22"/>
        </w:rPr>
        <w:t>a weighted comparator</w:t>
      </w:r>
      <w:r w:rsidR="00164088">
        <w:rPr>
          <w:szCs w:val="22"/>
        </w:rPr>
        <w:t xml:space="preserve"> (87% pemetrexed and 13% docetaxel monotherapy)</w:t>
      </w:r>
      <w:r w:rsidRPr="001F3A8A">
        <w:rPr>
          <w:szCs w:val="22"/>
        </w:rPr>
        <w:t>.</w:t>
      </w:r>
    </w:p>
    <w:p w:rsidR="00F35943" w:rsidRDefault="00F35943" w:rsidP="00F35943">
      <w:pPr>
        <w:pStyle w:val="ListParagraph"/>
        <w:widowControl/>
        <w:rPr>
          <w:szCs w:val="22"/>
        </w:rPr>
      </w:pPr>
    </w:p>
    <w:p w:rsidR="00F35943" w:rsidRDefault="00F35943" w:rsidP="00EA0FDF">
      <w:pPr>
        <w:pStyle w:val="ListParagraph"/>
        <w:widowControl/>
        <w:numPr>
          <w:ilvl w:val="1"/>
          <w:numId w:val="4"/>
        </w:numPr>
        <w:rPr>
          <w:szCs w:val="22"/>
        </w:rPr>
      </w:pPr>
      <w:r>
        <w:rPr>
          <w:szCs w:val="22"/>
        </w:rPr>
        <w:t xml:space="preserve">The submission proposed an effective price of </w:t>
      </w:r>
      <w:r w:rsidR="00D26982">
        <w:rPr>
          <w:szCs w:val="22"/>
        </w:rPr>
        <w:t>$</w:t>
      </w:r>
      <w:r w:rsidR="00B3432C">
        <w:rPr>
          <w:noProof/>
          <w:color w:val="000000"/>
          <w:szCs w:val="22"/>
          <w:highlight w:val="black"/>
        </w:rPr>
        <w:t>''''''''''''''''''''</w:t>
      </w:r>
      <w:r w:rsidR="00D26982">
        <w:rPr>
          <w:szCs w:val="22"/>
        </w:rPr>
        <w:t xml:space="preserve"> for both 100mg x 60 capsules and 150mg x 60 capsules dosages of nintedanib for the NSCLC listing. </w:t>
      </w:r>
      <w:r w:rsidR="00D26982" w:rsidRPr="000B2D90">
        <w:rPr>
          <w:szCs w:val="22"/>
        </w:rPr>
        <w:t xml:space="preserve">While this effective price </w:t>
      </w:r>
      <w:r w:rsidR="00D26982">
        <w:rPr>
          <w:szCs w:val="22"/>
        </w:rPr>
        <w:t>was</w:t>
      </w:r>
      <w:r w:rsidR="00D26982" w:rsidRPr="000B2D90">
        <w:rPr>
          <w:szCs w:val="22"/>
        </w:rPr>
        <w:t xml:space="preserve"> applied in the economic evaluation and the financial estimates, a special pricing arrangement (SPA) </w:t>
      </w:r>
      <w:r w:rsidR="00D26982">
        <w:rPr>
          <w:szCs w:val="22"/>
        </w:rPr>
        <w:t>was</w:t>
      </w:r>
      <w:r w:rsidR="00D26982" w:rsidRPr="000B2D90">
        <w:rPr>
          <w:szCs w:val="22"/>
        </w:rPr>
        <w:t xml:space="preserve"> also requested across the </w:t>
      </w:r>
      <w:r w:rsidR="00786B3B">
        <w:rPr>
          <w:szCs w:val="22"/>
        </w:rPr>
        <w:t>idiopathic pulmonary fibrosis (</w:t>
      </w:r>
      <w:r w:rsidR="00D26982" w:rsidRPr="000B2D90">
        <w:rPr>
          <w:szCs w:val="22"/>
        </w:rPr>
        <w:t>IPF</w:t>
      </w:r>
      <w:r w:rsidR="00786B3B">
        <w:rPr>
          <w:szCs w:val="22"/>
        </w:rPr>
        <w:t>)</w:t>
      </w:r>
      <w:r w:rsidR="00D26982" w:rsidRPr="000B2D90">
        <w:rPr>
          <w:szCs w:val="22"/>
        </w:rPr>
        <w:t xml:space="preserve"> and </w:t>
      </w:r>
      <w:r w:rsidR="00786B3B">
        <w:rPr>
          <w:szCs w:val="22"/>
        </w:rPr>
        <w:t>NSCLC</w:t>
      </w:r>
      <w:r w:rsidR="00D26982" w:rsidRPr="000B2D90">
        <w:rPr>
          <w:szCs w:val="22"/>
        </w:rPr>
        <w:t xml:space="preserve"> indications as </w:t>
      </w:r>
      <w:r w:rsidR="00D26982">
        <w:rPr>
          <w:szCs w:val="22"/>
        </w:rPr>
        <w:t xml:space="preserve">summarised in the </w:t>
      </w:r>
      <w:r w:rsidR="00292583">
        <w:rPr>
          <w:szCs w:val="22"/>
        </w:rPr>
        <w:t xml:space="preserve">following </w:t>
      </w:r>
      <w:r w:rsidR="00D26982">
        <w:rPr>
          <w:szCs w:val="22"/>
        </w:rPr>
        <w:t xml:space="preserve">table. </w:t>
      </w:r>
    </w:p>
    <w:p w:rsidR="00D26982" w:rsidRPr="00D26982" w:rsidRDefault="00D26982" w:rsidP="00D26982">
      <w:pPr>
        <w:pStyle w:val="ListParagraph"/>
        <w:rPr>
          <w:szCs w:val="22"/>
        </w:rPr>
      </w:pPr>
    </w:p>
    <w:p w:rsidR="00D26982" w:rsidRPr="00D26982" w:rsidRDefault="00D26982" w:rsidP="00021B1E">
      <w:pPr>
        <w:pStyle w:val="ListParagraph"/>
        <w:keepNext/>
        <w:widowControl/>
        <w:rPr>
          <w:rStyle w:val="CommentReference"/>
        </w:rPr>
      </w:pPr>
      <w:r>
        <w:rPr>
          <w:rFonts w:ascii="Arial Narrow" w:hAnsi="Arial Narrow"/>
          <w:b/>
          <w:sz w:val="20"/>
        </w:rPr>
        <w:lastRenderedPageBreak/>
        <w:t>Special pricing arrangement</w:t>
      </w:r>
      <w:r w:rsidRPr="00E6717C">
        <w:rPr>
          <w:rFonts w:ascii="Arial Narrow" w:hAnsi="Arial Narrow"/>
          <w:b/>
          <w:sz w:val="20"/>
        </w:rPr>
        <w:t xml:space="preserve"> for nintedanib</w:t>
      </w:r>
    </w:p>
    <w:tbl>
      <w:tblPr>
        <w:tblStyle w:val="TableGrid"/>
        <w:tblW w:w="4560" w:type="pct"/>
        <w:tblInd w:w="704" w:type="dxa"/>
        <w:tblCellMar>
          <w:left w:w="28" w:type="dxa"/>
          <w:right w:w="28" w:type="dxa"/>
        </w:tblCellMar>
        <w:tblLook w:val="04A0" w:firstRow="1" w:lastRow="0" w:firstColumn="1" w:lastColumn="0" w:noHBand="0" w:noVBand="1"/>
        <w:tblCaption w:val="Special pricing arrangement for nintedanib"/>
        <w:tblDescription w:val="The redacted table shows the requested special pricing arrangment for nintedanib."/>
      </w:tblPr>
      <w:tblGrid>
        <w:gridCol w:w="617"/>
        <w:gridCol w:w="1827"/>
        <w:gridCol w:w="1141"/>
        <w:gridCol w:w="1309"/>
        <w:gridCol w:w="3389"/>
      </w:tblGrid>
      <w:tr w:rsidR="00F35943" w:rsidRPr="00E6717C" w:rsidTr="00FB52A4">
        <w:trPr>
          <w:trHeight w:val="70"/>
          <w:tblHeader/>
        </w:trPr>
        <w:tc>
          <w:tcPr>
            <w:tcW w:w="1475" w:type="pct"/>
            <w:gridSpan w:val="2"/>
            <w:vAlign w:val="center"/>
          </w:tcPr>
          <w:p w:rsidR="00F35943" w:rsidRPr="00E6717C" w:rsidRDefault="00F35943" w:rsidP="00021B1E">
            <w:pPr>
              <w:keepNext/>
              <w:jc w:val="left"/>
              <w:rPr>
                <w:rFonts w:ascii="Arial Narrow" w:hAnsi="Arial Narrow"/>
                <w:b/>
                <w:sz w:val="20"/>
              </w:rPr>
            </w:pPr>
            <w:bookmarkStart w:id="2" w:name="_GoBack"/>
            <w:r>
              <w:rPr>
                <w:rFonts w:ascii="Arial Narrow" w:hAnsi="Arial Narrow"/>
                <w:b/>
                <w:sz w:val="20"/>
              </w:rPr>
              <w:t>Nintedanib</w:t>
            </w:r>
          </w:p>
        </w:tc>
        <w:tc>
          <w:tcPr>
            <w:tcW w:w="689" w:type="pct"/>
            <w:vAlign w:val="center"/>
          </w:tcPr>
          <w:p w:rsidR="00F35943" w:rsidRPr="00E6717C" w:rsidRDefault="00F35943" w:rsidP="00021B1E">
            <w:pPr>
              <w:keepNext/>
              <w:jc w:val="center"/>
              <w:rPr>
                <w:rFonts w:ascii="Arial Narrow" w:hAnsi="Arial Narrow"/>
                <w:b/>
                <w:sz w:val="20"/>
              </w:rPr>
            </w:pPr>
            <w:r>
              <w:rPr>
                <w:rFonts w:ascii="Arial Narrow" w:hAnsi="Arial Narrow"/>
                <w:b/>
                <w:sz w:val="20"/>
              </w:rPr>
              <w:t xml:space="preserve">Public </w:t>
            </w:r>
            <w:r w:rsidRPr="00E6717C">
              <w:rPr>
                <w:rFonts w:ascii="Arial Narrow" w:hAnsi="Arial Narrow"/>
                <w:b/>
                <w:sz w:val="20"/>
              </w:rPr>
              <w:t>DPMQ</w:t>
            </w:r>
            <w:r>
              <w:rPr>
                <w:rFonts w:ascii="Arial Narrow" w:hAnsi="Arial Narrow"/>
                <w:b/>
                <w:sz w:val="20"/>
              </w:rPr>
              <w:t>^</w:t>
            </w:r>
          </w:p>
        </w:tc>
        <w:tc>
          <w:tcPr>
            <w:tcW w:w="790" w:type="pct"/>
            <w:vAlign w:val="center"/>
          </w:tcPr>
          <w:p w:rsidR="00F35943" w:rsidRPr="00E6717C" w:rsidRDefault="00F35943" w:rsidP="00021B1E">
            <w:pPr>
              <w:keepNext/>
              <w:jc w:val="center"/>
              <w:rPr>
                <w:rFonts w:ascii="Arial Narrow" w:hAnsi="Arial Narrow"/>
                <w:b/>
                <w:sz w:val="20"/>
              </w:rPr>
            </w:pPr>
            <w:r>
              <w:rPr>
                <w:rFonts w:ascii="Arial Narrow" w:hAnsi="Arial Narrow"/>
                <w:b/>
                <w:sz w:val="20"/>
              </w:rPr>
              <w:t>Effective price*</w:t>
            </w:r>
          </w:p>
        </w:tc>
        <w:tc>
          <w:tcPr>
            <w:tcW w:w="2046" w:type="pct"/>
            <w:vAlign w:val="center"/>
          </w:tcPr>
          <w:p w:rsidR="00F35943" w:rsidRDefault="00F35943" w:rsidP="00021B1E">
            <w:pPr>
              <w:keepNext/>
              <w:jc w:val="center"/>
              <w:rPr>
                <w:rFonts w:ascii="Arial Narrow" w:hAnsi="Arial Narrow"/>
                <w:b/>
                <w:sz w:val="20"/>
              </w:rPr>
            </w:pPr>
            <w:r>
              <w:rPr>
                <w:rFonts w:ascii="Arial Narrow" w:hAnsi="Arial Narrow"/>
                <w:b/>
                <w:sz w:val="20"/>
              </w:rPr>
              <w:t>S</w:t>
            </w:r>
            <w:r w:rsidR="006F0E49">
              <w:rPr>
                <w:rFonts w:ascii="Arial Narrow" w:hAnsi="Arial Narrow"/>
                <w:b/>
                <w:sz w:val="20"/>
              </w:rPr>
              <w:t>PA</w:t>
            </w:r>
            <w:r>
              <w:rPr>
                <w:rFonts w:ascii="Arial Narrow" w:hAnsi="Arial Narrow"/>
                <w:b/>
                <w:sz w:val="20"/>
              </w:rPr>
              <w:t>: IPF and NSCLC</w:t>
            </w:r>
          </w:p>
        </w:tc>
      </w:tr>
      <w:tr w:rsidR="00F35943" w:rsidRPr="002B46E1" w:rsidTr="006F0E49">
        <w:tc>
          <w:tcPr>
            <w:tcW w:w="372" w:type="pct"/>
            <w:vMerge w:val="restart"/>
            <w:vAlign w:val="center"/>
          </w:tcPr>
          <w:p w:rsidR="00F35943" w:rsidRPr="002B46E1" w:rsidRDefault="00F35943" w:rsidP="00021B1E">
            <w:pPr>
              <w:keepNext/>
              <w:jc w:val="left"/>
              <w:rPr>
                <w:rFonts w:ascii="Arial Narrow" w:hAnsi="Arial Narrow"/>
                <w:sz w:val="20"/>
              </w:rPr>
            </w:pPr>
            <w:r w:rsidRPr="002B46E1">
              <w:rPr>
                <w:rFonts w:ascii="Arial Narrow" w:hAnsi="Arial Narrow"/>
                <w:sz w:val="20"/>
              </w:rPr>
              <w:t>NSCLC</w:t>
            </w:r>
          </w:p>
        </w:tc>
        <w:tc>
          <w:tcPr>
            <w:tcW w:w="1103" w:type="pct"/>
            <w:vAlign w:val="center"/>
          </w:tcPr>
          <w:p w:rsidR="00F35943" w:rsidRPr="002B46E1" w:rsidRDefault="00F35943" w:rsidP="00021B1E">
            <w:pPr>
              <w:keepNext/>
              <w:jc w:val="left"/>
              <w:rPr>
                <w:rFonts w:ascii="Arial Narrow" w:hAnsi="Arial Narrow"/>
                <w:sz w:val="20"/>
              </w:rPr>
            </w:pPr>
            <w:r w:rsidRPr="002B46E1">
              <w:rPr>
                <w:rFonts w:ascii="Arial Narrow" w:hAnsi="Arial Narrow"/>
                <w:sz w:val="20"/>
              </w:rPr>
              <w:t>100mg, 60 capsules x 2</w:t>
            </w:r>
          </w:p>
        </w:tc>
        <w:tc>
          <w:tcPr>
            <w:tcW w:w="689" w:type="pct"/>
            <w:vAlign w:val="center"/>
          </w:tcPr>
          <w:p w:rsidR="00F35943" w:rsidRPr="002B46E1" w:rsidRDefault="00F35943" w:rsidP="00021B1E">
            <w:pPr>
              <w:keepNext/>
              <w:jc w:val="right"/>
              <w:rPr>
                <w:rFonts w:ascii="Arial Narrow" w:hAnsi="Arial Narrow"/>
                <w:sz w:val="20"/>
              </w:rPr>
            </w:pPr>
            <w:r w:rsidRPr="002B46E1">
              <w:rPr>
                <w:rFonts w:ascii="Arial Narrow" w:hAnsi="Arial Narrow"/>
                <w:sz w:val="20"/>
              </w:rPr>
              <w:t>$</w:t>
            </w:r>
            <w:r w:rsidR="00B3432C">
              <w:rPr>
                <w:rFonts w:ascii="Arial Narrow" w:hAnsi="Arial Narrow"/>
                <w:noProof/>
                <w:color w:val="000000"/>
                <w:sz w:val="20"/>
                <w:highlight w:val="black"/>
              </w:rPr>
              <w:t>'''''''''''''''''</w:t>
            </w:r>
          </w:p>
        </w:tc>
        <w:tc>
          <w:tcPr>
            <w:tcW w:w="790" w:type="pct"/>
            <w:vAlign w:val="center"/>
          </w:tcPr>
          <w:p w:rsidR="00F35943" w:rsidRPr="002B46E1" w:rsidRDefault="00F35943" w:rsidP="00021B1E">
            <w:pPr>
              <w:keepNext/>
              <w:jc w:val="right"/>
              <w:rPr>
                <w:rFonts w:ascii="Arial Narrow" w:hAnsi="Arial Narrow"/>
                <w:sz w:val="20"/>
              </w:rPr>
            </w:pPr>
            <w:r w:rsidRPr="002B46E1">
              <w:rPr>
                <w:rFonts w:ascii="Arial Narrow" w:hAnsi="Arial Narrow"/>
                <w:sz w:val="20"/>
              </w:rPr>
              <w:t>$</w:t>
            </w:r>
            <w:r w:rsidR="00B3432C">
              <w:rPr>
                <w:rFonts w:ascii="Arial Narrow" w:hAnsi="Arial Narrow"/>
                <w:noProof/>
                <w:color w:val="000000"/>
                <w:sz w:val="20"/>
                <w:highlight w:val="black"/>
              </w:rPr>
              <w:t>''''''''''''''''''''</w:t>
            </w:r>
          </w:p>
        </w:tc>
        <w:tc>
          <w:tcPr>
            <w:tcW w:w="2046" w:type="pct"/>
            <w:vMerge w:val="restart"/>
            <w:vAlign w:val="center"/>
          </w:tcPr>
          <w:p w:rsidR="00F35943" w:rsidRPr="002B46E1" w:rsidRDefault="00F35943" w:rsidP="00021B1E">
            <w:pPr>
              <w:keepNext/>
              <w:jc w:val="center"/>
              <w:rPr>
                <w:rFonts w:ascii="Arial Narrow" w:hAnsi="Arial Narrow"/>
                <w:sz w:val="20"/>
              </w:rPr>
            </w:pPr>
            <w:r w:rsidRPr="002B46E1">
              <w:rPr>
                <w:rFonts w:ascii="Arial Narrow" w:hAnsi="Arial Narrow"/>
                <w:sz w:val="20"/>
              </w:rPr>
              <w:t>Effective ex-manufacturer price after SPA rebate*:</w:t>
            </w:r>
          </w:p>
          <w:p w:rsidR="00F35943" w:rsidRPr="002B46E1" w:rsidRDefault="00F35943" w:rsidP="00021B1E">
            <w:pPr>
              <w:keepNext/>
              <w:jc w:val="center"/>
              <w:rPr>
                <w:rFonts w:ascii="Arial Narrow" w:hAnsi="Arial Narrow"/>
                <w:sz w:val="20"/>
              </w:rPr>
            </w:pPr>
            <w:r w:rsidRPr="002B46E1">
              <w:rPr>
                <w:rFonts w:ascii="Arial Narrow" w:hAnsi="Arial Narrow"/>
                <w:sz w:val="20"/>
              </w:rPr>
              <w:t>100mg, 60 capsules: $</w:t>
            </w:r>
            <w:r w:rsidR="00B3432C">
              <w:rPr>
                <w:rFonts w:ascii="Arial Narrow" w:hAnsi="Arial Narrow"/>
                <w:noProof/>
                <w:color w:val="000000"/>
                <w:sz w:val="20"/>
                <w:highlight w:val="black"/>
              </w:rPr>
              <w:t>'''''''''''''''</w:t>
            </w:r>
          </w:p>
          <w:p w:rsidR="00F35943" w:rsidRPr="002B46E1" w:rsidRDefault="00F35943" w:rsidP="00021B1E">
            <w:pPr>
              <w:keepNext/>
              <w:jc w:val="center"/>
              <w:rPr>
                <w:rFonts w:ascii="Arial Narrow" w:hAnsi="Arial Narrow"/>
                <w:sz w:val="20"/>
              </w:rPr>
            </w:pPr>
            <w:r w:rsidRPr="002B46E1">
              <w:rPr>
                <w:rFonts w:ascii="Arial Narrow" w:hAnsi="Arial Narrow"/>
                <w:sz w:val="20"/>
              </w:rPr>
              <w:t>150mg, 60 capsules: $</w:t>
            </w:r>
            <w:r w:rsidR="00B3432C">
              <w:rPr>
                <w:rFonts w:ascii="Arial Narrow" w:hAnsi="Arial Narrow"/>
                <w:noProof/>
                <w:color w:val="000000"/>
                <w:sz w:val="20"/>
                <w:highlight w:val="black"/>
              </w:rPr>
              <w:t>'''''''''''''''''''</w:t>
            </w:r>
          </w:p>
        </w:tc>
      </w:tr>
      <w:tr w:rsidR="00F35943" w:rsidRPr="002B46E1" w:rsidTr="006F0E49">
        <w:tc>
          <w:tcPr>
            <w:tcW w:w="372" w:type="pct"/>
            <w:vMerge/>
            <w:vAlign w:val="center"/>
          </w:tcPr>
          <w:p w:rsidR="00F35943" w:rsidRPr="002B46E1" w:rsidRDefault="00F35943" w:rsidP="00021B1E">
            <w:pPr>
              <w:keepNext/>
              <w:jc w:val="left"/>
              <w:rPr>
                <w:rFonts w:ascii="Arial Narrow" w:hAnsi="Arial Narrow"/>
                <w:sz w:val="20"/>
              </w:rPr>
            </w:pPr>
          </w:p>
        </w:tc>
        <w:tc>
          <w:tcPr>
            <w:tcW w:w="1103" w:type="pct"/>
            <w:vAlign w:val="center"/>
          </w:tcPr>
          <w:p w:rsidR="00F35943" w:rsidRPr="002B46E1" w:rsidRDefault="00F35943" w:rsidP="00021B1E">
            <w:pPr>
              <w:keepNext/>
              <w:jc w:val="left"/>
              <w:rPr>
                <w:rFonts w:ascii="Arial Narrow" w:hAnsi="Arial Narrow"/>
                <w:sz w:val="20"/>
              </w:rPr>
            </w:pPr>
            <w:r w:rsidRPr="002B46E1">
              <w:rPr>
                <w:rFonts w:ascii="Arial Narrow" w:hAnsi="Arial Narrow"/>
                <w:sz w:val="20"/>
              </w:rPr>
              <w:t>150mg, 60 capsules x 1</w:t>
            </w:r>
          </w:p>
        </w:tc>
        <w:tc>
          <w:tcPr>
            <w:tcW w:w="689" w:type="pct"/>
            <w:vAlign w:val="center"/>
          </w:tcPr>
          <w:p w:rsidR="00F35943" w:rsidRPr="002B46E1" w:rsidRDefault="00F35943" w:rsidP="00021B1E">
            <w:pPr>
              <w:keepNext/>
              <w:jc w:val="right"/>
              <w:rPr>
                <w:rFonts w:ascii="Arial Narrow" w:hAnsi="Arial Narrow"/>
                <w:sz w:val="20"/>
              </w:rPr>
            </w:pPr>
            <w:r w:rsidRPr="002B46E1">
              <w:rPr>
                <w:rFonts w:ascii="Arial Narrow" w:hAnsi="Arial Narrow"/>
                <w:sz w:val="20"/>
              </w:rPr>
              <w:t>$</w:t>
            </w:r>
            <w:r w:rsidR="00B3432C">
              <w:rPr>
                <w:rFonts w:ascii="Arial Narrow" w:hAnsi="Arial Narrow"/>
                <w:noProof/>
                <w:color w:val="000000"/>
                <w:sz w:val="20"/>
                <w:highlight w:val="black"/>
              </w:rPr>
              <w:t>'''''''''''''''''''</w:t>
            </w:r>
          </w:p>
        </w:tc>
        <w:tc>
          <w:tcPr>
            <w:tcW w:w="790" w:type="pct"/>
            <w:vAlign w:val="center"/>
          </w:tcPr>
          <w:p w:rsidR="00F35943" w:rsidRPr="002B46E1" w:rsidRDefault="00F35943" w:rsidP="00021B1E">
            <w:pPr>
              <w:keepNext/>
              <w:jc w:val="right"/>
              <w:rPr>
                <w:rFonts w:ascii="Arial Narrow" w:hAnsi="Arial Narrow"/>
                <w:sz w:val="20"/>
              </w:rPr>
            </w:pPr>
            <w:r w:rsidRPr="002B46E1">
              <w:rPr>
                <w:rFonts w:ascii="Arial Narrow" w:hAnsi="Arial Narrow"/>
                <w:sz w:val="20"/>
              </w:rPr>
              <w:t>$</w:t>
            </w:r>
            <w:r w:rsidR="00B3432C">
              <w:rPr>
                <w:rFonts w:ascii="Arial Narrow" w:hAnsi="Arial Narrow"/>
                <w:noProof/>
                <w:color w:val="000000"/>
                <w:sz w:val="20"/>
                <w:highlight w:val="black"/>
              </w:rPr>
              <w:t>''''''''''''''''''''</w:t>
            </w:r>
          </w:p>
        </w:tc>
        <w:tc>
          <w:tcPr>
            <w:tcW w:w="2046" w:type="pct"/>
            <w:vMerge/>
          </w:tcPr>
          <w:p w:rsidR="00F35943" w:rsidRPr="002B46E1" w:rsidRDefault="00F35943" w:rsidP="00021B1E">
            <w:pPr>
              <w:keepNext/>
              <w:jc w:val="center"/>
              <w:rPr>
                <w:rFonts w:ascii="Arial Narrow" w:hAnsi="Arial Narrow"/>
                <w:sz w:val="20"/>
              </w:rPr>
            </w:pPr>
          </w:p>
        </w:tc>
      </w:tr>
      <w:tr w:rsidR="00F35943" w:rsidRPr="002B46E1" w:rsidTr="006F0E49">
        <w:tc>
          <w:tcPr>
            <w:tcW w:w="372" w:type="pct"/>
            <w:vMerge w:val="restart"/>
            <w:vAlign w:val="center"/>
          </w:tcPr>
          <w:p w:rsidR="00F35943" w:rsidRPr="002B46E1" w:rsidRDefault="00F35943" w:rsidP="00021B1E">
            <w:pPr>
              <w:keepNext/>
              <w:jc w:val="left"/>
              <w:rPr>
                <w:rFonts w:ascii="Arial Narrow" w:hAnsi="Arial Narrow"/>
                <w:sz w:val="20"/>
              </w:rPr>
            </w:pPr>
            <w:r w:rsidRPr="002B46E1">
              <w:rPr>
                <w:rFonts w:ascii="Arial Narrow" w:hAnsi="Arial Narrow"/>
                <w:sz w:val="20"/>
              </w:rPr>
              <w:t>IPF</w:t>
            </w:r>
          </w:p>
        </w:tc>
        <w:tc>
          <w:tcPr>
            <w:tcW w:w="1103" w:type="pct"/>
            <w:vAlign w:val="center"/>
          </w:tcPr>
          <w:p w:rsidR="00F35943" w:rsidRPr="002B46E1" w:rsidRDefault="00F35943" w:rsidP="00021B1E">
            <w:pPr>
              <w:keepNext/>
              <w:jc w:val="left"/>
              <w:rPr>
                <w:rFonts w:ascii="Arial Narrow" w:hAnsi="Arial Narrow"/>
                <w:sz w:val="20"/>
              </w:rPr>
            </w:pPr>
            <w:r w:rsidRPr="002B46E1">
              <w:rPr>
                <w:rFonts w:ascii="Arial Narrow" w:hAnsi="Arial Narrow"/>
                <w:sz w:val="20"/>
              </w:rPr>
              <w:t>100mg, 60 capsules x 1</w:t>
            </w:r>
          </w:p>
        </w:tc>
        <w:tc>
          <w:tcPr>
            <w:tcW w:w="689" w:type="pct"/>
            <w:vAlign w:val="center"/>
          </w:tcPr>
          <w:p w:rsidR="00F35943" w:rsidRPr="002B46E1" w:rsidRDefault="00F35943" w:rsidP="00021B1E">
            <w:pPr>
              <w:keepNext/>
              <w:jc w:val="right"/>
              <w:rPr>
                <w:rFonts w:ascii="Arial Narrow" w:hAnsi="Arial Narrow"/>
                <w:sz w:val="20"/>
              </w:rPr>
            </w:pPr>
            <w:r w:rsidRPr="002B46E1">
              <w:rPr>
                <w:rFonts w:ascii="Arial Narrow" w:hAnsi="Arial Narrow"/>
                <w:sz w:val="20"/>
              </w:rPr>
              <w:t>$</w:t>
            </w:r>
            <w:r w:rsidR="00B3432C">
              <w:rPr>
                <w:rFonts w:ascii="Arial Narrow" w:hAnsi="Arial Narrow"/>
                <w:noProof/>
                <w:color w:val="000000"/>
                <w:sz w:val="20"/>
                <w:highlight w:val="black"/>
              </w:rPr>
              <w:t>''''''''''''''''''''</w:t>
            </w:r>
          </w:p>
        </w:tc>
        <w:tc>
          <w:tcPr>
            <w:tcW w:w="790" w:type="pct"/>
            <w:vAlign w:val="center"/>
          </w:tcPr>
          <w:p w:rsidR="00F35943" w:rsidRPr="002B46E1" w:rsidRDefault="00F35943" w:rsidP="00021B1E">
            <w:pPr>
              <w:keepNext/>
              <w:jc w:val="right"/>
              <w:rPr>
                <w:rFonts w:ascii="Arial Narrow" w:hAnsi="Arial Narrow"/>
                <w:sz w:val="20"/>
              </w:rPr>
            </w:pPr>
            <w:r w:rsidRPr="002B46E1">
              <w:rPr>
                <w:rFonts w:ascii="Arial Narrow" w:hAnsi="Arial Narrow"/>
                <w:sz w:val="20"/>
              </w:rPr>
              <w:t>$</w:t>
            </w:r>
            <w:r w:rsidR="00B3432C">
              <w:rPr>
                <w:rFonts w:ascii="Arial Narrow" w:hAnsi="Arial Narrow"/>
                <w:noProof/>
                <w:color w:val="000000"/>
                <w:sz w:val="20"/>
                <w:highlight w:val="black"/>
              </w:rPr>
              <w:t>''''''''''''''''</w:t>
            </w:r>
          </w:p>
        </w:tc>
        <w:tc>
          <w:tcPr>
            <w:tcW w:w="2046" w:type="pct"/>
            <w:vMerge/>
          </w:tcPr>
          <w:p w:rsidR="00F35943" w:rsidRPr="002B46E1" w:rsidRDefault="00F35943" w:rsidP="00021B1E">
            <w:pPr>
              <w:keepNext/>
              <w:jc w:val="center"/>
              <w:rPr>
                <w:rFonts w:ascii="Arial Narrow" w:hAnsi="Arial Narrow"/>
                <w:sz w:val="20"/>
              </w:rPr>
            </w:pPr>
          </w:p>
        </w:tc>
      </w:tr>
      <w:tr w:rsidR="00F35943" w:rsidRPr="002B46E1" w:rsidTr="006F0E49">
        <w:tc>
          <w:tcPr>
            <w:tcW w:w="372" w:type="pct"/>
            <w:vMerge/>
            <w:vAlign w:val="center"/>
          </w:tcPr>
          <w:p w:rsidR="00F35943" w:rsidRPr="002B46E1" w:rsidRDefault="00F35943" w:rsidP="00021B1E">
            <w:pPr>
              <w:keepNext/>
              <w:jc w:val="left"/>
              <w:rPr>
                <w:rFonts w:ascii="Arial Narrow" w:hAnsi="Arial Narrow"/>
                <w:sz w:val="20"/>
              </w:rPr>
            </w:pPr>
          </w:p>
        </w:tc>
        <w:tc>
          <w:tcPr>
            <w:tcW w:w="1103" w:type="pct"/>
            <w:vAlign w:val="center"/>
          </w:tcPr>
          <w:p w:rsidR="00F35943" w:rsidRPr="002B46E1" w:rsidRDefault="00F35943" w:rsidP="00021B1E">
            <w:pPr>
              <w:keepNext/>
              <w:jc w:val="left"/>
              <w:rPr>
                <w:rFonts w:ascii="Arial Narrow" w:hAnsi="Arial Narrow"/>
                <w:sz w:val="20"/>
              </w:rPr>
            </w:pPr>
            <w:r w:rsidRPr="002B46E1">
              <w:rPr>
                <w:rFonts w:ascii="Arial Narrow" w:hAnsi="Arial Narrow"/>
                <w:sz w:val="20"/>
              </w:rPr>
              <w:t>150mg, 60 capsules x 1</w:t>
            </w:r>
          </w:p>
        </w:tc>
        <w:tc>
          <w:tcPr>
            <w:tcW w:w="689" w:type="pct"/>
            <w:vAlign w:val="center"/>
          </w:tcPr>
          <w:p w:rsidR="00F35943" w:rsidRPr="002B46E1" w:rsidRDefault="00F35943" w:rsidP="00021B1E">
            <w:pPr>
              <w:keepNext/>
              <w:jc w:val="right"/>
              <w:rPr>
                <w:rFonts w:ascii="Arial Narrow" w:hAnsi="Arial Narrow"/>
                <w:sz w:val="20"/>
              </w:rPr>
            </w:pPr>
            <w:r w:rsidRPr="002B46E1">
              <w:rPr>
                <w:rFonts w:ascii="Arial Narrow" w:hAnsi="Arial Narrow"/>
                <w:sz w:val="20"/>
              </w:rPr>
              <w:t>$</w:t>
            </w:r>
            <w:r w:rsidR="00B3432C">
              <w:rPr>
                <w:rFonts w:ascii="Arial Narrow" w:hAnsi="Arial Narrow"/>
                <w:noProof/>
                <w:color w:val="000000"/>
                <w:sz w:val="20"/>
                <w:highlight w:val="black"/>
              </w:rPr>
              <w:t>''''''''''''''''''''</w:t>
            </w:r>
          </w:p>
        </w:tc>
        <w:tc>
          <w:tcPr>
            <w:tcW w:w="790" w:type="pct"/>
            <w:vAlign w:val="center"/>
          </w:tcPr>
          <w:p w:rsidR="00F35943" w:rsidRPr="002B46E1" w:rsidRDefault="00F35943" w:rsidP="00021B1E">
            <w:pPr>
              <w:keepNext/>
              <w:jc w:val="right"/>
              <w:rPr>
                <w:rFonts w:ascii="Arial Narrow" w:hAnsi="Arial Narrow"/>
                <w:sz w:val="20"/>
              </w:rPr>
            </w:pPr>
            <w:r w:rsidRPr="002B46E1">
              <w:rPr>
                <w:rFonts w:ascii="Arial Narrow" w:hAnsi="Arial Narrow"/>
                <w:sz w:val="20"/>
              </w:rPr>
              <w:t>$</w:t>
            </w:r>
            <w:r w:rsidR="00B3432C">
              <w:rPr>
                <w:rFonts w:ascii="Arial Narrow" w:hAnsi="Arial Narrow"/>
                <w:noProof/>
                <w:color w:val="000000"/>
                <w:sz w:val="20"/>
                <w:highlight w:val="black"/>
              </w:rPr>
              <w:t>'''''''''''''''''</w:t>
            </w:r>
          </w:p>
        </w:tc>
        <w:tc>
          <w:tcPr>
            <w:tcW w:w="2046" w:type="pct"/>
            <w:vMerge/>
          </w:tcPr>
          <w:p w:rsidR="00F35943" w:rsidRPr="002B46E1" w:rsidRDefault="00F35943" w:rsidP="00021B1E">
            <w:pPr>
              <w:keepNext/>
              <w:jc w:val="center"/>
              <w:rPr>
                <w:rFonts w:ascii="Arial Narrow" w:hAnsi="Arial Narrow"/>
                <w:sz w:val="20"/>
              </w:rPr>
            </w:pPr>
          </w:p>
        </w:tc>
      </w:tr>
    </w:tbl>
    <w:bookmarkEnd w:id="2"/>
    <w:p w:rsidR="00F35943" w:rsidRPr="002B46E1" w:rsidRDefault="00F35943" w:rsidP="00021B1E">
      <w:pPr>
        <w:keepNext/>
        <w:ind w:left="709" w:right="95"/>
        <w:rPr>
          <w:rFonts w:ascii="Arial Narrow" w:hAnsi="Arial Narrow"/>
          <w:sz w:val="18"/>
        </w:rPr>
      </w:pPr>
      <w:r w:rsidRPr="002B46E1">
        <w:rPr>
          <w:rFonts w:ascii="Arial Narrow" w:hAnsi="Arial Narrow"/>
          <w:sz w:val="18"/>
        </w:rPr>
        <w:t xml:space="preserve">* </w:t>
      </w:r>
      <w:r w:rsidR="00B3432C">
        <w:rPr>
          <w:rFonts w:ascii="Arial Narrow" w:hAnsi="Arial Narrow"/>
          <w:noProof/>
          <w:color w:val="000000"/>
          <w:sz w:val="18"/>
          <w:highlight w:val="black"/>
        </w:rPr>
        <w:t>'''''''''''''''''''''' '''''''''''''''''''''''''''' ''''''''''''''''''</w:t>
      </w:r>
      <w:r w:rsidRPr="002B46E1">
        <w:rPr>
          <w:rFonts w:ascii="Arial Narrow" w:hAnsi="Arial Narrow"/>
          <w:sz w:val="18"/>
        </w:rPr>
        <w:t xml:space="preserve"> are proposed for the IPF and NSCLC indications.  The IPF submission claims (p221) this corresponds </w:t>
      </w:r>
      <w:r w:rsidR="00B3432C">
        <w:rPr>
          <w:rFonts w:ascii="Arial Narrow" w:hAnsi="Arial Narrow"/>
          <w:noProof/>
          <w:color w:val="000000"/>
          <w:sz w:val="18"/>
          <w:highlight w:val="black"/>
        </w:rPr>
        <w:t>''''' '''''' '''''''''''''''''' ''''''''''''''' '''''</w:t>
      </w:r>
      <w:r w:rsidRPr="002B46E1">
        <w:rPr>
          <w:rFonts w:ascii="Arial Narrow" w:hAnsi="Arial Narrow"/>
          <w:sz w:val="18"/>
        </w:rPr>
        <w:t xml:space="preserve"> $</w:t>
      </w:r>
      <w:r w:rsidR="00B3432C">
        <w:rPr>
          <w:rFonts w:ascii="Arial Narrow" w:hAnsi="Arial Narrow"/>
          <w:noProof/>
          <w:color w:val="000000"/>
          <w:sz w:val="18"/>
          <w:highlight w:val="black"/>
        </w:rPr>
        <w:t>''''''''''''''''''''''</w:t>
      </w:r>
      <w:r w:rsidRPr="002B46E1">
        <w:rPr>
          <w:rFonts w:ascii="Arial Narrow" w:hAnsi="Arial Narrow"/>
          <w:sz w:val="18"/>
        </w:rPr>
        <w:t xml:space="preserve"> for nintedanib 100mg x 60 and $</w:t>
      </w:r>
      <w:r w:rsidR="00B3432C">
        <w:rPr>
          <w:rFonts w:ascii="Arial Narrow" w:hAnsi="Arial Narrow"/>
          <w:noProof/>
          <w:color w:val="000000"/>
          <w:sz w:val="18"/>
          <w:highlight w:val="black"/>
        </w:rPr>
        <w:t>'''''''''''''''''''</w:t>
      </w:r>
      <w:r w:rsidRPr="002B46E1">
        <w:rPr>
          <w:rFonts w:ascii="Arial Narrow" w:hAnsi="Arial Narrow"/>
          <w:sz w:val="18"/>
        </w:rPr>
        <w:t xml:space="preserve"> for nintedanib 150mg x 60.  </w:t>
      </w:r>
    </w:p>
    <w:p w:rsidR="00F35943" w:rsidRPr="002B46E1" w:rsidRDefault="00F35943" w:rsidP="00021B1E">
      <w:pPr>
        <w:keepNext/>
        <w:ind w:left="709" w:right="95"/>
        <w:rPr>
          <w:rFonts w:ascii="Arial Narrow" w:hAnsi="Arial Narrow"/>
          <w:sz w:val="18"/>
        </w:rPr>
      </w:pPr>
      <w:r w:rsidRPr="002B46E1">
        <w:rPr>
          <w:rFonts w:ascii="Arial Narrow" w:hAnsi="Arial Narrow"/>
          <w:sz w:val="18"/>
        </w:rPr>
        <w:t>^ The IPF submission states (p221) that the DPMQ for IPF and NSCLC indications are the same.  This is inconsistent with the public DPMQs presented in the IPF and NSCLC submissions for the 100mg strength: NSCLC: 60 capsules x 2 requested (public DPMQ = $</w:t>
      </w:r>
      <w:r w:rsidR="00B3432C">
        <w:rPr>
          <w:rFonts w:ascii="Arial Narrow" w:hAnsi="Arial Narrow"/>
          <w:noProof/>
          <w:color w:val="000000"/>
          <w:sz w:val="18"/>
          <w:highlight w:val="black"/>
        </w:rPr>
        <w:t>''''''''''''''''''</w:t>
      </w:r>
      <w:r w:rsidRPr="002B46E1">
        <w:rPr>
          <w:rFonts w:ascii="Arial Narrow" w:hAnsi="Arial Narrow"/>
          <w:sz w:val="18"/>
        </w:rPr>
        <w:t>); IPF: 60 capsules x 1 requested (public DPMQ = $</w:t>
      </w:r>
      <w:r w:rsidR="00B3432C">
        <w:rPr>
          <w:rFonts w:ascii="Arial Narrow" w:hAnsi="Arial Narrow"/>
          <w:noProof/>
          <w:color w:val="000000"/>
          <w:sz w:val="18"/>
          <w:highlight w:val="black"/>
        </w:rPr>
        <w:t>'''''''''''''''''''''</w:t>
      </w:r>
      <w:r w:rsidRPr="002B46E1">
        <w:rPr>
          <w:rFonts w:ascii="Arial Narrow" w:hAnsi="Arial Narrow"/>
          <w:sz w:val="18"/>
        </w:rPr>
        <w:t>)</w:t>
      </w:r>
    </w:p>
    <w:p w:rsidR="00F35943" w:rsidRPr="002B46E1" w:rsidRDefault="003245FB" w:rsidP="00021B1E">
      <w:pPr>
        <w:keepNext/>
        <w:ind w:left="709" w:right="95"/>
        <w:rPr>
          <w:rFonts w:ascii="Arial Narrow" w:hAnsi="Arial Narrow"/>
          <w:sz w:val="18"/>
        </w:rPr>
      </w:pPr>
      <w:r w:rsidRPr="002B46E1">
        <w:rPr>
          <w:rFonts w:ascii="Arial Narrow" w:hAnsi="Arial Narrow"/>
          <w:sz w:val="18"/>
        </w:rPr>
        <w:t>IPF=</w:t>
      </w:r>
      <w:r w:rsidR="00F35943" w:rsidRPr="002B46E1">
        <w:rPr>
          <w:rFonts w:ascii="Arial Narrow" w:hAnsi="Arial Narrow"/>
          <w:sz w:val="18"/>
        </w:rPr>
        <w:t>idiop</w:t>
      </w:r>
      <w:r w:rsidRPr="002B46E1">
        <w:rPr>
          <w:rFonts w:ascii="Arial Narrow" w:hAnsi="Arial Narrow"/>
          <w:sz w:val="18"/>
        </w:rPr>
        <w:t>athic pulmonary fibrosis; NSCLC=</w:t>
      </w:r>
      <w:r w:rsidR="00976B91" w:rsidRPr="002B46E1">
        <w:rPr>
          <w:rFonts w:ascii="Arial Narrow" w:hAnsi="Arial Narrow"/>
          <w:sz w:val="18"/>
        </w:rPr>
        <w:t>non-small</w:t>
      </w:r>
      <w:r w:rsidRPr="002B46E1">
        <w:rPr>
          <w:rFonts w:ascii="Arial Narrow" w:hAnsi="Arial Narrow"/>
          <w:sz w:val="18"/>
        </w:rPr>
        <w:t xml:space="preserve"> cell lung cancer; SPA=</w:t>
      </w:r>
      <w:r w:rsidR="00F35943" w:rsidRPr="002B46E1">
        <w:rPr>
          <w:rFonts w:ascii="Arial Narrow" w:hAnsi="Arial Narrow"/>
          <w:sz w:val="18"/>
        </w:rPr>
        <w:t xml:space="preserve">special pricing arrangement.  </w:t>
      </w:r>
    </w:p>
    <w:p w:rsidR="00F35943" w:rsidRPr="002B46E1" w:rsidRDefault="00F35943" w:rsidP="00F35943">
      <w:pPr>
        <w:ind w:left="709" w:right="95"/>
        <w:rPr>
          <w:szCs w:val="22"/>
        </w:rPr>
      </w:pPr>
      <w:r w:rsidRPr="002B46E1">
        <w:rPr>
          <w:rFonts w:ascii="Arial Narrow" w:hAnsi="Arial Narrow"/>
          <w:sz w:val="18"/>
        </w:rPr>
        <w:t>Source: F.2-1, p221 of the IPF submission</w:t>
      </w:r>
    </w:p>
    <w:p w:rsidR="00F97A78" w:rsidRPr="002B46E1" w:rsidRDefault="00F97A78" w:rsidP="00A35D16">
      <w:pPr>
        <w:widowControl/>
        <w:rPr>
          <w:szCs w:val="22"/>
        </w:rPr>
      </w:pPr>
    </w:p>
    <w:p w:rsidR="004E43B2" w:rsidRPr="00D26982" w:rsidRDefault="00D26982" w:rsidP="00EA0FDF">
      <w:pPr>
        <w:pStyle w:val="ListParagraph"/>
        <w:widowControl/>
        <w:numPr>
          <w:ilvl w:val="1"/>
          <w:numId w:val="4"/>
        </w:numPr>
        <w:rPr>
          <w:szCs w:val="22"/>
        </w:rPr>
      </w:pPr>
      <w:r w:rsidRPr="002B46E1">
        <w:rPr>
          <w:szCs w:val="22"/>
        </w:rPr>
        <w:t xml:space="preserve">The submission proposed </w:t>
      </w:r>
      <w:r w:rsidR="00B3432C">
        <w:rPr>
          <w:noProof/>
          <w:color w:val="000000"/>
          <w:szCs w:val="22"/>
          <w:highlight w:val="black"/>
        </w:rPr>
        <w:t>'''''' ''''''''''''''''''' '''''''''''''''</w:t>
      </w:r>
      <w:r w:rsidRPr="002B46E1">
        <w:rPr>
          <w:szCs w:val="22"/>
        </w:rPr>
        <w:t xml:space="preserve"> of $</w:t>
      </w:r>
      <w:r w:rsidR="00B3432C">
        <w:rPr>
          <w:noProof/>
          <w:color w:val="000000"/>
          <w:szCs w:val="22"/>
          <w:highlight w:val="black"/>
        </w:rPr>
        <w:t>'''''''''''''''''''''</w:t>
      </w:r>
      <w:r w:rsidRPr="002B46E1">
        <w:rPr>
          <w:szCs w:val="22"/>
        </w:rPr>
        <w:t xml:space="preserve"> (100mg × 60 capsules) and $</w:t>
      </w:r>
      <w:r w:rsidR="00B3432C">
        <w:rPr>
          <w:noProof/>
          <w:color w:val="000000"/>
          <w:szCs w:val="22"/>
          <w:highlight w:val="black"/>
        </w:rPr>
        <w:t>''''''''''''''''''''''</w:t>
      </w:r>
      <w:r w:rsidRPr="002B46E1">
        <w:rPr>
          <w:szCs w:val="22"/>
        </w:rPr>
        <w:t xml:space="preserve"> (150mg × 60</w:t>
      </w:r>
      <w:r w:rsidRPr="000B2D90">
        <w:rPr>
          <w:szCs w:val="22"/>
        </w:rPr>
        <w:t xml:space="preserve"> capsules) across the IPF and NSCLC listings.</w:t>
      </w:r>
    </w:p>
    <w:p w:rsidR="00D26982" w:rsidRDefault="00D26982" w:rsidP="004B1CB4"/>
    <w:p w:rsidR="002111C6" w:rsidRPr="00882085" w:rsidRDefault="002111C6" w:rsidP="004B1CB4"/>
    <w:p w:rsidR="0084358A" w:rsidRPr="00407F2D" w:rsidRDefault="00B50DB8" w:rsidP="009E39D0">
      <w:pPr>
        <w:pStyle w:val="PBACHeading1"/>
        <w:keepNext/>
      </w:pPr>
      <w:bookmarkStart w:id="3" w:name="_Toc409189297"/>
      <w:r w:rsidRPr="00407F2D">
        <w:t>Background</w:t>
      </w:r>
      <w:bookmarkEnd w:id="3"/>
    </w:p>
    <w:p w:rsidR="00B60939" w:rsidRPr="00882085" w:rsidRDefault="00B60939" w:rsidP="009E39D0">
      <w:pPr>
        <w:keepNext/>
        <w:rPr>
          <w:szCs w:val="22"/>
        </w:rPr>
      </w:pPr>
    </w:p>
    <w:p w:rsidR="0084358A" w:rsidRDefault="00131B29" w:rsidP="00EA0FDF">
      <w:pPr>
        <w:pStyle w:val="ListParagraph"/>
        <w:widowControl/>
        <w:numPr>
          <w:ilvl w:val="1"/>
          <w:numId w:val="4"/>
        </w:numPr>
        <w:rPr>
          <w:szCs w:val="22"/>
        </w:rPr>
      </w:pPr>
      <w:r w:rsidRPr="00882085">
        <w:t xml:space="preserve">The submission was </w:t>
      </w:r>
      <w:r w:rsidR="000F63A3">
        <w:t>lodged</w:t>
      </w:r>
      <w:r w:rsidRPr="00882085">
        <w:t xml:space="preserve"> under TGA/PBAC Parallel Process</w:t>
      </w:r>
      <w:r w:rsidRPr="00596F08">
        <w:t xml:space="preserve"> </w:t>
      </w:r>
      <w:r>
        <w:t>with the Delegate’s consideration expected in July 2015</w:t>
      </w:r>
      <w:r w:rsidRPr="00882085">
        <w:t>.</w:t>
      </w:r>
      <w:r w:rsidR="000B3677">
        <w:t xml:space="preserve"> The Round 1 Clinical Evaluation Report was received on 26 February 2015.</w:t>
      </w:r>
    </w:p>
    <w:p w:rsidR="002905F6" w:rsidRPr="0084358A" w:rsidRDefault="002905F6" w:rsidP="002905F6">
      <w:pPr>
        <w:pStyle w:val="ListParagraph"/>
        <w:widowControl/>
        <w:rPr>
          <w:szCs w:val="22"/>
        </w:rPr>
      </w:pPr>
    </w:p>
    <w:p w:rsidR="00B60939" w:rsidRPr="00D26982" w:rsidRDefault="00D26982" w:rsidP="00EA0FDF">
      <w:pPr>
        <w:pStyle w:val="ListParagraph"/>
        <w:widowControl/>
        <w:numPr>
          <w:ilvl w:val="1"/>
          <w:numId w:val="4"/>
        </w:numPr>
        <w:rPr>
          <w:szCs w:val="22"/>
        </w:rPr>
      </w:pPr>
      <w:r>
        <w:t xml:space="preserve">This </w:t>
      </w:r>
      <w:r w:rsidR="007257AB">
        <w:t>wa</w:t>
      </w:r>
      <w:r w:rsidR="00167AAD">
        <w:t>s</w:t>
      </w:r>
      <w:r>
        <w:t xml:space="preserve"> the first consideration by the PBAC of nint</w:t>
      </w:r>
      <w:r w:rsidR="00167AAD">
        <w:t>edanib for the treatment of NSCLC</w:t>
      </w:r>
      <w:r>
        <w:t>.</w:t>
      </w:r>
    </w:p>
    <w:p w:rsidR="00E55BB5" w:rsidRDefault="00E55BB5" w:rsidP="004B1CB4"/>
    <w:p w:rsidR="002111C6" w:rsidRPr="00882085" w:rsidRDefault="002111C6" w:rsidP="004B1CB4"/>
    <w:p w:rsidR="00B50DB8" w:rsidRPr="00407F2D" w:rsidRDefault="00B50DB8" w:rsidP="00BD6CF3">
      <w:pPr>
        <w:pStyle w:val="PBACHeading1"/>
      </w:pPr>
      <w:bookmarkStart w:id="4" w:name="_Toc409189298"/>
      <w:r w:rsidRPr="00407F2D">
        <w:t>Clinical place for the proposed therapy</w:t>
      </w:r>
      <w:bookmarkEnd w:id="4"/>
    </w:p>
    <w:p w:rsidR="00B60939" w:rsidRPr="00882085" w:rsidRDefault="00B60939" w:rsidP="00B60939">
      <w:pPr>
        <w:rPr>
          <w:szCs w:val="22"/>
        </w:rPr>
      </w:pPr>
    </w:p>
    <w:p w:rsidR="00B60939" w:rsidRPr="00BC3D4C" w:rsidRDefault="00BC3D4C" w:rsidP="00EA0FDF">
      <w:pPr>
        <w:pStyle w:val="ListParagraph"/>
        <w:widowControl/>
        <w:numPr>
          <w:ilvl w:val="1"/>
          <w:numId w:val="4"/>
        </w:numPr>
        <w:rPr>
          <w:szCs w:val="22"/>
        </w:rPr>
      </w:pPr>
      <w:r w:rsidRPr="00BC3D4C">
        <w:t>NSCLC</w:t>
      </w:r>
      <w:r w:rsidR="009D2CFA" w:rsidRPr="00BC3D4C">
        <w:t xml:space="preserve"> </w:t>
      </w:r>
      <w:r w:rsidR="001B02A9">
        <w:t>is a fatal lung disease consisting</w:t>
      </w:r>
      <w:r w:rsidR="009D2CFA" w:rsidRPr="00BC3D4C">
        <w:t xml:space="preserve"> of </w:t>
      </w:r>
      <w:r w:rsidRPr="00BC3D4C">
        <w:t>heterogeneous</w:t>
      </w:r>
      <w:r w:rsidR="009D2CFA" w:rsidRPr="00BC3D4C">
        <w:t xml:space="preserve">, malignant tumours </w:t>
      </w:r>
      <w:r w:rsidRPr="00BC3D4C">
        <w:t>that generally affect cells lining the bronchi and other airways. Adenocarcinoma NSCLC develops in the mucus developing cells of the bronchioles and alveoli. Adenocarcinoma is the most common type of lung cancer in non-smokers, but smoking is also a leading cause of this type of lung cancer.</w:t>
      </w:r>
      <w:r w:rsidR="001B02A9">
        <w:t xml:space="preserve"> Patients of the adenocarcinoma type who have previously failed first line chemotherapy, and are not selected for EGFR or ALK mutations are currently treated with pemetrexed or docetaxel.</w:t>
      </w:r>
    </w:p>
    <w:p w:rsidR="00894489" w:rsidRPr="00BC3D4C" w:rsidRDefault="00894489" w:rsidP="00894489">
      <w:pPr>
        <w:widowControl/>
        <w:rPr>
          <w:szCs w:val="22"/>
        </w:rPr>
      </w:pPr>
    </w:p>
    <w:p w:rsidR="00B60939" w:rsidRPr="00BC3D4C" w:rsidRDefault="001A3698" w:rsidP="00EA0FDF">
      <w:pPr>
        <w:pStyle w:val="ListParagraph"/>
        <w:widowControl/>
        <w:numPr>
          <w:ilvl w:val="1"/>
          <w:numId w:val="4"/>
        </w:numPr>
        <w:rPr>
          <w:szCs w:val="22"/>
        </w:rPr>
      </w:pPr>
      <w:r w:rsidRPr="00BC3D4C">
        <w:rPr>
          <w:szCs w:val="22"/>
        </w:rPr>
        <w:t>Nintedanib combination therapy will likely mostly replace pemetrexed</w:t>
      </w:r>
      <w:r w:rsidR="00044D13">
        <w:rPr>
          <w:szCs w:val="22"/>
        </w:rPr>
        <w:t xml:space="preserve"> in second-line therapy.</w:t>
      </w:r>
      <w:r w:rsidR="000C5496">
        <w:rPr>
          <w:szCs w:val="22"/>
        </w:rPr>
        <w:t xml:space="preserve"> The evaluation </w:t>
      </w:r>
      <w:r w:rsidR="007257AB">
        <w:rPr>
          <w:szCs w:val="22"/>
        </w:rPr>
        <w:t xml:space="preserve">considered </w:t>
      </w:r>
      <w:r w:rsidR="000C5496">
        <w:rPr>
          <w:szCs w:val="22"/>
        </w:rPr>
        <w:t>that t</w:t>
      </w:r>
      <w:r w:rsidR="00044D13">
        <w:rPr>
          <w:szCs w:val="22"/>
        </w:rPr>
        <w:t>here is potential for replacement of docetaxel monotherapy</w:t>
      </w:r>
      <w:r w:rsidRPr="00BC3D4C">
        <w:rPr>
          <w:szCs w:val="22"/>
        </w:rPr>
        <w:t>.</w:t>
      </w:r>
    </w:p>
    <w:p w:rsidR="00E55BB5" w:rsidRPr="00882085" w:rsidRDefault="00E55BB5" w:rsidP="00B60939">
      <w:pPr>
        <w:pStyle w:val="Header"/>
        <w:rPr>
          <w:szCs w:val="22"/>
        </w:rPr>
      </w:pPr>
    </w:p>
    <w:p w:rsidR="00B50DB8" w:rsidRPr="00407F2D" w:rsidRDefault="00B50DB8" w:rsidP="00EA0FDF">
      <w:pPr>
        <w:pStyle w:val="Header"/>
        <w:keepNext/>
        <w:widowControl/>
        <w:numPr>
          <w:ilvl w:val="0"/>
          <w:numId w:val="4"/>
        </w:numPr>
        <w:tabs>
          <w:tab w:val="clear" w:pos="4513"/>
          <w:tab w:val="clear" w:pos="9026"/>
        </w:tabs>
        <w:rPr>
          <w:b/>
          <w:szCs w:val="22"/>
        </w:rPr>
      </w:pPr>
      <w:r w:rsidRPr="00407F2D">
        <w:rPr>
          <w:b/>
          <w:szCs w:val="22"/>
        </w:rPr>
        <w:t>Comparator</w:t>
      </w:r>
    </w:p>
    <w:p w:rsidR="00B60939" w:rsidRPr="00882085" w:rsidRDefault="00B60939" w:rsidP="0053329E">
      <w:pPr>
        <w:keepNext/>
      </w:pPr>
    </w:p>
    <w:p w:rsidR="00577343" w:rsidRPr="00577343" w:rsidRDefault="001A3698" w:rsidP="00EA0FDF">
      <w:pPr>
        <w:pStyle w:val="ListParagraph"/>
        <w:widowControl/>
        <w:numPr>
          <w:ilvl w:val="1"/>
          <w:numId w:val="4"/>
        </w:numPr>
        <w:rPr>
          <w:i/>
          <w:szCs w:val="22"/>
        </w:rPr>
      </w:pPr>
      <w:r w:rsidRPr="001A3698">
        <w:t>The submission nominate</w:t>
      </w:r>
      <w:r w:rsidR="00BC3D4C">
        <w:t>d</w:t>
      </w:r>
      <w:r w:rsidRPr="001A3698">
        <w:t xml:space="preserve"> docetaxel monotherapy and pemetre</w:t>
      </w:r>
      <w:r w:rsidR="00BC3D4C">
        <w:t xml:space="preserve">xed as comparators. </w:t>
      </w:r>
      <w:r w:rsidR="00BC3D4C" w:rsidRPr="0084358A">
        <w:t>The PBAC had</w:t>
      </w:r>
      <w:r w:rsidRPr="0084358A">
        <w:t xml:space="preserve"> previously considered that pemetrexed was an appropriate comparator for adenocarcinoma NSCLC patients o</w:t>
      </w:r>
      <w:r w:rsidRPr="00577343">
        <w:t>n second line therapy (crizotinib PSD, November 2013)</w:t>
      </w:r>
      <w:r w:rsidR="001B02A9" w:rsidRPr="00577343">
        <w:t>. Pemetrexed may be the only appropriate comparator.</w:t>
      </w:r>
    </w:p>
    <w:p w:rsidR="00577343" w:rsidRPr="00577343" w:rsidRDefault="00577343" w:rsidP="00577343">
      <w:pPr>
        <w:pStyle w:val="ListParagraph"/>
        <w:widowControl/>
        <w:rPr>
          <w:i/>
          <w:szCs w:val="22"/>
        </w:rPr>
      </w:pPr>
    </w:p>
    <w:p w:rsidR="008D07ED" w:rsidRPr="000E2641" w:rsidRDefault="009E39D0" w:rsidP="00EA0FDF">
      <w:pPr>
        <w:pStyle w:val="ListParagraph"/>
        <w:widowControl/>
        <w:numPr>
          <w:ilvl w:val="1"/>
          <w:numId w:val="4"/>
        </w:numPr>
      </w:pPr>
      <w:r w:rsidRPr="000E2641">
        <w:lastRenderedPageBreak/>
        <w:t xml:space="preserve">The </w:t>
      </w:r>
      <w:r w:rsidR="000B3FF8">
        <w:t>PSCR</w:t>
      </w:r>
      <w:r w:rsidRPr="000E2641">
        <w:t xml:space="preserve"> argued that the submission adopted a conservative approach by selecting both pemetrexed and docetaxel as comparators. The PSCR noted, however, that the sponsor would accept the ESC and PBAC feedback on the appropriate comparator(s). </w:t>
      </w:r>
      <w:r w:rsidR="006729DB" w:rsidRPr="000E2641">
        <w:t xml:space="preserve">The ESC </w:t>
      </w:r>
      <w:r w:rsidR="00131B29" w:rsidRPr="000E2641">
        <w:t>considered that pemetrexed was the appropriate comparator</w:t>
      </w:r>
      <w:r w:rsidR="008D07ED" w:rsidRPr="000E2641">
        <w:t xml:space="preserve"> given the </w:t>
      </w:r>
      <w:r w:rsidR="0085799D" w:rsidRPr="000E2641">
        <w:t>precedent</w:t>
      </w:r>
      <w:r w:rsidR="008D07ED" w:rsidRPr="000E2641">
        <w:t xml:space="preserve"> for crizotinib and the dominance of pemetrexed as second-line treatment for advanced NSCLC.</w:t>
      </w:r>
    </w:p>
    <w:p w:rsidR="00B60939" w:rsidRDefault="00B60939" w:rsidP="006729DB">
      <w:pPr>
        <w:pStyle w:val="ListParagraph"/>
        <w:widowControl/>
        <w:rPr>
          <w:szCs w:val="22"/>
        </w:rPr>
      </w:pPr>
    </w:p>
    <w:p w:rsidR="000E2641" w:rsidRDefault="000E2641" w:rsidP="000E2641">
      <w:pPr>
        <w:ind w:firstLine="720"/>
      </w:pPr>
      <w:r>
        <w:rPr>
          <w:i/>
          <w:szCs w:val="22"/>
        </w:rPr>
        <w:t>For more detail on PBAC’s view, see section 7 “PBAC outcome”</w:t>
      </w:r>
    </w:p>
    <w:p w:rsidR="006729DB" w:rsidRPr="006729DB" w:rsidRDefault="006729DB" w:rsidP="006729DB">
      <w:pPr>
        <w:pStyle w:val="ListParagraph"/>
        <w:widowControl/>
        <w:rPr>
          <w:szCs w:val="22"/>
        </w:rPr>
      </w:pPr>
    </w:p>
    <w:p w:rsidR="00B50DB8" w:rsidRPr="00407F2D" w:rsidRDefault="00BD6CF3" w:rsidP="00BD6CF3">
      <w:pPr>
        <w:pStyle w:val="PBACHeading1"/>
      </w:pPr>
      <w:bookmarkStart w:id="5" w:name="_Toc409189299"/>
      <w:r>
        <w:t>C</w:t>
      </w:r>
      <w:r w:rsidR="00B50DB8" w:rsidRPr="00407F2D">
        <w:t>onsideration of the evidence</w:t>
      </w:r>
      <w:bookmarkEnd w:id="5"/>
    </w:p>
    <w:p w:rsidR="00B60939" w:rsidRPr="00882085" w:rsidRDefault="00B60939" w:rsidP="004B1CB4"/>
    <w:p w:rsidR="000E2641" w:rsidRPr="00BB7EC3" w:rsidRDefault="000E2641" w:rsidP="000E2641">
      <w:pPr>
        <w:rPr>
          <w:b/>
          <w:i/>
          <w:szCs w:val="22"/>
        </w:rPr>
      </w:pPr>
      <w:bookmarkStart w:id="6" w:name="_Toc409189300"/>
      <w:r w:rsidRPr="00BB7EC3">
        <w:rPr>
          <w:b/>
          <w:i/>
          <w:szCs w:val="22"/>
        </w:rPr>
        <w:t>Sponsor hearing</w:t>
      </w:r>
    </w:p>
    <w:p w:rsidR="000E2641" w:rsidRPr="00882085" w:rsidRDefault="000E2641" w:rsidP="000E2641">
      <w:pPr>
        <w:ind w:left="709"/>
        <w:rPr>
          <w:b/>
          <w:szCs w:val="22"/>
        </w:rPr>
      </w:pPr>
    </w:p>
    <w:p w:rsidR="000E2641" w:rsidRPr="00E3784A" w:rsidRDefault="000E2641" w:rsidP="00EA0FDF">
      <w:pPr>
        <w:pStyle w:val="ListParagraph"/>
        <w:widowControl/>
        <w:numPr>
          <w:ilvl w:val="1"/>
          <w:numId w:val="4"/>
        </w:numPr>
        <w:rPr>
          <w:szCs w:val="22"/>
        </w:rPr>
      </w:pPr>
      <w:r w:rsidRPr="00E3784A">
        <w:rPr>
          <w:szCs w:val="22"/>
        </w:rPr>
        <w:t>The</w:t>
      </w:r>
      <w:r w:rsidR="00324999" w:rsidRPr="00E3784A">
        <w:rPr>
          <w:szCs w:val="22"/>
        </w:rPr>
        <w:t>re was no hearing for this item</w:t>
      </w:r>
      <w:r w:rsidRPr="00E3784A">
        <w:rPr>
          <w:szCs w:val="22"/>
        </w:rPr>
        <w:t>.</w:t>
      </w:r>
    </w:p>
    <w:p w:rsidR="000E2641" w:rsidRDefault="000E2641" w:rsidP="000E2641">
      <w:pPr>
        <w:pStyle w:val="ListParagraph"/>
        <w:ind w:left="709"/>
        <w:rPr>
          <w:szCs w:val="22"/>
        </w:rPr>
      </w:pPr>
    </w:p>
    <w:p w:rsidR="000E2641" w:rsidRPr="00BB7EC3" w:rsidRDefault="000E2641" w:rsidP="000E2641">
      <w:pPr>
        <w:rPr>
          <w:b/>
          <w:i/>
          <w:szCs w:val="22"/>
        </w:rPr>
      </w:pPr>
      <w:r w:rsidRPr="00BB7EC3">
        <w:rPr>
          <w:b/>
          <w:i/>
          <w:szCs w:val="22"/>
        </w:rPr>
        <w:t>Consumer comments</w:t>
      </w:r>
    </w:p>
    <w:p w:rsidR="000E2641" w:rsidRDefault="000E2641" w:rsidP="000E2641">
      <w:pPr>
        <w:pStyle w:val="ListParagraph"/>
        <w:ind w:left="709"/>
        <w:rPr>
          <w:szCs w:val="22"/>
        </w:rPr>
      </w:pPr>
    </w:p>
    <w:p w:rsidR="000E2641" w:rsidRPr="00BB7EC3" w:rsidRDefault="000E2641" w:rsidP="00EA0FDF">
      <w:pPr>
        <w:pStyle w:val="ListParagraph"/>
        <w:widowControl/>
        <w:numPr>
          <w:ilvl w:val="1"/>
          <w:numId w:val="4"/>
        </w:numPr>
        <w:rPr>
          <w:szCs w:val="22"/>
        </w:rPr>
      </w:pPr>
      <w:r>
        <w:rPr>
          <w:szCs w:val="22"/>
        </w:rPr>
        <w:t>The PBAC noted that no consumer comme</w:t>
      </w:r>
      <w:r w:rsidR="000C5496">
        <w:rPr>
          <w:szCs w:val="22"/>
        </w:rPr>
        <w:t>nts were received for this item</w:t>
      </w:r>
      <w:r>
        <w:rPr>
          <w:szCs w:val="22"/>
        </w:rPr>
        <w:t>.</w:t>
      </w:r>
    </w:p>
    <w:p w:rsidR="000E2641" w:rsidRDefault="000E2641" w:rsidP="000E2641">
      <w:pPr>
        <w:tabs>
          <w:tab w:val="left" w:pos="5816"/>
        </w:tabs>
        <w:rPr>
          <w:b/>
          <w:szCs w:val="22"/>
        </w:rPr>
      </w:pPr>
      <w:r>
        <w:rPr>
          <w:b/>
          <w:szCs w:val="22"/>
        </w:rPr>
        <w:tab/>
      </w:r>
    </w:p>
    <w:p w:rsidR="00B60939" w:rsidRPr="002C2775" w:rsidRDefault="00B60939" w:rsidP="002C2775">
      <w:pPr>
        <w:pStyle w:val="Heading2"/>
        <w:rPr>
          <w:i/>
        </w:rPr>
      </w:pPr>
      <w:r w:rsidRPr="002C2775">
        <w:rPr>
          <w:i/>
        </w:rPr>
        <w:t>Clinical trials</w:t>
      </w:r>
      <w:bookmarkEnd w:id="6"/>
    </w:p>
    <w:p w:rsidR="00B60939" w:rsidRPr="00882085" w:rsidRDefault="00B60939" w:rsidP="00B60939">
      <w:pPr>
        <w:rPr>
          <w:szCs w:val="22"/>
        </w:rPr>
      </w:pPr>
    </w:p>
    <w:p w:rsidR="007F1017" w:rsidRPr="00B50DB8" w:rsidRDefault="00862502" w:rsidP="00EA0FDF">
      <w:pPr>
        <w:pStyle w:val="ListParagraph"/>
        <w:widowControl/>
        <w:numPr>
          <w:ilvl w:val="1"/>
          <w:numId w:val="4"/>
        </w:numPr>
        <w:rPr>
          <w:szCs w:val="22"/>
        </w:rPr>
      </w:pPr>
      <w:r w:rsidRPr="00862502">
        <w:t xml:space="preserve">The submission </w:t>
      </w:r>
      <w:r w:rsidR="002F4D0C">
        <w:t>was</w:t>
      </w:r>
      <w:r w:rsidR="002F4D0C" w:rsidRPr="00862502">
        <w:t xml:space="preserve"> </w:t>
      </w:r>
      <w:r w:rsidRPr="00862502">
        <w:t>based on on</w:t>
      </w:r>
      <w:r w:rsidR="001A3698">
        <w:t>e head-to-head trial</w:t>
      </w:r>
      <w:r w:rsidR="0005569E">
        <w:t>, LUME Lung 1,</w:t>
      </w:r>
      <w:r w:rsidR="001A3698">
        <w:t xml:space="preserve"> comparing nintedanib in combination with docetaxel</w:t>
      </w:r>
      <w:r w:rsidRPr="00862502">
        <w:t xml:space="preserve"> to </w:t>
      </w:r>
      <w:r w:rsidR="001A3698">
        <w:t>docetaxel monotherapy</w:t>
      </w:r>
      <w:r w:rsidR="00BC3D4C">
        <w:t xml:space="preserve"> </w:t>
      </w:r>
      <w:r w:rsidR="001A3698">
        <w:t>(n=</w:t>
      </w:r>
      <w:r w:rsidR="00164088" w:rsidRPr="00164088">
        <w:t>1314</w:t>
      </w:r>
      <w:r w:rsidR="001A3698">
        <w:t>)</w:t>
      </w:r>
      <w:r w:rsidR="0005569E">
        <w:t xml:space="preserve"> and an indirect comparison using LUME Lung 1</w:t>
      </w:r>
      <w:r w:rsidR="001A3698">
        <w:t xml:space="preserve"> and one head</w:t>
      </w:r>
      <w:r w:rsidR="0005569E">
        <w:t>-</w:t>
      </w:r>
      <w:r w:rsidR="001A3698">
        <w:t>to</w:t>
      </w:r>
      <w:r w:rsidR="0005569E">
        <w:t>-</w:t>
      </w:r>
      <w:r w:rsidR="001A3698">
        <w:t>head trial</w:t>
      </w:r>
      <w:r w:rsidR="0005569E">
        <w:t xml:space="preserve"> (JMEI</w:t>
      </w:r>
      <w:r w:rsidR="00F8230D">
        <w:t>)</w:t>
      </w:r>
      <w:r w:rsidR="001A3698">
        <w:t xml:space="preserve"> comparing pemetrexed to docetaxel monotherapy</w:t>
      </w:r>
      <w:r w:rsidR="00164088">
        <w:t xml:space="preserve"> (n=</w:t>
      </w:r>
      <w:r w:rsidR="00164088" w:rsidRPr="00164088">
        <w:t>571</w:t>
      </w:r>
      <w:r w:rsidR="00164088">
        <w:t>)</w:t>
      </w:r>
      <w:r w:rsidR="001A3698">
        <w:t>.</w:t>
      </w:r>
    </w:p>
    <w:p w:rsidR="00862502" w:rsidRPr="00862502" w:rsidRDefault="00862502" w:rsidP="00862502">
      <w:pPr>
        <w:widowControl/>
        <w:rPr>
          <w:szCs w:val="22"/>
        </w:rPr>
      </w:pPr>
    </w:p>
    <w:p w:rsidR="00862502" w:rsidRPr="00B50DB8" w:rsidRDefault="00862502" w:rsidP="00EA0FDF">
      <w:pPr>
        <w:pStyle w:val="ListParagraph"/>
        <w:widowControl/>
        <w:numPr>
          <w:ilvl w:val="1"/>
          <w:numId w:val="4"/>
        </w:numPr>
        <w:rPr>
          <w:szCs w:val="22"/>
        </w:rPr>
      </w:pPr>
      <w:r w:rsidRPr="00B50DB8">
        <w:rPr>
          <w:szCs w:val="22"/>
        </w:rPr>
        <w:t>Details of the trials presented in the submission ar</w:t>
      </w:r>
      <w:r w:rsidR="00F67B86">
        <w:rPr>
          <w:szCs w:val="22"/>
        </w:rPr>
        <w:t>e provided in the table below.</w:t>
      </w:r>
    </w:p>
    <w:p w:rsidR="00862502" w:rsidRPr="00862502" w:rsidRDefault="00862502" w:rsidP="00862502">
      <w:pPr>
        <w:widowControl/>
        <w:rPr>
          <w:szCs w:val="22"/>
        </w:rPr>
      </w:pPr>
    </w:p>
    <w:p w:rsidR="008F120A" w:rsidRDefault="008F120A" w:rsidP="00CA641D">
      <w:pPr>
        <w:keepNext/>
        <w:ind w:firstLine="720"/>
        <w:rPr>
          <w:rStyle w:val="CommentReference"/>
        </w:rPr>
      </w:pPr>
      <w:r w:rsidRPr="000812CA">
        <w:rPr>
          <w:rStyle w:val="CommentReference"/>
        </w:rPr>
        <w:t>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Trials and associated reported presented in the submission"/>
      </w:tblPr>
      <w:tblGrid>
        <w:gridCol w:w="1134"/>
        <w:gridCol w:w="5045"/>
        <w:gridCol w:w="2184"/>
      </w:tblGrid>
      <w:tr w:rsidR="001A3698" w:rsidRPr="004E2ADC" w:rsidTr="0055700A">
        <w:trPr>
          <w:tblHeader/>
        </w:trPr>
        <w:tc>
          <w:tcPr>
            <w:tcW w:w="678" w:type="pct"/>
          </w:tcPr>
          <w:p w:rsidR="001A3698" w:rsidRPr="004E2ADC" w:rsidRDefault="001A3698" w:rsidP="00BD27F8">
            <w:pPr>
              <w:jc w:val="left"/>
              <w:rPr>
                <w:rFonts w:ascii="Arial Narrow" w:hAnsi="Arial Narrow"/>
                <w:b/>
                <w:sz w:val="20"/>
              </w:rPr>
            </w:pPr>
            <w:r w:rsidRPr="004E2ADC">
              <w:rPr>
                <w:rFonts w:ascii="Arial Narrow" w:hAnsi="Arial Narrow"/>
                <w:b/>
                <w:sz w:val="20"/>
              </w:rPr>
              <w:t>Trial ID</w:t>
            </w:r>
          </w:p>
        </w:tc>
        <w:tc>
          <w:tcPr>
            <w:tcW w:w="3016" w:type="pct"/>
          </w:tcPr>
          <w:p w:rsidR="001A3698" w:rsidRPr="004E2ADC" w:rsidRDefault="001A3698" w:rsidP="00BD27F8">
            <w:pPr>
              <w:jc w:val="center"/>
              <w:rPr>
                <w:rFonts w:ascii="Arial Narrow" w:hAnsi="Arial Narrow"/>
                <w:b/>
                <w:sz w:val="20"/>
              </w:rPr>
            </w:pPr>
            <w:r w:rsidRPr="004E2ADC">
              <w:rPr>
                <w:rFonts w:ascii="Arial Narrow" w:hAnsi="Arial Narrow"/>
                <w:b/>
                <w:sz w:val="20"/>
              </w:rPr>
              <w:t>Protocol title/ Publication title</w:t>
            </w:r>
          </w:p>
        </w:tc>
        <w:tc>
          <w:tcPr>
            <w:tcW w:w="1306" w:type="pct"/>
          </w:tcPr>
          <w:p w:rsidR="001A3698" w:rsidRPr="004E2ADC" w:rsidRDefault="001A3698" w:rsidP="00BD27F8">
            <w:pPr>
              <w:jc w:val="center"/>
              <w:rPr>
                <w:rFonts w:ascii="Arial Narrow" w:hAnsi="Arial Narrow"/>
                <w:b/>
                <w:sz w:val="20"/>
              </w:rPr>
            </w:pPr>
            <w:r w:rsidRPr="004E2ADC">
              <w:rPr>
                <w:rFonts w:ascii="Arial Narrow" w:hAnsi="Arial Narrow"/>
                <w:b/>
                <w:sz w:val="20"/>
              </w:rPr>
              <w:t>Publication citation</w:t>
            </w:r>
          </w:p>
        </w:tc>
      </w:tr>
      <w:tr w:rsidR="001A3698" w:rsidRPr="004E2ADC" w:rsidTr="00FB52A4">
        <w:tc>
          <w:tcPr>
            <w:tcW w:w="5000" w:type="pct"/>
            <w:gridSpan w:val="3"/>
            <w:tcBorders>
              <w:bottom w:val="single" w:sz="4" w:space="0" w:color="auto"/>
            </w:tcBorders>
          </w:tcPr>
          <w:p w:rsidR="001A3698" w:rsidRPr="00FA5DA7" w:rsidRDefault="00BA1B23" w:rsidP="00BD27F8">
            <w:pPr>
              <w:jc w:val="left"/>
              <w:rPr>
                <w:rFonts w:ascii="Arial Narrow" w:hAnsi="Arial Narrow"/>
                <w:b/>
                <w:sz w:val="20"/>
              </w:rPr>
            </w:pPr>
            <w:r>
              <w:rPr>
                <w:rFonts w:ascii="Arial Narrow" w:hAnsi="Arial Narrow"/>
                <w:b/>
                <w:sz w:val="20"/>
              </w:rPr>
              <w:t>Nintedanib vs. docetaxel</w:t>
            </w:r>
          </w:p>
        </w:tc>
      </w:tr>
      <w:tr w:rsidR="001A3698" w:rsidRPr="004E2ADC" w:rsidTr="00FB52A4">
        <w:tc>
          <w:tcPr>
            <w:tcW w:w="678" w:type="pct"/>
            <w:tcBorders>
              <w:bottom w:val="nil"/>
            </w:tcBorders>
          </w:tcPr>
          <w:p w:rsidR="001A3698" w:rsidRPr="00BA1B23" w:rsidRDefault="00BA1B23" w:rsidP="00BD27F8">
            <w:pPr>
              <w:jc w:val="left"/>
              <w:rPr>
                <w:rFonts w:ascii="Arial Narrow" w:hAnsi="Arial Narrow"/>
                <w:sz w:val="20"/>
                <w:lang w:val="fr-FR"/>
              </w:rPr>
            </w:pPr>
            <w:r w:rsidRPr="00BA1B23">
              <w:rPr>
                <w:rFonts w:ascii="Arial Narrow" w:hAnsi="Arial Narrow"/>
                <w:sz w:val="20"/>
              </w:rPr>
              <w:t>Trial 1199.13 LUME Lung 1</w:t>
            </w:r>
          </w:p>
        </w:tc>
        <w:tc>
          <w:tcPr>
            <w:tcW w:w="3016" w:type="pct"/>
            <w:tcBorders>
              <w:bottom w:val="nil"/>
            </w:tcBorders>
          </w:tcPr>
          <w:p w:rsidR="006B756B" w:rsidRDefault="001A3698" w:rsidP="00BA1B23">
            <w:pPr>
              <w:pStyle w:val="TableFooter"/>
              <w:rPr>
                <w:sz w:val="20"/>
              </w:rPr>
            </w:pPr>
            <w:r w:rsidRPr="00882E37">
              <w:rPr>
                <w:sz w:val="20"/>
              </w:rPr>
              <w:t xml:space="preserve">Clinical Trial Report BI Trial 1199.13 Multicentre, randomised, double-blind, Phase III trial to investigate the efficacy and safety of oral BIBF 1120 plus standard docetaxel therapy compared to placebo plus standard docetaxel therapy in patients with stage </w:t>
            </w:r>
            <w:proofErr w:type="spellStart"/>
            <w:r w:rsidRPr="00882E37">
              <w:rPr>
                <w:sz w:val="20"/>
              </w:rPr>
              <w:t>IIIb</w:t>
            </w:r>
            <w:proofErr w:type="spellEnd"/>
            <w:r w:rsidRPr="00882E37">
              <w:rPr>
                <w:sz w:val="20"/>
              </w:rPr>
              <w:t xml:space="preserve">/IV or recurrent non-small-cell lung cancer after failure of first line chemotherapy. (LUME Lung 1) </w:t>
            </w:r>
          </w:p>
          <w:p w:rsidR="006B756B" w:rsidRPr="00FA5DA7" w:rsidRDefault="006B756B" w:rsidP="00FB52A4">
            <w:pPr>
              <w:pStyle w:val="TableFooter"/>
            </w:pPr>
          </w:p>
        </w:tc>
        <w:tc>
          <w:tcPr>
            <w:tcW w:w="1306" w:type="pct"/>
            <w:tcBorders>
              <w:bottom w:val="nil"/>
            </w:tcBorders>
          </w:tcPr>
          <w:p w:rsidR="00BA1B23" w:rsidRDefault="00E4582F" w:rsidP="00BD27F8">
            <w:pPr>
              <w:jc w:val="left"/>
              <w:rPr>
                <w:rFonts w:ascii="Arial Narrow" w:hAnsi="Arial Narrow"/>
                <w:sz w:val="20"/>
              </w:rPr>
            </w:pPr>
            <w:r>
              <w:rPr>
                <w:rFonts w:ascii="Arial Narrow" w:hAnsi="Arial Narrow"/>
                <w:sz w:val="20"/>
              </w:rPr>
              <w:t>Sep 11 2012</w:t>
            </w:r>
          </w:p>
          <w:p w:rsidR="00715A64" w:rsidRPr="00FB52A4" w:rsidRDefault="00715A64" w:rsidP="006B756B">
            <w:pPr>
              <w:jc w:val="left"/>
              <w:rPr>
                <w:rFonts w:ascii="Arial Narrow" w:hAnsi="Arial Narrow"/>
                <w:sz w:val="20"/>
              </w:rPr>
            </w:pPr>
          </w:p>
        </w:tc>
      </w:tr>
      <w:tr w:rsidR="00FB52A4" w:rsidRPr="004E2ADC" w:rsidTr="00FB52A4">
        <w:tc>
          <w:tcPr>
            <w:tcW w:w="678" w:type="pct"/>
            <w:tcBorders>
              <w:top w:val="nil"/>
              <w:bottom w:val="nil"/>
            </w:tcBorders>
          </w:tcPr>
          <w:p w:rsidR="00FB52A4" w:rsidRPr="00BA1B23" w:rsidRDefault="00FB52A4" w:rsidP="00BD27F8">
            <w:pPr>
              <w:jc w:val="left"/>
              <w:rPr>
                <w:rFonts w:ascii="Arial Narrow" w:hAnsi="Arial Narrow"/>
                <w:sz w:val="20"/>
              </w:rPr>
            </w:pPr>
          </w:p>
        </w:tc>
        <w:tc>
          <w:tcPr>
            <w:tcW w:w="3016" w:type="pct"/>
            <w:tcBorders>
              <w:top w:val="nil"/>
              <w:bottom w:val="nil"/>
            </w:tcBorders>
          </w:tcPr>
          <w:p w:rsidR="00FB52A4" w:rsidRDefault="00FB52A4" w:rsidP="00BA1B23">
            <w:pPr>
              <w:pStyle w:val="TableFooter"/>
              <w:rPr>
                <w:sz w:val="20"/>
              </w:rPr>
            </w:pPr>
            <w:proofErr w:type="spellStart"/>
            <w:r w:rsidRPr="001B2837">
              <w:rPr>
                <w:sz w:val="20"/>
              </w:rPr>
              <w:t>Mellemgaard</w:t>
            </w:r>
            <w:proofErr w:type="spellEnd"/>
            <w:r>
              <w:rPr>
                <w:sz w:val="20"/>
              </w:rPr>
              <w:t>, A et al.</w:t>
            </w:r>
            <w:r w:rsidRPr="00882E37" w:rsidDel="00BA1B23">
              <w:rPr>
                <w:sz w:val="20"/>
              </w:rPr>
              <w:t xml:space="preserve"> </w:t>
            </w:r>
            <w:r w:rsidRPr="00882E37">
              <w:rPr>
                <w:sz w:val="20"/>
              </w:rPr>
              <w:t>Analysis of overall survival in adenocarcinoma NSCLC patients receiving 2nd line combination treatment with nintedanib (BIBF 1120) + docetaxel in the LUME-Lung 1 trial: a randomized, double-blind, placebo-controlled phase 3 study</w:t>
            </w:r>
            <w:r w:rsidRPr="00882E37" w:rsidDel="00BA1B23">
              <w:rPr>
                <w:sz w:val="20"/>
              </w:rPr>
              <w:t xml:space="preserve"> </w:t>
            </w:r>
          </w:p>
          <w:p w:rsidR="00FB52A4" w:rsidRPr="00A71958" w:rsidRDefault="00FB52A4" w:rsidP="00BA1B23">
            <w:pPr>
              <w:pStyle w:val="TableFooter"/>
              <w:rPr>
                <w:sz w:val="20"/>
              </w:rPr>
            </w:pPr>
          </w:p>
        </w:tc>
        <w:tc>
          <w:tcPr>
            <w:tcW w:w="1306" w:type="pct"/>
            <w:tcBorders>
              <w:top w:val="nil"/>
              <w:bottom w:val="nil"/>
            </w:tcBorders>
          </w:tcPr>
          <w:p w:rsidR="00FB52A4" w:rsidRPr="001B2837" w:rsidRDefault="00FB52A4" w:rsidP="00FB52A4">
            <w:pPr>
              <w:jc w:val="left"/>
              <w:rPr>
                <w:rFonts w:ascii="Arial Narrow" w:hAnsi="Arial Narrow"/>
                <w:sz w:val="20"/>
              </w:rPr>
            </w:pPr>
            <w:r w:rsidRPr="001B2837">
              <w:rPr>
                <w:rFonts w:ascii="Arial Narrow" w:hAnsi="Arial Narrow"/>
                <w:sz w:val="20"/>
              </w:rPr>
              <w:t xml:space="preserve">Eur. J. Cancer </w:t>
            </w:r>
            <w:r>
              <w:rPr>
                <w:rFonts w:ascii="Arial Narrow" w:hAnsi="Arial Narrow"/>
                <w:sz w:val="20"/>
              </w:rPr>
              <w:t>(</w:t>
            </w:r>
            <w:r w:rsidRPr="001B2837">
              <w:rPr>
                <w:rFonts w:ascii="Arial Narrow" w:hAnsi="Arial Narrow"/>
                <w:sz w:val="20"/>
              </w:rPr>
              <w:t>2013</w:t>
            </w:r>
            <w:r>
              <w:rPr>
                <w:rFonts w:ascii="Arial Narrow" w:hAnsi="Arial Narrow"/>
                <w:sz w:val="20"/>
              </w:rPr>
              <w:t>)</w:t>
            </w:r>
            <w:r w:rsidRPr="001B2837">
              <w:rPr>
                <w:rFonts w:ascii="Arial Narrow" w:hAnsi="Arial Narrow"/>
                <w:sz w:val="20"/>
              </w:rPr>
              <w:t>; 49(Supplement 2):S798., 27 Sep - 1 Oct 2013</w:t>
            </w:r>
          </w:p>
        </w:tc>
      </w:tr>
      <w:tr w:rsidR="00FB52A4" w:rsidRPr="004E2ADC" w:rsidTr="00FB52A4">
        <w:tc>
          <w:tcPr>
            <w:tcW w:w="678" w:type="pct"/>
            <w:tcBorders>
              <w:top w:val="nil"/>
              <w:bottom w:val="nil"/>
            </w:tcBorders>
          </w:tcPr>
          <w:p w:rsidR="00FB52A4" w:rsidRPr="00BA1B23" w:rsidRDefault="00FB52A4" w:rsidP="00BD27F8">
            <w:pPr>
              <w:jc w:val="left"/>
              <w:rPr>
                <w:rFonts w:ascii="Arial Narrow" w:hAnsi="Arial Narrow"/>
                <w:sz w:val="20"/>
              </w:rPr>
            </w:pPr>
          </w:p>
        </w:tc>
        <w:tc>
          <w:tcPr>
            <w:tcW w:w="3016" w:type="pct"/>
            <w:tcBorders>
              <w:top w:val="nil"/>
              <w:bottom w:val="nil"/>
            </w:tcBorders>
          </w:tcPr>
          <w:p w:rsidR="00FB52A4" w:rsidRPr="00882E37" w:rsidRDefault="00FB52A4" w:rsidP="00BA1B23">
            <w:pPr>
              <w:pStyle w:val="TableFooter"/>
              <w:rPr>
                <w:sz w:val="20"/>
              </w:rPr>
            </w:pPr>
            <w:proofErr w:type="spellStart"/>
            <w:r w:rsidRPr="00A71958">
              <w:rPr>
                <w:sz w:val="20"/>
              </w:rPr>
              <w:t>Novello</w:t>
            </w:r>
            <w:proofErr w:type="spellEnd"/>
            <w:r w:rsidRPr="00A71958">
              <w:rPr>
                <w:sz w:val="20"/>
              </w:rPr>
              <w:t>, S et al.</w:t>
            </w:r>
            <w:r w:rsidRPr="00882E37" w:rsidDel="00BA1B23">
              <w:rPr>
                <w:sz w:val="20"/>
              </w:rPr>
              <w:t xml:space="preserve"> </w:t>
            </w:r>
            <w:r w:rsidRPr="00882E37">
              <w:rPr>
                <w:sz w:val="20"/>
              </w:rPr>
              <w:t>LUME-Lung 1 Study Group.  Analysis of patient-reported outcomes from the LUME-lung 1 trial: a randomized, double-blind, placebo-controlled phase III study in second-line advanced non-small cell lung</w:t>
            </w:r>
            <w:r>
              <w:rPr>
                <w:sz w:val="20"/>
              </w:rPr>
              <w:t xml:space="preserve"> </w:t>
            </w:r>
            <w:r w:rsidRPr="00882E37">
              <w:rPr>
                <w:sz w:val="20"/>
              </w:rPr>
              <w:t>cancer (NSCLC) patients.</w:t>
            </w:r>
          </w:p>
        </w:tc>
        <w:tc>
          <w:tcPr>
            <w:tcW w:w="1306" w:type="pct"/>
            <w:tcBorders>
              <w:top w:val="nil"/>
              <w:bottom w:val="nil"/>
            </w:tcBorders>
          </w:tcPr>
          <w:p w:rsidR="00FB52A4" w:rsidRDefault="00FB52A4" w:rsidP="00FB52A4">
            <w:pPr>
              <w:jc w:val="left"/>
              <w:rPr>
                <w:rFonts w:ascii="Arial Narrow" w:hAnsi="Arial Narrow"/>
                <w:sz w:val="20"/>
              </w:rPr>
            </w:pPr>
            <w:r w:rsidRPr="001B2837">
              <w:rPr>
                <w:rFonts w:ascii="Arial Narrow" w:hAnsi="Arial Narrow"/>
                <w:sz w:val="20"/>
              </w:rPr>
              <w:t>15th World Conference on Lung</w:t>
            </w:r>
            <w:r>
              <w:rPr>
                <w:rFonts w:ascii="Arial Narrow" w:hAnsi="Arial Narrow"/>
                <w:sz w:val="20"/>
              </w:rPr>
              <w:t xml:space="preserve"> Cancer, Sydney;</w:t>
            </w:r>
            <w:r w:rsidRPr="001B2837">
              <w:rPr>
                <w:rFonts w:ascii="Arial Narrow" w:hAnsi="Arial Narrow"/>
                <w:sz w:val="20"/>
              </w:rPr>
              <w:t xml:space="preserve"> 27 - 30 Oct 2013 (Poster)</w:t>
            </w:r>
          </w:p>
          <w:p w:rsidR="00FB52A4" w:rsidRDefault="00FB52A4" w:rsidP="00BD27F8">
            <w:pPr>
              <w:jc w:val="left"/>
              <w:rPr>
                <w:rFonts w:ascii="Arial Narrow" w:hAnsi="Arial Narrow"/>
                <w:sz w:val="20"/>
              </w:rPr>
            </w:pPr>
          </w:p>
        </w:tc>
      </w:tr>
      <w:tr w:rsidR="00FB52A4" w:rsidRPr="004E2ADC" w:rsidTr="00FB52A4">
        <w:tc>
          <w:tcPr>
            <w:tcW w:w="678" w:type="pct"/>
            <w:tcBorders>
              <w:top w:val="nil"/>
              <w:bottom w:val="nil"/>
            </w:tcBorders>
          </w:tcPr>
          <w:p w:rsidR="00FB52A4" w:rsidRPr="00BA1B23" w:rsidRDefault="00FB52A4" w:rsidP="00BD27F8">
            <w:pPr>
              <w:jc w:val="left"/>
              <w:rPr>
                <w:rFonts w:ascii="Arial Narrow" w:hAnsi="Arial Narrow"/>
                <w:sz w:val="20"/>
              </w:rPr>
            </w:pPr>
          </w:p>
        </w:tc>
        <w:tc>
          <w:tcPr>
            <w:tcW w:w="3016" w:type="pct"/>
            <w:tcBorders>
              <w:top w:val="nil"/>
              <w:bottom w:val="nil"/>
            </w:tcBorders>
          </w:tcPr>
          <w:p w:rsidR="00FB52A4" w:rsidRPr="00882E37" w:rsidRDefault="00FB52A4" w:rsidP="00BA1B23">
            <w:pPr>
              <w:pStyle w:val="TableFooter"/>
              <w:rPr>
                <w:sz w:val="20"/>
              </w:rPr>
            </w:pPr>
            <w:proofErr w:type="spellStart"/>
            <w:r w:rsidRPr="00A71958">
              <w:rPr>
                <w:sz w:val="20"/>
              </w:rPr>
              <w:t>Novello</w:t>
            </w:r>
            <w:proofErr w:type="spellEnd"/>
            <w:r w:rsidRPr="00A71958">
              <w:rPr>
                <w:sz w:val="20"/>
              </w:rPr>
              <w:t>, S et al.</w:t>
            </w:r>
            <w:r>
              <w:rPr>
                <w:sz w:val="20"/>
              </w:rPr>
              <w:t xml:space="preserve"> </w:t>
            </w:r>
            <w:r w:rsidRPr="00882E37">
              <w:rPr>
                <w:sz w:val="20"/>
              </w:rPr>
              <w:t xml:space="preserve">Impact of </w:t>
            </w:r>
            <w:proofErr w:type="spellStart"/>
            <w:r w:rsidRPr="00882E37">
              <w:rPr>
                <w:sz w:val="20"/>
              </w:rPr>
              <w:t>tumor</w:t>
            </w:r>
            <w:proofErr w:type="spellEnd"/>
            <w:r w:rsidRPr="00882E37">
              <w:rPr>
                <w:sz w:val="20"/>
              </w:rPr>
              <w:t xml:space="preserve"> burden on the overall survival analysis of the </w:t>
            </w:r>
            <w:proofErr w:type="spellStart"/>
            <w:r w:rsidRPr="00882E37">
              <w:rPr>
                <w:sz w:val="20"/>
              </w:rPr>
              <w:t>Lume</w:t>
            </w:r>
            <w:proofErr w:type="spellEnd"/>
            <w:r w:rsidRPr="00882E37">
              <w:rPr>
                <w:sz w:val="20"/>
              </w:rPr>
              <w:t>-Lung 1 study: a randomized, double-blind phase 3 trial of nintedanib (BIBF 1120) + docetaxel in NSCLC patients progressing after first-line chemotherapy.</w:t>
            </w:r>
          </w:p>
        </w:tc>
        <w:tc>
          <w:tcPr>
            <w:tcW w:w="1306" w:type="pct"/>
            <w:tcBorders>
              <w:top w:val="nil"/>
              <w:bottom w:val="nil"/>
            </w:tcBorders>
          </w:tcPr>
          <w:p w:rsidR="00FB52A4" w:rsidRDefault="00FB52A4" w:rsidP="00FB52A4">
            <w:pPr>
              <w:jc w:val="left"/>
              <w:rPr>
                <w:rFonts w:ascii="Arial Narrow" w:hAnsi="Arial Narrow"/>
                <w:sz w:val="20"/>
              </w:rPr>
            </w:pPr>
            <w:r w:rsidRPr="00DE18B6">
              <w:rPr>
                <w:rFonts w:ascii="Arial Narrow" w:hAnsi="Arial Narrow"/>
                <w:sz w:val="20"/>
              </w:rPr>
              <w:t xml:space="preserve">J. </w:t>
            </w:r>
            <w:proofErr w:type="spellStart"/>
            <w:r w:rsidRPr="00DE18B6">
              <w:rPr>
                <w:rFonts w:ascii="Arial Narrow" w:hAnsi="Arial Narrow"/>
                <w:sz w:val="20"/>
              </w:rPr>
              <w:t>Thorac</w:t>
            </w:r>
            <w:proofErr w:type="spellEnd"/>
            <w:r w:rsidRPr="00DE18B6">
              <w:rPr>
                <w:rFonts w:ascii="Arial Narrow" w:hAnsi="Arial Narrow"/>
                <w:sz w:val="20"/>
              </w:rPr>
              <w:t xml:space="preserve">. </w:t>
            </w:r>
            <w:proofErr w:type="spellStart"/>
            <w:r w:rsidRPr="00DE18B6">
              <w:rPr>
                <w:rFonts w:ascii="Arial Narrow" w:hAnsi="Arial Narrow"/>
                <w:sz w:val="20"/>
              </w:rPr>
              <w:t>Oncol</w:t>
            </w:r>
            <w:proofErr w:type="spellEnd"/>
            <w:r w:rsidRPr="00DE18B6">
              <w:rPr>
                <w:rFonts w:ascii="Arial Narrow" w:hAnsi="Arial Narrow"/>
                <w:sz w:val="20"/>
              </w:rPr>
              <w:t xml:space="preserve">. </w:t>
            </w:r>
            <w:r>
              <w:rPr>
                <w:rFonts w:ascii="Arial Narrow" w:hAnsi="Arial Narrow"/>
                <w:sz w:val="20"/>
              </w:rPr>
              <w:t>(</w:t>
            </w:r>
            <w:r w:rsidRPr="00DE18B6">
              <w:rPr>
                <w:rFonts w:ascii="Arial Narrow" w:hAnsi="Arial Narrow"/>
                <w:sz w:val="20"/>
              </w:rPr>
              <w:t>2013</w:t>
            </w:r>
            <w:r>
              <w:rPr>
                <w:rFonts w:ascii="Arial Narrow" w:hAnsi="Arial Narrow"/>
                <w:sz w:val="20"/>
              </w:rPr>
              <w:t>)</w:t>
            </w:r>
            <w:r w:rsidRPr="00DE18B6">
              <w:rPr>
                <w:rFonts w:ascii="Arial Narrow" w:hAnsi="Arial Narrow"/>
                <w:sz w:val="20"/>
              </w:rPr>
              <w:t>; 8(Suppl. 2):S196.</w:t>
            </w:r>
            <w:r>
              <w:rPr>
                <w:rFonts w:ascii="Arial Narrow" w:hAnsi="Arial Narrow"/>
                <w:sz w:val="20"/>
              </w:rPr>
              <w:t xml:space="preserve"> </w:t>
            </w:r>
          </w:p>
          <w:p w:rsidR="00FB52A4" w:rsidRDefault="00FB52A4" w:rsidP="00FB52A4">
            <w:pPr>
              <w:jc w:val="left"/>
              <w:rPr>
                <w:rFonts w:ascii="Arial Narrow" w:hAnsi="Arial Narrow"/>
                <w:sz w:val="20"/>
              </w:rPr>
            </w:pPr>
            <w:r w:rsidRPr="00DE18B6">
              <w:rPr>
                <w:rFonts w:ascii="Arial Narrow" w:hAnsi="Arial Narrow"/>
                <w:sz w:val="20"/>
              </w:rPr>
              <w:t>27 - 30 Oct 2013</w:t>
            </w:r>
          </w:p>
          <w:p w:rsidR="00FB52A4" w:rsidRDefault="00FB52A4" w:rsidP="00BD27F8">
            <w:pPr>
              <w:jc w:val="left"/>
              <w:rPr>
                <w:rFonts w:ascii="Arial Narrow" w:hAnsi="Arial Narrow"/>
                <w:sz w:val="20"/>
              </w:rPr>
            </w:pPr>
          </w:p>
        </w:tc>
      </w:tr>
      <w:tr w:rsidR="00FB52A4" w:rsidRPr="004E2ADC" w:rsidTr="00FB52A4">
        <w:tc>
          <w:tcPr>
            <w:tcW w:w="678" w:type="pct"/>
            <w:tcBorders>
              <w:top w:val="nil"/>
              <w:bottom w:val="nil"/>
            </w:tcBorders>
          </w:tcPr>
          <w:p w:rsidR="00FB52A4" w:rsidRPr="00BA1B23" w:rsidRDefault="00FB52A4" w:rsidP="00BD27F8">
            <w:pPr>
              <w:jc w:val="left"/>
              <w:rPr>
                <w:rFonts w:ascii="Arial Narrow" w:hAnsi="Arial Narrow"/>
                <w:sz w:val="20"/>
              </w:rPr>
            </w:pPr>
          </w:p>
        </w:tc>
        <w:tc>
          <w:tcPr>
            <w:tcW w:w="3016" w:type="pct"/>
            <w:tcBorders>
              <w:top w:val="nil"/>
              <w:bottom w:val="nil"/>
            </w:tcBorders>
          </w:tcPr>
          <w:p w:rsidR="00FB52A4" w:rsidRDefault="00FB52A4" w:rsidP="00FB52A4">
            <w:pPr>
              <w:pStyle w:val="TableFooter"/>
              <w:rPr>
                <w:sz w:val="20"/>
              </w:rPr>
            </w:pPr>
            <w:proofErr w:type="spellStart"/>
            <w:r>
              <w:rPr>
                <w:sz w:val="20"/>
              </w:rPr>
              <w:t>Novello</w:t>
            </w:r>
            <w:proofErr w:type="spellEnd"/>
            <w:r>
              <w:rPr>
                <w:sz w:val="20"/>
              </w:rPr>
              <w:t xml:space="preserve"> S, et al. </w:t>
            </w:r>
            <w:r w:rsidRPr="00882E37">
              <w:rPr>
                <w:sz w:val="20"/>
              </w:rPr>
              <w:t xml:space="preserve">Analysis of patient-reported outcomes from the LUME-lung 1 trial: a randomized, double-blind, placebo-controlled </w:t>
            </w:r>
            <w:r w:rsidRPr="00882E37">
              <w:rPr>
                <w:sz w:val="20"/>
              </w:rPr>
              <w:lastRenderedPageBreak/>
              <w:t xml:space="preserve">phase 3 study in second-line advanced non-small cell lung cancer (NSCLC) patients. 15th World </w:t>
            </w:r>
            <w:proofErr w:type="spellStart"/>
            <w:r w:rsidRPr="00882E37">
              <w:rPr>
                <w:sz w:val="20"/>
              </w:rPr>
              <w:t>Conf</w:t>
            </w:r>
            <w:proofErr w:type="spellEnd"/>
            <w:r w:rsidRPr="00882E37">
              <w:rPr>
                <w:sz w:val="20"/>
              </w:rPr>
              <w:t xml:space="preserve"> on Lung</w:t>
            </w:r>
            <w:r>
              <w:rPr>
                <w:sz w:val="20"/>
              </w:rPr>
              <w:t xml:space="preserve"> </w:t>
            </w:r>
            <w:r w:rsidRPr="00882E37">
              <w:rPr>
                <w:sz w:val="20"/>
              </w:rPr>
              <w:t xml:space="preserve">Cancer, Sydney, 27 - 30 Oct 2013 </w:t>
            </w:r>
            <w:proofErr w:type="spellStart"/>
            <w:r w:rsidRPr="00882E37">
              <w:rPr>
                <w:sz w:val="20"/>
              </w:rPr>
              <w:t>Abstr</w:t>
            </w:r>
            <w:proofErr w:type="spellEnd"/>
            <w:r w:rsidRPr="00882E37">
              <w:rPr>
                <w:sz w:val="20"/>
              </w:rPr>
              <w:t xml:space="preserve"> P3.11-040 J </w:t>
            </w:r>
            <w:proofErr w:type="spellStart"/>
            <w:r w:rsidRPr="00882E37">
              <w:rPr>
                <w:sz w:val="20"/>
              </w:rPr>
              <w:t>Thorac</w:t>
            </w:r>
            <w:proofErr w:type="spellEnd"/>
            <w:r w:rsidRPr="00882E37">
              <w:rPr>
                <w:sz w:val="20"/>
              </w:rPr>
              <w:t xml:space="preserve"> </w:t>
            </w:r>
            <w:proofErr w:type="spellStart"/>
            <w:r w:rsidRPr="00882E37">
              <w:rPr>
                <w:sz w:val="20"/>
              </w:rPr>
              <w:t>Oncol</w:t>
            </w:r>
            <w:proofErr w:type="spellEnd"/>
            <w:r w:rsidRPr="00882E37">
              <w:rPr>
                <w:sz w:val="20"/>
              </w:rPr>
              <w:t xml:space="preserve"> 2013; 8(</w:t>
            </w:r>
            <w:proofErr w:type="spellStart"/>
            <w:r w:rsidRPr="00882E37">
              <w:rPr>
                <w:sz w:val="20"/>
              </w:rPr>
              <w:t>Suppl</w:t>
            </w:r>
            <w:proofErr w:type="spellEnd"/>
            <w:r w:rsidRPr="00882E37">
              <w:rPr>
                <w:sz w:val="20"/>
              </w:rPr>
              <w:t xml:space="preserve"> 2):S1207</w:t>
            </w:r>
          </w:p>
          <w:p w:rsidR="00FB52A4" w:rsidRPr="00882E37" w:rsidRDefault="00FB52A4" w:rsidP="00BA1B23">
            <w:pPr>
              <w:pStyle w:val="TableFooter"/>
              <w:rPr>
                <w:sz w:val="20"/>
              </w:rPr>
            </w:pPr>
          </w:p>
        </w:tc>
        <w:tc>
          <w:tcPr>
            <w:tcW w:w="1306" w:type="pct"/>
            <w:tcBorders>
              <w:top w:val="nil"/>
              <w:bottom w:val="nil"/>
            </w:tcBorders>
          </w:tcPr>
          <w:p w:rsidR="00FB52A4" w:rsidRDefault="00FB52A4" w:rsidP="00FB52A4">
            <w:pPr>
              <w:jc w:val="left"/>
              <w:rPr>
                <w:rFonts w:ascii="Arial Narrow" w:hAnsi="Arial Narrow"/>
                <w:sz w:val="20"/>
              </w:rPr>
            </w:pPr>
            <w:r w:rsidRPr="00DE18B6">
              <w:rPr>
                <w:rFonts w:ascii="Arial Narrow" w:hAnsi="Arial Narrow"/>
                <w:sz w:val="20"/>
              </w:rPr>
              <w:lastRenderedPageBreak/>
              <w:t xml:space="preserve">15th World </w:t>
            </w:r>
            <w:proofErr w:type="spellStart"/>
            <w:r w:rsidRPr="00DE18B6">
              <w:rPr>
                <w:rFonts w:ascii="Arial Narrow" w:hAnsi="Arial Narrow"/>
                <w:sz w:val="20"/>
              </w:rPr>
              <w:t>Conf</w:t>
            </w:r>
            <w:proofErr w:type="spellEnd"/>
            <w:r w:rsidRPr="00DE18B6">
              <w:rPr>
                <w:rFonts w:ascii="Arial Narrow" w:hAnsi="Arial Narrow"/>
                <w:sz w:val="20"/>
              </w:rPr>
              <w:t xml:space="preserve"> on </w:t>
            </w:r>
            <w:proofErr w:type="spellStart"/>
            <w:r w:rsidRPr="00DE18B6">
              <w:rPr>
                <w:rFonts w:ascii="Arial Narrow" w:hAnsi="Arial Narrow"/>
                <w:sz w:val="20"/>
              </w:rPr>
              <w:t>LungCancer</w:t>
            </w:r>
            <w:proofErr w:type="spellEnd"/>
            <w:r w:rsidRPr="00DE18B6">
              <w:rPr>
                <w:rFonts w:ascii="Arial Narrow" w:hAnsi="Arial Narrow"/>
                <w:sz w:val="20"/>
              </w:rPr>
              <w:t xml:space="preserve">, Sydney, 27 - </w:t>
            </w:r>
            <w:r w:rsidRPr="00DE18B6">
              <w:rPr>
                <w:rFonts w:ascii="Arial Narrow" w:hAnsi="Arial Narrow"/>
                <w:sz w:val="20"/>
              </w:rPr>
              <w:lastRenderedPageBreak/>
              <w:t xml:space="preserve">30 Oct 2013 </w:t>
            </w:r>
            <w:proofErr w:type="spellStart"/>
            <w:r w:rsidRPr="00DE18B6">
              <w:rPr>
                <w:rFonts w:ascii="Arial Narrow" w:hAnsi="Arial Narrow"/>
                <w:sz w:val="20"/>
              </w:rPr>
              <w:t>Abstr</w:t>
            </w:r>
            <w:proofErr w:type="spellEnd"/>
            <w:r w:rsidRPr="00DE18B6">
              <w:rPr>
                <w:rFonts w:ascii="Arial Narrow" w:hAnsi="Arial Narrow"/>
                <w:sz w:val="20"/>
              </w:rPr>
              <w:t xml:space="preserve"> P3.11-040 J </w:t>
            </w:r>
            <w:proofErr w:type="spellStart"/>
            <w:r w:rsidRPr="00DE18B6">
              <w:rPr>
                <w:rFonts w:ascii="Arial Narrow" w:hAnsi="Arial Narrow"/>
                <w:sz w:val="20"/>
              </w:rPr>
              <w:t>Thorac</w:t>
            </w:r>
            <w:proofErr w:type="spellEnd"/>
            <w:r w:rsidRPr="00DE18B6">
              <w:rPr>
                <w:rFonts w:ascii="Arial Narrow" w:hAnsi="Arial Narrow"/>
                <w:sz w:val="20"/>
              </w:rPr>
              <w:t xml:space="preserve"> </w:t>
            </w:r>
            <w:proofErr w:type="spellStart"/>
            <w:r w:rsidRPr="00DE18B6">
              <w:rPr>
                <w:rFonts w:ascii="Arial Narrow" w:hAnsi="Arial Narrow"/>
                <w:sz w:val="20"/>
              </w:rPr>
              <w:t>Oncol</w:t>
            </w:r>
            <w:proofErr w:type="spellEnd"/>
            <w:r w:rsidRPr="00DE18B6">
              <w:rPr>
                <w:rFonts w:ascii="Arial Narrow" w:hAnsi="Arial Narrow"/>
                <w:sz w:val="20"/>
              </w:rPr>
              <w:t xml:space="preserve"> 2013; 8(</w:t>
            </w:r>
            <w:proofErr w:type="spellStart"/>
            <w:r w:rsidRPr="00DE18B6">
              <w:rPr>
                <w:rFonts w:ascii="Arial Narrow" w:hAnsi="Arial Narrow"/>
                <w:sz w:val="20"/>
              </w:rPr>
              <w:t>Suppl</w:t>
            </w:r>
            <w:proofErr w:type="spellEnd"/>
            <w:r w:rsidRPr="00DE18B6">
              <w:rPr>
                <w:rFonts w:ascii="Arial Narrow" w:hAnsi="Arial Narrow"/>
                <w:sz w:val="20"/>
              </w:rPr>
              <w:t xml:space="preserve"> 2):S1207</w:t>
            </w:r>
          </w:p>
          <w:p w:rsidR="00FB52A4" w:rsidRDefault="00FB52A4" w:rsidP="00BD27F8">
            <w:pPr>
              <w:jc w:val="left"/>
              <w:rPr>
                <w:rFonts w:ascii="Arial Narrow" w:hAnsi="Arial Narrow"/>
                <w:sz w:val="20"/>
              </w:rPr>
            </w:pPr>
          </w:p>
        </w:tc>
      </w:tr>
      <w:tr w:rsidR="00FB52A4" w:rsidRPr="004E2ADC" w:rsidTr="00FB52A4">
        <w:tc>
          <w:tcPr>
            <w:tcW w:w="678" w:type="pct"/>
            <w:tcBorders>
              <w:top w:val="nil"/>
              <w:bottom w:val="nil"/>
            </w:tcBorders>
          </w:tcPr>
          <w:p w:rsidR="00FB52A4" w:rsidRPr="00BA1B23" w:rsidRDefault="00FB52A4" w:rsidP="00BD27F8">
            <w:pPr>
              <w:jc w:val="left"/>
              <w:rPr>
                <w:rFonts w:ascii="Arial Narrow" w:hAnsi="Arial Narrow"/>
                <w:sz w:val="20"/>
              </w:rPr>
            </w:pPr>
          </w:p>
        </w:tc>
        <w:tc>
          <w:tcPr>
            <w:tcW w:w="3016" w:type="pct"/>
            <w:tcBorders>
              <w:top w:val="nil"/>
              <w:bottom w:val="nil"/>
            </w:tcBorders>
          </w:tcPr>
          <w:p w:rsidR="00FB52A4" w:rsidRDefault="00FB52A4" w:rsidP="00FB52A4">
            <w:pPr>
              <w:pStyle w:val="TableFooter"/>
              <w:rPr>
                <w:sz w:val="20"/>
              </w:rPr>
            </w:pPr>
            <w:proofErr w:type="spellStart"/>
            <w:r w:rsidRPr="00A71958">
              <w:rPr>
                <w:sz w:val="20"/>
              </w:rPr>
              <w:t>Reck</w:t>
            </w:r>
            <w:proofErr w:type="spellEnd"/>
            <w:r w:rsidRPr="00A71958">
              <w:rPr>
                <w:sz w:val="20"/>
              </w:rPr>
              <w:t>, M et al</w:t>
            </w:r>
            <w:r w:rsidRPr="00882E37">
              <w:rPr>
                <w:sz w:val="20"/>
              </w:rPr>
              <w:t xml:space="preserve"> LUME-Lung 1 Study Group.  Docetaxel plus nintedanib versus docetaxel plus placebo in patients with previously treated non-small-cell lung cancer (LUME-Lung 1): a phase 3, double-blind, randomised controlled trial.</w:t>
            </w:r>
          </w:p>
          <w:p w:rsidR="00FB52A4" w:rsidRPr="00882E37" w:rsidRDefault="00FB52A4" w:rsidP="00BA1B23">
            <w:pPr>
              <w:pStyle w:val="TableFooter"/>
              <w:rPr>
                <w:sz w:val="20"/>
              </w:rPr>
            </w:pPr>
          </w:p>
        </w:tc>
        <w:tc>
          <w:tcPr>
            <w:tcW w:w="1306" w:type="pct"/>
            <w:tcBorders>
              <w:top w:val="nil"/>
              <w:bottom w:val="nil"/>
            </w:tcBorders>
          </w:tcPr>
          <w:p w:rsidR="00FB52A4" w:rsidRPr="00882E37" w:rsidRDefault="00FB52A4" w:rsidP="00FB52A4">
            <w:pPr>
              <w:pStyle w:val="TableFooter"/>
              <w:rPr>
                <w:sz w:val="20"/>
              </w:rPr>
            </w:pPr>
            <w:r w:rsidRPr="00882E37">
              <w:rPr>
                <w:sz w:val="20"/>
              </w:rPr>
              <w:t xml:space="preserve">Lancet </w:t>
            </w:r>
            <w:proofErr w:type="spellStart"/>
            <w:r w:rsidRPr="00882E37">
              <w:rPr>
                <w:sz w:val="20"/>
              </w:rPr>
              <w:t>Oncol</w:t>
            </w:r>
            <w:proofErr w:type="spellEnd"/>
            <w:r w:rsidRPr="00882E37">
              <w:rPr>
                <w:sz w:val="20"/>
              </w:rPr>
              <w:t>. 2014; 15(2):143-155.</w:t>
            </w:r>
          </w:p>
          <w:p w:rsidR="00FB52A4" w:rsidRDefault="00FB52A4" w:rsidP="00BD27F8">
            <w:pPr>
              <w:jc w:val="left"/>
              <w:rPr>
                <w:rFonts w:ascii="Arial Narrow" w:hAnsi="Arial Narrow"/>
                <w:sz w:val="20"/>
              </w:rPr>
            </w:pPr>
          </w:p>
        </w:tc>
      </w:tr>
      <w:tr w:rsidR="00FB52A4" w:rsidRPr="004E2ADC" w:rsidTr="00FB52A4">
        <w:tc>
          <w:tcPr>
            <w:tcW w:w="678" w:type="pct"/>
            <w:tcBorders>
              <w:top w:val="nil"/>
              <w:bottom w:val="nil"/>
            </w:tcBorders>
          </w:tcPr>
          <w:p w:rsidR="00FB52A4" w:rsidRPr="00BA1B23" w:rsidRDefault="00FB52A4" w:rsidP="00BD27F8">
            <w:pPr>
              <w:jc w:val="left"/>
              <w:rPr>
                <w:rFonts w:ascii="Arial Narrow" w:hAnsi="Arial Narrow"/>
                <w:sz w:val="20"/>
              </w:rPr>
            </w:pPr>
          </w:p>
        </w:tc>
        <w:tc>
          <w:tcPr>
            <w:tcW w:w="3016" w:type="pct"/>
            <w:tcBorders>
              <w:top w:val="nil"/>
              <w:bottom w:val="nil"/>
            </w:tcBorders>
          </w:tcPr>
          <w:p w:rsidR="00FB52A4" w:rsidRDefault="00FB52A4" w:rsidP="00FB52A4">
            <w:pPr>
              <w:pStyle w:val="TableFooter"/>
              <w:rPr>
                <w:sz w:val="20"/>
              </w:rPr>
            </w:pPr>
            <w:proofErr w:type="spellStart"/>
            <w:r w:rsidRPr="00A71958">
              <w:rPr>
                <w:sz w:val="20"/>
              </w:rPr>
              <w:t>Reck</w:t>
            </w:r>
            <w:proofErr w:type="spellEnd"/>
            <w:r w:rsidRPr="00A71958">
              <w:rPr>
                <w:sz w:val="20"/>
              </w:rPr>
              <w:t>, M et al.</w:t>
            </w:r>
            <w:r>
              <w:rPr>
                <w:sz w:val="20"/>
              </w:rPr>
              <w:t xml:space="preserve"> </w:t>
            </w:r>
            <w:r w:rsidRPr="00882E37">
              <w:rPr>
                <w:sz w:val="20"/>
              </w:rPr>
              <w:t>LUME-Lung 1 Study Group.  Nintedanib (BIBF 1120) + docetaxel as second-line therapy in patients with stage IIIB/IV or recurrent NSCLC: results of the phase III, randomised, double-blind LUME-Lung 1 trial.</w:t>
            </w:r>
          </w:p>
          <w:p w:rsidR="00FB52A4" w:rsidRPr="00882E37" w:rsidRDefault="00FB52A4" w:rsidP="00BA1B23">
            <w:pPr>
              <w:pStyle w:val="TableFooter"/>
              <w:rPr>
                <w:sz w:val="20"/>
              </w:rPr>
            </w:pPr>
          </w:p>
        </w:tc>
        <w:tc>
          <w:tcPr>
            <w:tcW w:w="1306" w:type="pct"/>
            <w:tcBorders>
              <w:top w:val="nil"/>
              <w:bottom w:val="nil"/>
            </w:tcBorders>
          </w:tcPr>
          <w:p w:rsidR="00FB52A4" w:rsidRDefault="00FB52A4" w:rsidP="00BD27F8">
            <w:pPr>
              <w:jc w:val="left"/>
              <w:rPr>
                <w:rFonts w:ascii="Arial Narrow" w:hAnsi="Arial Narrow"/>
                <w:sz w:val="20"/>
              </w:rPr>
            </w:pPr>
            <w:r w:rsidRPr="00715A64">
              <w:rPr>
                <w:rFonts w:ascii="Arial Narrow" w:hAnsi="Arial Narrow"/>
                <w:sz w:val="20"/>
              </w:rPr>
              <w:t xml:space="preserve">BTOG 2014, 12th Ann Conference of the British Thoracic Oncology Group (BTOG), Dublin, 29 - 31 Jan 2014 </w:t>
            </w:r>
            <w:proofErr w:type="spellStart"/>
            <w:r w:rsidRPr="00715A64">
              <w:rPr>
                <w:rFonts w:ascii="Arial Narrow" w:hAnsi="Arial Narrow"/>
                <w:sz w:val="20"/>
              </w:rPr>
              <w:t>Abstr</w:t>
            </w:r>
            <w:proofErr w:type="spellEnd"/>
            <w:r w:rsidRPr="00715A64">
              <w:rPr>
                <w:rFonts w:ascii="Arial Narrow" w:hAnsi="Arial Narrow"/>
                <w:sz w:val="20"/>
              </w:rPr>
              <w:t xml:space="preserve"> 30 Lung Cancer 2014; 83(</w:t>
            </w:r>
            <w:proofErr w:type="spellStart"/>
            <w:r w:rsidRPr="00715A64">
              <w:rPr>
                <w:rFonts w:ascii="Arial Narrow" w:hAnsi="Arial Narrow"/>
                <w:sz w:val="20"/>
              </w:rPr>
              <w:t>Suppl</w:t>
            </w:r>
            <w:proofErr w:type="spellEnd"/>
            <w:r w:rsidRPr="00715A64">
              <w:rPr>
                <w:rFonts w:ascii="Arial Narrow" w:hAnsi="Arial Narrow"/>
                <w:sz w:val="20"/>
              </w:rPr>
              <w:t xml:space="preserve"> 1):S12.</w:t>
            </w:r>
          </w:p>
          <w:p w:rsidR="00FB52A4" w:rsidRDefault="00FB52A4" w:rsidP="00BD27F8">
            <w:pPr>
              <w:jc w:val="left"/>
              <w:rPr>
                <w:rFonts w:ascii="Arial Narrow" w:hAnsi="Arial Narrow"/>
                <w:sz w:val="20"/>
              </w:rPr>
            </w:pPr>
          </w:p>
        </w:tc>
      </w:tr>
      <w:tr w:rsidR="00FB52A4" w:rsidRPr="004E2ADC" w:rsidTr="00FB52A4">
        <w:tc>
          <w:tcPr>
            <w:tcW w:w="678" w:type="pct"/>
            <w:tcBorders>
              <w:top w:val="nil"/>
              <w:bottom w:val="nil"/>
            </w:tcBorders>
          </w:tcPr>
          <w:p w:rsidR="00FB52A4" w:rsidRPr="00BA1B23" w:rsidRDefault="00FB52A4" w:rsidP="00BD27F8">
            <w:pPr>
              <w:jc w:val="left"/>
              <w:rPr>
                <w:rFonts w:ascii="Arial Narrow" w:hAnsi="Arial Narrow"/>
                <w:sz w:val="20"/>
              </w:rPr>
            </w:pPr>
          </w:p>
        </w:tc>
        <w:tc>
          <w:tcPr>
            <w:tcW w:w="3016" w:type="pct"/>
            <w:tcBorders>
              <w:top w:val="nil"/>
              <w:bottom w:val="nil"/>
            </w:tcBorders>
          </w:tcPr>
          <w:p w:rsidR="00FB52A4" w:rsidRDefault="00FB52A4" w:rsidP="00FB52A4">
            <w:pPr>
              <w:pStyle w:val="TableFooter"/>
              <w:rPr>
                <w:sz w:val="20"/>
              </w:rPr>
            </w:pPr>
            <w:proofErr w:type="spellStart"/>
            <w:r w:rsidRPr="00A71958">
              <w:rPr>
                <w:sz w:val="20"/>
              </w:rPr>
              <w:t>Reck</w:t>
            </w:r>
            <w:proofErr w:type="spellEnd"/>
            <w:r w:rsidRPr="00A71958">
              <w:rPr>
                <w:sz w:val="20"/>
              </w:rPr>
              <w:t>, M et al.</w:t>
            </w:r>
            <w:r>
              <w:rPr>
                <w:sz w:val="20"/>
              </w:rPr>
              <w:t xml:space="preserve"> </w:t>
            </w:r>
            <w:r w:rsidRPr="00882E37">
              <w:rPr>
                <w:sz w:val="20"/>
              </w:rPr>
              <w:t>LUME-Lung 1 Study Group.  Nintedanib (BIBF 1120) + docetaxel as second-line therapy in patients with stage IIIB/IV or recurrent NSCLC: results of the phase III, randomised, double-blind LUME-Lung 1 trial.</w:t>
            </w:r>
          </w:p>
          <w:p w:rsidR="00FB52A4" w:rsidRPr="00882E37" w:rsidRDefault="00FB52A4" w:rsidP="00BA1B23">
            <w:pPr>
              <w:pStyle w:val="TableFooter"/>
              <w:rPr>
                <w:sz w:val="20"/>
              </w:rPr>
            </w:pPr>
          </w:p>
        </w:tc>
        <w:tc>
          <w:tcPr>
            <w:tcW w:w="1306" w:type="pct"/>
            <w:tcBorders>
              <w:top w:val="nil"/>
              <w:bottom w:val="nil"/>
            </w:tcBorders>
          </w:tcPr>
          <w:p w:rsidR="00FB52A4" w:rsidRDefault="00FB52A4" w:rsidP="00BD27F8">
            <w:pPr>
              <w:jc w:val="left"/>
              <w:rPr>
                <w:rFonts w:ascii="Arial Narrow" w:hAnsi="Arial Narrow"/>
                <w:sz w:val="20"/>
              </w:rPr>
            </w:pPr>
            <w:r w:rsidRPr="00DE18B6">
              <w:rPr>
                <w:rFonts w:ascii="Arial Narrow" w:hAnsi="Arial Narrow"/>
                <w:sz w:val="20"/>
              </w:rPr>
              <w:t>4th European Lung Cancer Conference (ELCC), Geneva, 26 - 29 Mar 2014 (Poster)</w:t>
            </w:r>
          </w:p>
        </w:tc>
      </w:tr>
      <w:tr w:rsidR="00FB52A4" w:rsidRPr="004E2ADC" w:rsidTr="00FB52A4">
        <w:tc>
          <w:tcPr>
            <w:tcW w:w="678" w:type="pct"/>
            <w:tcBorders>
              <w:top w:val="nil"/>
              <w:bottom w:val="nil"/>
            </w:tcBorders>
          </w:tcPr>
          <w:p w:rsidR="00FB52A4" w:rsidRPr="00BA1B23" w:rsidRDefault="00FB52A4" w:rsidP="00BD27F8">
            <w:pPr>
              <w:jc w:val="left"/>
              <w:rPr>
                <w:rFonts w:ascii="Arial Narrow" w:hAnsi="Arial Narrow"/>
                <w:sz w:val="20"/>
              </w:rPr>
            </w:pPr>
          </w:p>
        </w:tc>
        <w:tc>
          <w:tcPr>
            <w:tcW w:w="3016" w:type="pct"/>
            <w:tcBorders>
              <w:top w:val="nil"/>
              <w:bottom w:val="nil"/>
            </w:tcBorders>
          </w:tcPr>
          <w:p w:rsidR="00FB52A4" w:rsidRPr="00882E37" w:rsidRDefault="00FB52A4" w:rsidP="00FB52A4">
            <w:pPr>
              <w:pStyle w:val="TableFooter"/>
              <w:rPr>
                <w:sz w:val="20"/>
              </w:rPr>
            </w:pPr>
            <w:proofErr w:type="spellStart"/>
            <w:r w:rsidRPr="00A71958">
              <w:rPr>
                <w:sz w:val="20"/>
              </w:rPr>
              <w:t>Reck</w:t>
            </w:r>
            <w:proofErr w:type="spellEnd"/>
            <w:r w:rsidRPr="00A71958">
              <w:rPr>
                <w:sz w:val="20"/>
              </w:rPr>
              <w:t>, M et al</w:t>
            </w:r>
            <w:r>
              <w:rPr>
                <w:sz w:val="20"/>
              </w:rPr>
              <w:t>.</w:t>
            </w:r>
            <w:r w:rsidRPr="00882E37">
              <w:rPr>
                <w:sz w:val="20"/>
              </w:rPr>
              <w:t xml:space="preserve"> Nintedanib (BIBF 1120) + docetaxel as 2nd-line therapy in patients with stage </w:t>
            </w:r>
            <w:proofErr w:type="spellStart"/>
            <w:r w:rsidRPr="00882E37">
              <w:rPr>
                <w:sz w:val="20"/>
              </w:rPr>
              <w:t>IIIb</w:t>
            </w:r>
            <w:proofErr w:type="spellEnd"/>
            <w:r w:rsidRPr="00882E37">
              <w:rPr>
                <w:sz w:val="20"/>
              </w:rPr>
              <w:t>/IV or recurrent NSCLC: results of the phase III, randomised, double-blind LUME-Lung 1 trial. (</w:t>
            </w:r>
            <w:proofErr w:type="gramStart"/>
            <w:r w:rsidRPr="00882E37">
              <w:rPr>
                <w:sz w:val="20"/>
              </w:rPr>
              <w:t>for</w:t>
            </w:r>
            <w:proofErr w:type="gramEnd"/>
            <w:r w:rsidRPr="00882E37">
              <w:rPr>
                <w:sz w:val="20"/>
              </w:rPr>
              <w:t xml:space="preserve"> the LUME-Lung 1 study group). </w:t>
            </w:r>
          </w:p>
          <w:p w:rsidR="00FB52A4" w:rsidRPr="00882E37" w:rsidRDefault="00FB52A4" w:rsidP="00BA1B23">
            <w:pPr>
              <w:pStyle w:val="TableFooter"/>
              <w:rPr>
                <w:sz w:val="20"/>
              </w:rPr>
            </w:pPr>
          </w:p>
        </w:tc>
        <w:tc>
          <w:tcPr>
            <w:tcW w:w="1306" w:type="pct"/>
            <w:tcBorders>
              <w:top w:val="nil"/>
              <w:bottom w:val="nil"/>
            </w:tcBorders>
          </w:tcPr>
          <w:p w:rsidR="00FB52A4" w:rsidRDefault="00FB52A4" w:rsidP="00BD27F8">
            <w:pPr>
              <w:jc w:val="left"/>
              <w:rPr>
                <w:rFonts w:ascii="Arial Narrow" w:hAnsi="Arial Narrow"/>
                <w:sz w:val="20"/>
              </w:rPr>
            </w:pPr>
            <w:r w:rsidRPr="00DE18B6">
              <w:rPr>
                <w:rFonts w:ascii="Arial Narrow" w:hAnsi="Arial Narrow"/>
                <w:sz w:val="20"/>
              </w:rPr>
              <w:t xml:space="preserve">4th European Lung Cancer Conference (ELCC), Geneva, 26 - 29 Mar 2014 </w:t>
            </w:r>
            <w:proofErr w:type="spellStart"/>
            <w:r w:rsidRPr="00DE18B6">
              <w:rPr>
                <w:rFonts w:ascii="Arial Narrow" w:hAnsi="Arial Narrow"/>
                <w:sz w:val="20"/>
              </w:rPr>
              <w:t>Abstr</w:t>
            </w:r>
            <w:proofErr w:type="spellEnd"/>
            <w:r w:rsidRPr="00DE18B6">
              <w:rPr>
                <w:rFonts w:ascii="Arial Narrow" w:hAnsi="Arial Narrow"/>
                <w:sz w:val="20"/>
              </w:rPr>
              <w:t xml:space="preserve"> 97PD J. </w:t>
            </w:r>
            <w:proofErr w:type="spellStart"/>
            <w:r w:rsidRPr="00DE18B6">
              <w:rPr>
                <w:rFonts w:ascii="Arial Narrow" w:hAnsi="Arial Narrow"/>
                <w:sz w:val="20"/>
              </w:rPr>
              <w:t>Thorac</w:t>
            </w:r>
            <w:proofErr w:type="spellEnd"/>
            <w:r w:rsidRPr="00DE18B6">
              <w:rPr>
                <w:rFonts w:ascii="Arial Narrow" w:hAnsi="Arial Narrow"/>
                <w:sz w:val="20"/>
              </w:rPr>
              <w:t xml:space="preserve">. </w:t>
            </w:r>
            <w:proofErr w:type="spellStart"/>
            <w:r w:rsidRPr="00DE18B6">
              <w:rPr>
                <w:rFonts w:ascii="Arial Narrow" w:hAnsi="Arial Narrow"/>
                <w:sz w:val="20"/>
              </w:rPr>
              <w:t>Oncol</w:t>
            </w:r>
            <w:proofErr w:type="spellEnd"/>
            <w:r w:rsidRPr="00DE18B6">
              <w:rPr>
                <w:rFonts w:ascii="Arial Narrow" w:hAnsi="Arial Narrow"/>
                <w:sz w:val="20"/>
              </w:rPr>
              <w:t xml:space="preserve">. 2014; 9(4, </w:t>
            </w:r>
            <w:proofErr w:type="spellStart"/>
            <w:r w:rsidRPr="00DE18B6">
              <w:rPr>
                <w:rFonts w:ascii="Arial Narrow" w:hAnsi="Arial Narrow"/>
                <w:sz w:val="20"/>
              </w:rPr>
              <w:t>Suppl</w:t>
            </w:r>
            <w:proofErr w:type="spellEnd"/>
            <w:r w:rsidRPr="00DE18B6">
              <w:rPr>
                <w:rFonts w:ascii="Arial Narrow" w:hAnsi="Arial Narrow"/>
                <w:sz w:val="20"/>
              </w:rPr>
              <w:t xml:space="preserve"> 1):S39-S40.</w:t>
            </w:r>
          </w:p>
          <w:p w:rsidR="00FB52A4" w:rsidRDefault="00FB52A4" w:rsidP="00BD27F8">
            <w:pPr>
              <w:jc w:val="left"/>
              <w:rPr>
                <w:rFonts w:ascii="Arial Narrow" w:hAnsi="Arial Narrow"/>
                <w:sz w:val="20"/>
              </w:rPr>
            </w:pPr>
          </w:p>
        </w:tc>
      </w:tr>
      <w:tr w:rsidR="00FB52A4" w:rsidRPr="004E2ADC" w:rsidTr="00FB52A4">
        <w:tc>
          <w:tcPr>
            <w:tcW w:w="678" w:type="pct"/>
            <w:tcBorders>
              <w:top w:val="nil"/>
            </w:tcBorders>
          </w:tcPr>
          <w:p w:rsidR="00FB52A4" w:rsidRPr="00BA1B23" w:rsidRDefault="00FB52A4" w:rsidP="00BD27F8">
            <w:pPr>
              <w:jc w:val="left"/>
              <w:rPr>
                <w:rFonts w:ascii="Arial Narrow" w:hAnsi="Arial Narrow"/>
                <w:sz w:val="20"/>
              </w:rPr>
            </w:pPr>
          </w:p>
        </w:tc>
        <w:tc>
          <w:tcPr>
            <w:tcW w:w="3016" w:type="pct"/>
            <w:tcBorders>
              <w:top w:val="nil"/>
            </w:tcBorders>
          </w:tcPr>
          <w:p w:rsidR="00FB52A4" w:rsidRDefault="00FB52A4" w:rsidP="00FB52A4">
            <w:pPr>
              <w:pStyle w:val="TableFooter"/>
            </w:pPr>
            <w:proofErr w:type="spellStart"/>
            <w:r w:rsidRPr="00A71958">
              <w:rPr>
                <w:sz w:val="20"/>
              </w:rPr>
              <w:t>Reck</w:t>
            </w:r>
            <w:proofErr w:type="spellEnd"/>
            <w:r w:rsidRPr="00A71958">
              <w:rPr>
                <w:sz w:val="20"/>
              </w:rPr>
              <w:t>, M et al.</w:t>
            </w:r>
            <w:r>
              <w:rPr>
                <w:sz w:val="20"/>
              </w:rPr>
              <w:t xml:space="preserve"> </w:t>
            </w:r>
            <w:r w:rsidRPr="00FA5DA7">
              <w:rPr>
                <w:sz w:val="20"/>
              </w:rPr>
              <w:t>LUME-Lung 1 Study Group.  Antiangiogenic-specific adverse events in patients with non-small cell lung</w:t>
            </w:r>
            <w:r>
              <w:rPr>
                <w:sz w:val="20"/>
              </w:rPr>
              <w:t xml:space="preserve"> </w:t>
            </w:r>
            <w:r w:rsidRPr="00FA5DA7">
              <w:rPr>
                <w:sz w:val="20"/>
              </w:rPr>
              <w:t xml:space="preserve">cancer (NSCLC) treated with nintedanib (BIBF 1120) and docetaxel.  </w:t>
            </w:r>
          </w:p>
          <w:p w:rsidR="00FB52A4" w:rsidRPr="00882E37" w:rsidRDefault="00FB52A4" w:rsidP="00BA1B23">
            <w:pPr>
              <w:pStyle w:val="TableFooter"/>
              <w:rPr>
                <w:sz w:val="20"/>
              </w:rPr>
            </w:pPr>
          </w:p>
        </w:tc>
        <w:tc>
          <w:tcPr>
            <w:tcW w:w="1306" w:type="pct"/>
            <w:tcBorders>
              <w:top w:val="nil"/>
            </w:tcBorders>
          </w:tcPr>
          <w:p w:rsidR="00FB52A4" w:rsidRDefault="00FB52A4" w:rsidP="00BD27F8">
            <w:pPr>
              <w:jc w:val="left"/>
              <w:rPr>
                <w:rFonts w:ascii="Arial Narrow" w:hAnsi="Arial Narrow"/>
                <w:sz w:val="20"/>
              </w:rPr>
            </w:pPr>
            <w:r w:rsidRPr="00FA5DA7">
              <w:rPr>
                <w:rFonts w:ascii="Arial Narrow" w:hAnsi="Arial Narrow"/>
                <w:sz w:val="20"/>
              </w:rPr>
              <w:t xml:space="preserve">50th Annual </w:t>
            </w:r>
            <w:proofErr w:type="spellStart"/>
            <w:r w:rsidRPr="00FA5DA7">
              <w:rPr>
                <w:rFonts w:ascii="Arial Narrow" w:hAnsi="Arial Narrow"/>
                <w:sz w:val="20"/>
              </w:rPr>
              <w:t>Mtg</w:t>
            </w:r>
            <w:proofErr w:type="spellEnd"/>
            <w:r w:rsidRPr="00FA5DA7">
              <w:rPr>
                <w:rFonts w:ascii="Arial Narrow" w:hAnsi="Arial Narrow"/>
                <w:sz w:val="20"/>
              </w:rPr>
              <w:t xml:space="preserve"> of the American Society of Clinical Oncology (ASCO), Chicago, 30 May - 3 Jun 2014 (Poster).</w:t>
            </w:r>
          </w:p>
        </w:tc>
      </w:tr>
      <w:tr w:rsidR="001A3698" w:rsidRPr="004E2ADC" w:rsidTr="00FB52A4">
        <w:tc>
          <w:tcPr>
            <w:tcW w:w="5000" w:type="pct"/>
            <w:gridSpan w:val="3"/>
            <w:tcBorders>
              <w:bottom w:val="single" w:sz="4" w:space="0" w:color="auto"/>
            </w:tcBorders>
          </w:tcPr>
          <w:p w:rsidR="001A3698" w:rsidRPr="004E2ADC" w:rsidRDefault="00BA1B23" w:rsidP="00BD27F8">
            <w:pPr>
              <w:jc w:val="left"/>
              <w:rPr>
                <w:rFonts w:ascii="Arial Narrow" w:hAnsi="Arial Narrow"/>
                <w:b/>
                <w:sz w:val="20"/>
              </w:rPr>
            </w:pPr>
            <w:r>
              <w:rPr>
                <w:rFonts w:ascii="Arial Narrow" w:hAnsi="Arial Narrow"/>
                <w:b/>
                <w:sz w:val="20"/>
              </w:rPr>
              <w:t>Pemetrexed vs. docetaxel</w:t>
            </w:r>
          </w:p>
        </w:tc>
      </w:tr>
      <w:tr w:rsidR="001A3698" w:rsidRPr="004E2ADC" w:rsidTr="00FB52A4">
        <w:tc>
          <w:tcPr>
            <w:tcW w:w="678" w:type="pct"/>
            <w:tcBorders>
              <w:bottom w:val="nil"/>
            </w:tcBorders>
          </w:tcPr>
          <w:p w:rsidR="001A3698" w:rsidRPr="005C6CF5" w:rsidRDefault="00BA1B23" w:rsidP="00BD27F8">
            <w:pPr>
              <w:jc w:val="left"/>
              <w:rPr>
                <w:rFonts w:ascii="Arial Narrow" w:hAnsi="Arial Narrow"/>
                <w:sz w:val="20"/>
                <w:lang w:val="fr-FR"/>
              </w:rPr>
            </w:pPr>
            <w:r>
              <w:rPr>
                <w:rFonts w:ascii="Arial Narrow" w:hAnsi="Arial Narrow"/>
                <w:sz w:val="20"/>
                <w:lang w:val="fr-FR"/>
              </w:rPr>
              <w:t>JMEI</w:t>
            </w:r>
          </w:p>
        </w:tc>
        <w:tc>
          <w:tcPr>
            <w:tcW w:w="3016" w:type="pct"/>
            <w:tcBorders>
              <w:bottom w:val="nil"/>
            </w:tcBorders>
          </w:tcPr>
          <w:p w:rsidR="00BA1B23" w:rsidRDefault="00BA1B23" w:rsidP="00FB52A4">
            <w:pPr>
              <w:jc w:val="left"/>
              <w:rPr>
                <w:rFonts w:ascii="Arial Narrow" w:hAnsi="Arial Narrow"/>
                <w:sz w:val="20"/>
              </w:rPr>
            </w:pPr>
            <w:r w:rsidRPr="005C6CF5">
              <w:rPr>
                <w:rFonts w:ascii="Arial Narrow" w:hAnsi="Arial Narrow"/>
                <w:sz w:val="20"/>
                <w:lang w:val="fr-FR"/>
              </w:rPr>
              <w:t xml:space="preserve">De </w:t>
            </w:r>
            <w:proofErr w:type="spellStart"/>
            <w:r w:rsidRPr="005C6CF5">
              <w:rPr>
                <w:rFonts w:ascii="Arial Narrow" w:hAnsi="Arial Narrow"/>
                <w:sz w:val="20"/>
                <w:lang w:val="fr-FR"/>
              </w:rPr>
              <w:t>Marinis</w:t>
            </w:r>
            <w:proofErr w:type="spellEnd"/>
            <w:r w:rsidRPr="005C6CF5">
              <w:rPr>
                <w:rFonts w:ascii="Arial Narrow" w:hAnsi="Arial Narrow"/>
                <w:sz w:val="20"/>
                <w:lang w:val="fr-FR"/>
              </w:rPr>
              <w:t>, F et al</w:t>
            </w:r>
            <w:r>
              <w:rPr>
                <w:rFonts w:ascii="Arial Narrow" w:hAnsi="Arial Narrow"/>
                <w:sz w:val="20"/>
                <w:lang w:val="fr-FR"/>
              </w:rPr>
              <w:t xml:space="preserve">. </w:t>
            </w:r>
            <w:r w:rsidR="001A3698" w:rsidRPr="005C6CF5">
              <w:rPr>
                <w:rFonts w:ascii="Arial Narrow" w:hAnsi="Arial Narrow"/>
                <w:sz w:val="20"/>
              </w:rPr>
              <w:t xml:space="preserve">Lung cancer symptom scale outcomes in relation to standard efficacy measures: An analysis of the phase III study of pemetrexed versus docetaxel in advanced non-small cell lung cancer. </w:t>
            </w:r>
          </w:p>
          <w:p w:rsidR="00FB52A4" w:rsidRPr="00FB52A4" w:rsidRDefault="00FB52A4" w:rsidP="00FB52A4">
            <w:pPr>
              <w:jc w:val="left"/>
              <w:rPr>
                <w:rFonts w:ascii="Arial Narrow" w:hAnsi="Arial Narrow"/>
                <w:sz w:val="20"/>
              </w:rPr>
            </w:pPr>
          </w:p>
        </w:tc>
        <w:tc>
          <w:tcPr>
            <w:tcW w:w="1306" w:type="pct"/>
            <w:tcBorders>
              <w:bottom w:val="nil"/>
            </w:tcBorders>
          </w:tcPr>
          <w:p w:rsidR="00BA1B23" w:rsidRDefault="001A3698" w:rsidP="00BD27F8">
            <w:pPr>
              <w:jc w:val="left"/>
              <w:rPr>
                <w:rFonts w:ascii="Arial Narrow" w:hAnsi="Arial Narrow"/>
                <w:sz w:val="20"/>
              </w:rPr>
            </w:pPr>
            <w:r w:rsidRPr="005C6CF5">
              <w:rPr>
                <w:rFonts w:ascii="Arial Narrow" w:hAnsi="Arial Narrow"/>
                <w:i/>
                <w:iCs/>
                <w:sz w:val="20"/>
              </w:rPr>
              <w:t xml:space="preserve">Journal of Thoracic </w:t>
            </w:r>
            <w:proofErr w:type="spellStart"/>
            <w:r w:rsidRPr="005C6CF5">
              <w:rPr>
                <w:rFonts w:ascii="Arial Narrow" w:hAnsi="Arial Narrow"/>
                <w:i/>
                <w:iCs/>
                <w:sz w:val="20"/>
              </w:rPr>
              <w:t>Oncolog</w:t>
            </w:r>
            <w:proofErr w:type="spellEnd"/>
            <w:r w:rsidRPr="005C6CF5">
              <w:rPr>
                <w:rFonts w:ascii="Arial Narrow" w:hAnsi="Arial Narrow"/>
                <w:i/>
                <w:iCs/>
                <w:sz w:val="20"/>
              </w:rPr>
              <w:t>, 2008;</w:t>
            </w:r>
            <w:r w:rsidRPr="005C6CF5">
              <w:rPr>
                <w:rFonts w:ascii="Arial Narrow" w:hAnsi="Arial Narrow"/>
                <w:sz w:val="20"/>
              </w:rPr>
              <w:t xml:space="preserve"> 3:30-36.</w:t>
            </w:r>
          </w:p>
          <w:p w:rsidR="00BA1B23" w:rsidRPr="004E2ADC" w:rsidRDefault="00BA1B23" w:rsidP="00BD27F8">
            <w:pPr>
              <w:jc w:val="left"/>
              <w:rPr>
                <w:rFonts w:ascii="Arial Narrow" w:hAnsi="Arial Narrow"/>
                <w:b/>
                <w:sz w:val="20"/>
              </w:rPr>
            </w:pPr>
          </w:p>
        </w:tc>
      </w:tr>
      <w:tr w:rsidR="00FB52A4" w:rsidRPr="004E2ADC" w:rsidTr="00FB52A4">
        <w:tc>
          <w:tcPr>
            <w:tcW w:w="678" w:type="pct"/>
            <w:tcBorders>
              <w:top w:val="nil"/>
              <w:bottom w:val="nil"/>
            </w:tcBorders>
          </w:tcPr>
          <w:p w:rsidR="00FB52A4" w:rsidRDefault="00FB52A4" w:rsidP="00BD27F8">
            <w:pPr>
              <w:jc w:val="left"/>
              <w:rPr>
                <w:rFonts w:ascii="Arial Narrow" w:hAnsi="Arial Narrow"/>
                <w:sz w:val="20"/>
                <w:lang w:val="fr-FR"/>
              </w:rPr>
            </w:pPr>
          </w:p>
        </w:tc>
        <w:tc>
          <w:tcPr>
            <w:tcW w:w="3016" w:type="pct"/>
            <w:tcBorders>
              <w:top w:val="nil"/>
              <w:bottom w:val="nil"/>
            </w:tcBorders>
          </w:tcPr>
          <w:p w:rsidR="00FB52A4" w:rsidRDefault="00FB52A4" w:rsidP="00FB52A4">
            <w:pPr>
              <w:jc w:val="left"/>
              <w:rPr>
                <w:rFonts w:ascii="Arial Narrow" w:hAnsi="Arial Narrow"/>
                <w:sz w:val="20"/>
              </w:rPr>
            </w:pPr>
            <w:r w:rsidRPr="005C6CF5">
              <w:rPr>
                <w:rFonts w:ascii="Arial Narrow" w:hAnsi="Arial Narrow"/>
                <w:sz w:val="20"/>
              </w:rPr>
              <w:t>Hanna</w:t>
            </w:r>
            <w:r>
              <w:rPr>
                <w:rFonts w:ascii="Arial Narrow" w:hAnsi="Arial Narrow"/>
                <w:sz w:val="20"/>
              </w:rPr>
              <w:t>,</w:t>
            </w:r>
            <w:r w:rsidRPr="005C6CF5">
              <w:rPr>
                <w:rFonts w:ascii="Arial Narrow" w:hAnsi="Arial Narrow"/>
                <w:sz w:val="20"/>
              </w:rPr>
              <w:t xml:space="preserve"> N</w:t>
            </w:r>
            <w:r>
              <w:rPr>
                <w:rFonts w:ascii="Arial Narrow" w:hAnsi="Arial Narrow"/>
                <w:sz w:val="20"/>
              </w:rPr>
              <w:t xml:space="preserve"> et al. </w:t>
            </w:r>
            <w:r w:rsidRPr="005C6CF5">
              <w:rPr>
                <w:rFonts w:ascii="Arial Narrow" w:hAnsi="Arial Narrow"/>
                <w:sz w:val="20"/>
              </w:rPr>
              <w:t>Randomized phase III trial of pemetrexed versus docetaxel in patients with non-small-cell lung cancer previously treated with chemotherapy.</w:t>
            </w:r>
          </w:p>
          <w:p w:rsidR="00FB52A4" w:rsidRPr="005C6CF5" w:rsidRDefault="00FB52A4" w:rsidP="00BD27F8">
            <w:pPr>
              <w:jc w:val="left"/>
              <w:rPr>
                <w:rFonts w:ascii="Arial Narrow" w:hAnsi="Arial Narrow"/>
                <w:sz w:val="20"/>
                <w:lang w:val="fr-FR"/>
              </w:rPr>
            </w:pPr>
          </w:p>
        </w:tc>
        <w:tc>
          <w:tcPr>
            <w:tcW w:w="1306" w:type="pct"/>
            <w:tcBorders>
              <w:top w:val="nil"/>
              <w:bottom w:val="nil"/>
            </w:tcBorders>
          </w:tcPr>
          <w:p w:rsidR="00FB52A4" w:rsidRPr="00FB52A4" w:rsidRDefault="00FB52A4" w:rsidP="00BD27F8">
            <w:pPr>
              <w:jc w:val="left"/>
              <w:rPr>
                <w:rFonts w:ascii="Arial Narrow" w:hAnsi="Arial Narrow"/>
                <w:sz w:val="20"/>
              </w:rPr>
            </w:pPr>
            <w:r w:rsidRPr="005C6CF5">
              <w:rPr>
                <w:rFonts w:ascii="Arial Narrow" w:hAnsi="Arial Narrow"/>
                <w:i/>
                <w:iCs/>
                <w:sz w:val="20"/>
              </w:rPr>
              <w:t xml:space="preserve">J. Clinic. </w:t>
            </w:r>
            <w:proofErr w:type="spellStart"/>
            <w:r w:rsidRPr="005C6CF5">
              <w:rPr>
                <w:rFonts w:ascii="Arial Narrow" w:hAnsi="Arial Narrow"/>
                <w:i/>
                <w:iCs/>
                <w:sz w:val="20"/>
              </w:rPr>
              <w:t>Oncol</w:t>
            </w:r>
            <w:proofErr w:type="spellEnd"/>
            <w:r w:rsidRPr="005C6CF5">
              <w:rPr>
                <w:rFonts w:ascii="Arial Narrow" w:hAnsi="Arial Narrow"/>
                <w:i/>
                <w:iCs/>
                <w:sz w:val="20"/>
              </w:rPr>
              <w:t>.,</w:t>
            </w:r>
            <w:r w:rsidRPr="005C6CF5">
              <w:rPr>
                <w:rFonts w:ascii="Arial Narrow" w:hAnsi="Arial Narrow"/>
                <w:sz w:val="20"/>
              </w:rPr>
              <w:t xml:space="preserve"> 22:1589-1597</w:t>
            </w:r>
          </w:p>
        </w:tc>
      </w:tr>
      <w:tr w:rsidR="00FB52A4" w:rsidRPr="004E2ADC" w:rsidTr="00FB52A4">
        <w:tc>
          <w:tcPr>
            <w:tcW w:w="678" w:type="pct"/>
            <w:tcBorders>
              <w:top w:val="nil"/>
              <w:bottom w:val="nil"/>
            </w:tcBorders>
          </w:tcPr>
          <w:p w:rsidR="00FB52A4" w:rsidRDefault="00FB52A4" w:rsidP="00BD27F8">
            <w:pPr>
              <w:jc w:val="left"/>
              <w:rPr>
                <w:rFonts w:ascii="Arial Narrow" w:hAnsi="Arial Narrow"/>
                <w:sz w:val="20"/>
                <w:lang w:val="fr-FR"/>
              </w:rPr>
            </w:pPr>
          </w:p>
        </w:tc>
        <w:tc>
          <w:tcPr>
            <w:tcW w:w="3016" w:type="pct"/>
            <w:tcBorders>
              <w:top w:val="nil"/>
              <w:bottom w:val="nil"/>
            </w:tcBorders>
          </w:tcPr>
          <w:p w:rsidR="00FB52A4" w:rsidRDefault="00FB52A4" w:rsidP="00FB52A4">
            <w:pPr>
              <w:jc w:val="left"/>
              <w:rPr>
                <w:rFonts w:ascii="Arial Narrow" w:hAnsi="Arial Narrow"/>
                <w:sz w:val="20"/>
              </w:rPr>
            </w:pPr>
            <w:proofErr w:type="spellStart"/>
            <w:r w:rsidRPr="005C6CF5">
              <w:rPr>
                <w:rFonts w:ascii="Arial Narrow" w:hAnsi="Arial Narrow"/>
                <w:sz w:val="20"/>
              </w:rPr>
              <w:t>Scagliotti</w:t>
            </w:r>
            <w:proofErr w:type="spellEnd"/>
            <w:r>
              <w:rPr>
                <w:rFonts w:ascii="Arial Narrow" w:hAnsi="Arial Narrow"/>
                <w:sz w:val="20"/>
              </w:rPr>
              <w:t xml:space="preserve">, </w:t>
            </w:r>
            <w:r w:rsidRPr="005C6CF5">
              <w:rPr>
                <w:rFonts w:ascii="Arial Narrow" w:hAnsi="Arial Narrow"/>
                <w:sz w:val="20"/>
              </w:rPr>
              <w:t>G</w:t>
            </w:r>
            <w:r>
              <w:rPr>
                <w:rFonts w:ascii="Arial Narrow" w:hAnsi="Arial Narrow"/>
                <w:sz w:val="20"/>
              </w:rPr>
              <w:t xml:space="preserve"> et al. </w:t>
            </w:r>
            <w:r w:rsidRPr="005C6CF5">
              <w:rPr>
                <w:rFonts w:ascii="Arial Narrow" w:hAnsi="Arial Narrow"/>
                <w:sz w:val="20"/>
              </w:rPr>
              <w:t>The differential efficacy of pemetrexed according to NSCLC histology: A review of two phase III studies.</w:t>
            </w:r>
          </w:p>
          <w:p w:rsidR="00FB52A4" w:rsidRPr="005C6CF5" w:rsidRDefault="00FB52A4" w:rsidP="00BD27F8">
            <w:pPr>
              <w:jc w:val="left"/>
              <w:rPr>
                <w:rFonts w:ascii="Arial Narrow" w:hAnsi="Arial Narrow"/>
                <w:sz w:val="20"/>
                <w:lang w:val="fr-FR"/>
              </w:rPr>
            </w:pPr>
          </w:p>
        </w:tc>
        <w:tc>
          <w:tcPr>
            <w:tcW w:w="1306" w:type="pct"/>
            <w:tcBorders>
              <w:top w:val="nil"/>
              <w:bottom w:val="nil"/>
            </w:tcBorders>
          </w:tcPr>
          <w:p w:rsidR="00FB52A4" w:rsidRPr="005C6CF5" w:rsidRDefault="00FB52A4" w:rsidP="00BD27F8">
            <w:pPr>
              <w:jc w:val="left"/>
              <w:rPr>
                <w:rFonts w:ascii="Arial Narrow" w:hAnsi="Arial Narrow"/>
                <w:i/>
                <w:iCs/>
                <w:sz w:val="20"/>
              </w:rPr>
            </w:pPr>
            <w:r w:rsidRPr="005C6CF5">
              <w:rPr>
                <w:rFonts w:ascii="Arial Narrow" w:hAnsi="Arial Narrow"/>
                <w:i/>
                <w:iCs/>
                <w:sz w:val="20"/>
              </w:rPr>
              <w:t>Oncologist</w:t>
            </w:r>
            <w:r w:rsidRPr="005C6CF5">
              <w:rPr>
                <w:rFonts w:ascii="Arial Narrow" w:hAnsi="Arial Narrow"/>
                <w:sz w:val="20"/>
              </w:rPr>
              <w:t>, 2009; 14:253-263</w:t>
            </w:r>
          </w:p>
        </w:tc>
      </w:tr>
      <w:tr w:rsidR="00FB52A4" w:rsidRPr="004E2ADC" w:rsidTr="00FB52A4">
        <w:tc>
          <w:tcPr>
            <w:tcW w:w="678" w:type="pct"/>
            <w:tcBorders>
              <w:top w:val="nil"/>
            </w:tcBorders>
          </w:tcPr>
          <w:p w:rsidR="00FB52A4" w:rsidRDefault="00FB52A4" w:rsidP="00BD27F8">
            <w:pPr>
              <w:jc w:val="left"/>
              <w:rPr>
                <w:rFonts w:ascii="Arial Narrow" w:hAnsi="Arial Narrow"/>
                <w:sz w:val="20"/>
                <w:lang w:val="fr-FR"/>
              </w:rPr>
            </w:pPr>
          </w:p>
        </w:tc>
        <w:tc>
          <w:tcPr>
            <w:tcW w:w="3016" w:type="pct"/>
            <w:tcBorders>
              <w:top w:val="nil"/>
            </w:tcBorders>
          </w:tcPr>
          <w:p w:rsidR="00FB52A4" w:rsidRPr="005C6CF5" w:rsidRDefault="00FB52A4" w:rsidP="00BD27F8">
            <w:pPr>
              <w:jc w:val="left"/>
              <w:rPr>
                <w:rFonts w:ascii="Arial Narrow" w:hAnsi="Arial Narrow"/>
                <w:sz w:val="20"/>
                <w:lang w:val="fr-FR"/>
              </w:rPr>
            </w:pPr>
            <w:r w:rsidRPr="006B756B">
              <w:rPr>
                <w:rFonts w:ascii="Arial Narrow" w:hAnsi="Arial Narrow"/>
                <w:sz w:val="20"/>
              </w:rPr>
              <w:t xml:space="preserve">Peterson, P et al. </w:t>
            </w:r>
            <w:r w:rsidRPr="005C6CF5">
              <w:rPr>
                <w:rFonts w:ascii="Arial Narrow" w:hAnsi="Arial Narrow"/>
                <w:sz w:val="20"/>
              </w:rPr>
              <w:t>Is pemetrexed more effective in adenocarcinoma and large cell lung cancer than in squamous cell carcinoma?  A retrospective analysis of a phase III trial of pemetrexed vs docetaxel in previously treated patients with advanced non-small-cell lung cancer (NSCLC).</w:t>
            </w:r>
          </w:p>
        </w:tc>
        <w:tc>
          <w:tcPr>
            <w:tcW w:w="1306" w:type="pct"/>
            <w:tcBorders>
              <w:top w:val="nil"/>
            </w:tcBorders>
          </w:tcPr>
          <w:p w:rsidR="00FB52A4" w:rsidRPr="005C6CF5" w:rsidRDefault="00FB52A4" w:rsidP="00BD27F8">
            <w:pPr>
              <w:jc w:val="left"/>
              <w:rPr>
                <w:rFonts w:ascii="Arial Narrow" w:hAnsi="Arial Narrow"/>
                <w:i/>
                <w:iCs/>
                <w:sz w:val="20"/>
              </w:rPr>
            </w:pPr>
            <w:r w:rsidRPr="005C6CF5">
              <w:rPr>
                <w:rFonts w:ascii="Arial Narrow" w:hAnsi="Arial Narrow"/>
                <w:i/>
                <w:iCs/>
                <w:sz w:val="20"/>
              </w:rPr>
              <w:t xml:space="preserve">J. Thoracic </w:t>
            </w:r>
            <w:proofErr w:type="spellStart"/>
            <w:r w:rsidRPr="005C6CF5">
              <w:rPr>
                <w:rFonts w:ascii="Arial Narrow" w:hAnsi="Arial Narrow"/>
                <w:i/>
                <w:iCs/>
                <w:sz w:val="20"/>
              </w:rPr>
              <w:t>Oncol</w:t>
            </w:r>
            <w:proofErr w:type="spellEnd"/>
            <w:r w:rsidRPr="005C6CF5">
              <w:rPr>
                <w:rFonts w:ascii="Arial Narrow" w:hAnsi="Arial Narrow"/>
                <w:i/>
                <w:iCs/>
                <w:sz w:val="20"/>
              </w:rPr>
              <w:t>.</w:t>
            </w:r>
            <w:r w:rsidRPr="005C6CF5">
              <w:rPr>
                <w:rFonts w:ascii="Arial Narrow" w:hAnsi="Arial Narrow"/>
                <w:sz w:val="20"/>
              </w:rPr>
              <w:t xml:space="preserve"> 2007; 2(8, Suppl. 4): S851 (Abstract P2-328).</w:t>
            </w:r>
          </w:p>
        </w:tc>
      </w:tr>
    </w:tbl>
    <w:p w:rsidR="00F67B86" w:rsidRDefault="00F67B86" w:rsidP="00F67B86">
      <w:pPr>
        <w:pStyle w:val="TableFooter"/>
        <w:ind w:left="709"/>
      </w:pPr>
      <w:r w:rsidRPr="00D13A3E">
        <w:t>Source</w:t>
      </w:r>
      <w:r>
        <w:t>: Table B.5, pp.51-3 of the submission</w:t>
      </w:r>
    </w:p>
    <w:p w:rsidR="00862502" w:rsidRPr="008F120A" w:rsidRDefault="00862502" w:rsidP="008F120A">
      <w:pPr>
        <w:widowControl/>
        <w:rPr>
          <w:szCs w:val="22"/>
        </w:rPr>
      </w:pPr>
    </w:p>
    <w:p w:rsidR="00862502" w:rsidRPr="00B50DB8" w:rsidRDefault="008F120A" w:rsidP="00EA0FDF">
      <w:pPr>
        <w:pStyle w:val="ListParagraph"/>
        <w:widowControl/>
        <w:numPr>
          <w:ilvl w:val="1"/>
          <w:numId w:val="4"/>
        </w:numPr>
        <w:rPr>
          <w:szCs w:val="22"/>
        </w:rPr>
      </w:pPr>
      <w:r w:rsidRPr="00B50DB8">
        <w:rPr>
          <w:szCs w:val="22"/>
        </w:rPr>
        <w:t>The key features</w:t>
      </w:r>
      <w:r w:rsidR="00F67B86">
        <w:rPr>
          <w:szCs w:val="22"/>
        </w:rPr>
        <w:t xml:space="preserve"> of the randomised trials</w:t>
      </w:r>
      <w:r w:rsidRPr="00B50DB8">
        <w:rPr>
          <w:szCs w:val="22"/>
        </w:rPr>
        <w:t xml:space="preserve"> are summarised in the table below.</w:t>
      </w:r>
    </w:p>
    <w:p w:rsidR="007F1017" w:rsidRDefault="007F1017" w:rsidP="007F1017">
      <w:pPr>
        <w:widowControl/>
        <w:rPr>
          <w:szCs w:val="22"/>
        </w:rPr>
      </w:pPr>
    </w:p>
    <w:p w:rsidR="007F1017" w:rsidRPr="00E2771E" w:rsidRDefault="007F1017" w:rsidP="008F1AB0">
      <w:pPr>
        <w:keepNext/>
        <w:ind w:firstLine="720"/>
        <w:rPr>
          <w:rStyle w:val="CommentReference"/>
        </w:rPr>
      </w:pPr>
      <w:r w:rsidRPr="00E2771E">
        <w:rPr>
          <w:rStyle w:val="CommentReference"/>
        </w:rPr>
        <w:t>Key features of the included evidence</w:t>
      </w:r>
    </w:p>
    <w:tbl>
      <w:tblPr>
        <w:tblW w:w="4622" w:type="pct"/>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Key features of the included evidence"/>
        <w:tblDescription w:val="Table summary of evidence of randomised trials comparing nintedanib and docetaxel versus docetaxel and pemetrexed versus docetaxel"/>
      </w:tblPr>
      <w:tblGrid>
        <w:gridCol w:w="831"/>
        <w:gridCol w:w="677"/>
        <w:gridCol w:w="1159"/>
        <w:gridCol w:w="1096"/>
        <w:gridCol w:w="1607"/>
        <w:gridCol w:w="1227"/>
        <w:gridCol w:w="1798"/>
      </w:tblGrid>
      <w:tr w:rsidR="00F67B86" w:rsidRPr="00E2771E" w:rsidTr="0055700A">
        <w:trPr>
          <w:trHeight w:val="486"/>
        </w:trPr>
        <w:tc>
          <w:tcPr>
            <w:tcW w:w="495" w:type="pct"/>
            <w:shd w:val="clear" w:color="auto" w:fill="auto"/>
            <w:vAlign w:val="center"/>
          </w:tcPr>
          <w:p w:rsidR="00F67B86" w:rsidRPr="00E2771E" w:rsidRDefault="00F67B86" w:rsidP="008F1AB0">
            <w:pPr>
              <w:keepNext/>
              <w:jc w:val="left"/>
              <w:rPr>
                <w:rFonts w:ascii="Arial Narrow" w:hAnsi="Arial Narrow"/>
                <w:b/>
                <w:sz w:val="20"/>
                <w:lang w:val="en-US"/>
              </w:rPr>
            </w:pPr>
            <w:r w:rsidRPr="00E2771E">
              <w:rPr>
                <w:rFonts w:ascii="Arial Narrow" w:hAnsi="Arial Narrow"/>
                <w:b/>
                <w:sz w:val="20"/>
                <w:lang w:val="en-US"/>
              </w:rPr>
              <w:t>Trial</w:t>
            </w:r>
          </w:p>
        </w:tc>
        <w:tc>
          <w:tcPr>
            <w:tcW w:w="403" w:type="pct"/>
            <w:shd w:val="clear" w:color="auto" w:fill="auto"/>
            <w:vAlign w:val="center"/>
          </w:tcPr>
          <w:p w:rsidR="00F67B86" w:rsidRPr="00E2771E" w:rsidRDefault="00F67B86" w:rsidP="008F1AB0">
            <w:pPr>
              <w:keepNext/>
              <w:jc w:val="center"/>
              <w:rPr>
                <w:rFonts w:ascii="Arial Narrow" w:hAnsi="Arial Narrow"/>
                <w:b/>
                <w:sz w:val="20"/>
                <w:lang w:val="en-US"/>
              </w:rPr>
            </w:pPr>
            <w:r w:rsidRPr="00E2771E">
              <w:rPr>
                <w:rFonts w:ascii="Arial Narrow" w:hAnsi="Arial Narrow"/>
                <w:b/>
                <w:sz w:val="20"/>
                <w:lang w:val="en-US"/>
              </w:rPr>
              <w:t>N</w:t>
            </w:r>
          </w:p>
        </w:tc>
        <w:tc>
          <w:tcPr>
            <w:tcW w:w="690" w:type="pct"/>
            <w:shd w:val="clear" w:color="auto" w:fill="auto"/>
            <w:vAlign w:val="center"/>
          </w:tcPr>
          <w:p w:rsidR="00F67B86" w:rsidRPr="00E2771E" w:rsidRDefault="00F67B86" w:rsidP="008F1AB0">
            <w:pPr>
              <w:keepNext/>
              <w:jc w:val="center"/>
              <w:rPr>
                <w:rFonts w:ascii="Arial Narrow" w:hAnsi="Arial Narrow"/>
                <w:b/>
                <w:sz w:val="20"/>
                <w:lang w:val="en-US"/>
              </w:rPr>
            </w:pPr>
            <w:r w:rsidRPr="00E2771E">
              <w:rPr>
                <w:rFonts w:ascii="Arial Narrow" w:hAnsi="Arial Narrow"/>
                <w:b/>
                <w:sz w:val="20"/>
                <w:lang w:val="en-US"/>
              </w:rPr>
              <w:t>Design/ duration</w:t>
            </w:r>
          </w:p>
        </w:tc>
        <w:tc>
          <w:tcPr>
            <w:tcW w:w="653" w:type="pct"/>
            <w:shd w:val="clear" w:color="auto" w:fill="auto"/>
            <w:vAlign w:val="center"/>
          </w:tcPr>
          <w:p w:rsidR="00F67B86" w:rsidRPr="00E2771E" w:rsidRDefault="00F67B86" w:rsidP="008F1AB0">
            <w:pPr>
              <w:keepNext/>
              <w:jc w:val="center"/>
              <w:rPr>
                <w:rFonts w:ascii="Arial Narrow" w:hAnsi="Arial Narrow"/>
                <w:b/>
                <w:sz w:val="20"/>
                <w:lang w:val="en-US"/>
              </w:rPr>
            </w:pPr>
            <w:r w:rsidRPr="00E2771E">
              <w:rPr>
                <w:rFonts w:ascii="Arial Narrow" w:hAnsi="Arial Narrow"/>
                <w:b/>
                <w:sz w:val="20"/>
                <w:lang w:val="en-US"/>
              </w:rPr>
              <w:t>Risk of bias</w:t>
            </w:r>
          </w:p>
        </w:tc>
        <w:tc>
          <w:tcPr>
            <w:tcW w:w="957" w:type="pct"/>
            <w:shd w:val="clear" w:color="auto" w:fill="auto"/>
            <w:vAlign w:val="center"/>
          </w:tcPr>
          <w:p w:rsidR="00F67B86" w:rsidRPr="00E2771E" w:rsidRDefault="00F67B86" w:rsidP="008F1AB0">
            <w:pPr>
              <w:keepNext/>
              <w:jc w:val="center"/>
              <w:rPr>
                <w:rFonts w:ascii="Arial Narrow" w:hAnsi="Arial Narrow"/>
                <w:b/>
                <w:sz w:val="20"/>
                <w:lang w:val="en-US"/>
              </w:rPr>
            </w:pPr>
            <w:r w:rsidRPr="00E2771E">
              <w:rPr>
                <w:rFonts w:ascii="Arial Narrow" w:hAnsi="Arial Narrow"/>
                <w:b/>
                <w:sz w:val="20"/>
                <w:lang w:val="en-US"/>
              </w:rPr>
              <w:t>Patient population</w:t>
            </w:r>
          </w:p>
        </w:tc>
        <w:tc>
          <w:tcPr>
            <w:tcW w:w="731" w:type="pct"/>
            <w:shd w:val="clear" w:color="auto" w:fill="auto"/>
            <w:vAlign w:val="center"/>
          </w:tcPr>
          <w:p w:rsidR="00F67B86" w:rsidRPr="00E2771E" w:rsidRDefault="00F67B86" w:rsidP="008F1AB0">
            <w:pPr>
              <w:keepNext/>
              <w:jc w:val="center"/>
              <w:rPr>
                <w:rFonts w:ascii="Arial Narrow" w:hAnsi="Arial Narrow"/>
                <w:b/>
                <w:sz w:val="20"/>
                <w:lang w:val="en-US"/>
              </w:rPr>
            </w:pPr>
            <w:r w:rsidRPr="00E2771E">
              <w:rPr>
                <w:rFonts w:ascii="Arial Narrow" w:hAnsi="Arial Narrow"/>
                <w:b/>
                <w:sz w:val="20"/>
                <w:lang w:val="en-US"/>
              </w:rPr>
              <w:t>Outcomes</w:t>
            </w:r>
          </w:p>
        </w:tc>
        <w:tc>
          <w:tcPr>
            <w:tcW w:w="1070" w:type="pct"/>
            <w:shd w:val="clear" w:color="auto" w:fill="auto"/>
            <w:vAlign w:val="center"/>
          </w:tcPr>
          <w:p w:rsidR="00F67B86" w:rsidRPr="00E2771E" w:rsidRDefault="00F67B86" w:rsidP="008F1AB0">
            <w:pPr>
              <w:keepNext/>
              <w:jc w:val="center"/>
              <w:rPr>
                <w:rFonts w:ascii="Arial Narrow" w:hAnsi="Arial Narrow"/>
                <w:b/>
                <w:sz w:val="20"/>
                <w:lang w:val="en-US"/>
              </w:rPr>
            </w:pPr>
            <w:r w:rsidRPr="00E2771E">
              <w:rPr>
                <w:rFonts w:ascii="Arial Narrow" w:hAnsi="Arial Narrow"/>
                <w:b/>
                <w:sz w:val="20"/>
                <w:lang w:val="en-US"/>
              </w:rPr>
              <w:t>Use in modelled evaluation</w:t>
            </w:r>
          </w:p>
        </w:tc>
      </w:tr>
      <w:tr w:rsidR="00F67B86" w:rsidRPr="00E2771E" w:rsidTr="0055700A">
        <w:trPr>
          <w:trHeight w:val="228"/>
        </w:trPr>
        <w:tc>
          <w:tcPr>
            <w:tcW w:w="5000" w:type="pct"/>
            <w:gridSpan w:val="7"/>
            <w:shd w:val="clear" w:color="auto" w:fill="auto"/>
            <w:vAlign w:val="center"/>
          </w:tcPr>
          <w:p w:rsidR="00F67B86" w:rsidRPr="00E2771E" w:rsidRDefault="00F67B86" w:rsidP="008F1AB0">
            <w:pPr>
              <w:keepNext/>
              <w:jc w:val="left"/>
              <w:rPr>
                <w:rFonts w:ascii="Arial Narrow" w:hAnsi="Arial Narrow"/>
                <w:b/>
                <w:sz w:val="20"/>
                <w:lang w:val="en-US"/>
              </w:rPr>
            </w:pPr>
            <w:r>
              <w:rPr>
                <w:rFonts w:ascii="Arial Narrow" w:hAnsi="Arial Narrow"/>
                <w:b/>
                <w:sz w:val="20"/>
                <w:lang w:val="en-US"/>
              </w:rPr>
              <w:t>Nintedanib and docetaxel versus docetaxel</w:t>
            </w:r>
          </w:p>
        </w:tc>
      </w:tr>
      <w:tr w:rsidR="00F67B86" w:rsidRPr="00E2771E" w:rsidTr="0055700A">
        <w:trPr>
          <w:trHeight w:val="729"/>
        </w:trPr>
        <w:tc>
          <w:tcPr>
            <w:tcW w:w="495" w:type="pct"/>
            <w:shd w:val="clear" w:color="auto" w:fill="auto"/>
            <w:vAlign w:val="center"/>
          </w:tcPr>
          <w:p w:rsidR="00F67B86" w:rsidRPr="00E2771E" w:rsidRDefault="00F67B86" w:rsidP="008F1AB0">
            <w:pPr>
              <w:keepNext/>
              <w:jc w:val="left"/>
              <w:rPr>
                <w:rFonts w:ascii="Arial Narrow" w:hAnsi="Arial Narrow"/>
                <w:sz w:val="20"/>
                <w:lang w:val="en-US"/>
              </w:rPr>
            </w:pPr>
            <w:r>
              <w:rPr>
                <w:rFonts w:ascii="Arial Narrow" w:hAnsi="Arial Narrow"/>
                <w:sz w:val="20"/>
                <w:lang w:val="en-US"/>
              </w:rPr>
              <w:t>LUME Lung 1</w:t>
            </w:r>
          </w:p>
        </w:tc>
        <w:tc>
          <w:tcPr>
            <w:tcW w:w="403" w:type="pct"/>
            <w:shd w:val="clear" w:color="auto" w:fill="auto"/>
            <w:vAlign w:val="center"/>
          </w:tcPr>
          <w:p w:rsidR="00F67B86" w:rsidRPr="00E2771E" w:rsidRDefault="00F67B86" w:rsidP="008F1AB0">
            <w:pPr>
              <w:keepNext/>
              <w:jc w:val="center"/>
              <w:rPr>
                <w:rFonts w:ascii="Arial Narrow" w:hAnsi="Arial Narrow"/>
                <w:sz w:val="20"/>
                <w:lang w:val="en-US"/>
              </w:rPr>
            </w:pPr>
            <w:r>
              <w:rPr>
                <w:rFonts w:ascii="Arial Narrow" w:hAnsi="Arial Narrow"/>
                <w:sz w:val="20"/>
                <w:lang w:val="en-US"/>
              </w:rPr>
              <w:t>1314</w:t>
            </w:r>
          </w:p>
        </w:tc>
        <w:tc>
          <w:tcPr>
            <w:tcW w:w="690" w:type="pct"/>
            <w:shd w:val="clear" w:color="auto" w:fill="auto"/>
            <w:vAlign w:val="center"/>
          </w:tcPr>
          <w:p w:rsidR="00F67B86" w:rsidRPr="00E2771E" w:rsidRDefault="00F67B86" w:rsidP="008F1AB0">
            <w:pPr>
              <w:keepNext/>
              <w:jc w:val="center"/>
              <w:rPr>
                <w:rFonts w:ascii="Arial Narrow" w:hAnsi="Arial Narrow"/>
                <w:sz w:val="20"/>
                <w:lang w:val="en-US"/>
              </w:rPr>
            </w:pPr>
            <w:r w:rsidRPr="00E2771E">
              <w:rPr>
                <w:rFonts w:ascii="Arial Narrow" w:hAnsi="Arial Narrow"/>
                <w:sz w:val="20"/>
                <w:lang w:val="en-US"/>
              </w:rPr>
              <w:t>R, DB</w:t>
            </w:r>
            <w:r w:rsidR="009B1578">
              <w:rPr>
                <w:rFonts w:ascii="Arial Narrow" w:hAnsi="Arial Narrow"/>
                <w:sz w:val="20"/>
                <w:lang w:val="en-US"/>
              </w:rPr>
              <w:t>, MC</w:t>
            </w:r>
          </w:p>
        </w:tc>
        <w:tc>
          <w:tcPr>
            <w:tcW w:w="653" w:type="pct"/>
            <w:shd w:val="clear" w:color="auto" w:fill="auto"/>
            <w:vAlign w:val="center"/>
          </w:tcPr>
          <w:p w:rsidR="00F67B86" w:rsidRPr="00E2771E" w:rsidRDefault="00F67B86" w:rsidP="008F1AB0">
            <w:pPr>
              <w:keepNext/>
              <w:jc w:val="center"/>
              <w:rPr>
                <w:rFonts w:ascii="Arial Narrow" w:hAnsi="Arial Narrow"/>
                <w:sz w:val="20"/>
                <w:lang w:val="en-US"/>
              </w:rPr>
            </w:pPr>
            <w:r w:rsidRPr="00E2771E">
              <w:rPr>
                <w:rFonts w:ascii="Arial Narrow" w:hAnsi="Arial Narrow"/>
                <w:sz w:val="20"/>
                <w:lang w:val="en-US"/>
              </w:rPr>
              <w:t>Low</w:t>
            </w:r>
          </w:p>
        </w:tc>
        <w:tc>
          <w:tcPr>
            <w:tcW w:w="957" w:type="pct"/>
            <w:shd w:val="clear" w:color="auto" w:fill="auto"/>
            <w:vAlign w:val="center"/>
          </w:tcPr>
          <w:p w:rsidR="00F67B86" w:rsidRPr="00E2771E" w:rsidRDefault="00F67B86" w:rsidP="008F1AB0">
            <w:pPr>
              <w:keepNext/>
              <w:jc w:val="center"/>
              <w:rPr>
                <w:rFonts w:ascii="Arial Narrow" w:hAnsi="Arial Narrow"/>
                <w:sz w:val="20"/>
                <w:lang w:val="en-US"/>
              </w:rPr>
            </w:pPr>
            <w:r>
              <w:rPr>
                <w:rFonts w:ascii="Arial Narrow" w:hAnsi="Arial Narrow"/>
                <w:sz w:val="20"/>
                <w:lang w:val="en-US"/>
              </w:rPr>
              <w:t>2</w:t>
            </w:r>
            <w:r w:rsidRPr="001B2C1F">
              <w:rPr>
                <w:rFonts w:ascii="Arial Narrow" w:hAnsi="Arial Narrow"/>
                <w:sz w:val="20"/>
                <w:vertAlign w:val="superscript"/>
                <w:lang w:val="en-US"/>
              </w:rPr>
              <w:t>nd</w:t>
            </w:r>
            <w:r>
              <w:rPr>
                <w:rFonts w:ascii="Arial Narrow" w:hAnsi="Arial Narrow"/>
                <w:sz w:val="20"/>
                <w:lang w:val="en-US"/>
              </w:rPr>
              <w:t xml:space="preserve"> line NSCLC</w:t>
            </w:r>
          </w:p>
        </w:tc>
        <w:tc>
          <w:tcPr>
            <w:tcW w:w="731" w:type="pct"/>
            <w:shd w:val="clear" w:color="auto" w:fill="auto"/>
            <w:vAlign w:val="center"/>
          </w:tcPr>
          <w:p w:rsidR="00F67B86" w:rsidRPr="00E2771E" w:rsidRDefault="00F67B86" w:rsidP="008F1AB0">
            <w:pPr>
              <w:keepNext/>
              <w:jc w:val="center"/>
              <w:rPr>
                <w:rFonts w:ascii="Arial Narrow" w:hAnsi="Arial Narrow"/>
                <w:sz w:val="20"/>
                <w:lang w:val="en-US"/>
              </w:rPr>
            </w:pPr>
            <w:r>
              <w:rPr>
                <w:rFonts w:ascii="Arial Narrow" w:hAnsi="Arial Narrow"/>
                <w:sz w:val="20"/>
                <w:lang w:val="en-US"/>
              </w:rPr>
              <w:t>PFS/</w:t>
            </w:r>
            <w:r w:rsidRPr="00E2771E">
              <w:rPr>
                <w:rFonts w:ascii="Arial Narrow" w:hAnsi="Arial Narrow"/>
                <w:sz w:val="20"/>
                <w:lang w:val="en-US"/>
              </w:rPr>
              <w:t>OS</w:t>
            </w:r>
          </w:p>
        </w:tc>
        <w:tc>
          <w:tcPr>
            <w:tcW w:w="1070" w:type="pct"/>
            <w:shd w:val="clear" w:color="auto" w:fill="auto"/>
            <w:vAlign w:val="center"/>
          </w:tcPr>
          <w:p w:rsidR="00F67B86" w:rsidRPr="00E2771E" w:rsidRDefault="00F67B86" w:rsidP="008F1AB0">
            <w:pPr>
              <w:keepNext/>
              <w:jc w:val="center"/>
              <w:rPr>
                <w:rFonts w:ascii="Arial Narrow" w:hAnsi="Arial Narrow"/>
                <w:sz w:val="20"/>
                <w:lang w:val="en-US"/>
              </w:rPr>
            </w:pPr>
            <w:r>
              <w:rPr>
                <w:rFonts w:ascii="Arial Narrow" w:hAnsi="Arial Narrow"/>
                <w:sz w:val="20"/>
                <w:lang w:val="en-US"/>
              </w:rPr>
              <w:t>OS PFS adenocarcinoma subgroup</w:t>
            </w:r>
          </w:p>
        </w:tc>
      </w:tr>
      <w:tr w:rsidR="00F67B86" w:rsidRPr="00E2771E" w:rsidTr="0055700A">
        <w:trPr>
          <w:trHeight w:val="228"/>
        </w:trPr>
        <w:tc>
          <w:tcPr>
            <w:tcW w:w="5000" w:type="pct"/>
            <w:gridSpan w:val="7"/>
            <w:shd w:val="clear" w:color="auto" w:fill="auto"/>
            <w:vAlign w:val="center"/>
          </w:tcPr>
          <w:p w:rsidR="00F67B86" w:rsidRPr="001B2C1F" w:rsidRDefault="00F67B86" w:rsidP="008F1AB0">
            <w:pPr>
              <w:keepNext/>
              <w:jc w:val="left"/>
              <w:rPr>
                <w:rFonts w:ascii="Arial Narrow" w:hAnsi="Arial Narrow"/>
                <w:b/>
                <w:sz w:val="20"/>
                <w:lang w:val="en-US"/>
              </w:rPr>
            </w:pPr>
            <w:r w:rsidRPr="001B2C1F">
              <w:rPr>
                <w:rFonts w:ascii="Arial Narrow" w:hAnsi="Arial Narrow"/>
                <w:b/>
                <w:sz w:val="20"/>
                <w:lang w:val="en-US"/>
              </w:rPr>
              <w:t>Pemetrexed versus docetaxel</w:t>
            </w:r>
          </w:p>
        </w:tc>
      </w:tr>
      <w:tr w:rsidR="00F67B86" w:rsidRPr="00E2771E" w:rsidTr="0055700A">
        <w:trPr>
          <w:trHeight w:val="729"/>
        </w:trPr>
        <w:tc>
          <w:tcPr>
            <w:tcW w:w="495" w:type="pct"/>
            <w:shd w:val="clear" w:color="auto" w:fill="auto"/>
            <w:vAlign w:val="center"/>
          </w:tcPr>
          <w:p w:rsidR="00F67B86" w:rsidRPr="00E2771E" w:rsidRDefault="00F67B86" w:rsidP="008F1AB0">
            <w:pPr>
              <w:keepNext/>
              <w:jc w:val="left"/>
              <w:rPr>
                <w:rFonts w:ascii="Arial Narrow" w:hAnsi="Arial Narrow"/>
                <w:sz w:val="20"/>
                <w:lang w:val="en-US"/>
              </w:rPr>
            </w:pPr>
            <w:r>
              <w:rPr>
                <w:rFonts w:ascii="Arial Narrow" w:hAnsi="Arial Narrow"/>
                <w:sz w:val="20"/>
                <w:lang w:val="en-US"/>
              </w:rPr>
              <w:t>JMEI</w:t>
            </w:r>
          </w:p>
        </w:tc>
        <w:tc>
          <w:tcPr>
            <w:tcW w:w="403" w:type="pct"/>
            <w:shd w:val="clear" w:color="auto" w:fill="auto"/>
            <w:vAlign w:val="center"/>
          </w:tcPr>
          <w:p w:rsidR="00F67B86" w:rsidRPr="00E2771E" w:rsidRDefault="00F67B86" w:rsidP="008F1AB0">
            <w:pPr>
              <w:keepNext/>
              <w:jc w:val="center"/>
              <w:rPr>
                <w:rFonts w:ascii="Arial Narrow" w:hAnsi="Arial Narrow"/>
                <w:sz w:val="20"/>
                <w:lang w:val="en-US"/>
              </w:rPr>
            </w:pPr>
            <w:r>
              <w:rPr>
                <w:rFonts w:ascii="Arial Narrow" w:hAnsi="Arial Narrow"/>
                <w:sz w:val="20"/>
                <w:lang w:val="en-US"/>
              </w:rPr>
              <w:t>571</w:t>
            </w:r>
          </w:p>
        </w:tc>
        <w:tc>
          <w:tcPr>
            <w:tcW w:w="690" w:type="pct"/>
            <w:shd w:val="clear" w:color="auto" w:fill="auto"/>
            <w:vAlign w:val="center"/>
          </w:tcPr>
          <w:p w:rsidR="00F67B86" w:rsidRPr="00E2771E" w:rsidRDefault="00F67B86" w:rsidP="008F1AB0">
            <w:pPr>
              <w:keepNext/>
              <w:jc w:val="center"/>
              <w:rPr>
                <w:rFonts w:ascii="Arial Narrow" w:hAnsi="Arial Narrow"/>
                <w:sz w:val="20"/>
                <w:lang w:val="en-US"/>
              </w:rPr>
            </w:pPr>
            <w:r w:rsidRPr="00E2771E">
              <w:rPr>
                <w:rFonts w:ascii="Arial Narrow" w:hAnsi="Arial Narrow"/>
                <w:sz w:val="20"/>
                <w:lang w:val="en-US"/>
              </w:rPr>
              <w:t>R, OL</w:t>
            </w:r>
          </w:p>
        </w:tc>
        <w:tc>
          <w:tcPr>
            <w:tcW w:w="653" w:type="pct"/>
            <w:shd w:val="clear" w:color="auto" w:fill="auto"/>
            <w:vAlign w:val="center"/>
          </w:tcPr>
          <w:p w:rsidR="00F67B86" w:rsidRPr="00E2771E" w:rsidRDefault="00F67B86" w:rsidP="008F1AB0">
            <w:pPr>
              <w:keepNext/>
              <w:jc w:val="center"/>
              <w:rPr>
                <w:rFonts w:ascii="Arial Narrow" w:hAnsi="Arial Narrow"/>
                <w:sz w:val="20"/>
                <w:lang w:val="en-US"/>
              </w:rPr>
            </w:pPr>
            <w:r w:rsidRPr="00E2771E">
              <w:rPr>
                <w:rFonts w:ascii="Arial Narrow" w:hAnsi="Arial Narrow"/>
                <w:sz w:val="20"/>
                <w:lang w:val="en-US"/>
              </w:rPr>
              <w:t>High</w:t>
            </w:r>
          </w:p>
        </w:tc>
        <w:tc>
          <w:tcPr>
            <w:tcW w:w="957" w:type="pct"/>
            <w:shd w:val="clear" w:color="auto" w:fill="auto"/>
            <w:vAlign w:val="center"/>
          </w:tcPr>
          <w:p w:rsidR="00F67B86" w:rsidRPr="00E2771E" w:rsidRDefault="00F67B86" w:rsidP="008F1AB0">
            <w:pPr>
              <w:keepNext/>
              <w:jc w:val="center"/>
              <w:rPr>
                <w:rFonts w:ascii="Arial Narrow" w:hAnsi="Arial Narrow"/>
                <w:sz w:val="20"/>
                <w:lang w:val="en-US"/>
              </w:rPr>
            </w:pPr>
            <w:r>
              <w:rPr>
                <w:rFonts w:ascii="Arial Narrow" w:hAnsi="Arial Narrow"/>
                <w:sz w:val="20"/>
                <w:lang w:val="en-US"/>
              </w:rPr>
              <w:t>2</w:t>
            </w:r>
            <w:r w:rsidRPr="00AF6E89">
              <w:rPr>
                <w:rFonts w:ascii="Arial Narrow" w:hAnsi="Arial Narrow"/>
                <w:sz w:val="20"/>
                <w:vertAlign w:val="superscript"/>
                <w:lang w:val="en-US"/>
              </w:rPr>
              <w:t>nd</w:t>
            </w:r>
            <w:r>
              <w:rPr>
                <w:rFonts w:ascii="Arial Narrow" w:hAnsi="Arial Narrow"/>
                <w:sz w:val="20"/>
                <w:lang w:val="en-US"/>
              </w:rPr>
              <w:t xml:space="preserve"> line NSCLC</w:t>
            </w:r>
          </w:p>
        </w:tc>
        <w:tc>
          <w:tcPr>
            <w:tcW w:w="731" w:type="pct"/>
            <w:shd w:val="clear" w:color="auto" w:fill="auto"/>
            <w:vAlign w:val="center"/>
          </w:tcPr>
          <w:p w:rsidR="00F67B86" w:rsidRPr="00E2771E" w:rsidRDefault="00F67B86" w:rsidP="008F1AB0">
            <w:pPr>
              <w:keepNext/>
              <w:jc w:val="center"/>
              <w:rPr>
                <w:rFonts w:ascii="Arial Narrow" w:hAnsi="Arial Narrow"/>
                <w:sz w:val="20"/>
                <w:lang w:val="en-US"/>
              </w:rPr>
            </w:pPr>
            <w:r>
              <w:rPr>
                <w:rFonts w:ascii="Arial Narrow" w:hAnsi="Arial Narrow"/>
                <w:sz w:val="20"/>
                <w:lang w:val="en-US"/>
              </w:rPr>
              <w:t>PFS/OS</w:t>
            </w:r>
          </w:p>
        </w:tc>
        <w:tc>
          <w:tcPr>
            <w:tcW w:w="1070" w:type="pct"/>
            <w:shd w:val="clear" w:color="auto" w:fill="auto"/>
            <w:vAlign w:val="center"/>
          </w:tcPr>
          <w:p w:rsidR="00F67B86" w:rsidRPr="00E2771E" w:rsidRDefault="00F67B86" w:rsidP="008F1AB0">
            <w:pPr>
              <w:keepNext/>
              <w:jc w:val="center"/>
              <w:rPr>
                <w:rFonts w:ascii="Arial Narrow" w:hAnsi="Arial Narrow"/>
                <w:sz w:val="20"/>
                <w:lang w:val="en-US"/>
              </w:rPr>
            </w:pPr>
            <w:r>
              <w:rPr>
                <w:rFonts w:ascii="Arial Narrow" w:hAnsi="Arial Narrow"/>
                <w:sz w:val="20"/>
                <w:lang w:val="en-US"/>
              </w:rPr>
              <w:t>OS PFS adenocarcinoma subgroup</w:t>
            </w:r>
          </w:p>
        </w:tc>
      </w:tr>
    </w:tbl>
    <w:p w:rsidR="007F1017" w:rsidRPr="0072416F" w:rsidRDefault="007F1017" w:rsidP="008F1AB0">
      <w:pPr>
        <w:pStyle w:val="TableFooter"/>
        <w:keepNext/>
        <w:ind w:firstLine="720"/>
      </w:pPr>
      <w:r w:rsidRPr="0072416F">
        <w:t>DB=double blind; MC=multi-centre; OL=open label; OS=overall survival; PFS=progress</w:t>
      </w:r>
      <w:r w:rsidR="000A6A65">
        <w:t>ion-free survival; R=randomised</w:t>
      </w:r>
    </w:p>
    <w:p w:rsidR="007F1017" w:rsidRPr="0072416F" w:rsidRDefault="007F1017" w:rsidP="00E22A0D">
      <w:pPr>
        <w:pStyle w:val="TableFooter"/>
        <w:ind w:firstLine="720"/>
      </w:pPr>
      <w:r w:rsidRPr="0072416F">
        <w:t>Source: compiled during the evaluation</w:t>
      </w:r>
    </w:p>
    <w:p w:rsidR="00B60939" w:rsidRPr="00882085" w:rsidRDefault="00B60939" w:rsidP="00B60939">
      <w:pPr>
        <w:rPr>
          <w:szCs w:val="22"/>
        </w:rPr>
      </w:pPr>
    </w:p>
    <w:p w:rsidR="00B60939" w:rsidRPr="002C2775" w:rsidRDefault="00B60939" w:rsidP="002C2775">
      <w:pPr>
        <w:pStyle w:val="Heading2"/>
        <w:rPr>
          <w:i/>
        </w:rPr>
      </w:pPr>
      <w:bookmarkStart w:id="7" w:name="_Toc409189301"/>
      <w:r w:rsidRPr="002C2775">
        <w:rPr>
          <w:i/>
        </w:rPr>
        <w:t>Comparative effectiveness</w:t>
      </w:r>
      <w:bookmarkEnd w:id="7"/>
    </w:p>
    <w:p w:rsidR="00B60939" w:rsidRPr="00882085" w:rsidRDefault="00B60939" w:rsidP="00B60939">
      <w:pPr>
        <w:rPr>
          <w:szCs w:val="22"/>
        </w:rPr>
      </w:pPr>
    </w:p>
    <w:p w:rsidR="002C2775" w:rsidRDefault="004B369F" w:rsidP="00EA0FDF">
      <w:pPr>
        <w:pStyle w:val="ListParagraph"/>
        <w:widowControl/>
        <w:numPr>
          <w:ilvl w:val="1"/>
          <w:numId w:val="4"/>
        </w:numPr>
        <w:rPr>
          <w:szCs w:val="22"/>
        </w:rPr>
      </w:pPr>
      <w:r w:rsidRPr="004B369F">
        <w:rPr>
          <w:szCs w:val="22"/>
        </w:rPr>
        <w:t>The submission cla</w:t>
      </w:r>
      <w:r w:rsidR="00E770F7">
        <w:rPr>
          <w:szCs w:val="22"/>
        </w:rPr>
        <w:t>imed</w:t>
      </w:r>
      <w:r w:rsidRPr="004B369F">
        <w:rPr>
          <w:szCs w:val="22"/>
        </w:rPr>
        <w:t xml:space="preserve"> superior efficacy an</w:t>
      </w:r>
      <w:r w:rsidR="00E770F7">
        <w:rPr>
          <w:szCs w:val="22"/>
        </w:rPr>
        <w:t>d inferior safety to docetaxel.</w:t>
      </w:r>
      <w:r w:rsidR="001F3A8A">
        <w:rPr>
          <w:szCs w:val="22"/>
        </w:rPr>
        <w:t xml:space="preserve"> </w:t>
      </w:r>
      <w:r w:rsidR="0016341E">
        <w:rPr>
          <w:szCs w:val="22"/>
        </w:rPr>
        <w:t>A</w:t>
      </w:r>
      <w:r w:rsidR="001F3A8A">
        <w:rPr>
          <w:szCs w:val="22"/>
        </w:rPr>
        <w:t xml:space="preserve"> summary of the efficacy results of the LUME Lung 1 trial</w:t>
      </w:r>
      <w:r w:rsidR="0016341E">
        <w:rPr>
          <w:szCs w:val="22"/>
        </w:rPr>
        <w:t xml:space="preserve"> is presented in the</w:t>
      </w:r>
      <w:r w:rsidR="004377F9">
        <w:rPr>
          <w:szCs w:val="22"/>
        </w:rPr>
        <w:t xml:space="preserve"> following</w:t>
      </w:r>
      <w:r w:rsidR="0016341E">
        <w:rPr>
          <w:szCs w:val="22"/>
        </w:rPr>
        <w:t xml:space="preserve"> table</w:t>
      </w:r>
      <w:r w:rsidR="00CB0B4F">
        <w:rPr>
          <w:szCs w:val="22"/>
        </w:rPr>
        <w:t>.</w:t>
      </w:r>
      <w:r w:rsidR="00E22D5E">
        <w:rPr>
          <w:szCs w:val="22"/>
        </w:rPr>
        <w:t xml:space="preserve"> A primary analysis was conducted when a sufficient number of events occurred to power </w:t>
      </w:r>
      <w:r w:rsidR="005811DA">
        <w:rPr>
          <w:szCs w:val="22"/>
        </w:rPr>
        <w:t xml:space="preserve">progression-free survival </w:t>
      </w:r>
      <w:r w:rsidR="00E22D5E">
        <w:rPr>
          <w:szCs w:val="22"/>
        </w:rPr>
        <w:t xml:space="preserve">analysis, and a final analysis was conducted after a sufficient number of events for </w:t>
      </w:r>
      <w:r w:rsidR="005811DA">
        <w:rPr>
          <w:szCs w:val="22"/>
        </w:rPr>
        <w:t>the overall survival</w:t>
      </w:r>
      <w:r w:rsidR="00E22D5E">
        <w:rPr>
          <w:szCs w:val="22"/>
        </w:rPr>
        <w:t xml:space="preserve"> analysis.</w:t>
      </w:r>
    </w:p>
    <w:p w:rsidR="00E770F7" w:rsidRDefault="00E770F7" w:rsidP="00E770F7">
      <w:pPr>
        <w:widowControl/>
        <w:rPr>
          <w:szCs w:val="22"/>
        </w:rPr>
      </w:pPr>
    </w:p>
    <w:p w:rsidR="00E770F7" w:rsidRDefault="00E770F7" w:rsidP="00CB0B4F">
      <w:pPr>
        <w:keepNext/>
        <w:ind w:firstLine="720"/>
        <w:rPr>
          <w:rStyle w:val="CommentReference"/>
        </w:rPr>
      </w:pPr>
      <w:r w:rsidRPr="001F7361">
        <w:rPr>
          <w:rStyle w:val="CommentReference"/>
        </w:rPr>
        <w:t xml:space="preserve">Results </w:t>
      </w:r>
      <w:r>
        <w:rPr>
          <w:rStyle w:val="CommentReference"/>
        </w:rPr>
        <w:t>of OS and PFS in the LUME Lung 1 trial adenocarcinoma subgroup</w:t>
      </w:r>
    </w:p>
    <w:tbl>
      <w:tblPr>
        <w:tblW w:w="456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Results of overall survival and progression-free survival in the LUME Lung 1 trial adenocarcinoma subgroup"/>
        <w:tblDescription w:val="Table summarises of results of trial on comparative effectivess of nintedanib versus docetaxel "/>
      </w:tblPr>
      <w:tblGrid>
        <w:gridCol w:w="2369"/>
        <w:gridCol w:w="1481"/>
        <w:gridCol w:w="1476"/>
        <w:gridCol w:w="1186"/>
        <w:gridCol w:w="1773"/>
      </w:tblGrid>
      <w:tr w:rsidR="00CB0B4F" w:rsidRPr="00E2771E" w:rsidTr="0055700A">
        <w:trPr>
          <w:trHeight w:val="462"/>
        </w:trPr>
        <w:tc>
          <w:tcPr>
            <w:tcW w:w="1429" w:type="pct"/>
            <w:shd w:val="clear" w:color="auto" w:fill="auto"/>
            <w:vAlign w:val="center"/>
          </w:tcPr>
          <w:p w:rsidR="00E770F7" w:rsidRPr="00E22D5E" w:rsidRDefault="00E22D5E" w:rsidP="00CB0B4F">
            <w:pPr>
              <w:keepNext/>
              <w:jc w:val="left"/>
              <w:rPr>
                <w:rFonts w:ascii="Arial Narrow" w:hAnsi="Arial Narrow"/>
                <w:b/>
                <w:sz w:val="20"/>
              </w:rPr>
            </w:pPr>
            <w:r>
              <w:rPr>
                <w:rFonts w:ascii="Arial Narrow" w:hAnsi="Arial Narrow"/>
                <w:b/>
                <w:sz w:val="20"/>
              </w:rPr>
              <w:t>Outcome</w:t>
            </w:r>
          </w:p>
        </w:tc>
        <w:tc>
          <w:tcPr>
            <w:tcW w:w="894" w:type="pct"/>
            <w:shd w:val="clear" w:color="auto" w:fill="auto"/>
            <w:vAlign w:val="center"/>
          </w:tcPr>
          <w:p w:rsidR="00E770F7" w:rsidRPr="00E2771E" w:rsidRDefault="00E770F7" w:rsidP="00CB0B4F">
            <w:pPr>
              <w:keepNext/>
              <w:jc w:val="center"/>
              <w:rPr>
                <w:rFonts w:ascii="Arial Narrow" w:hAnsi="Arial Narrow"/>
                <w:b/>
                <w:sz w:val="20"/>
                <w:lang w:val="en-US"/>
              </w:rPr>
            </w:pPr>
            <w:r>
              <w:rPr>
                <w:rFonts w:ascii="Arial Narrow" w:hAnsi="Arial Narrow"/>
                <w:b/>
                <w:sz w:val="20"/>
                <w:lang w:val="en-US"/>
              </w:rPr>
              <w:t>Nintedanib</w:t>
            </w:r>
          </w:p>
          <w:p w:rsidR="00E770F7" w:rsidRPr="00E2771E" w:rsidRDefault="00E770F7" w:rsidP="00CB0B4F">
            <w:pPr>
              <w:keepNext/>
              <w:jc w:val="center"/>
              <w:rPr>
                <w:rFonts w:ascii="Arial Narrow" w:hAnsi="Arial Narrow"/>
                <w:b/>
                <w:sz w:val="20"/>
                <w:lang w:val="en-US"/>
              </w:rPr>
            </w:pPr>
            <w:proofErr w:type="gramStart"/>
            <w:r>
              <w:rPr>
                <w:rFonts w:ascii="Arial Narrow" w:hAnsi="Arial Narrow"/>
                <w:b/>
                <w:sz w:val="20"/>
                <w:lang w:val="en-US"/>
              </w:rPr>
              <w:t>n/N</w:t>
            </w:r>
            <w:proofErr w:type="gramEnd"/>
            <w:r>
              <w:rPr>
                <w:rFonts w:ascii="Arial Narrow" w:hAnsi="Arial Narrow"/>
                <w:b/>
                <w:sz w:val="20"/>
                <w:lang w:val="en-US"/>
              </w:rPr>
              <w:t xml:space="preserve"> (%)</w:t>
            </w:r>
          </w:p>
        </w:tc>
        <w:tc>
          <w:tcPr>
            <w:tcW w:w="891" w:type="pct"/>
            <w:shd w:val="clear" w:color="auto" w:fill="auto"/>
            <w:vAlign w:val="center"/>
          </w:tcPr>
          <w:p w:rsidR="00E770F7" w:rsidRPr="00E2771E" w:rsidRDefault="00E770F7" w:rsidP="00CB0B4F">
            <w:pPr>
              <w:keepNext/>
              <w:jc w:val="center"/>
              <w:rPr>
                <w:rFonts w:ascii="Arial Narrow" w:hAnsi="Arial Narrow"/>
                <w:b/>
                <w:sz w:val="20"/>
                <w:lang w:val="en-US"/>
              </w:rPr>
            </w:pPr>
            <w:r>
              <w:rPr>
                <w:rFonts w:ascii="Arial Narrow" w:hAnsi="Arial Narrow"/>
                <w:b/>
                <w:sz w:val="20"/>
                <w:lang w:val="en-US"/>
              </w:rPr>
              <w:t>Docetaxel</w:t>
            </w:r>
          </w:p>
          <w:p w:rsidR="00E770F7" w:rsidRPr="00E2771E" w:rsidRDefault="00E770F7" w:rsidP="00CB0B4F">
            <w:pPr>
              <w:keepNext/>
              <w:jc w:val="center"/>
              <w:rPr>
                <w:rFonts w:ascii="Arial Narrow" w:hAnsi="Arial Narrow"/>
                <w:b/>
                <w:sz w:val="20"/>
                <w:lang w:val="en-US"/>
              </w:rPr>
            </w:pPr>
            <w:proofErr w:type="gramStart"/>
            <w:r>
              <w:rPr>
                <w:rFonts w:ascii="Arial Narrow" w:hAnsi="Arial Narrow"/>
                <w:b/>
                <w:sz w:val="20"/>
                <w:lang w:val="en-US"/>
              </w:rPr>
              <w:t>n</w:t>
            </w:r>
            <w:r w:rsidRPr="00E2771E">
              <w:rPr>
                <w:rFonts w:ascii="Arial Narrow" w:hAnsi="Arial Narrow"/>
                <w:b/>
                <w:sz w:val="20"/>
                <w:lang w:val="en-US"/>
              </w:rPr>
              <w:t>/N</w:t>
            </w:r>
            <w:proofErr w:type="gramEnd"/>
            <w:r w:rsidRPr="00E2771E">
              <w:rPr>
                <w:rFonts w:ascii="Arial Narrow" w:hAnsi="Arial Narrow"/>
                <w:b/>
                <w:sz w:val="20"/>
                <w:lang w:val="en-US"/>
              </w:rPr>
              <w:t xml:space="preserve"> (%) </w:t>
            </w:r>
          </w:p>
        </w:tc>
        <w:tc>
          <w:tcPr>
            <w:tcW w:w="716" w:type="pct"/>
            <w:shd w:val="clear" w:color="auto" w:fill="auto"/>
            <w:vAlign w:val="center"/>
          </w:tcPr>
          <w:p w:rsidR="00E770F7" w:rsidRPr="00E2771E" w:rsidRDefault="00E4582F" w:rsidP="00CB0B4F">
            <w:pPr>
              <w:keepNext/>
              <w:jc w:val="center"/>
              <w:rPr>
                <w:rFonts w:ascii="Arial Narrow" w:hAnsi="Arial Narrow"/>
                <w:b/>
                <w:sz w:val="20"/>
                <w:lang w:val="en-US"/>
              </w:rPr>
            </w:pPr>
            <w:r>
              <w:rPr>
                <w:rFonts w:ascii="Arial Narrow" w:hAnsi="Arial Narrow"/>
                <w:b/>
                <w:sz w:val="20"/>
                <w:lang w:val="en-US"/>
              </w:rPr>
              <w:t>Difference in medians</w:t>
            </w:r>
          </w:p>
        </w:tc>
        <w:tc>
          <w:tcPr>
            <w:tcW w:w="1069" w:type="pct"/>
            <w:shd w:val="clear" w:color="auto" w:fill="auto"/>
            <w:vAlign w:val="center"/>
          </w:tcPr>
          <w:p w:rsidR="00E770F7" w:rsidRPr="00E2771E" w:rsidRDefault="00E770F7" w:rsidP="00CB0B4F">
            <w:pPr>
              <w:keepNext/>
              <w:jc w:val="center"/>
              <w:rPr>
                <w:rFonts w:ascii="Arial Narrow" w:hAnsi="Arial Narrow"/>
                <w:b/>
                <w:sz w:val="20"/>
                <w:lang w:val="en-US"/>
              </w:rPr>
            </w:pPr>
            <w:r w:rsidRPr="00E2771E">
              <w:rPr>
                <w:rFonts w:ascii="Arial Narrow" w:hAnsi="Arial Narrow"/>
                <w:b/>
                <w:sz w:val="20"/>
                <w:lang w:val="en-US"/>
              </w:rPr>
              <w:t xml:space="preserve">Relative difference </w:t>
            </w:r>
            <w:r>
              <w:rPr>
                <w:rFonts w:ascii="Arial Narrow" w:hAnsi="Arial Narrow"/>
                <w:b/>
                <w:sz w:val="20"/>
                <w:lang w:val="en-US"/>
              </w:rPr>
              <w:t xml:space="preserve">HR </w:t>
            </w:r>
            <w:r w:rsidRPr="00E2771E">
              <w:rPr>
                <w:rFonts w:ascii="Arial Narrow" w:hAnsi="Arial Narrow"/>
                <w:b/>
                <w:sz w:val="20"/>
                <w:lang w:val="en-US"/>
              </w:rPr>
              <w:t>(95% CI)</w:t>
            </w:r>
          </w:p>
        </w:tc>
      </w:tr>
      <w:tr w:rsidR="00E770F7" w:rsidRPr="00E2771E" w:rsidTr="0055700A">
        <w:trPr>
          <w:trHeight w:val="231"/>
        </w:trPr>
        <w:tc>
          <w:tcPr>
            <w:tcW w:w="5000" w:type="pct"/>
            <w:gridSpan w:val="5"/>
            <w:shd w:val="clear" w:color="auto" w:fill="auto"/>
            <w:vAlign w:val="center"/>
          </w:tcPr>
          <w:p w:rsidR="00E770F7" w:rsidRPr="00E2771E" w:rsidRDefault="00E770F7" w:rsidP="00CB0B4F">
            <w:pPr>
              <w:keepNext/>
              <w:rPr>
                <w:rFonts w:ascii="Arial Narrow" w:hAnsi="Arial Narrow"/>
                <w:b/>
                <w:sz w:val="20"/>
                <w:lang w:val="en-US"/>
              </w:rPr>
            </w:pPr>
            <w:r>
              <w:rPr>
                <w:rFonts w:ascii="Arial Narrow" w:hAnsi="Arial Narrow"/>
                <w:b/>
                <w:sz w:val="20"/>
                <w:lang w:val="en-US"/>
              </w:rPr>
              <w:t>Primary analysis</w:t>
            </w:r>
          </w:p>
        </w:tc>
      </w:tr>
      <w:tr w:rsidR="00CB0B4F" w:rsidRPr="00E2771E" w:rsidTr="0055700A">
        <w:trPr>
          <w:trHeight w:val="231"/>
        </w:trPr>
        <w:tc>
          <w:tcPr>
            <w:tcW w:w="1429" w:type="pct"/>
            <w:shd w:val="clear" w:color="auto" w:fill="auto"/>
            <w:vAlign w:val="center"/>
          </w:tcPr>
          <w:p w:rsidR="00E770F7" w:rsidRPr="00E2771E" w:rsidRDefault="00E770F7" w:rsidP="00CB0B4F">
            <w:pPr>
              <w:keepNext/>
              <w:jc w:val="left"/>
              <w:rPr>
                <w:rFonts w:ascii="Arial Narrow" w:hAnsi="Arial Narrow"/>
                <w:sz w:val="20"/>
                <w:lang w:val="en-US"/>
              </w:rPr>
            </w:pPr>
            <w:r>
              <w:rPr>
                <w:rFonts w:ascii="Arial Narrow" w:hAnsi="Arial Narrow"/>
                <w:sz w:val="20"/>
                <w:lang w:val="en-US"/>
              </w:rPr>
              <w:t xml:space="preserve">Patients with PFS event </w:t>
            </w:r>
          </w:p>
        </w:tc>
        <w:tc>
          <w:tcPr>
            <w:tcW w:w="894"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lang w:val="en-US"/>
              </w:rPr>
              <w:t>NR</w:t>
            </w:r>
          </w:p>
        </w:tc>
        <w:tc>
          <w:tcPr>
            <w:tcW w:w="891"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lang w:val="en-US"/>
              </w:rPr>
              <w:t>NR</w:t>
            </w:r>
          </w:p>
        </w:tc>
        <w:tc>
          <w:tcPr>
            <w:tcW w:w="716"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lang w:val="en-US"/>
              </w:rPr>
              <w:t>-</w:t>
            </w:r>
          </w:p>
        </w:tc>
        <w:tc>
          <w:tcPr>
            <w:tcW w:w="1069"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lang w:val="en-US"/>
              </w:rPr>
              <w:t>0.77 (</w:t>
            </w:r>
            <w:r w:rsidRPr="00B34A25">
              <w:rPr>
                <w:rFonts w:ascii="Arial Narrow" w:hAnsi="Arial Narrow"/>
                <w:sz w:val="20"/>
                <w:lang w:val="en-US"/>
              </w:rPr>
              <w:t>0.62, 0.96)</w:t>
            </w:r>
          </w:p>
        </w:tc>
      </w:tr>
      <w:tr w:rsidR="00E770F7" w:rsidRPr="00E2771E" w:rsidTr="0055700A">
        <w:trPr>
          <w:trHeight w:val="231"/>
        </w:trPr>
        <w:tc>
          <w:tcPr>
            <w:tcW w:w="5000" w:type="pct"/>
            <w:gridSpan w:val="5"/>
            <w:shd w:val="clear" w:color="auto" w:fill="auto"/>
            <w:vAlign w:val="center"/>
          </w:tcPr>
          <w:p w:rsidR="00E770F7" w:rsidRPr="00B34A25" w:rsidRDefault="00E770F7" w:rsidP="00CB0B4F">
            <w:pPr>
              <w:keepNext/>
              <w:rPr>
                <w:rFonts w:ascii="Arial Narrow" w:hAnsi="Arial Narrow"/>
                <w:b/>
                <w:sz w:val="20"/>
                <w:lang w:val="en-US"/>
              </w:rPr>
            </w:pPr>
            <w:r w:rsidRPr="00B34A25">
              <w:rPr>
                <w:rFonts w:ascii="Arial Narrow" w:hAnsi="Arial Narrow"/>
                <w:b/>
                <w:sz w:val="20"/>
                <w:lang w:val="en-US"/>
              </w:rPr>
              <w:t xml:space="preserve">Final </w:t>
            </w:r>
            <w:r w:rsidR="00CB0B4F">
              <w:rPr>
                <w:rFonts w:ascii="Arial Narrow" w:hAnsi="Arial Narrow"/>
                <w:b/>
                <w:sz w:val="20"/>
                <w:lang w:val="en-US"/>
              </w:rPr>
              <w:t>a</w:t>
            </w:r>
            <w:r w:rsidR="00CB0B4F" w:rsidRPr="00B34A25">
              <w:rPr>
                <w:rFonts w:ascii="Arial Narrow" w:hAnsi="Arial Narrow"/>
                <w:b/>
                <w:sz w:val="20"/>
                <w:lang w:val="en-US"/>
              </w:rPr>
              <w:t>nalysis</w:t>
            </w:r>
          </w:p>
        </w:tc>
      </w:tr>
      <w:tr w:rsidR="00CB0B4F" w:rsidRPr="00E2771E" w:rsidTr="0055700A">
        <w:trPr>
          <w:trHeight w:val="231"/>
        </w:trPr>
        <w:tc>
          <w:tcPr>
            <w:tcW w:w="1429" w:type="pct"/>
            <w:shd w:val="clear" w:color="auto" w:fill="auto"/>
            <w:vAlign w:val="center"/>
          </w:tcPr>
          <w:p w:rsidR="00E770F7" w:rsidRPr="00E2771E" w:rsidRDefault="00E770F7" w:rsidP="00CB0B4F">
            <w:pPr>
              <w:keepNext/>
              <w:jc w:val="left"/>
              <w:rPr>
                <w:rFonts w:ascii="Arial Narrow" w:hAnsi="Arial Narrow"/>
                <w:sz w:val="20"/>
                <w:lang w:val="en-US"/>
              </w:rPr>
            </w:pPr>
            <w:r>
              <w:rPr>
                <w:rFonts w:ascii="Arial Narrow" w:hAnsi="Arial Narrow"/>
                <w:sz w:val="20"/>
              </w:rPr>
              <w:t>Patients with OS event</w:t>
            </w:r>
          </w:p>
        </w:tc>
        <w:tc>
          <w:tcPr>
            <w:tcW w:w="894"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rPr>
              <w:t>259/322 (80.4)</w:t>
            </w:r>
          </w:p>
        </w:tc>
        <w:tc>
          <w:tcPr>
            <w:tcW w:w="891"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rPr>
              <w:t>276/336 (82.1)</w:t>
            </w:r>
          </w:p>
        </w:tc>
        <w:tc>
          <w:tcPr>
            <w:tcW w:w="716"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rPr>
              <w:t>--</w:t>
            </w:r>
          </w:p>
        </w:tc>
        <w:tc>
          <w:tcPr>
            <w:tcW w:w="1069"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rPr>
              <w:t>0.83 (0.70, 0.99)</w:t>
            </w:r>
          </w:p>
        </w:tc>
      </w:tr>
      <w:tr w:rsidR="00CB0B4F" w:rsidRPr="00E2771E" w:rsidTr="0055700A">
        <w:trPr>
          <w:trHeight w:val="231"/>
        </w:trPr>
        <w:tc>
          <w:tcPr>
            <w:tcW w:w="1429" w:type="pct"/>
            <w:shd w:val="clear" w:color="auto" w:fill="auto"/>
            <w:vAlign w:val="center"/>
          </w:tcPr>
          <w:p w:rsidR="00E770F7" w:rsidRPr="00E2771E" w:rsidRDefault="00E770F7" w:rsidP="00CB0B4F">
            <w:pPr>
              <w:keepNext/>
              <w:jc w:val="left"/>
              <w:rPr>
                <w:rFonts w:ascii="Arial Narrow" w:hAnsi="Arial Narrow"/>
                <w:sz w:val="20"/>
                <w:lang w:val="en-US"/>
              </w:rPr>
            </w:pPr>
            <w:r>
              <w:rPr>
                <w:rFonts w:ascii="Arial Narrow" w:hAnsi="Arial Narrow"/>
                <w:sz w:val="20"/>
              </w:rPr>
              <w:t>Median OS in months(IQR)</w:t>
            </w:r>
          </w:p>
        </w:tc>
        <w:tc>
          <w:tcPr>
            <w:tcW w:w="894"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rPr>
              <w:t>12.6 (5.5, 24.2)</w:t>
            </w:r>
          </w:p>
        </w:tc>
        <w:tc>
          <w:tcPr>
            <w:tcW w:w="891"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rPr>
              <w:t>10.3 (5.5,19.9)</w:t>
            </w:r>
          </w:p>
        </w:tc>
        <w:tc>
          <w:tcPr>
            <w:tcW w:w="716" w:type="pct"/>
            <w:shd w:val="clear" w:color="auto" w:fill="auto"/>
            <w:vAlign w:val="center"/>
          </w:tcPr>
          <w:p w:rsidR="00E770F7" w:rsidRPr="0030683E" w:rsidRDefault="00E770F7" w:rsidP="00CB0B4F">
            <w:pPr>
              <w:keepNext/>
              <w:jc w:val="center"/>
              <w:rPr>
                <w:rFonts w:ascii="Arial Narrow" w:hAnsi="Arial Narrow"/>
                <w:i/>
                <w:sz w:val="20"/>
                <w:lang w:val="en-US"/>
              </w:rPr>
            </w:pPr>
            <w:r w:rsidRPr="0030683E">
              <w:rPr>
                <w:rFonts w:ascii="Arial Narrow" w:hAnsi="Arial Narrow"/>
                <w:i/>
                <w:sz w:val="20"/>
              </w:rPr>
              <w:t>2.3</w:t>
            </w:r>
          </w:p>
        </w:tc>
        <w:tc>
          <w:tcPr>
            <w:tcW w:w="1069" w:type="pct"/>
            <w:shd w:val="clear" w:color="auto" w:fill="auto"/>
            <w:vAlign w:val="center"/>
          </w:tcPr>
          <w:p w:rsidR="00E770F7" w:rsidRPr="00E2771E" w:rsidRDefault="00E770F7" w:rsidP="00CB0B4F">
            <w:pPr>
              <w:keepNext/>
              <w:jc w:val="center"/>
              <w:rPr>
                <w:rFonts w:ascii="Arial Narrow" w:hAnsi="Arial Narrow"/>
                <w:sz w:val="20"/>
                <w:lang w:val="en-US"/>
              </w:rPr>
            </w:pPr>
            <w:r>
              <w:rPr>
                <w:rFonts w:ascii="Arial Narrow" w:hAnsi="Arial Narrow"/>
                <w:sz w:val="20"/>
              </w:rPr>
              <w:t>--</w:t>
            </w:r>
          </w:p>
        </w:tc>
      </w:tr>
      <w:tr w:rsidR="00CB0B4F" w:rsidRPr="00E2771E" w:rsidTr="0055700A">
        <w:trPr>
          <w:trHeight w:val="231"/>
        </w:trPr>
        <w:tc>
          <w:tcPr>
            <w:tcW w:w="1429" w:type="pct"/>
            <w:shd w:val="clear" w:color="auto" w:fill="auto"/>
            <w:vAlign w:val="center"/>
          </w:tcPr>
          <w:p w:rsidR="0030683E" w:rsidRDefault="0030683E" w:rsidP="00CB0B4F">
            <w:pPr>
              <w:ind w:right="-108"/>
              <w:jc w:val="left"/>
              <w:rPr>
                <w:rFonts w:ascii="Arial Narrow" w:hAnsi="Arial Narrow"/>
                <w:sz w:val="20"/>
              </w:rPr>
            </w:pPr>
            <w:r>
              <w:rPr>
                <w:rFonts w:ascii="Arial Narrow" w:hAnsi="Arial Narrow"/>
                <w:sz w:val="20"/>
                <w:lang w:val="en-US"/>
              </w:rPr>
              <w:t>Patients with PFS event</w:t>
            </w:r>
          </w:p>
        </w:tc>
        <w:tc>
          <w:tcPr>
            <w:tcW w:w="894" w:type="pct"/>
            <w:shd w:val="clear" w:color="auto" w:fill="auto"/>
            <w:vAlign w:val="center"/>
          </w:tcPr>
          <w:p w:rsidR="0030683E" w:rsidRDefault="0030683E" w:rsidP="00CB0B4F">
            <w:pPr>
              <w:keepNext/>
              <w:jc w:val="center"/>
              <w:rPr>
                <w:rFonts w:ascii="Arial Narrow" w:hAnsi="Arial Narrow"/>
                <w:sz w:val="20"/>
              </w:rPr>
            </w:pPr>
            <w:r>
              <w:rPr>
                <w:rFonts w:ascii="Arial Narrow" w:hAnsi="Arial Narrow"/>
                <w:sz w:val="20"/>
              </w:rPr>
              <w:t>255/322 (79.2)</w:t>
            </w:r>
          </w:p>
        </w:tc>
        <w:tc>
          <w:tcPr>
            <w:tcW w:w="891" w:type="pct"/>
            <w:shd w:val="clear" w:color="auto" w:fill="auto"/>
            <w:vAlign w:val="center"/>
          </w:tcPr>
          <w:p w:rsidR="0030683E" w:rsidRDefault="0030683E" w:rsidP="00CB0B4F">
            <w:pPr>
              <w:keepNext/>
              <w:jc w:val="center"/>
              <w:rPr>
                <w:rFonts w:ascii="Arial Narrow" w:hAnsi="Arial Narrow"/>
                <w:sz w:val="20"/>
              </w:rPr>
            </w:pPr>
            <w:r>
              <w:rPr>
                <w:rFonts w:ascii="Arial Narrow" w:hAnsi="Arial Narrow"/>
                <w:sz w:val="20"/>
              </w:rPr>
              <w:t>267/336 (79.5)</w:t>
            </w:r>
          </w:p>
        </w:tc>
        <w:tc>
          <w:tcPr>
            <w:tcW w:w="716" w:type="pct"/>
            <w:shd w:val="clear" w:color="auto" w:fill="auto"/>
            <w:vAlign w:val="center"/>
          </w:tcPr>
          <w:p w:rsidR="0030683E" w:rsidRDefault="0030683E" w:rsidP="00CB0B4F">
            <w:pPr>
              <w:keepNext/>
              <w:jc w:val="center"/>
              <w:rPr>
                <w:rFonts w:ascii="Arial Narrow" w:hAnsi="Arial Narrow"/>
                <w:sz w:val="20"/>
              </w:rPr>
            </w:pPr>
            <w:r>
              <w:rPr>
                <w:rFonts w:ascii="Arial Narrow" w:hAnsi="Arial Narrow"/>
                <w:sz w:val="20"/>
              </w:rPr>
              <w:t>--</w:t>
            </w:r>
          </w:p>
        </w:tc>
        <w:tc>
          <w:tcPr>
            <w:tcW w:w="1069" w:type="pct"/>
            <w:shd w:val="clear" w:color="auto" w:fill="auto"/>
            <w:vAlign w:val="center"/>
          </w:tcPr>
          <w:p w:rsidR="0030683E" w:rsidRDefault="0030683E" w:rsidP="00CB0B4F">
            <w:pPr>
              <w:jc w:val="center"/>
              <w:rPr>
                <w:rFonts w:ascii="Arial Narrow" w:hAnsi="Arial Narrow"/>
                <w:sz w:val="20"/>
              </w:rPr>
            </w:pPr>
            <w:r>
              <w:rPr>
                <w:rFonts w:ascii="Arial Narrow" w:hAnsi="Arial Narrow"/>
                <w:sz w:val="20"/>
              </w:rPr>
              <w:t>0.84 (0.71,1.00)</w:t>
            </w:r>
          </w:p>
        </w:tc>
      </w:tr>
      <w:tr w:rsidR="00CB0B4F" w:rsidRPr="00E2771E" w:rsidTr="0055700A">
        <w:trPr>
          <w:trHeight w:val="231"/>
        </w:trPr>
        <w:tc>
          <w:tcPr>
            <w:tcW w:w="1429" w:type="pct"/>
            <w:shd w:val="clear" w:color="auto" w:fill="auto"/>
            <w:vAlign w:val="center"/>
          </w:tcPr>
          <w:p w:rsidR="0030683E" w:rsidRDefault="0030683E" w:rsidP="00CB0B4F">
            <w:pPr>
              <w:ind w:right="-108"/>
              <w:jc w:val="left"/>
              <w:rPr>
                <w:rFonts w:ascii="Arial Narrow" w:hAnsi="Arial Narrow"/>
                <w:sz w:val="20"/>
              </w:rPr>
            </w:pPr>
            <w:r>
              <w:rPr>
                <w:rFonts w:ascii="Arial Narrow" w:hAnsi="Arial Narrow"/>
                <w:sz w:val="20"/>
              </w:rPr>
              <w:t>Median PFS in months(IQR)</w:t>
            </w:r>
          </w:p>
        </w:tc>
        <w:tc>
          <w:tcPr>
            <w:tcW w:w="894" w:type="pct"/>
            <w:shd w:val="clear" w:color="auto" w:fill="auto"/>
            <w:vAlign w:val="center"/>
          </w:tcPr>
          <w:p w:rsidR="0030683E" w:rsidRDefault="0030683E" w:rsidP="00CB0B4F">
            <w:pPr>
              <w:keepNext/>
              <w:jc w:val="center"/>
              <w:rPr>
                <w:rFonts w:ascii="Arial Narrow" w:hAnsi="Arial Narrow"/>
                <w:sz w:val="20"/>
              </w:rPr>
            </w:pPr>
            <w:r>
              <w:rPr>
                <w:rFonts w:ascii="Arial Narrow" w:hAnsi="Arial Narrow"/>
                <w:sz w:val="20"/>
              </w:rPr>
              <w:t>4.2 (2.1, 6.9)</w:t>
            </w:r>
          </w:p>
        </w:tc>
        <w:tc>
          <w:tcPr>
            <w:tcW w:w="891" w:type="pct"/>
            <w:shd w:val="clear" w:color="auto" w:fill="auto"/>
            <w:vAlign w:val="center"/>
          </w:tcPr>
          <w:p w:rsidR="0030683E" w:rsidRDefault="0030683E" w:rsidP="00CB0B4F">
            <w:pPr>
              <w:keepNext/>
              <w:jc w:val="center"/>
              <w:rPr>
                <w:rFonts w:ascii="Arial Narrow" w:hAnsi="Arial Narrow"/>
                <w:sz w:val="20"/>
              </w:rPr>
            </w:pPr>
            <w:r>
              <w:rPr>
                <w:rFonts w:ascii="Arial Narrow" w:hAnsi="Arial Narrow"/>
                <w:sz w:val="20"/>
              </w:rPr>
              <w:t>2.8 (1.4, 4.9)</w:t>
            </w:r>
          </w:p>
        </w:tc>
        <w:tc>
          <w:tcPr>
            <w:tcW w:w="716" w:type="pct"/>
            <w:shd w:val="clear" w:color="auto" w:fill="auto"/>
            <w:vAlign w:val="center"/>
          </w:tcPr>
          <w:p w:rsidR="0030683E" w:rsidRDefault="0030683E" w:rsidP="00CB0B4F">
            <w:pPr>
              <w:keepNext/>
              <w:jc w:val="center"/>
              <w:rPr>
                <w:rFonts w:ascii="Arial Narrow" w:hAnsi="Arial Narrow"/>
                <w:sz w:val="20"/>
              </w:rPr>
            </w:pPr>
            <w:r>
              <w:rPr>
                <w:rFonts w:ascii="Arial Narrow" w:hAnsi="Arial Narrow"/>
                <w:i/>
                <w:sz w:val="20"/>
              </w:rPr>
              <w:t>1.4</w:t>
            </w:r>
          </w:p>
        </w:tc>
        <w:tc>
          <w:tcPr>
            <w:tcW w:w="1069" w:type="pct"/>
            <w:shd w:val="clear" w:color="auto" w:fill="auto"/>
            <w:vAlign w:val="center"/>
          </w:tcPr>
          <w:p w:rsidR="0030683E" w:rsidRDefault="0030683E" w:rsidP="00CB0B4F">
            <w:pPr>
              <w:keepNext/>
              <w:jc w:val="center"/>
              <w:rPr>
                <w:rFonts w:ascii="Arial Narrow" w:hAnsi="Arial Narrow"/>
                <w:sz w:val="20"/>
              </w:rPr>
            </w:pPr>
            <w:r>
              <w:rPr>
                <w:rFonts w:ascii="Arial Narrow" w:hAnsi="Arial Narrow"/>
                <w:sz w:val="20"/>
              </w:rPr>
              <w:t>--</w:t>
            </w:r>
          </w:p>
        </w:tc>
      </w:tr>
    </w:tbl>
    <w:p w:rsidR="00E770F7" w:rsidRPr="00E770F7" w:rsidRDefault="00E770F7" w:rsidP="00E770F7">
      <w:pPr>
        <w:ind w:left="709"/>
        <w:rPr>
          <w:rFonts w:ascii="Arial Narrow" w:hAnsi="Arial Narrow"/>
          <w:sz w:val="18"/>
        </w:rPr>
      </w:pPr>
      <w:r w:rsidRPr="00E770F7">
        <w:rPr>
          <w:rFonts w:ascii="Arial Narrow" w:hAnsi="Arial Narrow"/>
          <w:sz w:val="18"/>
        </w:rPr>
        <w:t>Source Tables B.32, B.33, and B.34, pp97</w:t>
      </w:r>
      <w:r w:rsidR="0094459D" w:rsidRPr="00E770F7">
        <w:rPr>
          <w:rFonts w:ascii="Arial Narrow" w:hAnsi="Arial Narrow"/>
          <w:sz w:val="18"/>
        </w:rPr>
        <w:t>, 101</w:t>
      </w:r>
      <w:r w:rsidRPr="00E770F7">
        <w:rPr>
          <w:rFonts w:ascii="Arial Narrow" w:hAnsi="Arial Narrow"/>
          <w:sz w:val="18"/>
        </w:rPr>
        <w:t xml:space="preserve"> and 103 of the submission</w:t>
      </w:r>
    </w:p>
    <w:p w:rsidR="00E770F7" w:rsidRPr="00E770F7" w:rsidRDefault="003245FB" w:rsidP="00E770F7">
      <w:pPr>
        <w:ind w:left="709"/>
        <w:rPr>
          <w:rFonts w:ascii="Arial Narrow" w:hAnsi="Arial Narrow"/>
          <w:sz w:val="18"/>
        </w:rPr>
      </w:pPr>
      <w:r>
        <w:rPr>
          <w:rFonts w:ascii="Arial Narrow" w:hAnsi="Arial Narrow"/>
          <w:sz w:val="18"/>
        </w:rPr>
        <w:t>CIR=Central Independent Review; HR=hazard ratio; IQR=</w:t>
      </w:r>
      <w:r w:rsidR="00E770F7" w:rsidRPr="00E770F7">
        <w:rPr>
          <w:rFonts w:ascii="Arial Narrow" w:hAnsi="Arial Narrow"/>
          <w:sz w:val="18"/>
        </w:rPr>
        <w:t>interquartile range</w:t>
      </w:r>
      <w:r>
        <w:rPr>
          <w:rFonts w:ascii="Arial Narrow" w:hAnsi="Arial Narrow"/>
          <w:sz w:val="18"/>
        </w:rPr>
        <w:t>; NR=</w:t>
      </w:r>
      <w:r w:rsidR="00E770F7">
        <w:rPr>
          <w:rFonts w:ascii="Arial Narrow" w:hAnsi="Arial Narrow"/>
          <w:sz w:val="18"/>
        </w:rPr>
        <w:t>not reported;</w:t>
      </w:r>
      <w:r>
        <w:rPr>
          <w:rFonts w:ascii="Arial Narrow" w:hAnsi="Arial Narrow"/>
          <w:sz w:val="18"/>
        </w:rPr>
        <w:t xml:space="preserve"> OS=overall survival; PFS=</w:t>
      </w:r>
      <w:r w:rsidR="00E770F7" w:rsidRPr="00E770F7">
        <w:rPr>
          <w:rFonts w:ascii="Arial Narrow" w:hAnsi="Arial Narrow"/>
          <w:sz w:val="18"/>
        </w:rPr>
        <w:t>progression</w:t>
      </w:r>
      <w:r w:rsidR="005811DA">
        <w:rPr>
          <w:rFonts w:ascii="Arial Narrow" w:hAnsi="Arial Narrow"/>
          <w:sz w:val="18"/>
        </w:rPr>
        <w:t>-</w:t>
      </w:r>
      <w:r w:rsidR="00E770F7" w:rsidRPr="00E770F7">
        <w:rPr>
          <w:rFonts w:ascii="Arial Narrow" w:hAnsi="Arial Narrow"/>
          <w:sz w:val="18"/>
        </w:rPr>
        <w:t>free survival</w:t>
      </w:r>
    </w:p>
    <w:p w:rsidR="00E770F7" w:rsidRPr="00E770F7" w:rsidRDefault="00E770F7" w:rsidP="00E770F7">
      <w:pPr>
        <w:widowControl/>
        <w:rPr>
          <w:szCs w:val="22"/>
        </w:rPr>
      </w:pPr>
    </w:p>
    <w:p w:rsidR="00E770F7" w:rsidRPr="0084358A" w:rsidRDefault="00E770F7" w:rsidP="00EA0FDF">
      <w:pPr>
        <w:pStyle w:val="ListParagraph"/>
        <w:widowControl/>
        <w:numPr>
          <w:ilvl w:val="1"/>
          <w:numId w:val="4"/>
        </w:numPr>
        <w:rPr>
          <w:szCs w:val="22"/>
        </w:rPr>
      </w:pPr>
      <w:r>
        <w:rPr>
          <w:szCs w:val="22"/>
        </w:rPr>
        <w:t>The submission also claimed</w:t>
      </w:r>
      <w:r w:rsidRPr="00E770F7">
        <w:rPr>
          <w:szCs w:val="22"/>
        </w:rPr>
        <w:t xml:space="preserve"> </w:t>
      </w:r>
      <w:r w:rsidRPr="004B369F">
        <w:rPr>
          <w:szCs w:val="22"/>
        </w:rPr>
        <w:t>non-inferior efficacy and inferior safety to pemetrexed.</w:t>
      </w:r>
      <w:r>
        <w:rPr>
          <w:szCs w:val="22"/>
        </w:rPr>
        <w:t xml:space="preserve"> </w:t>
      </w:r>
      <w:r w:rsidR="0016341E">
        <w:rPr>
          <w:szCs w:val="22"/>
        </w:rPr>
        <w:t>E</w:t>
      </w:r>
      <w:r>
        <w:rPr>
          <w:szCs w:val="22"/>
        </w:rPr>
        <w:t>fficacy results of the indirect comparison against pemetrexed</w:t>
      </w:r>
      <w:r w:rsidR="0016341E">
        <w:rPr>
          <w:szCs w:val="22"/>
        </w:rPr>
        <w:t xml:space="preserve"> are presente</w:t>
      </w:r>
      <w:r w:rsidR="00CB0B4F">
        <w:rPr>
          <w:szCs w:val="22"/>
        </w:rPr>
        <w:t>d</w:t>
      </w:r>
      <w:r w:rsidR="0016341E">
        <w:rPr>
          <w:szCs w:val="22"/>
        </w:rPr>
        <w:t xml:space="preserve"> in the table below</w:t>
      </w:r>
      <w:r>
        <w:rPr>
          <w:szCs w:val="22"/>
        </w:rPr>
        <w:t>.</w:t>
      </w:r>
      <w:r w:rsidR="00640946">
        <w:rPr>
          <w:szCs w:val="22"/>
        </w:rPr>
        <w:t xml:space="preserve"> </w:t>
      </w:r>
      <w:r w:rsidR="00640946" w:rsidRPr="0084358A">
        <w:rPr>
          <w:szCs w:val="22"/>
        </w:rPr>
        <w:t xml:space="preserve">The economic evaluation was based on a hazard ratio (0.77), for which no Kaplan Meier data </w:t>
      </w:r>
      <w:r w:rsidR="00E2076F">
        <w:rPr>
          <w:szCs w:val="22"/>
        </w:rPr>
        <w:t>were</w:t>
      </w:r>
      <w:r w:rsidR="00E2076F" w:rsidRPr="0084358A">
        <w:rPr>
          <w:szCs w:val="22"/>
        </w:rPr>
        <w:t xml:space="preserve"> </w:t>
      </w:r>
      <w:r w:rsidR="00640946" w:rsidRPr="0084358A">
        <w:rPr>
          <w:szCs w:val="22"/>
        </w:rPr>
        <w:t>presented.</w:t>
      </w:r>
    </w:p>
    <w:p w:rsidR="001F3A8A" w:rsidRPr="004B369F" w:rsidRDefault="001F3A8A" w:rsidP="001F3A8A">
      <w:pPr>
        <w:pStyle w:val="ListParagraph"/>
        <w:widowControl/>
        <w:rPr>
          <w:szCs w:val="22"/>
        </w:rPr>
      </w:pPr>
    </w:p>
    <w:p w:rsidR="007F1017" w:rsidRPr="002F675E" w:rsidRDefault="001F3A8A" w:rsidP="0016341E">
      <w:pPr>
        <w:keepNext/>
        <w:widowControl/>
        <w:ind w:left="709"/>
        <w:rPr>
          <w:rFonts w:ascii="Arial Narrow" w:hAnsi="Arial Narrow"/>
          <w:szCs w:val="22"/>
        </w:rPr>
      </w:pPr>
      <w:r w:rsidRPr="002F675E">
        <w:rPr>
          <w:rStyle w:val="CommentReference"/>
        </w:rPr>
        <w:lastRenderedPageBreak/>
        <w:t>Results of the indirect comparison – OS, PFS and ORR</w:t>
      </w:r>
    </w:p>
    <w:tbl>
      <w:tblPr>
        <w:tblW w:w="4588" w:type="pct"/>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esults of the indirect comparison – OS, PFS and ORR"/>
        <w:tblDescription w:val="Table summarises results of indirect comparison of nintedanib plus docetaxel versus docetaxel and docetaxel versus pemetrexed "/>
      </w:tblPr>
      <w:tblGrid>
        <w:gridCol w:w="1389"/>
        <w:gridCol w:w="1007"/>
        <w:gridCol w:w="1003"/>
        <w:gridCol w:w="1005"/>
        <w:gridCol w:w="1003"/>
        <w:gridCol w:w="1003"/>
        <w:gridCol w:w="1012"/>
        <w:gridCol w:w="912"/>
      </w:tblGrid>
      <w:tr w:rsidR="00E770F7" w:rsidRPr="002F675E" w:rsidTr="00E770F7">
        <w:trPr>
          <w:trHeight w:val="230"/>
        </w:trPr>
        <w:tc>
          <w:tcPr>
            <w:tcW w:w="833"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E770F7" w:rsidRPr="002F675E" w:rsidRDefault="00E770F7" w:rsidP="00BD27F8">
            <w:pPr>
              <w:pStyle w:val="TableHeading"/>
              <w:spacing w:before="0" w:after="0"/>
              <w:rPr>
                <w:rFonts w:cs="Arial"/>
              </w:rPr>
            </w:pPr>
          </w:p>
        </w:tc>
        <w:tc>
          <w:tcPr>
            <w:tcW w:w="1809" w:type="pct"/>
            <w:gridSpan w:val="3"/>
            <w:tcBorders>
              <w:top w:val="single" w:sz="4" w:space="0" w:color="auto"/>
              <w:left w:val="nil"/>
              <w:bottom w:val="single" w:sz="4" w:space="0" w:color="auto"/>
              <w:right w:val="double" w:sz="4" w:space="0" w:color="auto"/>
            </w:tcBorders>
            <w:vAlign w:val="center"/>
          </w:tcPr>
          <w:p w:rsidR="00E770F7" w:rsidRPr="002F675E" w:rsidRDefault="00E770F7" w:rsidP="00BD27F8">
            <w:pPr>
              <w:pStyle w:val="TableHeading"/>
              <w:spacing w:before="0" w:after="0"/>
              <w:jc w:val="center"/>
              <w:rPr>
                <w:rFonts w:cs="Arial"/>
              </w:rPr>
            </w:pPr>
            <w:r w:rsidRPr="002F675E">
              <w:rPr>
                <w:rFonts w:cs="Arial"/>
              </w:rPr>
              <w:t>LUME Lung 1</w:t>
            </w:r>
          </w:p>
        </w:tc>
        <w:tc>
          <w:tcPr>
            <w:tcW w:w="1811" w:type="pct"/>
            <w:gridSpan w:val="3"/>
            <w:tcBorders>
              <w:top w:val="single" w:sz="4" w:space="0" w:color="auto"/>
              <w:left w:val="nil"/>
              <w:bottom w:val="single" w:sz="4" w:space="0" w:color="auto"/>
              <w:right w:val="single" w:sz="4" w:space="0" w:color="auto"/>
            </w:tcBorders>
            <w:vAlign w:val="center"/>
          </w:tcPr>
          <w:p w:rsidR="00E770F7" w:rsidRPr="002F675E" w:rsidRDefault="00E770F7" w:rsidP="00BD27F8">
            <w:pPr>
              <w:pStyle w:val="TableHeading"/>
              <w:spacing w:before="0" w:after="0"/>
              <w:jc w:val="center"/>
              <w:rPr>
                <w:rFonts w:cs="Arial"/>
              </w:rPr>
            </w:pPr>
            <w:r w:rsidRPr="002F675E">
              <w:rPr>
                <w:rFonts w:cs="Arial"/>
              </w:rPr>
              <w:t>JMEI</w:t>
            </w:r>
          </w:p>
        </w:tc>
        <w:tc>
          <w:tcPr>
            <w:tcW w:w="547" w:type="pct"/>
            <w:vMerge w:val="restar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Heading"/>
              <w:spacing w:before="0" w:after="0"/>
              <w:jc w:val="center"/>
              <w:rPr>
                <w:rFonts w:cs="Arial"/>
              </w:rPr>
            </w:pPr>
            <w:r w:rsidRPr="002F675E">
              <w:rPr>
                <w:rFonts w:cs="Arial"/>
              </w:rPr>
              <w:t xml:space="preserve">Indirect estimate of </w:t>
            </w:r>
            <w:proofErr w:type="spellStart"/>
            <w:r w:rsidRPr="002F675E">
              <w:rPr>
                <w:rFonts w:cs="Arial"/>
              </w:rPr>
              <w:t>effect</w:t>
            </w:r>
            <w:r w:rsidRPr="002F675E">
              <w:rPr>
                <w:rFonts w:cs="Arial"/>
                <w:b w:val="0"/>
                <w:bCs w:val="0"/>
                <w:vertAlign w:val="superscript"/>
              </w:rPr>
              <w:t>c</w:t>
            </w:r>
            <w:proofErr w:type="spellEnd"/>
            <w:r w:rsidRPr="002F675E">
              <w:rPr>
                <w:rFonts w:cs="Arial"/>
              </w:rPr>
              <w:t xml:space="preserve"> HR</w:t>
            </w:r>
            <w:r w:rsidRPr="002F675E">
              <w:rPr>
                <w:rFonts w:cs="Arial"/>
              </w:rPr>
              <w:br/>
              <w:t>(95% CI)</w:t>
            </w:r>
          </w:p>
        </w:tc>
      </w:tr>
      <w:tr w:rsidR="00E770F7" w:rsidRPr="002F675E" w:rsidTr="00E770F7">
        <w:trPr>
          <w:trHeight w:val="922"/>
        </w:trPr>
        <w:tc>
          <w:tcPr>
            <w:tcW w:w="833" w:type="pct"/>
            <w:vMerge/>
            <w:tcBorders>
              <w:top w:val="single" w:sz="4" w:space="0" w:color="auto"/>
              <w:left w:val="single" w:sz="4" w:space="0" w:color="auto"/>
              <w:bottom w:val="single" w:sz="4" w:space="0" w:color="auto"/>
              <w:right w:val="single" w:sz="4" w:space="0" w:color="auto"/>
            </w:tcBorders>
            <w:tcMar>
              <w:right w:w="28" w:type="dxa"/>
            </w:tcMar>
            <w:vAlign w:val="center"/>
          </w:tcPr>
          <w:p w:rsidR="00E770F7" w:rsidRPr="002F675E" w:rsidRDefault="00E770F7" w:rsidP="00BD27F8">
            <w:pPr>
              <w:pStyle w:val="TableText0"/>
              <w:spacing w:before="0" w:after="0"/>
              <w:rPr>
                <w:rFonts w:cs="Arial"/>
              </w:rPr>
            </w:pPr>
          </w:p>
        </w:tc>
        <w:tc>
          <w:tcPr>
            <w:tcW w:w="604"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Heading"/>
              <w:spacing w:before="0" w:after="0"/>
              <w:jc w:val="center"/>
              <w:rPr>
                <w:rFonts w:cs="Arial"/>
              </w:rPr>
            </w:pPr>
            <w:r w:rsidRPr="002F675E">
              <w:rPr>
                <w:rFonts w:cs="Arial"/>
              </w:rPr>
              <w:t xml:space="preserve">Treatment </w:t>
            </w:r>
            <w:proofErr w:type="spellStart"/>
            <w:r w:rsidRPr="002F675E">
              <w:rPr>
                <w:rFonts w:cs="Arial"/>
              </w:rPr>
              <w:t>effect</w:t>
            </w:r>
            <w:r w:rsidRPr="002F675E">
              <w:rPr>
                <w:rFonts w:cs="Arial"/>
                <w:vertAlign w:val="superscript"/>
              </w:rPr>
              <w:t>a</w:t>
            </w:r>
            <w:proofErr w:type="spellEnd"/>
            <w:r w:rsidRPr="002F675E">
              <w:rPr>
                <w:rFonts w:cs="Arial"/>
                <w:vertAlign w:val="superscript"/>
              </w:rPr>
              <w:br/>
            </w:r>
            <w:r w:rsidRPr="002F675E">
              <w:rPr>
                <w:rFonts w:cs="Arial"/>
              </w:rPr>
              <w:t>HR</w:t>
            </w:r>
            <w:r w:rsidRPr="002F675E">
              <w:rPr>
                <w:rFonts w:cs="Arial"/>
              </w:rPr>
              <w:br/>
              <w:t>(95% CI)</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Heading"/>
              <w:spacing w:before="0" w:after="0"/>
              <w:jc w:val="center"/>
              <w:rPr>
                <w:rFonts w:cs="Arial"/>
                <w:lang w:val="fr-FR"/>
              </w:rPr>
            </w:pPr>
            <w:r w:rsidRPr="002F675E">
              <w:rPr>
                <w:rFonts w:cs="Arial"/>
                <w:lang w:val="fr-FR"/>
              </w:rPr>
              <w:t>Nintedanib plus docetaxel</w:t>
            </w:r>
            <w:r w:rsidRPr="002F675E">
              <w:rPr>
                <w:rFonts w:cs="Arial"/>
                <w:lang w:val="fr-FR"/>
              </w:rPr>
              <w:br/>
            </w:r>
            <w:r w:rsidRPr="002F675E">
              <w:rPr>
                <w:rFonts w:cs="Arial"/>
                <w:i/>
                <w:iCs/>
                <w:lang w:val="fr-FR"/>
              </w:rPr>
              <w:t>n</w:t>
            </w:r>
            <w:r w:rsidRPr="002F675E">
              <w:rPr>
                <w:rFonts w:cs="Arial"/>
                <w:lang w:val="fr-FR"/>
              </w:rPr>
              <w:t>/</w:t>
            </w:r>
            <w:r w:rsidRPr="002F675E">
              <w:rPr>
                <w:rFonts w:cs="Arial"/>
                <w:i/>
                <w:iCs/>
                <w:lang w:val="fr-FR"/>
              </w:rPr>
              <w:t>N</w:t>
            </w:r>
            <w:r w:rsidRPr="002F675E">
              <w:rPr>
                <w:rFonts w:cs="Arial"/>
                <w:lang w:val="fr-FR"/>
              </w:rPr>
              <w:t xml:space="preserve"> (%)</w:t>
            </w:r>
          </w:p>
        </w:tc>
        <w:tc>
          <w:tcPr>
            <w:tcW w:w="603" w:type="pct"/>
            <w:tcBorders>
              <w:top w:val="single" w:sz="4" w:space="0" w:color="auto"/>
              <w:left w:val="single" w:sz="4" w:space="0" w:color="auto"/>
              <w:bottom w:val="single" w:sz="4" w:space="0" w:color="auto"/>
              <w:right w:val="double" w:sz="4" w:space="0" w:color="auto"/>
            </w:tcBorders>
            <w:vAlign w:val="center"/>
          </w:tcPr>
          <w:p w:rsidR="00E770F7" w:rsidRPr="002F675E" w:rsidRDefault="00E770F7" w:rsidP="00BD27F8">
            <w:pPr>
              <w:pStyle w:val="TableHeading"/>
              <w:spacing w:before="0" w:after="0"/>
              <w:jc w:val="center"/>
              <w:rPr>
                <w:rFonts w:cs="Arial"/>
              </w:rPr>
            </w:pPr>
            <w:r w:rsidRPr="002F675E">
              <w:rPr>
                <w:rFonts w:cs="Arial"/>
              </w:rPr>
              <w:t>Docetaxel</w:t>
            </w:r>
            <w:r w:rsidRPr="002F675E">
              <w:rPr>
                <w:rFonts w:cs="Arial"/>
              </w:rPr>
              <w:br/>
            </w:r>
            <w:r w:rsidRPr="002F675E">
              <w:rPr>
                <w:rFonts w:cs="Arial"/>
                <w:i/>
                <w:iCs/>
              </w:rPr>
              <w:t>n</w:t>
            </w:r>
            <w:r w:rsidRPr="002F675E">
              <w:rPr>
                <w:rFonts w:cs="Arial"/>
              </w:rPr>
              <w:t>/</w:t>
            </w:r>
            <w:r w:rsidRPr="002F675E">
              <w:rPr>
                <w:rFonts w:cs="Arial"/>
                <w:i/>
                <w:iCs/>
              </w:rPr>
              <w:t>N</w:t>
            </w:r>
            <w:r w:rsidRPr="002F675E">
              <w:rPr>
                <w:rFonts w:cs="Arial"/>
              </w:rPr>
              <w:t xml:space="preserve"> (%)</w:t>
            </w:r>
          </w:p>
        </w:tc>
        <w:tc>
          <w:tcPr>
            <w:tcW w:w="602" w:type="pct"/>
            <w:tcBorders>
              <w:top w:val="single" w:sz="4" w:space="0" w:color="auto"/>
              <w:left w:val="double" w:sz="4" w:space="0" w:color="auto"/>
              <w:bottom w:val="single" w:sz="4" w:space="0" w:color="auto"/>
              <w:right w:val="single" w:sz="4" w:space="0" w:color="auto"/>
            </w:tcBorders>
            <w:vAlign w:val="center"/>
          </w:tcPr>
          <w:p w:rsidR="00E770F7" w:rsidRPr="002F675E" w:rsidRDefault="00E770F7" w:rsidP="00BD27F8">
            <w:pPr>
              <w:pStyle w:val="TableHeading"/>
              <w:spacing w:before="0" w:after="0"/>
              <w:jc w:val="center"/>
              <w:rPr>
                <w:rFonts w:cs="Arial"/>
              </w:rPr>
            </w:pPr>
            <w:r w:rsidRPr="002F675E">
              <w:rPr>
                <w:rFonts w:cs="Arial"/>
              </w:rPr>
              <w:t>Docetaxel</w:t>
            </w:r>
            <w:r w:rsidRPr="002F675E">
              <w:rPr>
                <w:rFonts w:cs="Arial"/>
              </w:rPr>
              <w:br/>
            </w:r>
            <w:r w:rsidRPr="002F675E">
              <w:rPr>
                <w:rFonts w:cs="Arial"/>
                <w:i/>
                <w:iCs/>
              </w:rPr>
              <w:t>n</w:t>
            </w:r>
            <w:r w:rsidRPr="002F675E">
              <w:rPr>
                <w:rFonts w:cs="Arial"/>
              </w:rPr>
              <w:t>/</w:t>
            </w:r>
            <w:r w:rsidRPr="002F675E">
              <w:rPr>
                <w:rFonts w:cs="Arial"/>
                <w:i/>
                <w:iCs/>
              </w:rPr>
              <w:t>N</w:t>
            </w:r>
            <w:r w:rsidRPr="002F675E">
              <w:rPr>
                <w:rFonts w:cs="Arial"/>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Heading"/>
              <w:spacing w:before="0" w:after="0"/>
              <w:jc w:val="center"/>
              <w:rPr>
                <w:rFonts w:cs="Arial"/>
              </w:rPr>
            </w:pPr>
            <w:r w:rsidRPr="002F675E">
              <w:rPr>
                <w:rFonts w:cs="Arial"/>
              </w:rPr>
              <w:t>Pemetrexed</w:t>
            </w:r>
            <w:r w:rsidRPr="002F675E">
              <w:rPr>
                <w:rFonts w:cs="Arial"/>
              </w:rPr>
              <w:br/>
            </w:r>
            <w:r w:rsidRPr="002F675E">
              <w:rPr>
                <w:rFonts w:cs="Arial"/>
                <w:i/>
                <w:iCs/>
              </w:rPr>
              <w:t>n</w:t>
            </w:r>
            <w:r w:rsidRPr="002F675E">
              <w:rPr>
                <w:rFonts w:cs="Arial"/>
              </w:rPr>
              <w:t>/</w:t>
            </w:r>
            <w:r w:rsidRPr="002F675E">
              <w:rPr>
                <w:rFonts w:cs="Arial"/>
                <w:i/>
                <w:iCs/>
              </w:rPr>
              <w:t>N</w:t>
            </w:r>
            <w:r w:rsidRPr="002F675E">
              <w:rPr>
                <w:rFonts w:cs="Arial"/>
              </w:rPr>
              <w:t xml:space="preserve"> (%)</w:t>
            </w:r>
          </w:p>
        </w:tc>
        <w:tc>
          <w:tcPr>
            <w:tcW w:w="607"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Heading"/>
              <w:spacing w:before="0" w:after="0"/>
              <w:jc w:val="center"/>
              <w:rPr>
                <w:rFonts w:cs="Arial"/>
              </w:rPr>
            </w:pPr>
            <w:r w:rsidRPr="002F675E">
              <w:rPr>
                <w:rFonts w:cs="Arial"/>
              </w:rPr>
              <w:t xml:space="preserve">Treatment </w:t>
            </w:r>
            <w:proofErr w:type="spellStart"/>
            <w:r w:rsidRPr="002F675E">
              <w:rPr>
                <w:rFonts w:cs="Arial"/>
              </w:rPr>
              <w:t>effect</w:t>
            </w:r>
            <w:r w:rsidRPr="002F675E">
              <w:rPr>
                <w:rFonts w:cs="Arial"/>
                <w:vertAlign w:val="superscript"/>
              </w:rPr>
              <w:t>b</w:t>
            </w:r>
            <w:proofErr w:type="spellEnd"/>
            <w:r w:rsidRPr="002F675E">
              <w:rPr>
                <w:rFonts w:cs="Arial"/>
                <w:vertAlign w:val="superscript"/>
              </w:rPr>
              <w:br/>
            </w:r>
            <w:r w:rsidRPr="002F675E">
              <w:rPr>
                <w:rFonts w:cs="Arial"/>
              </w:rPr>
              <w:t>HR</w:t>
            </w:r>
            <w:r w:rsidRPr="002F675E">
              <w:rPr>
                <w:rFonts w:cs="Arial"/>
              </w:rPr>
              <w:br/>
              <w:t>(95% CI)</w:t>
            </w:r>
          </w:p>
        </w:tc>
        <w:tc>
          <w:tcPr>
            <w:tcW w:w="547" w:type="pct"/>
            <w:vMerge/>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Heading"/>
              <w:spacing w:before="0" w:after="0"/>
              <w:jc w:val="center"/>
              <w:rPr>
                <w:rFonts w:cs="Arial"/>
              </w:rPr>
            </w:pPr>
          </w:p>
        </w:tc>
      </w:tr>
      <w:tr w:rsidR="00E770F7" w:rsidRPr="002F675E" w:rsidTr="00E770F7">
        <w:trPr>
          <w:trHeight w:val="447"/>
        </w:trPr>
        <w:tc>
          <w:tcPr>
            <w:tcW w:w="833" w:type="pct"/>
            <w:tcBorders>
              <w:top w:val="single" w:sz="4" w:space="0" w:color="auto"/>
              <w:left w:val="single" w:sz="4" w:space="0" w:color="auto"/>
              <w:bottom w:val="single" w:sz="4" w:space="0" w:color="auto"/>
              <w:right w:val="single" w:sz="4" w:space="0" w:color="auto"/>
            </w:tcBorders>
            <w:tcMar>
              <w:right w:w="28" w:type="dxa"/>
            </w:tcMar>
            <w:vAlign w:val="center"/>
          </w:tcPr>
          <w:p w:rsidR="00E770F7" w:rsidRPr="002F675E" w:rsidRDefault="007B0235" w:rsidP="007B0235">
            <w:pPr>
              <w:pStyle w:val="TableText0"/>
              <w:spacing w:before="0" w:after="0"/>
              <w:rPr>
                <w:rFonts w:cs="Arial"/>
              </w:rPr>
            </w:pPr>
            <w:r w:rsidRPr="002F675E">
              <w:rPr>
                <w:rFonts w:cs="Arial"/>
              </w:rPr>
              <w:t>OS</w:t>
            </w:r>
          </w:p>
        </w:tc>
        <w:tc>
          <w:tcPr>
            <w:tcW w:w="604"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 xml:space="preserve">0.83 </w:t>
            </w:r>
          </w:p>
          <w:p w:rsidR="00E770F7" w:rsidRPr="002F675E" w:rsidRDefault="00E770F7" w:rsidP="00BD27F8">
            <w:pPr>
              <w:pStyle w:val="TableText0"/>
              <w:spacing w:before="0" w:after="0"/>
              <w:jc w:val="center"/>
              <w:rPr>
                <w:rFonts w:cs="Arial"/>
              </w:rPr>
            </w:pPr>
            <w:r w:rsidRPr="002F675E">
              <w:rPr>
                <w:rFonts w:cs="Arial"/>
              </w:rPr>
              <w:t>(0.70, 0.99)</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t>259/322 (80.4)</w:t>
            </w:r>
          </w:p>
        </w:tc>
        <w:tc>
          <w:tcPr>
            <w:tcW w:w="603" w:type="pct"/>
            <w:tcBorders>
              <w:top w:val="single" w:sz="4" w:space="0" w:color="auto"/>
              <w:left w:val="single" w:sz="4" w:space="0" w:color="auto"/>
              <w:bottom w:val="single" w:sz="4" w:space="0" w:color="auto"/>
              <w:right w:val="double" w:sz="4" w:space="0" w:color="auto"/>
            </w:tcBorders>
            <w:vAlign w:val="center"/>
          </w:tcPr>
          <w:p w:rsidR="00E770F7" w:rsidRPr="002F675E" w:rsidRDefault="00E770F7" w:rsidP="00BD27F8">
            <w:pPr>
              <w:pStyle w:val="TableText0"/>
              <w:spacing w:before="0" w:after="0"/>
              <w:jc w:val="center"/>
              <w:rPr>
                <w:rFonts w:cs="Arial"/>
              </w:rPr>
            </w:pPr>
            <w:r w:rsidRPr="002F675E">
              <w:t>276/336 (82.1)</w:t>
            </w:r>
          </w:p>
        </w:tc>
        <w:tc>
          <w:tcPr>
            <w:tcW w:w="602" w:type="pct"/>
            <w:tcBorders>
              <w:top w:val="single" w:sz="4" w:space="0" w:color="auto"/>
              <w:left w:val="doub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7"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 xml:space="preserve">0.92 </w:t>
            </w:r>
          </w:p>
          <w:p w:rsidR="00E770F7" w:rsidRPr="002F675E" w:rsidRDefault="00E770F7" w:rsidP="00BD27F8">
            <w:pPr>
              <w:pStyle w:val="TableText0"/>
              <w:spacing w:before="0" w:after="0"/>
              <w:jc w:val="center"/>
              <w:rPr>
                <w:rFonts w:cs="Arial"/>
              </w:rPr>
            </w:pPr>
            <w:r w:rsidRPr="002F675E">
              <w:rPr>
                <w:rFonts w:cs="Arial"/>
              </w:rPr>
              <w:t>(0.69, 1.22)</w:t>
            </w:r>
          </w:p>
        </w:tc>
        <w:tc>
          <w:tcPr>
            <w:tcW w:w="547" w:type="pct"/>
            <w:tcBorders>
              <w:top w:val="single" w:sz="4" w:space="0" w:color="auto"/>
              <w:left w:val="single" w:sz="4" w:space="0" w:color="auto"/>
              <w:bottom w:val="single" w:sz="4" w:space="0" w:color="auto"/>
              <w:right w:val="single" w:sz="4" w:space="0" w:color="auto"/>
            </w:tcBorders>
            <w:vAlign w:val="center"/>
          </w:tcPr>
          <w:p w:rsidR="00E770F7" w:rsidRPr="00B3432C" w:rsidRDefault="00B3432C" w:rsidP="00BD27F8">
            <w:pPr>
              <w:pStyle w:val="TableText0"/>
              <w:spacing w:before="0" w:after="0"/>
              <w:jc w:val="center"/>
              <w:rPr>
                <w:rFonts w:cs="Arial"/>
                <w:highlight w:val="black"/>
              </w:rPr>
            </w:pPr>
            <w:r>
              <w:rPr>
                <w:rFonts w:cs="Arial"/>
                <w:noProof/>
                <w:color w:val="000000"/>
                <w:highlight w:val="black"/>
              </w:rPr>
              <w:t>''''''''''</w:t>
            </w:r>
          </w:p>
          <w:p w:rsidR="00E770F7" w:rsidRPr="00B3432C" w:rsidRDefault="00B3432C" w:rsidP="00BD27F8">
            <w:pPr>
              <w:pStyle w:val="TableText0"/>
              <w:spacing w:before="0" w:after="0"/>
              <w:jc w:val="center"/>
              <w:rPr>
                <w:rFonts w:cs="Arial"/>
                <w:highlight w:val="black"/>
              </w:rPr>
            </w:pPr>
            <w:r>
              <w:rPr>
                <w:rFonts w:cs="Arial"/>
                <w:noProof/>
                <w:color w:val="000000"/>
                <w:highlight w:val="black"/>
              </w:rPr>
              <w:t xml:space="preserve"> '''''''''''''' '''''''''''</w:t>
            </w:r>
          </w:p>
        </w:tc>
      </w:tr>
      <w:tr w:rsidR="00E770F7" w:rsidRPr="002F675E" w:rsidTr="00E770F7">
        <w:trPr>
          <w:trHeight w:val="461"/>
        </w:trPr>
        <w:tc>
          <w:tcPr>
            <w:tcW w:w="833" w:type="pct"/>
            <w:tcBorders>
              <w:top w:val="single" w:sz="4" w:space="0" w:color="auto"/>
              <w:left w:val="single" w:sz="4" w:space="0" w:color="auto"/>
              <w:bottom w:val="single" w:sz="4" w:space="0" w:color="auto"/>
              <w:right w:val="single" w:sz="4" w:space="0" w:color="auto"/>
            </w:tcBorders>
            <w:tcMar>
              <w:right w:w="28" w:type="dxa"/>
            </w:tcMar>
            <w:vAlign w:val="center"/>
          </w:tcPr>
          <w:p w:rsidR="007B0235" w:rsidRPr="002F675E" w:rsidRDefault="007B0235" w:rsidP="00BD27F8">
            <w:pPr>
              <w:pStyle w:val="TableText0"/>
              <w:spacing w:before="0" w:after="0"/>
              <w:rPr>
                <w:rFonts w:cs="Arial"/>
              </w:rPr>
            </w:pPr>
            <w:r w:rsidRPr="002F675E">
              <w:rPr>
                <w:rFonts w:cs="Arial"/>
              </w:rPr>
              <w:t xml:space="preserve">PFS </w:t>
            </w:r>
          </w:p>
          <w:p w:rsidR="00E770F7" w:rsidRPr="002F675E" w:rsidRDefault="007B0235" w:rsidP="00BD27F8">
            <w:pPr>
              <w:pStyle w:val="TableText0"/>
              <w:spacing w:before="0" w:after="0"/>
              <w:rPr>
                <w:rFonts w:cs="Arial"/>
              </w:rPr>
            </w:pPr>
            <w:r w:rsidRPr="002F675E">
              <w:rPr>
                <w:rFonts w:cs="Arial"/>
              </w:rPr>
              <w:t>(primary analysis)</w:t>
            </w:r>
          </w:p>
        </w:tc>
        <w:tc>
          <w:tcPr>
            <w:tcW w:w="604"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0.77</w:t>
            </w:r>
          </w:p>
          <w:p w:rsidR="00E770F7" w:rsidRPr="002F675E" w:rsidRDefault="00E770F7" w:rsidP="00BD27F8">
            <w:pPr>
              <w:pStyle w:val="TableText0"/>
              <w:spacing w:before="0" w:after="0"/>
              <w:jc w:val="center"/>
              <w:rPr>
                <w:rFonts w:cs="Arial"/>
              </w:rPr>
            </w:pPr>
            <w:r w:rsidRPr="002F675E">
              <w:rPr>
                <w:rFonts w:cs="Arial"/>
              </w:rPr>
              <w:t>(0.62, 0.96)</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3" w:type="pct"/>
            <w:tcBorders>
              <w:top w:val="single" w:sz="4" w:space="0" w:color="auto"/>
              <w:left w:val="single" w:sz="4" w:space="0" w:color="auto"/>
              <w:bottom w:val="single" w:sz="4" w:space="0" w:color="auto"/>
              <w:right w:val="doub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2" w:type="pct"/>
            <w:tcBorders>
              <w:top w:val="single" w:sz="4" w:space="0" w:color="auto"/>
              <w:left w:val="doub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7"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0.83</w:t>
            </w:r>
          </w:p>
          <w:p w:rsidR="00E770F7" w:rsidRPr="002F675E" w:rsidRDefault="00E770F7" w:rsidP="00BD27F8">
            <w:pPr>
              <w:pStyle w:val="TableText0"/>
              <w:spacing w:before="0" w:after="0"/>
              <w:jc w:val="center"/>
              <w:rPr>
                <w:rFonts w:cs="Arial"/>
              </w:rPr>
            </w:pPr>
            <w:r w:rsidRPr="002F675E">
              <w:rPr>
                <w:rFonts w:cs="Arial"/>
              </w:rPr>
              <w:t xml:space="preserve"> (0.65, 1.06)</w:t>
            </w:r>
          </w:p>
        </w:tc>
        <w:tc>
          <w:tcPr>
            <w:tcW w:w="547" w:type="pct"/>
            <w:tcBorders>
              <w:top w:val="single" w:sz="4" w:space="0" w:color="auto"/>
              <w:left w:val="single" w:sz="4" w:space="0" w:color="auto"/>
              <w:bottom w:val="single" w:sz="4" w:space="0" w:color="auto"/>
              <w:right w:val="single" w:sz="4" w:space="0" w:color="auto"/>
            </w:tcBorders>
            <w:vAlign w:val="center"/>
          </w:tcPr>
          <w:p w:rsidR="00E770F7" w:rsidRPr="00B3432C" w:rsidRDefault="00B3432C" w:rsidP="00BD27F8">
            <w:pPr>
              <w:pStyle w:val="TableText0"/>
              <w:spacing w:before="0" w:after="0"/>
              <w:jc w:val="center"/>
              <w:rPr>
                <w:rFonts w:cs="Arial"/>
                <w:highlight w:val="black"/>
              </w:rPr>
            </w:pPr>
            <w:r>
              <w:rPr>
                <w:rFonts w:cs="Arial"/>
                <w:noProof/>
                <w:color w:val="000000"/>
                <w:highlight w:val="black"/>
              </w:rPr>
              <w:t>'''''''''''</w:t>
            </w:r>
          </w:p>
          <w:p w:rsidR="00E770F7" w:rsidRPr="00B3432C" w:rsidRDefault="00B3432C" w:rsidP="00BD27F8">
            <w:pPr>
              <w:pStyle w:val="TableText0"/>
              <w:spacing w:before="0" w:after="0"/>
              <w:jc w:val="center"/>
              <w:rPr>
                <w:rFonts w:cs="Arial"/>
                <w:highlight w:val="black"/>
              </w:rPr>
            </w:pPr>
            <w:r>
              <w:rPr>
                <w:rFonts w:cs="Arial"/>
                <w:noProof/>
                <w:color w:val="000000"/>
                <w:highlight w:val="black"/>
              </w:rPr>
              <w:t>''''''''''''''' '''''''''''''</w:t>
            </w:r>
          </w:p>
        </w:tc>
      </w:tr>
      <w:tr w:rsidR="00E770F7" w:rsidRPr="002F675E" w:rsidTr="00E770F7">
        <w:trPr>
          <w:trHeight w:val="515"/>
        </w:trPr>
        <w:tc>
          <w:tcPr>
            <w:tcW w:w="833" w:type="pct"/>
            <w:tcBorders>
              <w:top w:val="single" w:sz="4" w:space="0" w:color="auto"/>
              <w:left w:val="single" w:sz="4" w:space="0" w:color="auto"/>
              <w:bottom w:val="single" w:sz="4" w:space="0" w:color="auto"/>
              <w:right w:val="single" w:sz="4" w:space="0" w:color="auto"/>
            </w:tcBorders>
            <w:tcMar>
              <w:right w:w="28" w:type="dxa"/>
            </w:tcMar>
            <w:vAlign w:val="center"/>
          </w:tcPr>
          <w:p w:rsidR="007B0235" w:rsidRPr="002F675E" w:rsidRDefault="007B0235" w:rsidP="00BD27F8">
            <w:pPr>
              <w:pStyle w:val="TableText0"/>
              <w:spacing w:before="0" w:after="0"/>
              <w:rPr>
                <w:rFonts w:cs="Arial"/>
              </w:rPr>
            </w:pPr>
            <w:r w:rsidRPr="002F675E">
              <w:rPr>
                <w:rFonts w:cs="Arial"/>
              </w:rPr>
              <w:t xml:space="preserve">PFS </w:t>
            </w:r>
          </w:p>
          <w:p w:rsidR="00E770F7" w:rsidRPr="002F675E" w:rsidRDefault="007B0235" w:rsidP="00BD27F8">
            <w:pPr>
              <w:pStyle w:val="TableText0"/>
              <w:spacing w:before="0" w:after="0"/>
              <w:rPr>
                <w:rFonts w:cs="Arial"/>
              </w:rPr>
            </w:pPr>
            <w:r w:rsidRPr="002F675E">
              <w:rPr>
                <w:rFonts w:cs="Arial"/>
              </w:rPr>
              <w:t>(final analysis)</w:t>
            </w:r>
          </w:p>
        </w:tc>
        <w:tc>
          <w:tcPr>
            <w:tcW w:w="604"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keepNext/>
              <w:tabs>
                <w:tab w:val="left" w:pos="416"/>
                <w:tab w:val="left" w:pos="582"/>
              </w:tabs>
              <w:spacing w:before="40" w:after="20"/>
              <w:jc w:val="center"/>
              <w:rPr>
                <w:rFonts w:ascii="Arial Narrow" w:hAnsi="Arial Narrow"/>
                <w:sz w:val="20"/>
              </w:rPr>
            </w:pPr>
            <w:r w:rsidRPr="002F675E">
              <w:rPr>
                <w:rFonts w:ascii="Arial Narrow" w:hAnsi="Arial Narrow"/>
                <w:sz w:val="20"/>
              </w:rPr>
              <w:t xml:space="preserve">0.84 </w:t>
            </w:r>
          </w:p>
          <w:p w:rsidR="00E770F7" w:rsidRPr="002F675E" w:rsidRDefault="00E770F7" w:rsidP="00BD27F8">
            <w:pPr>
              <w:pStyle w:val="TableText0"/>
              <w:spacing w:before="0" w:after="0"/>
              <w:jc w:val="center"/>
              <w:rPr>
                <w:rFonts w:cs="Arial"/>
              </w:rPr>
            </w:pPr>
            <w:r w:rsidRPr="002F675E">
              <w:t>(0.71, 1.00)</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t>255/332 (79.2)</w:t>
            </w:r>
          </w:p>
        </w:tc>
        <w:tc>
          <w:tcPr>
            <w:tcW w:w="603" w:type="pct"/>
            <w:tcBorders>
              <w:top w:val="single" w:sz="4" w:space="0" w:color="auto"/>
              <w:left w:val="single" w:sz="4" w:space="0" w:color="auto"/>
              <w:bottom w:val="single" w:sz="4" w:space="0" w:color="auto"/>
              <w:right w:val="double" w:sz="4" w:space="0" w:color="auto"/>
            </w:tcBorders>
            <w:vAlign w:val="center"/>
          </w:tcPr>
          <w:p w:rsidR="00E770F7" w:rsidRPr="002F675E" w:rsidRDefault="00E770F7" w:rsidP="00BD27F8">
            <w:pPr>
              <w:pStyle w:val="TableText0"/>
              <w:spacing w:before="0" w:after="0"/>
              <w:jc w:val="center"/>
              <w:rPr>
                <w:rFonts w:cs="Arial"/>
              </w:rPr>
            </w:pPr>
            <w:r w:rsidRPr="002F675E">
              <w:t>267/336 (79.5)</w:t>
            </w:r>
          </w:p>
        </w:tc>
        <w:tc>
          <w:tcPr>
            <w:tcW w:w="602" w:type="pct"/>
            <w:tcBorders>
              <w:top w:val="single" w:sz="4" w:space="0" w:color="auto"/>
              <w:left w:val="doub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7"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0.83</w:t>
            </w:r>
          </w:p>
          <w:p w:rsidR="00E770F7" w:rsidRPr="002F675E" w:rsidRDefault="00E770F7" w:rsidP="00BD27F8">
            <w:pPr>
              <w:pStyle w:val="TableText0"/>
              <w:spacing w:before="0" w:after="0"/>
              <w:jc w:val="center"/>
              <w:rPr>
                <w:rFonts w:cs="Arial"/>
              </w:rPr>
            </w:pPr>
            <w:r w:rsidRPr="002F675E">
              <w:rPr>
                <w:rFonts w:cs="Arial"/>
              </w:rPr>
              <w:t xml:space="preserve"> (0.65, 1.06)</w:t>
            </w:r>
          </w:p>
        </w:tc>
        <w:tc>
          <w:tcPr>
            <w:tcW w:w="547" w:type="pct"/>
            <w:tcBorders>
              <w:top w:val="single" w:sz="4" w:space="0" w:color="auto"/>
              <w:left w:val="single" w:sz="4" w:space="0" w:color="auto"/>
              <w:bottom w:val="single" w:sz="4" w:space="0" w:color="auto"/>
              <w:right w:val="single" w:sz="4" w:space="0" w:color="auto"/>
            </w:tcBorders>
            <w:vAlign w:val="center"/>
          </w:tcPr>
          <w:p w:rsidR="00E770F7" w:rsidRPr="00B3432C" w:rsidRDefault="00B3432C" w:rsidP="00BD27F8">
            <w:pPr>
              <w:pStyle w:val="TableText0"/>
              <w:spacing w:before="0" w:after="0"/>
              <w:jc w:val="center"/>
              <w:rPr>
                <w:rFonts w:cs="Arial"/>
                <w:highlight w:val="black"/>
              </w:rPr>
            </w:pPr>
            <w:r>
              <w:rPr>
                <w:rFonts w:cs="Arial"/>
                <w:noProof/>
                <w:color w:val="000000"/>
                <w:highlight w:val="black"/>
              </w:rPr>
              <w:t>'''''''''''</w:t>
            </w:r>
          </w:p>
          <w:p w:rsidR="00E770F7" w:rsidRPr="00B3432C" w:rsidRDefault="00B3432C" w:rsidP="00BD27F8">
            <w:pPr>
              <w:pStyle w:val="TableText0"/>
              <w:spacing w:before="0" w:after="0"/>
              <w:jc w:val="center"/>
              <w:rPr>
                <w:rFonts w:cs="Arial"/>
                <w:highlight w:val="black"/>
              </w:rPr>
            </w:pPr>
            <w:r>
              <w:rPr>
                <w:rFonts w:cs="Arial"/>
                <w:noProof/>
                <w:color w:val="000000"/>
                <w:highlight w:val="black"/>
              </w:rPr>
              <w:t xml:space="preserve"> ''''''''''''''' '''''''''''''</w:t>
            </w:r>
          </w:p>
        </w:tc>
      </w:tr>
      <w:tr w:rsidR="00E770F7" w:rsidRPr="002F675E" w:rsidTr="00E770F7">
        <w:trPr>
          <w:trHeight w:val="556"/>
        </w:trPr>
        <w:tc>
          <w:tcPr>
            <w:tcW w:w="833" w:type="pct"/>
            <w:tcBorders>
              <w:top w:val="single" w:sz="4" w:space="0" w:color="auto"/>
              <w:left w:val="single" w:sz="4" w:space="0" w:color="auto"/>
              <w:bottom w:val="single" w:sz="4" w:space="0" w:color="auto"/>
              <w:right w:val="single" w:sz="4" w:space="0" w:color="auto"/>
            </w:tcBorders>
            <w:tcMar>
              <w:right w:w="28" w:type="dxa"/>
            </w:tcMar>
            <w:vAlign w:val="center"/>
          </w:tcPr>
          <w:p w:rsidR="00E770F7" w:rsidRPr="002F675E" w:rsidRDefault="007B0235" w:rsidP="00BD27F8">
            <w:pPr>
              <w:pStyle w:val="TableText0"/>
              <w:spacing w:before="0" w:after="0"/>
              <w:rPr>
                <w:rFonts w:cs="Arial"/>
              </w:rPr>
            </w:pPr>
            <w:r w:rsidRPr="002F675E">
              <w:rPr>
                <w:rFonts w:cs="Arial"/>
              </w:rPr>
              <w:t>ORR</w:t>
            </w:r>
          </w:p>
        </w:tc>
        <w:tc>
          <w:tcPr>
            <w:tcW w:w="604"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keepNext/>
              <w:tabs>
                <w:tab w:val="left" w:pos="416"/>
                <w:tab w:val="left" w:pos="582"/>
              </w:tabs>
              <w:spacing w:before="40" w:after="20"/>
              <w:jc w:val="center"/>
              <w:rPr>
                <w:rFonts w:ascii="Arial Narrow" w:hAnsi="Arial Narrow"/>
                <w:sz w:val="20"/>
              </w:rPr>
            </w:pPr>
            <w:r w:rsidRPr="002F675E">
              <w:rPr>
                <w:rFonts w:ascii="Arial Narrow" w:hAnsi="Arial Narrow"/>
                <w:sz w:val="20"/>
              </w:rPr>
              <w:t>1.32</w:t>
            </w:r>
          </w:p>
          <w:p w:rsidR="00E770F7" w:rsidRPr="002F675E" w:rsidRDefault="00E770F7" w:rsidP="00BD27F8">
            <w:pPr>
              <w:keepNext/>
              <w:tabs>
                <w:tab w:val="left" w:pos="416"/>
                <w:tab w:val="left" w:pos="582"/>
              </w:tabs>
              <w:spacing w:before="40" w:after="20"/>
              <w:jc w:val="center"/>
              <w:rPr>
                <w:rFonts w:ascii="Arial Narrow" w:hAnsi="Arial Narrow"/>
                <w:sz w:val="20"/>
              </w:rPr>
            </w:pPr>
            <w:r w:rsidRPr="002F675E">
              <w:rPr>
                <w:rFonts w:ascii="Arial Narrow" w:hAnsi="Arial Narrow"/>
                <w:sz w:val="20"/>
              </w:rPr>
              <w:t xml:space="preserve"> (0.61, 2.93)</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pPr>
            <w:r w:rsidRPr="002F675E">
              <w:t>15/322 (4.7)</w:t>
            </w:r>
          </w:p>
        </w:tc>
        <w:tc>
          <w:tcPr>
            <w:tcW w:w="603" w:type="pct"/>
            <w:tcBorders>
              <w:top w:val="single" w:sz="4" w:space="0" w:color="auto"/>
              <w:left w:val="single" w:sz="4" w:space="0" w:color="auto"/>
              <w:bottom w:val="single" w:sz="4" w:space="0" w:color="auto"/>
              <w:right w:val="double" w:sz="4" w:space="0" w:color="auto"/>
            </w:tcBorders>
            <w:vAlign w:val="center"/>
          </w:tcPr>
          <w:p w:rsidR="00E770F7" w:rsidRPr="002F675E" w:rsidRDefault="00E770F7" w:rsidP="00BD27F8">
            <w:pPr>
              <w:pStyle w:val="TableText0"/>
              <w:spacing w:before="0" w:after="0"/>
              <w:jc w:val="center"/>
            </w:pPr>
            <w:r w:rsidRPr="002F675E">
              <w:t>12/336 (3.6)</w:t>
            </w:r>
          </w:p>
        </w:tc>
        <w:tc>
          <w:tcPr>
            <w:tcW w:w="602" w:type="pct"/>
            <w:tcBorders>
              <w:top w:val="single" w:sz="4" w:space="0" w:color="auto"/>
              <w:left w:val="doub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2"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rPr>
                <w:rFonts w:cs="Arial"/>
              </w:rPr>
              <w:t>NR</w:t>
            </w:r>
          </w:p>
        </w:tc>
        <w:tc>
          <w:tcPr>
            <w:tcW w:w="607" w:type="pct"/>
            <w:tcBorders>
              <w:top w:val="single" w:sz="4" w:space="0" w:color="auto"/>
              <w:left w:val="single" w:sz="4" w:space="0" w:color="auto"/>
              <w:bottom w:val="single" w:sz="4" w:space="0" w:color="auto"/>
              <w:right w:val="single" w:sz="4" w:space="0" w:color="auto"/>
            </w:tcBorders>
            <w:vAlign w:val="center"/>
          </w:tcPr>
          <w:p w:rsidR="00E770F7" w:rsidRPr="002F675E" w:rsidRDefault="00E770F7" w:rsidP="00BD27F8">
            <w:pPr>
              <w:pStyle w:val="TableText0"/>
              <w:spacing w:before="0" w:after="0"/>
              <w:jc w:val="center"/>
              <w:rPr>
                <w:rFonts w:cs="Arial"/>
              </w:rPr>
            </w:pPr>
            <w:r w:rsidRPr="002F675E">
              <w:t>1.35 (0.65 to 2.78)</w:t>
            </w:r>
          </w:p>
        </w:tc>
        <w:tc>
          <w:tcPr>
            <w:tcW w:w="547" w:type="pct"/>
            <w:tcBorders>
              <w:top w:val="single" w:sz="4" w:space="0" w:color="auto"/>
              <w:left w:val="single" w:sz="4" w:space="0" w:color="auto"/>
              <w:bottom w:val="single" w:sz="4" w:space="0" w:color="auto"/>
              <w:right w:val="single" w:sz="4" w:space="0" w:color="auto"/>
            </w:tcBorders>
            <w:vAlign w:val="center"/>
          </w:tcPr>
          <w:p w:rsidR="00E770F7" w:rsidRPr="00B3432C" w:rsidRDefault="00B3432C" w:rsidP="00BD27F8">
            <w:pPr>
              <w:keepNext/>
              <w:tabs>
                <w:tab w:val="left" w:pos="416"/>
                <w:tab w:val="left" w:pos="582"/>
              </w:tabs>
              <w:spacing w:before="40" w:after="20"/>
              <w:jc w:val="center"/>
              <w:rPr>
                <w:rFonts w:ascii="Arial Narrow" w:hAnsi="Arial Narrow"/>
                <w:sz w:val="20"/>
                <w:highlight w:val="black"/>
              </w:rPr>
            </w:pPr>
            <w:r>
              <w:rPr>
                <w:rFonts w:ascii="Arial Narrow" w:hAnsi="Arial Narrow"/>
                <w:noProof/>
                <w:color w:val="000000"/>
                <w:sz w:val="20"/>
                <w:highlight w:val="black"/>
              </w:rPr>
              <w:t xml:space="preserve">'''''''''''' </w:t>
            </w:r>
          </w:p>
          <w:p w:rsidR="00E770F7" w:rsidRPr="00B3432C" w:rsidRDefault="00B3432C" w:rsidP="00BD27F8">
            <w:pPr>
              <w:keepNext/>
              <w:tabs>
                <w:tab w:val="left" w:pos="416"/>
                <w:tab w:val="left" w:pos="582"/>
              </w:tabs>
              <w:spacing w:before="40" w:after="20"/>
              <w:jc w:val="center"/>
              <w:rPr>
                <w:rFonts w:ascii="Arial Narrow" w:hAnsi="Arial Narrow"/>
                <w:sz w:val="20"/>
                <w:highlight w:val="black"/>
              </w:rPr>
            </w:pPr>
            <w:r>
              <w:rPr>
                <w:rFonts w:ascii="Arial Narrow" w:hAnsi="Arial Narrow"/>
                <w:noProof/>
                <w:color w:val="000000"/>
                <w:sz w:val="20"/>
                <w:highlight w:val="black"/>
              </w:rPr>
              <w:t>'''''''''''''' '''''''''''</w:t>
            </w:r>
          </w:p>
        </w:tc>
      </w:tr>
    </w:tbl>
    <w:p w:rsidR="00E770F7" w:rsidRDefault="00E770F7" w:rsidP="00E770F7">
      <w:pPr>
        <w:pStyle w:val="TableFooter"/>
        <w:keepNext/>
        <w:ind w:left="709"/>
      </w:pPr>
      <w:r>
        <w:t xml:space="preserve">Source: Tables B.50 and B.51 p141 and p143 of the submission. </w:t>
      </w:r>
      <w:r w:rsidR="003245FB">
        <w:t>CI=</w:t>
      </w:r>
      <w:r w:rsidRPr="00D13A3E">
        <w:t>confidence interval;</w:t>
      </w:r>
      <w:r w:rsidRPr="00D13A3E">
        <w:rPr>
          <w:i/>
          <w:iCs/>
        </w:rPr>
        <w:t xml:space="preserve"> n</w:t>
      </w:r>
      <w:r w:rsidR="003245FB">
        <w:t>=</w:t>
      </w:r>
      <w:r w:rsidRPr="00D13A3E">
        <w:t>number with event;</w:t>
      </w:r>
      <w:r w:rsidRPr="00D13A3E">
        <w:rPr>
          <w:i/>
          <w:iCs/>
        </w:rPr>
        <w:t xml:space="preserve"> N</w:t>
      </w:r>
      <w:r w:rsidR="003245FB">
        <w:t>=</w:t>
      </w:r>
      <w:r w:rsidRPr="00D13A3E">
        <w:t>number in group;</w:t>
      </w:r>
      <w:r>
        <w:t xml:space="preserve"> NR=not reported;</w:t>
      </w:r>
      <w:r w:rsidRPr="00D13A3E">
        <w:t xml:space="preserve"> </w:t>
      </w:r>
      <w:r w:rsidR="003245FB">
        <w:t>ORR=</w:t>
      </w:r>
      <w:r w:rsidR="007B0235">
        <w:t>overall/objective response</w:t>
      </w:r>
      <w:r w:rsidR="00715A64">
        <w:t xml:space="preserve"> rate</w:t>
      </w:r>
      <w:r w:rsidR="007B0235">
        <w:t>; OS=overall survival; PFS=progression</w:t>
      </w:r>
      <w:r w:rsidR="005811DA">
        <w:t>-</w:t>
      </w:r>
      <w:r w:rsidR="007B0235">
        <w:t xml:space="preserve">free survival; </w:t>
      </w:r>
      <w:r w:rsidR="003245FB">
        <w:t>RR=</w:t>
      </w:r>
      <w:r w:rsidRPr="00D13A3E">
        <w:t xml:space="preserve">relative risk </w:t>
      </w:r>
    </w:p>
    <w:p w:rsidR="00E770F7" w:rsidRPr="00D13A3E" w:rsidRDefault="00E770F7" w:rsidP="00E770F7">
      <w:pPr>
        <w:pStyle w:val="TableFooter"/>
        <w:keepNext/>
        <w:ind w:left="709"/>
      </w:pPr>
      <w:r>
        <w:t>*odds ratio</w:t>
      </w:r>
    </w:p>
    <w:p w:rsidR="00E770F7" w:rsidRPr="00D13A3E" w:rsidRDefault="00E770F7" w:rsidP="00E770F7">
      <w:pPr>
        <w:pStyle w:val="TableFooter"/>
        <w:ind w:left="709"/>
      </w:pPr>
      <w:proofErr w:type="gramStart"/>
      <w:r w:rsidRPr="00C62E2D">
        <w:rPr>
          <w:bCs/>
          <w:vertAlign w:val="superscript"/>
        </w:rPr>
        <w:t>a</w:t>
      </w:r>
      <w:proofErr w:type="gramEnd"/>
      <w:r w:rsidRPr="00D13A3E">
        <w:t xml:space="preserve"> </w:t>
      </w:r>
      <w:r>
        <w:t>Nintedanib plus docetaxel over docetaxel</w:t>
      </w:r>
    </w:p>
    <w:p w:rsidR="00E770F7" w:rsidRPr="00D13A3E" w:rsidRDefault="00E770F7" w:rsidP="00E770F7">
      <w:pPr>
        <w:pStyle w:val="TableFooter"/>
        <w:ind w:left="709"/>
      </w:pPr>
      <w:proofErr w:type="gramStart"/>
      <w:r w:rsidRPr="00C62E2D">
        <w:rPr>
          <w:bCs/>
          <w:vertAlign w:val="superscript"/>
        </w:rPr>
        <w:t>b</w:t>
      </w:r>
      <w:proofErr w:type="gramEnd"/>
      <w:r w:rsidRPr="00D13A3E">
        <w:t xml:space="preserve"> </w:t>
      </w:r>
      <w:r>
        <w:t>pemetrexed over docetaxel</w:t>
      </w:r>
    </w:p>
    <w:p w:rsidR="00E770F7" w:rsidRDefault="00E770F7" w:rsidP="007B0235">
      <w:pPr>
        <w:pStyle w:val="TableFooter"/>
        <w:ind w:left="709"/>
      </w:pPr>
      <w:proofErr w:type="gramStart"/>
      <w:r w:rsidRPr="00C62E2D">
        <w:rPr>
          <w:bCs/>
          <w:vertAlign w:val="superscript"/>
        </w:rPr>
        <w:t>c</w:t>
      </w:r>
      <w:proofErr w:type="gramEnd"/>
      <w:r w:rsidRPr="00C62E2D">
        <w:t xml:space="preserve"> </w:t>
      </w:r>
      <w:r>
        <w:t>Nintedanib plus docetaxel over pemetrexed</w:t>
      </w:r>
    </w:p>
    <w:p w:rsidR="00631146" w:rsidRDefault="00631146" w:rsidP="00631146">
      <w:pPr>
        <w:pStyle w:val="TableFooter"/>
      </w:pPr>
    </w:p>
    <w:p w:rsidR="00631146" w:rsidRPr="006D1DF1" w:rsidRDefault="00631146" w:rsidP="00631146">
      <w:pPr>
        <w:pStyle w:val="ListParagraph"/>
        <w:widowControl/>
        <w:numPr>
          <w:ilvl w:val="1"/>
          <w:numId w:val="4"/>
        </w:numPr>
        <w:rPr>
          <w:szCs w:val="22"/>
        </w:rPr>
      </w:pPr>
      <w:r w:rsidRPr="00CF6EE4">
        <w:t>O</w:t>
      </w:r>
      <w:r>
        <w:t>n the basis of the indirect</w:t>
      </w:r>
      <w:r w:rsidRPr="00CF6EE4">
        <w:t xml:space="preserve"> evidence presented by the submission</w:t>
      </w:r>
      <w:r>
        <w:t>, for patients treated with nintedanib in combination with docetaxel, in comparison to pemetrexed:</w:t>
      </w:r>
    </w:p>
    <w:p w:rsidR="00631146" w:rsidRPr="00640946" w:rsidRDefault="00631146" w:rsidP="00631146">
      <w:pPr>
        <w:pStyle w:val="ListParagraph"/>
        <w:numPr>
          <w:ilvl w:val="0"/>
          <w:numId w:val="7"/>
        </w:numPr>
        <w:ind w:left="993" w:hanging="284"/>
      </w:pPr>
      <w:r>
        <w:t>There was no statistically significant difference in overall survival</w:t>
      </w:r>
    </w:p>
    <w:p w:rsidR="00631146" w:rsidRPr="00640946" w:rsidRDefault="00631146" w:rsidP="00631146">
      <w:pPr>
        <w:pStyle w:val="ListParagraph"/>
        <w:numPr>
          <w:ilvl w:val="0"/>
          <w:numId w:val="6"/>
        </w:numPr>
        <w:ind w:left="993" w:hanging="284"/>
      </w:pPr>
      <w:r>
        <w:t>There was no statistically significant difference in progression-free survival.</w:t>
      </w:r>
    </w:p>
    <w:p w:rsidR="00A71806" w:rsidRPr="000E2641" w:rsidRDefault="00A71806" w:rsidP="00A71806">
      <w:pPr>
        <w:pStyle w:val="ListParagraph"/>
        <w:widowControl/>
      </w:pPr>
    </w:p>
    <w:p w:rsidR="00EF60CD" w:rsidRPr="00EF60CD" w:rsidRDefault="00EF60CD" w:rsidP="00EA0FDF">
      <w:pPr>
        <w:pStyle w:val="PBACHeading1"/>
        <w:numPr>
          <w:ilvl w:val="1"/>
          <w:numId w:val="4"/>
        </w:numPr>
        <w:rPr>
          <w:b w:val="0"/>
          <w:i/>
        </w:rPr>
      </w:pPr>
      <w:r w:rsidRPr="00EF60CD">
        <w:rPr>
          <w:b w:val="0"/>
        </w:rPr>
        <w:t>The minimum clinically important difference (MCID) used to assess non-inferiority was the upper bound of a HR confidence interval (1.33).</w:t>
      </w:r>
      <w:r w:rsidRPr="00EF60CD">
        <w:rPr>
          <w:b w:val="0"/>
          <w:i/>
        </w:rPr>
        <w:t xml:space="preserve"> </w:t>
      </w:r>
      <w:r w:rsidRPr="00EF60CD">
        <w:rPr>
          <w:b w:val="0"/>
        </w:rPr>
        <w:t>This was significantly higher than the median upper bound found in the literature (1.21 from the JMEI trial and 1.25 from a review on non-inferiority of cancer trials (</w:t>
      </w:r>
      <w:proofErr w:type="spellStart"/>
      <w:r w:rsidRPr="00EF60CD">
        <w:rPr>
          <w:b w:val="0"/>
        </w:rPr>
        <w:t>Riechelmann</w:t>
      </w:r>
      <w:proofErr w:type="spellEnd"/>
      <w:r w:rsidRPr="00EF60CD">
        <w:rPr>
          <w:b w:val="0"/>
        </w:rPr>
        <w:t xml:space="preserve"> 2011)). With more conservative MCID’s, non-inferiority between nintedanib and pemetrexed was not demonstrated. The ESC considered that the level selected in the submission of 1.33 (</w:t>
      </w:r>
      <w:proofErr w:type="spellStart"/>
      <w:r w:rsidRPr="00EF60CD">
        <w:rPr>
          <w:b w:val="0"/>
        </w:rPr>
        <w:t>Novello</w:t>
      </w:r>
      <w:proofErr w:type="spellEnd"/>
      <w:r w:rsidRPr="00EF60CD">
        <w:rPr>
          <w:b w:val="0"/>
        </w:rPr>
        <w:t xml:space="preserve"> 2007) was not the upper CI in that study but the HR to be tolerated when using an experimental single drug regimen compared to two drugs for stable Stage IV NSCLC.</w:t>
      </w:r>
      <w:r w:rsidRPr="00EF60CD">
        <w:rPr>
          <w:b w:val="0"/>
          <w:color w:val="000000" w:themeColor="text1"/>
        </w:rPr>
        <w:t xml:space="preserve"> The ESC noted that the hazard ratio in </w:t>
      </w:r>
      <w:proofErr w:type="spellStart"/>
      <w:r w:rsidRPr="00EF60CD">
        <w:rPr>
          <w:b w:val="0"/>
          <w:color w:val="000000" w:themeColor="text1"/>
        </w:rPr>
        <w:t>Novello</w:t>
      </w:r>
      <w:proofErr w:type="spellEnd"/>
      <w:r w:rsidRPr="00EF60CD">
        <w:rPr>
          <w:b w:val="0"/>
          <w:color w:val="000000" w:themeColor="text1"/>
        </w:rPr>
        <w:t xml:space="preserve"> (2007) had to be significantly higher than the more appropriate MCIDs (between 1.21 and 1.25) given that the three cycles had to be substantially more effective to justify extra exposure to toxicity. This clinical justification is only appropriate because of the known, fixed extra exposure and the specific context of the </w:t>
      </w:r>
      <w:proofErr w:type="spellStart"/>
      <w:r w:rsidRPr="00EF60CD">
        <w:rPr>
          <w:b w:val="0"/>
          <w:color w:val="000000" w:themeColor="text1"/>
        </w:rPr>
        <w:t>Novello</w:t>
      </w:r>
      <w:proofErr w:type="spellEnd"/>
      <w:r w:rsidRPr="00EF60CD">
        <w:rPr>
          <w:b w:val="0"/>
          <w:color w:val="000000" w:themeColor="text1"/>
        </w:rPr>
        <w:t xml:space="preserve"> trial. This reasoning is not appropriate for setting an MCID in the current indirect comparison.</w:t>
      </w:r>
    </w:p>
    <w:p w:rsidR="00EF60CD" w:rsidRDefault="00EF60CD" w:rsidP="00C243E3">
      <w:pPr>
        <w:pStyle w:val="ListParagraph"/>
        <w:widowControl/>
      </w:pPr>
    </w:p>
    <w:p w:rsidR="00A71806" w:rsidRPr="000E2641" w:rsidRDefault="00A71806" w:rsidP="00EA0FDF">
      <w:pPr>
        <w:pStyle w:val="ListParagraph"/>
        <w:widowControl/>
        <w:numPr>
          <w:ilvl w:val="1"/>
          <w:numId w:val="4"/>
        </w:numPr>
      </w:pPr>
      <w:r w:rsidRPr="000E2641">
        <w:t xml:space="preserve">The ESC considered the upper confidence limits for the indirect comparison of </w:t>
      </w:r>
      <w:r w:rsidR="0075154E" w:rsidRPr="000E2641">
        <w:t>progression</w:t>
      </w:r>
      <w:r w:rsidR="005811DA" w:rsidRPr="000E2641">
        <w:t>-</w:t>
      </w:r>
      <w:r w:rsidR="007A6CC9" w:rsidRPr="000E2641">
        <w:t>f</w:t>
      </w:r>
      <w:r w:rsidRPr="000E2641">
        <w:t xml:space="preserve">ree </w:t>
      </w:r>
      <w:r w:rsidR="007A6CC9" w:rsidRPr="000E2641">
        <w:t>s</w:t>
      </w:r>
      <w:r w:rsidRPr="000E2641">
        <w:t>urvival (</w:t>
      </w:r>
      <w:r w:rsidR="00B3432C">
        <w:rPr>
          <w:noProof/>
          <w:color w:val="000000"/>
          <w:highlight w:val="black"/>
        </w:rPr>
        <w:t>''''''''''</w:t>
      </w:r>
      <w:r w:rsidRPr="000E2641">
        <w:t xml:space="preserve">) and </w:t>
      </w:r>
      <w:r w:rsidR="007A6CC9" w:rsidRPr="000E2641">
        <w:t>o</w:t>
      </w:r>
      <w:r w:rsidRPr="000E2641">
        <w:t xml:space="preserve">verall </w:t>
      </w:r>
      <w:r w:rsidR="007A6CC9" w:rsidRPr="000E2641">
        <w:t>s</w:t>
      </w:r>
      <w:r w:rsidRPr="000E2641">
        <w:t>urvival (</w:t>
      </w:r>
      <w:r w:rsidR="00B3432C">
        <w:rPr>
          <w:noProof/>
          <w:color w:val="000000"/>
          <w:highlight w:val="black"/>
        </w:rPr>
        <w:t>'''''''''''</w:t>
      </w:r>
      <w:r w:rsidRPr="000E2641">
        <w:t>) are at the borderline of MCID used in the JMEI pemetrexed-docetaxel study (1.21) and a review of non</w:t>
      </w:r>
      <w:r w:rsidR="005C6962" w:rsidRPr="000E2641">
        <w:noBreakHyphen/>
      </w:r>
      <w:r w:rsidRPr="000E2641">
        <w:t>inferiority cancer trials (mean 1.25; range 1.10 to 1.50).</w:t>
      </w:r>
    </w:p>
    <w:p w:rsidR="00DD195F" w:rsidRPr="000E2641" w:rsidRDefault="00DD195F" w:rsidP="00DD195F">
      <w:pPr>
        <w:pStyle w:val="ListParagraph"/>
        <w:widowControl/>
      </w:pPr>
    </w:p>
    <w:p w:rsidR="00FF2AF5" w:rsidRDefault="00DE3343" w:rsidP="000129D8">
      <w:pPr>
        <w:pStyle w:val="ListParagraph"/>
        <w:keepNext/>
        <w:keepLines/>
        <w:widowControl/>
        <w:numPr>
          <w:ilvl w:val="1"/>
          <w:numId w:val="4"/>
        </w:numPr>
      </w:pPr>
      <w:r w:rsidRPr="000E2641">
        <w:lastRenderedPageBreak/>
        <w:t>T</w:t>
      </w:r>
      <w:r w:rsidR="00FF2AF5" w:rsidRPr="000E2641">
        <w:t xml:space="preserve">he ESC questioned the use of </w:t>
      </w:r>
      <w:r w:rsidR="00A71806" w:rsidRPr="000E2641">
        <w:t>h</w:t>
      </w:r>
      <w:r w:rsidR="00FF2AF5" w:rsidRPr="000E2641">
        <w:t xml:space="preserve">azard </w:t>
      </w:r>
      <w:r w:rsidR="00A71806" w:rsidRPr="000E2641">
        <w:t>r</w:t>
      </w:r>
      <w:r w:rsidR="00FF2AF5" w:rsidRPr="000E2641">
        <w:t xml:space="preserve">atios </w:t>
      </w:r>
      <w:r w:rsidRPr="000E2641">
        <w:t xml:space="preserve">in isolation </w:t>
      </w:r>
      <w:r w:rsidR="00FF2AF5" w:rsidRPr="000E2641">
        <w:t>in determining the effectiveness of oncology medicines</w:t>
      </w:r>
      <w:r w:rsidRPr="000E2641">
        <w:t xml:space="preserve">. </w:t>
      </w:r>
      <w:r w:rsidR="00FF2AF5" w:rsidRPr="000E2641">
        <w:t xml:space="preserve">The PBAC </w:t>
      </w:r>
      <w:r w:rsidRPr="000E2641">
        <w:t xml:space="preserve">has required estimates of both relative and absolute benefit for </w:t>
      </w:r>
      <w:r w:rsidR="00FF2AF5" w:rsidRPr="000E2641">
        <w:t>progression</w:t>
      </w:r>
      <w:r w:rsidR="005C6962" w:rsidRPr="000E2641">
        <w:t>-</w:t>
      </w:r>
      <w:r w:rsidR="00FF2AF5" w:rsidRPr="000E2641">
        <w:t xml:space="preserve">free survival or overall survival as a more </w:t>
      </w:r>
      <w:r w:rsidRPr="000E2641">
        <w:t xml:space="preserve">informative statistical </w:t>
      </w:r>
      <w:r w:rsidR="00FF2AF5" w:rsidRPr="000E2641">
        <w:t xml:space="preserve">analysis in oncology. </w:t>
      </w:r>
    </w:p>
    <w:p w:rsidR="000E2641" w:rsidRDefault="000E2641" w:rsidP="000E2641">
      <w:pPr>
        <w:pStyle w:val="ListParagraph"/>
      </w:pPr>
    </w:p>
    <w:p w:rsidR="000E2641" w:rsidRPr="000E2641" w:rsidRDefault="000E2641" w:rsidP="000E2641">
      <w:pPr>
        <w:ind w:firstLine="720"/>
      </w:pPr>
      <w:r>
        <w:rPr>
          <w:i/>
          <w:szCs w:val="22"/>
        </w:rPr>
        <w:t>For more detail on PBAC’s view, see section 7 “PBAC outcome”</w:t>
      </w:r>
    </w:p>
    <w:p w:rsidR="00787504" w:rsidRPr="000E2641" w:rsidRDefault="00787504" w:rsidP="00E770F7">
      <w:pPr>
        <w:rPr>
          <w:szCs w:val="22"/>
        </w:rPr>
      </w:pPr>
    </w:p>
    <w:p w:rsidR="00B60939" w:rsidRPr="002C2775" w:rsidRDefault="00B60939" w:rsidP="002C2775">
      <w:pPr>
        <w:pStyle w:val="Heading2"/>
        <w:rPr>
          <w:i/>
        </w:rPr>
      </w:pPr>
      <w:bookmarkStart w:id="8" w:name="_Toc409189302"/>
      <w:r w:rsidRPr="002C2775">
        <w:rPr>
          <w:i/>
        </w:rPr>
        <w:t>Comparative harms</w:t>
      </w:r>
      <w:bookmarkEnd w:id="8"/>
    </w:p>
    <w:p w:rsidR="00B60939" w:rsidRPr="00882085" w:rsidRDefault="00B60939" w:rsidP="00B60939">
      <w:pPr>
        <w:ind w:left="720" w:hanging="720"/>
        <w:rPr>
          <w:szCs w:val="22"/>
        </w:rPr>
      </w:pPr>
    </w:p>
    <w:p w:rsidR="00B60939" w:rsidRPr="000350DE" w:rsidRDefault="00623A78" w:rsidP="00EA0FDF">
      <w:pPr>
        <w:pStyle w:val="ListParagraph"/>
        <w:widowControl/>
        <w:numPr>
          <w:ilvl w:val="1"/>
          <w:numId w:val="4"/>
        </w:numPr>
        <w:rPr>
          <w:szCs w:val="22"/>
        </w:rPr>
      </w:pPr>
      <w:r>
        <w:t xml:space="preserve">Key safety outcomes from the direct and indirect comparisons </w:t>
      </w:r>
      <w:r w:rsidR="000350DE">
        <w:t>are presented</w:t>
      </w:r>
      <w:r>
        <w:t xml:space="preserve"> in the table below.</w:t>
      </w:r>
    </w:p>
    <w:p w:rsidR="000350DE" w:rsidRPr="00623A78" w:rsidRDefault="000350DE" w:rsidP="000350DE">
      <w:pPr>
        <w:pStyle w:val="ListParagraph"/>
        <w:widowControl/>
        <w:rPr>
          <w:szCs w:val="22"/>
        </w:rPr>
      </w:pPr>
    </w:p>
    <w:p w:rsidR="00623A78" w:rsidRPr="00186A6B" w:rsidRDefault="00186A6B" w:rsidP="00623A78">
      <w:pPr>
        <w:pStyle w:val="ListParagraph"/>
        <w:widowControl/>
        <w:rPr>
          <w:rStyle w:val="CommentReference"/>
        </w:rPr>
      </w:pPr>
      <w:r>
        <w:rPr>
          <w:rStyle w:val="CommentReference"/>
        </w:rPr>
        <w:t>Key safety outcomes from the direct and indirect comparisons</w:t>
      </w:r>
    </w:p>
    <w:tbl>
      <w:tblPr>
        <w:tblStyle w:val="TableGrid"/>
        <w:tblW w:w="4563" w:type="pct"/>
        <w:tblInd w:w="698" w:type="dxa"/>
        <w:tblLayout w:type="fixed"/>
        <w:tblCellMar>
          <w:left w:w="28" w:type="dxa"/>
          <w:right w:w="28" w:type="dxa"/>
        </w:tblCellMar>
        <w:tblLook w:val="0620" w:firstRow="1" w:lastRow="0" w:firstColumn="0" w:lastColumn="0" w:noHBand="1" w:noVBand="1"/>
        <w:tblCaption w:val="Key safety outcomes from the direct and indirect comparisons"/>
        <w:tblDescription w:val="Table summarises of comparative harms from direct and indirect comparisons"/>
      </w:tblPr>
      <w:tblGrid>
        <w:gridCol w:w="3861"/>
        <w:gridCol w:w="4427"/>
      </w:tblGrid>
      <w:tr w:rsidR="008B3CC1" w:rsidRPr="00E2771E" w:rsidTr="00FB52A4">
        <w:trPr>
          <w:trHeight w:val="229"/>
          <w:tblHeader/>
        </w:trPr>
        <w:tc>
          <w:tcPr>
            <w:tcW w:w="2329" w:type="pct"/>
            <w:shd w:val="clear" w:color="auto" w:fill="auto"/>
            <w:vAlign w:val="center"/>
          </w:tcPr>
          <w:p w:rsidR="008B3CC1" w:rsidRPr="00E2771E" w:rsidRDefault="008B3CC1" w:rsidP="008B3CC1">
            <w:pPr>
              <w:rPr>
                <w:rFonts w:ascii="Arial Narrow" w:hAnsi="Arial Narrow"/>
                <w:b/>
                <w:color w:val="000000"/>
                <w:sz w:val="20"/>
                <w:szCs w:val="18"/>
              </w:rPr>
            </w:pPr>
            <w:r>
              <w:rPr>
                <w:rFonts w:ascii="Arial Narrow" w:hAnsi="Arial Narrow"/>
                <w:b/>
                <w:color w:val="000000"/>
                <w:sz w:val="20"/>
                <w:szCs w:val="18"/>
              </w:rPr>
              <w:t>Adverse event</w:t>
            </w:r>
          </w:p>
        </w:tc>
        <w:tc>
          <w:tcPr>
            <w:tcW w:w="2671" w:type="pct"/>
            <w:vAlign w:val="center"/>
          </w:tcPr>
          <w:p w:rsidR="008B3CC1" w:rsidRPr="00E2771E" w:rsidRDefault="008B3CC1" w:rsidP="00283DE6">
            <w:pPr>
              <w:jc w:val="center"/>
              <w:rPr>
                <w:rFonts w:ascii="Arial Narrow" w:hAnsi="Arial Narrow"/>
                <w:b/>
                <w:color w:val="000000"/>
                <w:sz w:val="20"/>
                <w:szCs w:val="18"/>
              </w:rPr>
            </w:pPr>
            <w:r w:rsidRPr="00E2771E">
              <w:rPr>
                <w:rFonts w:ascii="Arial Narrow" w:hAnsi="Arial Narrow"/>
                <w:b/>
                <w:color w:val="000000"/>
                <w:sz w:val="20"/>
                <w:szCs w:val="18"/>
              </w:rPr>
              <w:t>RR</w:t>
            </w:r>
            <w:r>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186A6B" w:rsidRPr="00E2771E" w:rsidTr="0055700A">
        <w:tc>
          <w:tcPr>
            <w:tcW w:w="5000" w:type="pct"/>
            <w:gridSpan w:val="2"/>
            <w:shd w:val="clear" w:color="auto" w:fill="auto"/>
            <w:vAlign w:val="center"/>
          </w:tcPr>
          <w:p w:rsidR="00186A6B" w:rsidRPr="002649F9" w:rsidRDefault="00186A6B" w:rsidP="00D720C4">
            <w:pPr>
              <w:rPr>
                <w:rFonts w:ascii="Arial Narrow" w:hAnsi="Arial Narrow"/>
                <w:b/>
                <w:color w:val="000000"/>
                <w:sz w:val="20"/>
                <w:szCs w:val="18"/>
              </w:rPr>
            </w:pPr>
            <w:r w:rsidRPr="002649F9">
              <w:rPr>
                <w:rFonts w:ascii="Arial Narrow" w:hAnsi="Arial Narrow"/>
                <w:b/>
                <w:color w:val="000000"/>
                <w:sz w:val="20"/>
                <w:szCs w:val="18"/>
              </w:rPr>
              <w:t xml:space="preserve">Direct Comparison: </w:t>
            </w:r>
            <w:r w:rsidR="00D720C4">
              <w:rPr>
                <w:rFonts w:ascii="Arial Narrow" w:hAnsi="Arial Narrow"/>
                <w:b/>
                <w:color w:val="000000"/>
                <w:sz w:val="20"/>
                <w:szCs w:val="18"/>
              </w:rPr>
              <w:t>n</w:t>
            </w:r>
            <w:r w:rsidRPr="002649F9">
              <w:rPr>
                <w:rFonts w:ascii="Arial Narrow" w:hAnsi="Arial Narrow"/>
                <w:b/>
                <w:color w:val="000000"/>
                <w:sz w:val="20"/>
                <w:szCs w:val="18"/>
              </w:rPr>
              <w:t>intedanib versus docetaxel</w:t>
            </w:r>
          </w:p>
        </w:tc>
      </w:tr>
      <w:tr w:rsidR="00283DE6" w:rsidRPr="007F25EC" w:rsidTr="0055700A">
        <w:tc>
          <w:tcPr>
            <w:tcW w:w="2329" w:type="pct"/>
            <w:shd w:val="clear" w:color="auto" w:fill="auto"/>
            <w:vAlign w:val="center"/>
          </w:tcPr>
          <w:p w:rsidR="00283DE6" w:rsidRPr="00E2771E" w:rsidRDefault="00283DE6" w:rsidP="00186A6B">
            <w:pPr>
              <w:rPr>
                <w:rFonts w:ascii="Arial Narrow" w:hAnsi="Arial Narrow"/>
                <w:color w:val="000000"/>
                <w:sz w:val="20"/>
                <w:szCs w:val="18"/>
              </w:rPr>
            </w:pPr>
            <w:r>
              <w:rPr>
                <w:rFonts w:ascii="Arial Narrow" w:hAnsi="Arial Narrow"/>
                <w:color w:val="000000"/>
                <w:sz w:val="20"/>
                <w:szCs w:val="18"/>
              </w:rPr>
              <w:t>Diarrhoea (all grades)</w:t>
            </w:r>
          </w:p>
        </w:tc>
        <w:tc>
          <w:tcPr>
            <w:tcW w:w="2671" w:type="pct"/>
            <w:vAlign w:val="center"/>
          </w:tcPr>
          <w:p w:rsidR="00283DE6" w:rsidRPr="00E2771E" w:rsidRDefault="00283DE6" w:rsidP="000625EF">
            <w:pPr>
              <w:jc w:val="center"/>
              <w:rPr>
                <w:rFonts w:ascii="Arial Narrow" w:hAnsi="Arial Narrow"/>
                <w:color w:val="000000"/>
                <w:sz w:val="20"/>
                <w:szCs w:val="18"/>
              </w:rPr>
            </w:pPr>
            <w:r w:rsidRPr="00C768A4">
              <w:rPr>
                <w:rFonts w:ascii="Arial Narrow" w:hAnsi="Arial Narrow"/>
                <w:sz w:val="20"/>
              </w:rPr>
              <w:t xml:space="preserve">1.76 </w:t>
            </w:r>
            <w:r w:rsidR="002649F9" w:rsidRPr="00C768A4">
              <w:rPr>
                <w:rFonts w:ascii="Arial Narrow" w:hAnsi="Arial Narrow"/>
                <w:sz w:val="20"/>
              </w:rPr>
              <w:t>(</w:t>
            </w:r>
            <w:r w:rsidRPr="00C768A4">
              <w:rPr>
                <w:rFonts w:ascii="Arial Narrow" w:hAnsi="Arial Narrow"/>
                <w:sz w:val="20"/>
              </w:rPr>
              <w:t>1.41</w:t>
            </w:r>
            <w:r>
              <w:rPr>
                <w:rFonts w:ascii="Arial Narrow" w:hAnsi="Arial Narrow"/>
                <w:sz w:val="20"/>
              </w:rPr>
              <w:t>,</w:t>
            </w:r>
            <w:r w:rsidRPr="00C768A4">
              <w:rPr>
                <w:rFonts w:ascii="Arial Narrow" w:hAnsi="Arial Narrow"/>
                <w:sz w:val="20"/>
              </w:rPr>
              <w:t xml:space="preserve"> 2.21</w:t>
            </w:r>
            <w:r>
              <w:rPr>
                <w:rFonts w:ascii="Arial Narrow" w:hAnsi="Arial Narrow"/>
                <w:sz w:val="20"/>
              </w:rPr>
              <w:t>)</w:t>
            </w:r>
          </w:p>
        </w:tc>
      </w:tr>
      <w:tr w:rsidR="00283DE6" w:rsidRPr="007F25EC" w:rsidTr="0055700A">
        <w:tc>
          <w:tcPr>
            <w:tcW w:w="2329" w:type="pct"/>
            <w:shd w:val="clear" w:color="auto" w:fill="auto"/>
            <w:vAlign w:val="center"/>
          </w:tcPr>
          <w:p w:rsidR="00283DE6" w:rsidRDefault="00283DE6" w:rsidP="00186A6B">
            <w:pPr>
              <w:rPr>
                <w:rFonts w:ascii="Arial Narrow" w:hAnsi="Arial Narrow"/>
                <w:color w:val="000000"/>
                <w:sz w:val="20"/>
                <w:szCs w:val="18"/>
              </w:rPr>
            </w:pPr>
            <w:r>
              <w:rPr>
                <w:rFonts w:ascii="Arial Narrow" w:hAnsi="Arial Narrow"/>
                <w:color w:val="000000"/>
                <w:sz w:val="20"/>
                <w:szCs w:val="18"/>
              </w:rPr>
              <w:t>Nausea (all grades)</w:t>
            </w:r>
          </w:p>
        </w:tc>
        <w:tc>
          <w:tcPr>
            <w:tcW w:w="2671" w:type="pct"/>
            <w:vAlign w:val="center"/>
          </w:tcPr>
          <w:p w:rsidR="00283DE6" w:rsidRPr="00C768A4" w:rsidRDefault="00283DE6" w:rsidP="000625EF">
            <w:pPr>
              <w:jc w:val="center"/>
              <w:rPr>
                <w:rFonts w:ascii="Arial Narrow" w:hAnsi="Arial Narrow"/>
                <w:sz w:val="20"/>
              </w:rPr>
            </w:pPr>
            <w:r w:rsidRPr="00C768A4">
              <w:rPr>
                <w:rFonts w:ascii="Arial Narrow" w:hAnsi="Arial Narrow"/>
                <w:sz w:val="20"/>
              </w:rPr>
              <w:t>1.61 (1.20</w:t>
            </w:r>
            <w:r>
              <w:rPr>
                <w:rFonts w:ascii="Arial Narrow" w:hAnsi="Arial Narrow"/>
                <w:sz w:val="20"/>
              </w:rPr>
              <w:t>,</w:t>
            </w:r>
            <w:r w:rsidRPr="00C768A4">
              <w:rPr>
                <w:rFonts w:ascii="Arial Narrow" w:hAnsi="Arial Narrow"/>
                <w:sz w:val="20"/>
              </w:rPr>
              <w:t xml:space="preserve"> 2.14</w:t>
            </w:r>
            <w:r>
              <w:rPr>
                <w:rFonts w:ascii="Arial Narrow" w:hAnsi="Arial Narrow"/>
                <w:sz w:val="20"/>
              </w:rPr>
              <w:t>)</w:t>
            </w:r>
          </w:p>
        </w:tc>
      </w:tr>
      <w:tr w:rsidR="00186A6B" w:rsidRPr="007F25EC" w:rsidTr="0055700A">
        <w:tc>
          <w:tcPr>
            <w:tcW w:w="5000" w:type="pct"/>
            <w:gridSpan w:val="2"/>
            <w:shd w:val="clear" w:color="auto" w:fill="auto"/>
            <w:vAlign w:val="center"/>
          </w:tcPr>
          <w:p w:rsidR="00186A6B" w:rsidRPr="00186A6B" w:rsidRDefault="00186A6B" w:rsidP="00D720C4">
            <w:pPr>
              <w:rPr>
                <w:rFonts w:ascii="Arial Narrow" w:hAnsi="Arial Narrow"/>
                <w:color w:val="000000"/>
                <w:sz w:val="20"/>
                <w:szCs w:val="18"/>
              </w:rPr>
            </w:pPr>
            <w:r w:rsidRPr="002649F9">
              <w:rPr>
                <w:rFonts w:ascii="Arial Narrow" w:hAnsi="Arial Narrow"/>
                <w:b/>
                <w:color w:val="000000"/>
                <w:sz w:val="20"/>
                <w:szCs w:val="18"/>
              </w:rPr>
              <w:t xml:space="preserve">Indirect comparison: </w:t>
            </w:r>
            <w:r w:rsidR="00D720C4">
              <w:rPr>
                <w:rFonts w:ascii="Arial Narrow" w:hAnsi="Arial Narrow"/>
                <w:b/>
                <w:color w:val="000000"/>
                <w:sz w:val="20"/>
                <w:szCs w:val="18"/>
              </w:rPr>
              <w:t>n</w:t>
            </w:r>
            <w:r w:rsidRPr="002649F9">
              <w:rPr>
                <w:rFonts w:ascii="Arial Narrow" w:hAnsi="Arial Narrow"/>
                <w:b/>
                <w:color w:val="000000"/>
                <w:sz w:val="20"/>
                <w:szCs w:val="18"/>
              </w:rPr>
              <w:t>intedanib versus pemetrexed</w:t>
            </w:r>
            <w:r>
              <w:rPr>
                <w:rFonts w:ascii="Arial Narrow" w:hAnsi="Arial Narrow"/>
                <w:color w:val="000000"/>
                <w:sz w:val="20"/>
                <w:szCs w:val="18"/>
              </w:rPr>
              <w:t>.</w:t>
            </w:r>
          </w:p>
        </w:tc>
      </w:tr>
      <w:tr w:rsidR="00283DE6" w:rsidRPr="007F25EC" w:rsidTr="0055700A">
        <w:tc>
          <w:tcPr>
            <w:tcW w:w="2329" w:type="pct"/>
            <w:shd w:val="clear" w:color="auto" w:fill="auto"/>
            <w:vAlign w:val="center"/>
          </w:tcPr>
          <w:p w:rsidR="00283DE6" w:rsidRDefault="00283DE6" w:rsidP="00186A6B">
            <w:pPr>
              <w:rPr>
                <w:rFonts w:ascii="Arial Narrow" w:hAnsi="Arial Narrow"/>
                <w:color w:val="000000"/>
                <w:sz w:val="20"/>
                <w:szCs w:val="18"/>
              </w:rPr>
            </w:pPr>
            <w:r>
              <w:rPr>
                <w:rFonts w:ascii="Arial Narrow" w:hAnsi="Arial Narrow"/>
                <w:color w:val="000000"/>
                <w:sz w:val="20"/>
                <w:szCs w:val="18"/>
              </w:rPr>
              <w:t>Febrile Neutropenia</w:t>
            </w:r>
          </w:p>
        </w:tc>
        <w:tc>
          <w:tcPr>
            <w:tcW w:w="2671" w:type="pct"/>
            <w:vAlign w:val="center"/>
          </w:tcPr>
          <w:p w:rsidR="00283DE6" w:rsidRPr="00B3432C" w:rsidRDefault="00B3432C" w:rsidP="000625EF">
            <w:pPr>
              <w:jc w:val="center"/>
              <w:rPr>
                <w:rFonts w:ascii="Arial Narrow" w:hAnsi="Arial Narrow"/>
                <w:sz w:val="20"/>
                <w:highlight w:val="black"/>
              </w:rPr>
            </w:pPr>
            <w:r>
              <w:rPr>
                <w:rFonts w:ascii="Arial Narrow" w:hAnsi="Arial Narrow"/>
                <w:noProof/>
                <w:color w:val="000000"/>
                <w:sz w:val="20"/>
                <w:szCs w:val="18"/>
                <w:highlight w:val="black"/>
              </w:rPr>
              <w:t>'''''''''' ''''''''''''''' '''''''''''''''''</w:t>
            </w:r>
          </w:p>
        </w:tc>
      </w:tr>
      <w:tr w:rsidR="00283DE6" w:rsidRPr="007F25EC" w:rsidTr="0055700A">
        <w:tc>
          <w:tcPr>
            <w:tcW w:w="2329" w:type="pct"/>
            <w:shd w:val="clear" w:color="auto" w:fill="auto"/>
            <w:vAlign w:val="center"/>
          </w:tcPr>
          <w:p w:rsidR="00283DE6" w:rsidRDefault="00283DE6" w:rsidP="00186A6B">
            <w:pPr>
              <w:rPr>
                <w:rFonts w:ascii="Arial Narrow" w:hAnsi="Arial Narrow"/>
                <w:color w:val="000000"/>
                <w:sz w:val="20"/>
                <w:szCs w:val="18"/>
              </w:rPr>
            </w:pPr>
            <w:r>
              <w:rPr>
                <w:rFonts w:ascii="Arial Narrow" w:hAnsi="Arial Narrow"/>
                <w:color w:val="000000"/>
                <w:sz w:val="20"/>
                <w:szCs w:val="18"/>
              </w:rPr>
              <w:t>Neutropenia</w:t>
            </w:r>
          </w:p>
        </w:tc>
        <w:tc>
          <w:tcPr>
            <w:tcW w:w="2671" w:type="pct"/>
            <w:vAlign w:val="center"/>
          </w:tcPr>
          <w:p w:rsidR="00283DE6" w:rsidRPr="00B3432C" w:rsidRDefault="00B3432C" w:rsidP="000625EF">
            <w:pPr>
              <w:jc w:val="center"/>
              <w:rPr>
                <w:rFonts w:ascii="Arial Narrow" w:hAnsi="Arial Narrow"/>
                <w:sz w:val="20"/>
                <w:highlight w:val="black"/>
              </w:rPr>
            </w:pPr>
            <w:r>
              <w:rPr>
                <w:rFonts w:ascii="Arial Narrow" w:hAnsi="Arial Narrow"/>
                <w:noProof/>
                <w:color w:val="000000"/>
                <w:sz w:val="20"/>
                <w:szCs w:val="18"/>
                <w:highlight w:val="black"/>
              </w:rPr>
              <w:t>'''''''''' ''''''''''''''' ''''''''''''''</w:t>
            </w:r>
          </w:p>
        </w:tc>
      </w:tr>
      <w:tr w:rsidR="00283DE6" w:rsidRPr="007F25EC" w:rsidTr="0055700A">
        <w:tc>
          <w:tcPr>
            <w:tcW w:w="2329" w:type="pct"/>
            <w:shd w:val="clear" w:color="auto" w:fill="auto"/>
            <w:vAlign w:val="center"/>
          </w:tcPr>
          <w:p w:rsidR="00283DE6" w:rsidRDefault="00283DE6" w:rsidP="00186A6B">
            <w:pPr>
              <w:rPr>
                <w:rFonts w:ascii="Arial Narrow" w:hAnsi="Arial Narrow"/>
                <w:color w:val="000000"/>
                <w:sz w:val="20"/>
                <w:szCs w:val="18"/>
              </w:rPr>
            </w:pPr>
            <w:r>
              <w:rPr>
                <w:rFonts w:ascii="Arial Narrow" w:hAnsi="Arial Narrow"/>
                <w:color w:val="000000"/>
                <w:sz w:val="20"/>
                <w:szCs w:val="18"/>
              </w:rPr>
              <w:t>Diarrhoea (grades 3/4/5)</w:t>
            </w:r>
          </w:p>
        </w:tc>
        <w:tc>
          <w:tcPr>
            <w:tcW w:w="2671" w:type="pct"/>
            <w:vAlign w:val="center"/>
          </w:tcPr>
          <w:p w:rsidR="00283DE6" w:rsidRPr="00B3432C" w:rsidRDefault="00B3432C" w:rsidP="000625EF">
            <w:pPr>
              <w:pStyle w:val="TableText0"/>
              <w:spacing w:before="0" w:after="0"/>
              <w:jc w:val="center"/>
              <w:rPr>
                <w:color w:val="000000"/>
                <w:szCs w:val="18"/>
                <w:highlight w:val="black"/>
              </w:rPr>
            </w:pPr>
            <w:r>
              <w:rPr>
                <w:rFonts w:cs="Arial"/>
                <w:noProof/>
                <w:color w:val="000000"/>
                <w:highlight w:val="black"/>
              </w:rPr>
              <w:t>''''''''''''' ''''''''''''''' ''''''''''''''''''</w:t>
            </w:r>
          </w:p>
        </w:tc>
      </w:tr>
    </w:tbl>
    <w:p w:rsidR="00186A6B" w:rsidRDefault="000350DE" w:rsidP="000350DE">
      <w:pPr>
        <w:pStyle w:val="TableFooter"/>
        <w:ind w:left="709"/>
      </w:pPr>
      <w:r w:rsidRPr="006B756B">
        <w:t xml:space="preserve">Source: Tables B.41-B.43, p119-126 </w:t>
      </w:r>
      <w:r>
        <w:t>and Table B.52, p145 of the submission</w:t>
      </w:r>
    </w:p>
    <w:p w:rsidR="000350DE" w:rsidRDefault="000350DE" w:rsidP="000350DE">
      <w:pPr>
        <w:pStyle w:val="TableFooter"/>
        <w:ind w:left="709"/>
      </w:pPr>
      <w:r>
        <w:t>CI=confidence interval; RR=relative risk</w:t>
      </w:r>
    </w:p>
    <w:p w:rsidR="004A408C" w:rsidRPr="00B50DB8" w:rsidRDefault="004A408C" w:rsidP="004A408C">
      <w:pPr>
        <w:pStyle w:val="BodyText"/>
      </w:pPr>
    </w:p>
    <w:p w:rsidR="00631146" w:rsidRPr="00B50DB8" w:rsidRDefault="00631146" w:rsidP="00631146">
      <w:pPr>
        <w:pStyle w:val="ListParagraph"/>
        <w:widowControl/>
        <w:numPr>
          <w:ilvl w:val="1"/>
          <w:numId w:val="4"/>
        </w:numPr>
        <w:rPr>
          <w:szCs w:val="22"/>
        </w:rPr>
      </w:pPr>
      <w:r w:rsidRPr="00CF6EE4">
        <w:t>O</w:t>
      </w:r>
      <w:r>
        <w:t>n the basis of the indirect</w:t>
      </w:r>
      <w:r w:rsidRPr="00CF6EE4">
        <w:t xml:space="preserve"> evidence presented by the submission, for e</w:t>
      </w:r>
      <w:r>
        <w:t>very 100 patients treated with nintedanib in combination with docetaxel, in comparison to pemetrexed:</w:t>
      </w:r>
    </w:p>
    <w:p w:rsidR="00631146" w:rsidRPr="00CF6EE4" w:rsidRDefault="00631146" w:rsidP="00631146">
      <w:pPr>
        <w:pStyle w:val="ListParagraph"/>
        <w:widowControl/>
        <w:numPr>
          <w:ilvl w:val="0"/>
          <w:numId w:val="3"/>
        </w:numPr>
        <w:ind w:left="993" w:hanging="284"/>
      </w:pPr>
      <w:r w:rsidRPr="00CF6EE4">
        <w:t xml:space="preserve">Approximately </w:t>
      </w:r>
      <w:r>
        <w:t>28 to 42 more patients suffered at least one neutropenia event.</w:t>
      </w:r>
    </w:p>
    <w:p w:rsidR="00631146" w:rsidRPr="00CF6EE4" w:rsidRDefault="00631146" w:rsidP="00631146">
      <w:pPr>
        <w:pStyle w:val="ListParagraph"/>
        <w:widowControl/>
        <w:numPr>
          <w:ilvl w:val="0"/>
          <w:numId w:val="3"/>
        </w:numPr>
        <w:ind w:left="993" w:hanging="284"/>
      </w:pPr>
      <w:r>
        <w:t>Approximately 3 to 9 more patients suffered at least one severe (grade 3/4/5) diarrhoea event.</w:t>
      </w:r>
    </w:p>
    <w:p w:rsidR="00631146" w:rsidRPr="00631146" w:rsidRDefault="00631146" w:rsidP="00631146">
      <w:pPr>
        <w:pStyle w:val="ListParagraph"/>
        <w:widowControl/>
        <w:rPr>
          <w:szCs w:val="22"/>
        </w:rPr>
      </w:pPr>
    </w:p>
    <w:p w:rsidR="0037015C" w:rsidRPr="004A408C" w:rsidRDefault="0037015C" w:rsidP="00EA0FDF">
      <w:pPr>
        <w:pStyle w:val="ListParagraph"/>
        <w:widowControl/>
        <w:numPr>
          <w:ilvl w:val="1"/>
          <w:numId w:val="4"/>
        </w:numPr>
        <w:rPr>
          <w:szCs w:val="22"/>
        </w:rPr>
      </w:pPr>
      <w:r>
        <w:t>Nintedanib plus docetaxel was associated with statistically significant increase</w:t>
      </w:r>
      <w:r w:rsidR="0027686C">
        <w:t>s</w:t>
      </w:r>
      <w:r>
        <w:t xml:space="preserve"> in the risk of diarrhoea and nausea compared with docetaxel alone.</w:t>
      </w:r>
    </w:p>
    <w:p w:rsidR="004A408C" w:rsidRPr="004A408C" w:rsidRDefault="004A408C" w:rsidP="004A408C">
      <w:pPr>
        <w:pStyle w:val="ListParagraph"/>
        <w:widowControl/>
        <w:rPr>
          <w:szCs w:val="22"/>
        </w:rPr>
      </w:pPr>
    </w:p>
    <w:p w:rsidR="007A4A7E" w:rsidRDefault="0037015C" w:rsidP="00EA0FDF">
      <w:pPr>
        <w:pStyle w:val="ListParagraph"/>
        <w:widowControl/>
        <w:numPr>
          <w:ilvl w:val="1"/>
          <w:numId w:val="4"/>
        </w:numPr>
      </w:pPr>
      <w:r>
        <w:t xml:space="preserve">Nintedanib plus docetaxel was also associated with </w:t>
      </w:r>
      <w:r w:rsidR="0027686C">
        <w:t xml:space="preserve">a </w:t>
      </w:r>
      <w:r>
        <w:t xml:space="preserve">statistically significant higher risk of neutropenia, febrile neutropenia and diarrhoea (grades 3/4/5) </w:t>
      </w:r>
      <w:r w:rsidR="000625EF">
        <w:t>i</w:t>
      </w:r>
      <w:r>
        <w:t>n comparison with pemetrexed.</w:t>
      </w:r>
      <w:r w:rsidR="008B48D3">
        <w:t xml:space="preserve"> </w:t>
      </w:r>
    </w:p>
    <w:p w:rsidR="007A4A7E" w:rsidRPr="007A4A7E" w:rsidRDefault="007A4A7E" w:rsidP="00EF60CD">
      <w:pPr>
        <w:pStyle w:val="ListParagraph"/>
        <w:jc w:val="right"/>
        <w:rPr>
          <w:i/>
          <w:szCs w:val="22"/>
        </w:rPr>
      </w:pPr>
    </w:p>
    <w:p w:rsidR="00DA6992" w:rsidRPr="000E2641" w:rsidRDefault="008B48D3" w:rsidP="00EA0FDF">
      <w:pPr>
        <w:pStyle w:val="ListParagraph"/>
        <w:widowControl/>
        <w:numPr>
          <w:ilvl w:val="1"/>
          <w:numId w:val="4"/>
        </w:numPr>
        <w:jc w:val="left"/>
      </w:pPr>
      <w:r w:rsidRPr="000E2641">
        <w:rPr>
          <w:szCs w:val="22"/>
        </w:rPr>
        <w:t xml:space="preserve">The PSCR dismissed the increase in toxicity of nintedanib added to docetaxel </w:t>
      </w:r>
      <w:r w:rsidR="007A4A7E" w:rsidRPr="000E2641">
        <w:rPr>
          <w:szCs w:val="22"/>
        </w:rPr>
        <w:t xml:space="preserve">and </w:t>
      </w:r>
      <w:r w:rsidR="0026398A" w:rsidRPr="000E2641">
        <w:rPr>
          <w:szCs w:val="22"/>
        </w:rPr>
        <w:t>stated that the toxicity of nintedanib alone</w:t>
      </w:r>
      <w:r w:rsidR="0075154E" w:rsidRPr="000E2641">
        <w:rPr>
          <w:szCs w:val="22"/>
        </w:rPr>
        <w:t xml:space="preserve"> </w:t>
      </w:r>
      <w:r w:rsidR="007A4A7E" w:rsidRPr="000E2641">
        <w:rPr>
          <w:szCs w:val="22"/>
        </w:rPr>
        <w:t xml:space="preserve">compared to pemetrexed </w:t>
      </w:r>
      <w:r w:rsidR="009B4B61" w:rsidRPr="000E2641">
        <w:rPr>
          <w:szCs w:val="22"/>
        </w:rPr>
        <w:t>is</w:t>
      </w:r>
      <w:r w:rsidRPr="000E2641">
        <w:rPr>
          <w:szCs w:val="22"/>
        </w:rPr>
        <w:t xml:space="preserve"> not substantial.</w:t>
      </w:r>
      <w:r w:rsidR="0026398A" w:rsidRPr="000E2641">
        <w:rPr>
          <w:szCs w:val="22"/>
        </w:rPr>
        <w:t xml:space="preserve"> The ESC </w:t>
      </w:r>
      <w:r w:rsidR="009B4B61" w:rsidRPr="000E2641">
        <w:rPr>
          <w:szCs w:val="22"/>
        </w:rPr>
        <w:t>disagreed with the PSCR and considered</w:t>
      </w:r>
      <w:r w:rsidR="0026398A" w:rsidRPr="000E2641">
        <w:rPr>
          <w:szCs w:val="22"/>
        </w:rPr>
        <w:t xml:space="preserve"> that nintedanib is associated with higher toxicity compared to pemetrexed</w:t>
      </w:r>
      <w:r w:rsidR="009B4B61" w:rsidRPr="000E2641">
        <w:rPr>
          <w:szCs w:val="22"/>
        </w:rPr>
        <w:t xml:space="preserve">. In relation to the combination use of nintedanib with docetaxel, the ESC noted the results from </w:t>
      </w:r>
      <w:proofErr w:type="spellStart"/>
      <w:r w:rsidR="009B4B61" w:rsidRPr="000E2641">
        <w:rPr>
          <w:szCs w:val="22"/>
        </w:rPr>
        <w:t>Reck</w:t>
      </w:r>
      <w:proofErr w:type="spellEnd"/>
      <w:r w:rsidR="009B4B61" w:rsidRPr="000E2641">
        <w:rPr>
          <w:szCs w:val="22"/>
        </w:rPr>
        <w:t xml:space="preserve"> 2014, where grade</w:t>
      </w:r>
      <w:r w:rsidR="009B4B61" w:rsidRPr="000E2641">
        <w:rPr>
          <w:rFonts w:eastAsia="ScalaLancetPro-Bold"/>
          <w:bCs/>
          <w:snapToGrid/>
          <w:szCs w:val="22"/>
          <w:lang w:eastAsia="en-AU"/>
        </w:rPr>
        <w:t xml:space="preserve"> 3 or worse adverse events were more common in the docetaxel plus nintedanib group than in the docetaxel plus placebo group. </w:t>
      </w:r>
      <w:r w:rsidRPr="000E2641">
        <w:rPr>
          <w:szCs w:val="22"/>
        </w:rPr>
        <w:t xml:space="preserve">The ESC </w:t>
      </w:r>
      <w:r w:rsidR="00DA6992" w:rsidRPr="000E2641">
        <w:rPr>
          <w:szCs w:val="22"/>
        </w:rPr>
        <w:t xml:space="preserve">further </w:t>
      </w:r>
      <w:r w:rsidRPr="000E2641">
        <w:rPr>
          <w:szCs w:val="22"/>
        </w:rPr>
        <w:t xml:space="preserve">considered </w:t>
      </w:r>
      <w:r w:rsidR="007A4A7E" w:rsidRPr="000E2641">
        <w:rPr>
          <w:szCs w:val="22"/>
        </w:rPr>
        <w:t xml:space="preserve">that it was </w:t>
      </w:r>
      <w:r w:rsidRPr="000E2641">
        <w:rPr>
          <w:szCs w:val="22"/>
        </w:rPr>
        <w:t>unreasonable</w:t>
      </w:r>
      <w:r w:rsidR="007A4A7E" w:rsidRPr="000E2641">
        <w:rPr>
          <w:szCs w:val="22"/>
        </w:rPr>
        <w:t xml:space="preserve"> to discount the adverse events associated with docetaxel, </w:t>
      </w:r>
      <w:r w:rsidR="001B35EB" w:rsidRPr="000E2641">
        <w:t>as nintedanib is only given in combination with docetaxel</w:t>
      </w:r>
      <w:r w:rsidRPr="000E2641">
        <w:rPr>
          <w:szCs w:val="22"/>
        </w:rPr>
        <w:t>.</w:t>
      </w:r>
    </w:p>
    <w:p w:rsidR="000E2641" w:rsidRDefault="000E2641" w:rsidP="000E2641">
      <w:pPr>
        <w:pStyle w:val="ListParagraph"/>
      </w:pPr>
    </w:p>
    <w:p w:rsidR="000E2641" w:rsidRPr="000E2641" w:rsidRDefault="000E2641" w:rsidP="000E2641">
      <w:pPr>
        <w:ind w:firstLine="720"/>
      </w:pPr>
      <w:r>
        <w:rPr>
          <w:i/>
          <w:szCs w:val="22"/>
        </w:rPr>
        <w:t>For more detail on PBAC’s view, see section 7 “PBAC outcome”</w:t>
      </w:r>
    </w:p>
    <w:p w:rsidR="00B60939" w:rsidRPr="00882085" w:rsidRDefault="00B60939" w:rsidP="00FC1884"/>
    <w:p w:rsidR="00B60939" w:rsidRPr="002C2775" w:rsidRDefault="00B60939" w:rsidP="008B264E">
      <w:pPr>
        <w:pStyle w:val="Heading2"/>
        <w:keepNext/>
        <w:rPr>
          <w:i/>
        </w:rPr>
      </w:pPr>
      <w:bookmarkStart w:id="9" w:name="_Toc409189304"/>
      <w:r w:rsidRPr="002C2775">
        <w:rPr>
          <w:i/>
        </w:rPr>
        <w:lastRenderedPageBreak/>
        <w:t>Clinical claim</w:t>
      </w:r>
      <w:bookmarkEnd w:id="9"/>
    </w:p>
    <w:p w:rsidR="00B60939" w:rsidRPr="00882085" w:rsidRDefault="00B60939" w:rsidP="008B264E">
      <w:pPr>
        <w:keepNext/>
        <w:ind w:left="720" w:hanging="720"/>
        <w:rPr>
          <w:szCs w:val="22"/>
        </w:rPr>
      </w:pPr>
    </w:p>
    <w:p w:rsidR="00B60939" w:rsidRPr="00FA6E89" w:rsidRDefault="00E7720D" w:rsidP="00EA0FDF">
      <w:pPr>
        <w:pStyle w:val="ListParagraph"/>
        <w:widowControl/>
        <w:numPr>
          <w:ilvl w:val="1"/>
          <w:numId w:val="4"/>
        </w:numPr>
        <w:rPr>
          <w:szCs w:val="22"/>
        </w:rPr>
      </w:pPr>
      <w:r>
        <w:t>T</w:t>
      </w:r>
      <w:r w:rsidR="000B650E">
        <w:t>he submission claimed</w:t>
      </w:r>
      <w:r>
        <w:t xml:space="preserve"> superior effectiveness and inferior safety in comparison with docetaxel monotherapy.</w:t>
      </w:r>
      <w:r w:rsidR="00F50E59">
        <w:t xml:space="preserve"> </w:t>
      </w:r>
      <w:r w:rsidR="00F50E59" w:rsidRPr="0084358A">
        <w:t xml:space="preserve">These claims </w:t>
      </w:r>
      <w:r w:rsidR="000B650E" w:rsidRPr="0084358A">
        <w:t>we</w:t>
      </w:r>
      <w:r w:rsidR="00F50E59" w:rsidRPr="0084358A">
        <w:t>re supported by</w:t>
      </w:r>
      <w:r w:rsidR="00640946" w:rsidRPr="0084358A">
        <w:t xml:space="preserve"> overall survival and progression</w:t>
      </w:r>
      <w:r w:rsidR="005811DA">
        <w:t>-</w:t>
      </w:r>
      <w:r w:rsidR="00640946" w:rsidRPr="0084358A">
        <w:t>free survival outcomes as well as safety outcomes of</w:t>
      </w:r>
      <w:r w:rsidR="00F50E59" w:rsidRPr="0084358A">
        <w:t xml:space="preserve"> the LUME Lung 1 trial evidence.</w:t>
      </w:r>
      <w:r w:rsidR="00FA6E89">
        <w:t xml:space="preserve"> </w:t>
      </w:r>
      <w:r w:rsidR="00FA6E89" w:rsidRPr="00A64F67">
        <w:t xml:space="preserve">The ESC </w:t>
      </w:r>
      <w:r w:rsidR="00E06C48" w:rsidRPr="00A64F67">
        <w:t xml:space="preserve">considered this claim was well supported but </w:t>
      </w:r>
      <w:r w:rsidR="00FA6E89" w:rsidRPr="00A64F67">
        <w:t xml:space="preserve">irrelevant given that </w:t>
      </w:r>
      <w:r w:rsidR="007F1EF9" w:rsidRPr="00A64F67">
        <w:t xml:space="preserve">it considered </w:t>
      </w:r>
      <w:r w:rsidR="00FA6E89" w:rsidRPr="00A64F67">
        <w:t xml:space="preserve">pemetrexed </w:t>
      </w:r>
      <w:r w:rsidR="007F1EF9" w:rsidRPr="00A64F67">
        <w:t xml:space="preserve">to be </w:t>
      </w:r>
      <w:r w:rsidR="00FA6E89" w:rsidRPr="00A64F67">
        <w:t>the appropriate comparator</w:t>
      </w:r>
      <w:r w:rsidR="00E06C48">
        <w:rPr>
          <w:i/>
        </w:rPr>
        <w:t>.</w:t>
      </w:r>
    </w:p>
    <w:p w:rsidR="00FA6E89" w:rsidRPr="0084358A" w:rsidRDefault="00FA6E89" w:rsidP="00FA6E89">
      <w:pPr>
        <w:pStyle w:val="ListParagraph"/>
        <w:widowControl/>
        <w:rPr>
          <w:szCs w:val="22"/>
        </w:rPr>
      </w:pPr>
    </w:p>
    <w:p w:rsidR="00A64F67" w:rsidRDefault="00A64F67" w:rsidP="00EA0FDF">
      <w:pPr>
        <w:pStyle w:val="ListParagraph"/>
        <w:widowControl/>
        <w:numPr>
          <w:ilvl w:val="1"/>
          <w:numId w:val="4"/>
        </w:numPr>
      </w:pPr>
      <w:r>
        <w:t>The submission claimed</w:t>
      </w:r>
      <w:r w:rsidR="00E7720D" w:rsidRPr="0084358A">
        <w:t xml:space="preserve"> non-inferior effectiveness and inferior safety in comparison with pemetrexed.</w:t>
      </w:r>
      <w:r w:rsidR="00F50E59" w:rsidRPr="0084358A">
        <w:t xml:space="preserve"> The MCID</w:t>
      </w:r>
      <w:r w:rsidR="00DA3D25" w:rsidRPr="0084358A">
        <w:t xml:space="preserve"> level</w:t>
      </w:r>
      <w:r w:rsidR="00F50E59" w:rsidRPr="0084358A">
        <w:t xml:space="preserve"> proposed by the submission </w:t>
      </w:r>
      <w:r w:rsidR="000B650E" w:rsidRPr="0084358A">
        <w:t>was</w:t>
      </w:r>
      <w:r w:rsidR="00F50E59" w:rsidRPr="0084358A">
        <w:t xml:space="preserve"> likely too high, and with a lower MCID, nintedanib fail</w:t>
      </w:r>
      <w:r w:rsidR="000B650E" w:rsidRPr="0084358A">
        <w:t>ed</w:t>
      </w:r>
      <w:r w:rsidR="00F50E59" w:rsidRPr="0084358A">
        <w:t xml:space="preserve"> to demonstrate non-inferior efficacy to pemetrexed. The safety claim </w:t>
      </w:r>
      <w:r w:rsidR="000B650E" w:rsidRPr="0084358A">
        <w:t>was</w:t>
      </w:r>
      <w:r w:rsidR="00F50E59" w:rsidRPr="0084358A">
        <w:t xml:space="preserve"> supported by higher frequency across several comparable AEs as well as a generally worse safety profile in comparison to docetaxel.</w:t>
      </w:r>
      <w:r w:rsidR="00FA6E89">
        <w:t xml:space="preserve"> </w:t>
      </w:r>
    </w:p>
    <w:p w:rsidR="00A64F67" w:rsidRDefault="00A64F67" w:rsidP="00A64F67">
      <w:pPr>
        <w:pStyle w:val="ListParagraph"/>
      </w:pPr>
    </w:p>
    <w:p w:rsidR="003360E8" w:rsidRDefault="00A64F67" w:rsidP="00EA0FDF">
      <w:pPr>
        <w:pStyle w:val="ListParagraph"/>
        <w:widowControl/>
        <w:numPr>
          <w:ilvl w:val="1"/>
          <w:numId w:val="4"/>
        </w:numPr>
      </w:pPr>
      <w:r w:rsidRPr="00A64F67">
        <w:t>With respect to the claim that nintedanib-docetaxel is non-inferior in efficacy to pemetrexed, the upper confidence limits for the indirect comparison of progression</w:t>
      </w:r>
      <w:r w:rsidRPr="00A64F67">
        <w:noBreakHyphen/>
        <w:t>free survival (</w:t>
      </w:r>
      <w:r w:rsidR="00B3432C">
        <w:rPr>
          <w:noProof/>
          <w:color w:val="000000"/>
          <w:highlight w:val="black"/>
        </w:rPr>
        <w:t>''''''''''''</w:t>
      </w:r>
      <w:r w:rsidRPr="00A64F67">
        <w:t>) and overall survival (</w:t>
      </w:r>
      <w:r w:rsidR="00B3432C">
        <w:rPr>
          <w:noProof/>
          <w:color w:val="000000"/>
          <w:highlight w:val="black"/>
        </w:rPr>
        <w:t>''''''''''</w:t>
      </w:r>
      <w:r w:rsidRPr="00A64F67">
        <w:t>) are at the borderline of MCIDs used in similar settings including the JMEI pemetrexed-docetaxel study (1.21) and a review of non</w:t>
      </w:r>
      <w:r w:rsidRPr="00A64F67">
        <w:noBreakHyphen/>
        <w:t>inferiority cancer trials (mean 1.25; range 1.10 to 1.50) (</w:t>
      </w:r>
      <w:proofErr w:type="spellStart"/>
      <w:r w:rsidRPr="00A64F67">
        <w:t>Riechelmann</w:t>
      </w:r>
      <w:proofErr w:type="spellEnd"/>
      <w:r w:rsidRPr="00A64F67">
        <w:t xml:space="preserve"> 2011).</w:t>
      </w:r>
      <w:r>
        <w:t xml:space="preserve"> </w:t>
      </w:r>
      <w:r w:rsidRPr="000E2641">
        <w:t>Overall, the ESC considered the claim of non–inferior clinical effectiveness to pemetrexed to be border-line and the claim of inferior safety to pemetrexed to be appropriate.</w:t>
      </w:r>
    </w:p>
    <w:p w:rsidR="0023295B" w:rsidRPr="002661C9" w:rsidRDefault="0023295B" w:rsidP="0023295B">
      <w:pPr>
        <w:pStyle w:val="ListParagraph"/>
      </w:pPr>
    </w:p>
    <w:p w:rsidR="00911254" w:rsidRPr="003215B0" w:rsidRDefault="00911254" w:rsidP="00EA0FDF">
      <w:pPr>
        <w:pStyle w:val="ListParagraph"/>
        <w:widowControl/>
        <w:numPr>
          <w:ilvl w:val="1"/>
          <w:numId w:val="4"/>
        </w:numPr>
      </w:pPr>
      <w:r w:rsidRPr="003215B0">
        <w:t xml:space="preserve">The PBAC considered that the claim of non-inferior comparative effectiveness </w:t>
      </w:r>
      <w:r w:rsidR="00463111" w:rsidRPr="003215B0">
        <w:t xml:space="preserve">to </w:t>
      </w:r>
      <w:r w:rsidRPr="003215B0">
        <w:t>p</w:t>
      </w:r>
      <w:r w:rsidR="000F63A3" w:rsidRPr="003215B0">
        <w:t>eme</w:t>
      </w:r>
      <w:r w:rsidRPr="003215B0">
        <w:t>trexed was not adequately supported.</w:t>
      </w:r>
    </w:p>
    <w:p w:rsidR="00911254" w:rsidRPr="003215B0" w:rsidRDefault="00911254" w:rsidP="00911254">
      <w:pPr>
        <w:pStyle w:val="ListParagraph"/>
      </w:pPr>
    </w:p>
    <w:p w:rsidR="00911254" w:rsidRPr="003215B0" w:rsidRDefault="00911254" w:rsidP="00EA0FDF">
      <w:pPr>
        <w:pStyle w:val="ListParagraph"/>
        <w:widowControl/>
        <w:numPr>
          <w:ilvl w:val="1"/>
          <w:numId w:val="4"/>
        </w:numPr>
      </w:pPr>
      <w:r w:rsidRPr="003215B0">
        <w:t>The PBAC considered that the claim of inferior comparative safety</w:t>
      </w:r>
      <w:r w:rsidR="00463111" w:rsidRPr="003215B0">
        <w:t xml:space="preserve"> to pemetrexed</w:t>
      </w:r>
      <w:r w:rsidRPr="003215B0">
        <w:t xml:space="preserve"> was reasonable. </w:t>
      </w:r>
    </w:p>
    <w:p w:rsidR="000E2641" w:rsidRDefault="000E2641" w:rsidP="000E2641">
      <w:pPr>
        <w:pStyle w:val="ListParagraph"/>
      </w:pPr>
    </w:p>
    <w:p w:rsidR="000E2641" w:rsidRPr="000E2641" w:rsidRDefault="000E2641" w:rsidP="000E2641">
      <w:pPr>
        <w:ind w:firstLine="720"/>
      </w:pPr>
      <w:r>
        <w:rPr>
          <w:i/>
          <w:szCs w:val="22"/>
        </w:rPr>
        <w:t>For more detail on PBAC’s view, see section 7 “PBAC outcome”</w:t>
      </w:r>
    </w:p>
    <w:p w:rsidR="000372A8" w:rsidRPr="000372A8" w:rsidRDefault="000372A8" w:rsidP="00B60939">
      <w:pPr>
        <w:ind w:left="720" w:hanging="720"/>
        <w:rPr>
          <w:szCs w:val="22"/>
        </w:rPr>
      </w:pPr>
    </w:p>
    <w:p w:rsidR="00B60939" w:rsidRPr="002C2775" w:rsidRDefault="00B60939" w:rsidP="002C2775">
      <w:pPr>
        <w:pStyle w:val="Heading2"/>
        <w:rPr>
          <w:i/>
        </w:rPr>
      </w:pPr>
      <w:bookmarkStart w:id="10" w:name="_Toc409189305"/>
      <w:r w:rsidRPr="002C2775">
        <w:rPr>
          <w:i/>
        </w:rPr>
        <w:t>Economic analysis</w:t>
      </w:r>
      <w:bookmarkEnd w:id="10"/>
      <w:r w:rsidR="00491B3A" w:rsidRPr="002C2775">
        <w:rPr>
          <w:i/>
        </w:rPr>
        <w:t xml:space="preserve"> </w:t>
      </w:r>
    </w:p>
    <w:p w:rsidR="00B60939" w:rsidRPr="00882085" w:rsidRDefault="00B60939" w:rsidP="00B60939">
      <w:pPr>
        <w:ind w:left="720" w:hanging="720"/>
        <w:rPr>
          <w:szCs w:val="22"/>
        </w:rPr>
      </w:pPr>
    </w:p>
    <w:p w:rsidR="001B35EB" w:rsidRPr="000E2641" w:rsidRDefault="001B35EB" w:rsidP="00EA0FDF">
      <w:pPr>
        <w:pStyle w:val="ListParagraph"/>
        <w:widowControl/>
        <w:numPr>
          <w:ilvl w:val="1"/>
          <w:numId w:val="4"/>
        </w:numPr>
      </w:pPr>
      <w:r w:rsidRPr="0084358A">
        <w:t xml:space="preserve">Because the clinical claim is non-inferior efficacy and inferior safety in comparison to pemetrexed, there is no basis for modelling cost-effectiveness </w:t>
      </w:r>
      <w:r w:rsidR="0027686C">
        <w:t>using</w:t>
      </w:r>
      <w:r w:rsidRPr="0084358A">
        <w:t xml:space="preserve"> the pemetrexed component of the model.</w:t>
      </w:r>
      <w:r>
        <w:rPr>
          <w:i/>
        </w:rPr>
        <w:t xml:space="preserve"> </w:t>
      </w:r>
      <w:r w:rsidR="000B3FF8">
        <w:t xml:space="preserve">The PSCR </w:t>
      </w:r>
      <w:r w:rsidRPr="000E2641">
        <w:t>argued that a CUA is appropriate as it quantified differences in adverse events given the inferior safety of nintedanib. The ESC considered the CUA used in the submission was not consistent with the clinical claim of non-inferior efficacy (or borderline inferiority), and inferior safety of nintedanib to pemetrexed.</w:t>
      </w:r>
    </w:p>
    <w:p w:rsidR="001B35EB" w:rsidRPr="000E2641" w:rsidRDefault="001B35EB" w:rsidP="001B35EB">
      <w:pPr>
        <w:pStyle w:val="ListParagraph"/>
        <w:widowControl/>
      </w:pPr>
    </w:p>
    <w:p w:rsidR="007F1EF9" w:rsidRPr="000E2641" w:rsidRDefault="00B8034F" w:rsidP="00EA0FDF">
      <w:pPr>
        <w:pStyle w:val="ListParagraph"/>
        <w:widowControl/>
        <w:numPr>
          <w:ilvl w:val="1"/>
          <w:numId w:val="4"/>
        </w:numPr>
      </w:pPr>
      <w:r w:rsidRPr="000E2641">
        <w:t>T</w:t>
      </w:r>
      <w:r w:rsidR="000B650E" w:rsidRPr="000E2641">
        <w:t>he submission included</w:t>
      </w:r>
      <w:r w:rsidRPr="000E2641">
        <w:t xml:space="preserve"> a cost-utility analysis (CUA) of nintedanib in combination with docetaxel versus a weighted comparator comprised of pemetrexed (87%) and docetaxel (13%).</w:t>
      </w:r>
      <w:r w:rsidR="00745DF7" w:rsidRPr="000E2641">
        <w:t xml:space="preserve"> </w:t>
      </w:r>
      <w:r w:rsidR="00B2563D" w:rsidRPr="000E2641">
        <w:t>The ESC considered the weighted comparator to be inappropriate.</w:t>
      </w:r>
      <w:r w:rsidR="00077212" w:rsidRPr="000E2641">
        <w:t xml:space="preserve"> More recent data suggest</w:t>
      </w:r>
      <w:r w:rsidR="00B42E62" w:rsidRPr="000E2641">
        <w:t>ed</w:t>
      </w:r>
      <w:r w:rsidR="00077212" w:rsidRPr="000E2641">
        <w:t xml:space="preserve"> that </w:t>
      </w:r>
      <w:r w:rsidR="0040287A" w:rsidRPr="000E2641">
        <w:t>pemetrexed</w:t>
      </w:r>
      <w:r w:rsidR="00077212" w:rsidRPr="000E2641">
        <w:t xml:space="preserve"> use in the proposed setting is closer to 90%</w:t>
      </w:r>
      <w:r w:rsidR="000B3FF8">
        <w:t xml:space="preserve"> (PSCR</w:t>
      </w:r>
      <w:r w:rsidR="00633B3E" w:rsidRPr="000E2641">
        <w:t>)</w:t>
      </w:r>
      <w:r w:rsidR="00653D1A" w:rsidRPr="000E2641">
        <w:t>.</w:t>
      </w:r>
      <w:r w:rsidR="00077212" w:rsidRPr="000E2641">
        <w:t xml:space="preserve"> </w:t>
      </w:r>
      <w:r w:rsidR="001B35EB" w:rsidRPr="000E2641">
        <w:t>Given these utilisation estimates</w:t>
      </w:r>
      <w:r w:rsidR="00653D1A" w:rsidRPr="000E2641">
        <w:t>,</w:t>
      </w:r>
      <w:r w:rsidR="00077212" w:rsidRPr="000E2641">
        <w:t xml:space="preserve"> </w:t>
      </w:r>
      <w:r w:rsidR="0040287A" w:rsidRPr="000E2641">
        <w:t>pemetrexed</w:t>
      </w:r>
      <w:r w:rsidR="00077212" w:rsidRPr="000E2641">
        <w:t xml:space="preserve"> alone is the appropriate comparator. </w:t>
      </w:r>
    </w:p>
    <w:p w:rsidR="007F1EF9" w:rsidRPr="000E2641" w:rsidRDefault="007F1EF9" w:rsidP="007F1EF9">
      <w:pPr>
        <w:pStyle w:val="ListParagraph"/>
      </w:pPr>
    </w:p>
    <w:p w:rsidR="00275C5A" w:rsidRPr="000E2641" w:rsidRDefault="007F1EF9" w:rsidP="00EA0FDF">
      <w:pPr>
        <w:pStyle w:val="ListParagraph"/>
        <w:widowControl/>
        <w:numPr>
          <w:ilvl w:val="1"/>
          <w:numId w:val="4"/>
        </w:numPr>
        <w:rPr>
          <w:szCs w:val="22"/>
        </w:rPr>
      </w:pPr>
      <w:r w:rsidRPr="000E2641">
        <w:t xml:space="preserve">The ESC considered that </w:t>
      </w:r>
      <w:r w:rsidR="002E0E60" w:rsidRPr="000E2641">
        <w:t>without additional justification</w:t>
      </w:r>
      <w:r w:rsidR="001B35EB" w:rsidRPr="000E2641">
        <w:t>, a cost-minimisation analysis may also be an inappropriate methodology given</w:t>
      </w:r>
      <w:r w:rsidR="00276C2C" w:rsidRPr="000E2641">
        <w:t xml:space="preserve"> </w:t>
      </w:r>
      <w:r w:rsidR="008B264E">
        <w:rPr>
          <w:szCs w:val="22"/>
        </w:rPr>
        <w:t xml:space="preserve">that the currently available indirect </w:t>
      </w:r>
      <w:r w:rsidR="008B264E">
        <w:rPr>
          <w:szCs w:val="22"/>
        </w:rPr>
        <w:lastRenderedPageBreak/>
        <w:t>evidence did not demonstrate non-inferiority for nintedanib and docetaxel compared with pemetrexed</w:t>
      </w:r>
      <w:r w:rsidR="001B35EB" w:rsidRPr="000E2641">
        <w:t>.</w:t>
      </w:r>
      <w:r w:rsidR="00E72958">
        <w:t xml:space="preserve"> </w:t>
      </w:r>
    </w:p>
    <w:p w:rsidR="001B35EB" w:rsidRPr="001B35EB" w:rsidRDefault="001B35EB" w:rsidP="001B35EB">
      <w:pPr>
        <w:pStyle w:val="ListParagraph"/>
        <w:rPr>
          <w:szCs w:val="22"/>
        </w:rPr>
      </w:pPr>
    </w:p>
    <w:p w:rsidR="001B35EB" w:rsidRPr="002E0E60" w:rsidRDefault="001B35EB" w:rsidP="00EA0FDF">
      <w:pPr>
        <w:pStyle w:val="ListParagraph"/>
        <w:widowControl/>
        <w:numPr>
          <w:ilvl w:val="1"/>
          <w:numId w:val="4"/>
        </w:numPr>
        <w:rPr>
          <w:szCs w:val="22"/>
        </w:rPr>
      </w:pPr>
      <w:r>
        <w:t>The following table presents a summary of the structure and rationale of the model.</w:t>
      </w:r>
    </w:p>
    <w:p w:rsidR="00745DF7" w:rsidRPr="00745DF7" w:rsidRDefault="00745DF7" w:rsidP="00745DF7">
      <w:pPr>
        <w:pStyle w:val="ListParagraph"/>
        <w:widowControl/>
        <w:rPr>
          <w:szCs w:val="22"/>
        </w:rPr>
      </w:pPr>
    </w:p>
    <w:p w:rsidR="00275C5A" w:rsidRDefault="00275C5A" w:rsidP="004377F9">
      <w:pPr>
        <w:keepNext/>
        <w:ind w:firstLine="720"/>
        <w:rPr>
          <w:rStyle w:val="CommentReference"/>
        </w:rPr>
      </w:pPr>
      <w:r w:rsidRPr="00A56B6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model structure and rationale"/>
        <w:tblDescription w:val="Summary of the components of the economic model"/>
      </w:tblPr>
      <w:tblGrid>
        <w:gridCol w:w="1984"/>
        <w:gridCol w:w="6361"/>
      </w:tblGrid>
      <w:tr w:rsidR="000B650E" w:rsidRPr="00E2771E" w:rsidTr="000B650E">
        <w:trPr>
          <w:tblHeader/>
        </w:trPr>
        <w:tc>
          <w:tcPr>
            <w:tcW w:w="1189" w:type="pct"/>
            <w:shd w:val="clear" w:color="auto" w:fill="auto"/>
            <w:vAlign w:val="center"/>
          </w:tcPr>
          <w:p w:rsidR="000B650E" w:rsidRPr="00E2771E" w:rsidRDefault="000B650E" w:rsidP="004377F9">
            <w:pPr>
              <w:keepNext/>
              <w:jc w:val="left"/>
              <w:rPr>
                <w:rFonts w:ascii="Arial Narrow" w:hAnsi="Arial Narrow"/>
                <w:b/>
                <w:sz w:val="20"/>
              </w:rPr>
            </w:pPr>
            <w:r w:rsidRPr="00E2771E">
              <w:rPr>
                <w:rFonts w:ascii="Arial Narrow" w:hAnsi="Arial Narrow"/>
                <w:b/>
                <w:sz w:val="20"/>
              </w:rPr>
              <w:t>Component</w:t>
            </w:r>
          </w:p>
        </w:tc>
        <w:tc>
          <w:tcPr>
            <w:tcW w:w="3811" w:type="pct"/>
            <w:shd w:val="clear" w:color="auto" w:fill="auto"/>
            <w:vAlign w:val="center"/>
          </w:tcPr>
          <w:p w:rsidR="000B650E" w:rsidRPr="00E2771E" w:rsidRDefault="000B650E" w:rsidP="004377F9">
            <w:pPr>
              <w:keepNext/>
              <w:jc w:val="center"/>
              <w:rPr>
                <w:rFonts w:ascii="Arial Narrow" w:hAnsi="Arial Narrow"/>
                <w:b/>
                <w:sz w:val="20"/>
              </w:rPr>
            </w:pPr>
            <w:r w:rsidRPr="00E2771E">
              <w:rPr>
                <w:rFonts w:ascii="Arial Narrow" w:hAnsi="Arial Narrow"/>
                <w:b/>
                <w:sz w:val="20"/>
              </w:rPr>
              <w:t>Summary</w:t>
            </w:r>
          </w:p>
        </w:tc>
      </w:tr>
      <w:tr w:rsidR="000B650E" w:rsidRPr="00E2771E" w:rsidTr="000B650E">
        <w:tc>
          <w:tcPr>
            <w:tcW w:w="1189" w:type="pct"/>
            <w:shd w:val="clear" w:color="auto" w:fill="auto"/>
            <w:vAlign w:val="center"/>
          </w:tcPr>
          <w:p w:rsidR="000B650E" w:rsidRPr="00E2771E" w:rsidRDefault="000B650E" w:rsidP="004377F9">
            <w:pPr>
              <w:keepNext/>
              <w:jc w:val="left"/>
              <w:rPr>
                <w:rFonts w:ascii="Arial Narrow" w:hAnsi="Arial Narrow"/>
                <w:sz w:val="20"/>
              </w:rPr>
            </w:pPr>
            <w:r w:rsidRPr="00E2771E">
              <w:rPr>
                <w:rFonts w:ascii="Arial Narrow" w:hAnsi="Arial Narrow"/>
                <w:sz w:val="20"/>
              </w:rPr>
              <w:t>Time horizon</w:t>
            </w:r>
          </w:p>
        </w:tc>
        <w:tc>
          <w:tcPr>
            <w:tcW w:w="3811" w:type="pct"/>
            <w:shd w:val="clear" w:color="auto" w:fill="auto"/>
            <w:vAlign w:val="center"/>
          </w:tcPr>
          <w:p w:rsidR="000B650E" w:rsidRPr="00E2771E" w:rsidRDefault="000B650E" w:rsidP="004377F9">
            <w:pPr>
              <w:keepNext/>
              <w:jc w:val="left"/>
              <w:rPr>
                <w:rFonts w:ascii="Arial Narrow" w:hAnsi="Arial Narrow"/>
                <w:sz w:val="20"/>
              </w:rPr>
            </w:pPr>
            <w:r>
              <w:rPr>
                <w:rFonts w:ascii="Arial Narrow" w:hAnsi="Arial Narrow"/>
                <w:sz w:val="20"/>
              </w:rPr>
              <w:t>5</w:t>
            </w:r>
            <w:r w:rsidRPr="00E2771E">
              <w:rPr>
                <w:rFonts w:ascii="Arial Narrow" w:hAnsi="Arial Narrow"/>
                <w:sz w:val="20"/>
              </w:rPr>
              <w:t xml:space="preserve"> years</w:t>
            </w:r>
            <w:r>
              <w:rPr>
                <w:rFonts w:ascii="Arial Narrow" w:hAnsi="Arial Narrow"/>
                <w:sz w:val="20"/>
              </w:rPr>
              <w:t xml:space="preserve"> in the model base case versus 43 weeks</w:t>
            </w:r>
            <w:r w:rsidRPr="00E2771E">
              <w:rPr>
                <w:rFonts w:ascii="Arial Narrow" w:hAnsi="Arial Narrow"/>
                <w:sz w:val="20"/>
              </w:rPr>
              <w:t xml:space="preserve"> in trial</w:t>
            </w:r>
          </w:p>
        </w:tc>
      </w:tr>
      <w:tr w:rsidR="000B650E" w:rsidRPr="00E2771E" w:rsidTr="000B650E">
        <w:tc>
          <w:tcPr>
            <w:tcW w:w="1189" w:type="pct"/>
            <w:shd w:val="clear" w:color="auto" w:fill="auto"/>
            <w:vAlign w:val="center"/>
          </w:tcPr>
          <w:p w:rsidR="000B650E" w:rsidRPr="00E2771E" w:rsidRDefault="000B650E" w:rsidP="004377F9">
            <w:pPr>
              <w:keepNext/>
              <w:jc w:val="left"/>
              <w:rPr>
                <w:rFonts w:ascii="Arial Narrow" w:hAnsi="Arial Narrow"/>
                <w:sz w:val="20"/>
              </w:rPr>
            </w:pPr>
            <w:r w:rsidRPr="00E2771E">
              <w:rPr>
                <w:rFonts w:ascii="Arial Narrow" w:hAnsi="Arial Narrow"/>
                <w:sz w:val="20"/>
              </w:rPr>
              <w:t>Outcomes</w:t>
            </w:r>
          </w:p>
        </w:tc>
        <w:tc>
          <w:tcPr>
            <w:tcW w:w="3811" w:type="pct"/>
            <w:shd w:val="clear" w:color="auto" w:fill="auto"/>
            <w:vAlign w:val="center"/>
          </w:tcPr>
          <w:p w:rsidR="000B650E" w:rsidRPr="00E2771E" w:rsidRDefault="000B650E" w:rsidP="004377F9">
            <w:pPr>
              <w:keepNext/>
              <w:jc w:val="left"/>
              <w:rPr>
                <w:rFonts w:ascii="Arial Narrow" w:hAnsi="Arial Narrow"/>
                <w:sz w:val="20"/>
              </w:rPr>
            </w:pPr>
            <w:proofErr w:type="spellStart"/>
            <w:r>
              <w:rPr>
                <w:rFonts w:ascii="Arial Narrow" w:hAnsi="Arial Narrow"/>
                <w:sz w:val="20"/>
              </w:rPr>
              <w:t>PfLYG</w:t>
            </w:r>
            <w:proofErr w:type="spellEnd"/>
            <w:r>
              <w:rPr>
                <w:rFonts w:ascii="Arial Narrow" w:hAnsi="Arial Narrow"/>
                <w:sz w:val="20"/>
              </w:rPr>
              <w:t>,</w:t>
            </w:r>
            <w:r w:rsidRPr="00E2771E">
              <w:rPr>
                <w:rFonts w:ascii="Arial Narrow" w:hAnsi="Arial Narrow"/>
                <w:sz w:val="20"/>
              </w:rPr>
              <w:t xml:space="preserve"> LYG and QALYs</w:t>
            </w:r>
          </w:p>
        </w:tc>
      </w:tr>
      <w:tr w:rsidR="000B650E" w:rsidRPr="00E2771E" w:rsidTr="000B650E">
        <w:tc>
          <w:tcPr>
            <w:tcW w:w="1189" w:type="pct"/>
            <w:shd w:val="clear" w:color="auto" w:fill="auto"/>
            <w:vAlign w:val="center"/>
          </w:tcPr>
          <w:p w:rsidR="000B650E" w:rsidRPr="00E2771E" w:rsidRDefault="000B650E" w:rsidP="004377F9">
            <w:pPr>
              <w:keepNext/>
              <w:jc w:val="left"/>
              <w:rPr>
                <w:rFonts w:ascii="Arial Narrow" w:hAnsi="Arial Narrow"/>
                <w:sz w:val="20"/>
              </w:rPr>
            </w:pPr>
            <w:r w:rsidRPr="00E2771E">
              <w:rPr>
                <w:rFonts w:ascii="Arial Narrow" w:hAnsi="Arial Narrow"/>
                <w:sz w:val="20"/>
              </w:rPr>
              <w:t>Methods used to generate results</w:t>
            </w:r>
          </w:p>
        </w:tc>
        <w:tc>
          <w:tcPr>
            <w:tcW w:w="3811" w:type="pct"/>
            <w:shd w:val="clear" w:color="auto" w:fill="auto"/>
            <w:vAlign w:val="center"/>
          </w:tcPr>
          <w:p w:rsidR="000B650E" w:rsidRPr="00E2771E" w:rsidRDefault="000B650E" w:rsidP="004377F9">
            <w:pPr>
              <w:keepNext/>
              <w:jc w:val="left"/>
              <w:rPr>
                <w:rFonts w:ascii="Arial Narrow" w:hAnsi="Arial Narrow"/>
                <w:sz w:val="20"/>
              </w:rPr>
            </w:pPr>
            <w:r>
              <w:rPr>
                <w:rFonts w:ascii="Arial Narrow" w:hAnsi="Arial Narrow"/>
                <w:sz w:val="20"/>
              </w:rPr>
              <w:t xml:space="preserve">Trial based, survival extrapolations using Weibull curves to inform </w:t>
            </w:r>
            <w:r w:rsidR="00D41996">
              <w:rPr>
                <w:rFonts w:ascii="Arial Narrow" w:hAnsi="Arial Narrow"/>
                <w:sz w:val="20"/>
              </w:rPr>
              <w:t xml:space="preserve">a </w:t>
            </w:r>
            <w:r>
              <w:rPr>
                <w:rFonts w:ascii="Arial Narrow" w:hAnsi="Arial Narrow"/>
                <w:sz w:val="20"/>
              </w:rPr>
              <w:t>Markov model.</w:t>
            </w:r>
          </w:p>
        </w:tc>
      </w:tr>
      <w:tr w:rsidR="000B650E" w:rsidRPr="00E2771E" w:rsidTr="000B650E">
        <w:tc>
          <w:tcPr>
            <w:tcW w:w="1189" w:type="pct"/>
            <w:shd w:val="clear" w:color="auto" w:fill="auto"/>
            <w:vAlign w:val="center"/>
          </w:tcPr>
          <w:p w:rsidR="000B650E" w:rsidRPr="00E2771E" w:rsidRDefault="000B650E" w:rsidP="004377F9">
            <w:pPr>
              <w:keepNext/>
              <w:jc w:val="left"/>
              <w:rPr>
                <w:rFonts w:ascii="Arial Narrow" w:hAnsi="Arial Narrow"/>
                <w:sz w:val="20"/>
              </w:rPr>
            </w:pPr>
            <w:r w:rsidRPr="00E2771E">
              <w:rPr>
                <w:rFonts w:ascii="Arial Narrow" w:hAnsi="Arial Narrow"/>
                <w:sz w:val="20"/>
              </w:rPr>
              <w:t>Health states</w:t>
            </w:r>
          </w:p>
        </w:tc>
        <w:tc>
          <w:tcPr>
            <w:tcW w:w="3811" w:type="pct"/>
            <w:shd w:val="clear" w:color="auto" w:fill="auto"/>
            <w:vAlign w:val="center"/>
          </w:tcPr>
          <w:p w:rsidR="000B650E" w:rsidRPr="00E2771E" w:rsidRDefault="000B650E" w:rsidP="004377F9">
            <w:pPr>
              <w:keepNext/>
              <w:jc w:val="left"/>
              <w:rPr>
                <w:rFonts w:ascii="Arial Narrow" w:hAnsi="Arial Narrow"/>
                <w:sz w:val="20"/>
              </w:rPr>
            </w:pPr>
            <w:r>
              <w:rPr>
                <w:rFonts w:ascii="Arial Narrow" w:hAnsi="Arial Narrow"/>
                <w:sz w:val="20"/>
              </w:rPr>
              <w:t xml:space="preserve">Progressed, non-progressed, dead and utility </w:t>
            </w:r>
            <w:r w:rsidR="0094459D">
              <w:rPr>
                <w:rFonts w:ascii="Arial Narrow" w:hAnsi="Arial Narrow"/>
                <w:sz w:val="20"/>
              </w:rPr>
              <w:t>decrements</w:t>
            </w:r>
            <w:r>
              <w:rPr>
                <w:rFonts w:ascii="Arial Narrow" w:hAnsi="Arial Narrow"/>
                <w:sz w:val="20"/>
              </w:rPr>
              <w:t xml:space="preserve"> for specific AEs</w:t>
            </w:r>
          </w:p>
        </w:tc>
      </w:tr>
      <w:tr w:rsidR="000B650E" w:rsidRPr="00E2771E" w:rsidTr="000B650E">
        <w:tc>
          <w:tcPr>
            <w:tcW w:w="1189" w:type="pct"/>
            <w:shd w:val="clear" w:color="auto" w:fill="auto"/>
            <w:vAlign w:val="center"/>
          </w:tcPr>
          <w:p w:rsidR="000B650E" w:rsidRPr="00E2771E" w:rsidRDefault="000B650E" w:rsidP="004377F9">
            <w:pPr>
              <w:keepNext/>
              <w:jc w:val="left"/>
              <w:rPr>
                <w:rFonts w:ascii="Arial Narrow" w:hAnsi="Arial Narrow"/>
                <w:sz w:val="20"/>
              </w:rPr>
            </w:pPr>
            <w:r w:rsidRPr="00E2771E">
              <w:rPr>
                <w:rFonts w:ascii="Arial Narrow" w:hAnsi="Arial Narrow"/>
                <w:sz w:val="20"/>
              </w:rPr>
              <w:t>Cycle length</w:t>
            </w:r>
          </w:p>
        </w:tc>
        <w:tc>
          <w:tcPr>
            <w:tcW w:w="3811" w:type="pct"/>
            <w:shd w:val="clear" w:color="auto" w:fill="auto"/>
            <w:vAlign w:val="center"/>
          </w:tcPr>
          <w:p w:rsidR="000B650E" w:rsidRPr="00E2771E" w:rsidRDefault="000B650E" w:rsidP="004377F9">
            <w:pPr>
              <w:keepNext/>
              <w:jc w:val="left"/>
              <w:rPr>
                <w:rFonts w:ascii="Arial Narrow" w:hAnsi="Arial Narrow"/>
                <w:sz w:val="20"/>
              </w:rPr>
            </w:pPr>
            <w:r>
              <w:rPr>
                <w:rFonts w:ascii="Arial Narrow" w:hAnsi="Arial Narrow"/>
                <w:sz w:val="20"/>
              </w:rPr>
              <w:t>3</w:t>
            </w:r>
            <w:r w:rsidRPr="00E2771E">
              <w:rPr>
                <w:rFonts w:ascii="Arial Narrow" w:hAnsi="Arial Narrow"/>
                <w:sz w:val="20"/>
              </w:rPr>
              <w:t xml:space="preserve"> weeks</w:t>
            </w:r>
          </w:p>
        </w:tc>
      </w:tr>
      <w:tr w:rsidR="000B650E" w:rsidRPr="00E2771E" w:rsidTr="000B650E">
        <w:tc>
          <w:tcPr>
            <w:tcW w:w="1189" w:type="pct"/>
            <w:shd w:val="clear" w:color="auto" w:fill="auto"/>
            <w:vAlign w:val="center"/>
          </w:tcPr>
          <w:p w:rsidR="000B650E" w:rsidRPr="00E2771E" w:rsidRDefault="000B650E" w:rsidP="004377F9">
            <w:pPr>
              <w:keepNext/>
              <w:jc w:val="left"/>
              <w:rPr>
                <w:rFonts w:ascii="Arial Narrow" w:hAnsi="Arial Narrow"/>
                <w:sz w:val="20"/>
              </w:rPr>
            </w:pPr>
            <w:r w:rsidRPr="00E2771E">
              <w:rPr>
                <w:rFonts w:ascii="Arial Narrow" w:hAnsi="Arial Narrow"/>
                <w:sz w:val="20"/>
              </w:rPr>
              <w:t>Transition probabilities</w:t>
            </w:r>
          </w:p>
        </w:tc>
        <w:tc>
          <w:tcPr>
            <w:tcW w:w="3811" w:type="pct"/>
            <w:shd w:val="clear" w:color="auto" w:fill="auto"/>
            <w:vAlign w:val="center"/>
          </w:tcPr>
          <w:p w:rsidR="000B650E" w:rsidRPr="00E2771E" w:rsidRDefault="000B650E" w:rsidP="004377F9">
            <w:pPr>
              <w:keepNext/>
              <w:jc w:val="left"/>
              <w:rPr>
                <w:rFonts w:ascii="Arial Narrow" w:hAnsi="Arial Narrow"/>
                <w:sz w:val="20"/>
              </w:rPr>
            </w:pPr>
            <w:r>
              <w:rPr>
                <w:rFonts w:ascii="Arial Narrow" w:hAnsi="Arial Narrow"/>
                <w:sz w:val="20"/>
              </w:rPr>
              <w:t>Weibull curves extrapolated from LUME Lung 1, and indirect comparison hazard ratio</w:t>
            </w:r>
          </w:p>
        </w:tc>
      </w:tr>
    </w:tbl>
    <w:p w:rsidR="000B650E" w:rsidRPr="00A56B6A" w:rsidRDefault="000B650E" w:rsidP="004377F9">
      <w:pPr>
        <w:pStyle w:val="TableFooter"/>
        <w:keepNext/>
        <w:ind w:left="709"/>
        <w:rPr>
          <w:sz w:val="20"/>
        </w:rPr>
      </w:pPr>
      <w:r w:rsidRPr="00A56B6A">
        <w:t>Source: compiled during the evaluation</w:t>
      </w:r>
      <w:r w:rsidR="003245FB">
        <w:t xml:space="preserve">. AE=adverse event; LYG=Life years gained, </w:t>
      </w:r>
      <w:proofErr w:type="spellStart"/>
      <w:r w:rsidR="003245FB">
        <w:t>PfLYG</w:t>
      </w:r>
      <w:proofErr w:type="spellEnd"/>
      <w:r w:rsidR="003245FB">
        <w:t>=</w:t>
      </w:r>
      <w:r>
        <w:t>progressi</w:t>
      </w:r>
      <w:r w:rsidR="003245FB">
        <w:t>on</w:t>
      </w:r>
      <w:r w:rsidR="005811DA">
        <w:t>-</w:t>
      </w:r>
      <w:r w:rsidR="003245FB">
        <w:t>free life years gained; QALY=</w:t>
      </w:r>
      <w:r>
        <w:t>quality-adjusted life years</w:t>
      </w:r>
    </w:p>
    <w:p w:rsidR="00275C5A" w:rsidRPr="00275C5A" w:rsidRDefault="00275C5A" w:rsidP="000B650E">
      <w:pPr>
        <w:widowControl/>
        <w:ind w:left="709"/>
        <w:rPr>
          <w:szCs w:val="22"/>
        </w:rPr>
      </w:pPr>
    </w:p>
    <w:p w:rsidR="00ED383C" w:rsidRPr="000E2641" w:rsidRDefault="00ED383C" w:rsidP="00EA0FDF">
      <w:pPr>
        <w:pStyle w:val="ListParagraph"/>
        <w:widowControl/>
        <w:numPr>
          <w:ilvl w:val="1"/>
          <w:numId w:val="4"/>
        </w:numPr>
        <w:rPr>
          <w:szCs w:val="22"/>
        </w:rPr>
      </w:pPr>
      <w:r w:rsidRPr="00E564DC">
        <w:rPr>
          <w:szCs w:val="22"/>
        </w:rPr>
        <w:t>The model extrapolated progression</w:t>
      </w:r>
      <w:r w:rsidR="005811DA">
        <w:rPr>
          <w:szCs w:val="22"/>
        </w:rPr>
        <w:t>-</w:t>
      </w:r>
      <w:r w:rsidRPr="00E564DC">
        <w:rPr>
          <w:szCs w:val="22"/>
        </w:rPr>
        <w:t xml:space="preserve">free survival and survival from Weibull curves for the </w:t>
      </w:r>
      <w:r w:rsidR="0002116F" w:rsidRPr="00E564DC">
        <w:rPr>
          <w:szCs w:val="22"/>
        </w:rPr>
        <w:t>entirety</w:t>
      </w:r>
      <w:r w:rsidRPr="00E564DC">
        <w:rPr>
          <w:szCs w:val="22"/>
        </w:rPr>
        <w:t xml:space="preserve"> of the model period, and not </w:t>
      </w:r>
      <w:r w:rsidR="001F65A2" w:rsidRPr="00E564DC">
        <w:rPr>
          <w:szCs w:val="22"/>
        </w:rPr>
        <w:t>a post-</w:t>
      </w:r>
      <w:r w:rsidRPr="00E564DC">
        <w:rPr>
          <w:szCs w:val="22"/>
        </w:rPr>
        <w:t xml:space="preserve">trial (post 43 month) extrapolation phase. </w:t>
      </w:r>
      <w:r w:rsidRPr="0084358A">
        <w:rPr>
          <w:szCs w:val="22"/>
        </w:rPr>
        <w:t xml:space="preserve">This application of </w:t>
      </w:r>
      <w:r w:rsidR="0002116F" w:rsidRPr="0084358A">
        <w:rPr>
          <w:szCs w:val="22"/>
        </w:rPr>
        <w:t>W</w:t>
      </w:r>
      <w:r w:rsidRPr="0084358A">
        <w:rPr>
          <w:szCs w:val="22"/>
        </w:rPr>
        <w:t>eibu</w:t>
      </w:r>
      <w:r w:rsidR="0094459D" w:rsidRPr="0084358A">
        <w:rPr>
          <w:szCs w:val="22"/>
        </w:rPr>
        <w:t>l</w:t>
      </w:r>
      <w:r w:rsidRPr="0084358A">
        <w:rPr>
          <w:szCs w:val="22"/>
        </w:rPr>
        <w:t>l curves favours nintedanib</w:t>
      </w:r>
      <w:r w:rsidR="00A20AAD" w:rsidRPr="0084358A">
        <w:rPr>
          <w:szCs w:val="22"/>
        </w:rPr>
        <w:t>.</w:t>
      </w:r>
      <w:r w:rsidR="00E564DC" w:rsidRPr="0084358A">
        <w:rPr>
          <w:szCs w:val="22"/>
        </w:rPr>
        <w:t xml:space="preserve"> G</w:t>
      </w:r>
      <w:r w:rsidR="00E564DC" w:rsidRPr="0084358A">
        <w:t>iven that the extrapolated treatment effect based on the Weibull survival function generated fewer</w:t>
      </w:r>
      <w:r w:rsidR="00721F27">
        <w:t xml:space="preserve"> progression-free</w:t>
      </w:r>
      <w:r w:rsidR="00E564DC" w:rsidRPr="0084358A">
        <w:t xml:space="preserve"> life years in the weighted comparator than what the trial-based Kaplan Meier estimates show patients to have actually lived, the Weibull extrapolation is likely unreasonable.</w:t>
      </w:r>
      <w:r w:rsidR="00A20AAD" w:rsidRPr="0084358A">
        <w:rPr>
          <w:szCs w:val="22"/>
        </w:rPr>
        <w:t xml:space="preserve"> If Kaplan </w:t>
      </w:r>
      <w:r w:rsidR="00A72772" w:rsidRPr="0084358A">
        <w:rPr>
          <w:szCs w:val="22"/>
        </w:rPr>
        <w:t xml:space="preserve">Meier </w:t>
      </w:r>
      <w:r w:rsidR="00A20AAD" w:rsidRPr="0084358A">
        <w:rPr>
          <w:szCs w:val="22"/>
        </w:rPr>
        <w:t xml:space="preserve">estimates </w:t>
      </w:r>
      <w:r w:rsidR="00A72772" w:rsidRPr="0084358A">
        <w:rPr>
          <w:szCs w:val="22"/>
        </w:rPr>
        <w:t xml:space="preserve">were </w:t>
      </w:r>
      <w:r w:rsidR="00A20AAD" w:rsidRPr="0084358A">
        <w:rPr>
          <w:szCs w:val="22"/>
        </w:rPr>
        <w:t xml:space="preserve">used for the trial period, the weighted comparator </w:t>
      </w:r>
      <w:r w:rsidR="00A72772" w:rsidRPr="0084358A">
        <w:rPr>
          <w:szCs w:val="22"/>
        </w:rPr>
        <w:t xml:space="preserve">would </w:t>
      </w:r>
      <w:r w:rsidR="00A20AAD" w:rsidRPr="0084358A">
        <w:rPr>
          <w:szCs w:val="22"/>
        </w:rPr>
        <w:t>no long</w:t>
      </w:r>
      <w:r w:rsidR="00A72772" w:rsidRPr="0084358A">
        <w:rPr>
          <w:szCs w:val="22"/>
        </w:rPr>
        <w:t>er be</w:t>
      </w:r>
      <w:r w:rsidR="00A20AAD" w:rsidRPr="0084358A">
        <w:rPr>
          <w:szCs w:val="22"/>
        </w:rPr>
        <w:t xml:space="preserve"> cost-saving.</w:t>
      </w:r>
      <w:r w:rsidR="0055058A" w:rsidRPr="0055058A">
        <w:rPr>
          <w:i/>
        </w:rPr>
        <w:t xml:space="preserve"> </w:t>
      </w:r>
      <w:r w:rsidR="001008A5" w:rsidRPr="000E2641">
        <w:t xml:space="preserve">The PSCR (p3) argued that Kaplan Meier survival data were not available for </w:t>
      </w:r>
      <w:proofErr w:type="spellStart"/>
      <w:r w:rsidR="001008A5" w:rsidRPr="000E2641">
        <w:t>pemetexed</w:t>
      </w:r>
      <w:proofErr w:type="spellEnd"/>
      <w:r w:rsidR="001008A5" w:rsidRPr="000E2641">
        <w:t xml:space="preserve"> and that Kaplan</w:t>
      </w:r>
      <w:r w:rsidR="00273293">
        <w:t xml:space="preserve"> </w:t>
      </w:r>
      <w:r w:rsidR="001008A5" w:rsidRPr="000E2641">
        <w:t>Meier analysis is not a proportional hazards model</w:t>
      </w:r>
      <w:r w:rsidR="004C58F2" w:rsidRPr="000E2641">
        <w:t>;</w:t>
      </w:r>
      <w:r w:rsidR="001008A5" w:rsidRPr="000E2641">
        <w:t xml:space="preserve"> </w:t>
      </w:r>
      <w:r w:rsidR="004C58F2" w:rsidRPr="000E2641">
        <w:t>i.e.</w:t>
      </w:r>
      <w:r w:rsidR="001008A5" w:rsidRPr="000E2641">
        <w:t xml:space="preserve"> the HR cannot be applied to the observed Kaplan Meier data for nintedanib plus docetaxel. </w:t>
      </w:r>
      <w:r w:rsidR="00530BD4" w:rsidRPr="000E2641">
        <w:t>However the ESC noted</w:t>
      </w:r>
      <w:r w:rsidR="00501958" w:rsidRPr="000E2641">
        <w:t xml:space="preserve"> </w:t>
      </w:r>
      <w:r w:rsidR="00530BD4" w:rsidRPr="000E2641">
        <w:t>that</w:t>
      </w:r>
      <w:r w:rsidR="00501958" w:rsidRPr="000E2641">
        <w:t xml:space="preserve"> </w:t>
      </w:r>
      <w:r w:rsidR="0055058A" w:rsidRPr="000E2641">
        <w:t>the resulting survival curve is</w:t>
      </w:r>
      <w:r w:rsidR="00501958" w:rsidRPr="000E2641">
        <w:t xml:space="preserve"> </w:t>
      </w:r>
      <w:r w:rsidR="00B2563D" w:rsidRPr="000E2641">
        <w:t>based</w:t>
      </w:r>
      <w:r w:rsidR="0055058A" w:rsidRPr="000E2641">
        <w:t xml:space="preserve"> on a hazard ratio point estimate, which is neither well supported by the evidence, nor consistent with the clinical claim of non-inferiority made by the submission. This issue is crucial because, even though the hazard ratio is higher than in the nintedanib versus docetaxel direct comparison, the model is weighted heavily towards the pemetrexed comparison (87%).</w:t>
      </w:r>
    </w:p>
    <w:p w:rsidR="00ED383C" w:rsidRPr="00ED383C" w:rsidRDefault="00ED383C" w:rsidP="00ED383C">
      <w:pPr>
        <w:pStyle w:val="ListParagraph"/>
        <w:widowControl/>
        <w:rPr>
          <w:szCs w:val="22"/>
        </w:rPr>
      </w:pPr>
    </w:p>
    <w:p w:rsidR="00275C5A" w:rsidRPr="000B650E" w:rsidRDefault="00D41996" w:rsidP="00EA0FDF">
      <w:pPr>
        <w:pStyle w:val="ListParagraph"/>
        <w:widowControl/>
        <w:numPr>
          <w:ilvl w:val="1"/>
          <w:numId w:val="4"/>
        </w:numPr>
        <w:rPr>
          <w:szCs w:val="22"/>
        </w:rPr>
      </w:pPr>
      <w:r>
        <w:t>The table below</w:t>
      </w:r>
      <w:r w:rsidR="00401B49">
        <w:t xml:space="preserve"> </w:t>
      </w:r>
      <w:r w:rsidR="000B650E" w:rsidRPr="000B650E">
        <w:t>presents</w:t>
      </w:r>
      <w:r w:rsidR="009D2CFA">
        <w:t xml:space="preserve"> a summary of</w:t>
      </w:r>
      <w:r w:rsidR="000B650E" w:rsidRPr="000B650E">
        <w:t xml:space="preserve"> the key drivers of the model</w:t>
      </w:r>
      <w:r>
        <w:t>.</w:t>
      </w:r>
    </w:p>
    <w:p w:rsidR="00275C5A" w:rsidRDefault="00275C5A" w:rsidP="00275C5A">
      <w:pPr>
        <w:widowControl/>
        <w:rPr>
          <w:szCs w:val="22"/>
        </w:rPr>
      </w:pPr>
    </w:p>
    <w:p w:rsidR="00D110BD" w:rsidRDefault="00D110BD" w:rsidP="009B148D">
      <w:pPr>
        <w:keepNext/>
        <w:ind w:firstLine="720"/>
        <w:rPr>
          <w:rStyle w:val="CommentReference"/>
        </w:rPr>
      </w:pPr>
      <w:r w:rsidRPr="00A56B6A">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Key drivers of the model"/>
        <w:tblDescription w:val="Table shows key drivers of the economic model (time horizon, extrapolation and weighting of comparators)."/>
      </w:tblPr>
      <w:tblGrid>
        <w:gridCol w:w="1659"/>
        <w:gridCol w:w="4102"/>
        <w:gridCol w:w="2584"/>
      </w:tblGrid>
      <w:tr w:rsidR="000B650E" w:rsidRPr="00E2771E" w:rsidTr="00583296">
        <w:trPr>
          <w:tblHeader/>
        </w:trPr>
        <w:tc>
          <w:tcPr>
            <w:tcW w:w="994" w:type="pct"/>
            <w:shd w:val="clear" w:color="auto" w:fill="auto"/>
            <w:vAlign w:val="center"/>
          </w:tcPr>
          <w:p w:rsidR="000B650E" w:rsidRPr="00E2771E" w:rsidRDefault="000B650E" w:rsidP="009B148D">
            <w:pPr>
              <w:keepNext/>
              <w:jc w:val="left"/>
              <w:rPr>
                <w:rFonts w:ascii="Arial Narrow" w:hAnsi="Arial Narrow"/>
                <w:b/>
                <w:sz w:val="20"/>
                <w:lang w:val="en-US"/>
              </w:rPr>
            </w:pPr>
            <w:r w:rsidRPr="00E2771E">
              <w:rPr>
                <w:rFonts w:ascii="Arial Narrow" w:hAnsi="Arial Narrow"/>
                <w:b/>
                <w:sz w:val="20"/>
                <w:lang w:val="en-US"/>
              </w:rPr>
              <w:t>Description</w:t>
            </w:r>
          </w:p>
        </w:tc>
        <w:tc>
          <w:tcPr>
            <w:tcW w:w="2458" w:type="pct"/>
            <w:shd w:val="clear" w:color="auto" w:fill="auto"/>
            <w:vAlign w:val="center"/>
          </w:tcPr>
          <w:p w:rsidR="000B650E" w:rsidRPr="00E2771E" w:rsidRDefault="000B650E" w:rsidP="009B148D">
            <w:pPr>
              <w:keepNext/>
              <w:jc w:val="center"/>
              <w:rPr>
                <w:rFonts w:ascii="Arial Narrow" w:hAnsi="Arial Narrow"/>
                <w:b/>
                <w:sz w:val="20"/>
                <w:lang w:val="en-US"/>
              </w:rPr>
            </w:pPr>
            <w:r w:rsidRPr="00E2771E">
              <w:rPr>
                <w:rFonts w:ascii="Arial Narrow" w:hAnsi="Arial Narrow"/>
                <w:b/>
                <w:sz w:val="20"/>
                <w:lang w:val="en-US"/>
              </w:rPr>
              <w:t>Method/Value</w:t>
            </w:r>
          </w:p>
        </w:tc>
        <w:tc>
          <w:tcPr>
            <w:tcW w:w="1548" w:type="pct"/>
            <w:shd w:val="clear" w:color="auto" w:fill="auto"/>
            <w:vAlign w:val="center"/>
          </w:tcPr>
          <w:p w:rsidR="000B650E" w:rsidRPr="00E2771E" w:rsidRDefault="000B650E" w:rsidP="009B148D">
            <w:pPr>
              <w:keepNext/>
              <w:jc w:val="center"/>
              <w:rPr>
                <w:rFonts w:ascii="Arial Narrow" w:hAnsi="Arial Narrow"/>
                <w:b/>
                <w:sz w:val="20"/>
                <w:lang w:val="en-US"/>
              </w:rPr>
            </w:pPr>
            <w:r w:rsidRPr="00E2771E">
              <w:rPr>
                <w:rFonts w:ascii="Arial Narrow" w:hAnsi="Arial Narrow"/>
                <w:b/>
                <w:sz w:val="20"/>
                <w:lang w:val="en-US"/>
              </w:rPr>
              <w:t>Impact</w:t>
            </w:r>
          </w:p>
        </w:tc>
      </w:tr>
      <w:tr w:rsidR="000B650E" w:rsidRPr="00E2771E" w:rsidTr="00583296">
        <w:tc>
          <w:tcPr>
            <w:tcW w:w="994" w:type="pct"/>
            <w:shd w:val="clear" w:color="auto" w:fill="auto"/>
            <w:vAlign w:val="center"/>
          </w:tcPr>
          <w:p w:rsidR="000B650E" w:rsidRPr="00E2771E" w:rsidRDefault="000B650E" w:rsidP="009B148D">
            <w:pPr>
              <w:keepNext/>
              <w:jc w:val="left"/>
              <w:rPr>
                <w:rFonts w:ascii="Arial Narrow" w:hAnsi="Arial Narrow"/>
                <w:sz w:val="20"/>
                <w:lang w:val="en-US"/>
              </w:rPr>
            </w:pPr>
            <w:r w:rsidRPr="00E2771E">
              <w:rPr>
                <w:rFonts w:ascii="Arial Narrow" w:hAnsi="Arial Narrow"/>
                <w:sz w:val="20"/>
                <w:lang w:val="en-US"/>
              </w:rPr>
              <w:t>Time horizon</w:t>
            </w:r>
          </w:p>
        </w:tc>
        <w:tc>
          <w:tcPr>
            <w:tcW w:w="2458" w:type="pct"/>
            <w:shd w:val="clear" w:color="auto" w:fill="auto"/>
            <w:vAlign w:val="center"/>
          </w:tcPr>
          <w:p w:rsidR="000B650E" w:rsidRPr="00E2771E" w:rsidRDefault="000B650E" w:rsidP="009B148D">
            <w:pPr>
              <w:keepNext/>
              <w:jc w:val="center"/>
              <w:rPr>
                <w:rFonts w:ascii="Arial Narrow" w:hAnsi="Arial Narrow"/>
                <w:sz w:val="20"/>
                <w:lang w:val="en-US"/>
              </w:rPr>
            </w:pPr>
            <w:r w:rsidRPr="00E2771E">
              <w:rPr>
                <w:rFonts w:ascii="Arial Narrow" w:hAnsi="Arial Narrow"/>
                <w:sz w:val="20"/>
                <w:lang w:val="en-US"/>
              </w:rPr>
              <w:t xml:space="preserve">5 years; assumed from </w:t>
            </w:r>
            <w:r>
              <w:rPr>
                <w:rFonts w:ascii="Arial Narrow" w:hAnsi="Arial Narrow"/>
                <w:sz w:val="20"/>
                <w:lang w:val="en-US"/>
              </w:rPr>
              <w:t>43 week</w:t>
            </w:r>
            <w:r w:rsidRPr="00E2771E">
              <w:rPr>
                <w:rFonts w:ascii="Arial Narrow" w:hAnsi="Arial Narrow"/>
                <w:sz w:val="20"/>
                <w:lang w:val="en-US"/>
              </w:rPr>
              <w:t xml:space="preserve"> trial duration</w:t>
            </w:r>
          </w:p>
        </w:tc>
        <w:tc>
          <w:tcPr>
            <w:tcW w:w="1548" w:type="pct"/>
            <w:shd w:val="clear" w:color="auto" w:fill="auto"/>
            <w:vAlign w:val="center"/>
          </w:tcPr>
          <w:p w:rsidR="000B650E" w:rsidRPr="00E2771E" w:rsidRDefault="000B650E" w:rsidP="009B148D">
            <w:pPr>
              <w:keepNext/>
              <w:jc w:val="center"/>
              <w:rPr>
                <w:rFonts w:ascii="Arial Narrow" w:hAnsi="Arial Narrow"/>
                <w:sz w:val="20"/>
                <w:lang w:val="en-US"/>
              </w:rPr>
            </w:pPr>
            <w:r>
              <w:rPr>
                <w:rFonts w:ascii="Arial Narrow" w:hAnsi="Arial Narrow"/>
                <w:sz w:val="20"/>
                <w:lang w:val="en-US"/>
              </w:rPr>
              <w:t>High,</w:t>
            </w:r>
            <w:r w:rsidRPr="00C964E3">
              <w:rPr>
                <w:rFonts w:ascii="Arial Narrow" w:hAnsi="Arial Narrow"/>
                <w:sz w:val="20"/>
              </w:rPr>
              <w:t xml:space="preserve"> favours </w:t>
            </w:r>
            <w:r w:rsidR="00064DEA" w:rsidRPr="00C964E3">
              <w:rPr>
                <w:rFonts w:ascii="Arial Narrow" w:hAnsi="Arial Narrow"/>
                <w:sz w:val="20"/>
              </w:rPr>
              <w:t>nintedanib</w:t>
            </w:r>
          </w:p>
        </w:tc>
      </w:tr>
      <w:tr w:rsidR="000B650E" w:rsidRPr="00E2771E" w:rsidTr="00583296">
        <w:tc>
          <w:tcPr>
            <w:tcW w:w="994" w:type="pct"/>
            <w:shd w:val="clear" w:color="auto" w:fill="auto"/>
            <w:vAlign w:val="center"/>
          </w:tcPr>
          <w:p w:rsidR="000B650E" w:rsidRPr="00E2771E" w:rsidRDefault="000B650E" w:rsidP="009B148D">
            <w:pPr>
              <w:keepNext/>
              <w:jc w:val="left"/>
              <w:rPr>
                <w:rFonts w:ascii="Arial Narrow" w:hAnsi="Arial Narrow"/>
                <w:sz w:val="20"/>
                <w:lang w:val="en-US"/>
              </w:rPr>
            </w:pPr>
            <w:r>
              <w:rPr>
                <w:rFonts w:ascii="Arial Narrow" w:hAnsi="Arial Narrow"/>
                <w:sz w:val="20"/>
                <w:lang w:val="en-US"/>
              </w:rPr>
              <w:t>Extrapolation</w:t>
            </w:r>
          </w:p>
        </w:tc>
        <w:tc>
          <w:tcPr>
            <w:tcW w:w="2458" w:type="pct"/>
            <w:shd w:val="clear" w:color="auto" w:fill="auto"/>
            <w:vAlign w:val="center"/>
          </w:tcPr>
          <w:p w:rsidR="000B650E" w:rsidRPr="00E2771E" w:rsidRDefault="000B650E" w:rsidP="009B148D">
            <w:pPr>
              <w:keepNext/>
              <w:jc w:val="center"/>
              <w:rPr>
                <w:rFonts w:ascii="Arial Narrow" w:hAnsi="Arial Narrow"/>
                <w:sz w:val="20"/>
                <w:lang w:val="en-US"/>
              </w:rPr>
            </w:pPr>
            <w:r>
              <w:rPr>
                <w:rFonts w:ascii="Arial Narrow" w:hAnsi="Arial Narrow"/>
                <w:sz w:val="20"/>
                <w:lang w:val="en-US"/>
              </w:rPr>
              <w:t>Weibull curves applied to entire model duration</w:t>
            </w:r>
          </w:p>
        </w:tc>
        <w:tc>
          <w:tcPr>
            <w:tcW w:w="1548" w:type="pct"/>
            <w:shd w:val="clear" w:color="auto" w:fill="auto"/>
            <w:vAlign w:val="center"/>
          </w:tcPr>
          <w:p w:rsidR="000B650E" w:rsidRPr="00E2771E" w:rsidRDefault="000B650E" w:rsidP="009B148D">
            <w:pPr>
              <w:keepNext/>
              <w:jc w:val="center"/>
              <w:rPr>
                <w:rFonts w:ascii="Arial Narrow" w:hAnsi="Arial Narrow"/>
                <w:sz w:val="20"/>
                <w:lang w:val="en-US"/>
              </w:rPr>
            </w:pPr>
            <w:r>
              <w:rPr>
                <w:rFonts w:ascii="Arial Narrow" w:hAnsi="Arial Narrow"/>
                <w:sz w:val="20"/>
                <w:lang w:val="en-US"/>
              </w:rPr>
              <w:t>High,</w:t>
            </w:r>
            <w:r w:rsidRPr="00C964E3">
              <w:rPr>
                <w:rFonts w:ascii="Arial Narrow" w:hAnsi="Arial Narrow"/>
                <w:sz w:val="20"/>
              </w:rPr>
              <w:t xml:space="preserve"> favours</w:t>
            </w:r>
            <w:r>
              <w:rPr>
                <w:rFonts w:ascii="Arial Narrow" w:hAnsi="Arial Narrow"/>
                <w:sz w:val="20"/>
                <w:lang w:val="en-US"/>
              </w:rPr>
              <w:t xml:space="preserve"> </w:t>
            </w:r>
            <w:r w:rsidR="00064DEA">
              <w:rPr>
                <w:rFonts w:ascii="Arial Narrow" w:hAnsi="Arial Narrow"/>
                <w:sz w:val="20"/>
                <w:lang w:val="en-US"/>
              </w:rPr>
              <w:t>nintedanib</w:t>
            </w:r>
          </w:p>
        </w:tc>
      </w:tr>
      <w:tr w:rsidR="00C22FEA" w:rsidRPr="00E2771E" w:rsidTr="00583296">
        <w:tc>
          <w:tcPr>
            <w:tcW w:w="994" w:type="pct"/>
            <w:shd w:val="clear" w:color="auto" w:fill="auto"/>
            <w:vAlign w:val="center"/>
          </w:tcPr>
          <w:p w:rsidR="00C22FEA" w:rsidRDefault="00C22FEA" w:rsidP="009B148D">
            <w:pPr>
              <w:keepNext/>
              <w:jc w:val="left"/>
              <w:rPr>
                <w:rFonts w:ascii="Arial Narrow" w:hAnsi="Arial Narrow"/>
                <w:sz w:val="20"/>
                <w:lang w:val="en-US"/>
              </w:rPr>
            </w:pPr>
            <w:r>
              <w:rPr>
                <w:rFonts w:ascii="Arial Narrow" w:hAnsi="Arial Narrow"/>
                <w:sz w:val="20"/>
                <w:lang w:val="en-US"/>
              </w:rPr>
              <w:t>Weighting of comparators</w:t>
            </w:r>
          </w:p>
        </w:tc>
        <w:tc>
          <w:tcPr>
            <w:tcW w:w="2458" w:type="pct"/>
            <w:shd w:val="clear" w:color="auto" w:fill="auto"/>
            <w:vAlign w:val="center"/>
          </w:tcPr>
          <w:p w:rsidR="00C22FEA" w:rsidRDefault="00C22FEA" w:rsidP="009B148D">
            <w:pPr>
              <w:keepNext/>
              <w:jc w:val="center"/>
              <w:rPr>
                <w:rFonts w:ascii="Arial Narrow" w:hAnsi="Arial Narrow"/>
                <w:sz w:val="20"/>
                <w:lang w:val="en-US"/>
              </w:rPr>
            </w:pPr>
            <w:r>
              <w:rPr>
                <w:rFonts w:ascii="Arial Narrow" w:hAnsi="Arial Narrow"/>
                <w:sz w:val="20"/>
                <w:lang w:val="en-US"/>
              </w:rPr>
              <w:t>Pemetrexed weighted at 87%</w:t>
            </w:r>
          </w:p>
        </w:tc>
        <w:tc>
          <w:tcPr>
            <w:tcW w:w="1548" w:type="pct"/>
            <w:shd w:val="clear" w:color="auto" w:fill="auto"/>
            <w:vAlign w:val="center"/>
          </w:tcPr>
          <w:p w:rsidR="00C22FEA" w:rsidRDefault="00C22FEA" w:rsidP="009B148D">
            <w:pPr>
              <w:keepNext/>
              <w:jc w:val="center"/>
              <w:rPr>
                <w:rFonts w:ascii="Arial Narrow" w:hAnsi="Arial Narrow"/>
                <w:sz w:val="20"/>
                <w:lang w:val="en-US"/>
              </w:rPr>
            </w:pPr>
            <w:r>
              <w:rPr>
                <w:rFonts w:ascii="Arial Narrow" w:hAnsi="Arial Narrow"/>
                <w:sz w:val="20"/>
                <w:lang w:val="en-US"/>
              </w:rPr>
              <w:t>High,</w:t>
            </w:r>
            <w:r w:rsidRPr="00C964E3">
              <w:rPr>
                <w:rFonts w:ascii="Arial Narrow" w:hAnsi="Arial Narrow"/>
                <w:sz w:val="20"/>
              </w:rPr>
              <w:t xml:space="preserve"> favours</w:t>
            </w:r>
            <w:r>
              <w:rPr>
                <w:rFonts w:ascii="Arial Narrow" w:hAnsi="Arial Narrow"/>
                <w:sz w:val="20"/>
                <w:lang w:val="en-US"/>
              </w:rPr>
              <w:t xml:space="preserve"> </w:t>
            </w:r>
            <w:r w:rsidR="00064DEA">
              <w:rPr>
                <w:rFonts w:ascii="Arial Narrow" w:hAnsi="Arial Narrow"/>
                <w:sz w:val="20"/>
                <w:lang w:val="en-US"/>
              </w:rPr>
              <w:t>nintedanib</w:t>
            </w:r>
          </w:p>
        </w:tc>
      </w:tr>
    </w:tbl>
    <w:p w:rsidR="00D110BD" w:rsidRPr="00D110BD" w:rsidRDefault="00D110BD" w:rsidP="005D044D">
      <w:pPr>
        <w:pStyle w:val="TableFooter"/>
        <w:ind w:firstLine="720"/>
      </w:pPr>
      <w:r w:rsidRPr="00D110BD">
        <w:t>Source: compiled during the evaluation</w:t>
      </w:r>
    </w:p>
    <w:p w:rsidR="00D110BD" w:rsidRPr="00275C5A" w:rsidRDefault="00D110BD" w:rsidP="00275C5A">
      <w:pPr>
        <w:widowControl/>
        <w:rPr>
          <w:szCs w:val="22"/>
        </w:rPr>
      </w:pPr>
    </w:p>
    <w:p w:rsidR="00275C5A" w:rsidRPr="00F072AD" w:rsidRDefault="00D41996" w:rsidP="00EA0FDF">
      <w:pPr>
        <w:pStyle w:val="ListParagraph"/>
        <w:widowControl/>
        <w:numPr>
          <w:ilvl w:val="1"/>
          <w:numId w:val="4"/>
        </w:numPr>
        <w:rPr>
          <w:szCs w:val="22"/>
        </w:rPr>
      </w:pPr>
      <w:r>
        <w:t xml:space="preserve">The </w:t>
      </w:r>
      <w:r w:rsidR="009D2CFA" w:rsidRPr="00F072AD">
        <w:t xml:space="preserve">results of the submission’s </w:t>
      </w:r>
      <w:r w:rsidR="00F072AD" w:rsidRPr="00F072AD">
        <w:t xml:space="preserve">stepped </w:t>
      </w:r>
      <w:r w:rsidR="009D2CFA" w:rsidRPr="00F072AD">
        <w:t>economic evaluation</w:t>
      </w:r>
      <w:r w:rsidR="00A20AAD">
        <w:t>, as well as final results for each comparator,</w:t>
      </w:r>
      <w:r>
        <w:t xml:space="preserve"> are provided in the </w:t>
      </w:r>
      <w:r w:rsidR="004377F9">
        <w:t xml:space="preserve">following </w:t>
      </w:r>
      <w:r>
        <w:t>table.</w:t>
      </w:r>
    </w:p>
    <w:p w:rsidR="00D110BD" w:rsidRDefault="00D110BD" w:rsidP="00D110BD">
      <w:pPr>
        <w:widowControl/>
        <w:rPr>
          <w:szCs w:val="22"/>
        </w:rPr>
      </w:pPr>
    </w:p>
    <w:p w:rsidR="00D110BD" w:rsidRDefault="00D110BD" w:rsidP="004377F9">
      <w:pPr>
        <w:keepNext/>
        <w:ind w:firstLine="720"/>
        <w:rPr>
          <w:rStyle w:val="CommentReference"/>
        </w:rPr>
      </w:pPr>
      <w:r w:rsidRPr="001222FC">
        <w:rPr>
          <w:rStyle w:val="CommentReference"/>
        </w:rPr>
        <w:lastRenderedPageBreak/>
        <w:t>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Results of the stepped economic evaluation"/>
        <w:tblDescription w:val="Table shows incremental cost/extra QALYs gained from stepped economic evaluation"/>
      </w:tblPr>
      <w:tblGrid>
        <w:gridCol w:w="1534"/>
        <w:gridCol w:w="2378"/>
        <w:gridCol w:w="2378"/>
        <w:gridCol w:w="2055"/>
      </w:tblGrid>
      <w:tr w:rsidR="00F072AD" w:rsidRPr="004E2ADC" w:rsidTr="00583296">
        <w:tc>
          <w:tcPr>
            <w:tcW w:w="919" w:type="pct"/>
            <w:vAlign w:val="center"/>
          </w:tcPr>
          <w:p w:rsidR="00F072AD" w:rsidRPr="004E2ADC" w:rsidRDefault="00F072AD" w:rsidP="004377F9">
            <w:pPr>
              <w:keepNext/>
              <w:jc w:val="left"/>
              <w:rPr>
                <w:rFonts w:ascii="Arial Narrow" w:hAnsi="Arial Narrow" w:cs="Times New Roman"/>
                <w:b/>
                <w:sz w:val="20"/>
              </w:rPr>
            </w:pPr>
            <w:r w:rsidRPr="004E2ADC">
              <w:rPr>
                <w:rFonts w:ascii="Arial Narrow" w:hAnsi="Arial Narrow" w:cs="Times New Roman"/>
                <w:b/>
                <w:sz w:val="20"/>
              </w:rPr>
              <w:t>Step and component</w:t>
            </w:r>
          </w:p>
        </w:tc>
        <w:tc>
          <w:tcPr>
            <w:tcW w:w="1425" w:type="pct"/>
            <w:vAlign w:val="center"/>
          </w:tcPr>
          <w:p w:rsidR="00F072AD" w:rsidRPr="004E2ADC" w:rsidRDefault="00F072AD" w:rsidP="004377F9">
            <w:pPr>
              <w:keepNext/>
              <w:jc w:val="center"/>
              <w:rPr>
                <w:rFonts w:ascii="Arial Narrow" w:hAnsi="Arial Narrow" w:cs="Times New Roman"/>
                <w:b/>
                <w:sz w:val="20"/>
              </w:rPr>
            </w:pPr>
            <w:r>
              <w:rPr>
                <w:rFonts w:ascii="Arial Narrow" w:hAnsi="Arial Narrow" w:cs="Times New Roman"/>
                <w:b/>
                <w:sz w:val="20"/>
              </w:rPr>
              <w:t>Nintedanib + docetaxel</w:t>
            </w:r>
          </w:p>
        </w:tc>
        <w:tc>
          <w:tcPr>
            <w:tcW w:w="1425" w:type="pct"/>
            <w:vAlign w:val="center"/>
          </w:tcPr>
          <w:p w:rsidR="00F072AD" w:rsidRPr="004E2ADC" w:rsidRDefault="00F072AD" w:rsidP="004377F9">
            <w:pPr>
              <w:keepNext/>
              <w:jc w:val="center"/>
              <w:rPr>
                <w:rFonts w:ascii="Arial Narrow" w:hAnsi="Arial Narrow" w:cs="Times New Roman"/>
                <w:b/>
                <w:sz w:val="20"/>
              </w:rPr>
            </w:pPr>
            <w:r>
              <w:rPr>
                <w:rFonts w:ascii="Arial Narrow" w:hAnsi="Arial Narrow" w:cs="Times New Roman"/>
                <w:b/>
                <w:sz w:val="20"/>
              </w:rPr>
              <w:t>Weighted comparator</w:t>
            </w:r>
          </w:p>
        </w:tc>
        <w:tc>
          <w:tcPr>
            <w:tcW w:w="1231" w:type="pct"/>
            <w:vAlign w:val="center"/>
          </w:tcPr>
          <w:p w:rsidR="00F072AD" w:rsidRPr="004E2ADC" w:rsidRDefault="00F072AD" w:rsidP="004377F9">
            <w:pPr>
              <w:keepNext/>
              <w:jc w:val="center"/>
              <w:rPr>
                <w:rFonts w:ascii="Arial Narrow" w:hAnsi="Arial Narrow" w:cs="Times New Roman"/>
                <w:b/>
                <w:sz w:val="20"/>
              </w:rPr>
            </w:pPr>
            <w:r w:rsidRPr="004E2ADC">
              <w:rPr>
                <w:rFonts w:ascii="Arial Narrow" w:hAnsi="Arial Narrow" w:cs="Times New Roman"/>
                <w:b/>
                <w:sz w:val="20"/>
              </w:rPr>
              <w:t>Increment</w:t>
            </w:r>
          </w:p>
        </w:tc>
      </w:tr>
      <w:tr w:rsidR="00F072AD" w:rsidRPr="004E2ADC" w:rsidTr="00583296">
        <w:tc>
          <w:tcPr>
            <w:tcW w:w="5000" w:type="pct"/>
            <w:gridSpan w:val="4"/>
            <w:vAlign w:val="center"/>
          </w:tcPr>
          <w:p w:rsidR="00F072AD" w:rsidRPr="004E2ADC" w:rsidRDefault="00F072AD" w:rsidP="004377F9">
            <w:pPr>
              <w:keepNext/>
              <w:jc w:val="left"/>
              <w:rPr>
                <w:rFonts w:ascii="Arial Narrow" w:hAnsi="Arial Narrow" w:cs="Arial Narrow"/>
                <w:b/>
                <w:bCs/>
                <w:sz w:val="20"/>
              </w:rPr>
            </w:pPr>
            <w:r w:rsidRPr="004E2ADC">
              <w:rPr>
                <w:rFonts w:ascii="Arial Narrow" w:hAnsi="Arial Narrow" w:cs="Arial Narrow"/>
                <w:b/>
                <w:bCs/>
                <w:sz w:val="20"/>
              </w:rPr>
              <w:t>Step 1: trial-based costs and outcomes</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sidRPr="004E2ADC">
              <w:rPr>
                <w:rFonts w:ascii="Arial Narrow" w:hAnsi="Arial Narrow" w:cs="Times New Roman"/>
                <w:sz w:val="20"/>
              </w:rPr>
              <w:t>Costs</w:t>
            </w:r>
          </w:p>
        </w:tc>
        <w:tc>
          <w:tcPr>
            <w:tcW w:w="1425"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$12,299.78</w:t>
            </w:r>
          </w:p>
        </w:tc>
        <w:tc>
          <w:tcPr>
            <w:tcW w:w="1231"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Pr>
                <w:rFonts w:ascii="Arial Narrow" w:hAnsi="Arial Narrow" w:cs="Times New Roman"/>
                <w:sz w:val="20"/>
              </w:rPr>
              <w:t>Progression-free LYG</w:t>
            </w:r>
          </w:p>
        </w:tc>
        <w:tc>
          <w:tcPr>
            <w:tcW w:w="1425"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0.39</w:t>
            </w:r>
          </w:p>
        </w:tc>
        <w:tc>
          <w:tcPr>
            <w:tcW w:w="1231"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Times New Roman"/>
                <w:b/>
                <w:snapToGrid/>
                <w:sz w:val="20"/>
              </w:rPr>
              <w:t>Incremental cost/</w:t>
            </w:r>
            <w:proofErr w:type="spellStart"/>
            <w:r w:rsidRPr="002B46E1">
              <w:rPr>
                <w:rFonts w:ascii="Arial Narrow" w:hAnsi="Arial Narrow" w:cs="Times New Roman"/>
                <w:b/>
                <w:snapToGrid/>
                <w:sz w:val="20"/>
              </w:rPr>
              <w:t>PfLYG</w:t>
            </w:r>
            <w:proofErr w:type="spellEnd"/>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Dominant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Pr>
                <w:rFonts w:ascii="Arial Narrow" w:hAnsi="Arial Narrow" w:cs="Times New Roman"/>
                <w:sz w:val="20"/>
              </w:rPr>
              <w:t>LYG</w:t>
            </w:r>
          </w:p>
        </w:tc>
        <w:tc>
          <w:tcPr>
            <w:tcW w:w="1425"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1.19</w:t>
            </w:r>
          </w:p>
        </w:tc>
        <w:tc>
          <w:tcPr>
            <w:tcW w:w="1231"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Times New Roman"/>
                <w:b/>
                <w:snapToGrid/>
                <w:sz w:val="20"/>
              </w:rPr>
              <w:t>Incremental cost/LYG</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Dominant</w:t>
            </w:r>
          </w:p>
        </w:tc>
      </w:tr>
      <w:tr w:rsidR="00F072AD" w:rsidRPr="004E2ADC" w:rsidTr="00583296">
        <w:tc>
          <w:tcPr>
            <w:tcW w:w="5000" w:type="pct"/>
            <w:gridSpan w:val="4"/>
            <w:vAlign w:val="center"/>
          </w:tcPr>
          <w:p w:rsidR="00F072AD" w:rsidRPr="002B46E1" w:rsidRDefault="00F072AD" w:rsidP="004377F9">
            <w:pPr>
              <w:keepNext/>
              <w:jc w:val="left"/>
              <w:rPr>
                <w:rFonts w:ascii="Arial Narrow" w:hAnsi="Arial Narrow" w:cs="Arial Narrow"/>
                <w:b/>
                <w:bCs/>
                <w:sz w:val="20"/>
              </w:rPr>
            </w:pPr>
            <w:r w:rsidRPr="002B46E1">
              <w:rPr>
                <w:rFonts w:ascii="Arial Narrow" w:hAnsi="Arial Narrow" w:cs="Arial Narrow"/>
                <w:b/>
                <w:bCs/>
                <w:sz w:val="20"/>
              </w:rPr>
              <w:t>Step 2: Incorporating costs of third line therapies and disease monitoring</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sidRPr="004E2ADC">
              <w:rPr>
                <w:rFonts w:ascii="Arial Narrow" w:hAnsi="Arial Narrow" w:cs="Times New Roman"/>
                <w:sz w:val="20"/>
              </w:rPr>
              <w:t>Costs</w:t>
            </w:r>
          </w:p>
        </w:tc>
        <w:tc>
          <w:tcPr>
            <w:tcW w:w="1425"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$27,413.21</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Pr>
                <w:rFonts w:ascii="Arial Narrow" w:hAnsi="Arial Narrow" w:cs="Times New Roman"/>
                <w:sz w:val="20"/>
              </w:rPr>
              <w:t>Progression-free LYG</w:t>
            </w:r>
          </w:p>
        </w:tc>
        <w:tc>
          <w:tcPr>
            <w:tcW w:w="1425"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0.39</w:t>
            </w:r>
          </w:p>
        </w:tc>
        <w:tc>
          <w:tcPr>
            <w:tcW w:w="1231"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Times New Roman"/>
                <w:b/>
                <w:snapToGrid/>
                <w:sz w:val="20"/>
              </w:rPr>
              <w:t>Incremental cost/</w:t>
            </w:r>
            <w:proofErr w:type="spellStart"/>
            <w:r w:rsidRPr="002B46E1">
              <w:rPr>
                <w:rFonts w:ascii="Arial Narrow" w:hAnsi="Arial Narrow" w:cs="Times New Roman"/>
                <w:b/>
                <w:snapToGrid/>
                <w:sz w:val="20"/>
              </w:rPr>
              <w:t>PfLYG</w:t>
            </w:r>
            <w:proofErr w:type="spellEnd"/>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Pr>
                <w:rFonts w:ascii="Arial Narrow" w:hAnsi="Arial Narrow" w:cs="Times New Roman"/>
                <w:sz w:val="20"/>
              </w:rPr>
              <w:t>LYG</w:t>
            </w:r>
          </w:p>
        </w:tc>
        <w:tc>
          <w:tcPr>
            <w:tcW w:w="1425"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1.19</w:t>
            </w:r>
          </w:p>
        </w:tc>
        <w:tc>
          <w:tcPr>
            <w:tcW w:w="1231"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Times New Roman"/>
                <w:b/>
                <w:snapToGrid/>
                <w:sz w:val="20"/>
              </w:rPr>
              <w:t>Incremental cost/LYG</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r>
      <w:tr w:rsidR="00F072AD" w:rsidRPr="004E2ADC" w:rsidTr="00583296">
        <w:tc>
          <w:tcPr>
            <w:tcW w:w="5000" w:type="pct"/>
            <w:gridSpan w:val="4"/>
            <w:vAlign w:val="center"/>
          </w:tcPr>
          <w:p w:rsidR="00F072AD" w:rsidRPr="002B46E1" w:rsidRDefault="00F072AD" w:rsidP="004377F9">
            <w:pPr>
              <w:keepNext/>
              <w:jc w:val="left"/>
              <w:rPr>
                <w:rFonts w:ascii="Arial Narrow" w:hAnsi="Arial Narrow" w:cs="Arial Narrow"/>
                <w:b/>
                <w:bCs/>
                <w:sz w:val="20"/>
              </w:rPr>
            </w:pPr>
            <w:r w:rsidRPr="002B46E1">
              <w:rPr>
                <w:rFonts w:ascii="Arial Narrow" w:hAnsi="Arial Narrow" w:cs="Arial Narrow"/>
                <w:b/>
                <w:bCs/>
                <w:sz w:val="20"/>
              </w:rPr>
              <w:t>Step 3: extrapolation to 5 years</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sidRPr="004E2ADC">
              <w:rPr>
                <w:rFonts w:ascii="Arial Narrow" w:hAnsi="Arial Narrow" w:cs="Times New Roman"/>
                <w:sz w:val="20"/>
              </w:rPr>
              <w:t>Costs</w:t>
            </w:r>
          </w:p>
        </w:tc>
        <w:tc>
          <w:tcPr>
            <w:tcW w:w="1425"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$27,977.67</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Pr>
                <w:rFonts w:ascii="Arial Narrow" w:hAnsi="Arial Narrow" w:cs="Times New Roman"/>
                <w:sz w:val="20"/>
              </w:rPr>
              <w:t>Progression-free LYG</w:t>
            </w:r>
          </w:p>
        </w:tc>
        <w:tc>
          <w:tcPr>
            <w:tcW w:w="1425"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0.38</w:t>
            </w:r>
          </w:p>
        </w:tc>
        <w:tc>
          <w:tcPr>
            <w:tcW w:w="1231"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Times New Roman"/>
                <w:b/>
                <w:snapToGrid/>
                <w:sz w:val="20"/>
              </w:rPr>
              <w:t>Incremental cost/</w:t>
            </w:r>
            <w:proofErr w:type="spellStart"/>
            <w:r w:rsidRPr="002B46E1">
              <w:rPr>
                <w:rFonts w:ascii="Arial Narrow" w:hAnsi="Arial Narrow" w:cs="Times New Roman"/>
                <w:b/>
                <w:snapToGrid/>
                <w:sz w:val="20"/>
              </w:rPr>
              <w:t>PfLYG</w:t>
            </w:r>
            <w:proofErr w:type="spellEnd"/>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Dominant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r>
              <w:rPr>
                <w:rFonts w:ascii="Arial Narrow" w:hAnsi="Arial Narrow" w:cs="Times New Roman"/>
                <w:sz w:val="20"/>
              </w:rPr>
              <w:t>LYG</w:t>
            </w:r>
          </w:p>
        </w:tc>
        <w:tc>
          <w:tcPr>
            <w:tcW w:w="1425" w:type="pct"/>
            <w:vAlign w:val="center"/>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1.22</w:t>
            </w:r>
          </w:p>
        </w:tc>
        <w:tc>
          <w:tcPr>
            <w:tcW w:w="1231"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Times New Roman"/>
                <w:b/>
                <w:snapToGrid/>
                <w:sz w:val="20"/>
              </w:rPr>
              <w:t>Incremental cost/LYG</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Dominant</w:t>
            </w:r>
          </w:p>
        </w:tc>
      </w:tr>
      <w:tr w:rsidR="00F072AD" w:rsidRPr="004E2ADC" w:rsidTr="00583296">
        <w:tc>
          <w:tcPr>
            <w:tcW w:w="5000" w:type="pct"/>
            <w:gridSpan w:val="4"/>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Arial Narrow"/>
                <w:b/>
                <w:bCs/>
                <w:sz w:val="20"/>
              </w:rPr>
              <w:t>Step 4: Transformation to utilities vs. docetaxel</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p>
        </w:tc>
        <w:tc>
          <w:tcPr>
            <w:tcW w:w="1425" w:type="pct"/>
          </w:tcPr>
          <w:p w:rsidR="00F072AD" w:rsidRPr="002B46E1" w:rsidRDefault="00F072AD" w:rsidP="004377F9">
            <w:pPr>
              <w:keepNext/>
              <w:jc w:val="center"/>
              <w:rPr>
                <w:rFonts w:ascii="Arial Narrow" w:hAnsi="Arial Narrow" w:cs="Times New Roman"/>
                <w:b/>
                <w:sz w:val="20"/>
              </w:rPr>
            </w:pPr>
            <w:r w:rsidRPr="002B46E1">
              <w:rPr>
                <w:rFonts w:ascii="Arial Narrow" w:hAnsi="Arial Narrow" w:cs="Times New Roman"/>
                <w:b/>
                <w:sz w:val="20"/>
              </w:rPr>
              <w:t>Nintedanib + docetaxel</w:t>
            </w:r>
          </w:p>
        </w:tc>
        <w:tc>
          <w:tcPr>
            <w:tcW w:w="1425" w:type="pct"/>
            <w:vAlign w:val="center"/>
          </w:tcPr>
          <w:p w:rsidR="00F072AD" w:rsidRPr="002B46E1" w:rsidRDefault="00F072AD" w:rsidP="004377F9">
            <w:pPr>
              <w:keepNext/>
              <w:jc w:val="center"/>
              <w:rPr>
                <w:rFonts w:ascii="Arial Narrow" w:hAnsi="Arial Narrow" w:cs="Times New Roman"/>
                <w:b/>
                <w:sz w:val="20"/>
              </w:rPr>
            </w:pPr>
            <w:r w:rsidRPr="002B46E1">
              <w:rPr>
                <w:rFonts w:ascii="Arial Narrow" w:hAnsi="Arial Narrow" w:cs="Times New Roman"/>
                <w:b/>
                <w:sz w:val="20"/>
              </w:rPr>
              <w:t>Docetaxel</w:t>
            </w:r>
          </w:p>
        </w:tc>
        <w:tc>
          <w:tcPr>
            <w:tcW w:w="1231" w:type="pct"/>
          </w:tcPr>
          <w:p w:rsidR="00F072AD" w:rsidRPr="002B46E1" w:rsidRDefault="00F072AD" w:rsidP="004377F9">
            <w:pPr>
              <w:keepNext/>
              <w:jc w:val="center"/>
              <w:rPr>
                <w:rFonts w:ascii="Arial Narrow" w:hAnsi="Arial Narrow" w:cs="Times New Roman"/>
                <w:sz w:val="20"/>
              </w:rPr>
            </w:pP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b/>
                <w:snapToGrid/>
                <w:sz w:val="20"/>
              </w:rPr>
            </w:pPr>
            <w:r w:rsidRPr="004E2ADC">
              <w:rPr>
                <w:rFonts w:ascii="Arial Narrow" w:hAnsi="Arial Narrow" w:cs="Times New Roman"/>
                <w:sz w:val="20"/>
              </w:rPr>
              <w:t>Costs</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bCs/>
                <w:color w:val="000000"/>
                <w:sz w:val="20"/>
              </w:rPr>
              <w:t>$</w:t>
            </w:r>
            <w:r w:rsidR="00B3432C">
              <w:rPr>
                <w:rFonts w:ascii="Arial Narrow" w:hAnsi="Arial Narrow"/>
                <w:bCs/>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bCs/>
                <w:color w:val="000000"/>
                <w:sz w:val="20"/>
              </w:rPr>
              <w:t>$17,777.99</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sz w:val="20"/>
              </w:rPr>
              <w:t>$</w:t>
            </w:r>
            <w:r w:rsidR="00B3432C">
              <w:rPr>
                <w:rFonts w:ascii="Arial Narrow" w:hAnsi="Arial Narrow"/>
                <w:noProof/>
                <w:color w:val="000000"/>
                <w:sz w:val="20"/>
                <w:highlight w:val="black"/>
              </w:rPr>
              <w: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b/>
                <w:snapToGrid/>
                <w:sz w:val="20"/>
              </w:rPr>
            </w:pPr>
            <w:r>
              <w:rPr>
                <w:rFonts w:ascii="Arial Narrow" w:hAnsi="Arial Narrow" w:cs="Times New Roman"/>
                <w:sz w:val="20"/>
              </w:rPr>
              <w:t>QALYS</w:t>
            </w:r>
          </w:p>
        </w:tc>
        <w:tc>
          <w:tcPr>
            <w:tcW w:w="1425" w:type="pct"/>
          </w:tcPr>
          <w:p w:rsidR="00F072AD" w:rsidRPr="00B3432C" w:rsidRDefault="00B3432C" w:rsidP="004377F9">
            <w:pPr>
              <w:keepNext/>
              <w:tabs>
                <w:tab w:val="left" w:pos="978"/>
                <w:tab w:val="center" w:pos="1153"/>
              </w:tab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0.66</w:t>
            </w:r>
          </w:p>
        </w:tc>
        <w:tc>
          <w:tcPr>
            <w:tcW w:w="1231"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Times New Roman"/>
                <w:b/>
                <w:sz w:val="20"/>
              </w:rPr>
              <w:t>Incremental cost/extra QALYs gained</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r>
      <w:tr w:rsidR="00F072AD" w:rsidRPr="004E2ADC" w:rsidTr="00583296">
        <w:tc>
          <w:tcPr>
            <w:tcW w:w="5000" w:type="pct"/>
            <w:gridSpan w:val="4"/>
            <w:vAlign w:val="center"/>
          </w:tcPr>
          <w:p w:rsidR="00F072AD" w:rsidRPr="002B46E1" w:rsidRDefault="00F072AD" w:rsidP="004377F9">
            <w:pPr>
              <w:keepNext/>
              <w:jc w:val="left"/>
              <w:rPr>
                <w:rFonts w:ascii="Arial Narrow" w:hAnsi="Arial Narrow" w:cs="Times New Roman"/>
                <w:b/>
                <w:sz w:val="20"/>
              </w:rPr>
            </w:pPr>
            <w:r w:rsidRPr="002B46E1">
              <w:rPr>
                <w:rFonts w:ascii="Arial Narrow" w:hAnsi="Arial Narrow" w:cs="Arial Narrow"/>
                <w:b/>
                <w:bCs/>
                <w:sz w:val="20"/>
              </w:rPr>
              <w:t>Step 4: Transformation to utilities vs. pemetrexed</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p>
        </w:tc>
        <w:tc>
          <w:tcPr>
            <w:tcW w:w="1425" w:type="pct"/>
          </w:tcPr>
          <w:p w:rsidR="00F072AD" w:rsidRPr="002B46E1" w:rsidRDefault="00F072AD" w:rsidP="004377F9">
            <w:pPr>
              <w:keepNext/>
              <w:jc w:val="center"/>
              <w:rPr>
                <w:rFonts w:ascii="Arial Narrow" w:hAnsi="Arial Narrow" w:cs="Times New Roman"/>
                <w:b/>
                <w:sz w:val="20"/>
              </w:rPr>
            </w:pPr>
            <w:r w:rsidRPr="002B46E1">
              <w:rPr>
                <w:rFonts w:ascii="Arial Narrow" w:hAnsi="Arial Narrow" w:cs="Times New Roman"/>
                <w:b/>
                <w:sz w:val="20"/>
              </w:rPr>
              <w:t>Nintedanib + docetaxel</w:t>
            </w:r>
          </w:p>
        </w:tc>
        <w:tc>
          <w:tcPr>
            <w:tcW w:w="1425" w:type="pct"/>
            <w:vAlign w:val="center"/>
          </w:tcPr>
          <w:p w:rsidR="00F072AD" w:rsidRPr="002B46E1" w:rsidRDefault="00F072AD" w:rsidP="004377F9">
            <w:pPr>
              <w:keepNext/>
              <w:jc w:val="center"/>
              <w:rPr>
                <w:rFonts w:ascii="Arial Narrow" w:hAnsi="Arial Narrow" w:cs="Times New Roman"/>
                <w:b/>
                <w:sz w:val="20"/>
              </w:rPr>
            </w:pPr>
            <w:r w:rsidRPr="002B46E1">
              <w:rPr>
                <w:rFonts w:ascii="Arial Narrow" w:hAnsi="Arial Narrow" w:cs="Times New Roman"/>
                <w:b/>
                <w:sz w:val="20"/>
              </w:rPr>
              <w:t>Pemetrexed</w:t>
            </w:r>
          </w:p>
        </w:tc>
        <w:tc>
          <w:tcPr>
            <w:tcW w:w="1231" w:type="pct"/>
          </w:tcPr>
          <w:p w:rsidR="00F072AD" w:rsidRPr="002B46E1" w:rsidRDefault="00F072AD" w:rsidP="004377F9">
            <w:pPr>
              <w:keepNext/>
              <w:jc w:val="center"/>
              <w:rPr>
                <w:rFonts w:ascii="Arial Narrow" w:hAnsi="Arial Narrow" w:cs="Times New Roman"/>
                <w:sz w:val="20"/>
              </w:rPr>
            </w:pP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b/>
                <w:snapToGrid/>
                <w:sz w:val="20"/>
              </w:rPr>
            </w:pPr>
            <w:r w:rsidRPr="004E2ADC">
              <w:rPr>
                <w:rFonts w:ascii="Arial Narrow" w:hAnsi="Arial Narrow" w:cs="Times New Roman"/>
                <w:sz w:val="20"/>
              </w:rPr>
              <w:t>Costs</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bCs/>
                <w:color w:val="000000"/>
                <w:sz w:val="20"/>
              </w:rPr>
              <w:t>$</w:t>
            </w:r>
            <w:r w:rsidR="00B3432C">
              <w:rPr>
                <w:rFonts w:ascii="Arial Narrow" w:hAnsi="Arial Narrow"/>
                <w:bCs/>
                <w:noProof/>
                <w:color w:val="000000"/>
                <w:sz w:val="20"/>
                <w:highlight w:val="black"/>
              </w:rPr>
              <w:t>''''''''''''''''''''''</w:t>
            </w:r>
          </w:p>
        </w:tc>
        <w:tc>
          <w:tcPr>
            <w:tcW w:w="1425" w:type="pct"/>
            <w:vAlign w:val="center"/>
          </w:tcPr>
          <w:p w:rsidR="00F072AD" w:rsidRPr="002B46E1" w:rsidRDefault="00F072AD" w:rsidP="004377F9">
            <w:pPr>
              <w:keepNext/>
              <w:widowControl/>
              <w:jc w:val="center"/>
              <w:rPr>
                <w:rFonts w:ascii="Arial Narrow" w:hAnsi="Arial Narrow"/>
                <w:bCs/>
                <w:snapToGrid/>
                <w:color w:val="000000"/>
                <w:sz w:val="20"/>
                <w:lang w:eastAsia="en-AU"/>
              </w:rPr>
            </w:pPr>
            <w:r w:rsidRPr="002B46E1">
              <w:rPr>
                <w:rFonts w:ascii="Arial Narrow" w:hAnsi="Arial Narrow"/>
                <w:bCs/>
                <w:color w:val="000000"/>
                <w:sz w:val="20"/>
              </w:rPr>
              <w:t>$29,510.02</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sz w:val="20"/>
              </w:rPr>
              <w:t>-$</w:t>
            </w:r>
            <w:r w:rsidR="00B3432C">
              <w:rPr>
                <w:rFonts w:ascii="Arial Narrow" w:hAnsi="Arial Narrow"/>
                <w:noProof/>
                <w:color w:val="000000"/>
                <w:sz w:val="20"/>
                <w:highlight w:val="black"/>
              </w:rPr>
              <w: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b/>
                <w:snapToGrid/>
                <w:sz w:val="20"/>
              </w:rPr>
            </w:pPr>
            <w:r>
              <w:rPr>
                <w:rFonts w:ascii="Arial Narrow" w:hAnsi="Arial Narrow" w:cs="Times New Roman"/>
                <w:sz w:val="20"/>
              </w:rPr>
              <w:t>QALYS</w:t>
            </w:r>
          </w:p>
        </w:tc>
        <w:tc>
          <w:tcPr>
            <w:tcW w:w="1425"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0.69</w:t>
            </w:r>
          </w:p>
        </w:tc>
        <w:tc>
          <w:tcPr>
            <w:tcW w:w="1231"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2B46E1" w:rsidRDefault="00F072AD" w:rsidP="004377F9">
            <w:pPr>
              <w:keepNext/>
              <w:jc w:val="left"/>
              <w:rPr>
                <w:rFonts w:ascii="Arial Narrow" w:hAnsi="Arial Narrow" w:cs="Times New Roman"/>
                <w:b/>
                <w:sz w:val="20"/>
              </w:rPr>
            </w:pPr>
            <w:r w:rsidRPr="002B46E1">
              <w:rPr>
                <w:rFonts w:ascii="Arial Narrow" w:hAnsi="Arial Narrow" w:cs="Times New Roman"/>
                <w:b/>
                <w:sz w:val="20"/>
              </w:rPr>
              <w:t>Incremental cost/extra QALYs gained</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Dominant</w:t>
            </w:r>
          </w:p>
        </w:tc>
      </w:tr>
      <w:tr w:rsidR="00F072AD" w:rsidRPr="004E2ADC" w:rsidTr="00583296">
        <w:tc>
          <w:tcPr>
            <w:tcW w:w="5000" w:type="pct"/>
            <w:gridSpan w:val="4"/>
            <w:vAlign w:val="center"/>
          </w:tcPr>
          <w:p w:rsidR="00F072AD" w:rsidRPr="002B46E1" w:rsidRDefault="00F072AD" w:rsidP="004377F9">
            <w:pPr>
              <w:keepNext/>
              <w:jc w:val="left"/>
              <w:rPr>
                <w:rFonts w:ascii="Arial Narrow" w:hAnsi="Arial Narrow" w:cs="Times New Roman"/>
                <w:sz w:val="20"/>
              </w:rPr>
            </w:pPr>
            <w:r w:rsidRPr="002B46E1">
              <w:rPr>
                <w:rFonts w:ascii="Arial Narrow" w:hAnsi="Arial Narrow" w:cs="Arial Narrow"/>
                <w:b/>
                <w:bCs/>
                <w:sz w:val="20"/>
              </w:rPr>
              <w:t>Step 4: Transformation to utilities vs. weighted comparator (13% docetaxel; 87% pemetrexed)</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sz w:val="20"/>
              </w:rPr>
            </w:pPr>
          </w:p>
        </w:tc>
        <w:tc>
          <w:tcPr>
            <w:tcW w:w="1425" w:type="pct"/>
          </w:tcPr>
          <w:p w:rsidR="00F072AD" w:rsidRPr="002B46E1" w:rsidRDefault="00F072AD" w:rsidP="004377F9">
            <w:pPr>
              <w:keepNext/>
              <w:jc w:val="center"/>
              <w:rPr>
                <w:rFonts w:ascii="Arial Narrow" w:hAnsi="Arial Narrow" w:cs="Times New Roman"/>
                <w:b/>
                <w:sz w:val="20"/>
              </w:rPr>
            </w:pPr>
            <w:r w:rsidRPr="002B46E1">
              <w:rPr>
                <w:rFonts w:ascii="Arial Narrow" w:hAnsi="Arial Narrow" w:cs="Times New Roman"/>
                <w:b/>
                <w:sz w:val="20"/>
              </w:rPr>
              <w:t>Nintedanib + docetaxel</w:t>
            </w:r>
          </w:p>
        </w:tc>
        <w:tc>
          <w:tcPr>
            <w:tcW w:w="1425" w:type="pct"/>
            <w:vAlign w:val="center"/>
          </w:tcPr>
          <w:p w:rsidR="00F072AD" w:rsidRPr="002B46E1" w:rsidRDefault="00F072AD" w:rsidP="004377F9">
            <w:pPr>
              <w:keepNext/>
              <w:jc w:val="center"/>
              <w:rPr>
                <w:rFonts w:ascii="Arial Narrow" w:hAnsi="Arial Narrow" w:cs="Times New Roman"/>
                <w:b/>
                <w:sz w:val="20"/>
              </w:rPr>
            </w:pPr>
            <w:r w:rsidRPr="002B46E1">
              <w:rPr>
                <w:rFonts w:ascii="Arial Narrow" w:hAnsi="Arial Narrow" w:cs="Times New Roman"/>
                <w:b/>
                <w:sz w:val="20"/>
              </w:rPr>
              <w:t>Weighted comparator</w:t>
            </w:r>
          </w:p>
        </w:tc>
        <w:tc>
          <w:tcPr>
            <w:tcW w:w="1231" w:type="pct"/>
          </w:tcPr>
          <w:p w:rsidR="00F072AD" w:rsidRPr="002B46E1" w:rsidRDefault="00F072AD" w:rsidP="004377F9">
            <w:pPr>
              <w:keepNext/>
              <w:jc w:val="center"/>
              <w:rPr>
                <w:rFonts w:ascii="Arial Narrow" w:hAnsi="Arial Narrow" w:cs="Times New Roman"/>
                <w:sz w:val="20"/>
              </w:rPr>
            </w:pP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b/>
                <w:snapToGrid/>
                <w:sz w:val="20"/>
              </w:rPr>
            </w:pPr>
            <w:r w:rsidRPr="004E2ADC">
              <w:rPr>
                <w:rFonts w:ascii="Arial Narrow" w:hAnsi="Arial Narrow" w:cs="Times New Roman"/>
                <w:sz w:val="20"/>
              </w:rPr>
              <w:t>Costs</w:t>
            </w:r>
          </w:p>
        </w:tc>
        <w:tc>
          <w:tcPr>
            <w:tcW w:w="1425"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c>
          <w:tcPr>
            <w:tcW w:w="1425" w:type="pct"/>
            <w:vAlign w:val="center"/>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$27,977.67</w:t>
            </w:r>
          </w:p>
        </w:tc>
        <w:tc>
          <w:tcPr>
            <w:tcW w:w="1231" w:type="pct"/>
          </w:tcPr>
          <w:p w:rsidR="00F072AD" w:rsidRPr="002B46E1" w:rsidRDefault="00F072AD" w:rsidP="004377F9">
            <w:pPr>
              <w:keepNext/>
              <w:jc w:val="center"/>
              <w:rPr>
                <w:rFonts w:ascii="Arial Narrow" w:hAnsi="Arial Narrow" w:cs="Times New Roman"/>
                <w:sz w:val="20"/>
              </w:rPr>
            </w:pPr>
            <w:r w:rsidRPr="002B46E1">
              <w:rPr>
                <w:rFonts w:ascii="Arial Narrow" w:hAnsi="Arial Narrow" w:cs="Times New Roman"/>
                <w:sz w:val="20"/>
              </w:rPr>
              <w:t>-$</w:t>
            </w:r>
            <w:r w:rsidR="00B3432C">
              <w:rPr>
                <w:rFonts w:ascii="Arial Narrow" w:hAnsi="Arial Narrow" w:cs="Times New Roman"/>
                <w:noProof/>
                <w:color w:val="000000"/>
                <w:sz w:val="20"/>
                <w:highlight w:val="black"/>
              </w:rPr>
              <w:t>'''''''''''''''''</w:t>
            </w:r>
          </w:p>
        </w:tc>
      </w:tr>
      <w:tr w:rsidR="00F072AD" w:rsidRPr="004E2ADC" w:rsidTr="00583296">
        <w:tc>
          <w:tcPr>
            <w:tcW w:w="919" w:type="pct"/>
            <w:vAlign w:val="center"/>
          </w:tcPr>
          <w:p w:rsidR="00F072AD" w:rsidRPr="004E2ADC" w:rsidRDefault="00F072AD" w:rsidP="004377F9">
            <w:pPr>
              <w:keepNext/>
              <w:jc w:val="left"/>
              <w:rPr>
                <w:rFonts w:ascii="Arial Narrow" w:hAnsi="Arial Narrow" w:cs="Times New Roman"/>
                <w:b/>
                <w:snapToGrid/>
                <w:sz w:val="20"/>
              </w:rPr>
            </w:pPr>
            <w:r>
              <w:rPr>
                <w:rFonts w:ascii="Arial Narrow" w:hAnsi="Arial Narrow" w:cs="Times New Roman"/>
                <w:sz w:val="20"/>
              </w:rPr>
              <w:t>QALYS</w:t>
            </w:r>
          </w:p>
        </w:tc>
        <w:tc>
          <w:tcPr>
            <w:tcW w:w="1425"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5" w:type="pct"/>
            <w:vAlign w:val="center"/>
          </w:tcPr>
          <w:p w:rsidR="00F072AD" w:rsidRPr="004E2ADC" w:rsidRDefault="00F072AD" w:rsidP="004377F9">
            <w:pPr>
              <w:keepNext/>
              <w:jc w:val="center"/>
              <w:rPr>
                <w:rFonts w:ascii="Arial Narrow" w:hAnsi="Arial Narrow" w:cs="Times New Roman"/>
                <w:sz w:val="20"/>
              </w:rPr>
            </w:pPr>
            <w:r>
              <w:rPr>
                <w:rFonts w:ascii="Arial Narrow" w:hAnsi="Arial Narrow" w:cs="Times New Roman"/>
                <w:sz w:val="20"/>
              </w:rPr>
              <w:t>0.69</w:t>
            </w:r>
          </w:p>
        </w:tc>
        <w:tc>
          <w:tcPr>
            <w:tcW w:w="1231" w:type="pct"/>
          </w:tcPr>
          <w:p w:rsidR="00F072AD" w:rsidRPr="00B3432C" w:rsidRDefault="00B3432C" w:rsidP="004377F9">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072AD" w:rsidRPr="004E2ADC" w:rsidTr="00583296">
        <w:tc>
          <w:tcPr>
            <w:tcW w:w="3769" w:type="pct"/>
            <w:gridSpan w:val="3"/>
            <w:vAlign w:val="center"/>
          </w:tcPr>
          <w:p w:rsidR="00F072AD" w:rsidRPr="004E2ADC" w:rsidRDefault="00F072AD" w:rsidP="004377F9">
            <w:pPr>
              <w:keepNext/>
              <w:jc w:val="left"/>
              <w:rPr>
                <w:rFonts w:ascii="Arial Narrow" w:hAnsi="Arial Narrow" w:cs="Times New Roman"/>
                <w:b/>
                <w:sz w:val="20"/>
              </w:rPr>
            </w:pPr>
            <w:r w:rsidRPr="004E2ADC">
              <w:rPr>
                <w:rFonts w:ascii="Arial Narrow" w:hAnsi="Arial Narrow" w:cs="Times New Roman"/>
                <w:b/>
                <w:sz w:val="20"/>
              </w:rPr>
              <w:t xml:space="preserve">Incremental cost/extra </w:t>
            </w:r>
            <w:r>
              <w:rPr>
                <w:rFonts w:ascii="Arial Narrow" w:hAnsi="Arial Narrow" w:cs="Times New Roman"/>
                <w:b/>
                <w:sz w:val="20"/>
              </w:rPr>
              <w:t>QALYs</w:t>
            </w:r>
            <w:r w:rsidRPr="004E2ADC">
              <w:rPr>
                <w:rFonts w:ascii="Arial Narrow" w:hAnsi="Arial Narrow" w:cs="Times New Roman"/>
                <w:b/>
                <w:sz w:val="20"/>
              </w:rPr>
              <w:t xml:space="preserve"> gained</w:t>
            </w:r>
          </w:p>
        </w:tc>
        <w:tc>
          <w:tcPr>
            <w:tcW w:w="1231" w:type="pct"/>
          </w:tcPr>
          <w:p w:rsidR="00F072AD" w:rsidRPr="004E2ADC" w:rsidRDefault="00F072AD" w:rsidP="004377F9">
            <w:pPr>
              <w:keepNext/>
              <w:jc w:val="center"/>
              <w:rPr>
                <w:rFonts w:ascii="Arial Narrow" w:hAnsi="Arial Narrow" w:cs="Times New Roman"/>
                <w:b/>
                <w:sz w:val="20"/>
              </w:rPr>
            </w:pPr>
            <w:r>
              <w:rPr>
                <w:rFonts w:ascii="Arial Narrow" w:hAnsi="Arial Narrow" w:cs="Times New Roman"/>
                <w:b/>
                <w:sz w:val="20"/>
              </w:rPr>
              <w:t>Dominant</w:t>
            </w:r>
          </w:p>
        </w:tc>
      </w:tr>
    </w:tbl>
    <w:p w:rsidR="00D110BD" w:rsidRDefault="00F072AD" w:rsidP="004377F9">
      <w:pPr>
        <w:keepNext/>
        <w:ind w:left="709"/>
        <w:rPr>
          <w:rFonts w:ascii="Arial Narrow" w:hAnsi="Arial Narrow"/>
          <w:sz w:val="18"/>
          <w:szCs w:val="18"/>
        </w:rPr>
      </w:pPr>
      <w:r w:rsidRPr="000A6B4D">
        <w:rPr>
          <w:rFonts w:ascii="Arial Narrow" w:hAnsi="Arial Narrow"/>
          <w:sz w:val="18"/>
          <w:szCs w:val="18"/>
        </w:rPr>
        <w:t>Source: Tables D.14-D.17, pp241-3 of the submission</w:t>
      </w:r>
      <w:r>
        <w:rPr>
          <w:rFonts w:ascii="Arial Narrow" w:hAnsi="Arial Narrow"/>
          <w:sz w:val="18"/>
          <w:szCs w:val="18"/>
        </w:rPr>
        <w:t>;</w:t>
      </w:r>
      <w:r>
        <w:t xml:space="preserve"> </w:t>
      </w:r>
      <w:r w:rsidRPr="000A6B4D">
        <w:rPr>
          <w:rFonts w:ascii="Arial Narrow" w:hAnsi="Arial Narrow"/>
          <w:sz w:val="18"/>
          <w:szCs w:val="18"/>
        </w:rPr>
        <w:t>‘Nintedanib Economic Evaluation (Final).</w:t>
      </w:r>
      <w:proofErr w:type="spellStart"/>
      <w:r w:rsidRPr="000A6B4D">
        <w:rPr>
          <w:rFonts w:ascii="Arial Narrow" w:hAnsi="Arial Narrow"/>
          <w:sz w:val="18"/>
          <w:szCs w:val="18"/>
        </w:rPr>
        <w:t>xlsx</w:t>
      </w:r>
      <w:proofErr w:type="spellEnd"/>
      <w:r w:rsidRPr="000A6B4D">
        <w:rPr>
          <w:rFonts w:ascii="Arial Narrow" w:hAnsi="Arial Narrow"/>
          <w:sz w:val="18"/>
          <w:szCs w:val="18"/>
        </w:rPr>
        <w:t>’</w:t>
      </w:r>
    </w:p>
    <w:p w:rsidR="0002116F" w:rsidRPr="00D110BD" w:rsidRDefault="0002116F" w:rsidP="00F072AD">
      <w:pPr>
        <w:ind w:left="709"/>
      </w:pPr>
      <w:r>
        <w:rPr>
          <w:rFonts w:ascii="Arial Narrow" w:hAnsi="Arial Narrow"/>
          <w:sz w:val="18"/>
          <w:szCs w:val="18"/>
        </w:rPr>
        <w:t xml:space="preserve">LYG= life years gained; </w:t>
      </w:r>
      <w:proofErr w:type="spellStart"/>
      <w:r>
        <w:rPr>
          <w:rFonts w:ascii="Arial Narrow" w:hAnsi="Arial Narrow"/>
          <w:sz w:val="18"/>
          <w:szCs w:val="18"/>
        </w:rPr>
        <w:t>PfLYG</w:t>
      </w:r>
      <w:proofErr w:type="spellEnd"/>
      <w:r>
        <w:rPr>
          <w:rFonts w:ascii="Arial Narrow" w:hAnsi="Arial Narrow"/>
          <w:sz w:val="18"/>
          <w:szCs w:val="18"/>
        </w:rPr>
        <w:t>=progression</w:t>
      </w:r>
      <w:r w:rsidR="005811DA">
        <w:rPr>
          <w:rFonts w:ascii="Arial Narrow" w:hAnsi="Arial Narrow"/>
          <w:sz w:val="18"/>
          <w:szCs w:val="18"/>
        </w:rPr>
        <w:t>-</w:t>
      </w:r>
      <w:r>
        <w:rPr>
          <w:rFonts w:ascii="Arial Narrow" w:hAnsi="Arial Narrow"/>
          <w:sz w:val="18"/>
          <w:szCs w:val="18"/>
        </w:rPr>
        <w:t>free life years gained; QALY= quality-adjusted life years</w:t>
      </w:r>
    </w:p>
    <w:p w:rsidR="00A5042C" w:rsidRPr="00A5042C" w:rsidRDefault="00A5042C" w:rsidP="00A5042C">
      <w:pPr>
        <w:pStyle w:val="ListParagraph"/>
        <w:widowControl/>
        <w:rPr>
          <w:i/>
          <w:szCs w:val="22"/>
        </w:rPr>
      </w:pPr>
    </w:p>
    <w:p w:rsidR="00501958" w:rsidRPr="000E2641" w:rsidRDefault="00A5042C" w:rsidP="00EA0FDF">
      <w:pPr>
        <w:pStyle w:val="ListParagraph"/>
        <w:widowControl/>
        <w:numPr>
          <w:ilvl w:val="1"/>
          <w:numId w:val="4"/>
        </w:numPr>
        <w:rPr>
          <w:szCs w:val="22"/>
        </w:rPr>
      </w:pPr>
      <w:r w:rsidRPr="000E2641">
        <w:t>While the ESC consider</w:t>
      </w:r>
      <w:r w:rsidR="001B35EB" w:rsidRPr="000E2641">
        <w:t>ed</w:t>
      </w:r>
      <w:r w:rsidRPr="000E2641">
        <w:t xml:space="preserve"> </w:t>
      </w:r>
      <w:r w:rsidR="00B2563D" w:rsidRPr="000E2641">
        <w:t xml:space="preserve">the </w:t>
      </w:r>
      <w:r w:rsidR="00276C2C" w:rsidRPr="000E2641">
        <w:t xml:space="preserve">presentation of a </w:t>
      </w:r>
      <w:r w:rsidR="00B2563D" w:rsidRPr="000E2641">
        <w:t xml:space="preserve">cost-utility model in the submission </w:t>
      </w:r>
      <w:r w:rsidRPr="000E2641">
        <w:t xml:space="preserve">to be </w:t>
      </w:r>
      <w:r w:rsidR="001B35EB" w:rsidRPr="000E2641">
        <w:t>in</w:t>
      </w:r>
      <w:r w:rsidR="00B2563D" w:rsidRPr="000E2641">
        <w:t xml:space="preserve">appropriate, </w:t>
      </w:r>
      <w:r w:rsidRPr="000E2641">
        <w:t xml:space="preserve">it </w:t>
      </w:r>
      <w:r w:rsidR="001B35EB" w:rsidRPr="000E2641">
        <w:t xml:space="preserve">also noted </w:t>
      </w:r>
      <w:r w:rsidR="00B2563D" w:rsidRPr="000E2641">
        <w:t xml:space="preserve">the following </w:t>
      </w:r>
      <w:r w:rsidR="00501958" w:rsidRPr="000E2641">
        <w:t>concerns regarding</w:t>
      </w:r>
      <w:r w:rsidR="00B2563D" w:rsidRPr="000E2641">
        <w:t xml:space="preserve"> the </w:t>
      </w:r>
      <w:r w:rsidR="00501958" w:rsidRPr="000E2641">
        <w:t xml:space="preserve"> model:</w:t>
      </w:r>
    </w:p>
    <w:p w:rsidR="00A5042C" w:rsidRPr="000E2641" w:rsidRDefault="00A5042C" w:rsidP="00EA0FDF">
      <w:pPr>
        <w:pStyle w:val="ListParagraph"/>
        <w:numPr>
          <w:ilvl w:val="0"/>
          <w:numId w:val="7"/>
        </w:numPr>
        <w:ind w:left="993" w:hanging="284"/>
      </w:pPr>
      <w:r w:rsidRPr="000E2641">
        <w:rPr>
          <w:szCs w:val="22"/>
        </w:rPr>
        <w:t>The use of non-statistically significant hazard ratio point estimates (from an indirect comparison) as the basis of the pemetrexed transition probabilities (over five years) in the modelled evaluation was not appropriate</w:t>
      </w:r>
    </w:p>
    <w:p w:rsidR="00501958" w:rsidRPr="000E2641" w:rsidRDefault="00501958" w:rsidP="00EA0FDF">
      <w:pPr>
        <w:pStyle w:val="ListParagraph"/>
        <w:numPr>
          <w:ilvl w:val="0"/>
          <w:numId w:val="7"/>
        </w:numPr>
        <w:ind w:left="993" w:hanging="284"/>
      </w:pPr>
      <w:r w:rsidRPr="000E2641">
        <w:t>The model generate</w:t>
      </w:r>
      <w:r w:rsidR="00A5042C" w:rsidRPr="000E2641">
        <w:t>d</w:t>
      </w:r>
      <w:r w:rsidRPr="000E2641">
        <w:t xml:space="preserve"> more progression</w:t>
      </w:r>
      <w:r w:rsidR="00A5042C" w:rsidRPr="000E2641">
        <w:t>-</w:t>
      </w:r>
      <w:r w:rsidRPr="000E2641">
        <w:t xml:space="preserve">free life years, life years and </w:t>
      </w:r>
      <w:r w:rsidR="00A5042C" w:rsidRPr="000E2641">
        <w:rPr>
          <w:szCs w:val="22"/>
        </w:rPr>
        <w:t>quality adjusted life years</w:t>
      </w:r>
      <w:r w:rsidR="00A5042C" w:rsidRPr="000E2641" w:rsidDel="0088212A">
        <w:t xml:space="preserve"> </w:t>
      </w:r>
      <w:r w:rsidR="00A5042C" w:rsidRPr="000E2641">
        <w:t>(</w:t>
      </w:r>
      <w:r w:rsidRPr="000E2641">
        <w:t>QALYs</w:t>
      </w:r>
      <w:r w:rsidR="00A5042C" w:rsidRPr="000E2641">
        <w:t>)</w:t>
      </w:r>
      <w:r w:rsidRPr="000E2641">
        <w:t xml:space="preserve"> for the nintedanib arm than the pemetrexed arm. This </w:t>
      </w:r>
      <w:r w:rsidR="00A5042C" w:rsidRPr="000E2641">
        <w:t>wa</w:t>
      </w:r>
      <w:r w:rsidRPr="000E2641">
        <w:t xml:space="preserve">s inconsistent with the </w:t>
      </w:r>
      <w:r w:rsidR="00A5042C" w:rsidRPr="000E2641">
        <w:t xml:space="preserve">submission’s </w:t>
      </w:r>
      <w:r w:rsidRPr="000E2641">
        <w:t>clinical claim of non-inferior efficacy and inferior safety between nintedanib and pemetrexed</w:t>
      </w:r>
      <w:r w:rsidR="003215B0">
        <w:t xml:space="preserve">, </w:t>
      </w:r>
      <w:r w:rsidR="003215B0" w:rsidRPr="000E2641">
        <w:t>and</w:t>
      </w:r>
      <w:r w:rsidR="00A5042C" w:rsidRPr="000E2641">
        <w:t xml:space="preserve"> lacked face validity</w:t>
      </w:r>
      <w:r w:rsidRPr="000E2641">
        <w:t>.</w:t>
      </w:r>
    </w:p>
    <w:p w:rsidR="0088212A" w:rsidRPr="000E2641" w:rsidRDefault="00501958" w:rsidP="000129D8">
      <w:pPr>
        <w:pStyle w:val="ListParagraph"/>
        <w:keepNext/>
        <w:keepLines/>
        <w:numPr>
          <w:ilvl w:val="0"/>
          <w:numId w:val="7"/>
        </w:numPr>
        <w:ind w:left="993" w:hanging="284"/>
      </w:pPr>
      <w:r w:rsidRPr="000E2641">
        <w:lastRenderedPageBreak/>
        <w:t xml:space="preserve">The extrapolated treatment effect based on the Weibull survival function generates fewer life years in the weighted comparator than the trial-based Kaplan Meier estimates show </w:t>
      </w:r>
      <w:r w:rsidR="0027686C">
        <w:t xml:space="preserve">that </w:t>
      </w:r>
      <w:r w:rsidRPr="000E2641">
        <w:t>patients to have actually lived. This unreasonably, and significantly, favours nintedanib treatment.</w:t>
      </w:r>
    </w:p>
    <w:p w:rsidR="00501958" w:rsidRPr="000E2641" w:rsidRDefault="00501958" w:rsidP="00EA0FDF">
      <w:pPr>
        <w:pStyle w:val="ListParagraph"/>
        <w:numPr>
          <w:ilvl w:val="0"/>
          <w:numId w:val="7"/>
        </w:numPr>
        <w:ind w:left="993" w:hanging="284"/>
        <w:rPr>
          <w:szCs w:val="22"/>
        </w:rPr>
      </w:pPr>
      <w:r w:rsidRPr="000E2641">
        <w:t xml:space="preserve">Adverse event disutilities and costs </w:t>
      </w:r>
      <w:r w:rsidR="00E2076F">
        <w:t>were</w:t>
      </w:r>
      <w:r w:rsidR="00E2076F" w:rsidRPr="000E2641">
        <w:t xml:space="preserve"> </w:t>
      </w:r>
      <w:r w:rsidRPr="000E2641">
        <w:t xml:space="preserve">estimated </w:t>
      </w:r>
      <w:r w:rsidR="000129D8">
        <w:rPr>
          <w:szCs w:val="22"/>
          <w:lang w:val="en-US" w:eastAsia="en-AU"/>
        </w:rPr>
        <w:t xml:space="preserve">based on the proportion of patients at risk of an adverse event in each cycle (cycle risk), which was a function of treatment duration. </w:t>
      </w:r>
      <w:r w:rsidRPr="000E2641">
        <w:t xml:space="preserve">This </w:t>
      </w:r>
      <w:r w:rsidR="00E2076F">
        <w:t>did</w:t>
      </w:r>
      <w:r w:rsidR="00E2076F" w:rsidRPr="000E2641">
        <w:t xml:space="preserve"> </w:t>
      </w:r>
      <w:r w:rsidRPr="000E2641">
        <w:t xml:space="preserve">not </w:t>
      </w:r>
      <w:r w:rsidR="001B35EB" w:rsidRPr="000E2641">
        <w:t xml:space="preserve">adequately capture </w:t>
      </w:r>
      <w:r w:rsidRPr="000E2641">
        <w:t>repeat adverse events, or time for which patients temporarily interrupted nintedanib treatment.</w:t>
      </w:r>
    </w:p>
    <w:p w:rsidR="000E2641" w:rsidRDefault="000E2641" w:rsidP="000E2641">
      <w:pPr>
        <w:rPr>
          <w:i/>
          <w:szCs w:val="22"/>
        </w:rPr>
      </w:pPr>
      <w:bookmarkStart w:id="11" w:name="_Toc409189306"/>
    </w:p>
    <w:p w:rsidR="000E2641" w:rsidRDefault="000E2641" w:rsidP="000E2641">
      <w:pPr>
        <w:ind w:firstLine="709"/>
      </w:pPr>
      <w:r w:rsidRPr="000E2641">
        <w:rPr>
          <w:i/>
          <w:szCs w:val="22"/>
        </w:rPr>
        <w:t>For more detail on PBAC’s view, see section 7 “PBAC outcome”</w:t>
      </w:r>
    </w:p>
    <w:p w:rsidR="00B42E62" w:rsidRDefault="00B42E62" w:rsidP="002C2775">
      <w:pPr>
        <w:pStyle w:val="Heading2"/>
        <w:rPr>
          <w:i/>
        </w:rPr>
      </w:pPr>
    </w:p>
    <w:p w:rsidR="00C25D9C" w:rsidRPr="009A42D6" w:rsidRDefault="004F4333" w:rsidP="002C2775">
      <w:pPr>
        <w:pStyle w:val="Heading2"/>
        <w:rPr>
          <w:i/>
          <w:szCs w:val="22"/>
        </w:rPr>
      </w:pPr>
      <w:r>
        <w:rPr>
          <w:i/>
        </w:rPr>
        <w:t>Drug cost/</w:t>
      </w:r>
      <w:r w:rsidRPr="009A42D6">
        <w:rPr>
          <w:i/>
        </w:rPr>
        <w:t>patient</w:t>
      </w:r>
      <w:r w:rsidR="00C25D9C" w:rsidRPr="009A42D6">
        <w:rPr>
          <w:i/>
        </w:rPr>
        <w:t xml:space="preserve">/year: </w:t>
      </w:r>
      <w:r w:rsidR="00ED383C" w:rsidRPr="009A42D6">
        <w:t>$</w:t>
      </w:r>
      <w:bookmarkEnd w:id="11"/>
      <w:r w:rsidR="00B3432C">
        <w:rPr>
          <w:noProof/>
          <w:color w:val="000000"/>
          <w:highlight w:val="black"/>
        </w:rPr>
        <w:t>''''''''''''''''''</w:t>
      </w:r>
    </w:p>
    <w:p w:rsidR="00C25D9C" w:rsidRPr="009A42D6" w:rsidRDefault="00C25D9C" w:rsidP="00C25D9C">
      <w:pPr>
        <w:widowControl/>
        <w:rPr>
          <w:szCs w:val="22"/>
        </w:rPr>
      </w:pPr>
    </w:p>
    <w:p w:rsidR="00A86E8B" w:rsidRPr="004A45D2" w:rsidRDefault="00ED383C" w:rsidP="00EA0FDF">
      <w:pPr>
        <w:pStyle w:val="ListParagraph"/>
        <w:widowControl/>
        <w:numPr>
          <w:ilvl w:val="1"/>
          <w:numId w:val="4"/>
        </w:numPr>
        <w:rPr>
          <w:szCs w:val="22"/>
        </w:rPr>
      </w:pPr>
      <w:r w:rsidRPr="009A42D6">
        <w:rPr>
          <w:szCs w:val="22"/>
        </w:rPr>
        <w:t>The drug cost of nintedanib is $</w:t>
      </w:r>
      <w:r w:rsidR="00B3432C">
        <w:rPr>
          <w:noProof/>
          <w:color w:val="000000"/>
          <w:szCs w:val="22"/>
          <w:highlight w:val="black"/>
        </w:rPr>
        <w:t>''''''''''''''''''''''''</w:t>
      </w:r>
      <w:r w:rsidRPr="009A42D6">
        <w:rPr>
          <w:szCs w:val="22"/>
        </w:rPr>
        <w:t xml:space="preserve"> per</w:t>
      </w:r>
      <w:r w:rsidR="006872BA" w:rsidRPr="009A42D6">
        <w:rPr>
          <w:szCs w:val="22"/>
        </w:rPr>
        <w:t xml:space="preserve"> </w:t>
      </w:r>
      <w:r w:rsidR="00401B49" w:rsidRPr="009A42D6">
        <w:rPr>
          <w:szCs w:val="22"/>
        </w:rPr>
        <w:t>year,</w:t>
      </w:r>
      <w:r w:rsidR="004A45D2" w:rsidRPr="009A42D6">
        <w:rPr>
          <w:szCs w:val="22"/>
        </w:rPr>
        <w:t xml:space="preserve"> based on a DPMQ of $</w:t>
      </w:r>
      <w:r w:rsidR="00B3432C">
        <w:rPr>
          <w:noProof/>
          <w:color w:val="000000"/>
          <w:szCs w:val="22"/>
          <w:highlight w:val="black"/>
        </w:rPr>
        <w:t>'''''''''''''''''''</w:t>
      </w:r>
      <w:r w:rsidR="004A45D2" w:rsidRPr="004A45D2">
        <w:rPr>
          <w:szCs w:val="22"/>
        </w:rPr>
        <w:t xml:space="preserve"> and </w:t>
      </w:r>
      <w:r w:rsidR="00B3432C">
        <w:rPr>
          <w:noProof/>
          <w:color w:val="000000"/>
          <w:szCs w:val="22"/>
          <w:highlight w:val="black"/>
        </w:rPr>
        <w:t>''''''''''</w:t>
      </w:r>
      <w:r w:rsidR="004A45D2" w:rsidRPr="004A45D2">
        <w:rPr>
          <w:szCs w:val="22"/>
        </w:rPr>
        <w:t xml:space="preserve"> prescriptions per year.</w:t>
      </w:r>
      <w:r w:rsidR="00C626CF">
        <w:rPr>
          <w:szCs w:val="22"/>
        </w:rPr>
        <w:t xml:space="preserve"> The estimate of </w:t>
      </w:r>
      <w:r w:rsidR="00B3432C">
        <w:rPr>
          <w:noProof/>
          <w:color w:val="000000"/>
          <w:szCs w:val="22"/>
          <w:highlight w:val="black"/>
        </w:rPr>
        <w:t>'''''''''''</w:t>
      </w:r>
      <w:r w:rsidR="00C626CF">
        <w:rPr>
          <w:szCs w:val="22"/>
        </w:rPr>
        <w:t xml:space="preserve"> prescriptions per year is based </w:t>
      </w:r>
      <w:r w:rsidR="00C626CF">
        <w:t xml:space="preserve">on a based on the maximum of 30 days treatment for 1 prescription and a dose intensity of 91.2%. The costs </w:t>
      </w:r>
      <w:r w:rsidR="006B6A84">
        <w:t>are the same regardless of dose</w:t>
      </w:r>
      <w:r w:rsidR="004A45D2" w:rsidRPr="004A45D2">
        <w:rPr>
          <w:szCs w:val="22"/>
        </w:rPr>
        <w:t>.</w:t>
      </w:r>
      <w:r w:rsidR="00C25D9C" w:rsidRPr="004A45D2">
        <w:rPr>
          <w:szCs w:val="22"/>
        </w:rPr>
        <w:t xml:space="preserve"> </w:t>
      </w:r>
    </w:p>
    <w:p w:rsidR="00B60939" w:rsidRPr="001E2B1E" w:rsidRDefault="00B60939" w:rsidP="001456B0">
      <w:pPr>
        <w:rPr>
          <w:szCs w:val="22"/>
        </w:rPr>
      </w:pPr>
    </w:p>
    <w:p w:rsidR="00B60939" w:rsidRPr="002C2775" w:rsidRDefault="00B60939" w:rsidP="002C2775">
      <w:pPr>
        <w:pStyle w:val="Heading2"/>
        <w:rPr>
          <w:i/>
        </w:rPr>
      </w:pPr>
      <w:bookmarkStart w:id="12" w:name="_Toc409189307"/>
      <w:r w:rsidRPr="002C2775">
        <w:rPr>
          <w:i/>
        </w:rPr>
        <w:t>Estimated PBS usage &amp; financial implications</w:t>
      </w:r>
      <w:bookmarkEnd w:id="12"/>
    </w:p>
    <w:p w:rsidR="00B60939" w:rsidRPr="00882085" w:rsidRDefault="00B60939" w:rsidP="00B60939">
      <w:pPr>
        <w:ind w:left="720" w:hanging="720"/>
        <w:rPr>
          <w:b/>
          <w:i/>
          <w:szCs w:val="22"/>
        </w:rPr>
      </w:pPr>
    </w:p>
    <w:p w:rsidR="00903EA9" w:rsidRPr="00903EA9" w:rsidRDefault="000B650E" w:rsidP="00EA0FDF">
      <w:pPr>
        <w:pStyle w:val="ListParagraph"/>
        <w:widowControl/>
        <w:numPr>
          <w:ilvl w:val="1"/>
          <w:numId w:val="4"/>
        </w:numPr>
        <w:rPr>
          <w:szCs w:val="22"/>
        </w:rPr>
      </w:pPr>
      <w:r>
        <w:t xml:space="preserve">This submission </w:t>
      </w:r>
      <w:r w:rsidR="0084358A">
        <w:t>was not</w:t>
      </w:r>
      <w:r w:rsidR="00167AAD">
        <w:t xml:space="preserve"> </w:t>
      </w:r>
      <w:r w:rsidR="00C25D9C">
        <w:t>considered by DUSC</w:t>
      </w:r>
      <w:r>
        <w:rPr>
          <w:color w:val="0070C0"/>
        </w:rPr>
        <w:t xml:space="preserve">. </w:t>
      </w:r>
      <w:r w:rsidRPr="000B650E">
        <w:t xml:space="preserve">The submission </w:t>
      </w:r>
      <w:r w:rsidR="00BD1ABD">
        <w:t>took</w:t>
      </w:r>
      <w:r w:rsidRPr="000B650E">
        <w:t xml:space="preserve"> an epidemiological approach to estimating usage, based on AIHW and </w:t>
      </w:r>
      <w:r w:rsidR="00936838">
        <w:t>market research</w:t>
      </w:r>
      <w:r w:rsidR="00936838" w:rsidRPr="000B650E">
        <w:t xml:space="preserve"> </w:t>
      </w:r>
      <w:r w:rsidRPr="000B650E">
        <w:t>data, as well as NSCL</w:t>
      </w:r>
      <w:r w:rsidR="00161A3B">
        <w:t>C</w:t>
      </w:r>
      <w:r w:rsidRPr="000B650E">
        <w:t xml:space="preserve"> survival data from Yang 2005.</w:t>
      </w:r>
    </w:p>
    <w:p w:rsidR="00903EA9" w:rsidRPr="00903EA9" w:rsidRDefault="00903EA9" w:rsidP="00903EA9">
      <w:pPr>
        <w:widowControl/>
        <w:rPr>
          <w:szCs w:val="22"/>
        </w:rPr>
      </w:pPr>
    </w:p>
    <w:p w:rsidR="00C25D9C" w:rsidRPr="00C25D9C" w:rsidRDefault="00903EA9" w:rsidP="00EA0FDF">
      <w:pPr>
        <w:pStyle w:val="ListParagraph"/>
        <w:widowControl/>
        <w:numPr>
          <w:ilvl w:val="1"/>
          <w:numId w:val="4"/>
        </w:numPr>
        <w:rPr>
          <w:szCs w:val="22"/>
        </w:rPr>
      </w:pPr>
      <w:r>
        <w:t xml:space="preserve">The </w:t>
      </w:r>
      <w:r w:rsidR="0013445A">
        <w:rPr>
          <w:szCs w:val="22"/>
        </w:rPr>
        <w:t>estimated net costs, based on the effective price, are provided in the table below.</w:t>
      </w:r>
    </w:p>
    <w:p w:rsidR="00C25D9C" w:rsidRDefault="00C25D9C" w:rsidP="00C25D9C">
      <w:pPr>
        <w:widowControl/>
        <w:rPr>
          <w:szCs w:val="22"/>
        </w:rPr>
      </w:pPr>
    </w:p>
    <w:p w:rsidR="00C25D9C" w:rsidRDefault="00C25D9C" w:rsidP="00FC48D5">
      <w:pPr>
        <w:keepNext/>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Estimated use and financial implications"/>
        <w:tblDescription w:val="Table shows estimated use and financial implications to the PBS/RPBS and MBS over the first 5 years of listing."/>
      </w:tblPr>
      <w:tblGrid>
        <w:gridCol w:w="2192"/>
        <w:gridCol w:w="1230"/>
        <w:gridCol w:w="1230"/>
        <w:gridCol w:w="1230"/>
        <w:gridCol w:w="1230"/>
        <w:gridCol w:w="1234"/>
      </w:tblGrid>
      <w:tr w:rsidR="00C25D9C" w:rsidRPr="004E2ADC" w:rsidTr="00583296">
        <w:trPr>
          <w:tblHeader/>
        </w:trPr>
        <w:tc>
          <w:tcPr>
            <w:tcW w:w="1313" w:type="pct"/>
            <w:shd w:val="clear" w:color="auto" w:fill="auto"/>
            <w:vAlign w:val="center"/>
          </w:tcPr>
          <w:p w:rsidR="00C25D9C" w:rsidRPr="004E2ADC" w:rsidRDefault="00C25D9C" w:rsidP="00FC48D5">
            <w:pPr>
              <w:keepNext/>
              <w:tabs>
                <w:tab w:val="left" w:pos="142"/>
              </w:tabs>
              <w:jc w:val="left"/>
              <w:rPr>
                <w:rFonts w:ascii="Arial Narrow" w:hAnsi="Arial Narrow"/>
                <w:b/>
                <w:sz w:val="20"/>
              </w:rPr>
            </w:pPr>
          </w:p>
        </w:tc>
        <w:tc>
          <w:tcPr>
            <w:tcW w:w="737" w:type="pct"/>
            <w:shd w:val="clear" w:color="auto" w:fill="auto"/>
            <w:vAlign w:val="center"/>
          </w:tcPr>
          <w:p w:rsidR="00C25D9C" w:rsidRPr="004E2ADC" w:rsidRDefault="00C25D9C" w:rsidP="00FC48D5">
            <w:pPr>
              <w:keepNext/>
              <w:jc w:val="center"/>
              <w:rPr>
                <w:rFonts w:ascii="Arial Narrow" w:hAnsi="Arial Narrow"/>
                <w:b/>
                <w:sz w:val="20"/>
              </w:rPr>
            </w:pPr>
            <w:r w:rsidRPr="004E2ADC">
              <w:rPr>
                <w:rFonts w:ascii="Arial Narrow" w:hAnsi="Arial Narrow"/>
                <w:b/>
                <w:sz w:val="20"/>
              </w:rPr>
              <w:t>Year 1</w:t>
            </w:r>
          </w:p>
        </w:tc>
        <w:tc>
          <w:tcPr>
            <w:tcW w:w="737" w:type="pct"/>
            <w:shd w:val="clear" w:color="auto" w:fill="auto"/>
            <w:vAlign w:val="center"/>
          </w:tcPr>
          <w:p w:rsidR="00C25D9C" w:rsidRPr="004E2ADC" w:rsidRDefault="00C25D9C" w:rsidP="00FC48D5">
            <w:pPr>
              <w:keepNext/>
              <w:jc w:val="center"/>
              <w:rPr>
                <w:rFonts w:ascii="Arial Narrow" w:hAnsi="Arial Narrow"/>
                <w:b/>
                <w:sz w:val="20"/>
              </w:rPr>
            </w:pPr>
            <w:r w:rsidRPr="004E2ADC">
              <w:rPr>
                <w:rFonts w:ascii="Arial Narrow" w:hAnsi="Arial Narrow"/>
                <w:b/>
                <w:sz w:val="20"/>
              </w:rPr>
              <w:t>Year 2</w:t>
            </w:r>
          </w:p>
        </w:tc>
        <w:tc>
          <w:tcPr>
            <w:tcW w:w="737" w:type="pct"/>
            <w:shd w:val="clear" w:color="auto" w:fill="auto"/>
            <w:vAlign w:val="center"/>
          </w:tcPr>
          <w:p w:rsidR="00C25D9C" w:rsidRPr="004E2ADC" w:rsidRDefault="00C25D9C" w:rsidP="00FC48D5">
            <w:pPr>
              <w:keepNext/>
              <w:jc w:val="center"/>
              <w:rPr>
                <w:rFonts w:ascii="Arial Narrow" w:hAnsi="Arial Narrow"/>
                <w:b/>
                <w:sz w:val="20"/>
              </w:rPr>
            </w:pPr>
            <w:r w:rsidRPr="004E2ADC">
              <w:rPr>
                <w:rFonts w:ascii="Arial Narrow" w:hAnsi="Arial Narrow"/>
                <w:b/>
                <w:sz w:val="20"/>
              </w:rPr>
              <w:t>Year 3</w:t>
            </w:r>
          </w:p>
        </w:tc>
        <w:tc>
          <w:tcPr>
            <w:tcW w:w="737" w:type="pct"/>
            <w:shd w:val="clear" w:color="auto" w:fill="auto"/>
            <w:vAlign w:val="center"/>
          </w:tcPr>
          <w:p w:rsidR="00C25D9C" w:rsidRPr="004E2ADC" w:rsidRDefault="00C25D9C" w:rsidP="00FC48D5">
            <w:pPr>
              <w:keepNext/>
              <w:jc w:val="center"/>
              <w:rPr>
                <w:rFonts w:ascii="Arial Narrow" w:hAnsi="Arial Narrow"/>
                <w:b/>
                <w:sz w:val="20"/>
              </w:rPr>
            </w:pPr>
            <w:r w:rsidRPr="004E2ADC">
              <w:rPr>
                <w:rFonts w:ascii="Arial Narrow" w:hAnsi="Arial Narrow"/>
                <w:b/>
                <w:sz w:val="20"/>
              </w:rPr>
              <w:t>Year 4</w:t>
            </w:r>
          </w:p>
        </w:tc>
        <w:tc>
          <w:tcPr>
            <w:tcW w:w="737" w:type="pct"/>
            <w:shd w:val="clear" w:color="auto" w:fill="auto"/>
            <w:vAlign w:val="center"/>
          </w:tcPr>
          <w:p w:rsidR="00C25D9C" w:rsidRPr="004E2ADC" w:rsidRDefault="00C25D9C" w:rsidP="00FC48D5">
            <w:pPr>
              <w:keepNext/>
              <w:jc w:val="center"/>
              <w:rPr>
                <w:rFonts w:ascii="Arial Narrow" w:hAnsi="Arial Narrow"/>
                <w:b/>
                <w:sz w:val="20"/>
              </w:rPr>
            </w:pPr>
            <w:r w:rsidRPr="004E2ADC">
              <w:rPr>
                <w:rFonts w:ascii="Arial Narrow" w:hAnsi="Arial Narrow"/>
                <w:b/>
                <w:sz w:val="20"/>
              </w:rPr>
              <w:t>Year 5</w:t>
            </w:r>
          </w:p>
        </w:tc>
      </w:tr>
      <w:tr w:rsidR="00C25D9C" w:rsidRPr="004E2ADC" w:rsidTr="00583296">
        <w:tc>
          <w:tcPr>
            <w:tcW w:w="5000" w:type="pct"/>
            <w:gridSpan w:val="6"/>
            <w:shd w:val="clear" w:color="auto" w:fill="auto"/>
            <w:vAlign w:val="center"/>
          </w:tcPr>
          <w:p w:rsidR="00C25D9C" w:rsidRPr="004E2ADC" w:rsidRDefault="00C25D9C" w:rsidP="00FC48D5">
            <w:pPr>
              <w:keepNext/>
              <w:jc w:val="left"/>
              <w:rPr>
                <w:rFonts w:ascii="Arial Narrow" w:hAnsi="Arial Narrow"/>
                <w:b/>
                <w:bCs/>
                <w:color w:val="000000"/>
                <w:sz w:val="20"/>
              </w:rPr>
            </w:pPr>
            <w:r w:rsidRPr="004E2ADC">
              <w:rPr>
                <w:rFonts w:ascii="Arial Narrow" w:hAnsi="Arial Narrow"/>
                <w:b/>
                <w:bCs/>
                <w:color w:val="000000"/>
                <w:sz w:val="20"/>
              </w:rPr>
              <w:t>Estimated extent of use</w:t>
            </w:r>
          </w:p>
        </w:tc>
      </w:tr>
      <w:tr w:rsidR="004A45D2" w:rsidRPr="004E2ADC" w:rsidTr="00583296">
        <w:tc>
          <w:tcPr>
            <w:tcW w:w="1313" w:type="pct"/>
            <w:shd w:val="clear" w:color="auto" w:fill="auto"/>
            <w:vAlign w:val="center"/>
          </w:tcPr>
          <w:p w:rsidR="004A45D2" w:rsidRPr="004E2ADC" w:rsidRDefault="004A45D2" w:rsidP="00FC48D5">
            <w:pPr>
              <w:keepNext/>
              <w:tabs>
                <w:tab w:val="left" w:pos="142"/>
              </w:tabs>
              <w:jc w:val="left"/>
              <w:rPr>
                <w:rFonts w:ascii="Arial Narrow" w:hAnsi="Arial Narrow"/>
                <w:sz w:val="20"/>
              </w:rPr>
            </w:pPr>
            <w:r w:rsidRPr="004E2ADC">
              <w:rPr>
                <w:rFonts w:ascii="Arial Narrow" w:hAnsi="Arial Narrow"/>
                <w:sz w:val="20"/>
              </w:rPr>
              <w:t>Number treated</w:t>
            </w:r>
          </w:p>
        </w:tc>
        <w:tc>
          <w:tcPr>
            <w:tcW w:w="737"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9"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4A45D2" w:rsidRPr="004E2ADC" w:rsidTr="00583296">
        <w:tc>
          <w:tcPr>
            <w:tcW w:w="1313" w:type="pct"/>
            <w:shd w:val="clear" w:color="auto" w:fill="auto"/>
            <w:vAlign w:val="center"/>
          </w:tcPr>
          <w:p w:rsidR="004A45D2" w:rsidRPr="004E2ADC" w:rsidRDefault="004A45D2" w:rsidP="00FC48D5">
            <w:pPr>
              <w:keepNext/>
              <w:tabs>
                <w:tab w:val="left" w:pos="142"/>
              </w:tabs>
              <w:jc w:val="left"/>
              <w:rPr>
                <w:rFonts w:ascii="Arial Narrow" w:hAnsi="Arial Narrow"/>
                <w:sz w:val="20"/>
              </w:rPr>
            </w:pPr>
            <w:proofErr w:type="spellStart"/>
            <w:r w:rsidRPr="004E2ADC">
              <w:rPr>
                <w:rFonts w:ascii="Arial Narrow" w:hAnsi="Arial Narrow"/>
                <w:sz w:val="20"/>
              </w:rPr>
              <w:t>Scripts</w:t>
            </w:r>
            <w:r w:rsidRPr="004E2ADC">
              <w:rPr>
                <w:rFonts w:ascii="Arial Narrow" w:hAnsi="Arial Narrow"/>
                <w:sz w:val="20"/>
                <w:vertAlign w:val="superscript"/>
              </w:rPr>
              <w:t>a</w:t>
            </w:r>
            <w:proofErr w:type="spellEnd"/>
          </w:p>
        </w:tc>
        <w:tc>
          <w:tcPr>
            <w:tcW w:w="737"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9" w:type="pct"/>
            <w:shd w:val="clear" w:color="auto" w:fill="auto"/>
            <w:vAlign w:val="center"/>
          </w:tcPr>
          <w:p w:rsidR="004A45D2" w:rsidRPr="00B3432C" w:rsidRDefault="00B3432C" w:rsidP="00766A04">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4A45D2" w:rsidRPr="004E2ADC" w:rsidTr="00583296">
        <w:tc>
          <w:tcPr>
            <w:tcW w:w="1313" w:type="pct"/>
            <w:shd w:val="clear" w:color="auto" w:fill="auto"/>
          </w:tcPr>
          <w:p w:rsidR="004A45D2" w:rsidRPr="004E2ADC" w:rsidRDefault="004A45D2" w:rsidP="00FC48D5">
            <w:pPr>
              <w:keepNext/>
              <w:tabs>
                <w:tab w:val="left" w:pos="142"/>
              </w:tabs>
              <w:jc w:val="left"/>
              <w:rPr>
                <w:rFonts w:ascii="Arial Narrow" w:hAnsi="Arial Narrow"/>
                <w:sz w:val="20"/>
              </w:rPr>
            </w:pPr>
            <w:r>
              <w:rPr>
                <w:rFonts w:ascii="Arial Narrow" w:hAnsi="Arial Narrow"/>
                <w:sz w:val="20"/>
              </w:rPr>
              <w:t>Total nintedanib and docetaxel scripts</w:t>
            </w:r>
          </w:p>
        </w:tc>
        <w:tc>
          <w:tcPr>
            <w:tcW w:w="737" w:type="pct"/>
            <w:shd w:val="clear" w:color="auto" w:fill="auto"/>
            <w:vAlign w:val="center"/>
          </w:tcPr>
          <w:p w:rsidR="004A45D2" w:rsidRPr="00B3432C" w:rsidRDefault="00B3432C" w:rsidP="00766A04">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4A45D2" w:rsidRPr="00B3432C" w:rsidRDefault="00B3432C" w:rsidP="00766A04">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739" w:type="pct"/>
            <w:shd w:val="clear" w:color="auto" w:fill="auto"/>
            <w:vAlign w:val="center"/>
          </w:tcPr>
          <w:p w:rsidR="004A45D2" w:rsidRPr="00B3432C" w:rsidRDefault="00B3432C" w:rsidP="00766A04">
            <w:pPr>
              <w:keepNext/>
              <w:jc w:val="center"/>
              <w:rPr>
                <w:rFonts w:ascii="Arial Narrow" w:hAnsi="Arial Narrow"/>
                <w:color w:val="000000"/>
                <w:sz w:val="20"/>
                <w:highlight w:val="black"/>
              </w:rPr>
            </w:pPr>
            <w:r>
              <w:rPr>
                <w:rFonts w:ascii="Arial Narrow" w:hAnsi="Arial Narrow"/>
                <w:noProof/>
                <w:color w:val="000000"/>
                <w:sz w:val="20"/>
                <w:highlight w:val="black"/>
              </w:rPr>
              <w:t>'''''''''''''''</w:t>
            </w:r>
          </w:p>
        </w:tc>
      </w:tr>
      <w:tr w:rsidR="00C25D9C" w:rsidRPr="004E2ADC" w:rsidTr="00583296">
        <w:tc>
          <w:tcPr>
            <w:tcW w:w="5000" w:type="pct"/>
            <w:gridSpan w:val="6"/>
            <w:shd w:val="clear" w:color="auto" w:fill="auto"/>
            <w:vAlign w:val="center"/>
          </w:tcPr>
          <w:p w:rsidR="00C25D9C" w:rsidRPr="009A42D6" w:rsidRDefault="00C25D9C" w:rsidP="00FC48D5">
            <w:pPr>
              <w:keepNext/>
              <w:jc w:val="left"/>
              <w:rPr>
                <w:rFonts w:ascii="Arial Narrow" w:hAnsi="Arial Narrow"/>
                <w:b/>
                <w:bCs/>
                <w:color w:val="000000"/>
                <w:sz w:val="20"/>
              </w:rPr>
            </w:pPr>
            <w:r w:rsidRPr="009A42D6">
              <w:rPr>
                <w:rFonts w:ascii="Arial Narrow" w:hAnsi="Arial Narrow"/>
                <w:b/>
                <w:bCs/>
                <w:color w:val="000000"/>
                <w:sz w:val="20"/>
              </w:rPr>
              <w:t>Estimated net cost to PBS/RPBS/MBS</w:t>
            </w:r>
          </w:p>
        </w:tc>
      </w:tr>
      <w:tr w:rsidR="00711EF0" w:rsidRPr="004E2ADC" w:rsidTr="00583296">
        <w:tc>
          <w:tcPr>
            <w:tcW w:w="1313" w:type="pct"/>
            <w:shd w:val="clear" w:color="auto" w:fill="auto"/>
            <w:vAlign w:val="center"/>
          </w:tcPr>
          <w:p w:rsidR="00711EF0" w:rsidRPr="004E2ADC" w:rsidRDefault="00711EF0" w:rsidP="00FC48D5">
            <w:pPr>
              <w:keepNext/>
              <w:tabs>
                <w:tab w:val="left" w:pos="142"/>
              </w:tabs>
              <w:jc w:val="left"/>
              <w:rPr>
                <w:rFonts w:ascii="Arial Narrow" w:hAnsi="Arial Narrow"/>
                <w:sz w:val="19"/>
                <w:szCs w:val="19"/>
              </w:rPr>
            </w:pPr>
            <w:r w:rsidRPr="004E2ADC">
              <w:rPr>
                <w:rFonts w:ascii="Arial Narrow" w:hAnsi="Arial Narrow"/>
                <w:sz w:val="19"/>
                <w:szCs w:val="19"/>
              </w:rPr>
              <w:t>Net cost to PBS</w:t>
            </w:r>
            <w:r>
              <w:rPr>
                <w:rFonts w:ascii="Arial Narrow" w:hAnsi="Arial Narrow"/>
                <w:sz w:val="19"/>
                <w:szCs w:val="19"/>
              </w:rPr>
              <w:t xml:space="preserve">/RPBS </w:t>
            </w:r>
          </w:p>
        </w:tc>
        <w:tc>
          <w:tcPr>
            <w:tcW w:w="737" w:type="pct"/>
            <w:shd w:val="clear" w:color="auto" w:fill="auto"/>
            <w:vAlign w:val="center"/>
          </w:tcPr>
          <w:p w:rsidR="00711EF0" w:rsidRPr="009A42D6" w:rsidRDefault="00711EF0" w:rsidP="00766A04">
            <w:pPr>
              <w:keepNext/>
              <w:jc w:val="center"/>
              <w:rPr>
                <w:rFonts w:ascii="Arial Narrow" w:hAnsi="Arial Narrow"/>
                <w:b/>
                <w:sz w:val="20"/>
              </w:rPr>
            </w:pPr>
            <w:r w:rsidRPr="009A42D6">
              <w:rPr>
                <w:rFonts w:ascii="Arial Narrow" w:hAnsi="Arial Narrow"/>
                <w:b/>
                <w:sz w:val="20"/>
              </w:rPr>
              <w:t>-$</w:t>
            </w:r>
            <w:r w:rsidR="00B3432C">
              <w:rPr>
                <w:rFonts w:ascii="Arial Narrow" w:hAnsi="Arial Narrow"/>
                <w:b/>
                <w:noProof/>
                <w:color w:val="000000"/>
                <w:sz w:val="20"/>
                <w:highlight w:val="black"/>
              </w:rPr>
              <w:t>'''''''''''''''''''</w:t>
            </w:r>
          </w:p>
        </w:tc>
        <w:tc>
          <w:tcPr>
            <w:tcW w:w="737" w:type="pct"/>
            <w:shd w:val="clear" w:color="auto" w:fill="auto"/>
            <w:vAlign w:val="center"/>
          </w:tcPr>
          <w:p w:rsidR="00711EF0" w:rsidRPr="009A42D6" w:rsidRDefault="00711EF0" w:rsidP="00766A04">
            <w:pPr>
              <w:keepNext/>
              <w:jc w:val="center"/>
              <w:rPr>
                <w:rFonts w:ascii="Arial Narrow" w:hAnsi="Arial Narrow"/>
                <w:sz w:val="20"/>
              </w:rPr>
            </w:pPr>
            <w:r w:rsidRPr="009A42D6">
              <w:rPr>
                <w:rFonts w:ascii="Arial Narrow" w:hAnsi="Arial Narrow"/>
                <w:sz w:val="20"/>
              </w:rPr>
              <w:t>-$</w:t>
            </w:r>
            <w:r w:rsidR="00B3432C">
              <w:rPr>
                <w:rFonts w:ascii="Arial Narrow" w:hAnsi="Arial Narrow"/>
                <w:noProof/>
                <w:color w:val="000000"/>
                <w:sz w:val="20"/>
                <w:highlight w:val="black"/>
              </w:rPr>
              <w:t>'''''''''''''''''''''''</w:t>
            </w:r>
          </w:p>
        </w:tc>
        <w:tc>
          <w:tcPr>
            <w:tcW w:w="737" w:type="pct"/>
            <w:shd w:val="clear" w:color="auto" w:fill="auto"/>
            <w:vAlign w:val="center"/>
          </w:tcPr>
          <w:p w:rsidR="00711EF0" w:rsidRPr="009A42D6" w:rsidRDefault="00711EF0" w:rsidP="00766A04">
            <w:pPr>
              <w:keepNext/>
              <w:jc w:val="center"/>
              <w:rPr>
                <w:rFonts w:ascii="Arial Narrow" w:hAnsi="Arial Narrow"/>
                <w:sz w:val="20"/>
              </w:rPr>
            </w:pPr>
            <w:r w:rsidRPr="009A42D6">
              <w:rPr>
                <w:rFonts w:ascii="Arial Narrow" w:hAnsi="Arial Narrow"/>
                <w:sz w:val="20"/>
              </w:rPr>
              <w:t>-$</w:t>
            </w:r>
            <w:r w:rsidR="00B3432C">
              <w:rPr>
                <w:rFonts w:ascii="Arial Narrow" w:hAnsi="Arial Narrow"/>
                <w:noProof/>
                <w:color w:val="000000"/>
                <w:sz w:val="20"/>
                <w:highlight w:val="black"/>
              </w:rPr>
              <w:t>''''''''''''''''''''''''''''</w:t>
            </w:r>
          </w:p>
        </w:tc>
        <w:tc>
          <w:tcPr>
            <w:tcW w:w="737" w:type="pct"/>
            <w:shd w:val="clear" w:color="auto" w:fill="auto"/>
            <w:vAlign w:val="center"/>
          </w:tcPr>
          <w:p w:rsidR="00711EF0" w:rsidRPr="009A42D6" w:rsidRDefault="00711EF0" w:rsidP="00766A04">
            <w:pPr>
              <w:keepNext/>
              <w:jc w:val="center"/>
              <w:rPr>
                <w:rFonts w:ascii="Arial Narrow" w:hAnsi="Arial Narrow"/>
                <w:sz w:val="20"/>
              </w:rPr>
            </w:pPr>
            <w:r w:rsidRPr="009A42D6">
              <w:rPr>
                <w:rFonts w:ascii="Arial Narrow" w:hAnsi="Arial Narrow"/>
                <w:sz w:val="20"/>
              </w:rPr>
              <w:t>-$</w:t>
            </w:r>
            <w:r w:rsidR="00B3432C">
              <w:rPr>
                <w:rFonts w:ascii="Arial Narrow" w:hAnsi="Arial Narrow"/>
                <w:noProof/>
                <w:color w:val="000000"/>
                <w:sz w:val="20"/>
                <w:highlight w:val="black"/>
              </w:rPr>
              <w:t>'''''''''''''''''''''''''</w:t>
            </w:r>
          </w:p>
        </w:tc>
        <w:tc>
          <w:tcPr>
            <w:tcW w:w="739" w:type="pct"/>
            <w:shd w:val="clear" w:color="auto" w:fill="auto"/>
            <w:vAlign w:val="center"/>
          </w:tcPr>
          <w:p w:rsidR="00711EF0" w:rsidRPr="009A42D6" w:rsidRDefault="00711EF0" w:rsidP="00766A04">
            <w:pPr>
              <w:keepNext/>
              <w:jc w:val="center"/>
              <w:rPr>
                <w:rFonts w:ascii="Arial Narrow" w:hAnsi="Arial Narrow"/>
                <w:sz w:val="20"/>
              </w:rPr>
            </w:pPr>
            <w:r w:rsidRPr="009A42D6">
              <w:rPr>
                <w:rFonts w:ascii="Arial Narrow" w:hAnsi="Arial Narrow"/>
                <w:sz w:val="20"/>
              </w:rPr>
              <w:t>-$</w:t>
            </w:r>
            <w:r w:rsidR="00B3432C">
              <w:rPr>
                <w:rFonts w:ascii="Arial Narrow" w:hAnsi="Arial Narrow"/>
                <w:noProof/>
                <w:color w:val="000000"/>
                <w:sz w:val="20"/>
                <w:highlight w:val="black"/>
              </w:rPr>
              <w:t>''''''''''''''''''''''''''''</w:t>
            </w:r>
          </w:p>
        </w:tc>
      </w:tr>
      <w:tr w:rsidR="00711EF0" w:rsidRPr="004E2ADC" w:rsidTr="00583296">
        <w:tc>
          <w:tcPr>
            <w:tcW w:w="1313" w:type="pct"/>
            <w:shd w:val="clear" w:color="auto" w:fill="auto"/>
            <w:vAlign w:val="center"/>
          </w:tcPr>
          <w:p w:rsidR="00711EF0" w:rsidRPr="004E2ADC" w:rsidRDefault="00711EF0" w:rsidP="00FC48D5">
            <w:pPr>
              <w:keepNext/>
              <w:tabs>
                <w:tab w:val="left" w:pos="142"/>
              </w:tabs>
              <w:jc w:val="left"/>
              <w:rPr>
                <w:rFonts w:ascii="Arial Narrow" w:hAnsi="Arial Narrow"/>
                <w:sz w:val="20"/>
              </w:rPr>
            </w:pPr>
            <w:r w:rsidRPr="004E2ADC">
              <w:rPr>
                <w:rFonts w:ascii="Arial Narrow" w:hAnsi="Arial Narrow"/>
                <w:sz w:val="19"/>
                <w:szCs w:val="19"/>
              </w:rPr>
              <w:t>Net cost to MBS</w:t>
            </w:r>
          </w:p>
        </w:tc>
        <w:tc>
          <w:tcPr>
            <w:tcW w:w="737" w:type="pct"/>
            <w:shd w:val="clear" w:color="auto" w:fill="auto"/>
            <w:vAlign w:val="center"/>
          </w:tcPr>
          <w:p w:rsidR="00711EF0" w:rsidRPr="00B3432C" w:rsidRDefault="00B3432C" w:rsidP="00766A04">
            <w:pPr>
              <w:keepNext/>
              <w:jc w:val="center"/>
              <w:rPr>
                <w:rFonts w:ascii="Arial Narrow" w:hAnsi="Arial Narrow"/>
                <w:bCs/>
                <w:color w:val="000000"/>
                <w:sz w:val="20"/>
                <w:highlight w:val="black"/>
              </w:rPr>
            </w:pPr>
            <w:r>
              <w:rPr>
                <w:rStyle w:val="CommentReference"/>
                <w:noProof/>
                <w:color w:val="000000"/>
                <w:highlight w:val="black"/>
              </w:rPr>
              <w:t>'''</w:t>
            </w:r>
          </w:p>
        </w:tc>
        <w:tc>
          <w:tcPr>
            <w:tcW w:w="737" w:type="pct"/>
            <w:shd w:val="clear" w:color="auto" w:fill="auto"/>
            <w:vAlign w:val="center"/>
          </w:tcPr>
          <w:p w:rsidR="00711EF0" w:rsidRPr="009A42D6" w:rsidRDefault="00711EF0" w:rsidP="00766A04">
            <w:pPr>
              <w:keepNext/>
              <w:jc w:val="center"/>
              <w:rPr>
                <w:rFonts w:ascii="Arial Narrow" w:hAnsi="Arial Narrow"/>
                <w:bCs/>
                <w:color w:val="000000"/>
                <w:sz w:val="20"/>
              </w:rPr>
            </w:pPr>
            <w:r w:rsidRPr="009A42D6">
              <w:rPr>
                <w:rStyle w:val="CommentReference"/>
                <w:b w:val="0"/>
              </w:rPr>
              <w:t>$</w:t>
            </w:r>
            <w:r w:rsidR="00B3432C">
              <w:rPr>
                <w:rStyle w:val="CommentReference"/>
                <w:b w:val="0"/>
                <w:noProof/>
                <w:color w:val="000000"/>
                <w:highlight w:val="black"/>
              </w:rPr>
              <w:t>''''''''''''''''</w:t>
            </w:r>
          </w:p>
        </w:tc>
        <w:tc>
          <w:tcPr>
            <w:tcW w:w="737" w:type="pct"/>
            <w:shd w:val="clear" w:color="auto" w:fill="auto"/>
            <w:vAlign w:val="center"/>
          </w:tcPr>
          <w:p w:rsidR="00711EF0" w:rsidRPr="009A42D6" w:rsidRDefault="00711EF0" w:rsidP="00766A04">
            <w:pPr>
              <w:keepNext/>
              <w:jc w:val="center"/>
              <w:rPr>
                <w:rFonts w:ascii="Arial Narrow" w:hAnsi="Arial Narrow"/>
                <w:bCs/>
                <w:color w:val="000000"/>
                <w:sz w:val="20"/>
              </w:rPr>
            </w:pPr>
            <w:r w:rsidRPr="009A42D6">
              <w:rPr>
                <w:rStyle w:val="CommentReference"/>
                <w:b w:val="0"/>
              </w:rPr>
              <w:t>$</w:t>
            </w:r>
            <w:r w:rsidR="00B3432C">
              <w:rPr>
                <w:rStyle w:val="CommentReference"/>
                <w:b w:val="0"/>
                <w:noProof/>
                <w:color w:val="000000"/>
                <w:highlight w:val="black"/>
              </w:rPr>
              <w:t>'''''''''''''''</w:t>
            </w:r>
          </w:p>
        </w:tc>
        <w:tc>
          <w:tcPr>
            <w:tcW w:w="737" w:type="pct"/>
            <w:shd w:val="clear" w:color="auto" w:fill="auto"/>
            <w:vAlign w:val="center"/>
          </w:tcPr>
          <w:p w:rsidR="00711EF0" w:rsidRPr="009A42D6" w:rsidRDefault="00711EF0" w:rsidP="00766A04">
            <w:pPr>
              <w:keepNext/>
              <w:jc w:val="center"/>
              <w:rPr>
                <w:rFonts w:ascii="Arial Narrow" w:hAnsi="Arial Narrow"/>
                <w:bCs/>
                <w:color w:val="000000"/>
                <w:sz w:val="20"/>
              </w:rPr>
            </w:pPr>
            <w:r w:rsidRPr="009A42D6">
              <w:rPr>
                <w:rStyle w:val="CommentReference"/>
                <w:b w:val="0"/>
              </w:rPr>
              <w:t>$</w:t>
            </w:r>
            <w:r w:rsidR="00B3432C">
              <w:rPr>
                <w:rStyle w:val="CommentReference"/>
                <w:b w:val="0"/>
                <w:noProof/>
                <w:color w:val="000000"/>
                <w:highlight w:val="black"/>
              </w:rPr>
              <w:t>''''''''''''''''</w:t>
            </w:r>
          </w:p>
        </w:tc>
        <w:tc>
          <w:tcPr>
            <w:tcW w:w="739" w:type="pct"/>
            <w:shd w:val="clear" w:color="auto" w:fill="auto"/>
            <w:vAlign w:val="center"/>
          </w:tcPr>
          <w:p w:rsidR="00711EF0" w:rsidRPr="009A42D6" w:rsidRDefault="00711EF0" w:rsidP="00766A04">
            <w:pPr>
              <w:keepNext/>
              <w:jc w:val="center"/>
              <w:rPr>
                <w:rFonts w:ascii="Arial Narrow" w:hAnsi="Arial Narrow"/>
                <w:bCs/>
                <w:color w:val="000000"/>
                <w:sz w:val="20"/>
              </w:rPr>
            </w:pPr>
            <w:r w:rsidRPr="009A42D6">
              <w:rPr>
                <w:rStyle w:val="CommentReference"/>
                <w:b w:val="0"/>
              </w:rPr>
              <w:t>$</w:t>
            </w:r>
            <w:r w:rsidR="00B3432C">
              <w:rPr>
                <w:rStyle w:val="CommentReference"/>
                <w:b w:val="0"/>
                <w:noProof/>
                <w:color w:val="000000"/>
                <w:highlight w:val="black"/>
              </w:rPr>
              <w:t>''''''''''''''''</w:t>
            </w:r>
          </w:p>
        </w:tc>
      </w:tr>
      <w:tr w:rsidR="00711EF0" w:rsidTr="00583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rsidR="00711EF0" w:rsidRPr="00FE411B" w:rsidRDefault="00711EF0" w:rsidP="00FC48D5">
            <w:pPr>
              <w:keepNext/>
              <w:tabs>
                <w:tab w:val="left" w:pos="142"/>
              </w:tabs>
              <w:jc w:val="left"/>
              <w:rPr>
                <w:rStyle w:val="CommentReference"/>
                <w:b w:val="0"/>
                <w:sz w:val="19"/>
                <w:szCs w:val="19"/>
              </w:rPr>
            </w:pPr>
            <w:r w:rsidRPr="00FE411B">
              <w:rPr>
                <w:rStyle w:val="CommentReference"/>
                <w:b w:val="0"/>
                <w:sz w:val="19"/>
                <w:szCs w:val="19"/>
              </w:rPr>
              <w:t>Net cost to other budgets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711EF0" w:rsidRPr="009A42D6" w:rsidRDefault="00711EF0" w:rsidP="00766A04">
            <w:pPr>
              <w:keepNext/>
              <w:jc w:val="center"/>
              <w:rPr>
                <w:rStyle w:val="CommentReference"/>
              </w:rPr>
            </w:pPr>
            <w:r w:rsidRPr="009A42D6">
              <w:rPr>
                <w:rStyle w:val="CommentReference"/>
              </w:rPr>
              <w:t>-$</w:t>
            </w:r>
            <w:r w:rsidR="00B3432C">
              <w:rPr>
                <w:rStyle w:val="CommentReference"/>
                <w:noProof/>
                <w:color w:val="000000"/>
                <w:highlight w:val="black"/>
              </w:rPr>
              <w:t>''''''''''''''''</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711EF0" w:rsidRPr="009A42D6" w:rsidRDefault="00711EF0" w:rsidP="00766A04">
            <w:pPr>
              <w:keepNext/>
              <w:jc w:val="center"/>
              <w:rPr>
                <w:rStyle w:val="CommentReference"/>
                <w:b w:val="0"/>
              </w:rPr>
            </w:pPr>
            <w:r w:rsidRPr="009A42D6">
              <w:rPr>
                <w:rStyle w:val="CommentReference"/>
                <w:b w:val="0"/>
              </w:rPr>
              <w:t>-$</w:t>
            </w:r>
            <w:r w:rsidR="00B3432C">
              <w:rPr>
                <w:rStyle w:val="CommentReference"/>
                <w:b w:val="0"/>
                <w:noProof/>
                <w:color w:val="000000"/>
                <w:highlight w:val="black"/>
              </w:rPr>
              <w:t>'''''''''''''''''''</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711EF0" w:rsidRPr="009A42D6" w:rsidRDefault="00711EF0" w:rsidP="00766A04">
            <w:pPr>
              <w:keepNext/>
              <w:jc w:val="center"/>
              <w:rPr>
                <w:rStyle w:val="CommentReference"/>
                <w:b w:val="0"/>
              </w:rPr>
            </w:pPr>
            <w:r w:rsidRPr="009A42D6">
              <w:rPr>
                <w:rStyle w:val="CommentReference"/>
                <w:b w:val="0"/>
              </w:rPr>
              <w:t>-$</w:t>
            </w:r>
            <w:r w:rsidR="00B3432C">
              <w:rPr>
                <w:rStyle w:val="CommentReference"/>
                <w:b w:val="0"/>
                <w:noProof/>
                <w:color w:val="000000"/>
                <w:highlight w:val="black"/>
              </w:rPr>
              <w:t>'''''''''''''''''''</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711EF0" w:rsidRPr="009A42D6" w:rsidRDefault="00711EF0" w:rsidP="00766A04">
            <w:pPr>
              <w:keepNext/>
              <w:jc w:val="center"/>
              <w:rPr>
                <w:rStyle w:val="CommentReference"/>
                <w:b w:val="0"/>
              </w:rPr>
            </w:pPr>
            <w:r w:rsidRPr="009A42D6">
              <w:rPr>
                <w:rStyle w:val="CommentReference"/>
                <w:b w:val="0"/>
              </w:rPr>
              <w:t>-$</w:t>
            </w:r>
            <w:r w:rsidR="00B3432C">
              <w:rPr>
                <w:rStyle w:val="CommentReference"/>
                <w:b w:val="0"/>
                <w:noProof/>
                <w:color w:val="000000"/>
                <w:highlight w:val="black"/>
              </w:rPr>
              <w:t>''''''''''''''''''''</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711EF0" w:rsidRPr="009A42D6" w:rsidRDefault="00711EF0" w:rsidP="00766A04">
            <w:pPr>
              <w:keepNext/>
              <w:jc w:val="center"/>
              <w:rPr>
                <w:rStyle w:val="CommentReference"/>
                <w:b w:val="0"/>
              </w:rPr>
            </w:pPr>
            <w:r w:rsidRPr="009A42D6">
              <w:rPr>
                <w:rStyle w:val="CommentReference"/>
                <w:b w:val="0"/>
              </w:rPr>
              <w:t>-$</w:t>
            </w:r>
            <w:r w:rsidR="00B3432C">
              <w:rPr>
                <w:rStyle w:val="CommentReference"/>
                <w:b w:val="0"/>
                <w:noProof/>
                <w:color w:val="000000"/>
                <w:highlight w:val="black"/>
              </w:rPr>
              <w:t>''''''''''''''''''</w:t>
            </w:r>
          </w:p>
        </w:tc>
      </w:tr>
      <w:tr w:rsidR="00711EF0" w:rsidRPr="004E2ADC" w:rsidTr="00583296">
        <w:tc>
          <w:tcPr>
            <w:tcW w:w="5000" w:type="pct"/>
            <w:gridSpan w:val="6"/>
            <w:shd w:val="clear" w:color="auto" w:fill="auto"/>
            <w:vAlign w:val="center"/>
          </w:tcPr>
          <w:p w:rsidR="00711EF0" w:rsidRPr="009A42D6" w:rsidRDefault="00711EF0" w:rsidP="00FC48D5">
            <w:pPr>
              <w:keepNext/>
              <w:jc w:val="left"/>
              <w:rPr>
                <w:rFonts w:ascii="Arial Narrow" w:hAnsi="Arial Narrow"/>
                <w:b/>
                <w:color w:val="000000"/>
                <w:sz w:val="20"/>
              </w:rPr>
            </w:pPr>
            <w:r w:rsidRPr="009A42D6">
              <w:rPr>
                <w:rFonts w:ascii="Arial Narrow" w:hAnsi="Arial Narrow"/>
                <w:b/>
                <w:color w:val="000000"/>
                <w:sz w:val="20"/>
              </w:rPr>
              <w:t>Estimated total net cost</w:t>
            </w:r>
          </w:p>
        </w:tc>
      </w:tr>
      <w:tr w:rsidR="00711EF0" w:rsidRPr="004E2ADC" w:rsidTr="00583296">
        <w:tc>
          <w:tcPr>
            <w:tcW w:w="1313" w:type="pct"/>
            <w:shd w:val="clear" w:color="auto" w:fill="auto"/>
            <w:vAlign w:val="center"/>
          </w:tcPr>
          <w:p w:rsidR="00711EF0" w:rsidRPr="00145540" w:rsidRDefault="00711EF0" w:rsidP="00FC48D5">
            <w:pPr>
              <w:keepNext/>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737" w:type="pct"/>
            <w:shd w:val="clear" w:color="auto" w:fill="auto"/>
            <w:vAlign w:val="center"/>
          </w:tcPr>
          <w:p w:rsidR="00711EF0" w:rsidRPr="009A42D6" w:rsidRDefault="00711EF0" w:rsidP="00FC48D5">
            <w:pPr>
              <w:keepNext/>
              <w:jc w:val="center"/>
              <w:rPr>
                <w:rFonts w:ascii="Arial Narrow" w:hAnsi="Arial Narrow"/>
                <w:color w:val="000000"/>
                <w:sz w:val="20"/>
              </w:rPr>
            </w:pPr>
            <w:r w:rsidRPr="009A42D6">
              <w:rPr>
                <w:rStyle w:val="CommentReference"/>
              </w:rPr>
              <w:t>-$</w:t>
            </w:r>
            <w:r w:rsidR="00B3432C">
              <w:rPr>
                <w:rStyle w:val="CommentReference"/>
                <w:noProof/>
                <w:color w:val="000000"/>
                <w:highlight w:val="black"/>
              </w:rPr>
              <w:t>''''''''''''''''''</w:t>
            </w:r>
          </w:p>
        </w:tc>
        <w:tc>
          <w:tcPr>
            <w:tcW w:w="737" w:type="pct"/>
            <w:shd w:val="clear" w:color="auto" w:fill="auto"/>
            <w:vAlign w:val="center"/>
          </w:tcPr>
          <w:p w:rsidR="00711EF0" w:rsidRPr="009A42D6" w:rsidRDefault="00711EF0" w:rsidP="00FC48D5">
            <w:pPr>
              <w:keepNext/>
              <w:jc w:val="center"/>
              <w:rPr>
                <w:rFonts w:ascii="Arial Narrow" w:hAnsi="Arial Narrow"/>
                <w:color w:val="000000"/>
                <w:sz w:val="20"/>
              </w:rPr>
            </w:pPr>
            <w:r w:rsidRPr="009A42D6">
              <w:rPr>
                <w:rStyle w:val="CommentReference"/>
              </w:rPr>
              <w:t>-$</w:t>
            </w:r>
            <w:r w:rsidR="00B3432C">
              <w:rPr>
                <w:rStyle w:val="CommentReference"/>
                <w:noProof/>
                <w:color w:val="000000"/>
                <w:highlight w:val="black"/>
              </w:rPr>
              <w:t>'''''''''''''''''''''''</w:t>
            </w:r>
          </w:p>
        </w:tc>
        <w:tc>
          <w:tcPr>
            <w:tcW w:w="737" w:type="pct"/>
            <w:shd w:val="clear" w:color="auto" w:fill="auto"/>
            <w:vAlign w:val="center"/>
          </w:tcPr>
          <w:p w:rsidR="00711EF0" w:rsidRPr="009A42D6" w:rsidRDefault="00711EF0" w:rsidP="00FC48D5">
            <w:pPr>
              <w:keepNext/>
              <w:jc w:val="center"/>
              <w:rPr>
                <w:rFonts w:ascii="Arial Narrow" w:hAnsi="Arial Narrow"/>
                <w:color w:val="000000"/>
                <w:sz w:val="20"/>
              </w:rPr>
            </w:pPr>
            <w:r w:rsidRPr="009A42D6">
              <w:rPr>
                <w:rStyle w:val="CommentReference"/>
              </w:rPr>
              <w:t>-$</w:t>
            </w:r>
            <w:r w:rsidR="00B3432C">
              <w:rPr>
                <w:rStyle w:val="CommentReference"/>
                <w:noProof/>
                <w:color w:val="000000"/>
                <w:highlight w:val="black"/>
              </w:rPr>
              <w:t>'''''''''''''''''''''''</w:t>
            </w:r>
          </w:p>
        </w:tc>
        <w:tc>
          <w:tcPr>
            <w:tcW w:w="737" w:type="pct"/>
            <w:shd w:val="clear" w:color="auto" w:fill="auto"/>
            <w:vAlign w:val="center"/>
          </w:tcPr>
          <w:p w:rsidR="00711EF0" w:rsidRPr="009A42D6" w:rsidRDefault="00711EF0" w:rsidP="00FC48D5">
            <w:pPr>
              <w:keepNext/>
              <w:jc w:val="center"/>
              <w:rPr>
                <w:rFonts w:ascii="Arial Narrow" w:hAnsi="Arial Narrow"/>
                <w:color w:val="000000"/>
                <w:sz w:val="20"/>
              </w:rPr>
            </w:pPr>
            <w:r w:rsidRPr="009A42D6">
              <w:rPr>
                <w:rStyle w:val="CommentReference"/>
              </w:rPr>
              <w:t>-$</w:t>
            </w:r>
            <w:r w:rsidR="00B3432C">
              <w:rPr>
                <w:rStyle w:val="CommentReference"/>
                <w:noProof/>
                <w:color w:val="000000"/>
                <w:highlight w:val="black"/>
              </w:rPr>
              <w:t>'''''''''''''''''''''</w:t>
            </w:r>
          </w:p>
        </w:tc>
        <w:tc>
          <w:tcPr>
            <w:tcW w:w="739" w:type="pct"/>
            <w:shd w:val="clear" w:color="auto" w:fill="auto"/>
            <w:vAlign w:val="center"/>
          </w:tcPr>
          <w:p w:rsidR="00711EF0" w:rsidRPr="009A42D6" w:rsidRDefault="00711EF0" w:rsidP="00FC48D5">
            <w:pPr>
              <w:keepNext/>
              <w:jc w:val="center"/>
              <w:rPr>
                <w:rFonts w:ascii="Arial Narrow" w:hAnsi="Arial Narrow"/>
                <w:color w:val="000000"/>
                <w:sz w:val="20"/>
              </w:rPr>
            </w:pPr>
            <w:r w:rsidRPr="009A42D6">
              <w:rPr>
                <w:rStyle w:val="CommentReference"/>
              </w:rPr>
              <w:t>-$</w:t>
            </w:r>
            <w:r w:rsidR="00B3432C">
              <w:rPr>
                <w:rStyle w:val="CommentReference"/>
                <w:noProof/>
                <w:color w:val="000000"/>
                <w:highlight w:val="black"/>
              </w:rPr>
              <w:t>''''''''''''''''''''''</w:t>
            </w:r>
          </w:p>
        </w:tc>
      </w:tr>
    </w:tbl>
    <w:p w:rsidR="00C25D9C" w:rsidRPr="001222FC" w:rsidRDefault="00C25D9C" w:rsidP="00FC48D5">
      <w:pPr>
        <w:pStyle w:val="TableFooter"/>
        <w:keepNext/>
        <w:ind w:firstLine="720"/>
        <w:rPr>
          <w:sz w:val="16"/>
          <w:szCs w:val="18"/>
        </w:rPr>
      </w:pPr>
      <w:proofErr w:type="spellStart"/>
      <w:proofErr w:type="gramStart"/>
      <w:r w:rsidRPr="001222FC">
        <w:rPr>
          <w:vertAlign w:val="superscript"/>
        </w:rPr>
        <w:t>a</w:t>
      </w:r>
      <w:proofErr w:type="spellEnd"/>
      <w:proofErr w:type="gramEnd"/>
      <w:r>
        <w:t xml:space="preserve"> </w:t>
      </w:r>
      <w:r w:rsidRPr="001222FC">
        <w:t xml:space="preserve">Assuming </w:t>
      </w:r>
      <w:r w:rsidR="004A45D2">
        <w:t>11.10 scripts</w:t>
      </w:r>
      <w:r w:rsidRPr="001222FC">
        <w:t xml:space="preserve"> per year as estimated by the submission.</w:t>
      </w:r>
    </w:p>
    <w:p w:rsidR="00C25D9C" w:rsidRDefault="00C25D9C" w:rsidP="005D044D">
      <w:pPr>
        <w:pStyle w:val="TableFooter"/>
        <w:ind w:firstLine="720"/>
        <w:rPr>
          <w:szCs w:val="22"/>
        </w:rPr>
      </w:pPr>
      <w:r w:rsidRPr="001222FC">
        <w:rPr>
          <w:sz w:val="16"/>
          <w:szCs w:val="18"/>
        </w:rPr>
        <w:t xml:space="preserve">Source: </w:t>
      </w:r>
      <w:r w:rsidR="00FE411B">
        <w:rPr>
          <w:szCs w:val="18"/>
        </w:rPr>
        <w:t xml:space="preserve">Tables E.2 and E.5, p248 and p250 </w:t>
      </w:r>
      <w:r w:rsidR="00401B49">
        <w:rPr>
          <w:szCs w:val="18"/>
        </w:rPr>
        <w:t>of the</w:t>
      </w:r>
      <w:r w:rsidR="00FE411B">
        <w:rPr>
          <w:szCs w:val="18"/>
        </w:rPr>
        <w:t xml:space="preserve"> submission</w:t>
      </w:r>
    </w:p>
    <w:p w:rsidR="00C25D9C" w:rsidRPr="00C25D9C" w:rsidRDefault="00C25D9C" w:rsidP="00C25D9C">
      <w:pPr>
        <w:widowControl/>
        <w:rPr>
          <w:szCs w:val="22"/>
        </w:rPr>
      </w:pPr>
    </w:p>
    <w:p w:rsidR="00911254" w:rsidRPr="002661C9" w:rsidRDefault="00911254" w:rsidP="00375D03">
      <w:pPr>
        <w:pStyle w:val="ListParagraph"/>
        <w:widowControl/>
        <w:numPr>
          <w:ilvl w:val="1"/>
          <w:numId w:val="4"/>
        </w:numPr>
        <w:rPr>
          <w:szCs w:val="22"/>
        </w:rPr>
      </w:pPr>
      <w:r w:rsidRPr="002661C9">
        <w:rPr>
          <w:szCs w:val="22"/>
        </w:rPr>
        <w:t xml:space="preserve">At year 5, the estimated number of scripts was </w:t>
      </w:r>
      <w:r w:rsidR="00305DD7">
        <w:rPr>
          <w:szCs w:val="22"/>
        </w:rPr>
        <w:t xml:space="preserve">less than 10,000 </w:t>
      </w:r>
      <w:r w:rsidRPr="002661C9">
        <w:rPr>
          <w:szCs w:val="22"/>
        </w:rPr>
        <w:t xml:space="preserve">and the </w:t>
      </w:r>
      <w:r w:rsidR="000F63A3" w:rsidRPr="002661C9">
        <w:rPr>
          <w:szCs w:val="22"/>
        </w:rPr>
        <w:t xml:space="preserve">estimated </w:t>
      </w:r>
      <w:r w:rsidRPr="002661C9">
        <w:rPr>
          <w:szCs w:val="22"/>
        </w:rPr>
        <w:t xml:space="preserve">net cost to the PBS/RPBS </w:t>
      </w:r>
      <w:r w:rsidR="002661C9">
        <w:rPr>
          <w:szCs w:val="22"/>
        </w:rPr>
        <w:t>wa</w:t>
      </w:r>
      <w:r w:rsidR="000F63A3" w:rsidRPr="002661C9">
        <w:rPr>
          <w:szCs w:val="22"/>
        </w:rPr>
        <w:t>s</w:t>
      </w:r>
      <w:r w:rsidRPr="002661C9">
        <w:rPr>
          <w:szCs w:val="22"/>
        </w:rPr>
        <w:t xml:space="preserve"> a cost saving of </w:t>
      </w:r>
      <w:r w:rsidR="00375D03" w:rsidRPr="00375D03">
        <w:rPr>
          <w:szCs w:val="22"/>
        </w:rPr>
        <w:t>$10 – $20 million</w:t>
      </w:r>
      <w:r w:rsidRPr="002661C9">
        <w:rPr>
          <w:szCs w:val="22"/>
        </w:rPr>
        <w:t xml:space="preserve">. </w:t>
      </w:r>
    </w:p>
    <w:p w:rsidR="00911254" w:rsidRPr="00911254" w:rsidRDefault="00911254" w:rsidP="00911254">
      <w:pPr>
        <w:pStyle w:val="ListParagraph"/>
        <w:widowControl/>
        <w:rPr>
          <w:szCs w:val="22"/>
        </w:rPr>
      </w:pPr>
    </w:p>
    <w:p w:rsidR="00C25D9C" w:rsidRPr="0084358A" w:rsidRDefault="000F63A3" w:rsidP="000129D8">
      <w:pPr>
        <w:pStyle w:val="ListParagraph"/>
        <w:keepNext/>
        <w:keepLines/>
        <w:widowControl/>
        <w:numPr>
          <w:ilvl w:val="1"/>
          <w:numId w:val="4"/>
        </w:numPr>
        <w:rPr>
          <w:szCs w:val="22"/>
        </w:rPr>
      </w:pPr>
      <w:r>
        <w:lastRenderedPageBreak/>
        <w:t>The evaluation stated that t</w:t>
      </w:r>
      <w:r w:rsidR="00FE411B" w:rsidRPr="0084358A">
        <w:t>he estimates are generally well supported</w:t>
      </w:r>
      <w:r w:rsidR="00711EF0" w:rsidRPr="0084358A">
        <w:t>, and reasonable.</w:t>
      </w:r>
      <w:r w:rsidR="00FE411B" w:rsidRPr="0084358A">
        <w:t xml:space="preserve"> Overall, financial estimates are most sensitive to the relative usage weights of docetaxel or pemetrexed due to the significant price differential between the two comparators.</w:t>
      </w:r>
      <w:r w:rsidR="000C3204">
        <w:t xml:space="preserve"> The ESC considered that t</w:t>
      </w:r>
      <w:r w:rsidR="000C3204" w:rsidRPr="000C3204">
        <w:t xml:space="preserve">he pemetrexed weighting (87%) for relative use in comparison to docetaxel </w:t>
      </w:r>
      <w:r w:rsidR="006779A7">
        <w:t>wa</w:t>
      </w:r>
      <w:r w:rsidR="000C3204" w:rsidRPr="000C3204">
        <w:t>s not appropriate.</w:t>
      </w:r>
    </w:p>
    <w:p w:rsidR="00576972" w:rsidRDefault="00576972" w:rsidP="00576972">
      <w:pPr>
        <w:widowControl/>
        <w:rPr>
          <w:szCs w:val="22"/>
        </w:rPr>
      </w:pPr>
    </w:p>
    <w:p w:rsidR="00576972" w:rsidRPr="002C2775" w:rsidRDefault="00576972" w:rsidP="00DA6992">
      <w:pPr>
        <w:pStyle w:val="Heading2"/>
        <w:keepNext/>
        <w:rPr>
          <w:i/>
          <w:szCs w:val="22"/>
        </w:rPr>
      </w:pPr>
      <w:bookmarkStart w:id="13" w:name="_Toc409189309"/>
      <w:r w:rsidRPr="002C2775">
        <w:rPr>
          <w:i/>
        </w:rPr>
        <w:t>Financial Management – Risk Sharing Arrangements</w:t>
      </w:r>
      <w:bookmarkEnd w:id="13"/>
    </w:p>
    <w:p w:rsidR="00C25D9C" w:rsidRPr="00576972" w:rsidRDefault="00C25D9C" w:rsidP="00DA6992">
      <w:pPr>
        <w:keepNext/>
        <w:widowControl/>
        <w:rPr>
          <w:szCs w:val="22"/>
        </w:rPr>
      </w:pPr>
    </w:p>
    <w:p w:rsidR="00C25D9C" w:rsidRPr="00041983" w:rsidRDefault="00041983" w:rsidP="00EA0FDF">
      <w:pPr>
        <w:pStyle w:val="ListParagraph"/>
        <w:widowControl/>
        <w:numPr>
          <w:ilvl w:val="1"/>
          <w:numId w:val="4"/>
        </w:numPr>
        <w:rPr>
          <w:szCs w:val="22"/>
        </w:rPr>
      </w:pPr>
      <w:r w:rsidRPr="00041983">
        <w:t xml:space="preserve">The </w:t>
      </w:r>
      <w:r w:rsidR="00786B3B">
        <w:t xml:space="preserve">IPF </w:t>
      </w:r>
      <w:r w:rsidRPr="00041983">
        <w:t xml:space="preserve">submission </w:t>
      </w:r>
      <w:r w:rsidR="0073526B">
        <w:t>propose</w:t>
      </w:r>
      <w:r w:rsidR="00493D99">
        <w:t>d</w:t>
      </w:r>
      <w:r w:rsidR="0073526B">
        <w:t xml:space="preserve"> a SPA across both </w:t>
      </w:r>
      <w:r w:rsidR="00E2076F">
        <w:t xml:space="preserve">the </w:t>
      </w:r>
      <w:r w:rsidR="0073526B">
        <w:t xml:space="preserve">NSCLC and IPF </w:t>
      </w:r>
      <w:r w:rsidR="00E2076F">
        <w:t xml:space="preserve">indications </w:t>
      </w:r>
      <w:r w:rsidR="0073526B">
        <w:t>(see paragraph</w:t>
      </w:r>
      <w:r w:rsidR="009D2B28">
        <w:t> </w:t>
      </w:r>
      <w:r w:rsidR="0073526B">
        <w:t>2.</w:t>
      </w:r>
      <w:r w:rsidR="009D2B28">
        <w:t>4</w:t>
      </w:r>
      <w:r w:rsidR="0073526B">
        <w:t xml:space="preserve"> for</w:t>
      </w:r>
      <w:r w:rsidR="009D2B28">
        <w:t xml:space="preserve"> further</w:t>
      </w:r>
      <w:r w:rsidR="0073526B">
        <w:t xml:space="preserve"> detail</w:t>
      </w:r>
      <w:r w:rsidR="009D2B28">
        <w:t>s</w:t>
      </w:r>
      <w:r w:rsidR="0073526B">
        <w:t xml:space="preserve">). There </w:t>
      </w:r>
      <w:r w:rsidR="00493D99">
        <w:t>wa</w:t>
      </w:r>
      <w:r w:rsidR="0073526B">
        <w:t>s no specific risk sharing arrangement proposed for NSCLC.</w:t>
      </w:r>
    </w:p>
    <w:p w:rsidR="00576972" w:rsidRDefault="00576972" w:rsidP="00576972">
      <w:pPr>
        <w:widowControl/>
        <w:rPr>
          <w:szCs w:val="22"/>
        </w:rPr>
      </w:pPr>
    </w:p>
    <w:p w:rsidR="009C28D9" w:rsidRDefault="009C28D9" w:rsidP="00576972">
      <w:pPr>
        <w:widowControl/>
        <w:rPr>
          <w:szCs w:val="22"/>
        </w:rPr>
      </w:pPr>
    </w:p>
    <w:p w:rsidR="000E2641" w:rsidRDefault="000E2641" w:rsidP="000E2641">
      <w:pPr>
        <w:pStyle w:val="PBACHeading1"/>
      </w:pPr>
      <w:r w:rsidRPr="0025173A">
        <w:t xml:space="preserve">PBAC Outcome </w:t>
      </w:r>
    </w:p>
    <w:p w:rsidR="002B38A7" w:rsidRDefault="002B38A7" w:rsidP="002B38A7">
      <w:pPr>
        <w:pStyle w:val="PBACHeading1"/>
        <w:numPr>
          <w:ilvl w:val="0"/>
          <w:numId w:val="0"/>
        </w:numPr>
        <w:ind w:left="720" w:hanging="720"/>
      </w:pPr>
    </w:p>
    <w:p w:rsidR="002B38A7" w:rsidRDefault="002B38A7" w:rsidP="00EA0FDF">
      <w:pPr>
        <w:pStyle w:val="ListParagraph"/>
        <w:widowControl/>
        <w:numPr>
          <w:ilvl w:val="1"/>
          <w:numId w:val="10"/>
        </w:numPr>
        <w:snapToGrid w:val="0"/>
        <w:rPr>
          <w:szCs w:val="22"/>
        </w:rPr>
      </w:pPr>
      <w:r>
        <w:rPr>
          <w:szCs w:val="22"/>
        </w:rPr>
        <w:t xml:space="preserve">The PBAC rejected the request to list nintedanib </w:t>
      </w:r>
      <w:r w:rsidR="006B235D">
        <w:rPr>
          <w:szCs w:val="22"/>
        </w:rPr>
        <w:t xml:space="preserve">(in combination with docetaxel) </w:t>
      </w:r>
      <w:r>
        <w:rPr>
          <w:szCs w:val="22"/>
        </w:rPr>
        <w:t xml:space="preserve">for the treatment of </w:t>
      </w:r>
      <w:r w:rsidR="0053097A">
        <w:rPr>
          <w:szCs w:val="22"/>
        </w:rPr>
        <w:t xml:space="preserve">patients with </w:t>
      </w:r>
      <w:r w:rsidR="00463111">
        <w:rPr>
          <w:szCs w:val="22"/>
        </w:rPr>
        <w:t>NSCLC</w:t>
      </w:r>
      <w:r>
        <w:rPr>
          <w:szCs w:val="22"/>
        </w:rPr>
        <w:t xml:space="preserve"> on </w:t>
      </w:r>
      <w:r w:rsidRPr="006B235D">
        <w:rPr>
          <w:szCs w:val="22"/>
        </w:rPr>
        <w:t>the basis</w:t>
      </w:r>
      <w:r w:rsidR="006B235D">
        <w:rPr>
          <w:szCs w:val="22"/>
        </w:rPr>
        <w:t xml:space="preserve"> that the submission did not demonstrate non-inferior effectiveness compared with </w:t>
      </w:r>
      <w:r w:rsidR="00372EBA" w:rsidRPr="006B235D">
        <w:rPr>
          <w:szCs w:val="22"/>
        </w:rPr>
        <w:t>pe</w:t>
      </w:r>
      <w:r w:rsidRPr="006B235D">
        <w:rPr>
          <w:szCs w:val="22"/>
        </w:rPr>
        <w:t>met</w:t>
      </w:r>
      <w:r w:rsidR="00372EBA" w:rsidRPr="006B235D">
        <w:rPr>
          <w:szCs w:val="22"/>
        </w:rPr>
        <w:t>r</w:t>
      </w:r>
      <w:r w:rsidRPr="006B235D">
        <w:rPr>
          <w:szCs w:val="22"/>
        </w:rPr>
        <w:t>exed</w:t>
      </w:r>
      <w:r w:rsidR="006B235D">
        <w:rPr>
          <w:szCs w:val="22"/>
        </w:rPr>
        <w:t xml:space="preserve"> and that the economic </w:t>
      </w:r>
      <w:r w:rsidR="006A5C81">
        <w:rPr>
          <w:szCs w:val="22"/>
        </w:rPr>
        <w:t>analysis</w:t>
      </w:r>
      <w:r w:rsidR="006B235D">
        <w:rPr>
          <w:szCs w:val="22"/>
        </w:rPr>
        <w:t xml:space="preserve"> was inconsistent with the clinical claim. </w:t>
      </w:r>
    </w:p>
    <w:p w:rsidR="002B38A7" w:rsidRDefault="002B38A7" w:rsidP="002B38A7">
      <w:pPr>
        <w:pStyle w:val="ListParagraph"/>
        <w:widowControl/>
        <w:rPr>
          <w:szCs w:val="22"/>
        </w:rPr>
      </w:pPr>
    </w:p>
    <w:p w:rsidR="002B38A7" w:rsidRDefault="002B38A7" w:rsidP="00EA0FDF">
      <w:pPr>
        <w:pStyle w:val="ListParagraph"/>
        <w:widowControl/>
        <w:numPr>
          <w:ilvl w:val="1"/>
          <w:numId w:val="10"/>
        </w:numPr>
        <w:snapToGrid w:val="0"/>
        <w:rPr>
          <w:szCs w:val="22"/>
        </w:rPr>
      </w:pPr>
      <w:r>
        <w:rPr>
          <w:szCs w:val="22"/>
        </w:rPr>
        <w:t>The PBAC noted that the submission was made under</w:t>
      </w:r>
      <w:r w:rsidR="000F63A3">
        <w:rPr>
          <w:szCs w:val="22"/>
        </w:rPr>
        <w:t xml:space="preserve"> the</w:t>
      </w:r>
      <w:r>
        <w:rPr>
          <w:szCs w:val="22"/>
        </w:rPr>
        <w:t xml:space="preserve"> TGA/PBAC Parallel Process with the Delegate’s consideration expected in July 2015. Accordingly, the PBAC noted that it was only able to defer or reject the submission. However, the PBAC noted that even if a positive Delegate’s overview been available, it would have been minded to reject the submission due to the lack of clinical benefit and inadequately supported </w:t>
      </w:r>
      <w:r w:rsidR="00372EBA">
        <w:rPr>
          <w:szCs w:val="22"/>
        </w:rPr>
        <w:t>comparative effectiveness to pe</w:t>
      </w:r>
      <w:r>
        <w:rPr>
          <w:szCs w:val="22"/>
        </w:rPr>
        <w:t>met</w:t>
      </w:r>
      <w:r w:rsidR="00372EBA">
        <w:rPr>
          <w:szCs w:val="22"/>
        </w:rPr>
        <w:t>r</w:t>
      </w:r>
      <w:r>
        <w:rPr>
          <w:szCs w:val="22"/>
        </w:rPr>
        <w:t>exed.</w:t>
      </w:r>
    </w:p>
    <w:p w:rsidR="002B38A7" w:rsidRPr="006B61CF" w:rsidRDefault="002B38A7" w:rsidP="006B61CF">
      <w:pPr>
        <w:widowControl/>
        <w:rPr>
          <w:szCs w:val="22"/>
        </w:rPr>
      </w:pPr>
    </w:p>
    <w:p w:rsidR="002B38A7" w:rsidRPr="006779A7" w:rsidRDefault="006B61CF" w:rsidP="004A472F">
      <w:pPr>
        <w:numPr>
          <w:ilvl w:val="1"/>
          <w:numId w:val="4"/>
        </w:numPr>
        <w:snapToGrid w:val="0"/>
        <w:rPr>
          <w:szCs w:val="22"/>
        </w:rPr>
      </w:pPr>
      <w:r w:rsidRPr="006B61CF">
        <w:rPr>
          <w:szCs w:val="22"/>
        </w:rPr>
        <w:t xml:space="preserve">The PBAC did not accept </w:t>
      </w:r>
      <w:r w:rsidRPr="001A3698">
        <w:t>docetaxel monotherapy</w:t>
      </w:r>
      <w:r>
        <w:t xml:space="preserve"> as an appropriate comparator</w:t>
      </w:r>
      <w:r w:rsidR="00A66158">
        <w:t xml:space="preserve"> and noted that the Pre-PBAC Response </w:t>
      </w:r>
      <w:r w:rsidR="000D105A">
        <w:t xml:space="preserve">indicated </w:t>
      </w:r>
      <w:r w:rsidR="00A66158">
        <w:t xml:space="preserve">that the sponsor </w:t>
      </w:r>
      <w:r w:rsidR="000D105A">
        <w:t>would accept the recommendation of the PBAC</w:t>
      </w:r>
      <w:r w:rsidR="00A37BAC">
        <w:t>. The PBAC</w:t>
      </w:r>
      <w:r>
        <w:t xml:space="preserve"> </w:t>
      </w:r>
      <w:r w:rsidR="000E5490" w:rsidRPr="006B61CF">
        <w:rPr>
          <w:szCs w:val="22"/>
        </w:rPr>
        <w:t xml:space="preserve">considered that pemetrexed was the appropriate comparator </w:t>
      </w:r>
      <w:r w:rsidR="00372EBA" w:rsidRPr="006B61CF">
        <w:rPr>
          <w:szCs w:val="22"/>
        </w:rPr>
        <w:t xml:space="preserve">given </w:t>
      </w:r>
      <w:r w:rsidR="000E5490" w:rsidRPr="006B61CF">
        <w:rPr>
          <w:szCs w:val="22"/>
        </w:rPr>
        <w:t>the dominance of pemetrexed as second-line treatment for advanced NSCLC</w:t>
      </w:r>
      <w:r w:rsidR="00A37BAC">
        <w:rPr>
          <w:szCs w:val="22"/>
        </w:rPr>
        <w:t xml:space="preserve"> due to its superior effectiveness compared with docetaxel monotherapy</w:t>
      </w:r>
      <w:r>
        <w:rPr>
          <w:szCs w:val="22"/>
        </w:rPr>
        <w:t xml:space="preserve">. The PBAC </w:t>
      </w:r>
      <w:r w:rsidR="00C01B84">
        <w:rPr>
          <w:szCs w:val="22"/>
        </w:rPr>
        <w:t>recalled the</w:t>
      </w:r>
      <w:r>
        <w:rPr>
          <w:szCs w:val="22"/>
        </w:rPr>
        <w:t xml:space="preserve"> acceptance of </w:t>
      </w:r>
      <w:r w:rsidR="000E5490" w:rsidRPr="006B61CF" w:rsidDel="000E2641">
        <w:rPr>
          <w:szCs w:val="22"/>
        </w:rPr>
        <w:t xml:space="preserve">pemetrexed </w:t>
      </w:r>
      <w:r>
        <w:rPr>
          <w:szCs w:val="22"/>
        </w:rPr>
        <w:t>as the</w:t>
      </w:r>
      <w:r w:rsidR="000E5490" w:rsidRPr="006B61CF" w:rsidDel="000E2641">
        <w:rPr>
          <w:szCs w:val="22"/>
        </w:rPr>
        <w:t xml:space="preserve"> appropriate comparator for adenocarcinoma NSCLC patients on second-line therapy</w:t>
      </w:r>
      <w:r w:rsidRPr="006B61CF">
        <w:rPr>
          <w:i/>
          <w:szCs w:val="22"/>
        </w:rPr>
        <w:t>.</w:t>
      </w:r>
    </w:p>
    <w:p w:rsidR="006779A7" w:rsidRPr="006779A7" w:rsidRDefault="006779A7" w:rsidP="006779A7">
      <w:pPr>
        <w:snapToGrid w:val="0"/>
        <w:ind w:left="720"/>
        <w:rPr>
          <w:szCs w:val="22"/>
        </w:rPr>
      </w:pPr>
    </w:p>
    <w:p w:rsidR="006779A7" w:rsidRPr="004A472F" w:rsidRDefault="006779A7" w:rsidP="004A472F">
      <w:pPr>
        <w:numPr>
          <w:ilvl w:val="1"/>
          <w:numId w:val="4"/>
        </w:numPr>
        <w:snapToGrid w:val="0"/>
        <w:rPr>
          <w:szCs w:val="22"/>
        </w:rPr>
      </w:pPr>
      <w:r>
        <w:rPr>
          <w:szCs w:val="22"/>
        </w:rPr>
        <w:t>The PBAC</w:t>
      </w:r>
      <w:r w:rsidR="00D02ED5">
        <w:rPr>
          <w:szCs w:val="22"/>
        </w:rPr>
        <w:t xml:space="preserve"> further</w:t>
      </w:r>
      <w:r>
        <w:rPr>
          <w:szCs w:val="22"/>
        </w:rPr>
        <w:t xml:space="preserve"> considered that replacing an I.V. infusion (pemetrexed) with a combination of oral medication (nintedanib) and I.V. infusion (docetaxel) would have disadvantages for the patient</w:t>
      </w:r>
      <w:r w:rsidR="00035A8D">
        <w:rPr>
          <w:szCs w:val="22"/>
        </w:rPr>
        <w:t>.</w:t>
      </w:r>
    </w:p>
    <w:p w:rsidR="006B61CF" w:rsidRPr="006B61CF" w:rsidRDefault="006B61CF" w:rsidP="006B61CF">
      <w:pPr>
        <w:widowControl/>
        <w:snapToGrid w:val="0"/>
        <w:rPr>
          <w:szCs w:val="22"/>
        </w:rPr>
      </w:pPr>
    </w:p>
    <w:p w:rsidR="007470B2" w:rsidRPr="006A4D86" w:rsidRDefault="006A4D86" w:rsidP="0043384C">
      <w:pPr>
        <w:numPr>
          <w:ilvl w:val="1"/>
          <w:numId w:val="10"/>
        </w:numPr>
        <w:snapToGrid w:val="0"/>
        <w:rPr>
          <w:szCs w:val="22"/>
        </w:rPr>
      </w:pPr>
      <w:r>
        <w:rPr>
          <w:szCs w:val="22"/>
        </w:rPr>
        <w:t>In forming a view of their recommendation, the PBAC noted that n</w:t>
      </w:r>
      <w:r w:rsidR="000F63A3">
        <w:rPr>
          <w:szCs w:val="22"/>
        </w:rPr>
        <w:t>intedanib should</w:t>
      </w:r>
      <w:r w:rsidR="00EA0FDF" w:rsidRPr="006A4D86">
        <w:rPr>
          <w:szCs w:val="22"/>
        </w:rPr>
        <w:t xml:space="preserve"> be placed in the context of </w:t>
      </w:r>
      <w:r w:rsidR="009E0F27">
        <w:rPr>
          <w:szCs w:val="22"/>
        </w:rPr>
        <w:t>a</w:t>
      </w:r>
      <w:r w:rsidR="00EA0FDF" w:rsidRPr="006A4D86">
        <w:rPr>
          <w:szCs w:val="22"/>
        </w:rPr>
        <w:t xml:space="preserve"> number of trials of oral </w:t>
      </w:r>
      <w:proofErr w:type="spellStart"/>
      <w:r w:rsidR="00EA0FDF" w:rsidRPr="006A4D86">
        <w:rPr>
          <w:szCs w:val="22"/>
        </w:rPr>
        <w:t>angiokinase</w:t>
      </w:r>
      <w:proofErr w:type="spellEnd"/>
      <w:r w:rsidR="009E0F27">
        <w:rPr>
          <w:szCs w:val="22"/>
        </w:rPr>
        <w:t xml:space="preserve"> inhibitors</w:t>
      </w:r>
      <w:r w:rsidR="00372EBA">
        <w:rPr>
          <w:szCs w:val="22"/>
        </w:rPr>
        <w:t xml:space="preserve"> (in combination with other chemotherapy)</w:t>
      </w:r>
      <w:r w:rsidR="00EA0FDF" w:rsidRPr="006A4D86">
        <w:rPr>
          <w:szCs w:val="22"/>
        </w:rPr>
        <w:t xml:space="preserve"> for NSCLC</w:t>
      </w:r>
      <w:r w:rsidR="0043384C">
        <w:rPr>
          <w:szCs w:val="22"/>
        </w:rPr>
        <w:t xml:space="preserve"> that have not produced meaningful outcomes. For example, a trial of </w:t>
      </w:r>
      <w:proofErr w:type="spellStart"/>
      <w:r w:rsidR="0043384C">
        <w:rPr>
          <w:szCs w:val="22"/>
        </w:rPr>
        <w:t>vandeitinib</w:t>
      </w:r>
      <w:proofErr w:type="spellEnd"/>
      <w:r w:rsidR="0043384C">
        <w:rPr>
          <w:szCs w:val="22"/>
        </w:rPr>
        <w:t xml:space="preserve"> in combination with docetaxel </w:t>
      </w:r>
      <w:r w:rsidR="00BE3214">
        <w:rPr>
          <w:szCs w:val="22"/>
        </w:rPr>
        <w:t xml:space="preserve">compared with docetaxel monotherapy </w:t>
      </w:r>
      <w:r w:rsidR="0043384C">
        <w:rPr>
          <w:szCs w:val="22"/>
        </w:rPr>
        <w:t>(</w:t>
      </w:r>
      <w:proofErr w:type="spellStart"/>
      <w:r w:rsidR="00BE3214">
        <w:rPr>
          <w:szCs w:val="22"/>
        </w:rPr>
        <w:t>Herbst</w:t>
      </w:r>
      <w:proofErr w:type="spellEnd"/>
      <w:r w:rsidR="00BE3214">
        <w:rPr>
          <w:szCs w:val="22"/>
        </w:rPr>
        <w:t xml:space="preserve"> et al, The Lancet Oncology, July 2010,</w:t>
      </w:r>
      <w:r w:rsidR="0043384C">
        <w:rPr>
          <w:szCs w:val="22"/>
        </w:rPr>
        <w:t xml:space="preserve"> 11: </w:t>
      </w:r>
      <w:r w:rsidR="00BE3214">
        <w:rPr>
          <w:szCs w:val="22"/>
        </w:rPr>
        <w:t>p</w:t>
      </w:r>
      <w:r w:rsidR="0043384C">
        <w:rPr>
          <w:szCs w:val="22"/>
        </w:rPr>
        <w:t>619</w:t>
      </w:r>
      <w:r w:rsidR="0043384C">
        <w:rPr>
          <w:szCs w:val="22"/>
        </w:rPr>
        <w:noBreakHyphen/>
      </w:r>
      <w:r w:rsidR="0043384C" w:rsidRPr="0043384C">
        <w:rPr>
          <w:szCs w:val="22"/>
        </w:rPr>
        <w:t>626</w:t>
      </w:r>
      <w:r w:rsidR="0043384C">
        <w:rPr>
          <w:szCs w:val="22"/>
        </w:rPr>
        <w:t xml:space="preserve">) did not produce </w:t>
      </w:r>
      <w:r w:rsidR="00BE3214">
        <w:rPr>
          <w:szCs w:val="22"/>
        </w:rPr>
        <w:t xml:space="preserve">clinically </w:t>
      </w:r>
      <w:r w:rsidR="0043384C">
        <w:rPr>
          <w:szCs w:val="22"/>
        </w:rPr>
        <w:t xml:space="preserve">meaningful outcomes, and the LUME Lung 2 trial (Hanna et al, </w:t>
      </w:r>
      <w:proofErr w:type="spellStart"/>
      <w:r w:rsidR="0043384C" w:rsidRPr="0043384C">
        <w:rPr>
          <w:szCs w:val="22"/>
        </w:rPr>
        <w:t>Proc</w:t>
      </w:r>
      <w:proofErr w:type="spellEnd"/>
      <w:r w:rsidR="0043384C" w:rsidRPr="0043384C">
        <w:rPr>
          <w:szCs w:val="22"/>
        </w:rPr>
        <w:t xml:space="preserve"> Am </w:t>
      </w:r>
      <w:proofErr w:type="spellStart"/>
      <w:r w:rsidR="0043384C" w:rsidRPr="0043384C">
        <w:rPr>
          <w:szCs w:val="22"/>
        </w:rPr>
        <w:t>Soc</w:t>
      </w:r>
      <w:proofErr w:type="spellEnd"/>
      <w:r w:rsidR="0043384C" w:rsidRPr="0043384C">
        <w:rPr>
          <w:szCs w:val="22"/>
        </w:rPr>
        <w:t xml:space="preserve"> </w:t>
      </w:r>
      <w:proofErr w:type="spellStart"/>
      <w:r w:rsidR="0043384C" w:rsidRPr="0043384C">
        <w:rPr>
          <w:szCs w:val="22"/>
        </w:rPr>
        <w:t>Clin</w:t>
      </w:r>
      <w:proofErr w:type="spellEnd"/>
      <w:r w:rsidR="0043384C" w:rsidRPr="0043384C">
        <w:rPr>
          <w:szCs w:val="22"/>
        </w:rPr>
        <w:t xml:space="preserve"> </w:t>
      </w:r>
      <w:proofErr w:type="spellStart"/>
      <w:r w:rsidR="0043384C" w:rsidRPr="0043384C">
        <w:rPr>
          <w:szCs w:val="22"/>
        </w:rPr>
        <w:t>On</w:t>
      </w:r>
      <w:r w:rsidR="0043384C">
        <w:rPr>
          <w:szCs w:val="22"/>
        </w:rPr>
        <w:t>col</w:t>
      </w:r>
      <w:proofErr w:type="spellEnd"/>
      <w:r w:rsidR="0043384C">
        <w:rPr>
          <w:szCs w:val="22"/>
        </w:rPr>
        <w:t xml:space="preserve"> 2013; 31 (</w:t>
      </w:r>
      <w:proofErr w:type="spellStart"/>
      <w:r w:rsidR="0043384C">
        <w:rPr>
          <w:szCs w:val="22"/>
        </w:rPr>
        <w:t>suppl</w:t>
      </w:r>
      <w:proofErr w:type="spellEnd"/>
      <w:r w:rsidR="0043384C">
        <w:rPr>
          <w:szCs w:val="22"/>
        </w:rPr>
        <w:t xml:space="preserve">) </w:t>
      </w:r>
      <w:proofErr w:type="spellStart"/>
      <w:r w:rsidR="0043384C">
        <w:rPr>
          <w:szCs w:val="22"/>
        </w:rPr>
        <w:t>abstr</w:t>
      </w:r>
      <w:proofErr w:type="spellEnd"/>
      <w:r w:rsidR="0043384C">
        <w:rPr>
          <w:szCs w:val="22"/>
        </w:rPr>
        <w:t xml:space="preserve"> 8034) demonstrated that nintedanib did not have additional benefit when added to pemetrexed</w:t>
      </w:r>
      <w:r w:rsidR="00EA0FDF" w:rsidRPr="006A4D86">
        <w:rPr>
          <w:szCs w:val="22"/>
        </w:rPr>
        <w:t>.</w:t>
      </w:r>
    </w:p>
    <w:p w:rsidR="00FA3A67" w:rsidRDefault="00FA3A67" w:rsidP="00FA3A67">
      <w:pPr>
        <w:widowControl/>
        <w:snapToGrid w:val="0"/>
      </w:pPr>
    </w:p>
    <w:p w:rsidR="00FA3A67" w:rsidRDefault="00FA3A67" w:rsidP="000129D8">
      <w:pPr>
        <w:keepNext/>
        <w:keepLines/>
        <w:numPr>
          <w:ilvl w:val="1"/>
          <w:numId w:val="10"/>
        </w:numPr>
        <w:snapToGrid w:val="0"/>
        <w:rPr>
          <w:szCs w:val="22"/>
        </w:rPr>
      </w:pPr>
      <w:r>
        <w:rPr>
          <w:szCs w:val="22"/>
        </w:rPr>
        <w:lastRenderedPageBreak/>
        <w:t>Given that the PBAC did not accept docetaxel monotherapy</w:t>
      </w:r>
      <w:r w:rsidR="006B235D">
        <w:rPr>
          <w:szCs w:val="22"/>
        </w:rPr>
        <w:t xml:space="preserve"> as an appropriate comparator</w:t>
      </w:r>
      <w:r>
        <w:rPr>
          <w:szCs w:val="22"/>
        </w:rPr>
        <w:t xml:space="preserve">, it considered that the </w:t>
      </w:r>
      <w:r w:rsidRPr="006A4D86">
        <w:rPr>
          <w:szCs w:val="22"/>
        </w:rPr>
        <w:t xml:space="preserve">statistically significant differences </w:t>
      </w:r>
      <w:r>
        <w:rPr>
          <w:szCs w:val="22"/>
        </w:rPr>
        <w:t xml:space="preserve">between nintedanib </w:t>
      </w:r>
      <w:r w:rsidR="006A5C81">
        <w:rPr>
          <w:szCs w:val="22"/>
        </w:rPr>
        <w:t>in combination with</w:t>
      </w:r>
      <w:r>
        <w:rPr>
          <w:szCs w:val="22"/>
        </w:rPr>
        <w:t xml:space="preserve"> docetaxel and docetaxel monotherapy </w:t>
      </w:r>
      <w:r w:rsidR="006B235D">
        <w:rPr>
          <w:szCs w:val="22"/>
        </w:rPr>
        <w:t>demonstrated in the LUME </w:t>
      </w:r>
      <w:r w:rsidRPr="006A4D86">
        <w:rPr>
          <w:szCs w:val="22"/>
        </w:rPr>
        <w:t>Lung</w:t>
      </w:r>
      <w:r w:rsidR="006B235D">
        <w:rPr>
          <w:szCs w:val="22"/>
        </w:rPr>
        <w:t xml:space="preserve"> </w:t>
      </w:r>
      <w:r w:rsidRPr="006A4D86">
        <w:rPr>
          <w:szCs w:val="22"/>
        </w:rPr>
        <w:t xml:space="preserve">1 trial </w:t>
      </w:r>
      <w:r>
        <w:rPr>
          <w:szCs w:val="22"/>
        </w:rPr>
        <w:t>were</w:t>
      </w:r>
      <w:r w:rsidRPr="006A4D86">
        <w:rPr>
          <w:szCs w:val="22"/>
        </w:rPr>
        <w:t xml:space="preserve"> not clinically meaningful</w:t>
      </w:r>
      <w:r w:rsidR="006B235D">
        <w:rPr>
          <w:szCs w:val="22"/>
        </w:rPr>
        <w:t xml:space="preserve"> in this context</w:t>
      </w:r>
      <w:r w:rsidRPr="006A4D86">
        <w:rPr>
          <w:szCs w:val="22"/>
        </w:rPr>
        <w:t>.</w:t>
      </w:r>
    </w:p>
    <w:p w:rsidR="00FA3A67" w:rsidRDefault="00FA3A67" w:rsidP="00FA3A67">
      <w:pPr>
        <w:snapToGrid w:val="0"/>
        <w:ind w:left="720"/>
        <w:rPr>
          <w:szCs w:val="22"/>
        </w:rPr>
      </w:pPr>
    </w:p>
    <w:p w:rsidR="00B5279F" w:rsidRDefault="00B5279F" w:rsidP="00B5279F">
      <w:pPr>
        <w:numPr>
          <w:ilvl w:val="1"/>
          <w:numId w:val="10"/>
        </w:numPr>
        <w:snapToGrid w:val="0"/>
        <w:rPr>
          <w:szCs w:val="22"/>
        </w:rPr>
      </w:pPr>
      <w:r>
        <w:rPr>
          <w:szCs w:val="22"/>
        </w:rPr>
        <w:t>The PBAC noted that o</w:t>
      </w:r>
      <w:r w:rsidRPr="00B5279F">
        <w:rPr>
          <w:szCs w:val="22"/>
        </w:rPr>
        <w:t>n the basis of the indirect evidence presented by the submission,</w:t>
      </w:r>
      <w:r w:rsidR="006B235D">
        <w:rPr>
          <w:szCs w:val="22"/>
        </w:rPr>
        <w:t xml:space="preserve"> t</w:t>
      </w:r>
      <w:r w:rsidR="006B235D" w:rsidRPr="00B5279F">
        <w:rPr>
          <w:szCs w:val="22"/>
        </w:rPr>
        <w:t>here was no statistically significant difference in progression-free survival</w:t>
      </w:r>
      <w:r w:rsidR="006B235D">
        <w:rPr>
          <w:szCs w:val="22"/>
        </w:rPr>
        <w:t xml:space="preserve"> or </w:t>
      </w:r>
      <w:r w:rsidR="006B235D" w:rsidRPr="00B5279F">
        <w:rPr>
          <w:szCs w:val="22"/>
        </w:rPr>
        <w:t>overall survival</w:t>
      </w:r>
      <w:r w:rsidRPr="00B5279F">
        <w:rPr>
          <w:szCs w:val="22"/>
        </w:rPr>
        <w:t xml:space="preserve"> for patients treated with nintedanib in combination with docetax</w:t>
      </w:r>
      <w:r>
        <w:rPr>
          <w:szCs w:val="22"/>
        </w:rPr>
        <w:t xml:space="preserve">el, in comparison to </w:t>
      </w:r>
      <w:r w:rsidR="006B235D">
        <w:rPr>
          <w:szCs w:val="22"/>
        </w:rPr>
        <w:t xml:space="preserve">treatment with </w:t>
      </w:r>
      <w:r>
        <w:rPr>
          <w:szCs w:val="22"/>
        </w:rPr>
        <w:t>pemetrexed</w:t>
      </w:r>
      <w:r w:rsidRPr="00B5279F">
        <w:rPr>
          <w:szCs w:val="22"/>
        </w:rPr>
        <w:t>.</w:t>
      </w:r>
      <w:r>
        <w:rPr>
          <w:szCs w:val="22"/>
        </w:rPr>
        <w:t xml:space="preserve"> </w:t>
      </w:r>
    </w:p>
    <w:p w:rsidR="00B5279F" w:rsidRDefault="00B5279F" w:rsidP="00B5279F">
      <w:pPr>
        <w:pStyle w:val="ListParagraph"/>
        <w:rPr>
          <w:szCs w:val="22"/>
        </w:rPr>
      </w:pPr>
    </w:p>
    <w:p w:rsidR="00FA3A67" w:rsidRDefault="00B5279F" w:rsidP="00FA3A67">
      <w:pPr>
        <w:numPr>
          <w:ilvl w:val="1"/>
          <w:numId w:val="10"/>
        </w:numPr>
        <w:snapToGrid w:val="0"/>
        <w:rPr>
          <w:szCs w:val="22"/>
        </w:rPr>
      </w:pPr>
      <w:r w:rsidRPr="00B5279F">
        <w:rPr>
          <w:szCs w:val="22"/>
        </w:rPr>
        <w:t xml:space="preserve">The </w:t>
      </w:r>
      <w:r>
        <w:rPr>
          <w:szCs w:val="22"/>
        </w:rPr>
        <w:t xml:space="preserve">PBAC </w:t>
      </w:r>
      <w:r w:rsidR="00FA3A67">
        <w:rPr>
          <w:szCs w:val="22"/>
        </w:rPr>
        <w:t>agreed with the ESC</w:t>
      </w:r>
      <w:r>
        <w:rPr>
          <w:szCs w:val="22"/>
        </w:rPr>
        <w:t xml:space="preserve"> that the </w:t>
      </w:r>
      <w:r w:rsidRPr="00B5279F">
        <w:rPr>
          <w:szCs w:val="22"/>
        </w:rPr>
        <w:t xml:space="preserve">MCID selected in the submission of 1.33 from </w:t>
      </w:r>
      <w:proofErr w:type="spellStart"/>
      <w:r w:rsidRPr="00B5279F">
        <w:rPr>
          <w:szCs w:val="22"/>
        </w:rPr>
        <w:t>Novello</w:t>
      </w:r>
      <w:proofErr w:type="spellEnd"/>
      <w:r w:rsidRPr="00B5279F">
        <w:rPr>
          <w:szCs w:val="22"/>
        </w:rPr>
        <w:t xml:space="preserve"> 2007 was not the upper CI in that study but the HR</w:t>
      </w:r>
      <w:r>
        <w:rPr>
          <w:szCs w:val="22"/>
        </w:rPr>
        <w:t xml:space="preserve"> </w:t>
      </w:r>
      <w:r w:rsidRPr="00B5279F">
        <w:rPr>
          <w:szCs w:val="22"/>
        </w:rPr>
        <w:t>to be tolerated when using an experimental single drug regimen compare</w:t>
      </w:r>
      <w:r w:rsidR="00FA3A67">
        <w:rPr>
          <w:szCs w:val="22"/>
        </w:rPr>
        <w:t>d to two drugs for stable Stage </w:t>
      </w:r>
      <w:r w:rsidRPr="00B5279F">
        <w:rPr>
          <w:szCs w:val="22"/>
        </w:rPr>
        <w:t>IV NSCLC.</w:t>
      </w:r>
      <w:r>
        <w:rPr>
          <w:szCs w:val="22"/>
        </w:rPr>
        <w:t xml:space="preserve"> </w:t>
      </w:r>
      <w:r w:rsidR="00FA3A67" w:rsidRPr="00C243E3">
        <w:rPr>
          <w:color w:val="000000" w:themeColor="text1"/>
        </w:rPr>
        <w:t>The PBAC noted the arguments made in the PSCR and the Pre</w:t>
      </w:r>
      <w:r w:rsidR="006A5C81">
        <w:rPr>
          <w:color w:val="000000" w:themeColor="text1"/>
        </w:rPr>
        <w:noBreakHyphen/>
      </w:r>
      <w:r w:rsidR="00FA3A67" w:rsidRPr="00C243E3">
        <w:rPr>
          <w:color w:val="000000" w:themeColor="text1"/>
        </w:rPr>
        <w:t xml:space="preserve">PBAC </w:t>
      </w:r>
      <w:r w:rsidR="00FA3A67">
        <w:rPr>
          <w:color w:val="000000" w:themeColor="text1"/>
        </w:rPr>
        <w:t>R</w:t>
      </w:r>
      <w:r w:rsidR="00FA3A67" w:rsidRPr="00C243E3">
        <w:rPr>
          <w:color w:val="000000" w:themeColor="text1"/>
        </w:rPr>
        <w:t>esponse relating to the selection of the non</w:t>
      </w:r>
      <w:r w:rsidR="00FA3A67">
        <w:rPr>
          <w:color w:val="000000" w:themeColor="text1"/>
        </w:rPr>
        <w:noBreakHyphen/>
      </w:r>
      <w:r w:rsidR="00FA3A67" w:rsidRPr="00C243E3">
        <w:rPr>
          <w:color w:val="000000" w:themeColor="text1"/>
        </w:rPr>
        <w:t xml:space="preserve">inferiority margins and considered that the reasoning </w:t>
      </w:r>
      <w:r w:rsidR="00FA3A67">
        <w:rPr>
          <w:color w:val="000000" w:themeColor="text1"/>
        </w:rPr>
        <w:t>was</w:t>
      </w:r>
      <w:r w:rsidR="00FA3A67" w:rsidRPr="00C243E3">
        <w:rPr>
          <w:color w:val="000000" w:themeColor="text1"/>
        </w:rPr>
        <w:t xml:space="preserve"> not appropriate for setting a MCID in the current indirect comparison.</w:t>
      </w:r>
    </w:p>
    <w:p w:rsidR="00FA3A67" w:rsidRDefault="00FA3A67" w:rsidP="00FA3A67">
      <w:pPr>
        <w:pStyle w:val="ListParagraph"/>
        <w:rPr>
          <w:szCs w:val="22"/>
        </w:rPr>
      </w:pPr>
    </w:p>
    <w:p w:rsidR="00B5279F" w:rsidRPr="00FA3A67" w:rsidRDefault="00B5279F" w:rsidP="00FA3A67">
      <w:pPr>
        <w:numPr>
          <w:ilvl w:val="1"/>
          <w:numId w:val="10"/>
        </w:numPr>
        <w:snapToGrid w:val="0"/>
        <w:rPr>
          <w:szCs w:val="22"/>
        </w:rPr>
      </w:pPr>
      <w:r w:rsidRPr="00B5279F">
        <w:rPr>
          <w:szCs w:val="22"/>
        </w:rPr>
        <w:t>With respe</w:t>
      </w:r>
      <w:r w:rsidR="00FA3A67">
        <w:rPr>
          <w:szCs w:val="22"/>
        </w:rPr>
        <w:t xml:space="preserve">ct to the claim that nintedanib and </w:t>
      </w:r>
      <w:r w:rsidRPr="00B5279F">
        <w:rPr>
          <w:szCs w:val="22"/>
        </w:rPr>
        <w:t>docetaxel is non-inferior in efficacy to pemetrexed, the upper confidence limits for the indirect comparison of progression free survival (</w:t>
      </w:r>
      <w:r w:rsidR="00B3432C">
        <w:rPr>
          <w:noProof/>
          <w:color w:val="000000"/>
          <w:szCs w:val="22"/>
          <w:highlight w:val="black"/>
        </w:rPr>
        <w:t>'''''''''''</w:t>
      </w:r>
      <w:r w:rsidRPr="00B5279F">
        <w:rPr>
          <w:szCs w:val="22"/>
        </w:rPr>
        <w:t>) and overall survival (</w:t>
      </w:r>
      <w:r w:rsidR="00B3432C">
        <w:rPr>
          <w:noProof/>
          <w:color w:val="000000"/>
          <w:szCs w:val="22"/>
          <w:highlight w:val="black"/>
        </w:rPr>
        <w:t>''''''''''</w:t>
      </w:r>
      <w:r w:rsidRPr="00B5279F">
        <w:rPr>
          <w:szCs w:val="22"/>
        </w:rPr>
        <w:t xml:space="preserve">) </w:t>
      </w:r>
      <w:r w:rsidR="00FA3A67">
        <w:rPr>
          <w:szCs w:val="22"/>
        </w:rPr>
        <w:t>were</w:t>
      </w:r>
      <w:r w:rsidRPr="00B5279F">
        <w:rPr>
          <w:szCs w:val="22"/>
        </w:rPr>
        <w:t xml:space="preserve"> at the borderline of MCIDs used in similar settings</w:t>
      </w:r>
      <w:r w:rsidR="00FA3A67">
        <w:rPr>
          <w:szCs w:val="22"/>
        </w:rPr>
        <w:t>,</w:t>
      </w:r>
      <w:r w:rsidRPr="00B5279F">
        <w:rPr>
          <w:szCs w:val="22"/>
        </w:rPr>
        <w:t xml:space="preserve"> including the JMEI pemetrexed-docetaxel study (1.21) and a review of </w:t>
      </w:r>
      <w:r w:rsidR="00035A8D" w:rsidRPr="00B5279F">
        <w:rPr>
          <w:szCs w:val="22"/>
        </w:rPr>
        <w:t>non-inferiority</w:t>
      </w:r>
      <w:r w:rsidRPr="00B5279F">
        <w:rPr>
          <w:szCs w:val="22"/>
        </w:rPr>
        <w:t xml:space="preserve"> cancer trials (mean 1.25; range 1.10 to 1.50) (</w:t>
      </w:r>
      <w:proofErr w:type="spellStart"/>
      <w:r w:rsidRPr="00B5279F">
        <w:rPr>
          <w:szCs w:val="22"/>
        </w:rPr>
        <w:t>Riechelmann</w:t>
      </w:r>
      <w:proofErr w:type="spellEnd"/>
      <w:r w:rsidRPr="00B5279F">
        <w:rPr>
          <w:szCs w:val="22"/>
        </w:rPr>
        <w:t xml:space="preserve"> 2011).</w:t>
      </w:r>
      <w:r w:rsidR="00FA3A67">
        <w:rPr>
          <w:szCs w:val="22"/>
        </w:rPr>
        <w:t xml:space="preserve"> Accordingly, the PBAC considered that the claim of non-inferior comparative effectiveness to pemetrexed was not adequately supported. </w:t>
      </w:r>
    </w:p>
    <w:p w:rsidR="000E5490" w:rsidRPr="00E75D70" w:rsidRDefault="000E5490" w:rsidP="00E75D70">
      <w:pPr>
        <w:widowControl/>
        <w:snapToGrid w:val="0"/>
        <w:ind w:left="720"/>
      </w:pPr>
    </w:p>
    <w:p w:rsidR="002B38A7" w:rsidRDefault="002B38A7" w:rsidP="00EA0FDF">
      <w:pPr>
        <w:numPr>
          <w:ilvl w:val="1"/>
          <w:numId w:val="10"/>
        </w:numPr>
        <w:snapToGrid w:val="0"/>
        <w:contextualSpacing/>
        <w:rPr>
          <w:szCs w:val="22"/>
        </w:rPr>
      </w:pPr>
      <w:r>
        <w:rPr>
          <w:szCs w:val="22"/>
        </w:rPr>
        <w:t>The PBAC noted that nintedanib was associated</w:t>
      </w:r>
      <w:r w:rsidR="006B61CF">
        <w:rPr>
          <w:szCs w:val="22"/>
        </w:rPr>
        <w:t xml:space="preserve"> with statistically significant</w:t>
      </w:r>
      <w:r w:rsidR="00FA3A67">
        <w:rPr>
          <w:szCs w:val="22"/>
        </w:rPr>
        <w:t>ly</w:t>
      </w:r>
      <w:r>
        <w:rPr>
          <w:szCs w:val="22"/>
        </w:rPr>
        <w:t xml:space="preserve"> higher instances of drug related adverse events and gastrointestinal adverse events</w:t>
      </w:r>
      <w:r w:rsidR="00FA3A67">
        <w:rPr>
          <w:szCs w:val="22"/>
        </w:rPr>
        <w:t>,</w:t>
      </w:r>
      <w:r>
        <w:rPr>
          <w:szCs w:val="22"/>
        </w:rPr>
        <w:t xml:space="preserve"> including diarrhoea, nausea and vomiting.</w:t>
      </w:r>
      <w:r w:rsidR="00683F91">
        <w:rPr>
          <w:szCs w:val="22"/>
        </w:rPr>
        <w:t xml:space="preserve"> </w:t>
      </w:r>
      <w:r w:rsidR="00FA3A67">
        <w:rPr>
          <w:szCs w:val="22"/>
        </w:rPr>
        <w:t xml:space="preserve">Accordingly, the PBAC considered that the claim of inferior comparative </w:t>
      </w:r>
      <w:r w:rsidR="009417CB">
        <w:rPr>
          <w:szCs w:val="22"/>
        </w:rPr>
        <w:t xml:space="preserve">safety </w:t>
      </w:r>
      <w:r w:rsidR="00FA3A67">
        <w:rPr>
          <w:szCs w:val="22"/>
        </w:rPr>
        <w:t xml:space="preserve">was appropriate. </w:t>
      </w:r>
      <w:r w:rsidR="00683F91">
        <w:rPr>
          <w:szCs w:val="22"/>
        </w:rPr>
        <w:t>The Pre-PBAC</w:t>
      </w:r>
      <w:r w:rsidR="00D021CF">
        <w:rPr>
          <w:szCs w:val="22"/>
        </w:rPr>
        <w:t xml:space="preserve"> </w:t>
      </w:r>
      <w:r w:rsidR="006B61CF">
        <w:rPr>
          <w:szCs w:val="22"/>
        </w:rPr>
        <w:t>response emphasised</w:t>
      </w:r>
      <w:r w:rsidR="00685C8A" w:rsidRPr="00685C8A">
        <w:rPr>
          <w:szCs w:val="22"/>
          <w:lang w:val="en-GB"/>
        </w:rPr>
        <w:t xml:space="preserve"> that</w:t>
      </w:r>
      <w:r w:rsidR="00685C8A">
        <w:rPr>
          <w:szCs w:val="22"/>
          <w:lang w:val="en-GB"/>
        </w:rPr>
        <w:t xml:space="preserve"> </w:t>
      </w:r>
      <w:r w:rsidR="00670DB3" w:rsidRPr="00685C8A">
        <w:rPr>
          <w:szCs w:val="22"/>
          <w:lang w:val="en-GB"/>
        </w:rPr>
        <w:t>nintedanib</w:t>
      </w:r>
      <w:r w:rsidR="00685C8A" w:rsidRPr="00685C8A">
        <w:rPr>
          <w:szCs w:val="22"/>
          <w:lang w:val="en-GB"/>
        </w:rPr>
        <w:t xml:space="preserve"> </w:t>
      </w:r>
      <w:r w:rsidR="006B61CF">
        <w:rPr>
          <w:szCs w:val="22"/>
          <w:lang w:val="en-GB"/>
        </w:rPr>
        <w:t xml:space="preserve">(in combination with </w:t>
      </w:r>
      <w:r w:rsidR="00685C8A" w:rsidRPr="00685C8A">
        <w:rPr>
          <w:szCs w:val="22"/>
          <w:lang w:val="en-GB"/>
        </w:rPr>
        <w:t>docetaxel</w:t>
      </w:r>
      <w:r w:rsidR="006B61CF">
        <w:rPr>
          <w:szCs w:val="22"/>
          <w:lang w:val="en-GB"/>
        </w:rPr>
        <w:t>) resulted</w:t>
      </w:r>
      <w:r w:rsidR="00685C8A" w:rsidRPr="00685C8A">
        <w:rPr>
          <w:szCs w:val="22"/>
          <w:lang w:val="en-GB"/>
        </w:rPr>
        <w:t xml:space="preserve"> in only a small toxicity burden </w:t>
      </w:r>
      <w:r w:rsidR="00685C8A">
        <w:rPr>
          <w:szCs w:val="22"/>
          <w:lang w:val="en-GB"/>
        </w:rPr>
        <w:t xml:space="preserve">compared to </w:t>
      </w:r>
      <w:r w:rsidR="00685C8A" w:rsidRPr="00685C8A">
        <w:rPr>
          <w:szCs w:val="22"/>
          <w:lang w:val="en-GB"/>
        </w:rPr>
        <w:t>docetaxel</w:t>
      </w:r>
      <w:r w:rsidR="00685C8A">
        <w:rPr>
          <w:szCs w:val="22"/>
          <w:lang w:val="en-GB"/>
        </w:rPr>
        <w:t xml:space="preserve"> alon</w:t>
      </w:r>
      <w:r w:rsidR="00D021CF">
        <w:rPr>
          <w:szCs w:val="22"/>
          <w:lang w:val="en-GB"/>
        </w:rPr>
        <w:t>e</w:t>
      </w:r>
      <w:r w:rsidR="00685C8A">
        <w:rPr>
          <w:szCs w:val="22"/>
          <w:lang w:val="en-GB"/>
        </w:rPr>
        <w:t xml:space="preserve"> and that the management of </w:t>
      </w:r>
      <w:r w:rsidR="00D021CF">
        <w:rPr>
          <w:szCs w:val="22"/>
          <w:lang w:val="en-GB"/>
        </w:rPr>
        <w:t>diarrhoea</w:t>
      </w:r>
      <w:r w:rsidR="00685C8A">
        <w:rPr>
          <w:szCs w:val="22"/>
          <w:lang w:val="en-GB"/>
        </w:rPr>
        <w:t xml:space="preserve"> is inexpensive. The P</w:t>
      </w:r>
      <w:r w:rsidR="00D021CF">
        <w:rPr>
          <w:szCs w:val="22"/>
          <w:lang w:val="en-GB"/>
        </w:rPr>
        <w:t>re</w:t>
      </w:r>
      <w:r w:rsidR="00685C8A">
        <w:rPr>
          <w:szCs w:val="22"/>
          <w:lang w:val="en-GB"/>
        </w:rPr>
        <w:t>-PBAC</w:t>
      </w:r>
      <w:r w:rsidR="00631146">
        <w:rPr>
          <w:szCs w:val="22"/>
          <w:lang w:val="en-GB"/>
        </w:rPr>
        <w:t xml:space="preserve"> Response</w:t>
      </w:r>
      <w:r w:rsidR="00685C8A">
        <w:rPr>
          <w:szCs w:val="22"/>
          <w:lang w:val="en-GB"/>
        </w:rPr>
        <w:t xml:space="preserve"> further state</w:t>
      </w:r>
      <w:r w:rsidR="00D021CF">
        <w:rPr>
          <w:szCs w:val="22"/>
          <w:lang w:val="en-GB"/>
        </w:rPr>
        <w:t>d</w:t>
      </w:r>
      <w:r w:rsidR="00685C8A">
        <w:rPr>
          <w:szCs w:val="22"/>
          <w:lang w:val="en-GB"/>
        </w:rPr>
        <w:t xml:space="preserve"> that </w:t>
      </w:r>
      <w:r w:rsidR="00B846FE">
        <w:rPr>
          <w:szCs w:val="22"/>
          <w:lang w:val="en-GB"/>
        </w:rPr>
        <w:t>the absolute event rates are low (</w:t>
      </w:r>
      <w:proofErr w:type="spellStart"/>
      <w:r w:rsidR="00B846FE">
        <w:rPr>
          <w:szCs w:val="22"/>
          <w:lang w:val="en-GB"/>
        </w:rPr>
        <w:t>eg</w:t>
      </w:r>
      <w:proofErr w:type="spellEnd"/>
      <w:r w:rsidR="00B846FE">
        <w:rPr>
          <w:szCs w:val="22"/>
          <w:lang w:val="en-GB"/>
        </w:rPr>
        <w:t xml:space="preserve"> 7% febrile neutropenia, 6.6% diarrhoea) and that </w:t>
      </w:r>
      <w:r w:rsidR="00685C8A">
        <w:rPr>
          <w:szCs w:val="22"/>
          <w:lang w:val="en-GB"/>
        </w:rPr>
        <w:t>the</w:t>
      </w:r>
      <w:r w:rsidR="00685C8A" w:rsidRPr="00685C8A">
        <w:rPr>
          <w:szCs w:val="22"/>
          <w:lang w:val="en-GB"/>
        </w:rPr>
        <w:t xml:space="preserve"> relative ri</w:t>
      </w:r>
      <w:r w:rsidR="00685C8A">
        <w:rPr>
          <w:szCs w:val="22"/>
          <w:lang w:val="en-GB"/>
        </w:rPr>
        <w:t>sks over</w:t>
      </w:r>
      <w:r w:rsidR="00D021CF">
        <w:rPr>
          <w:szCs w:val="22"/>
          <w:lang w:val="en-GB"/>
        </w:rPr>
        <w:t xml:space="preserve">-emphasise the adverse events. The PBAC </w:t>
      </w:r>
      <w:r w:rsidR="00683F91">
        <w:rPr>
          <w:szCs w:val="22"/>
        </w:rPr>
        <w:t>did not agree</w:t>
      </w:r>
      <w:r w:rsidR="00D021CF">
        <w:rPr>
          <w:szCs w:val="22"/>
        </w:rPr>
        <w:t xml:space="preserve"> with the </w:t>
      </w:r>
      <w:r w:rsidR="00B846FE">
        <w:rPr>
          <w:szCs w:val="22"/>
        </w:rPr>
        <w:t xml:space="preserve">interpretation of this data in the </w:t>
      </w:r>
      <w:r w:rsidR="00D021CF">
        <w:rPr>
          <w:szCs w:val="22"/>
        </w:rPr>
        <w:t xml:space="preserve">Pre-PBAC </w:t>
      </w:r>
      <w:r w:rsidR="00FA4256">
        <w:rPr>
          <w:szCs w:val="22"/>
        </w:rPr>
        <w:t>R</w:t>
      </w:r>
      <w:r w:rsidR="00D021CF">
        <w:rPr>
          <w:szCs w:val="22"/>
        </w:rPr>
        <w:t>esponse</w:t>
      </w:r>
      <w:r w:rsidR="00B846FE">
        <w:rPr>
          <w:szCs w:val="22"/>
        </w:rPr>
        <w:t xml:space="preserve">, noting </w:t>
      </w:r>
      <w:r w:rsidR="00683F91">
        <w:rPr>
          <w:szCs w:val="22"/>
        </w:rPr>
        <w:t>that nintedanib (in combination with doceta</w:t>
      </w:r>
      <w:r w:rsidR="00161F78">
        <w:rPr>
          <w:szCs w:val="22"/>
        </w:rPr>
        <w:t>x</w:t>
      </w:r>
      <w:r w:rsidR="00683F91">
        <w:rPr>
          <w:szCs w:val="22"/>
        </w:rPr>
        <w:t xml:space="preserve">el) had </w:t>
      </w:r>
      <w:r w:rsidR="00B3432C">
        <w:rPr>
          <w:noProof/>
          <w:color w:val="000000"/>
          <w:szCs w:val="22"/>
          <w:highlight w:val="black"/>
        </w:rPr>
        <w:t>'''''''''''</w:t>
      </w:r>
      <w:r w:rsidR="00683F91">
        <w:rPr>
          <w:szCs w:val="22"/>
        </w:rPr>
        <w:t xml:space="preserve"> times </w:t>
      </w:r>
      <w:r w:rsidR="009417CB">
        <w:rPr>
          <w:szCs w:val="22"/>
        </w:rPr>
        <w:t xml:space="preserve">the risk of </w:t>
      </w:r>
      <w:r w:rsidR="00B846FE">
        <w:rPr>
          <w:szCs w:val="22"/>
        </w:rPr>
        <w:t xml:space="preserve">grade 3/4/5 </w:t>
      </w:r>
      <w:r w:rsidR="00683F91">
        <w:rPr>
          <w:szCs w:val="22"/>
        </w:rPr>
        <w:t xml:space="preserve">diarrhoea and </w:t>
      </w:r>
      <w:r w:rsidR="00B3432C">
        <w:rPr>
          <w:noProof/>
          <w:color w:val="000000"/>
          <w:szCs w:val="22"/>
          <w:highlight w:val="black"/>
        </w:rPr>
        <w:t>'''''''</w:t>
      </w:r>
      <w:r w:rsidR="009417CB">
        <w:rPr>
          <w:szCs w:val="22"/>
        </w:rPr>
        <w:t xml:space="preserve"> </w:t>
      </w:r>
      <w:proofErr w:type="gramStart"/>
      <w:r w:rsidR="00683F91">
        <w:rPr>
          <w:szCs w:val="22"/>
        </w:rPr>
        <w:t xml:space="preserve">times </w:t>
      </w:r>
      <w:r w:rsidR="009417CB">
        <w:rPr>
          <w:szCs w:val="22"/>
        </w:rPr>
        <w:t xml:space="preserve"> the</w:t>
      </w:r>
      <w:proofErr w:type="gramEnd"/>
      <w:r w:rsidR="009417CB">
        <w:rPr>
          <w:szCs w:val="22"/>
        </w:rPr>
        <w:t xml:space="preserve"> risk of</w:t>
      </w:r>
      <w:r w:rsidR="00683F91">
        <w:rPr>
          <w:szCs w:val="22"/>
        </w:rPr>
        <w:t xml:space="preserve"> febrile neutropenia</w:t>
      </w:r>
      <w:r w:rsidR="00D021CF">
        <w:rPr>
          <w:szCs w:val="22"/>
        </w:rPr>
        <w:t xml:space="preserve"> compared to pemetrexed</w:t>
      </w:r>
      <w:r w:rsidR="00B846FE">
        <w:rPr>
          <w:szCs w:val="22"/>
        </w:rPr>
        <w:t xml:space="preserve">. These side effects would be expected to </w:t>
      </w:r>
      <w:r w:rsidR="00E75D70">
        <w:rPr>
          <w:szCs w:val="22"/>
        </w:rPr>
        <w:t>lead</w:t>
      </w:r>
      <w:r w:rsidR="00161F78">
        <w:rPr>
          <w:szCs w:val="22"/>
        </w:rPr>
        <w:t xml:space="preserve"> to </w:t>
      </w:r>
      <w:r w:rsidR="006B61CF">
        <w:rPr>
          <w:szCs w:val="22"/>
        </w:rPr>
        <w:t xml:space="preserve">substantial </w:t>
      </w:r>
      <w:r w:rsidR="00161F78">
        <w:rPr>
          <w:szCs w:val="22"/>
        </w:rPr>
        <w:t>costs to</w:t>
      </w:r>
      <w:r w:rsidR="00683F91">
        <w:rPr>
          <w:szCs w:val="22"/>
        </w:rPr>
        <w:t xml:space="preserve"> patients and the health system.</w:t>
      </w:r>
    </w:p>
    <w:p w:rsidR="002B38A7" w:rsidRDefault="002B38A7" w:rsidP="002B38A7">
      <w:pPr>
        <w:pStyle w:val="ListParagraph"/>
        <w:widowControl/>
        <w:rPr>
          <w:szCs w:val="22"/>
        </w:rPr>
      </w:pPr>
    </w:p>
    <w:p w:rsidR="005635A7" w:rsidRDefault="002B38A7" w:rsidP="00EA0FDF">
      <w:pPr>
        <w:pStyle w:val="ListParagraph"/>
        <w:widowControl/>
        <w:numPr>
          <w:ilvl w:val="1"/>
          <w:numId w:val="10"/>
        </w:numPr>
        <w:snapToGrid w:val="0"/>
        <w:rPr>
          <w:szCs w:val="22"/>
        </w:rPr>
      </w:pPr>
      <w:r w:rsidRPr="005635A7">
        <w:rPr>
          <w:szCs w:val="22"/>
        </w:rPr>
        <w:t xml:space="preserve">The PBAC </w:t>
      </w:r>
      <w:r w:rsidR="005635A7">
        <w:rPr>
          <w:szCs w:val="22"/>
        </w:rPr>
        <w:t xml:space="preserve">agreed with the ESC that the </w:t>
      </w:r>
      <w:r w:rsidR="00CC5F5C">
        <w:rPr>
          <w:szCs w:val="22"/>
        </w:rPr>
        <w:t xml:space="preserve">use of a </w:t>
      </w:r>
      <w:r w:rsidR="005635A7">
        <w:rPr>
          <w:szCs w:val="22"/>
        </w:rPr>
        <w:t xml:space="preserve">CUA in the submission was not consistent with the clinical claim of non-inferiority efficacy and inferior safety of nintedanib </w:t>
      </w:r>
      <w:r w:rsidR="00FA3A67">
        <w:rPr>
          <w:szCs w:val="22"/>
        </w:rPr>
        <w:t xml:space="preserve">(in combination with docetaxel) </w:t>
      </w:r>
      <w:r w:rsidR="005635A7">
        <w:rPr>
          <w:szCs w:val="22"/>
        </w:rPr>
        <w:t xml:space="preserve">to pemetrexed (see paragraph 6.22). </w:t>
      </w:r>
      <w:r w:rsidR="00FA3A67">
        <w:rPr>
          <w:szCs w:val="22"/>
        </w:rPr>
        <w:t>Furthermore, t</w:t>
      </w:r>
      <w:r w:rsidR="005635A7">
        <w:rPr>
          <w:szCs w:val="22"/>
        </w:rPr>
        <w:t xml:space="preserve">he clinical claim and the outcomes generated by the model were inconsistent as more progression-free life years, life years and QALYs were gained in the nintedanib treatment group compared with pemetrexed. The PBAC also agreed with the other concerns </w:t>
      </w:r>
      <w:r w:rsidR="004A68D6">
        <w:rPr>
          <w:szCs w:val="22"/>
        </w:rPr>
        <w:t xml:space="preserve">that </w:t>
      </w:r>
      <w:r w:rsidR="005635A7">
        <w:rPr>
          <w:szCs w:val="22"/>
        </w:rPr>
        <w:t>the ESC had regarding the model (outlined in paragraph 6.29).</w:t>
      </w:r>
    </w:p>
    <w:p w:rsidR="005635A7" w:rsidRPr="005635A7" w:rsidRDefault="005635A7" w:rsidP="005635A7">
      <w:pPr>
        <w:widowControl/>
        <w:snapToGrid w:val="0"/>
        <w:rPr>
          <w:szCs w:val="22"/>
        </w:rPr>
      </w:pPr>
    </w:p>
    <w:p w:rsidR="006A4D86" w:rsidRDefault="00087355" w:rsidP="00EA0FDF">
      <w:pPr>
        <w:pStyle w:val="ListParagraph"/>
        <w:widowControl/>
        <w:numPr>
          <w:ilvl w:val="1"/>
          <w:numId w:val="10"/>
        </w:numPr>
        <w:snapToGrid w:val="0"/>
        <w:rPr>
          <w:szCs w:val="22"/>
        </w:rPr>
      </w:pPr>
      <w:r w:rsidRPr="005635A7">
        <w:t>The PBAC</w:t>
      </w:r>
      <w:r w:rsidR="000D105A">
        <w:t xml:space="preserve"> </w:t>
      </w:r>
      <w:r w:rsidRPr="005635A7">
        <w:t xml:space="preserve">noted that the sponsor presented a cost-minimisation analysis against pemetrexed in its Pre-PBAC </w:t>
      </w:r>
      <w:r w:rsidR="00670DB3" w:rsidRPr="005635A7">
        <w:t>R</w:t>
      </w:r>
      <w:r w:rsidRPr="005635A7">
        <w:t>esponse</w:t>
      </w:r>
      <w:r w:rsidR="005635A7">
        <w:rPr>
          <w:szCs w:val="22"/>
        </w:rPr>
        <w:t>.</w:t>
      </w:r>
      <w:r w:rsidRPr="005635A7">
        <w:rPr>
          <w:szCs w:val="22"/>
        </w:rPr>
        <w:t xml:space="preserve"> </w:t>
      </w:r>
      <w:r w:rsidR="00564FE0">
        <w:rPr>
          <w:szCs w:val="22"/>
        </w:rPr>
        <w:t>However, the PBAC considered that a cost-</w:t>
      </w:r>
      <w:r w:rsidR="00564FE0">
        <w:rPr>
          <w:szCs w:val="22"/>
        </w:rPr>
        <w:lastRenderedPageBreak/>
        <w:t>minimisation analysis would also be inappropriate given</w:t>
      </w:r>
      <w:r w:rsidR="004A68D6">
        <w:rPr>
          <w:szCs w:val="22"/>
        </w:rPr>
        <w:t xml:space="preserve"> that the currently available indirect evidence </w:t>
      </w:r>
      <w:r w:rsidR="00564FE0">
        <w:rPr>
          <w:szCs w:val="22"/>
        </w:rPr>
        <w:t>did not demonstrate non-inferiority</w:t>
      </w:r>
      <w:r w:rsidR="004A68D6">
        <w:rPr>
          <w:szCs w:val="22"/>
        </w:rPr>
        <w:t xml:space="preserve"> for nintedanib and docetaxel compared with pemetrexed</w:t>
      </w:r>
      <w:r w:rsidR="00564FE0">
        <w:rPr>
          <w:szCs w:val="22"/>
        </w:rPr>
        <w:t xml:space="preserve">. </w:t>
      </w:r>
    </w:p>
    <w:p w:rsidR="006779A7" w:rsidRPr="006779A7" w:rsidRDefault="006779A7" w:rsidP="006779A7">
      <w:pPr>
        <w:pStyle w:val="ListParagraph"/>
        <w:rPr>
          <w:szCs w:val="22"/>
        </w:rPr>
      </w:pPr>
    </w:p>
    <w:p w:rsidR="006779A7" w:rsidRPr="001941FE" w:rsidRDefault="006779A7" w:rsidP="00EA0FDF">
      <w:pPr>
        <w:pStyle w:val="ListParagraph"/>
        <w:widowControl/>
        <w:numPr>
          <w:ilvl w:val="1"/>
          <w:numId w:val="10"/>
        </w:numPr>
        <w:snapToGrid w:val="0"/>
        <w:rPr>
          <w:szCs w:val="22"/>
        </w:rPr>
      </w:pPr>
      <w:r w:rsidRPr="006A5C81">
        <w:t>The ESC considered that the pemetrexed weighting (87%) for relative use in comparison to docetaxel in the financial estimates was not appropriate.</w:t>
      </w:r>
    </w:p>
    <w:p w:rsidR="001941FE" w:rsidRPr="001941FE" w:rsidRDefault="001941FE" w:rsidP="001941FE">
      <w:pPr>
        <w:pStyle w:val="ListParagraph"/>
        <w:widowControl/>
        <w:snapToGrid w:val="0"/>
        <w:rPr>
          <w:szCs w:val="22"/>
        </w:rPr>
      </w:pPr>
    </w:p>
    <w:p w:rsidR="001941FE" w:rsidRPr="006A5C81" w:rsidRDefault="001941FE" w:rsidP="00EA0FDF">
      <w:pPr>
        <w:pStyle w:val="ListParagraph"/>
        <w:widowControl/>
        <w:numPr>
          <w:ilvl w:val="1"/>
          <w:numId w:val="10"/>
        </w:numPr>
        <w:snapToGrid w:val="0"/>
        <w:rPr>
          <w:szCs w:val="22"/>
        </w:rPr>
      </w:pPr>
      <w:r>
        <w:rPr>
          <w:szCs w:val="22"/>
        </w:rPr>
        <w:t>Should the sponsor wish to pursue the request for listing of nintedanib (for the treatment of patients with NSCLC), the PBAC considered that a major resubmission would need to demonstrate non-inferior comparative effectiveness in PFS and OS, compared with pemetrexed, and include a consideration of the patient quality of life and costs associated with the management of adverse events.</w:t>
      </w:r>
    </w:p>
    <w:p w:rsidR="002B38A7" w:rsidRPr="000E5490" w:rsidRDefault="002B38A7" w:rsidP="000E5490">
      <w:pPr>
        <w:widowControl/>
        <w:rPr>
          <w:szCs w:val="22"/>
        </w:rPr>
      </w:pPr>
    </w:p>
    <w:p w:rsidR="002B38A7" w:rsidRDefault="002B38A7" w:rsidP="00EA0FDF">
      <w:pPr>
        <w:widowControl/>
        <w:numPr>
          <w:ilvl w:val="1"/>
          <w:numId w:val="10"/>
        </w:numPr>
        <w:snapToGrid w:val="0"/>
        <w:contextualSpacing/>
        <w:rPr>
          <w:szCs w:val="22"/>
        </w:rPr>
      </w:pPr>
      <w:r>
        <w:rPr>
          <w:szCs w:val="22"/>
        </w:rPr>
        <w:t>The PBAC noted that this submission is eligible for an Independent Review.</w:t>
      </w:r>
    </w:p>
    <w:p w:rsidR="000E2641" w:rsidRDefault="000E2641" w:rsidP="000E2641">
      <w:pPr>
        <w:widowControl/>
        <w:rPr>
          <w:rFonts w:cs="Times New Roman"/>
          <w:snapToGrid/>
          <w:szCs w:val="22"/>
          <w:lang w:eastAsia="en-AU"/>
        </w:rPr>
      </w:pPr>
    </w:p>
    <w:p w:rsidR="00C01B84" w:rsidRPr="0025173A" w:rsidRDefault="00C01B84" w:rsidP="000E2641">
      <w:pPr>
        <w:widowControl/>
        <w:rPr>
          <w:rFonts w:cs="Times New Roman"/>
          <w:snapToGrid/>
          <w:szCs w:val="22"/>
          <w:lang w:eastAsia="en-AU"/>
        </w:rPr>
      </w:pPr>
    </w:p>
    <w:p w:rsidR="000E2641" w:rsidRPr="0025173A" w:rsidRDefault="000E2641" w:rsidP="000E2641">
      <w:pPr>
        <w:widowControl/>
        <w:rPr>
          <w:rFonts w:cs="Times New Roman"/>
          <w:b/>
          <w:snapToGrid/>
          <w:szCs w:val="22"/>
          <w:lang w:eastAsia="en-AU"/>
        </w:rPr>
      </w:pPr>
      <w:r w:rsidRPr="0025173A">
        <w:rPr>
          <w:rFonts w:cs="Times New Roman"/>
          <w:b/>
          <w:snapToGrid/>
          <w:szCs w:val="22"/>
          <w:lang w:eastAsia="en-AU"/>
        </w:rPr>
        <w:t>Outcome:</w:t>
      </w:r>
    </w:p>
    <w:p w:rsidR="000E2641" w:rsidRPr="0025173A" w:rsidRDefault="000E2641" w:rsidP="000E2641">
      <w:pPr>
        <w:widowControl/>
        <w:rPr>
          <w:rFonts w:cs="Times New Roman"/>
          <w:snapToGrid/>
          <w:szCs w:val="22"/>
          <w:lang w:eastAsia="en-AU"/>
        </w:rPr>
      </w:pPr>
      <w:r w:rsidRPr="0025173A">
        <w:rPr>
          <w:rFonts w:cs="Times New Roman"/>
          <w:snapToGrid/>
          <w:szCs w:val="22"/>
          <w:lang w:eastAsia="en-AU"/>
        </w:rPr>
        <w:t>Rejected</w:t>
      </w:r>
    </w:p>
    <w:p w:rsidR="000E2641" w:rsidRPr="0025173A" w:rsidRDefault="000E2641" w:rsidP="000E2641">
      <w:pPr>
        <w:widowControl/>
        <w:rPr>
          <w:rFonts w:cs="Times New Roman"/>
          <w:snapToGrid/>
          <w:szCs w:val="22"/>
          <w:lang w:eastAsia="en-AU"/>
        </w:rPr>
      </w:pPr>
    </w:p>
    <w:p w:rsidR="00BC63AB" w:rsidRPr="00BC63AB" w:rsidRDefault="00BC63AB" w:rsidP="00BC63AB">
      <w:pPr>
        <w:widowControl/>
        <w:rPr>
          <w:rFonts w:eastAsia="SimSun" w:cs="Times New Roman"/>
          <w:snapToGrid/>
          <w:szCs w:val="22"/>
          <w:lang w:eastAsia="en-AU"/>
        </w:rPr>
      </w:pPr>
    </w:p>
    <w:p w:rsidR="00BC63AB" w:rsidRPr="00BC63AB" w:rsidRDefault="00BC63AB" w:rsidP="00BC63AB">
      <w:pPr>
        <w:widowControl/>
        <w:numPr>
          <w:ilvl w:val="0"/>
          <w:numId w:val="4"/>
        </w:numPr>
        <w:jc w:val="left"/>
        <w:rPr>
          <w:rFonts w:eastAsia="SimSun"/>
          <w:b/>
          <w:snapToGrid/>
          <w:szCs w:val="22"/>
        </w:rPr>
      </w:pPr>
      <w:r w:rsidRPr="00BC63AB">
        <w:rPr>
          <w:rFonts w:eastAsia="SimSun"/>
          <w:b/>
          <w:snapToGrid/>
          <w:szCs w:val="22"/>
        </w:rPr>
        <w:t>Context for Decision</w:t>
      </w:r>
    </w:p>
    <w:p w:rsidR="00BC63AB" w:rsidRPr="00BC63AB" w:rsidRDefault="00BC63AB" w:rsidP="00BC63AB">
      <w:pPr>
        <w:widowControl/>
        <w:ind w:left="720"/>
        <w:contextualSpacing/>
        <w:jc w:val="left"/>
        <w:rPr>
          <w:rFonts w:ascii="Times New Roman" w:eastAsia="SimSun" w:hAnsi="Times New Roman" w:cs="Times New Roman"/>
          <w:b/>
          <w:snapToGrid/>
          <w:sz w:val="24"/>
          <w:szCs w:val="24"/>
          <w:lang w:eastAsia="en-AU"/>
        </w:rPr>
      </w:pPr>
    </w:p>
    <w:p w:rsidR="00BC63AB" w:rsidRPr="00BC63AB" w:rsidRDefault="00BC63AB" w:rsidP="00BC63AB">
      <w:pPr>
        <w:widowControl/>
        <w:ind w:left="720"/>
        <w:jc w:val="left"/>
        <w:rPr>
          <w:rFonts w:eastAsia="SimSun"/>
          <w:bCs/>
          <w:szCs w:val="22"/>
          <w:lang w:eastAsia="en-AU"/>
        </w:rPr>
      </w:pPr>
      <w:r w:rsidRPr="00BC63AB">
        <w:rPr>
          <w:rFonts w:eastAsia="SimSun"/>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C63AB" w:rsidRPr="00BC63AB" w:rsidRDefault="00BC63AB" w:rsidP="00BC63AB">
      <w:pPr>
        <w:widowControl/>
        <w:jc w:val="left"/>
        <w:rPr>
          <w:rFonts w:ascii="Times New Roman" w:eastAsia="SimSun" w:hAnsi="Times New Roman" w:cs="Times New Roman"/>
          <w:snapToGrid/>
          <w:sz w:val="24"/>
          <w:szCs w:val="24"/>
          <w:lang w:eastAsia="en-AU"/>
        </w:rPr>
      </w:pPr>
    </w:p>
    <w:p w:rsidR="00BC63AB" w:rsidRPr="00BC63AB" w:rsidRDefault="00BC63AB" w:rsidP="00BC63AB">
      <w:pPr>
        <w:widowControl/>
        <w:numPr>
          <w:ilvl w:val="0"/>
          <w:numId w:val="4"/>
        </w:numPr>
        <w:jc w:val="left"/>
        <w:rPr>
          <w:rFonts w:eastAsia="SimSun"/>
          <w:b/>
          <w:snapToGrid/>
          <w:szCs w:val="22"/>
        </w:rPr>
      </w:pPr>
      <w:r w:rsidRPr="00BC63AB">
        <w:rPr>
          <w:rFonts w:eastAsia="SimSun"/>
          <w:b/>
          <w:snapToGrid/>
          <w:szCs w:val="22"/>
        </w:rPr>
        <w:t>Sponsor’s Comment</w:t>
      </w:r>
    </w:p>
    <w:p w:rsidR="00BC63AB" w:rsidRPr="00BC63AB" w:rsidRDefault="00BC63AB" w:rsidP="00BC63AB">
      <w:pPr>
        <w:widowControl/>
        <w:rPr>
          <w:rFonts w:eastAsia="SimSun" w:cs="Times New Roman"/>
          <w:snapToGrid/>
          <w:szCs w:val="22"/>
          <w:lang w:eastAsia="en-AU"/>
        </w:rPr>
      </w:pPr>
    </w:p>
    <w:p w:rsidR="00DA566F" w:rsidRPr="00FB52A4" w:rsidRDefault="00305DD7" w:rsidP="00FB52A4">
      <w:pPr>
        <w:widowControl/>
        <w:snapToGrid w:val="0"/>
        <w:ind w:firstLine="720"/>
        <w:rPr>
          <w:szCs w:val="22"/>
        </w:rPr>
      </w:pPr>
      <w:r>
        <w:rPr>
          <w:szCs w:val="22"/>
        </w:rPr>
        <w:t>The Sponsor had no comment.</w:t>
      </w:r>
    </w:p>
    <w:sectPr w:rsidR="00DA566F" w:rsidRPr="00FB52A4" w:rsidSect="0084358A">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A4" w:rsidRDefault="00FB52A4" w:rsidP="00124A51">
      <w:r>
        <w:separator/>
      </w:r>
    </w:p>
  </w:endnote>
  <w:endnote w:type="continuationSeparator" w:id="0">
    <w:p w:rsidR="00FB52A4" w:rsidRDefault="00FB52A4"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calaLancetPro-Bol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930270"/>
      <w:docPartObj>
        <w:docPartGallery w:val="Page Numbers (Bottom of Page)"/>
        <w:docPartUnique/>
      </w:docPartObj>
    </w:sdtPr>
    <w:sdtEndPr>
      <w:rPr>
        <w:noProof/>
      </w:rPr>
    </w:sdtEndPr>
    <w:sdtContent>
      <w:p w:rsidR="00FB52A4" w:rsidRDefault="00FB52A4">
        <w:pPr>
          <w:pStyle w:val="Footer"/>
          <w:jc w:val="center"/>
        </w:pPr>
        <w:r>
          <w:fldChar w:fldCharType="begin"/>
        </w:r>
        <w:r>
          <w:instrText xml:space="preserve"> PAGE   \* MERGEFORMAT </w:instrText>
        </w:r>
        <w:r>
          <w:fldChar w:fldCharType="separate"/>
        </w:r>
        <w:r w:rsidR="00871C1E">
          <w:rPr>
            <w:noProof/>
          </w:rPr>
          <w:t>3</w:t>
        </w:r>
        <w:r>
          <w:rPr>
            <w:noProof/>
          </w:rPr>
          <w:fldChar w:fldCharType="end"/>
        </w:r>
      </w:p>
    </w:sdtContent>
  </w:sdt>
  <w:p w:rsidR="00FB52A4" w:rsidRDefault="00FB5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A4" w:rsidRDefault="00FB52A4" w:rsidP="00124A51">
      <w:r>
        <w:separator/>
      </w:r>
    </w:p>
  </w:footnote>
  <w:footnote w:type="continuationSeparator" w:id="0">
    <w:p w:rsidR="00FB52A4" w:rsidRDefault="00FB52A4"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2A4" w:rsidRPr="007E3318" w:rsidRDefault="00FB52A4" w:rsidP="000E2641">
    <w:pPr>
      <w:tabs>
        <w:tab w:val="center" w:pos="4513"/>
        <w:tab w:val="right" w:pos="9026"/>
      </w:tabs>
      <w:jc w:val="center"/>
      <w:rPr>
        <w:i/>
        <w:color w:val="808080"/>
      </w:rPr>
    </w:pPr>
    <w:r>
      <w:rPr>
        <w:i/>
        <w:color w:val="808080"/>
      </w:rPr>
      <w:t xml:space="preserve">Public Summary Document </w:t>
    </w:r>
    <w:r w:rsidRPr="007E3318">
      <w:rPr>
        <w:i/>
        <w:color w:val="808080"/>
      </w:rPr>
      <w:t>– March 2015 PBAC Meeting</w:t>
    </w:r>
  </w:p>
  <w:p w:rsidR="00FB52A4" w:rsidRDefault="00FB52A4" w:rsidP="0084358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7732B"/>
    <w:multiLevelType w:val="hybridMultilevel"/>
    <w:tmpl w:val="F4A4F7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BF0835"/>
    <w:multiLevelType w:val="hybridMultilevel"/>
    <w:tmpl w:val="196A41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8256805"/>
    <w:multiLevelType w:val="hybridMultilevel"/>
    <w:tmpl w:val="B1209B02"/>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FAD330A"/>
    <w:multiLevelType w:val="hybridMultilevel"/>
    <w:tmpl w:val="64B8704C"/>
    <w:lvl w:ilvl="0" w:tplc="6D4A22DA">
      <w:start w:val="1"/>
      <w:numFmt w:val="bullet"/>
      <w:lvlText w:val="•"/>
      <w:lvlJc w:val="left"/>
      <w:pPr>
        <w:tabs>
          <w:tab w:val="num" w:pos="720"/>
        </w:tabs>
        <w:ind w:left="720" w:hanging="360"/>
      </w:pPr>
      <w:rPr>
        <w:rFonts w:ascii="Arial" w:hAnsi="Arial" w:hint="default"/>
      </w:rPr>
    </w:lvl>
    <w:lvl w:ilvl="1" w:tplc="7980C1DA" w:tentative="1">
      <w:start w:val="1"/>
      <w:numFmt w:val="bullet"/>
      <w:lvlText w:val="•"/>
      <w:lvlJc w:val="left"/>
      <w:pPr>
        <w:tabs>
          <w:tab w:val="num" w:pos="1440"/>
        </w:tabs>
        <w:ind w:left="1440" w:hanging="360"/>
      </w:pPr>
      <w:rPr>
        <w:rFonts w:ascii="Arial" w:hAnsi="Arial" w:hint="default"/>
      </w:rPr>
    </w:lvl>
    <w:lvl w:ilvl="2" w:tplc="69288BB0" w:tentative="1">
      <w:start w:val="1"/>
      <w:numFmt w:val="bullet"/>
      <w:lvlText w:val="•"/>
      <w:lvlJc w:val="left"/>
      <w:pPr>
        <w:tabs>
          <w:tab w:val="num" w:pos="2160"/>
        </w:tabs>
        <w:ind w:left="2160" w:hanging="360"/>
      </w:pPr>
      <w:rPr>
        <w:rFonts w:ascii="Arial" w:hAnsi="Arial" w:hint="default"/>
      </w:rPr>
    </w:lvl>
    <w:lvl w:ilvl="3" w:tplc="40FC89FC" w:tentative="1">
      <w:start w:val="1"/>
      <w:numFmt w:val="bullet"/>
      <w:lvlText w:val="•"/>
      <w:lvlJc w:val="left"/>
      <w:pPr>
        <w:tabs>
          <w:tab w:val="num" w:pos="2880"/>
        </w:tabs>
        <w:ind w:left="2880" w:hanging="360"/>
      </w:pPr>
      <w:rPr>
        <w:rFonts w:ascii="Arial" w:hAnsi="Arial" w:hint="default"/>
      </w:rPr>
    </w:lvl>
    <w:lvl w:ilvl="4" w:tplc="11A68D1E" w:tentative="1">
      <w:start w:val="1"/>
      <w:numFmt w:val="bullet"/>
      <w:lvlText w:val="•"/>
      <w:lvlJc w:val="left"/>
      <w:pPr>
        <w:tabs>
          <w:tab w:val="num" w:pos="3600"/>
        </w:tabs>
        <w:ind w:left="3600" w:hanging="360"/>
      </w:pPr>
      <w:rPr>
        <w:rFonts w:ascii="Arial" w:hAnsi="Arial" w:hint="default"/>
      </w:rPr>
    </w:lvl>
    <w:lvl w:ilvl="5" w:tplc="260880C6" w:tentative="1">
      <w:start w:val="1"/>
      <w:numFmt w:val="bullet"/>
      <w:lvlText w:val="•"/>
      <w:lvlJc w:val="left"/>
      <w:pPr>
        <w:tabs>
          <w:tab w:val="num" w:pos="4320"/>
        </w:tabs>
        <w:ind w:left="4320" w:hanging="360"/>
      </w:pPr>
      <w:rPr>
        <w:rFonts w:ascii="Arial" w:hAnsi="Arial" w:hint="default"/>
      </w:rPr>
    </w:lvl>
    <w:lvl w:ilvl="6" w:tplc="91363A4A" w:tentative="1">
      <w:start w:val="1"/>
      <w:numFmt w:val="bullet"/>
      <w:lvlText w:val="•"/>
      <w:lvlJc w:val="left"/>
      <w:pPr>
        <w:tabs>
          <w:tab w:val="num" w:pos="5040"/>
        </w:tabs>
        <w:ind w:left="5040" w:hanging="360"/>
      </w:pPr>
      <w:rPr>
        <w:rFonts w:ascii="Arial" w:hAnsi="Arial" w:hint="default"/>
      </w:rPr>
    </w:lvl>
    <w:lvl w:ilvl="7" w:tplc="B6FA1E1E" w:tentative="1">
      <w:start w:val="1"/>
      <w:numFmt w:val="bullet"/>
      <w:lvlText w:val="•"/>
      <w:lvlJc w:val="left"/>
      <w:pPr>
        <w:tabs>
          <w:tab w:val="num" w:pos="5760"/>
        </w:tabs>
        <w:ind w:left="5760" w:hanging="360"/>
      </w:pPr>
      <w:rPr>
        <w:rFonts w:ascii="Arial" w:hAnsi="Arial" w:hint="default"/>
      </w:rPr>
    </w:lvl>
    <w:lvl w:ilvl="8" w:tplc="DCAA1968" w:tentative="1">
      <w:start w:val="1"/>
      <w:numFmt w:val="bullet"/>
      <w:lvlText w:val="•"/>
      <w:lvlJc w:val="left"/>
      <w:pPr>
        <w:tabs>
          <w:tab w:val="num" w:pos="6480"/>
        </w:tabs>
        <w:ind w:left="6480" w:hanging="360"/>
      </w:pPr>
      <w:rPr>
        <w:rFonts w:ascii="Arial" w:hAnsi="Arial" w:hint="default"/>
      </w:rPr>
    </w:lvl>
  </w:abstractNum>
  <w:abstractNum w:abstractNumId="5">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BF7D68"/>
    <w:multiLevelType w:val="hybridMultilevel"/>
    <w:tmpl w:val="9EEADE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D9369C6"/>
    <w:multiLevelType w:val="hybridMultilevel"/>
    <w:tmpl w:val="2586FE8E"/>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4D033C"/>
    <w:multiLevelType w:val="multilevel"/>
    <w:tmpl w:val="CD70EBD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0"/>
  </w:num>
  <w:num w:numId="4">
    <w:abstractNumId w:val="9"/>
  </w:num>
  <w:num w:numId="5">
    <w:abstractNumId w:val="1"/>
  </w:num>
  <w:num w:numId="6">
    <w:abstractNumId w:val="8"/>
  </w:num>
  <w:num w:numId="7">
    <w:abstractNumId w:val="2"/>
  </w:num>
  <w:num w:numId="8">
    <w:abstractNumId w:val="3"/>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AD" w15:userId="S-1-5-21-620321403-24207062-1845911597-740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471"/>
    <w:rsid w:val="00000790"/>
    <w:rsid w:val="0000110B"/>
    <w:rsid w:val="00003499"/>
    <w:rsid w:val="000076B3"/>
    <w:rsid w:val="000129D8"/>
    <w:rsid w:val="0001301B"/>
    <w:rsid w:val="00013208"/>
    <w:rsid w:val="00013247"/>
    <w:rsid w:val="0001557E"/>
    <w:rsid w:val="00015886"/>
    <w:rsid w:val="000162EF"/>
    <w:rsid w:val="000179A6"/>
    <w:rsid w:val="0002116F"/>
    <w:rsid w:val="00021B1E"/>
    <w:rsid w:val="0002225F"/>
    <w:rsid w:val="000236DF"/>
    <w:rsid w:val="00023763"/>
    <w:rsid w:val="000249C0"/>
    <w:rsid w:val="00025644"/>
    <w:rsid w:val="00031BC2"/>
    <w:rsid w:val="000350DE"/>
    <w:rsid w:val="00035A8D"/>
    <w:rsid w:val="000372A8"/>
    <w:rsid w:val="0004035E"/>
    <w:rsid w:val="000407AD"/>
    <w:rsid w:val="00040895"/>
    <w:rsid w:val="00041983"/>
    <w:rsid w:val="00043C37"/>
    <w:rsid w:val="00044D13"/>
    <w:rsid w:val="000546D7"/>
    <w:rsid w:val="0005569E"/>
    <w:rsid w:val="0006038C"/>
    <w:rsid w:val="000625EF"/>
    <w:rsid w:val="00064DEA"/>
    <w:rsid w:val="00071248"/>
    <w:rsid w:val="000720B9"/>
    <w:rsid w:val="00073266"/>
    <w:rsid w:val="00077212"/>
    <w:rsid w:val="000812CA"/>
    <w:rsid w:val="000848AF"/>
    <w:rsid w:val="00086BD4"/>
    <w:rsid w:val="00087355"/>
    <w:rsid w:val="00087B60"/>
    <w:rsid w:val="00090C7E"/>
    <w:rsid w:val="000914FC"/>
    <w:rsid w:val="000A2F2E"/>
    <w:rsid w:val="000A6A65"/>
    <w:rsid w:val="000B3677"/>
    <w:rsid w:val="000B3FF8"/>
    <w:rsid w:val="000B650E"/>
    <w:rsid w:val="000C1A54"/>
    <w:rsid w:val="000C3204"/>
    <w:rsid w:val="000C5496"/>
    <w:rsid w:val="000D105A"/>
    <w:rsid w:val="000D1BFC"/>
    <w:rsid w:val="000E2641"/>
    <w:rsid w:val="000E5490"/>
    <w:rsid w:val="000E71C5"/>
    <w:rsid w:val="000F19BE"/>
    <w:rsid w:val="000F2465"/>
    <w:rsid w:val="000F4BB8"/>
    <w:rsid w:val="000F63A3"/>
    <w:rsid w:val="000F67C4"/>
    <w:rsid w:val="000F7127"/>
    <w:rsid w:val="000F787D"/>
    <w:rsid w:val="001008A5"/>
    <w:rsid w:val="00100F8A"/>
    <w:rsid w:val="00101B20"/>
    <w:rsid w:val="0011032E"/>
    <w:rsid w:val="0011348B"/>
    <w:rsid w:val="00114D6E"/>
    <w:rsid w:val="00116565"/>
    <w:rsid w:val="00117DCB"/>
    <w:rsid w:val="00121799"/>
    <w:rsid w:val="001222FC"/>
    <w:rsid w:val="00124A51"/>
    <w:rsid w:val="00126621"/>
    <w:rsid w:val="00126D0F"/>
    <w:rsid w:val="001301E9"/>
    <w:rsid w:val="00131B29"/>
    <w:rsid w:val="00132061"/>
    <w:rsid w:val="0013445A"/>
    <w:rsid w:val="00137259"/>
    <w:rsid w:val="00137645"/>
    <w:rsid w:val="0014015A"/>
    <w:rsid w:val="00140E99"/>
    <w:rsid w:val="00145540"/>
    <w:rsid w:val="001456B0"/>
    <w:rsid w:val="00147E55"/>
    <w:rsid w:val="00151747"/>
    <w:rsid w:val="00157130"/>
    <w:rsid w:val="00160C45"/>
    <w:rsid w:val="00161A3B"/>
    <w:rsid w:val="00161F78"/>
    <w:rsid w:val="00162913"/>
    <w:rsid w:val="0016341E"/>
    <w:rsid w:val="00163EFF"/>
    <w:rsid w:val="00164088"/>
    <w:rsid w:val="001661FB"/>
    <w:rsid w:val="00167AAD"/>
    <w:rsid w:val="00182624"/>
    <w:rsid w:val="00186A6B"/>
    <w:rsid w:val="00186A9D"/>
    <w:rsid w:val="0018752F"/>
    <w:rsid w:val="00191865"/>
    <w:rsid w:val="001941FE"/>
    <w:rsid w:val="00195222"/>
    <w:rsid w:val="001954DF"/>
    <w:rsid w:val="00195E2B"/>
    <w:rsid w:val="00197046"/>
    <w:rsid w:val="001975D8"/>
    <w:rsid w:val="001A3698"/>
    <w:rsid w:val="001A3B49"/>
    <w:rsid w:val="001B02A9"/>
    <w:rsid w:val="001B3443"/>
    <w:rsid w:val="001B35EB"/>
    <w:rsid w:val="001B3EC6"/>
    <w:rsid w:val="001B5D24"/>
    <w:rsid w:val="001C6E66"/>
    <w:rsid w:val="001C7EAB"/>
    <w:rsid w:val="001D13A8"/>
    <w:rsid w:val="001D25C9"/>
    <w:rsid w:val="001D2714"/>
    <w:rsid w:val="001D7186"/>
    <w:rsid w:val="001E238E"/>
    <w:rsid w:val="001E2B1E"/>
    <w:rsid w:val="001E52EB"/>
    <w:rsid w:val="001E740C"/>
    <w:rsid w:val="001F1235"/>
    <w:rsid w:val="001F1CB3"/>
    <w:rsid w:val="001F3A8A"/>
    <w:rsid w:val="001F65A2"/>
    <w:rsid w:val="001F7361"/>
    <w:rsid w:val="00200C3F"/>
    <w:rsid w:val="0020385F"/>
    <w:rsid w:val="00205CDC"/>
    <w:rsid w:val="00207021"/>
    <w:rsid w:val="00207D00"/>
    <w:rsid w:val="002105C1"/>
    <w:rsid w:val="00210721"/>
    <w:rsid w:val="002111C6"/>
    <w:rsid w:val="002205F8"/>
    <w:rsid w:val="00223B49"/>
    <w:rsid w:val="00224DD4"/>
    <w:rsid w:val="00226DF7"/>
    <w:rsid w:val="002309CC"/>
    <w:rsid w:val="00231365"/>
    <w:rsid w:val="0023295B"/>
    <w:rsid w:val="0023513E"/>
    <w:rsid w:val="00235E91"/>
    <w:rsid w:val="0023608F"/>
    <w:rsid w:val="00237DD9"/>
    <w:rsid w:val="00245C6D"/>
    <w:rsid w:val="00246070"/>
    <w:rsid w:val="00250B15"/>
    <w:rsid w:val="00251610"/>
    <w:rsid w:val="00254118"/>
    <w:rsid w:val="00254DCF"/>
    <w:rsid w:val="0025534B"/>
    <w:rsid w:val="00255BB7"/>
    <w:rsid w:val="00256EDA"/>
    <w:rsid w:val="00257C17"/>
    <w:rsid w:val="00262A87"/>
    <w:rsid w:val="0026398A"/>
    <w:rsid w:val="002644A8"/>
    <w:rsid w:val="002649F9"/>
    <w:rsid w:val="002661C9"/>
    <w:rsid w:val="0027001B"/>
    <w:rsid w:val="00271B7A"/>
    <w:rsid w:val="00273293"/>
    <w:rsid w:val="00274E26"/>
    <w:rsid w:val="00275C5A"/>
    <w:rsid w:val="0027686C"/>
    <w:rsid w:val="00276C2C"/>
    <w:rsid w:val="00281014"/>
    <w:rsid w:val="00283DE6"/>
    <w:rsid w:val="002905F6"/>
    <w:rsid w:val="002918F4"/>
    <w:rsid w:val="00292583"/>
    <w:rsid w:val="002945DD"/>
    <w:rsid w:val="002969D2"/>
    <w:rsid w:val="002A14AB"/>
    <w:rsid w:val="002A24A7"/>
    <w:rsid w:val="002A469C"/>
    <w:rsid w:val="002B02B8"/>
    <w:rsid w:val="002B1C1F"/>
    <w:rsid w:val="002B38A7"/>
    <w:rsid w:val="002B432F"/>
    <w:rsid w:val="002B46E1"/>
    <w:rsid w:val="002B6CCE"/>
    <w:rsid w:val="002C07FD"/>
    <w:rsid w:val="002C2775"/>
    <w:rsid w:val="002C27C1"/>
    <w:rsid w:val="002D5BD8"/>
    <w:rsid w:val="002D649E"/>
    <w:rsid w:val="002E0E60"/>
    <w:rsid w:val="002E774C"/>
    <w:rsid w:val="002F1D90"/>
    <w:rsid w:val="002F2A80"/>
    <w:rsid w:val="002F46AC"/>
    <w:rsid w:val="002F4D0C"/>
    <w:rsid w:val="002F675E"/>
    <w:rsid w:val="00300195"/>
    <w:rsid w:val="00301017"/>
    <w:rsid w:val="0030476E"/>
    <w:rsid w:val="00305DD7"/>
    <w:rsid w:val="0030683E"/>
    <w:rsid w:val="0030786C"/>
    <w:rsid w:val="0031031A"/>
    <w:rsid w:val="003107E2"/>
    <w:rsid w:val="00310981"/>
    <w:rsid w:val="00315498"/>
    <w:rsid w:val="003212EF"/>
    <w:rsid w:val="003215B0"/>
    <w:rsid w:val="00322A1F"/>
    <w:rsid w:val="003245FB"/>
    <w:rsid w:val="00324999"/>
    <w:rsid w:val="0033236D"/>
    <w:rsid w:val="003329DC"/>
    <w:rsid w:val="003360E8"/>
    <w:rsid w:val="003366C9"/>
    <w:rsid w:val="003371B0"/>
    <w:rsid w:val="00342DD6"/>
    <w:rsid w:val="0035620E"/>
    <w:rsid w:val="00363937"/>
    <w:rsid w:val="0037015C"/>
    <w:rsid w:val="00372EBA"/>
    <w:rsid w:val="00375B22"/>
    <w:rsid w:val="00375D03"/>
    <w:rsid w:val="003817A5"/>
    <w:rsid w:val="0038365C"/>
    <w:rsid w:val="00385FB7"/>
    <w:rsid w:val="003939B6"/>
    <w:rsid w:val="00394BD5"/>
    <w:rsid w:val="00396FD0"/>
    <w:rsid w:val="003A1A7A"/>
    <w:rsid w:val="003A41B7"/>
    <w:rsid w:val="003B42AA"/>
    <w:rsid w:val="003D1828"/>
    <w:rsid w:val="003D2422"/>
    <w:rsid w:val="003E361E"/>
    <w:rsid w:val="003E4CCB"/>
    <w:rsid w:val="003E54AC"/>
    <w:rsid w:val="003F1913"/>
    <w:rsid w:val="003F4156"/>
    <w:rsid w:val="003F4920"/>
    <w:rsid w:val="0040053A"/>
    <w:rsid w:val="00401B49"/>
    <w:rsid w:val="0040287A"/>
    <w:rsid w:val="00410708"/>
    <w:rsid w:val="00410EC7"/>
    <w:rsid w:val="004121F4"/>
    <w:rsid w:val="00414476"/>
    <w:rsid w:val="004170B6"/>
    <w:rsid w:val="00420B9F"/>
    <w:rsid w:val="00426737"/>
    <w:rsid w:val="004276CF"/>
    <w:rsid w:val="00427CE4"/>
    <w:rsid w:val="004319F8"/>
    <w:rsid w:val="0043243A"/>
    <w:rsid w:val="00433044"/>
    <w:rsid w:val="0043384C"/>
    <w:rsid w:val="00433C46"/>
    <w:rsid w:val="00434E4B"/>
    <w:rsid w:val="00434F19"/>
    <w:rsid w:val="004377F9"/>
    <w:rsid w:val="004443A7"/>
    <w:rsid w:val="00445968"/>
    <w:rsid w:val="004464EB"/>
    <w:rsid w:val="00446E44"/>
    <w:rsid w:val="004507F8"/>
    <w:rsid w:val="00455D45"/>
    <w:rsid w:val="00463111"/>
    <w:rsid w:val="004632CC"/>
    <w:rsid w:val="00464595"/>
    <w:rsid w:val="004854A7"/>
    <w:rsid w:val="004867E2"/>
    <w:rsid w:val="00486BFE"/>
    <w:rsid w:val="0049150E"/>
    <w:rsid w:val="00491B3A"/>
    <w:rsid w:val="00492CFD"/>
    <w:rsid w:val="00493D99"/>
    <w:rsid w:val="004962D2"/>
    <w:rsid w:val="004969AB"/>
    <w:rsid w:val="004A0DA1"/>
    <w:rsid w:val="004A408C"/>
    <w:rsid w:val="004A45D2"/>
    <w:rsid w:val="004A472F"/>
    <w:rsid w:val="004A6597"/>
    <w:rsid w:val="004A68D6"/>
    <w:rsid w:val="004B0BF0"/>
    <w:rsid w:val="004B1CB4"/>
    <w:rsid w:val="004B2F18"/>
    <w:rsid w:val="004B369F"/>
    <w:rsid w:val="004B377E"/>
    <w:rsid w:val="004B3DDB"/>
    <w:rsid w:val="004B44FD"/>
    <w:rsid w:val="004B5CFC"/>
    <w:rsid w:val="004C4AED"/>
    <w:rsid w:val="004C58F2"/>
    <w:rsid w:val="004C65C6"/>
    <w:rsid w:val="004D03FD"/>
    <w:rsid w:val="004E0EB8"/>
    <w:rsid w:val="004E256C"/>
    <w:rsid w:val="004E2ADC"/>
    <w:rsid w:val="004E43B2"/>
    <w:rsid w:val="004F06B6"/>
    <w:rsid w:val="004F0B58"/>
    <w:rsid w:val="004F15A1"/>
    <w:rsid w:val="004F1D02"/>
    <w:rsid w:val="004F2679"/>
    <w:rsid w:val="004F414C"/>
    <w:rsid w:val="004F4333"/>
    <w:rsid w:val="004F5842"/>
    <w:rsid w:val="004F62A3"/>
    <w:rsid w:val="004F7865"/>
    <w:rsid w:val="00501958"/>
    <w:rsid w:val="00506819"/>
    <w:rsid w:val="00506928"/>
    <w:rsid w:val="00513006"/>
    <w:rsid w:val="005152B5"/>
    <w:rsid w:val="00517FC1"/>
    <w:rsid w:val="00521319"/>
    <w:rsid w:val="00523C28"/>
    <w:rsid w:val="0053097A"/>
    <w:rsid w:val="00530BD4"/>
    <w:rsid w:val="00532DD9"/>
    <w:rsid w:val="0053329E"/>
    <w:rsid w:val="0053435D"/>
    <w:rsid w:val="005357D4"/>
    <w:rsid w:val="005378E6"/>
    <w:rsid w:val="00541565"/>
    <w:rsid w:val="005436E8"/>
    <w:rsid w:val="005468C5"/>
    <w:rsid w:val="0055058A"/>
    <w:rsid w:val="00552BD3"/>
    <w:rsid w:val="00554C32"/>
    <w:rsid w:val="00555109"/>
    <w:rsid w:val="00556456"/>
    <w:rsid w:val="0055700A"/>
    <w:rsid w:val="005635A7"/>
    <w:rsid w:val="00564FE0"/>
    <w:rsid w:val="0056696F"/>
    <w:rsid w:val="00570A65"/>
    <w:rsid w:val="00571E6D"/>
    <w:rsid w:val="005739E7"/>
    <w:rsid w:val="00575D8D"/>
    <w:rsid w:val="00576972"/>
    <w:rsid w:val="00577343"/>
    <w:rsid w:val="005776E3"/>
    <w:rsid w:val="00580A38"/>
    <w:rsid w:val="005811DA"/>
    <w:rsid w:val="00583296"/>
    <w:rsid w:val="00583699"/>
    <w:rsid w:val="00584418"/>
    <w:rsid w:val="00591654"/>
    <w:rsid w:val="00596F08"/>
    <w:rsid w:val="005A48DC"/>
    <w:rsid w:val="005A7AB2"/>
    <w:rsid w:val="005A7BF0"/>
    <w:rsid w:val="005B5857"/>
    <w:rsid w:val="005C13D4"/>
    <w:rsid w:val="005C1B83"/>
    <w:rsid w:val="005C346B"/>
    <w:rsid w:val="005C6962"/>
    <w:rsid w:val="005C7288"/>
    <w:rsid w:val="005D044D"/>
    <w:rsid w:val="005D18AD"/>
    <w:rsid w:val="005D2420"/>
    <w:rsid w:val="005D3B7C"/>
    <w:rsid w:val="005E37D9"/>
    <w:rsid w:val="005E69A0"/>
    <w:rsid w:val="005E73C0"/>
    <w:rsid w:val="005F1129"/>
    <w:rsid w:val="005F2706"/>
    <w:rsid w:val="005F6A8F"/>
    <w:rsid w:val="005F7B9D"/>
    <w:rsid w:val="006065EB"/>
    <w:rsid w:val="00607669"/>
    <w:rsid w:val="00612E13"/>
    <w:rsid w:val="00612F97"/>
    <w:rsid w:val="00616802"/>
    <w:rsid w:val="00617E12"/>
    <w:rsid w:val="00621477"/>
    <w:rsid w:val="00623743"/>
    <w:rsid w:val="00623A78"/>
    <w:rsid w:val="00626EF0"/>
    <w:rsid w:val="00631146"/>
    <w:rsid w:val="00631D6B"/>
    <w:rsid w:val="00633B3E"/>
    <w:rsid w:val="0063479F"/>
    <w:rsid w:val="006364A1"/>
    <w:rsid w:val="00637BFD"/>
    <w:rsid w:val="00640946"/>
    <w:rsid w:val="006471CC"/>
    <w:rsid w:val="0065079F"/>
    <w:rsid w:val="00653D1A"/>
    <w:rsid w:val="00663B01"/>
    <w:rsid w:val="00664E64"/>
    <w:rsid w:val="00670DB3"/>
    <w:rsid w:val="00671277"/>
    <w:rsid w:val="006729DB"/>
    <w:rsid w:val="00674E42"/>
    <w:rsid w:val="006779A7"/>
    <w:rsid w:val="00682112"/>
    <w:rsid w:val="00683F91"/>
    <w:rsid w:val="00684780"/>
    <w:rsid w:val="0068483B"/>
    <w:rsid w:val="00685C8A"/>
    <w:rsid w:val="006872BA"/>
    <w:rsid w:val="006917D7"/>
    <w:rsid w:val="00692CDB"/>
    <w:rsid w:val="00694F44"/>
    <w:rsid w:val="00696FD6"/>
    <w:rsid w:val="006A0501"/>
    <w:rsid w:val="006A142C"/>
    <w:rsid w:val="006A4D86"/>
    <w:rsid w:val="006A5C81"/>
    <w:rsid w:val="006B235D"/>
    <w:rsid w:val="006B61CF"/>
    <w:rsid w:val="006B6A84"/>
    <w:rsid w:val="006B756B"/>
    <w:rsid w:val="006C2A8E"/>
    <w:rsid w:val="006C7BDC"/>
    <w:rsid w:val="006D1DF1"/>
    <w:rsid w:val="006D32AE"/>
    <w:rsid w:val="006D37D9"/>
    <w:rsid w:val="006D3C7D"/>
    <w:rsid w:val="006D5D5F"/>
    <w:rsid w:val="006F0E49"/>
    <w:rsid w:val="006F63A5"/>
    <w:rsid w:val="0070276E"/>
    <w:rsid w:val="00702F8F"/>
    <w:rsid w:val="00711A36"/>
    <w:rsid w:val="00711EF0"/>
    <w:rsid w:val="007156DD"/>
    <w:rsid w:val="00715A64"/>
    <w:rsid w:val="007172AD"/>
    <w:rsid w:val="00720F52"/>
    <w:rsid w:val="00721F27"/>
    <w:rsid w:val="0072416F"/>
    <w:rsid w:val="007257AB"/>
    <w:rsid w:val="0073526B"/>
    <w:rsid w:val="00735328"/>
    <w:rsid w:val="0073685B"/>
    <w:rsid w:val="007376F5"/>
    <w:rsid w:val="00745DF7"/>
    <w:rsid w:val="007470B2"/>
    <w:rsid w:val="007511B2"/>
    <w:rsid w:val="0075154E"/>
    <w:rsid w:val="00752186"/>
    <w:rsid w:val="007525B8"/>
    <w:rsid w:val="00754D15"/>
    <w:rsid w:val="0075564B"/>
    <w:rsid w:val="00766A04"/>
    <w:rsid w:val="00767A60"/>
    <w:rsid w:val="00772E41"/>
    <w:rsid w:val="00775B48"/>
    <w:rsid w:val="00780814"/>
    <w:rsid w:val="00780F49"/>
    <w:rsid w:val="007863F1"/>
    <w:rsid w:val="00786B3B"/>
    <w:rsid w:val="00787504"/>
    <w:rsid w:val="00793A51"/>
    <w:rsid w:val="00795C3F"/>
    <w:rsid w:val="007A0A12"/>
    <w:rsid w:val="007A0B14"/>
    <w:rsid w:val="007A0DB3"/>
    <w:rsid w:val="007A4A7E"/>
    <w:rsid w:val="007A4FC7"/>
    <w:rsid w:val="007A6CC9"/>
    <w:rsid w:val="007B0235"/>
    <w:rsid w:val="007B251D"/>
    <w:rsid w:val="007B77D1"/>
    <w:rsid w:val="007C361D"/>
    <w:rsid w:val="007C3B79"/>
    <w:rsid w:val="007D0B38"/>
    <w:rsid w:val="007D194F"/>
    <w:rsid w:val="007D688E"/>
    <w:rsid w:val="007D7750"/>
    <w:rsid w:val="007D7833"/>
    <w:rsid w:val="007E68B7"/>
    <w:rsid w:val="007F1017"/>
    <w:rsid w:val="007F1EF9"/>
    <w:rsid w:val="007F25EC"/>
    <w:rsid w:val="007F4A3F"/>
    <w:rsid w:val="007F7EBF"/>
    <w:rsid w:val="00801681"/>
    <w:rsid w:val="00801E2D"/>
    <w:rsid w:val="00802B08"/>
    <w:rsid w:val="00805142"/>
    <w:rsid w:val="00807A8B"/>
    <w:rsid w:val="00807F67"/>
    <w:rsid w:val="00812140"/>
    <w:rsid w:val="00812149"/>
    <w:rsid w:val="00813D02"/>
    <w:rsid w:val="008166EF"/>
    <w:rsid w:val="00816CBB"/>
    <w:rsid w:val="00822EA3"/>
    <w:rsid w:val="008264EB"/>
    <w:rsid w:val="00833B05"/>
    <w:rsid w:val="00834A1C"/>
    <w:rsid w:val="00840CA2"/>
    <w:rsid w:val="0084358A"/>
    <w:rsid w:val="00856E9A"/>
    <w:rsid w:val="0085799D"/>
    <w:rsid w:val="00862502"/>
    <w:rsid w:val="00870A2D"/>
    <w:rsid w:val="00871C1E"/>
    <w:rsid w:val="0088212A"/>
    <w:rsid w:val="008822C5"/>
    <w:rsid w:val="00882874"/>
    <w:rsid w:val="00883787"/>
    <w:rsid w:val="0088577A"/>
    <w:rsid w:val="00894489"/>
    <w:rsid w:val="008963A5"/>
    <w:rsid w:val="008A1395"/>
    <w:rsid w:val="008A39CC"/>
    <w:rsid w:val="008A3C3E"/>
    <w:rsid w:val="008A79DE"/>
    <w:rsid w:val="008B264E"/>
    <w:rsid w:val="008B3CC1"/>
    <w:rsid w:val="008B48D3"/>
    <w:rsid w:val="008B4F93"/>
    <w:rsid w:val="008B563A"/>
    <w:rsid w:val="008B7D7E"/>
    <w:rsid w:val="008C7ECB"/>
    <w:rsid w:val="008D07ED"/>
    <w:rsid w:val="008D1E0C"/>
    <w:rsid w:val="008D2A24"/>
    <w:rsid w:val="008D776D"/>
    <w:rsid w:val="008E1B9E"/>
    <w:rsid w:val="008E20D3"/>
    <w:rsid w:val="008E6911"/>
    <w:rsid w:val="008E73D4"/>
    <w:rsid w:val="008F120A"/>
    <w:rsid w:val="008F1AB0"/>
    <w:rsid w:val="008F48EB"/>
    <w:rsid w:val="008F4F0B"/>
    <w:rsid w:val="008F6519"/>
    <w:rsid w:val="00903EA9"/>
    <w:rsid w:val="009062A5"/>
    <w:rsid w:val="00911254"/>
    <w:rsid w:val="00911272"/>
    <w:rsid w:val="00915685"/>
    <w:rsid w:val="00924DA0"/>
    <w:rsid w:val="009266A3"/>
    <w:rsid w:val="00927B2A"/>
    <w:rsid w:val="00936838"/>
    <w:rsid w:val="00936D91"/>
    <w:rsid w:val="009417CB"/>
    <w:rsid w:val="00941CAE"/>
    <w:rsid w:val="0094459D"/>
    <w:rsid w:val="00945A27"/>
    <w:rsid w:val="00960714"/>
    <w:rsid w:val="0096176C"/>
    <w:rsid w:val="009628AE"/>
    <w:rsid w:val="00962CB9"/>
    <w:rsid w:val="00964312"/>
    <w:rsid w:val="00967BD0"/>
    <w:rsid w:val="00975120"/>
    <w:rsid w:val="00976B91"/>
    <w:rsid w:val="00980976"/>
    <w:rsid w:val="00983E57"/>
    <w:rsid w:val="009868C1"/>
    <w:rsid w:val="00996980"/>
    <w:rsid w:val="00996B1A"/>
    <w:rsid w:val="009978AE"/>
    <w:rsid w:val="009A42D6"/>
    <w:rsid w:val="009A52F2"/>
    <w:rsid w:val="009B148D"/>
    <w:rsid w:val="009B1578"/>
    <w:rsid w:val="009B3E26"/>
    <w:rsid w:val="009B4B61"/>
    <w:rsid w:val="009C185C"/>
    <w:rsid w:val="009C28D9"/>
    <w:rsid w:val="009C4882"/>
    <w:rsid w:val="009D180D"/>
    <w:rsid w:val="009D2B28"/>
    <w:rsid w:val="009D2CFA"/>
    <w:rsid w:val="009D58CE"/>
    <w:rsid w:val="009D5B91"/>
    <w:rsid w:val="009E0E85"/>
    <w:rsid w:val="009E0F27"/>
    <w:rsid w:val="009E1D63"/>
    <w:rsid w:val="009E30DB"/>
    <w:rsid w:val="009E39D0"/>
    <w:rsid w:val="009E4C07"/>
    <w:rsid w:val="009F11ED"/>
    <w:rsid w:val="00A00F3D"/>
    <w:rsid w:val="00A03D43"/>
    <w:rsid w:val="00A04380"/>
    <w:rsid w:val="00A05645"/>
    <w:rsid w:val="00A07547"/>
    <w:rsid w:val="00A13948"/>
    <w:rsid w:val="00A20AAD"/>
    <w:rsid w:val="00A239DC"/>
    <w:rsid w:val="00A25D8F"/>
    <w:rsid w:val="00A26B4F"/>
    <w:rsid w:val="00A27AEC"/>
    <w:rsid w:val="00A35D16"/>
    <w:rsid w:val="00A37BAC"/>
    <w:rsid w:val="00A42323"/>
    <w:rsid w:val="00A43C59"/>
    <w:rsid w:val="00A5042C"/>
    <w:rsid w:val="00A50ECD"/>
    <w:rsid w:val="00A52729"/>
    <w:rsid w:val="00A53675"/>
    <w:rsid w:val="00A537EB"/>
    <w:rsid w:val="00A54D1B"/>
    <w:rsid w:val="00A56B6A"/>
    <w:rsid w:val="00A578DC"/>
    <w:rsid w:val="00A6137A"/>
    <w:rsid w:val="00A64F67"/>
    <w:rsid w:val="00A66158"/>
    <w:rsid w:val="00A666DB"/>
    <w:rsid w:val="00A6725B"/>
    <w:rsid w:val="00A67FC3"/>
    <w:rsid w:val="00A701B8"/>
    <w:rsid w:val="00A71806"/>
    <w:rsid w:val="00A72772"/>
    <w:rsid w:val="00A73E0B"/>
    <w:rsid w:val="00A81CEA"/>
    <w:rsid w:val="00A86609"/>
    <w:rsid w:val="00A86E8B"/>
    <w:rsid w:val="00A87D4A"/>
    <w:rsid w:val="00A92437"/>
    <w:rsid w:val="00A92CCA"/>
    <w:rsid w:val="00A93072"/>
    <w:rsid w:val="00A959D8"/>
    <w:rsid w:val="00AB042A"/>
    <w:rsid w:val="00AB2D34"/>
    <w:rsid w:val="00AB3430"/>
    <w:rsid w:val="00AB60F1"/>
    <w:rsid w:val="00AB7CFA"/>
    <w:rsid w:val="00AC271F"/>
    <w:rsid w:val="00AC2F4E"/>
    <w:rsid w:val="00AC647E"/>
    <w:rsid w:val="00AD576A"/>
    <w:rsid w:val="00AD69EA"/>
    <w:rsid w:val="00AE1B64"/>
    <w:rsid w:val="00AF4BB5"/>
    <w:rsid w:val="00AF56A1"/>
    <w:rsid w:val="00AF6D1F"/>
    <w:rsid w:val="00B2563D"/>
    <w:rsid w:val="00B27846"/>
    <w:rsid w:val="00B31294"/>
    <w:rsid w:val="00B3432C"/>
    <w:rsid w:val="00B34A25"/>
    <w:rsid w:val="00B4026A"/>
    <w:rsid w:val="00B42851"/>
    <w:rsid w:val="00B42E62"/>
    <w:rsid w:val="00B446F6"/>
    <w:rsid w:val="00B50DB8"/>
    <w:rsid w:val="00B51EF7"/>
    <w:rsid w:val="00B5279F"/>
    <w:rsid w:val="00B53623"/>
    <w:rsid w:val="00B53905"/>
    <w:rsid w:val="00B54B5B"/>
    <w:rsid w:val="00B5562E"/>
    <w:rsid w:val="00B57000"/>
    <w:rsid w:val="00B60939"/>
    <w:rsid w:val="00B60AFD"/>
    <w:rsid w:val="00B625F3"/>
    <w:rsid w:val="00B62715"/>
    <w:rsid w:val="00B8034F"/>
    <w:rsid w:val="00B818A4"/>
    <w:rsid w:val="00B846FE"/>
    <w:rsid w:val="00B8649C"/>
    <w:rsid w:val="00B92D0B"/>
    <w:rsid w:val="00B94945"/>
    <w:rsid w:val="00BA031C"/>
    <w:rsid w:val="00BA1B23"/>
    <w:rsid w:val="00BA24E4"/>
    <w:rsid w:val="00BA4568"/>
    <w:rsid w:val="00BB7405"/>
    <w:rsid w:val="00BC3D4C"/>
    <w:rsid w:val="00BC5507"/>
    <w:rsid w:val="00BC604F"/>
    <w:rsid w:val="00BC63AB"/>
    <w:rsid w:val="00BC7276"/>
    <w:rsid w:val="00BC7A76"/>
    <w:rsid w:val="00BD1ABD"/>
    <w:rsid w:val="00BD27F8"/>
    <w:rsid w:val="00BD6CF3"/>
    <w:rsid w:val="00BE0375"/>
    <w:rsid w:val="00BE2180"/>
    <w:rsid w:val="00BE3214"/>
    <w:rsid w:val="00BE4275"/>
    <w:rsid w:val="00BF1368"/>
    <w:rsid w:val="00BF2266"/>
    <w:rsid w:val="00BF2433"/>
    <w:rsid w:val="00BF61C9"/>
    <w:rsid w:val="00C01B84"/>
    <w:rsid w:val="00C03562"/>
    <w:rsid w:val="00C059EE"/>
    <w:rsid w:val="00C07F8B"/>
    <w:rsid w:val="00C1029D"/>
    <w:rsid w:val="00C13EB3"/>
    <w:rsid w:val="00C152B0"/>
    <w:rsid w:val="00C15CC7"/>
    <w:rsid w:val="00C20BB8"/>
    <w:rsid w:val="00C21B95"/>
    <w:rsid w:val="00C22FEA"/>
    <w:rsid w:val="00C2373A"/>
    <w:rsid w:val="00C243E3"/>
    <w:rsid w:val="00C2510D"/>
    <w:rsid w:val="00C25418"/>
    <w:rsid w:val="00C25D9C"/>
    <w:rsid w:val="00C31649"/>
    <w:rsid w:val="00C33301"/>
    <w:rsid w:val="00C33884"/>
    <w:rsid w:val="00C40385"/>
    <w:rsid w:val="00C4175F"/>
    <w:rsid w:val="00C5570E"/>
    <w:rsid w:val="00C57A53"/>
    <w:rsid w:val="00C6151A"/>
    <w:rsid w:val="00C61B9F"/>
    <w:rsid w:val="00C626CF"/>
    <w:rsid w:val="00C62E2D"/>
    <w:rsid w:val="00C65576"/>
    <w:rsid w:val="00C66165"/>
    <w:rsid w:val="00C720EE"/>
    <w:rsid w:val="00C74000"/>
    <w:rsid w:val="00C750C8"/>
    <w:rsid w:val="00C8213F"/>
    <w:rsid w:val="00C86CAF"/>
    <w:rsid w:val="00C8797A"/>
    <w:rsid w:val="00C90E45"/>
    <w:rsid w:val="00C917F8"/>
    <w:rsid w:val="00C938CF"/>
    <w:rsid w:val="00C95191"/>
    <w:rsid w:val="00C9542E"/>
    <w:rsid w:val="00C95B14"/>
    <w:rsid w:val="00C964E3"/>
    <w:rsid w:val="00CA5245"/>
    <w:rsid w:val="00CA641D"/>
    <w:rsid w:val="00CA7B09"/>
    <w:rsid w:val="00CB044C"/>
    <w:rsid w:val="00CB0B4F"/>
    <w:rsid w:val="00CB5B1A"/>
    <w:rsid w:val="00CC5F5C"/>
    <w:rsid w:val="00CC7D05"/>
    <w:rsid w:val="00CD0D31"/>
    <w:rsid w:val="00CD6ADC"/>
    <w:rsid w:val="00CE00AB"/>
    <w:rsid w:val="00CE4C80"/>
    <w:rsid w:val="00CE5566"/>
    <w:rsid w:val="00CE5C00"/>
    <w:rsid w:val="00CE6274"/>
    <w:rsid w:val="00CE78B1"/>
    <w:rsid w:val="00CF456B"/>
    <w:rsid w:val="00CF5A22"/>
    <w:rsid w:val="00CF79EC"/>
    <w:rsid w:val="00D021CF"/>
    <w:rsid w:val="00D0262E"/>
    <w:rsid w:val="00D02ED5"/>
    <w:rsid w:val="00D110BD"/>
    <w:rsid w:val="00D1174C"/>
    <w:rsid w:val="00D17D6C"/>
    <w:rsid w:val="00D20E26"/>
    <w:rsid w:val="00D2195B"/>
    <w:rsid w:val="00D228B5"/>
    <w:rsid w:val="00D26982"/>
    <w:rsid w:val="00D35553"/>
    <w:rsid w:val="00D357FF"/>
    <w:rsid w:val="00D41996"/>
    <w:rsid w:val="00D47020"/>
    <w:rsid w:val="00D720C4"/>
    <w:rsid w:val="00D73ECD"/>
    <w:rsid w:val="00D74F9F"/>
    <w:rsid w:val="00D7529D"/>
    <w:rsid w:val="00D76A44"/>
    <w:rsid w:val="00D83AE0"/>
    <w:rsid w:val="00D93753"/>
    <w:rsid w:val="00D95E85"/>
    <w:rsid w:val="00DA3D25"/>
    <w:rsid w:val="00DA5095"/>
    <w:rsid w:val="00DA566F"/>
    <w:rsid w:val="00DA6992"/>
    <w:rsid w:val="00DA77A5"/>
    <w:rsid w:val="00DB1985"/>
    <w:rsid w:val="00DB5F41"/>
    <w:rsid w:val="00DC5501"/>
    <w:rsid w:val="00DC57E8"/>
    <w:rsid w:val="00DD195F"/>
    <w:rsid w:val="00DD3F28"/>
    <w:rsid w:val="00DD413D"/>
    <w:rsid w:val="00DD4537"/>
    <w:rsid w:val="00DD4E15"/>
    <w:rsid w:val="00DE13F7"/>
    <w:rsid w:val="00DE30E4"/>
    <w:rsid w:val="00DE3343"/>
    <w:rsid w:val="00DE4FCB"/>
    <w:rsid w:val="00DF3262"/>
    <w:rsid w:val="00DF44A9"/>
    <w:rsid w:val="00DF5D2B"/>
    <w:rsid w:val="00E05AFD"/>
    <w:rsid w:val="00E06C48"/>
    <w:rsid w:val="00E10149"/>
    <w:rsid w:val="00E103CD"/>
    <w:rsid w:val="00E123F6"/>
    <w:rsid w:val="00E131F3"/>
    <w:rsid w:val="00E16372"/>
    <w:rsid w:val="00E2076F"/>
    <w:rsid w:val="00E20E6D"/>
    <w:rsid w:val="00E20ED6"/>
    <w:rsid w:val="00E21358"/>
    <w:rsid w:val="00E21B6B"/>
    <w:rsid w:val="00E2249B"/>
    <w:rsid w:val="00E22A0D"/>
    <w:rsid w:val="00E22CFB"/>
    <w:rsid w:val="00E22D5E"/>
    <w:rsid w:val="00E24101"/>
    <w:rsid w:val="00E254FB"/>
    <w:rsid w:val="00E2680C"/>
    <w:rsid w:val="00E2771E"/>
    <w:rsid w:val="00E27E4C"/>
    <w:rsid w:val="00E345A0"/>
    <w:rsid w:val="00E345D9"/>
    <w:rsid w:val="00E37569"/>
    <w:rsid w:val="00E3784A"/>
    <w:rsid w:val="00E40E63"/>
    <w:rsid w:val="00E41E30"/>
    <w:rsid w:val="00E43D70"/>
    <w:rsid w:val="00E45628"/>
    <w:rsid w:val="00E4582F"/>
    <w:rsid w:val="00E47B2C"/>
    <w:rsid w:val="00E51560"/>
    <w:rsid w:val="00E5391F"/>
    <w:rsid w:val="00E55424"/>
    <w:rsid w:val="00E55BB5"/>
    <w:rsid w:val="00E564DC"/>
    <w:rsid w:val="00E62E54"/>
    <w:rsid w:val="00E65E79"/>
    <w:rsid w:val="00E67416"/>
    <w:rsid w:val="00E718B6"/>
    <w:rsid w:val="00E72958"/>
    <w:rsid w:val="00E73581"/>
    <w:rsid w:val="00E75D70"/>
    <w:rsid w:val="00E770F7"/>
    <w:rsid w:val="00E7720D"/>
    <w:rsid w:val="00E822DD"/>
    <w:rsid w:val="00E83BDF"/>
    <w:rsid w:val="00EA0FDF"/>
    <w:rsid w:val="00EA3599"/>
    <w:rsid w:val="00EA3864"/>
    <w:rsid w:val="00EB15B6"/>
    <w:rsid w:val="00EB1E7C"/>
    <w:rsid w:val="00EB4916"/>
    <w:rsid w:val="00EB5616"/>
    <w:rsid w:val="00EC00C9"/>
    <w:rsid w:val="00ED0314"/>
    <w:rsid w:val="00ED383C"/>
    <w:rsid w:val="00ED42B4"/>
    <w:rsid w:val="00EE07D3"/>
    <w:rsid w:val="00EE2838"/>
    <w:rsid w:val="00EE7D77"/>
    <w:rsid w:val="00EF0411"/>
    <w:rsid w:val="00EF60CD"/>
    <w:rsid w:val="00F067A2"/>
    <w:rsid w:val="00F072AD"/>
    <w:rsid w:val="00F142BC"/>
    <w:rsid w:val="00F24837"/>
    <w:rsid w:val="00F2575F"/>
    <w:rsid w:val="00F25AA3"/>
    <w:rsid w:val="00F33355"/>
    <w:rsid w:val="00F33DE9"/>
    <w:rsid w:val="00F35943"/>
    <w:rsid w:val="00F3619A"/>
    <w:rsid w:val="00F411BE"/>
    <w:rsid w:val="00F46CB6"/>
    <w:rsid w:val="00F46CB9"/>
    <w:rsid w:val="00F477CF"/>
    <w:rsid w:val="00F50E59"/>
    <w:rsid w:val="00F55E73"/>
    <w:rsid w:val="00F60092"/>
    <w:rsid w:val="00F61501"/>
    <w:rsid w:val="00F67B86"/>
    <w:rsid w:val="00F7035D"/>
    <w:rsid w:val="00F76B47"/>
    <w:rsid w:val="00F80E5D"/>
    <w:rsid w:val="00F8149E"/>
    <w:rsid w:val="00F8230D"/>
    <w:rsid w:val="00F82BFE"/>
    <w:rsid w:val="00F851CE"/>
    <w:rsid w:val="00F91639"/>
    <w:rsid w:val="00F93568"/>
    <w:rsid w:val="00F9636E"/>
    <w:rsid w:val="00F97A78"/>
    <w:rsid w:val="00FA24E7"/>
    <w:rsid w:val="00FA3A67"/>
    <w:rsid w:val="00FA4256"/>
    <w:rsid w:val="00FA6E89"/>
    <w:rsid w:val="00FB2FCB"/>
    <w:rsid w:val="00FB52A4"/>
    <w:rsid w:val="00FB73C7"/>
    <w:rsid w:val="00FB7E47"/>
    <w:rsid w:val="00FC0290"/>
    <w:rsid w:val="00FC1074"/>
    <w:rsid w:val="00FC1884"/>
    <w:rsid w:val="00FC48D5"/>
    <w:rsid w:val="00FC59CC"/>
    <w:rsid w:val="00FC7E77"/>
    <w:rsid w:val="00FD2100"/>
    <w:rsid w:val="00FD345E"/>
    <w:rsid w:val="00FD446D"/>
    <w:rsid w:val="00FD6A55"/>
    <w:rsid w:val="00FD7F49"/>
    <w:rsid w:val="00FE289E"/>
    <w:rsid w:val="00FE411B"/>
    <w:rsid w:val="00FF16A2"/>
    <w:rsid w:val="00FF2AF5"/>
    <w:rsid w:val="00FF3DCF"/>
    <w:rsid w:val="00FF5AA3"/>
    <w:rsid w:val="00FF74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5E69A0"/>
    <w:pPr>
      <w:jc w:val="left"/>
    </w:pPr>
    <w:rPr>
      <w:b/>
      <w:sz w:val="28"/>
      <w:szCs w:val="28"/>
    </w:rPr>
  </w:style>
  <w:style w:type="character" w:customStyle="1" w:styleId="TitleChar">
    <w:name w:val="Title Char"/>
    <w:basedOn w:val="DefaultParagraphFont"/>
    <w:link w:val="Title"/>
    <w:rsid w:val="005E69A0"/>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TableHeaderRow">
    <w:name w:val="Table Header Row"/>
    <w:qFormat/>
    <w:rsid w:val="00C20BB8"/>
    <w:pPr>
      <w:keepNext/>
      <w:spacing w:before="60" w:after="60"/>
      <w:jc w:val="center"/>
    </w:pPr>
    <w:rPr>
      <w:rFonts w:ascii="Arial" w:hAnsi="Arial"/>
      <w:b/>
      <w:sz w:val="22"/>
      <w:szCs w:val="24"/>
      <w:lang w:eastAsia="en-GB"/>
    </w:rPr>
  </w:style>
  <w:style w:type="character" w:styleId="PageNumber">
    <w:name w:val="page number"/>
    <w:basedOn w:val="DefaultParagraphFont"/>
    <w:semiHidden/>
    <w:rsid w:val="00C20BB8"/>
    <w:rPr>
      <w:rFonts w:ascii="Garamond" w:hAnsi="Garamond"/>
      <w:b/>
      <w:sz w:val="22"/>
    </w:rPr>
  </w:style>
  <w:style w:type="paragraph" w:customStyle="1" w:styleId="SectionHeading">
    <w:name w:val="Section Heading"/>
    <w:basedOn w:val="Normal"/>
    <w:next w:val="BodyText"/>
    <w:rsid w:val="00C20BB8"/>
    <w:pPr>
      <w:pageBreakBefore/>
      <w:widowControl/>
      <w:spacing w:after="360" w:line="360" w:lineRule="auto"/>
      <w:jc w:val="left"/>
      <w:outlineLvl w:val="0"/>
    </w:pPr>
    <w:rPr>
      <w:rFonts w:cs="Times New Roman"/>
      <w:b/>
      <w:bCs/>
      <w:caps/>
      <w:snapToGrid/>
      <w:kern w:val="28"/>
      <w:sz w:val="32"/>
      <w:szCs w:val="28"/>
      <w:lang w:val="en-GB"/>
    </w:rPr>
  </w:style>
  <w:style w:type="table" w:customStyle="1" w:styleId="Summarybox3">
    <w:name w:val="Summary box3"/>
    <w:basedOn w:val="TableNormal"/>
    <w:next w:val="TableGrid"/>
    <w:uiPriority w:val="59"/>
    <w:rsid w:val="00C20BB8"/>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Arial Bold" w:hAnsi="Arial 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tabletext1">
    <w:name w:val="table text"/>
    <w:basedOn w:val="Normal"/>
    <w:qFormat/>
    <w:rsid w:val="00C20BB8"/>
    <w:pPr>
      <w:keepNext/>
      <w:widowControl/>
      <w:jc w:val="left"/>
    </w:pPr>
    <w:rPr>
      <w:snapToGrid/>
      <w:color w:val="000000"/>
      <w:sz w:val="20"/>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34A1C"/>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34"/>
    <w:rsid w:val="00834A1C"/>
    <w:rPr>
      <w:rFonts w:ascii="Arial" w:hAnsi="Arial" w:cs="Arial"/>
      <w:snapToGrid w:val="0"/>
      <w:sz w:val="22"/>
      <w:lang w:eastAsia="en-US"/>
    </w:rPr>
  </w:style>
  <w:style w:type="character" w:customStyle="1" w:styleId="Heading1Char">
    <w:name w:val="Heading 1 Char"/>
    <w:basedOn w:val="DefaultParagraphFont"/>
    <w:link w:val="Heading1"/>
    <w:rsid w:val="0084358A"/>
    <w:rPr>
      <w:rFonts w:ascii="Arial Bold" w:hAnsi="Arial Bold" w:cs="Arial"/>
      <w:b/>
      <w:cap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5E69A0"/>
    <w:pPr>
      <w:jc w:val="left"/>
    </w:pPr>
    <w:rPr>
      <w:b/>
      <w:sz w:val="28"/>
      <w:szCs w:val="28"/>
    </w:rPr>
  </w:style>
  <w:style w:type="character" w:customStyle="1" w:styleId="TitleChar">
    <w:name w:val="Title Char"/>
    <w:basedOn w:val="DefaultParagraphFont"/>
    <w:link w:val="Title"/>
    <w:rsid w:val="005E69A0"/>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TableHeaderRow">
    <w:name w:val="Table Header Row"/>
    <w:qFormat/>
    <w:rsid w:val="00C20BB8"/>
    <w:pPr>
      <w:keepNext/>
      <w:spacing w:before="60" w:after="60"/>
      <w:jc w:val="center"/>
    </w:pPr>
    <w:rPr>
      <w:rFonts w:ascii="Arial" w:hAnsi="Arial"/>
      <w:b/>
      <w:sz w:val="22"/>
      <w:szCs w:val="24"/>
      <w:lang w:eastAsia="en-GB"/>
    </w:rPr>
  </w:style>
  <w:style w:type="character" w:styleId="PageNumber">
    <w:name w:val="page number"/>
    <w:basedOn w:val="DefaultParagraphFont"/>
    <w:semiHidden/>
    <w:rsid w:val="00C20BB8"/>
    <w:rPr>
      <w:rFonts w:ascii="Garamond" w:hAnsi="Garamond"/>
      <w:b/>
      <w:sz w:val="22"/>
    </w:rPr>
  </w:style>
  <w:style w:type="paragraph" w:customStyle="1" w:styleId="SectionHeading">
    <w:name w:val="Section Heading"/>
    <w:basedOn w:val="Normal"/>
    <w:next w:val="BodyText"/>
    <w:rsid w:val="00C20BB8"/>
    <w:pPr>
      <w:pageBreakBefore/>
      <w:widowControl/>
      <w:spacing w:after="360" w:line="360" w:lineRule="auto"/>
      <w:jc w:val="left"/>
      <w:outlineLvl w:val="0"/>
    </w:pPr>
    <w:rPr>
      <w:rFonts w:cs="Times New Roman"/>
      <w:b/>
      <w:bCs/>
      <w:caps/>
      <w:snapToGrid/>
      <w:kern w:val="28"/>
      <w:sz w:val="32"/>
      <w:szCs w:val="28"/>
      <w:lang w:val="en-GB"/>
    </w:rPr>
  </w:style>
  <w:style w:type="table" w:customStyle="1" w:styleId="Summarybox3">
    <w:name w:val="Summary box3"/>
    <w:basedOn w:val="TableNormal"/>
    <w:next w:val="TableGrid"/>
    <w:uiPriority w:val="59"/>
    <w:rsid w:val="00C20BB8"/>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Arial Bold" w:hAnsi="Arial 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tabletext1">
    <w:name w:val="table text"/>
    <w:basedOn w:val="Normal"/>
    <w:qFormat/>
    <w:rsid w:val="00C20BB8"/>
    <w:pPr>
      <w:keepNext/>
      <w:widowControl/>
      <w:jc w:val="left"/>
    </w:pPr>
    <w:rPr>
      <w:snapToGrid/>
      <w:color w:val="000000"/>
      <w:sz w:val="20"/>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34A1C"/>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34"/>
    <w:rsid w:val="00834A1C"/>
    <w:rPr>
      <w:rFonts w:ascii="Arial" w:hAnsi="Arial" w:cs="Arial"/>
      <w:snapToGrid w:val="0"/>
      <w:sz w:val="22"/>
      <w:lang w:eastAsia="en-US"/>
    </w:rPr>
  </w:style>
  <w:style w:type="character" w:customStyle="1" w:styleId="Heading1Char">
    <w:name w:val="Heading 1 Char"/>
    <w:basedOn w:val="DefaultParagraphFont"/>
    <w:link w:val="Heading1"/>
    <w:rsid w:val="0084358A"/>
    <w:rPr>
      <w:rFonts w:ascii="Arial Bold" w:hAnsi="Arial Bold" w:cs="Arial"/>
      <w:b/>
      <w:cap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0920">
      <w:bodyDiv w:val="1"/>
      <w:marLeft w:val="0"/>
      <w:marRight w:val="0"/>
      <w:marTop w:val="0"/>
      <w:marBottom w:val="0"/>
      <w:divBdr>
        <w:top w:val="none" w:sz="0" w:space="0" w:color="auto"/>
        <w:left w:val="none" w:sz="0" w:space="0" w:color="auto"/>
        <w:bottom w:val="none" w:sz="0" w:space="0" w:color="auto"/>
        <w:right w:val="none" w:sz="0" w:space="0" w:color="auto"/>
      </w:divBdr>
    </w:div>
    <w:div w:id="552930631">
      <w:bodyDiv w:val="1"/>
      <w:marLeft w:val="0"/>
      <w:marRight w:val="0"/>
      <w:marTop w:val="0"/>
      <w:marBottom w:val="0"/>
      <w:divBdr>
        <w:top w:val="none" w:sz="0" w:space="0" w:color="auto"/>
        <w:left w:val="none" w:sz="0" w:space="0" w:color="auto"/>
        <w:bottom w:val="none" w:sz="0" w:space="0" w:color="auto"/>
        <w:right w:val="none" w:sz="0" w:space="0" w:color="auto"/>
      </w:divBdr>
    </w:div>
    <w:div w:id="795027339">
      <w:bodyDiv w:val="1"/>
      <w:marLeft w:val="0"/>
      <w:marRight w:val="0"/>
      <w:marTop w:val="0"/>
      <w:marBottom w:val="0"/>
      <w:divBdr>
        <w:top w:val="none" w:sz="0" w:space="0" w:color="auto"/>
        <w:left w:val="none" w:sz="0" w:space="0" w:color="auto"/>
        <w:bottom w:val="none" w:sz="0" w:space="0" w:color="auto"/>
        <w:right w:val="none" w:sz="0" w:space="0" w:color="auto"/>
      </w:divBdr>
      <w:divsChild>
        <w:div w:id="446968049">
          <w:marLeft w:val="360"/>
          <w:marRight w:val="0"/>
          <w:marTop w:val="200"/>
          <w:marBottom w:val="0"/>
          <w:divBdr>
            <w:top w:val="none" w:sz="0" w:space="0" w:color="auto"/>
            <w:left w:val="none" w:sz="0" w:space="0" w:color="auto"/>
            <w:bottom w:val="none" w:sz="0" w:space="0" w:color="auto"/>
            <w:right w:val="none" w:sz="0" w:space="0" w:color="auto"/>
          </w:divBdr>
        </w:div>
      </w:divsChild>
    </w:div>
    <w:div w:id="1027173789">
      <w:bodyDiv w:val="1"/>
      <w:marLeft w:val="0"/>
      <w:marRight w:val="0"/>
      <w:marTop w:val="0"/>
      <w:marBottom w:val="0"/>
      <w:divBdr>
        <w:top w:val="none" w:sz="0" w:space="0" w:color="auto"/>
        <w:left w:val="none" w:sz="0" w:space="0" w:color="auto"/>
        <w:bottom w:val="none" w:sz="0" w:space="0" w:color="auto"/>
        <w:right w:val="none" w:sz="0" w:space="0" w:color="auto"/>
      </w:divBdr>
      <w:divsChild>
        <w:div w:id="1733775032">
          <w:marLeft w:val="360"/>
          <w:marRight w:val="0"/>
          <w:marTop w:val="200"/>
          <w:marBottom w:val="0"/>
          <w:divBdr>
            <w:top w:val="none" w:sz="0" w:space="0" w:color="auto"/>
            <w:left w:val="none" w:sz="0" w:space="0" w:color="auto"/>
            <w:bottom w:val="none" w:sz="0" w:space="0" w:color="auto"/>
            <w:right w:val="none" w:sz="0" w:space="0" w:color="auto"/>
          </w:divBdr>
        </w:div>
        <w:div w:id="2147157464">
          <w:marLeft w:val="360"/>
          <w:marRight w:val="0"/>
          <w:marTop w:val="200"/>
          <w:marBottom w:val="0"/>
          <w:divBdr>
            <w:top w:val="none" w:sz="0" w:space="0" w:color="auto"/>
            <w:left w:val="none" w:sz="0" w:space="0" w:color="auto"/>
            <w:bottom w:val="none" w:sz="0" w:space="0" w:color="auto"/>
            <w:right w:val="none" w:sz="0" w:space="0" w:color="auto"/>
          </w:divBdr>
        </w:div>
      </w:divsChild>
    </w:div>
    <w:div w:id="1051534779">
      <w:bodyDiv w:val="1"/>
      <w:marLeft w:val="0"/>
      <w:marRight w:val="0"/>
      <w:marTop w:val="0"/>
      <w:marBottom w:val="0"/>
      <w:divBdr>
        <w:top w:val="none" w:sz="0" w:space="0" w:color="auto"/>
        <w:left w:val="none" w:sz="0" w:space="0" w:color="auto"/>
        <w:bottom w:val="none" w:sz="0" w:space="0" w:color="auto"/>
        <w:right w:val="none" w:sz="0" w:space="0" w:color="auto"/>
      </w:divBdr>
      <w:divsChild>
        <w:div w:id="936909487">
          <w:marLeft w:val="360"/>
          <w:marRight w:val="0"/>
          <w:marTop w:val="200"/>
          <w:marBottom w:val="0"/>
          <w:divBdr>
            <w:top w:val="none" w:sz="0" w:space="0" w:color="auto"/>
            <w:left w:val="none" w:sz="0" w:space="0" w:color="auto"/>
            <w:bottom w:val="none" w:sz="0" w:space="0" w:color="auto"/>
            <w:right w:val="none" w:sz="0" w:space="0" w:color="auto"/>
          </w:divBdr>
        </w:div>
      </w:divsChild>
    </w:div>
    <w:div w:id="1103920940">
      <w:bodyDiv w:val="1"/>
      <w:marLeft w:val="0"/>
      <w:marRight w:val="0"/>
      <w:marTop w:val="0"/>
      <w:marBottom w:val="0"/>
      <w:divBdr>
        <w:top w:val="none" w:sz="0" w:space="0" w:color="auto"/>
        <w:left w:val="none" w:sz="0" w:space="0" w:color="auto"/>
        <w:bottom w:val="none" w:sz="0" w:space="0" w:color="auto"/>
        <w:right w:val="none" w:sz="0" w:space="0" w:color="auto"/>
      </w:divBdr>
    </w:div>
    <w:div w:id="1170025451">
      <w:bodyDiv w:val="1"/>
      <w:marLeft w:val="0"/>
      <w:marRight w:val="0"/>
      <w:marTop w:val="0"/>
      <w:marBottom w:val="0"/>
      <w:divBdr>
        <w:top w:val="none" w:sz="0" w:space="0" w:color="auto"/>
        <w:left w:val="none" w:sz="0" w:space="0" w:color="auto"/>
        <w:bottom w:val="none" w:sz="0" w:space="0" w:color="auto"/>
        <w:right w:val="none" w:sz="0" w:space="0" w:color="auto"/>
      </w:divBdr>
    </w:div>
    <w:div w:id="1254362207">
      <w:bodyDiv w:val="1"/>
      <w:marLeft w:val="0"/>
      <w:marRight w:val="0"/>
      <w:marTop w:val="0"/>
      <w:marBottom w:val="0"/>
      <w:divBdr>
        <w:top w:val="none" w:sz="0" w:space="0" w:color="auto"/>
        <w:left w:val="none" w:sz="0" w:space="0" w:color="auto"/>
        <w:bottom w:val="none" w:sz="0" w:space="0" w:color="auto"/>
        <w:right w:val="none" w:sz="0" w:space="0" w:color="auto"/>
      </w:divBdr>
    </w:div>
    <w:div w:id="1299066998">
      <w:bodyDiv w:val="1"/>
      <w:marLeft w:val="0"/>
      <w:marRight w:val="0"/>
      <w:marTop w:val="0"/>
      <w:marBottom w:val="0"/>
      <w:divBdr>
        <w:top w:val="none" w:sz="0" w:space="0" w:color="auto"/>
        <w:left w:val="none" w:sz="0" w:space="0" w:color="auto"/>
        <w:bottom w:val="none" w:sz="0" w:space="0" w:color="auto"/>
        <w:right w:val="none" w:sz="0" w:space="0" w:color="auto"/>
      </w:divBdr>
    </w:div>
    <w:div w:id="1692340416">
      <w:bodyDiv w:val="1"/>
      <w:marLeft w:val="0"/>
      <w:marRight w:val="0"/>
      <w:marTop w:val="0"/>
      <w:marBottom w:val="0"/>
      <w:divBdr>
        <w:top w:val="none" w:sz="0" w:space="0" w:color="auto"/>
        <w:left w:val="none" w:sz="0" w:space="0" w:color="auto"/>
        <w:bottom w:val="none" w:sz="0" w:space="0" w:color="auto"/>
        <w:right w:val="none" w:sz="0" w:space="0" w:color="auto"/>
      </w:divBdr>
    </w:div>
    <w:div w:id="1779565610">
      <w:bodyDiv w:val="1"/>
      <w:marLeft w:val="0"/>
      <w:marRight w:val="0"/>
      <w:marTop w:val="0"/>
      <w:marBottom w:val="0"/>
      <w:divBdr>
        <w:top w:val="none" w:sz="0" w:space="0" w:color="auto"/>
        <w:left w:val="none" w:sz="0" w:space="0" w:color="auto"/>
        <w:bottom w:val="none" w:sz="0" w:space="0" w:color="auto"/>
        <w:right w:val="none" w:sz="0" w:space="0" w:color="auto"/>
      </w:divBdr>
      <w:divsChild>
        <w:div w:id="969943540">
          <w:marLeft w:val="360"/>
          <w:marRight w:val="0"/>
          <w:marTop w:val="200"/>
          <w:marBottom w:val="0"/>
          <w:divBdr>
            <w:top w:val="none" w:sz="0" w:space="0" w:color="auto"/>
            <w:left w:val="none" w:sz="0" w:space="0" w:color="auto"/>
            <w:bottom w:val="none" w:sz="0" w:space="0" w:color="auto"/>
            <w:right w:val="none" w:sz="0" w:space="0" w:color="auto"/>
          </w:divBdr>
        </w:div>
        <w:div w:id="1352759103">
          <w:marLeft w:val="432"/>
          <w:marRight w:val="0"/>
          <w:marTop w:val="200"/>
          <w:marBottom w:val="0"/>
          <w:divBdr>
            <w:top w:val="none" w:sz="0" w:space="0" w:color="auto"/>
            <w:left w:val="none" w:sz="0" w:space="0" w:color="auto"/>
            <w:bottom w:val="none" w:sz="0" w:space="0" w:color="auto"/>
            <w:right w:val="none" w:sz="0" w:space="0" w:color="auto"/>
          </w:divBdr>
        </w:div>
      </w:divsChild>
    </w:div>
    <w:div w:id="2045716857">
      <w:bodyDiv w:val="1"/>
      <w:marLeft w:val="0"/>
      <w:marRight w:val="0"/>
      <w:marTop w:val="0"/>
      <w:marBottom w:val="0"/>
      <w:divBdr>
        <w:top w:val="none" w:sz="0" w:space="0" w:color="auto"/>
        <w:left w:val="none" w:sz="0" w:space="0" w:color="auto"/>
        <w:bottom w:val="none" w:sz="0" w:space="0" w:color="auto"/>
        <w:right w:val="none" w:sz="0" w:space="0" w:color="auto"/>
      </w:divBdr>
      <w:divsChild>
        <w:div w:id="241254444">
          <w:marLeft w:val="360"/>
          <w:marRight w:val="0"/>
          <w:marTop w:val="200"/>
          <w:marBottom w:val="0"/>
          <w:divBdr>
            <w:top w:val="none" w:sz="0" w:space="0" w:color="auto"/>
            <w:left w:val="none" w:sz="0" w:space="0" w:color="auto"/>
            <w:bottom w:val="none" w:sz="0" w:space="0" w:color="auto"/>
            <w:right w:val="none" w:sz="0" w:space="0" w:color="auto"/>
          </w:divBdr>
        </w:div>
        <w:div w:id="1393845465">
          <w:marLeft w:val="360"/>
          <w:marRight w:val="0"/>
          <w:marTop w:val="200"/>
          <w:marBottom w:val="0"/>
          <w:divBdr>
            <w:top w:val="none" w:sz="0" w:space="0" w:color="auto"/>
            <w:left w:val="none" w:sz="0" w:space="0" w:color="auto"/>
            <w:bottom w:val="none" w:sz="0" w:space="0" w:color="auto"/>
            <w:right w:val="none" w:sz="0" w:space="0" w:color="auto"/>
          </w:divBdr>
        </w:div>
        <w:div w:id="455494202">
          <w:marLeft w:val="360"/>
          <w:marRight w:val="0"/>
          <w:marTop w:val="200"/>
          <w:marBottom w:val="0"/>
          <w:divBdr>
            <w:top w:val="none" w:sz="0" w:space="0" w:color="auto"/>
            <w:left w:val="none" w:sz="0" w:space="0" w:color="auto"/>
            <w:bottom w:val="none" w:sz="0" w:space="0" w:color="auto"/>
            <w:right w:val="none" w:sz="0" w:space="0" w:color="auto"/>
          </w:divBdr>
        </w:div>
        <w:div w:id="1319457349">
          <w:marLeft w:val="360"/>
          <w:marRight w:val="0"/>
          <w:marTop w:val="200"/>
          <w:marBottom w:val="0"/>
          <w:divBdr>
            <w:top w:val="none" w:sz="0" w:space="0" w:color="auto"/>
            <w:left w:val="none" w:sz="0" w:space="0" w:color="auto"/>
            <w:bottom w:val="none" w:sz="0" w:space="0" w:color="auto"/>
            <w:right w:val="none" w:sz="0" w:space="0" w:color="auto"/>
          </w:divBdr>
        </w:div>
        <w:div w:id="712927001">
          <w:marLeft w:val="360"/>
          <w:marRight w:val="0"/>
          <w:marTop w:val="200"/>
          <w:marBottom w:val="0"/>
          <w:divBdr>
            <w:top w:val="none" w:sz="0" w:space="0" w:color="auto"/>
            <w:left w:val="none" w:sz="0" w:space="0" w:color="auto"/>
            <w:bottom w:val="none" w:sz="0" w:space="0" w:color="auto"/>
            <w:right w:val="none" w:sz="0" w:space="0" w:color="auto"/>
          </w:divBdr>
        </w:div>
        <w:div w:id="138525692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79449-F8C7-4A8F-A70A-B744A302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5393</Words>
  <Characters>32404</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5-17 Nintedanib (non-small cell lung cancer)</vt:lpstr>
    </vt:vector>
  </TitlesOfParts>
  <Manager/>
  <Company/>
  <LinksUpToDate>false</LinksUpToDate>
  <CharactersWithSpaces>37722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5-17 Nintedanib (non-small cell lung cancer)</dc:title>
  <dc:creator/>
  <cp:lastModifiedBy/>
  <cp:revision>1</cp:revision>
  <dcterms:created xsi:type="dcterms:W3CDTF">2015-06-30T01:14:00Z</dcterms:created>
  <dcterms:modified xsi:type="dcterms:W3CDTF">2015-09-09T00:28:00Z</dcterms:modified>
</cp:coreProperties>
</file>