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3BF" w:rsidRPr="001C33BF" w:rsidRDefault="00E96861" w:rsidP="001C33BF">
      <w:pPr>
        <w:pStyle w:val="Title"/>
      </w:pPr>
      <w:bookmarkStart w:id="0" w:name="_Toc409535750"/>
      <w:r w:rsidRPr="001C33BF">
        <w:t>5.16</w:t>
      </w:r>
      <w:r w:rsidR="001C33BF" w:rsidRPr="001C33BF">
        <w:tab/>
      </w:r>
      <w:r w:rsidRPr="001C33BF">
        <w:t xml:space="preserve"> </w:t>
      </w:r>
      <w:r w:rsidR="00706AD9" w:rsidRPr="001C33BF">
        <w:t>N</w:t>
      </w:r>
      <w:r w:rsidR="00583A29" w:rsidRPr="001C33BF">
        <w:t>etupitant/palonosetron</w:t>
      </w:r>
      <w:r w:rsidR="00B60939" w:rsidRPr="001C33BF">
        <w:t xml:space="preserve"> </w:t>
      </w:r>
    </w:p>
    <w:p w:rsidR="00B60939" w:rsidRPr="001C33BF" w:rsidRDefault="0046488E" w:rsidP="001C33BF">
      <w:pPr>
        <w:ind w:left="720"/>
        <w:rPr>
          <w:b/>
          <w:sz w:val="28"/>
          <w:szCs w:val="28"/>
        </w:rPr>
      </w:pPr>
      <w:r w:rsidRPr="001C33BF">
        <w:rPr>
          <w:b/>
          <w:sz w:val="28"/>
          <w:szCs w:val="28"/>
        </w:rPr>
        <w:t xml:space="preserve">netupitant 300 mg </w:t>
      </w:r>
      <w:r w:rsidR="001C33BF" w:rsidRPr="001C33BF">
        <w:rPr>
          <w:b/>
          <w:sz w:val="28"/>
          <w:szCs w:val="28"/>
        </w:rPr>
        <w:t xml:space="preserve">+ palonosetron 500 mcg capsule, </w:t>
      </w:r>
      <w:r w:rsidRPr="001C33BF">
        <w:rPr>
          <w:b/>
          <w:sz w:val="28"/>
          <w:szCs w:val="28"/>
        </w:rPr>
        <w:t>1</w:t>
      </w:r>
      <w:r w:rsidR="001C33BF" w:rsidRPr="001C33BF">
        <w:rPr>
          <w:b/>
          <w:sz w:val="28"/>
          <w:szCs w:val="28"/>
        </w:rPr>
        <w:t>;</w:t>
      </w:r>
      <w:r w:rsidR="00B60939" w:rsidRPr="001C33BF">
        <w:rPr>
          <w:b/>
          <w:sz w:val="28"/>
          <w:szCs w:val="28"/>
        </w:rPr>
        <w:t xml:space="preserve"> </w:t>
      </w:r>
      <w:r w:rsidR="008D27AB" w:rsidRPr="001C33BF">
        <w:rPr>
          <w:b/>
          <w:sz w:val="28"/>
          <w:szCs w:val="28"/>
        </w:rPr>
        <w:t>Akynzeo</w:t>
      </w:r>
      <w:r w:rsidR="00B60939" w:rsidRPr="001C33BF">
        <w:rPr>
          <w:b/>
          <w:sz w:val="28"/>
          <w:szCs w:val="28"/>
        </w:rPr>
        <w:t>®</w:t>
      </w:r>
      <w:r w:rsidR="001C33BF" w:rsidRPr="001C33BF">
        <w:rPr>
          <w:b/>
          <w:sz w:val="28"/>
          <w:szCs w:val="28"/>
        </w:rPr>
        <w:t>;</w:t>
      </w:r>
      <w:r w:rsidR="00B60939" w:rsidRPr="001C33BF">
        <w:rPr>
          <w:b/>
          <w:sz w:val="28"/>
          <w:szCs w:val="28"/>
        </w:rPr>
        <w:t xml:space="preserve"> </w:t>
      </w:r>
      <w:r w:rsidR="00433044" w:rsidRPr="001C33BF">
        <w:rPr>
          <w:b/>
          <w:sz w:val="28"/>
          <w:szCs w:val="28"/>
        </w:rPr>
        <w:t>Sp</w:t>
      </w:r>
      <w:r w:rsidR="008D27AB" w:rsidRPr="001C33BF">
        <w:rPr>
          <w:b/>
          <w:sz w:val="28"/>
          <w:szCs w:val="28"/>
        </w:rPr>
        <w:t>ecialised Therapeutics</w:t>
      </w:r>
      <w:bookmarkEnd w:id="0"/>
    </w:p>
    <w:p w:rsidR="00956448" w:rsidRDefault="00956448" w:rsidP="00956448"/>
    <w:p w:rsidR="00EC185B" w:rsidRDefault="00EC185B" w:rsidP="00956448"/>
    <w:p w:rsidR="00B50DB8" w:rsidRPr="00407F2D" w:rsidRDefault="00B50DB8" w:rsidP="004A2158">
      <w:pPr>
        <w:pStyle w:val="PBACHeading1"/>
      </w:pPr>
      <w:bookmarkStart w:id="1" w:name="_Toc409535752"/>
      <w:r w:rsidRPr="00407F2D">
        <w:t>Purpose of Application</w:t>
      </w:r>
      <w:bookmarkEnd w:id="1"/>
    </w:p>
    <w:p w:rsidR="00B60939" w:rsidRPr="00882085" w:rsidRDefault="00B60939" w:rsidP="004A2158">
      <w:pPr>
        <w:widowControl/>
        <w:rPr>
          <w:szCs w:val="22"/>
        </w:rPr>
      </w:pPr>
    </w:p>
    <w:p w:rsidR="002C2775" w:rsidRPr="00F82398" w:rsidRDefault="008E2174" w:rsidP="004A2158">
      <w:pPr>
        <w:pStyle w:val="ListParagraph"/>
        <w:widowControl/>
        <w:numPr>
          <w:ilvl w:val="1"/>
          <w:numId w:val="4"/>
        </w:numPr>
        <w:rPr>
          <w:szCs w:val="22"/>
        </w:rPr>
      </w:pPr>
      <w:r>
        <w:t xml:space="preserve">The submission requested </w:t>
      </w:r>
      <w:r w:rsidR="00F82398">
        <w:t>Authority Required</w:t>
      </w:r>
      <w:r w:rsidR="00CB628A">
        <w:t xml:space="preserve"> (STREAMLINED)</w:t>
      </w:r>
      <w:r w:rsidR="00F82398">
        <w:t xml:space="preserve"> listing for </w:t>
      </w:r>
      <w:bookmarkStart w:id="2" w:name="_GoBack"/>
      <w:r w:rsidR="00F82398">
        <w:t>netupitant/palonosetron</w:t>
      </w:r>
      <w:r w:rsidR="001E238E" w:rsidRPr="004B3DDB">
        <w:t xml:space="preserve"> </w:t>
      </w:r>
      <w:bookmarkEnd w:id="2"/>
      <w:r w:rsidR="00AD2874">
        <w:t xml:space="preserve">(NEPA) </w:t>
      </w:r>
      <w:r w:rsidR="00A63DBC">
        <w:t xml:space="preserve">fixed dose combination </w:t>
      </w:r>
      <w:r w:rsidR="001E238E" w:rsidRPr="004B3DDB">
        <w:t xml:space="preserve">for </w:t>
      </w:r>
      <w:r w:rsidR="006251E7">
        <w:t>the prevention</w:t>
      </w:r>
      <w:r w:rsidR="006251E7" w:rsidRPr="004B3DDB">
        <w:t xml:space="preserve"> </w:t>
      </w:r>
      <w:r w:rsidR="001E238E" w:rsidRPr="004B3DDB">
        <w:t xml:space="preserve">of </w:t>
      </w:r>
      <w:r w:rsidR="006251E7">
        <w:t xml:space="preserve">acute and delayed </w:t>
      </w:r>
      <w:r w:rsidR="00F82398">
        <w:t>chemotherapy induced nausea and vomiting</w:t>
      </w:r>
      <w:r w:rsidR="0030036B">
        <w:t xml:space="preserve"> (1-</w:t>
      </w:r>
      <w:r w:rsidR="00A2188D">
        <w:t>5</w:t>
      </w:r>
      <w:r w:rsidR="0030036B">
        <w:t xml:space="preserve"> days after initiating chemotherapy)</w:t>
      </w:r>
      <w:r w:rsidR="00F82398">
        <w:t xml:space="preserve"> associated with patients </w:t>
      </w:r>
      <w:r w:rsidR="00D30470">
        <w:t xml:space="preserve">scheduled to </w:t>
      </w:r>
      <w:r w:rsidR="00F82398">
        <w:t>receive:</w:t>
      </w:r>
    </w:p>
    <w:p w:rsidR="00F82398" w:rsidRDefault="0002347D" w:rsidP="004A2158">
      <w:pPr>
        <w:pStyle w:val="ListParagraph"/>
        <w:widowControl/>
        <w:numPr>
          <w:ilvl w:val="0"/>
          <w:numId w:val="18"/>
        </w:numPr>
        <w:rPr>
          <w:szCs w:val="22"/>
        </w:rPr>
      </w:pPr>
      <w:r>
        <w:rPr>
          <w:szCs w:val="22"/>
        </w:rPr>
        <w:t xml:space="preserve">Highly </w:t>
      </w:r>
      <w:r w:rsidR="00E32B0A">
        <w:rPr>
          <w:szCs w:val="22"/>
        </w:rPr>
        <w:t>emetogenic</w:t>
      </w:r>
      <w:r>
        <w:rPr>
          <w:szCs w:val="22"/>
        </w:rPr>
        <w:t xml:space="preserve"> chemotherapy</w:t>
      </w:r>
    </w:p>
    <w:p w:rsidR="0002347D" w:rsidRDefault="0002347D" w:rsidP="004A2158">
      <w:pPr>
        <w:pStyle w:val="ListParagraph"/>
        <w:widowControl/>
        <w:numPr>
          <w:ilvl w:val="0"/>
          <w:numId w:val="18"/>
        </w:numPr>
        <w:rPr>
          <w:szCs w:val="22"/>
        </w:rPr>
      </w:pPr>
      <w:r>
        <w:rPr>
          <w:szCs w:val="22"/>
        </w:rPr>
        <w:t>Anthracycline</w:t>
      </w:r>
      <w:r w:rsidR="0030036B">
        <w:rPr>
          <w:szCs w:val="22"/>
        </w:rPr>
        <w:t xml:space="preserve"> plus cyclophosphamide</w:t>
      </w:r>
      <w:r>
        <w:rPr>
          <w:szCs w:val="22"/>
        </w:rPr>
        <w:t xml:space="preserve"> chemotherapy</w:t>
      </w:r>
      <w:r w:rsidR="0030036B">
        <w:rPr>
          <w:szCs w:val="22"/>
        </w:rPr>
        <w:t xml:space="preserve"> for patients with breast cancer</w:t>
      </w:r>
      <w:r w:rsidR="00636FE0">
        <w:rPr>
          <w:szCs w:val="22"/>
        </w:rPr>
        <w:t>,</w:t>
      </w:r>
      <w:r w:rsidR="00C61826">
        <w:rPr>
          <w:szCs w:val="22"/>
        </w:rPr>
        <w:t xml:space="preserve"> or</w:t>
      </w:r>
    </w:p>
    <w:p w:rsidR="00B60939" w:rsidRPr="0077308D" w:rsidRDefault="0002347D" w:rsidP="004A2158">
      <w:pPr>
        <w:pStyle w:val="ListParagraph"/>
        <w:widowControl/>
        <w:numPr>
          <w:ilvl w:val="0"/>
          <w:numId w:val="18"/>
        </w:numPr>
        <w:rPr>
          <w:szCs w:val="22"/>
        </w:rPr>
      </w:pPr>
      <w:r>
        <w:rPr>
          <w:szCs w:val="22"/>
        </w:rPr>
        <w:t xml:space="preserve">Moderately </w:t>
      </w:r>
      <w:r w:rsidR="00E32B0A">
        <w:rPr>
          <w:szCs w:val="22"/>
        </w:rPr>
        <w:t>emetogenic</w:t>
      </w:r>
      <w:r>
        <w:rPr>
          <w:szCs w:val="22"/>
        </w:rPr>
        <w:t xml:space="preserve"> chemotherapy with </w:t>
      </w:r>
      <w:r w:rsidR="00A2188D" w:rsidRPr="0077308D">
        <w:rPr>
          <w:szCs w:val="22"/>
        </w:rPr>
        <w:t xml:space="preserve">a </w:t>
      </w:r>
      <w:r w:rsidRPr="0077308D">
        <w:rPr>
          <w:szCs w:val="22"/>
        </w:rPr>
        <w:t xml:space="preserve">prior episode of </w:t>
      </w:r>
      <w:r w:rsidR="00422B4D" w:rsidRPr="0077308D">
        <w:rPr>
          <w:szCs w:val="22"/>
        </w:rPr>
        <w:t xml:space="preserve">chemotherapy </w:t>
      </w:r>
      <w:r w:rsidRPr="0077308D">
        <w:rPr>
          <w:szCs w:val="22"/>
        </w:rPr>
        <w:t xml:space="preserve">induced </w:t>
      </w:r>
      <w:r w:rsidR="00422B4D" w:rsidRPr="0077308D">
        <w:rPr>
          <w:szCs w:val="22"/>
        </w:rPr>
        <w:t xml:space="preserve">nausea and </w:t>
      </w:r>
      <w:r w:rsidRPr="0077308D">
        <w:rPr>
          <w:szCs w:val="22"/>
        </w:rPr>
        <w:t>vomiting.</w:t>
      </w:r>
    </w:p>
    <w:p w:rsidR="002C49DF" w:rsidRDefault="002C49DF" w:rsidP="002C49DF">
      <w:pPr>
        <w:widowControl/>
        <w:ind w:left="720"/>
        <w:rPr>
          <w:szCs w:val="22"/>
        </w:rPr>
      </w:pPr>
    </w:p>
    <w:p w:rsidR="005E4FEE" w:rsidRDefault="005E4FEE" w:rsidP="002C49DF">
      <w:pPr>
        <w:widowControl/>
        <w:ind w:left="720"/>
        <w:rPr>
          <w:szCs w:val="22"/>
        </w:rPr>
      </w:pPr>
    </w:p>
    <w:p w:rsidR="00B60939" w:rsidRDefault="00B50DB8" w:rsidP="004A2158">
      <w:pPr>
        <w:pStyle w:val="PBACHeading1"/>
      </w:pPr>
      <w:bookmarkStart w:id="3" w:name="_Toc409535753"/>
      <w:r w:rsidRPr="00407F2D">
        <w:t>Requested listing</w:t>
      </w:r>
      <w:bookmarkEnd w:id="3"/>
    </w:p>
    <w:p w:rsidR="008E2174" w:rsidRDefault="008E2174" w:rsidP="004A2158">
      <w:pPr>
        <w:pStyle w:val="PBACHeading1"/>
        <w:numPr>
          <w:ilvl w:val="0"/>
          <w:numId w:val="0"/>
        </w:numPr>
        <w:ind w:left="720"/>
      </w:pPr>
    </w:p>
    <w:p w:rsidR="00407DB2" w:rsidRPr="00EB38FD" w:rsidRDefault="00407DB2" w:rsidP="00407DB2">
      <w:pPr>
        <w:pStyle w:val="ListParagraph"/>
        <w:widowControl/>
        <w:numPr>
          <w:ilvl w:val="1"/>
          <w:numId w:val="4"/>
        </w:numPr>
        <w:rPr>
          <w:szCs w:val="22"/>
        </w:rPr>
      </w:pPr>
      <w:bookmarkStart w:id="4" w:name="_Toc409535754"/>
      <w:r w:rsidRPr="00EB38FD">
        <w:rPr>
          <w:rFonts w:eastAsia="SimSun"/>
          <w:iCs/>
          <w:color w:val="000000"/>
          <w:szCs w:val="22"/>
        </w:rPr>
        <w:t>Suggestions and additions proposed by the Secretariat to the requested listing are added in italics and suggested deletions are crossed out with strikethrough.</w:t>
      </w:r>
    </w:p>
    <w:p w:rsidR="00407DB2" w:rsidRDefault="00407DB2" w:rsidP="004A2158">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126"/>
        <w:gridCol w:w="426"/>
        <w:gridCol w:w="567"/>
        <w:gridCol w:w="850"/>
        <w:gridCol w:w="1701"/>
        <w:gridCol w:w="1418"/>
        <w:gridCol w:w="1417"/>
      </w:tblGrid>
      <w:tr w:rsidR="00407DB2" w:rsidRPr="00407DB2" w:rsidTr="00407DB2">
        <w:trPr>
          <w:cantSplit/>
          <w:trHeight w:val="471"/>
        </w:trPr>
        <w:tc>
          <w:tcPr>
            <w:tcW w:w="2552" w:type="dxa"/>
            <w:gridSpan w:val="2"/>
            <w:tcBorders>
              <w:bottom w:val="single" w:sz="4" w:space="0" w:color="auto"/>
            </w:tcBorders>
          </w:tcPr>
          <w:p w:rsidR="00407DB2" w:rsidRPr="00407DB2" w:rsidRDefault="00407DB2" w:rsidP="00F01855">
            <w:pPr>
              <w:keepNext/>
              <w:widowControl/>
              <w:ind w:left="-108"/>
              <w:rPr>
                <w:rFonts w:ascii="Arial Narrow" w:hAnsi="Arial Narrow"/>
                <w:sz w:val="20"/>
              </w:rPr>
            </w:pPr>
            <w:r w:rsidRPr="00407DB2">
              <w:rPr>
                <w:rFonts w:ascii="Arial Narrow" w:hAnsi="Arial Narrow"/>
                <w:sz w:val="20"/>
              </w:rPr>
              <w:t>Name, Restriction,</w:t>
            </w: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Manner of administration and form</w:t>
            </w:r>
          </w:p>
        </w:tc>
        <w:tc>
          <w:tcPr>
            <w:tcW w:w="567" w:type="dxa"/>
            <w:tcBorders>
              <w:bottom w:val="single" w:sz="4" w:space="0" w:color="auto"/>
            </w:tcBorders>
          </w:tcPr>
          <w:p w:rsidR="00407DB2" w:rsidRPr="00407DB2" w:rsidRDefault="00407DB2" w:rsidP="00F01855">
            <w:pPr>
              <w:keepNext/>
              <w:widowControl/>
              <w:ind w:left="-108"/>
              <w:rPr>
                <w:rFonts w:ascii="Arial Narrow" w:hAnsi="Arial Narrow"/>
                <w:sz w:val="20"/>
              </w:rPr>
            </w:pPr>
            <w:r w:rsidRPr="00407DB2">
              <w:rPr>
                <w:rFonts w:ascii="Arial Narrow" w:hAnsi="Arial Narrow"/>
                <w:sz w:val="20"/>
              </w:rPr>
              <w:t>Max.</w:t>
            </w: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Qty</w:t>
            </w:r>
          </w:p>
        </w:tc>
        <w:tc>
          <w:tcPr>
            <w:tcW w:w="850" w:type="dxa"/>
            <w:tcBorders>
              <w:bottom w:val="single" w:sz="4" w:space="0" w:color="auto"/>
            </w:tcBorders>
          </w:tcPr>
          <w:p w:rsidR="00407DB2" w:rsidRPr="00407DB2" w:rsidRDefault="00407DB2" w:rsidP="00F01855">
            <w:pPr>
              <w:keepNext/>
              <w:widowControl/>
              <w:ind w:left="-108"/>
              <w:rPr>
                <w:rFonts w:ascii="Arial Narrow" w:hAnsi="Arial Narrow"/>
                <w:sz w:val="20"/>
              </w:rPr>
            </w:pPr>
            <w:r w:rsidRPr="00407DB2">
              <w:rPr>
                <w:rFonts w:ascii="Arial Narrow" w:hAnsi="Arial Narrow"/>
                <w:sz w:val="20"/>
              </w:rPr>
              <w:t>№.of</w:t>
            </w: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Rpts</w:t>
            </w:r>
          </w:p>
        </w:tc>
        <w:tc>
          <w:tcPr>
            <w:tcW w:w="1701" w:type="dxa"/>
            <w:tcBorders>
              <w:bottom w:val="single" w:sz="4" w:space="0" w:color="auto"/>
            </w:tcBorders>
          </w:tcPr>
          <w:p w:rsidR="00407DB2" w:rsidRPr="00407DB2" w:rsidRDefault="00407DB2" w:rsidP="00F01855">
            <w:pPr>
              <w:keepNext/>
              <w:widowControl/>
              <w:ind w:left="-108"/>
              <w:rPr>
                <w:rFonts w:ascii="Arial Narrow" w:hAnsi="Arial Narrow"/>
                <w:sz w:val="20"/>
              </w:rPr>
            </w:pPr>
            <w:r w:rsidRPr="00407DB2">
              <w:rPr>
                <w:rFonts w:ascii="Arial Narrow" w:hAnsi="Arial Narrow"/>
                <w:sz w:val="20"/>
              </w:rPr>
              <w:t>Dispensed Price for Max. Qty</w:t>
            </w:r>
          </w:p>
        </w:tc>
        <w:tc>
          <w:tcPr>
            <w:tcW w:w="2835" w:type="dxa"/>
            <w:gridSpan w:val="2"/>
            <w:tcBorders>
              <w:bottom w:val="single" w:sz="4" w:space="0" w:color="auto"/>
            </w:tcBorders>
          </w:tcPr>
          <w:p w:rsidR="00407DB2" w:rsidRPr="00407DB2" w:rsidRDefault="00407DB2" w:rsidP="00F01855">
            <w:pPr>
              <w:keepNext/>
              <w:widowControl/>
              <w:rPr>
                <w:rFonts w:ascii="Arial Narrow" w:hAnsi="Arial Narrow"/>
                <w:sz w:val="20"/>
                <w:lang w:val="fr-FR"/>
              </w:rPr>
            </w:pPr>
            <w:r w:rsidRPr="00407DB2">
              <w:rPr>
                <w:rFonts w:ascii="Arial Narrow" w:hAnsi="Arial Narrow"/>
                <w:sz w:val="20"/>
              </w:rPr>
              <w:t>Proprietary Name and Manufacturer</w:t>
            </w:r>
          </w:p>
        </w:tc>
      </w:tr>
      <w:tr w:rsidR="00407DB2" w:rsidRPr="00407DB2" w:rsidTr="00407DB2">
        <w:trPr>
          <w:cantSplit/>
          <w:trHeight w:val="577"/>
        </w:trPr>
        <w:tc>
          <w:tcPr>
            <w:tcW w:w="2552" w:type="dxa"/>
            <w:gridSpan w:val="2"/>
          </w:tcPr>
          <w:p w:rsidR="00407DB2" w:rsidRPr="00407DB2" w:rsidRDefault="00407DB2" w:rsidP="007138A1">
            <w:pPr>
              <w:keepNext/>
              <w:widowControl/>
              <w:ind w:left="-108"/>
              <w:jc w:val="left"/>
              <w:rPr>
                <w:rFonts w:ascii="Arial Narrow" w:hAnsi="Arial Narrow"/>
                <w:sz w:val="20"/>
              </w:rPr>
            </w:pPr>
            <w:r w:rsidRPr="00407DB2">
              <w:rPr>
                <w:rFonts w:ascii="Arial Narrow" w:hAnsi="Arial Narrow"/>
                <w:smallCaps/>
                <w:sz w:val="20"/>
              </w:rPr>
              <w:t>NETUPITANT with PALONOSETRON</w:t>
            </w: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Netupitant 300mg + palonosetron 500 microgram capsule, 1</w:t>
            </w:r>
          </w:p>
        </w:tc>
        <w:tc>
          <w:tcPr>
            <w:tcW w:w="567" w:type="dxa"/>
          </w:tcPr>
          <w:p w:rsidR="00407DB2" w:rsidRPr="00407DB2" w:rsidRDefault="00407DB2" w:rsidP="00F01855">
            <w:pPr>
              <w:keepNext/>
              <w:widowControl/>
              <w:ind w:left="-108"/>
              <w:rPr>
                <w:rFonts w:ascii="Arial Narrow" w:hAnsi="Arial Narrow"/>
                <w:sz w:val="20"/>
              </w:rPr>
            </w:pP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1</w:t>
            </w:r>
          </w:p>
        </w:tc>
        <w:tc>
          <w:tcPr>
            <w:tcW w:w="850" w:type="dxa"/>
          </w:tcPr>
          <w:p w:rsidR="00407DB2" w:rsidRPr="00407DB2" w:rsidRDefault="00407DB2" w:rsidP="00F01855">
            <w:pPr>
              <w:keepNext/>
              <w:widowControl/>
              <w:ind w:left="-108"/>
              <w:rPr>
                <w:rFonts w:ascii="Arial Narrow" w:hAnsi="Arial Narrow"/>
                <w:sz w:val="20"/>
              </w:rPr>
            </w:pP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5</w:t>
            </w:r>
          </w:p>
        </w:tc>
        <w:tc>
          <w:tcPr>
            <w:tcW w:w="1701" w:type="dxa"/>
          </w:tcPr>
          <w:p w:rsidR="00407DB2" w:rsidRPr="00407DB2" w:rsidRDefault="00407DB2" w:rsidP="00F01855">
            <w:pPr>
              <w:keepNext/>
              <w:widowControl/>
              <w:ind w:left="-108"/>
              <w:rPr>
                <w:rFonts w:ascii="Arial Narrow" w:hAnsi="Arial Narrow"/>
                <w:sz w:val="20"/>
              </w:rPr>
            </w:pPr>
          </w:p>
          <w:p w:rsidR="00407DB2" w:rsidRPr="00407DB2" w:rsidRDefault="00407DB2" w:rsidP="00F01855">
            <w:pPr>
              <w:keepNext/>
              <w:widowControl/>
              <w:ind w:left="-108"/>
              <w:rPr>
                <w:rFonts w:ascii="Arial Narrow" w:hAnsi="Arial Narrow"/>
                <w:sz w:val="20"/>
              </w:rPr>
            </w:pPr>
            <w:r w:rsidRPr="00407DB2">
              <w:rPr>
                <w:rFonts w:ascii="Arial Narrow" w:hAnsi="Arial Narrow"/>
                <w:sz w:val="20"/>
              </w:rPr>
              <w:t>$</w:t>
            </w:r>
            <w:r w:rsidR="00C349A9">
              <w:rPr>
                <w:rFonts w:ascii="Arial Narrow" w:hAnsi="Arial Narrow"/>
                <w:noProof/>
                <w:color w:val="000000"/>
                <w:sz w:val="20"/>
                <w:highlight w:val="black"/>
              </w:rPr>
              <w:t>''''''''''''''''</w:t>
            </w:r>
          </w:p>
        </w:tc>
        <w:tc>
          <w:tcPr>
            <w:tcW w:w="1418" w:type="dxa"/>
          </w:tcPr>
          <w:p w:rsidR="00407DB2" w:rsidRPr="00407DB2" w:rsidRDefault="00407DB2" w:rsidP="00F01855">
            <w:pPr>
              <w:keepNext/>
              <w:widowControl/>
              <w:jc w:val="center"/>
              <w:rPr>
                <w:rFonts w:ascii="Arial Narrow" w:hAnsi="Arial Narrow"/>
                <w:sz w:val="20"/>
              </w:rPr>
            </w:pPr>
            <w:r w:rsidRPr="00407DB2">
              <w:rPr>
                <w:rFonts w:ascii="Arial Narrow" w:hAnsi="Arial Narrow"/>
                <w:sz w:val="20"/>
              </w:rPr>
              <w:t>Akynzeo</w:t>
            </w:r>
            <w:r w:rsidRPr="00407DB2">
              <w:rPr>
                <w:rFonts w:ascii="Arial Narrow" w:hAnsi="Arial Narrow"/>
                <w:sz w:val="20"/>
                <w:vertAlign w:val="superscript"/>
              </w:rPr>
              <w:t>®</w:t>
            </w:r>
          </w:p>
        </w:tc>
        <w:tc>
          <w:tcPr>
            <w:tcW w:w="1417" w:type="dxa"/>
          </w:tcPr>
          <w:p w:rsidR="00407DB2" w:rsidRPr="00407DB2" w:rsidRDefault="00407DB2" w:rsidP="00F01855">
            <w:pPr>
              <w:keepNext/>
              <w:widowControl/>
              <w:jc w:val="center"/>
              <w:rPr>
                <w:rFonts w:ascii="Arial Narrow" w:hAnsi="Arial Narrow"/>
                <w:sz w:val="20"/>
              </w:rPr>
            </w:pPr>
            <w:r w:rsidRPr="00407DB2">
              <w:rPr>
                <w:rFonts w:ascii="Arial Narrow" w:hAnsi="Arial Narrow"/>
                <w:sz w:val="20"/>
              </w:rPr>
              <w:t xml:space="preserve">Specialised Therapeutics </w:t>
            </w:r>
          </w:p>
        </w:tc>
      </w:tr>
      <w:tr w:rsidR="00407DB2" w:rsidRPr="00407DB2" w:rsidTr="00407DB2">
        <w:trPr>
          <w:cantSplit/>
          <w:trHeight w:val="360"/>
        </w:trPr>
        <w:tc>
          <w:tcPr>
            <w:tcW w:w="8505" w:type="dxa"/>
            <w:gridSpan w:val="7"/>
            <w:tcBorders>
              <w:bottom w:val="single" w:sz="4" w:space="0" w:color="auto"/>
            </w:tcBorders>
          </w:tcPr>
          <w:p w:rsidR="00407DB2" w:rsidRPr="00407DB2" w:rsidRDefault="00407DB2" w:rsidP="00F01855">
            <w:pPr>
              <w:widowControl/>
              <w:rPr>
                <w:rFonts w:ascii="Arial Narrow" w:hAnsi="Arial Narrow"/>
                <w:sz w:val="20"/>
              </w:rPr>
            </w:pP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 xml:space="preserve">Category / </w:t>
            </w:r>
          </w:p>
          <w:p w:rsidR="00407DB2" w:rsidRPr="00407DB2" w:rsidRDefault="00407DB2" w:rsidP="00F01855">
            <w:pPr>
              <w:widowControl/>
              <w:rPr>
                <w:rFonts w:ascii="Arial Narrow" w:hAnsi="Arial Narrow"/>
                <w:b/>
                <w:sz w:val="20"/>
              </w:rPr>
            </w:pPr>
            <w:r w:rsidRPr="00407DB2">
              <w:rPr>
                <w:rFonts w:ascii="Arial Narrow" w:hAnsi="Arial Narrow"/>
                <w:b/>
                <w:sz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Section 100 – Chemotherapy related benefits</w:t>
            </w:r>
          </w:p>
          <w:p w:rsidR="00407DB2" w:rsidRPr="00407DB2" w:rsidRDefault="00407DB2" w:rsidP="00F01855">
            <w:pPr>
              <w:widowControl/>
              <w:rPr>
                <w:rFonts w:ascii="Arial Narrow" w:hAnsi="Arial Narrow"/>
                <w:sz w:val="20"/>
              </w:rPr>
            </w:pPr>
            <w:r w:rsidRPr="00407DB2">
              <w:rPr>
                <w:rFonts w:ascii="Arial Narrow" w:hAnsi="Arial Narrow"/>
                <w:sz w:val="20"/>
              </w:rPr>
              <w:t>GENERAL – General Schedule</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1"/>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Dental  </w:t>
            </w:r>
            <w:r w:rsidRPr="00407DB2">
              <w:rPr>
                <w:rFonts w:ascii="Arial Narrow" w:hAnsi="Arial Narrow"/>
                <w:sz w:val="20"/>
              </w:rPr>
              <w:fldChar w:fldCharType="begin">
                <w:ffData>
                  <w:name w:val=""/>
                  <w:enabled/>
                  <w:calcOnExit w:val="0"/>
                  <w:checkBox>
                    <w:sizeAuto/>
                    <w:default w:val="1"/>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Medical Practitioners  </w:t>
            </w:r>
            <w:r w:rsidRPr="00407DB2">
              <w:rPr>
                <w:rFonts w:ascii="Arial Narrow" w:hAnsi="Arial Narrow"/>
                <w:sz w:val="20"/>
              </w:rPr>
              <w:fldChar w:fldCharType="begin">
                <w:ffData>
                  <w:name w:val="Check3"/>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Nurse practitioners  </w:t>
            </w:r>
            <w:r w:rsidRPr="00407DB2">
              <w:rPr>
                <w:rFonts w:ascii="Arial Narrow" w:hAnsi="Arial Narrow"/>
                <w:sz w:val="20"/>
              </w:rPr>
              <w:fldChar w:fldCharType="begin">
                <w:ffData>
                  <w:name w:val=""/>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Optometrists</w:t>
            </w:r>
          </w:p>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5"/>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Midwives</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Nausea and vomiting</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Nausea and vomiting</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Restriction Level / Method:</w:t>
            </w:r>
          </w:p>
          <w:p w:rsidR="00407DB2" w:rsidRPr="00407DB2" w:rsidRDefault="00407DB2" w:rsidP="00F01855">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5"/>
                  <w:enabled/>
                  <w:calcOnExit w:val="0"/>
                  <w:checkBox>
                    <w:sizeAuto/>
                    <w:default w:val="1"/>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Streamlined</w:t>
            </w:r>
          </w:p>
        </w:tc>
      </w:tr>
      <w:tr w:rsidR="00407DB2" w:rsidRPr="00407DB2" w:rsidTr="00407DB2">
        <w:trPr>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Clinical criteria:</w:t>
            </w: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The condition must be associated with cytotoxic chemotherapy being used to treat malignancy;</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b/>
                <w:bCs/>
                <w:sz w:val="20"/>
                <w:szCs w:val="20"/>
              </w:rPr>
            </w:pPr>
            <w:r w:rsidRPr="00407DB2">
              <w:rPr>
                <w:rFonts w:ascii="Arial Narrow" w:hAnsi="Arial Narrow"/>
                <w:b/>
                <w:bCs/>
                <w:sz w:val="20"/>
                <w:szCs w:val="20"/>
              </w:rPr>
              <w:t xml:space="preserve">AND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The treatment must be in combination with dexamethasone;</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b/>
                <w:bCs/>
                <w:sz w:val="20"/>
                <w:szCs w:val="20"/>
              </w:rPr>
            </w:pPr>
            <w:r w:rsidRPr="00407DB2">
              <w:rPr>
                <w:rFonts w:ascii="Arial Narrow" w:hAnsi="Arial Narrow"/>
                <w:b/>
                <w:bCs/>
                <w:sz w:val="20"/>
                <w:szCs w:val="20"/>
              </w:rPr>
              <w:t xml:space="preserve">AND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lastRenderedPageBreak/>
              <w:t>Patient must be scheduled to be administered a chemotherapy regimen that includes any 1 of the following agents: altretamine; carmustine; cisplatin when a single dose constitutes a cycle of chemotherapy; cyclophosphamide at a dose of 1500 mg per square metre per day or greater; dacarbazine; procarbazine when a single dose constitutes a cycle of chemotherapy; streptozocin.</w:t>
            </w:r>
          </w:p>
          <w:p w:rsidR="00407DB2" w:rsidRPr="00407DB2" w:rsidRDefault="00407DB2" w:rsidP="00F01855">
            <w:pPr>
              <w:pStyle w:val="Default"/>
              <w:rPr>
                <w:rFonts w:ascii="Arial Narrow" w:hAnsi="Arial Narrow" w:cs="Arial"/>
                <w:sz w:val="20"/>
                <w:szCs w:val="20"/>
              </w:rPr>
            </w:pP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lastRenderedPageBreak/>
              <w:t>Prescriber Instructions</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pStyle w:val="Default"/>
              <w:rPr>
                <w:rFonts w:ascii="Arial Narrow" w:hAnsi="Arial Narrow" w:cs="Arial"/>
                <w:sz w:val="20"/>
                <w:szCs w:val="20"/>
              </w:rPr>
            </w:pPr>
            <w:r w:rsidRPr="00407DB2">
              <w:rPr>
                <w:rFonts w:ascii="Arial Narrow" w:hAnsi="Arial Narrow"/>
                <w:sz w:val="20"/>
                <w:szCs w:val="20"/>
              </w:rPr>
              <w:t>No more than 1 capsule of 300mg netupitant/0.5mg palonosetron fixed dose combination will be authorised per cycle of cytotoxic chemotherapy.</w:t>
            </w:r>
          </w:p>
          <w:p w:rsidR="00407DB2" w:rsidRPr="00407DB2" w:rsidRDefault="00407DB2" w:rsidP="00F01855">
            <w:pPr>
              <w:widowControl/>
              <w:rPr>
                <w:rFonts w:ascii="Arial Narrow" w:hAnsi="Arial Narrow"/>
                <w:sz w:val="20"/>
              </w:rPr>
            </w:pP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Administrative Advice</w:t>
            </w:r>
          </w:p>
          <w:p w:rsidR="00407DB2" w:rsidRPr="00407DB2" w:rsidRDefault="00407DB2" w:rsidP="00F01855">
            <w:pPr>
              <w:widowControl/>
              <w:rPr>
                <w:rFonts w:ascii="Arial Narrow" w:hAnsi="Arial Narrow"/>
                <w:i/>
                <w:sz w:val="20"/>
              </w:rPr>
            </w:pPr>
          </w:p>
        </w:tc>
        <w:tc>
          <w:tcPr>
            <w:tcW w:w="6379" w:type="dxa"/>
            <w:gridSpan w:val="6"/>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i/>
                <w:sz w:val="20"/>
              </w:rPr>
            </w:pPr>
            <w:r w:rsidRPr="00407DB2">
              <w:rPr>
                <w:rFonts w:ascii="Arial Narrow" w:hAnsi="Arial Narrow"/>
                <w:i/>
                <w:sz w:val="20"/>
              </w:rPr>
              <w:t xml:space="preserve">No increase in the maximum quantity or number of units may be authorised. </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i/>
                <w:sz w:val="20"/>
              </w:rPr>
            </w:pPr>
            <w:r w:rsidRPr="00407DB2">
              <w:rPr>
                <w:rFonts w:ascii="Arial Narrow" w:hAnsi="Arial Narrow"/>
                <w:i/>
                <w:sz w:val="20"/>
              </w:rPr>
              <w:t xml:space="preserve">No Increase in the maximum number of repeats may be authorised. </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i/>
                <w:sz w:val="20"/>
              </w:rPr>
            </w:pPr>
            <w:r w:rsidRPr="00407DB2">
              <w:rPr>
                <w:rFonts w:ascii="Arial Narrow" w:hAnsi="Arial Narrow"/>
                <w:i/>
                <w:sz w:val="20"/>
              </w:rPr>
              <w:t xml:space="preserve">This medicine is not PBS-subsidised for nausea and vomiting associated with radiotherapy being used to treat malignancy. </w:t>
            </w:r>
          </w:p>
          <w:p w:rsidR="00407DB2" w:rsidRPr="00407DB2" w:rsidRDefault="00407DB2" w:rsidP="00F01855">
            <w:pPr>
              <w:widowControl/>
              <w:rPr>
                <w:rFonts w:ascii="Arial Narrow" w:hAnsi="Arial Narrow"/>
                <w:sz w:val="20"/>
              </w:rPr>
            </w:pPr>
          </w:p>
        </w:tc>
      </w:tr>
    </w:tbl>
    <w:p w:rsidR="00407DB2" w:rsidRDefault="00407DB2" w:rsidP="004A2158">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126"/>
        <w:gridCol w:w="6379"/>
      </w:tblGrid>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 xml:space="preserve">Category / </w:t>
            </w:r>
          </w:p>
          <w:p w:rsidR="00407DB2" w:rsidRPr="00260CE3" w:rsidRDefault="00407DB2" w:rsidP="00F01855">
            <w:pPr>
              <w:widowControl/>
              <w:rPr>
                <w:rFonts w:ascii="Arial Narrow" w:hAnsi="Arial Narrow"/>
                <w:b/>
                <w:sz w:val="20"/>
              </w:rPr>
            </w:pPr>
            <w:r w:rsidRPr="00260CE3">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407DB2" w:rsidRDefault="00407DB2" w:rsidP="00F01855">
            <w:pPr>
              <w:widowControl/>
              <w:rPr>
                <w:rFonts w:ascii="Arial Narrow" w:hAnsi="Arial Narrow"/>
                <w:sz w:val="20"/>
              </w:rPr>
            </w:pPr>
            <w:r>
              <w:rPr>
                <w:rFonts w:ascii="Arial Narrow" w:hAnsi="Arial Narrow"/>
                <w:sz w:val="20"/>
              </w:rPr>
              <w:t>Section 100 – Chemotherapy related benefits</w:t>
            </w:r>
          </w:p>
          <w:p w:rsidR="00407DB2" w:rsidRPr="00260CE3" w:rsidRDefault="00407DB2" w:rsidP="00F01855">
            <w:pPr>
              <w:widowControl/>
              <w:rPr>
                <w:rFonts w:ascii="Arial Narrow" w:hAnsi="Arial Narrow"/>
                <w:sz w:val="20"/>
              </w:rPr>
            </w:pPr>
            <w:r w:rsidRPr="00260CE3">
              <w:rPr>
                <w:rFonts w:ascii="Arial Narrow" w:hAnsi="Arial Narrow"/>
                <w:sz w:val="20"/>
              </w:rPr>
              <w:t>GENERAL – General Schedule</w:t>
            </w:r>
          </w:p>
        </w:tc>
      </w:tr>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407DB2" w:rsidRPr="00260CE3" w:rsidRDefault="004511EE" w:rsidP="00F01855">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00407DB2" w:rsidRPr="00260CE3">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260CE3">
              <w:rPr>
                <w:rFonts w:ascii="Arial Narrow" w:hAnsi="Arial Narrow"/>
                <w:sz w:val="20"/>
              </w:rPr>
              <w:fldChar w:fldCharType="end"/>
            </w:r>
            <w:r w:rsidR="00407DB2"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sid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Pr>
                <w:rFonts w:ascii="Arial Narrow" w:hAnsi="Arial Narrow"/>
                <w:sz w:val="20"/>
              </w:rPr>
              <w:fldChar w:fldCharType="end"/>
            </w:r>
            <w:r w:rsidR="00407DB2"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00407DB2" w:rsidRPr="00260CE3">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260CE3">
              <w:rPr>
                <w:rFonts w:ascii="Arial Narrow" w:hAnsi="Arial Narrow"/>
                <w:sz w:val="20"/>
              </w:rPr>
              <w:fldChar w:fldCharType="end"/>
            </w:r>
            <w:r w:rsidR="00407DB2"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00407DB2" w:rsidRPr="00260CE3">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260CE3">
              <w:rPr>
                <w:rFonts w:ascii="Arial Narrow" w:hAnsi="Arial Narrow"/>
                <w:sz w:val="20"/>
              </w:rPr>
              <w:fldChar w:fldCharType="end"/>
            </w:r>
            <w:r w:rsidR="00407DB2" w:rsidRPr="00260CE3">
              <w:rPr>
                <w:rFonts w:ascii="Arial Narrow" w:hAnsi="Arial Narrow"/>
                <w:sz w:val="20"/>
              </w:rPr>
              <w:t>Optometrists</w:t>
            </w:r>
          </w:p>
          <w:p w:rsidR="00407DB2" w:rsidRPr="00260CE3" w:rsidRDefault="004511EE" w:rsidP="00F01855">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00407DB2" w:rsidRPr="00260CE3">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260CE3">
              <w:rPr>
                <w:rFonts w:ascii="Arial Narrow" w:hAnsi="Arial Narrow"/>
                <w:sz w:val="20"/>
              </w:rPr>
              <w:fldChar w:fldCharType="end"/>
            </w:r>
            <w:r w:rsidR="00407DB2" w:rsidRPr="00260CE3">
              <w:rPr>
                <w:rFonts w:ascii="Arial Narrow" w:hAnsi="Arial Narrow"/>
                <w:sz w:val="20"/>
              </w:rPr>
              <w:t>Midwives</w:t>
            </w:r>
          </w:p>
        </w:tc>
      </w:tr>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Condition:</w:t>
            </w:r>
          </w:p>
        </w:tc>
        <w:tc>
          <w:tcPr>
            <w:tcW w:w="6379"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sz w:val="20"/>
              </w:rPr>
            </w:pPr>
            <w:r>
              <w:rPr>
                <w:rFonts w:ascii="Arial Narrow" w:hAnsi="Arial Narrow"/>
                <w:sz w:val="20"/>
              </w:rPr>
              <w:t>Nausea and vomiting</w:t>
            </w:r>
          </w:p>
        </w:tc>
      </w:tr>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sz w:val="20"/>
              </w:rPr>
            </w:pPr>
            <w:r>
              <w:rPr>
                <w:rFonts w:ascii="Arial Narrow" w:hAnsi="Arial Narrow"/>
                <w:sz w:val="20"/>
              </w:rPr>
              <w:t>Nausea and vomiting</w:t>
            </w:r>
          </w:p>
        </w:tc>
      </w:tr>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407DB2" w:rsidRPr="00260CE3" w:rsidRDefault="00407DB2" w:rsidP="00F01855">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07DB2" w:rsidRPr="00260CE3" w:rsidRDefault="004511EE" w:rsidP="00F01855">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sid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Pr>
                <w:rFonts w:ascii="Arial Narrow" w:hAnsi="Arial Narrow"/>
                <w:sz w:val="20"/>
              </w:rPr>
              <w:fldChar w:fldCharType="end"/>
            </w:r>
            <w:r w:rsidR="00407DB2" w:rsidRPr="00106BCF">
              <w:rPr>
                <w:rFonts w:ascii="Arial Narrow" w:hAnsi="Arial Narrow"/>
                <w:sz w:val="20"/>
              </w:rPr>
              <w:t>Streamlined</w:t>
            </w:r>
          </w:p>
        </w:tc>
      </w:tr>
      <w:tr w:rsidR="00407DB2" w:rsidRPr="00260CE3" w:rsidTr="00407DB2">
        <w:trPr>
          <w:trHeight w:val="360"/>
        </w:trPr>
        <w:tc>
          <w:tcPr>
            <w:tcW w:w="2126" w:type="dxa"/>
            <w:tcBorders>
              <w:top w:val="single" w:sz="4" w:space="0" w:color="auto"/>
              <w:left w:val="single" w:sz="4" w:space="0" w:color="auto"/>
              <w:bottom w:val="single" w:sz="4" w:space="0" w:color="auto"/>
              <w:right w:val="single" w:sz="4" w:space="0" w:color="auto"/>
            </w:tcBorders>
          </w:tcPr>
          <w:p w:rsidR="00407DB2" w:rsidRPr="00DC5DEF" w:rsidRDefault="00407DB2" w:rsidP="00F01855">
            <w:pPr>
              <w:widowControl/>
              <w:rPr>
                <w:rFonts w:ascii="Arial Narrow" w:hAnsi="Arial Narrow"/>
                <w:b/>
                <w:sz w:val="20"/>
              </w:rPr>
            </w:pPr>
            <w:r w:rsidRPr="00260CE3">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407DB2" w:rsidRDefault="00407DB2" w:rsidP="00F01855">
            <w:pPr>
              <w:pStyle w:val="Default"/>
              <w:rPr>
                <w:rFonts w:ascii="Arial Narrow" w:hAnsi="Arial Narrow"/>
                <w:sz w:val="20"/>
                <w:szCs w:val="20"/>
              </w:rPr>
            </w:pPr>
            <w:r w:rsidRPr="00732412">
              <w:rPr>
                <w:rFonts w:ascii="Arial Narrow" w:hAnsi="Arial Narrow"/>
                <w:sz w:val="20"/>
                <w:szCs w:val="20"/>
              </w:rPr>
              <w:t>The condition must be associated with cytotoxic chemotherapy bei</w:t>
            </w:r>
            <w:r>
              <w:rPr>
                <w:rFonts w:ascii="Arial Narrow" w:hAnsi="Arial Narrow"/>
                <w:sz w:val="20"/>
                <w:szCs w:val="20"/>
              </w:rPr>
              <w:t>ng used to treat breast cancer;</w:t>
            </w:r>
          </w:p>
          <w:p w:rsidR="00407DB2" w:rsidRPr="00732412" w:rsidRDefault="00407DB2" w:rsidP="00F01855">
            <w:pPr>
              <w:pStyle w:val="Default"/>
              <w:rPr>
                <w:rFonts w:ascii="Arial Narrow" w:hAnsi="Arial Narrow"/>
                <w:sz w:val="20"/>
                <w:szCs w:val="20"/>
              </w:rPr>
            </w:pPr>
          </w:p>
          <w:p w:rsidR="00407DB2" w:rsidRDefault="00407DB2" w:rsidP="00F01855">
            <w:pPr>
              <w:pStyle w:val="Default"/>
              <w:rPr>
                <w:rFonts w:ascii="Arial Narrow" w:hAnsi="Arial Narrow"/>
                <w:b/>
                <w:bCs/>
                <w:sz w:val="20"/>
                <w:szCs w:val="20"/>
              </w:rPr>
            </w:pPr>
            <w:r w:rsidRPr="00732412">
              <w:rPr>
                <w:rFonts w:ascii="Arial Narrow" w:hAnsi="Arial Narrow"/>
                <w:b/>
                <w:bCs/>
                <w:sz w:val="20"/>
                <w:szCs w:val="20"/>
              </w:rPr>
              <w:t xml:space="preserve">AND </w:t>
            </w:r>
          </w:p>
          <w:p w:rsidR="00407DB2" w:rsidRPr="00732412" w:rsidRDefault="00407DB2" w:rsidP="00F01855">
            <w:pPr>
              <w:pStyle w:val="Default"/>
              <w:rPr>
                <w:rFonts w:ascii="Arial Narrow" w:hAnsi="Arial Narrow"/>
                <w:sz w:val="20"/>
                <w:szCs w:val="20"/>
              </w:rPr>
            </w:pPr>
          </w:p>
          <w:p w:rsidR="00407DB2" w:rsidRDefault="00407DB2" w:rsidP="00F01855">
            <w:pPr>
              <w:pStyle w:val="Default"/>
              <w:rPr>
                <w:rFonts w:ascii="Arial Narrow" w:hAnsi="Arial Narrow"/>
                <w:sz w:val="20"/>
                <w:szCs w:val="20"/>
              </w:rPr>
            </w:pPr>
            <w:r w:rsidRPr="00732412">
              <w:rPr>
                <w:rFonts w:ascii="Arial Narrow" w:hAnsi="Arial Narrow"/>
                <w:sz w:val="20"/>
                <w:szCs w:val="20"/>
              </w:rPr>
              <w:t xml:space="preserve">The treatment must be in </w:t>
            </w:r>
            <w:r>
              <w:rPr>
                <w:rFonts w:ascii="Arial Narrow" w:hAnsi="Arial Narrow"/>
                <w:sz w:val="20"/>
                <w:szCs w:val="20"/>
              </w:rPr>
              <w:t>combination with dexamethasone;</w:t>
            </w:r>
          </w:p>
          <w:p w:rsidR="00407DB2" w:rsidRPr="00732412" w:rsidRDefault="00407DB2" w:rsidP="00F01855">
            <w:pPr>
              <w:pStyle w:val="Default"/>
              <w:rPr>
                <w:rFonts w:ascii="Arial Narrow" w:hAnsi="Arial Narrow"/>
                <w:sz w:val="20"/>
                <w:szCs w:val="20"/>
              </w:rPr>
            </w:pPr>
          </w:p>
          <w:p w:rsidR="00407DB2" w:rsidRDefault="00407DB2" w:rsidP="00F01855">
            <w:pPr>
              <w:pStyle w:val="Default"/>
              <w:rPr>
                <w:rFonts w:ascii="Arial Narrow" w:hAnsi="Arial Narrow"/>
                <w:b/>
                <w:bCs/>
                <w:sz w:val="20"/>
                <w:szCs w:val="20"/>
              </w:rPr>
            </w:pPr>
            <w:r w:rsidRPr="00732412">
              <w:rPr>
                <w:rFonts w:ascii="Arial Narrow" w:hAnsi="Arial Narrow"/>
                <w:b/>
                <w:bCs/>
                <w:sz w:val="20"/>
                <w:szCs w:val="20"/>
              </w:rPr>
              <w:t xml:space="preserve">AND </w:t>
            </w:r>
          </w:p>
          <w:p w:rsidR="00407DB2" w:rsidRPr="00732412" w:rsidRDefault="00407DB2" w:rsidP="00F01855">
            <w:pPr>
              <w:pStyle w:val="Default"/>
              <w:rPr>
                <w:rFonts w:ascii="Arial Narrow" w:hAnsi="Arial Narrow"/>
                <w:sz w:val="20"/>
                <w:szCs w:val="20"/>
              </w:rPr>
            </w:pPr>
          </w:p>
          <w:p w:rsidR="00407DB2" w:rsidRDefault="00407DB2" w:rsidP="00F01855">
            <w:pPr>
              <w:pStyle w:val="Default"/>
              <w:rPr>
                <w:rFonts w:ascii="Arial Narrow" w:hAnsi="Arial Narrow"/>
                <w:sz w:val="20"/>
                <w:szCs w:val="20"/>
              </w:rPr>
            </w:pPr>
            <w:r w:rsidRPr="00732412">
              <w:rPr>
                <w:rFonts w:ascii="Arial Narrow" w:hAnsi="Arial Narrow"/>
                <w:sz w:val="20"/>
                <w:szCs w:val="20"/>
              </w:rPr>
              <w:t>Patient must be scheduled to be co-administered cycloph</w:t>
            </w:r>
            <w:r>
              <w:rPr>
                <w:rFonts w:ascii="Arial Narrow" w:hAnsi="Arial Narrow"/>
                <w:sz w:val="20"/>
                <w:szCs w:val="20"/>
              </w:rPr>
              <w:t>osphamide and an anthracycline;</w:t>
            </w:r>
          </w:p>
          <w:p w:rsidR="00407DB2" w:rsidRPr="009327F5" w:rsidRDefault="00407DB2" w:rsidP="00F01855">
            <w:pPr>
              <w:pStyle w:val="Default"/>
              <w:rPr>
                <w:rFonts w:ascii="Arial Narrow" w:hAnsi="Arial Narrow"/>
                <w:b/>
                <w:bCs/>
                <w:sz w:val="20"/>
                <w:szCs w:val="20"/>
              </w:rPr>
            </w:pPr>
          </w:p>
        </w:tc>
      </w:tr>
      <w:tr w:rsidR="00407DB2" w:rsidRPr="00260CE3"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widowControl/>
              <w:rPr>
                <w:rFonts w:ascii="Arial Narrow" w:hAnsi="Arial Narrow"/>
                <w:b/>
                <w:sz w:val="20"/>
              </w:rPr>
            </w:pPr>
            <w:r w:rsidRPr="00260CE3">
              <w:rPr>
                <w:rFonts w:ascii="Arial Narrow" w:hAnsi="Arial Narrow"/>
                <w:b/>
                <w:sz w:val="20"/>
              </w:rPr>
              <w:t>Prescriber Instructions</w:t>
            </w:r>
          </w:p>
          <w:p w:rsidR="00407DB2" w:rsidRPr="00260CE3" w:rsidRDefault="00407DB2" w:rsidP="00F01855">
            <w:pPr>
              <w:widowControl/>
              <w:rPr>
                <w:rFonts w:ascii="Arial Narrow" w:hAnsi="Arial Narrow"/>
                <w:i/>
                <w:sz w:val="20"/>
              </w:rPr>
            </w:pPr>
          </w:p>
          <w:p w:rsidR="00407DB2" w:rsidRPr="00260CE3" w:rsidRDefault="00407DB2" w:rsidP="00F01855">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07DB2" w:rsidRPr="00260CE3" w:rsidRDefault="00407DB2" w:rsidP="00F01855">
            <w:pPr>
              <w:pStyle w:val="Default"/>
              <w:rPr>
                <w:rFonts w:ascii="Arial Narrow" w:hAnsi="Arial Narrow" w:cs="Arial"/>
                <w:sz w:val="20"/>
                <w:szCs w:val="20"/>
              </w:rPr>
            </w:pPr>
            <w:r w:rsidRPr="00732412">
              <w:rPr>
                <w:rFonts w:ascii="Arial Narrow" w:hAnsi="Arial Narrow"/>
                <w:sz w:val="20"/>
                <w:szCs w:val="20"/>
              </w:rPr>
              <w:t>No more than 1 capsule of 300mg netupitant/0.5mg palonosetron fixed dose combination will be authorised per cycle of cytotoxic chemotherapy.</w:t>
            </w:r>
          </w:p>
          <w:p w:rsidR="00407DB2" w:rsidRPr="00260CE3" w:rsidRDefault="00407DB2" w:rsidP="00F01855">
            <w:pPr>
              <w:widowControl/>
              <w:rPr>
                <w:rFonts w:ascii="Arial Narrow" w:hAnsi="Arial Narrow"/>
                <w:sz w:val="20"/>
              </w:rPr>
            </w:pPr>
          </w:p>
        </w:tc>
      </w:tr>
      <w:tr w:rsidR="00407DB2" w:rsidRPr="00CC10C8"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CC10C8" w:rsidRDefault="00407DB2" w:rsidP="00F01855">
            <w:pPr>
              <w:widowControl/>
              <w:rPr>
                <w:rFonts w:ascii="Arial Narrow" w:hAnsi="Arial Narrow"/>
                <w:b/>
                <w:sz w:val="20"/>
              </w:rPr>
            </w:pPr>
            <w:r w:rsidRPr="00CC10C8">
              <w:rPr>
                <w:rFonts w:ascii="Arial Narrow" w:hAnsi="Arial Narrow"/>
                <w:b/>
                <w:sz w:val="20"/>
              </w:rPr>
              <w:t>Administrative Advice</w:t>
            </w:r>
          </w:p>
          <w:p w:rsidR="00407DB2" w:rsidRPr="00CC10C8" w:rsidRDefault="00407DB2" w:rsidP="00F01855">
            <w:pPr>
              <w:widowControl/>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407DB2" w:rsidRDefault="00407DB2" w:rsidP="00F01855">
            <w:pPr>
              <w:widowControl/>
              <w:rPr>
                <w:rFonts w:ascii="Arial Narrow" w:hAnsi="Arial Narrow"/>
                <w:i/>
                <w:sz w:val="20"/>
              </w:rPr>
            </w:pPr>
            <w:r>
              <w:rPr>
                <w:rFonts w:ascii="Arial Narrow" w:hAnsi="Arial Narrow"/>
                <w:i/>
                <w:sz w:val="20"/>
              </w:rPr>
              <w:t xml:space="preserve">No increase in the maximum quantity or number of units may be authorised. </w:t>
            </w:r>
          </w:p>
          <w:p w:rsidR="00407DB2" w:rsidRDefault="00407DB2" w:rsidP="00F01855">
            <w:pPr>
              <w:widowControl/>
              <w:rPr>
                <w:rFonts w:ascii="Arial Narrow" w:hAnsi="Arial Narrow"/>
                <w:i/>
                <w:sz w:val="20"/>
              </w:rPr>
            </w:pPr>
          </w:p>
          <w:p w:rsidR="00407DB2" w:rsidRDefault="00407DB2" w:rsidP="00F01855">
            <w:pPr>
              <w:widowControl/>
              <w:rPr>
                <w:rFonts w:ascii="Arial Narrow" w:hAnsi="Arial Narrow"/>
                <w:i/>
                <w:sz w:val="20"/>
              </w:rPr>
            </w:pPr>
            <w:r>
              <w:rPr>
                <w:rFonts w:ascii="Arial Narrow" w:hAnsi="Arial Narrow"/>
                <w:i/>
                <w:sz w:val="20"/>
              </w:rPr>
              <w:t xml:space="preserve">No Increase in the maximum number of repeats may be authorised. </w:t>
            </w:r>
          </w:p>
          <w:p w:rsidR="00407DB2" w:rsidRDefault="00407DB2" w:rsidP="00F01855">
            <w:pPr>
              <w:widowControl/>
              <w:rPr>
                <w:rFonts w:ascii="Arial Narrow" w:hAnsi="Arial Narrow"/>
                <w:i/>
                <w:sz w:val="20"/>
              </w:rPr>
            </w:pPr>
          </w:p>
          <w:p w:rsidR="00407DB2" w:rsidRDefault="00407DB2" w:rsidP="00F01855">
            <w:pPr>
              <w:widowControl/>
              <w:rPr>
                <w:rFonts w:ascii="Arial Narrow" w:hAnsi="Arial Narrow"/>
                <w:i/>
                <w:sz w:val="20"/>
              </w:rPr>
            </w:pPr>
            <w:r>
              <w:rPr>
                <w:rFonts w:ascii="Arial Narrow" w:hAnsi="Arial Narrow"/>
                <w:i/>
                <w:sz w:val="20"/>
              </w:rPr>
              <w:t xml:space="preserve">This medicine is not PBS-subsidised for nausea and vomiting associated with radiotherapy being used to treat malignancy. </w:t>
            </w:r>
          </w:p>
          <w:p w:rsidR="00407DB2" w:rsidRPr="00CC10C8" w:rsidRDefault="00407DB2" w:rsidP="00F01855">
            <w:pPr>
              <w:widowControl/>
              <w:rPr>
                <w:rFonts w:ascii="Arial Narrow" w:hAnsi="Arial Narrow"/>
                <w:sz w:val="20"/>
              </w:rPr>
            </w:pPr>
          </w:p>
        </w:tc>
      </w:tr>
    </w:tbl>
    <w:p w:rsidR="00407DB2" w:rsidRDefault="00407DB2" w:rsidP="004A2158">
      <w:pPr>
        <w:pStyle w:val="PBACHeading1"/>
        <w:numPr>
          <w:ilvl w:val="0"/>
          <w:numId w:val="0"/>
        </w:numPr>
        <w:ind w:left="720"/>
        <w:rPr>
          <w:b w:val="0"/>
        </w:rPr>
      </w:pPr>
    </w:p>
    <w:tbl>
      <w:tblPr>
        <w:tblW w:w="8505" w:type="dxa"/>
        <w:tblInd w:w="817" w:type="dxa"/>
        <w:tblLayout w:type="fixed"/>
        <w:tblLook w:val="0000" w:firstRow="0" w:lastRow="0" w:firstColumn="0" w:lastColumn="0" w:noHBand="0" w:noVBand="0"/>
      </w:tblPr>
      <w:tblGrid>
        <w:gridCol w:w="2126"/>
        <w:gridCol w:w="6379"/>
      </w:tblGrid>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 xml:space="preserve">Category / </w:t>
            </w:r>
          </w:p>
          <w:p w:rsidR="00407DB2" w:rsidRPr="00407DB2" w:rsidRDefault="00407DB2" w:rsidP="00F01855">
            <w:pPr>
              <w:widowControl/>
              <w:rPr>
                <w:rFonts w:ascii="Arial Narrow" w:hAnsi="Arial Narrow"/>
                <w:b/>
                <w:sz w:val="20"/>
              </w:rPr>
            </w:pPr>
            <w:r w:rsidRPr="00407DB2">
              <w:rPr>
                <w:rFonts w:ascii="Arial Narrow" w:hAnsi="Arial Narrow"/>
                <w:b/>
                <w:sz w:val="20"/>
              </w:rPr>
              <w:t>Program</w:t>
            </w: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Section 100 – Chemotherapy related benefits</w:t>
            </w:r>
          </w:p>
          <w:p w:rsidR="00407DB2" w:rsidRPr="00407DB2" w:rsidRDefault="00407DB2" w:rsidP="00F01855">
            <w:pPr>
              <w:widowControl/>
              <w:rPr>
                <w:rFonts w:ascii="Arial Narrow" w:hAnsi="Arial Narrow"/>
                <w:sz w:val="20"/>
              </w:rPr>
            </w:pPr>
            <w:r w:rsidRPr="00407DB2">
              <w:rPr>
                <w:rFonts w:ascii="Arial Narrow" w:hAnsi="Arial Narrow"/>
                <w:sz w:val="20"/>
              </w:rPr>
              <w:t>GENERAL – General Schedule</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Prescriber type:</w:t>
            </w: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1"/>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Dental  </w:t>
            </w:r>
            <w:r w:rsidRPr="00407DB2">
              <w:rPr>
                <w:rFonts w:ascii="Arial Narrow" w:hAnsi="Arial Narrow"/>
                <w:sz w:val="20"/>
              </w:rPr>
              <w:fldChar w:fldCharType="begin">
                <w:ffData>
                  <w:name w:val=""/>
                  <w:enabled/>
                  <w:calcOnExit w:val="0"/>
                  <w:checkBox>
                    <w:sizeAuto/>
                    <w:default w:val="1"/>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Medical Practitioners  </w:t>
            </w:r>
            <w:r w:rsidRPr="00407DB2">
              <w:rPr>
                <w:rFonts w:ascii="Arial Narrow" w:hAnsi="Arial Narrow"/>
                <w:sz w:val="20"/>
              </w:rPr>
              <w:fldChar w:fldCharType="begin">
                <w:ffData>
                  <w:name w:val="Check3"/>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 xml:space="preserve">Nurse practitioners  </w:t>
            </w:r>
            <w:r w:rsidRPr="00407DB2">
              <w:rPr>
                <w:rFonts w:ascii="Arial Narrow" w:hAnsi="Arial Narrow"/>
                <w:sz w:val="20"/>
              </w:rPr>
              <w:fldChar w:fldCharType="begin">
                <w:ffData>
                  <w:name w:val=""/>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Optometrists</w:t>
            </w:r>
          </w:p>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5"/>
                  <w:enabled/>
                  <w:calcOnExit w:val="0"/>
                  <w:checkBox>
                    <w:sizeAuto/>
                    <w:default w:val="0"/>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Midwives</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lastRenderedPageBreak/>
              <w:t>Condition:</w:t>
            </w: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Nausea and vomiting</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PBS Indication:</w:t>
            </w: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sz w:val="20"/>
              </w:rPr>
            </w:pPr>
            <w:r w:rsidRPr="00407DB2">
              <w:rPr>
                <w:rFonts w:ascii="Arial Narrow" w:hAnsi="Arial Narrow"/>
                <w:sz w:val="20"/>
              </w:rPr>
              <w:t>Nausea and vomiting</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Restriction Level / Method:</w:t>
            </w:r>
          </w:p>
          <w:p w:rsidR="00407DB2" w:rsidRPr="00407DB2" w:rsidRDefault="00407DB2" w:rsidP="00F01855">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511EE" w:rsidP="00F01855">
            <w:pPr>
              <w:widowControl/>
              <w:rPr>
                <w:rFonts w:ascii="Arial Narrow" w:hAnsi="Arial Narrow"/>
                <w:sz w:val="20"/>
              </w:rPr>
            </w:pPr>
            <w:r w:rsidRPr="00407DB2">
              <w:rPr>
                <w:rFonts w:ascii="Arial Narrow" w:hAnsi="Arial Narrow"/>
                <w:sz w:val="20"/>
              </w:rPr>
              <w:fldChar w:fldCharType="begin">
                <w:ffData>
                  <w:name w:val="Check5"/>
                  <w:enabled/>
                  <w:calcOnExit w:val="0"/>
                  <w:checkBox>
                    <w:sizeAuto/>
                    <w:default w:val="1"/>
                  </w:checkBox>
                </w:ffData>
              </w:fldChar>
            </w:r>
            <w:r w:rsidR="00407DB2" w:rsidRPr="00407DB2">
              <w:rPr>
                <w:rFonts w:ascii="Arial Narrow" w:hAnsi="Arial Narrow"/>
                <w:sz w:val="20"/>
              </w:rPr>
              <w:instrText xml:space="preserve"> FORMCHECKBOX </w:instrText>
            </w:r>
            <w:r w:rsidR="00C349A9">
              <w:rPr>
                <w:rFonts w:ascii="Arial Narrow" w:hAnsi="Arial Narrow"/>
                <w:sz w:val="20"/>
              </w:rPr>
            </w:r>
            <w:r w:rsidR="00C349A9">
              <w:rPr>
                <w:rFonts w:ascii="Arial Narrow" w:hAnsi="Arial Narrow"/>
                <w:sz w:val="20"/>
              </w:rPr>
              <w:fldChar w:fldCharType="separate"/>
            </w:r>
            <w:r w:rsidRPr="00407DB2">
              <w:rPr>
                <w:rFonts w:ascii="Arial Narrow" w:hAnsi="Arial Narrow"/>
                <w:sz w:val="20"/>
              </w:rPr>
              <w:fldChar w:fldCharType="end"/>
            </w:r>
            <w:r w:rsidR="00407DB2" w:rsidRPr="00407DB2">
              <w:rPr>
                <w:rFonts w:ascii="Arial Narrow" w:hAnsi="Arial Narrow"/>
                <w:sz w:val="20"/>
              </w:rPr>
              <w:t>Streamlined</w:t>
            </w:r>
          </w:p>
        </w:tc>
      </w:tr>
      <w:tr w:rsidR="00407DB2" w:rsidRPr="00407DB2" w:rsidTr="00407DB2">
        <w:trPr>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Clinical criteria:</w:t>
            </w: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 xml:space="preserve">The condition must be associated with moderately emetogenic cytotoxic chemotherapy being used to treat malignancy;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b/>
                <w:bCs/>
                <w:sz w:val="20"/>
                <w:szCs w:val="20"/>
              </w:rPr>
            </w:pPr>
            <w:r w:rsidRPr="00407DB2">
              <w:rPr>
                <w:rFonts w:ascii="Arial Narrow" w:hAnsi="Arial Narrow"/>
                <w:b/>
                <w:bCs/>
                <w:sz w:val="20"/>
                <w:szCs w:val="20"/>
              </w:rPr>
              <w:t xml:space="preserve">AND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The treatment must be in combination with dexamethasone on day 1 of a chemotherapy cycle;</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b/>
                <w:bCs/>
                <w:sz w:val="20"/>
                <w:szCs w:val="20"/>
              </w:rPr>
            </w:pPr>
            <w:r w:rsidRPr="00407DB2">
              <w:rPr>
                <w:rFonts w:ascii="Arial Narrow" w:hAnsi="Arial Narrow"/>
                <w:b/>
                <w:bCs/>
                <w:sz w:val="20"/>
                <w:szCs w:val="20"/>
              </w:rPr>
              <w:t xml:space="preserve">AND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Patient must have had a prior episode of chemotherapy induced nausea or vomiting;</w:t>
            </w:r>
          </w:p>
          <w:p w:rsidR="00407DB2" w:rsidRPr="00407DB2" w:rsidRDefault="00407DB2" w:rsidP="00F01855">
            <w:pPr>
              <w:pStyle w:val="Default"/>
              <w:rPr>
                <w:rFonts w:ascii="Arial Narrow" w:hAnsi="Arial Narrow"/>
                <w:sz w:val="20"/>
                <w:szCs w:val="20"/>
              </w:rPr>
            </w:pPr>
            <w:r w:rsidRPr="00407DB2">
              <w:rPr>
                <w:rFonts w:ascii="Arial Narrow" w:hAnsi="Arial Narrow"/>
                <w:sz w:val="20"/>
                <w:szCs w:val="20"/>
              </w:rPr>
              <w:t xml:space="preserve"> </w:t>
            </w:r>
          </w:p>
          <w:p w:rsidR="00407DB2" w:rsidRPr="00407DB2" w:rsidRDefault="00407DB2" w:rsidP="00F01855">
            <w:pPr>
              <w:pStyle w:val="Default"/>
              <w:rPr>
                <w:rFonts w:ascii="Arial Narrow" w:hAnsi="Arial Narrow"/>
                <w:b/>
                <w:bCs/>
                <w:sz w:val="20"/>
                <w:szCs w:val="20"/>
              </w:rPr>
            </w:pPr>
            <w:r w:rsidRPr="00407DB2">
              <w:rPr>
                <w:rFonts w:ascii="Arial Narrow" w:hAnsi="Arial Narrow"/>
                <w:b/>
                <w:bCs/>
                <w:sz w:val="20"/>
                <w:szCs w:val="20"/>
              </w:rPr>
              <w:t xml:space="preserve">AND </w:t>
            </w:r>
          </w:p>
          <w:p w:rsidR="00407DB2" w:rsidRPr="00407DB2" w:rsidRDefault="00407DB2" w:rsidP="00F01855">
            <w:pPr>
              <w:pStyle w:val="Default"/>
              <w:rPr>
                <w:rFonts w:ascii="Arial Narrow" w:hAnsi="Arial Narrow"/>
                <w:sz w:val="20"/>
                <w:szCs w:val="20"/>
              </w:rPr>
            </w:pPr>
          </w:p>
          <w:p w:rsidR="00407DB2" w:rsidRPr="00407DB2" w:rsidRDefault="00407DB2" w:rsidP="00F01855">
            <w:pPr>
              <w:pStyle w:val="Default"/>
              <w:rPr>
                <w:rFonts w:ascii="Arial Narrow" w:hAnsi="Arial Narrow" w:cs="Arial"/>
                <w:sz w:val="20"/>
                <w:szCs w:val="20"/>
              </w:rPr>
            </w:pPr>
            <w:r w:rsidRPr="00407DB2">
              <w:rPr>
                <w:rFonts w:ascii="Arial Narrow" w:hAnsi="Arial Narrow"/>
                <w:sz w:val="20"/>
                <w:szCs w:val="20"/>
              </w:rPr>
              <w:t xml:space="preserve">Patient must be scheduled to be administered a chemotherapy regimen that includes any 1 of the following intravenous chemotherapy agents: arsenic trioxide; azacitidine; carboplatin; cyclophosphamide at a dose of less than 1500 mg per square metre per day; cytarabine at a dose of greater than 1 g per square metre per day; dactinomycin; daunorubicin; doxorubicin; epirubicin; fotemustine; idarubicin; ifosfamide; irinotecan; melphalan; methotrexate at a dose of 250 mg to 1 g per square metre; oxaliplatin; raltitrexed. </w:t>
            </w: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Prescriber Instructions</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sz w:val="20"/>
              </w:rPr>
            </w:pP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pStyle w:val="Default"/>
              <w:rPr>
                <w:rFonts w:ascii="Arial Narrow" w:hAnsi="Arial Narrow" w:cs="Arial"/>
                <w:sz w:val="20"/>
                <w:szCs w:val="20"/>
              </w:rPr>
            </w:pPr>
            <w:r w:rsidRPr="00407DB2">
              <w:rPr>
                <w:rFonts w:ascii="Arial Narrow" w:hAnsi="Arial Narrow"/>
                <w:sz w:val="20"/>
                <w:szCs w:val="20"/>
              </w:rPr>
              <w:t>No more than 1 capsule of 300mg netupitant/0.5mg palonosetron fixed dose combination will be authorised per cycle of cytotoxic chemotherapy.</w:t>
            </w:r>
          </w:p>
          <w:p w:rsidR="00407DB2" w:rsidRPr="00407DB2" w:rsidRDefault="00407DB2" w:rsidP="00F01855">
            <w:pPr>
              <w:widowControl/>
              <w:rPr>
                <w:rFonts w:ascii="Arial Narrow" w:hAnsi="Arial Narrow"/>
                <w:sz w:val="20"/>
              </w:rPr>
            </w:pPr>
          </w:p>
        </w:tc>
      </w:tr>
      <w:tr w:rsidR="00407DB2" w:rsidRPr="00407DB2" w:rsidTr="00407DB2">
        <w:trPr>
          <w:cantSplit/>
          <w:trHeight w:val="360"/>
        </w:trPr>
        <w:tc>
          <w:tcPr>
            <w:tcW w:w="2126"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b/>
                <w:sz w:val="20"/>
              </w:rPr>
            </w:pPr>
            <w:r w:rsidRPr="00407DB2">
              <w:rPr>
                <w:rFonts w:ascii="Arial Narrow" w:hAnsi="Arial Narrow"/>
                <w:b/>
                <w:sz w:val="20"/>
              </w:rPr>
              <w:t>Administrative Advice</w:t>
            </w:r>
          </w:p>
          <w:p w:rsidR="00407DB2" w:rsidRPr="00407DB2" w:rsidRDefault="00407DB2" w:rsidP="00F01855">
            <w:pPr>
              <w:widowControl/>
              <w:rPr>
                <w:rFonts w:ascii="Arial Narrow" w:hAnsi="Arial Narrow"/>
                <w:i/>
                <w:sz w:val="20"/>
              </w:rPr>
            </w:pPr>
          </w:p>
        </w:tc>
        <w:tc>
          <w:tcPr>
            <w:tcW w:w="6379" w:type="dxa"/>
            <w:tcBorders>
              <w:top w:val="single" w:sz="4" w:space="0" w:color="auto"/>
              <w:left w:val="single" w:sz="4" w:space="0" w:color="auto"/>
              <w:bottom w:val="single" w:sz="4" w:space="0" w:color="auto"/>
              <w:right w:val="single" w:sz="4" w:space="0" w:color="auto"/>
            </w:tcBorders>
          </w:tcPr>
          <w:p w:rsidR="00407DB2" w:rsidRPr="00407DB2" w:rsidRDefault="00407DB2" w:rsidP="00F01855">
            <w:pPr>
              <w:widowControl/>
              <w:rPr>
                <w:rFonts w:ascii="Arial Narrow" w:hAnsi="Arial Narrow"/>
                <w:i/>
                <w:sz w:val="20"/>
              </w:rPr>
            </w:pPr>
            <w:r w:rsidRPr="00407DB2">
              <w:rPr>
                <w:rFonts w:ascii="Arial Narrow" w:hAnsi="Arial Narrow"/>
                <w:i/>
                <w:sz w:val="20"/>
              </w:rPr>
              <w:t xml:space="preserve">No increase in the maximum quantity or number of units may be authorised. </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i/>
                <w:sz w:val="20"/>
              </w:rPr>
            </w:pPr>
            <w:r w:rsidRPr="00407DB2">
              <w:rPr>
                <w:rFonts w:ascii="Arial Narrow" w:hAnsi="Arial Narrow"/>
                <w:i/>
                <w:sz w:val="20"/>
              </w:rPr>
              <w:t xml:space="preserve">No Increase in the maximum number of repeats may be authorised. </w:t>
            </w:r>
          </w:p>
          <w:p w:rsidR="00407DB2" w:rsidRPr="00407DB2" w:rsidRDefault="00407DB2" w:rsidP="00F01855">
            <w:pPr>
              <w:widowControl/>
              <w:rPr>
                <w:rFonts w:ascii="Arial Narrow" w:hAnsi="Arial Narrow"/>
                <w:i/>
                <w:sz w:val="20"/>
              </w:rPr>
            </w:pPr>
          </w:p>
          <w:p w:rsidR="00407DB2" w:rsidRPr="00407DB2" w:rsidRDefault="00407DB2" w:rsidP="00F01855">
            <w:pPr>
              <w:widowControl/>
              <w:rPr>
                <w:rFonts w:ascii="Arial Narrow" w:hAnsi="Arial Narrow"/>
                <w:i/>
                <w:sz w:val="20"/>
              </w:rPr>
            </w:pPr>
            <w:r w:rsidRPr="00407DB2">
              <w:rPr>
                <w:rFonts w:ascii="Arial Narrow" w:hAnsi="Arial Narrow"/>
                <w:i/>
                <w:sz w:val="20"/>
              </w:rPr>
              <w:t xml:space="preserve">This medicine is not PBS-subsidised for nausea and vomiting associated with radiotherapy being used to treat malignancy. </w:t>
            </w:r>
          </w:p>
          <w:p w:rsidR="00407DB2" w:rsidRPr="00407DB2" w:rsidRDefault="00407DB2" w:rsidP="00F01855">
            <w:pPr>
              <w:widowControl/>
              <w:rPr>
                <w:rFonts w:ascii="Arial Narrow" w:hAnsi="Arial Narrow"/>
                <w:sz w:val="20"/>
              </w:rPr>
            </w:pPr>
          </w:p>
        </w:tc>
      </w:tr>
    </w:tbl>
    <w:p w:rsidR="00407DB2" w:rsidRDefault="00407DB2" w:rsidP="00B463EB">
      <w:pPr>
        <w:pStyle w:val="PBACHeading1"/>
        <w:numPr>
          <w:ilvl w:val="0"/>
          <w:numId w:val="0"/>
        </w:numPr>
        <w:rPr>
          <w:b w:val="0"/>
        </w:rPr>
      </w:pPr>
    </w:p>
    <w:bookmarkEnd w:id="4"/>
    <w:p w:rsidR="00B463EB" w:rsidRPr="00EB38FD" w:rsidRDefault="009C0D44" w:rsidP="00B463EB">
      <w:pPr>
        <w:pStyle w:val="ListParagraph"/>
        <w:widowControl/>
        <w:numPr>
          <w:ilvl w:val="1"/>
          <w:numId w:val="4"/>
        </w:numPr>
        <w:rPr>
          <w:szCs w:val="22"/>
        </w:rPr>
      </w:pPr>
      <w:r w:rsidRPr="00EB38FD">
        <w:t xml:space="preserve">The </w:t>
      </w:r>
      <w:r w:rsidR="00B463EB" w:rsidRPr="00EB38FD">
        <w:t xml:space="preserve">ESC considered that </w:t>
      </w:r>
      <w:r w:rsidR="00CB628A" w:rsidRPr="00EB38FD">
        <w:t xml:space="preserve">it may be appropriate for </w:t>
      </w:r>
      <w:r w:rsidR="00B463EB" w:rsidRPr="00EB38FD">
        <w:t xml:space="preserve">a note </w:t>
      </w:r>
      <w:r w:rsidR="00CB628A" w:rsidRPr="00EB38FD">
        <w:t>to</w:t>
      </w:r>
      <w:r w:rsidR="00B463EB" w:rsidRPr="00EB38FD">
        <w:t xml:space="preserve"> be added to </w:t>
      </w:r>
      <w:r w:rsidR="009C3A1D" w:rsidRPr="00EB38FD">
        <w:t>each</w:t>
      </w:r>
      <w:r w:rsidR="00B463EB" w:rsidRPr="00EB38FD">
        <w:t xml:space="preserve"> restriction prevent</w:t>
      </w:r>
      <w:r w:rsidR="00CB628A" w:rsidRPr="00EB38FD">
        <w:t>ing</w:t>
      </w:r>
      <w:r w:rsidR="00B463EB" w:rsidRPr="00EB38FD">
        <w:t xml:space="preserve"> the concomitant use of a</w:t>
      </w:r>
      <w:r w:rsidR="002F65E8" w:rsidRPr="00EB38FD">
        <w:t>nother</w:t>
      </w:r>
      <w:r w:rsidR="00B463EB" w:rsidRPr="00EB38FD">
        <w:t xml:space="preserve"> </w:t>
      </w:r>
      <w:r w:rsidR="00C719A3">
        <w:t>serotonin</w:t>
      </w:r>
      <w:r w:rsidR="00B463EB" w:rsidRPr="00EB38FD">
        <w:t xml:space="preserve"> </w:t>
      </w:r>
      <w:r w:rsidR="00C719A3">
        <w:t>receptor antagonist (5-HT</w:t>
      </w:r>
      <w:r w:rsidR="00C719A3" w:rsidRPr="00C719A3">
        <w:rPr>
          <w:vertAlign w:val="subscript"/>
        </w:rPr>
        <w:t>3</w:t>
      </w:r>
      <w:r w:rsidR="00C719A3">
        <w:t xml:space="preserve"> RA)</w:t>
      </w:r>
      <w:r w:rsidR="00B463EB" w:rsidRPr="00EB38FD">
        <w:t xml:space="preserve">. </w:t>
      </w:r>
    </w:p>
    <w:p w:rsidR="008C1343" w:rsidRPr="00EB38FD" w:rsidRDefault="008C1343" w:rsidP="008C1343">
      <w:pPr>
        <w:pStyle w:val="ListParagraph"/>
        <w:widowControl/>
        <w:rPr>
          <w:szCs w:val="22"/>
        </w:rPr>
      </w:pPr>
    </w:p>
    <w:p w:rsidR="00260082" w:rsidRPr="00EB38FD" w:rsidRDefault="00E247C8" w:rsidP="00260082">
      <w:pPr>
        <w:pStyle w:val="ListParagraph"/>
        <w:widowControl/>
        <w:numPr>
          <w:ilvl w:val="1"/>
          <w:numId w:val="4"/>
        </w:numPr>
        <w:rPr>
          <w:szCs w:val="22"/>
        </w:rPr>
      </w:pPr>
      <w:r w:rsidRPr="00EB38FD">
        <w:t>The ESC noted that the proposed restrictions mirrored the existing restrictions for aprepitant. Thi</w:t>
      </w:r>
      <w:r w:rsidR="003842DF" w:rsidRPr="00EB38FD">
        <w:t>s was confirmed in the P</w:t>
      </w:r>
      <w:r w:rsidR="003C5A71">
        <w:t>re-</w:t>
      </w:r>
      <w:r w:rsidR="003842DF" w:rsidRPr="00EB38FD">
        <w:t>S</w:t>
      </w:r>
      <w:r w:rsidR="003C5A71">
        <w:t>ub-</w:t>
      </w:r>
      <w:r w:rsidR="003842DF" w:rsidRPr="00EB38FD">
        <w:t>C</w:t>
      </w:r>
      <w:r w:rsidR="003C5A71">
        <w:t xml:space="preserve">ommittee </w:t>
      </w:r>
      <w:r w:rsidR="003842DF" w:rsidRPr="00EB38FD">
        <w:t>R</w:t>
      </w:r>
      <w:r w:rsidR="003C5A71">
        <w:t>esponse</w:t>
      </w:r>
      <w:r w:rsidR="003842DF" w:rsidRPr="00EB38FD">
        <w:t xml:space="preserve"> (</w:t>
      </w:r>
      <w:r w:rsidR="003C5A71">
        <w:t xml:space="preserve">PSCR, </w:t>
      </w:r>
      <w:r w:rsidR="003842DF" w:rsidRPr="00EB38FD">
        <w:t>p</w:t>
      </w:r>
      <w:r w:rsidRPr="00EB38FD">
        <w:t xml:space="preserve">2). </w:t>
      </w:r>
    </w:p>
    <w:p w:rsidR="00B463EB" w:rsidRDefault="00B463EB" w:rsidP="00B463EB">
      <w:pPr>
        <w:pStyle w:val="ListParagraph"/>
        <w:widowControl/>
        <w:rPr>
          <w:szCs w:val="22"/>
        </w:rPr>
      </w:pPr>
    </w:p>
    <w:p w:rsidR="00DE0635" w:rsidRDefault="00260082" w:rsidP="00260082">
      <w:pPr>
        <w:pStyle w:val="ListParagraph"/>
        <w:widowControl/>
        <w:numPr>
          <w:ilvl w:val="1"/>
          <w:numId w:val="4"/>
        </w:numPr>
        <w:rPr>
          <w:szCs w:val="22"/>
        </w:rPr>
      </w:pPr>
      <w:r w:rsidRPr="006531C1">
        <w:rPr>
          <w:szCs w:val="22"/>
        </w:rPr>
        <w:t>The submission presented a cost minimisation analysis based on clinical evidence presented in Section B. The submission concluded that NEPA was therapeutically equivalent to aprepitant in combination with a 5-HT</w:t>
      </w:r>
      <w:r w:rsidRPr="006531C1">
        <w:rPr>
          <w:szCs w:val="22"/>
          <w:vertAlign w:val="subscript"/>
        </w:rPr>
        <w:t>3</w:t>
      </w:r>
      <w:r w:rsidRPr="006531C1">
        <w:rPr>
          <w:szCs w:val="22"/>
        </w:rPr>
        <w:t xml:space="preserve"> RA. </w:t>
      </w:r>
    </w:p>
    <w:p w:rsidR="002C2775" w:rsidRPr="006531C1" w:rsidRDefault="002C2775" w:rsidP="00DE0635"/>
    <w:p w:rsidR="00C55F7F" w:rsidRPr="00BB7EC3" w:rsidRDefault="00C55F7F" w:rsidP="00C55F7F">
      <w:pPr>
        <w:pStyle w:val="ListParagraph"/>
        <w:ind w:left="709"/>
        <w:rPr>
          <w:i/>
          <w:szCs w:val="22"/>
        </w:rPr>
      </w:pPr>
      <w:r>
        <w:rPr>
          <w:i/>
          <w:szCs w:val="22"/>
        </w:rPr>
        <w:t>For more detail on PBAC’s view, see section 7 “PBAC outcome”</w:t>
      </w:r>
    </w:p>
    <w:p w:rsidR="004E43B2" w:rsidRDefault="004E43B2" w:rsidP="004A2158">
      <w:pPr>
        <w:widowControl/>
      </w:pPr>
    </w:p>
    <w:p w:rsidR="001C33BF" w:rsidRDefault="001C33BF" w:rsidP="004A2158">
      <w:pPr>
        <w:widowControl/>
      </w:pPr>
    </w:p>
    <w:p w:rsidR="005677AF" w:rsidRPr="00882085" w:rsidRDefault="005677AF" w:rsidP="004A2158">
      <w:pPr>
        <w:widowControl/>
      </w:pPr>
    </w:p>
    <w:p w:rsidR="00B50DB8" w:rsidRPr="00407F2D" w:rsidRDefault="00B50DB8" w:rsidP="004A2158">
      <w:pPr>
        <w:pStyle w:val="PBACHeading1"/>
      </w:pPr>
      <w:bookmarkStart w:id="5" w:name="_Toc409535755"/>
      <w:r w:rsidRPr="00407F2D">
        <w:lastRenderedPageBreak/>
        <w:t>Background</w:t>
      </w:r>
      <w:bookmarkEnd w:id="5"/>
    </w:p>
    <w:p w:rsidR="00B60939" w:rsidRPr="00882085" w:rsidRDefault="00B60939" w:rsidP="004A2158">
      <w:pPr>
        <w:widowControl/>
        <w:rPr>
          <w:szCs w:val="22"/>
        </w:rPr>
      </w:pPr>
    </w:p>
    <w:p w:rsidR="00AE6774" w:rsidRDefault="00956448" w:rsidP="004A2158">
      <w:pPr>
        <w:pStyle w:val="ListParagraph"/>
        <w:widowControl/>
        <w:numPr>
          <w:ilvl w:val="1"/>
          <w:numId w:val="4"/>
        </w:numPr>
      </w:pPr>
      <w:r>
        <w:rPr>
          <w:b/>
        </w:rPr>
        <w:t xml:space="preserve">TGA status: </w:t>
      </w:r>
      <w:r w:rsidR="006531C1">
        <w:t xml:space="preserve">The TGA Delegate’s Overview was received after the ESC consideration. </w:t>
      </w:r>
      <w:r w:rsidR="00AE6774">
        <w:t>The</w:t>
      </w:r>
      <w:r w:rsidR="00D566B2">
        <w:t xml:space="preserve"> draft TGA indication was</w:t>
      </w:r>
      <w:r w:rsidR="00AE6774">
        <w:t>:</w:t>
      </w:r>
    </w:p>
    <w:p w:rsidR="00AE6774" w:rsidRDefault="00AD2874" w:rsidP="004A2158">
      <w:pPr>
        <w:widowControl/>
        <w:ind w:left="1440"/>
      </w:pPr>
      <w:r>
        <w:t>NEPA</w:t>
      </w:r>
      <w:r w:rsidR="008A01F4">
        <w:t xml:space="preserve"> </w:t>
      </w:r>
      <w:r w:rsidR="001C70B9">
        <w:t xml:space="preserve">is </w:t>
      </w:r>
      <w:r w:rsidR="00AE6774">
        <w:t xml:space="preserve">indicated in adults for prevention of acute and delayed nausea and vomiting associated with initial and repeat courses of highly or moderately </w:t>
      </w:r>
      <w:r w:rsidR="00E32B0A">
        <w:t>emetogenic</w:t>
      </w:r>
      <w:r w:rsidR="00AE6774">
        <w:t xml:space="preserve"> cancer chemotherapy.</w:t>
      </w:r>
    </w:p>
    <w:p w:rsidR="00A7214D" w:rsidRDefault="00A7214D" w:rsidP="00A7214D">
      <w:pPr>
        <w:widowControl/>
      </w:pPr>
    </w:p>
    <w:p w:rsidR="00A7214D" w:rsidRPr="00345EBF" w:rsidRDefault="00A7214D" w:rsidP="000D3910">
      <w:pPr>
        <w:pStyle w:val="ListParagraph"/>
        <w:widowControl/>
        <w:numPr>
          <w:ilvl w:val="1"/>
          <w:numId w:val="4"/>
        </w:numPr>
      </w:pPr>
      <w:r>
        <w:t xml:space="preserve">The Delegate was unable to make a recommendation as to whether </w:t>
      </w:r>
      <w:r w:rsidR="000D3910">
        <w:t xml:space="preserve">NEPA should be approved for registration. </w:t>
      </w:r>
    </w:p>
    <w:p w:rsidR="00B60939" w:rsidRPr="00AE6774" w:rsidRDefault="00B60939" w:rsidP="004A2158">
      <w:pPr>
        <w:widowControl/>
        <w:rPr>
          <w:szCs w:val="22"/>
        </w:rPr>
      </w:pPr>
    </w:p>
    <w:p w:rsidR="00956448" w:rsidRPr="009A562E" w:rsidRDefault="00AD2874" w:rsidP="009A562E">
      <w:pPr>
        <w:pStyle w:val="ListParagraph"/>
        <w:keepNext/>
        <w:widowControl/>
        <w:numPr>
          <w:ilvl w:val="1"/>
          <w:numId w:val="4"/>
        </w:numPr>
        <w:rPr>
          <w:szCs w:val="22"/>
        </w:rPr>
      </w:pPr>
      <w:r w:rsidRPr="009A562E">
        <w:rPr>
          <w:szCs w:val="22"/>
        </w:rPr>
        <w:t>NEPA</w:t>
      </w:r>
      <w:r w:rsidR="00AE6774" w:rsidRPr="009A562E">
        <w:rPr>
          <w:szCs w:val="22"/>
        </w:rPr>
        <w:t xml:space="preserve"> </w:t>
      </w:r>
      <w:r w:rsidR="0074752B" w:rsidRPr="009A562E">
        <w:rPr>
          <w:szCs w:val="22"/>
        </w:rPr>
        <w:t xml:space="preserve">has not been </w:t>
      </w:r>
      <w:r w:rsidR="00AE6774" w:rsidRPr="009A562E">
        <w:rPr>
          <w:szCs w:val="22"/>
        </w:rPr>
        <w:t>considered by PBAC previously</w:t>
      </w:r>
      <w:r w:rsidR="00BE34DF" w:rsidRPr="009A562E">
        <w:rPr>
          <w:szCs w:val="22"/>
        </w:rPr>
        <w:t xml:space="preserve">. </w:t>
      </w:r>
      <w:r w:rsidR="001C70B9" w:rsidRPr="009A562E">
        <w:rPr>
          <w:szCs w:val="22"/>
        </w:rPr>
        <w:t>At the time of the evaluation, t</w:t>
      </w:r>
      <w:r w:rsidR="00BE34DF" w:rsidRPr="009A562E">
        <w:rPr>
          <w:szCs w:val="22"/>
        </w:rPr>
        <w:t xml:space="preserve">he individual component netupitant was not </w:t>
      </w:r>
      <w:r w:rsidR="005677AF" w:rsidRPr="009A562E">
        <w:rPr>
          <w:szCs w:val="22"/>
        </w:rPr>
        <w:t xml:space="preserve">TGA registered </w:t>
      </w:r>
      <w:r w:rsidR="00C719A3">
        <w:rPr>
          <w:szCs w:val="22"/>
        </w:rPr>
        <w:t>n</w:t>
      </w:r>
      <w:r w:rsidR="005677AF" w:rsidRPr="009A562E">
        <w:rPr>
          <w:szCs w:val="22"/>
        </w:rPr>
        <w:t xml:space="preserve">or </w:t>
      </w:r>
      <w:r w:rsidR="0074752B" w:rsidRPr="009A562E">
        <w:rPr>
          <w:szCs w:val="22"/>
        </w:rPr>
        <w:t>PBS</w:t>
      </w:r>
      <w:r w:rsidR="005677AF" w:rsidRPr="009A562E">
        <w:rPr>
          <w:szCs w:val="22"/>
        </w:rPr>
        <w:t xml:space="preserve"> listed</w:t>
      </w:r>
      <w:r w:rsidR="00BE34DF" w:rsidRPr="009A562E">
        <w:rPr>
          <w:szCs w:val="22"/>
        </w:rPr>
        <w:t xml:space="preserve">, </w:t>
      </w:r>
      <w:r w:rsidR="0074752B" w:rsidRPr="009A562E">
        <w:rPr>
          <w:szCs w:val="22"/>
        </w:rPr>
        <w:t>and</w:t>
      </w:r>
      <w:r w:rsidR="00BE34DF" w:rsidRPr="009A562E">
        <w:rPr>
          <w:szCs w:val="22"/>
        </w:rPr>
        <w:t xml:space="preserve"> palonosetron was only listed in intravenous form</w:t>
      </w:r>
      <w:r w:rsidR="00AE6774" w:rsidRPr="009A562E">
        <w:rPr>
          <w:szCs w:val="22"/>
        </w:rPr>
        <w:t>.</w:t>
      </w:r>
      <w:r w:rsidR="00956448" w:rsidRPr="009A562E">
        <w:rPr>
          <w:szCs w:val="22"/>
        </w:rPr>
        <w:t xml:space="preserve"> </w:t>
      </w:r>
      <w:r w:rsidR="005677AF" w:rsidRPr="009A562E">
        <w:rPr>
          <w:szCs w:val="22"/>
        </w:rPr>
        <w:t>The submission stated and t</w:t>
      </w:r>
      <w:r w:rsidR="00956448" w:rsidRPr="009A562E">
        <w:rPr>
          <w:szCs w:val="22"/>
        </w:rPr>
        <w:t>he</w:t>
      </w:r>
      <w:r w:rsidR="00CB7A36">
        <w:rPr>
          <w:szCs w:val="22"/>
        </w:rPr>
        <w:t xml:space="preserve"> </w:t>
      </w:r>
      <w:r w:rsidR="00956448" w:rsidRPr="009A562E">
        <w:rPr>
          <w:szCs w:val="22"/>
        </w:rPr>
        <w:t>PSCR</w:t>
      </w:r>
      <w:r w:rsidR="00CB7A36">
        <w:rPr>
          <w:szCs w:val="22"/>
        </w:rPr>
        <w:t xml:space="preserve"> (</w:t>
      </w:r>
      <w:r w:rsidR="00956448" w:rsidRPr="009A562E">
        <w:rPr>
          <w:szCs w:val="22"/>
        </w:rPr>
        <w:t xml:space="preserve">p1) </w:t>
      </w:r>
      <w:r w:rsidR="005677AF" w:rsidRPr="009A562E">
        <w:rPr>
          <w:szCs w:val="22"/>
        </w:rPr>
        <w:t xml:space="preserve">confirmed </w:t>
      </w:r>
      <w:r w:rsidR="00956448" w:rsidRPr="009A562E">
        <w:rPr>
          <w:szCs w:val="22"/>
        </w:rPr>
        <w:t xml:space="preserve">that </w:t>
      </w:r>
      <w:r w:rsidR="005677AF" w:rsidRPr="009A562E">
        <w:rPr>
          <w:szCs w:val="22"/>
        </w:rPr>
        <w:t xml:space="preserve">the sponsor did not intend to request </w:t>
      </w:r>
      <w:r w:rsidR="000D3910">
        <w:rPr>
          <w:szCs w:val="22"/>
        </w:rPr>
        <w:t>registration</w:t>
      </w:r>
      <w:r w:rsidR="000419AB">
        <w:rPr>
          <w:szCs w:val="22"/>
        </w:rPr>
        <w:t xml:space="preserve"> of the individual NEPA components</w:t>
      </w:r>
      <w:r w:rsidR="005677AF" w:rsidRPr="009A562E">
        <w:rPr>
          <w:szCs w:val="22"/>
        </w:rPr>
        <w:t xml:space="preserve"> as </w:t>
      </w:r>
      <w:r w:rsidR="00956448" w:rsidRPr="009A562E">
        <w:rPr>
          <w:szCs w:val="22"/>
        </w:rPr>
        <w:t xml:space="preserve">netupitant was developed as an oral fixed dosage form in combination with palonosetron and has not been developed as a single agent. </w:t>
      </w:r>
    </w:p>
    <w:p w:rsidR="00915BD5" w:rsidRDefault="00915BD5" w:rsidP="004A2158">
      <w:pPr>
        <w:pStyle w:val="ListParagraph"/>
        <w:widowControl/>
        <w:rPr>
          <w:szCs w:val="22"/>
        </w:rPr>
      </w:pPr>
    </w:p>
    <w:p w:rsidR="00C55F7F" w:rsidRPr="00BB7EC3" w:rsidRDefault="00C55F7F" w:rsidP="00C55F7F">
      <w:pPr>
        <w:pStyle w:val="ListParagraph"/>
        <w:ind w:left="709"/>
        <w:rPr>
          <w:i/>
          <w:szCs w:val="22"/>
        </w:rPr>
      </w:pPr>
      <w:r>
        <w:rPr>
          <w:i/>
          <w:szCs w:val="22"/>
        </w:rPr>
        <w:t>For more detail on PBAC’s view, see section 7 “PBAC outcome”</w:t>
      </w:r>
    </w:p>
    <w:p w:rsidR="00C55F7F" w:rsidRDefault="00C55F7F" w:rsidP="004A2158">
      <w:pPr>
        <w:pStyle w:val="ListParagraph"/>
        <w:widowControl/>
        <w:rPr>
          <w:szCs w:val="22"/>
        </w:rPr>
      </w:pPr>
    </w:p>
    <w:p w:rsidR="009A562E" w:rsidRPr="00B93739" w:rsidRDefault="009A562E" w:rsidP="004A2158">
      <w:pPr>
        <w:pStyle w:val="ListParagraph"/>
        <w:widowControl/>
        <w:rPr>
          <w:szCs w:val="22"/>
        </w:rPr>
      </w:pPr>
    </w:p>
    <w:p w:rsidR="00BE34DF" w:rsidRDefault="00BE34DF" w:rsidP="004A2158">
      <w:pPr>
        <w:pStyle w:val="PBACHeading1"/>
        <w:keepNext/>
      </w:pPr>
      <w:bookmarkStart w:id="6" w:name="_Toc409535756"/>
      <w:r w:rsidRPr="00407F2D">
        <w:t>Clinical place for the proposed therapy</w:t>
      </w:r>
      <w:bookmarkEnd w:id="6"/>
    </w:p>
    <w:p w:rsidR="00BE34DF" w:rsidRPr="00F97801" w:rsidRDefault="00BE34DF" w:rsidP="004A2158">
      <w:pPr>
        <w:pStyle w:val="PBACHeading1"/>
        <w:keepNext/>
        <w:numPr>
          <w:ilvl w:val="0"/>
          <w:numId w:val="0"/>
        </w:numPr>
        <w:ind w:left="720"/>
      </w:pPr>
    </w:p>
    <w:p w:rsidR="00260082" w:rsidRDefault="00BE34DF" w:rsidP="00260082">
      <w:pPr>
        <w:pStyle w:val="ListParagraph"/>
        <w:keepNext/>
        <w:widowControl/>
        <w:numPr>
          <w:ilvl w:val="1"/>
          <w:numId w:val="4"/>
        </w:numPr>
        <w:rPr>
          <w:szCs w:val="22"/>
        </w:rPr>
      </w:pPr>
      <w:r w:rsidRPr="00D77E5F">
        <w:rPr>
          <w:szCs w:val="22"/>
        </w:rPr>
        <w:t xml:space="preserve">The submission proposed </w:t>
      </w:r>
      <w:r w:rsidR="00AD2874" w:rsidRPr="00D77E5F">
        <w:rPr>
          <w:szCs w:val="22"/>
        </w:rPr>
        <w:t>NEPA</w:t>
      </w:r>
      <w:r w:rsidRPr="00D77E5F">
        <w:rPr>
          <w:szCs w:val="22"/>
        </w:rPr>
        <w:t xml:space="preserve"> for the prevention and control of chemotherapy-induced nausea and vomiting.</w:t>
      </w:r>
      <w:r w:rsidR="00FC4DD6" w:rsidRPr="00D77E5F">
        <w:rPr>
          <w:szCs w:val="22"/>
        </w:rPr>
        <w:t xml:space="preserve"> </w:t>
      </w:r>
      <w:r w:rsidR="0030036B" w:rsidRPr="00EB38FD">
        <w:rPr>
          <w:szCs w:val="22"/>
        </w:rPr>
        <w:t>The submission d</w:t>
      </w:r>
      <w:r w:rsidR="00D77E5F" w:rsidRPr="00EB38FD">
        <w:rPr>
          <w:szCs w:val="22"/>
        </w:rPr>
        <w:t>id</w:t>
      </w:r>
      <w:r w:rsidR="0030036B" w:rsidRPr="00EB38FD">
        <w:rPr>
          <w:szCs w:val="22"/>
        </w:rPr>
        <w:t xml:space="preserve"> not provide </w:t>
      </w:r>
      <w:r w:rsidR="00D77E5F" w:rsidRPr="00EB38FD">
        <w:rPr>
          <w:szCs w:val="22"/>
        </w:rPr>
        <w:t>a diagram out</w:t>
      </w:r>
      <w:r w:rsidR="00A14764" w:rsidRPr="00EB38FD">
        <w:rPr>
          <w:szCs w:val="22"/>
        </w:rPr>
        <w:t>l</w:t>
      </w:r>
      <w:r w:rsidR="00D77E5F" w:rsidRPr="00EB38FD">
        <w:rPr>
          <w:szCs w:val="22"/>
        </w:rPr>
        <w:t xml:space="preserve">ining the proposed </w:t>
      </w:r>
      <w:r w:rsidR="0030036B" w:rsidRPr="00EB38FD">
        <w:rPr>
          <w:szCs w:val="22"/>
        </w:rPr>
        <w:t>clinical treatment algorithm for the use of NEPA</w:t>
      </w:r>
      <w:r w:rsidR="00D77E5F" w:rsidRPr="00EB38FD">
        <w:rPr>
          <w:szCs w:val="22"/>
        </w:rPr>
        <w:t>, and only described the treatment algorithm for patients treated with highly emetogenic chemotherapy.</w:t>
      </w:r>
      <w:r w:rsidR="009C283C" w:rsidRPr="00EB38FD">
        <w:rPr>
          <w:szCs w:val="22"/>
        </w:rPr>
        <w:t xml:space="preserve"> </w:t>
      </w:r>
      <w:r w:rsidR="00260082" w:rsidRPr="00EB38FD">
        <w:rPr>
          <w:szCs w:val="22"/>
        </w:rPr>
        <w:t>T</w:t>
      </w:r>
      <w:r w:rsidR="009A562E">
        <w:rPr>
          <w:szCs w:val="22"/>
        </w:rPr>
        <w:t>he t</w:t>
      </w:r>
      <w:r w:rsidR="00260082" w:rsidRPr="00EB38FD">
        <w:rPr>
          <w:szCs w:val="22"/>
        </w:rPr>
        <w:t xml:space="preserve">able </w:t>
      </w:r>
      <w:r w:rsidR="009A562E">
        <w:rPr>
          <w:szCs w:val="22"/>
        </w:rPr>
        <w:t>below</w:t>
      </w:r>
      <w:r w:rsidR="00260082" w:rsidRPr="00EB38FD">
        <w:rPr>
          <w:szCs w:val="22"/>
        </w:rPr>
        <w:t>, constructed during the evaluation, describes the current and proposed treatments for the prevention of chemotherapy-induced nausea and vomiting associated with emetogenic chemotherapy.</w:t>
      </w:r>
    </w:p>
    <w:p w:rsidR="00EC185B" w:rsidRDefault="00EC185B">
      <w:pPr>
        <w:widowControl/>
        <w:jc w:val="left"/>
        <w:rPr>
          <w:rStyle w:val="CommentReference"/>
        </w:rPr>
      </w:pPr>
      <w:r>
        <w:rPr>
          <w:rStyle w:val="CommentReference"/>
        </w:rPr>
        <w:br w:type="page"/>
      </w:r>
    </w:p>
    <w:p w:rsidR="009C283C" w:rsidRDefault="009C283C" w:rsidP="009C283C">
      <w:pPr>
        <w:widowControl/>
        <w:ind w:left="720"/>
        <w:rPr>
          <w:rStyle w:val="CommentReference"/>
        </w:rPr>
      </w:pPr>
    </w:p>
    <w:p w:rsidR="009C283C" w:rsidRPr="00EB38FD" w:rsidRDefault="009C283C" w:rsidP="009C283C">
      <w:pPr>
        <w:widowControl/>
        <w:ind w:left="720"/>
        <w:rPr>
          <w:rStyle w:val="CommentReference"/>
        </w:rPr>
      </w:pPr>
      <w:r w:rsidRPr="00EB38FD">
        <w:rPr>
          <w:rStyle w:val="CommentReference"/>
        </w:rPr>
        <w:t>Current treatment and proposed treatment of the prevention of chemotherapy-induced nausea and vomiting associated with emetogenic chemotherapy</w:t>
      </w:r>
    </w:p>
    <w:tbl>
      <w:tblPr>
        <w:tblStyle w:val="TableGrid"/>
        <w:tblW w:w="8425" w:type="dxa"/>
        <w:tblInd w:w="817" w:type="dxa"/>
        <w:tblLayout w:type="fixed"/>
        <w:tblCellMar>
          <w:left w:w="28" w:type="dxa"/>
          <w:right w:w="28" w:type="dxa"/>
        </w:tblCellMar>
        <w:tblLook w:val="04A0" w:firstRow="1" w:lastRow="0" w:firstColumn="1" w:lastColumn="0" w:noHBand="0" w:noVBand="1"/>
      </w:tblPr>
      <w:tblGrid>
        <w:gridCol w:w="3747"/>
        <w:gridCol w:w="2694"/>
        <w:gridCol w:w="1984"/>
      </w:tblGrid>
      <w:tr w:rsidR="009C283C" w:rsidRPr="00EB38FD" w:rsidTr="00DE0635">
        <w:trPr>
          <w:tblHeader/>
        </w:trPr>
        <w:tc>
          <w:tcPr>
            <w:tcW w:w="3747" w:type="dxa"/>
            <w:vAlign w:val="center"/>
          </w:tcPr>
          <w:p w:rsidR="009C283C" w:rsidRPr="00EB38FD" w:rsidRDefault="009C283C" w:rsidP="00A14764">
            <w:pPr>
              <w:pStyle w:val="Tabletext"/>
              <w:rPr>
                <w:b/>
              </w:rPr>
            </w:pPr>
            <w:r w:rsidRPr="00EB38FD">
              <w:rPr>
                <w:b/>
              </w:rPr>
              <w:t>Patient group</w:t>
            </w:r>
          </w:p>
        </w:tc>
        <w:tc>
          <w:tcPr>
            <w:tcW w:w="2694" w:type="dxa"/>
            <w:vAlign w:val="center"/>
          </w:tcPr>
          <w:p w:rsidR="009C283C" w:rsidRPr="00EB38FD" w:rsidRDefault="009C283C" w:rsidP="00A14764">
            <w:pPr>
              <w:pStyle w:val="Tabletext"/>
              <w:rPr>
                <w:b/>
              </w:rPr>
            </w:pPr>
            <w:r w:rsidRPr="00EB38FD">
              <w:rPr>
                <w:b/>
              </w:rPr>
              <w:t>Current guidelines</w:t>
            </w:r>
          </w:p>
        </w:tc>
        <w:tc>
          <w:tcPr>
            <w:tcW w:w="1984" w:type="dxa"/>
            <w:vAlign w:val="center"/>
          </w:tcPr>
          <w:p w:rsidR="009C283C" w:rsidRPr="00EB38FD" w:rsidRDefault="009C283C" w:rsidP="00A14764">
            <w:pPr>
              <w:pStyle w:val="Tabletext"/>
              <w:rPr>
                <w:b/>
              </w:rPr>
            </w:pPr>
            <w:r w:rsidRPr="00EB38FD">
              <w:rPr>
                <w:b/>
              </w:rPr>
              <w:t xml:space="preserve">Proposed </w:t>
            </w:r>
          </w:p>
        </w:tc>
      </w:tr>
      <w:tr w:rsidR="009C283C" w:rsidRPr="00EB38FD" w:rsidTr="00DE0635">
        <w:tc>
          <w:tcPr>
            <w:tcW w:w="3747" w:type="dxa"/>
            <w:vAlign w:val="center"/>
          </w:tcPr>
          <w:p w:rsidR="009C283C" w:rsidRPr="00EB38FD" w:rsidRDefault="009C283C" w:rsidP="00A14764">
            <w:pPr>
              <w:pStyle w:val="Tabletext"/>
            </w:pPr>
            <w:r w:rsidRPr="00EB38FD">
              <w:t>H</w:t>
            </w:r>
            <w:r w:rsidR="00A14764" w:rsidRPr="00EB38FD">
              <w:t>ighly emetogenic chemotherapy</w:t>
            </w:r>
            <w:r w:rsidRPr="00EB38FD">
              <w:t xml:space="preserve"> </w:t>
            </w:r>
            <w:r w:rsidR="00D30470" w:rsidRPr="00EB38FD">
              <w:t>–</w:t>
            </w:r>
            <w:r w:rsidRPr="00EB38FD">
              <w:t xml:space="preserve"> all</w:t>
            </w:r>
          </w:p>
        </w:tc>
        <w:tc>
          <w:tcPr>
            <w:tcW w:w="2694" w:type="dxa"/>
            <w:vAlign w:val="center"/>
          </w:tcPr>
          <w:p w:rsidR="009C283C" w:rsidRPr="00EB38FD" w:rsidRDefault="009C283C" w:rsidP="00A14764">
            <w:pPr>
              <w:pStyle w:val="Tabletext"/>
            </w:pPr>
            <w:r w:rsidRPr="00EB38FD">
              <w:t>Aprepitant + 5-HT</w:t>
            </w:r>
            <w:r w:rsidRPr="00EB38FD">
              <w:rPr>
                <w:vertAlign w:val="subscript"/>
              </w:rPr>
              <w:t>3</w:t>
            </w:r>
            <w:r w:rsidRPr="00EB38FD">
              <w:t xml:space="preserve"> RA </w:t>
            </w:r>
            <w:r w:rsidRPr="00EB38FD">
              <w:rPr>
                <w:vertAlign w:val="superscript"/>
              </w:rPr>
              <w:t>a</w:t>
            </w:r>
            <w:r w:rsidRPr="00EB38FD">
              <w:t xml:space="preserve"> + Dex</w:t>
            </w:r>
          </w:p>
        </w:tc>
        <w:tc>
          <w:tcPr>
            <w:tcW w:w="1984" w:type="dxa"/>
            <w:vAlign w:val="center"/>
          </w:tcPr>
          <w:p w:rsidR="009C283C" w:rsidRPr="00EB38FD" w:rsidRDefault="009C283C" w:rsidP="00A14764">
            <w:pPr>
              <w:pStyle w:val="Tabletext"/>
            </w:pPr>
            <w:r w:rsidRPr="00EB38FD">
              <w:rPr>
                <w:b/>
              </w:rPr>
              <w:t>OR</w:t>
            </w:r>
            <w:r w:rsidRPr="00EB38FD">
              <w:t xml:space="preserve"> NEPA + Dex</w:t>
            </w:r>
          </w:p>
        </w:tc>
      </w:tr>
      <w:tr w:rsidR="009C283C" w:rsidRPr="00EB38FD" w:rsidTr="00DE0635">
        <w:tc>
          <w:tcPr>
            <w:tcW w:w="3747" w:type="dxa"/>
            <w:vAlign w:val="center"/>
          </w:tcPr>
          <w:p w:rsidR="009C283C" w:rsidRPr="00EB38FD" w:rsidRDefault="009C283C" w:rsidP="00A14764">
            <w:pPr>
              <w:pStyle w:val="Tabletext"/>
            </w:pPr>
            <w:r w:rsidRPr="00EB38FD">
              <w:t xml:space="preserve">Combined AC regimens – breast cancer </w:t>
            </w:r>
          </w:p>
        </w:tc>
        <w:tc>
          <w:tcPr>
            <w:tcW w:w="2694" w:type="dxa"/>
            <w:vAlign w:val="center"/>
          </w:tcPr>
          <w:p w:rsidR="009C283C" w:rsidRPr="00EB38FD" w:rsidRDefault="009C283C" w:rsidP="00A14764">
            <w:pPr>
              <w:pStyle w:val="Tabletext"/>
            </w:pPr>
            <w:r w:rsidRPr="00EB38FD">
              <w:t>Aprepitant + 5-HT</w:t>
            </w:r>
            <w:r w:rsidRPr="00EB38FD">
              <w:rPr>
                <w:vertAlign w:val="subscript"/>
              </w:rPr>
              <w:t>3</w:t>
            </w:r>
            <w:r w:rsidRPr="00EB38FD">
              <w:t xml:space="preserve"> RA </w:t>
            </w:r>
            <w:r w:rsidRPr="00EB38FD">
              <w:rPr>
                <w:vertAlign w:val="superscript"/>
              </w:rPr>
              <w:t xml:space="preserve">a </w:t>
            </w:r>
            <w:r w:rsidRPr="00EB38FD">
              <w:t>+ Dex</w:t>
            </w:r>
          </w:p>
        </w:tc>
        <w:tc>
          <w:tcPr>
            <w:tcW w:w="1984" w:type="dxa"/>
            <w:vAlign w:val="center"/>
          </w:tcPr>
          <w:p w:rsidR="009C283C" w:rsidRPr="00EB38FD" w:rsidRDefault="009C283C" w:rsidP="00A14764">
            <w:pPr>
              <w:pStyle w:val="Tabletext"/>
            </w:pPr>
            <w:r w:rsidRPr="00EB38FD">
              <w:rPr>
                <w:b/>
              </w:rPr>
              <w:t>OR</w:t>
            </w:r>
            <w:r w:rsidRPr="00EB38FD">
              <w:t xml:space="preserve"> NEPA + Dex</w:t>
            </w:r>
          </w:p>
        </w:tc>
      </w:tr>
      <w:tr w:rsidR="009C283C" w:rsidRPr="00EB38FD" w:rsidTr="00DE0635">
        <w:tc>
          <w:tcPr>
            <w:tcW w:w="3747" w:type="dxa"/>
            <w:vAlign w:val="center"/>
          </w:tcPr>
          <w:p w:rsidR="009C283C" w:rsidRPr="00EB38FD" w:rsidRDefault="009C283C" w:rsidP="00A14764">
            <w:pPr>
              <w:pStyle w:val="Tabletext"/>
            </w:pPr>
            <w:r w:rsidRPr="00EB38FD">
              <w:t>M</w:t>
            </w:r>
            <w:r w:rsidR="00A14764" w:rsidRPr="00EB38FD">
              <w:t>oderate emetogenic chemotherapy</w:t>
            </w:r>
            <w:r w:rsidRPr="00EB38FD">
              <w:t xml:space="preserve"> </w:t>
            </w:r>
          </w:p>
        </w:tc>
        <w:tc>
          <w:tcPr>
            <w:tcW w:w="2694" w:type="dxa"/>
            <w:vAlign w:val="center"/>
          </w:tcPr>
          <w:p w:rsidR="009C283C" w:rsidRPr="00EB38FD" w:rsidRDefault="009C283C" w:rsidP="00A14764">
            <w:pPr>
              <w:pStyle w:val="Tabletext"/>
            </w:pPr>
          </w:p>
        </w:tc>
        <w:tc>
          <w:tcPr>
            <w:tcW w:w="1984" w:type="dxa"/>
            <w:vAlign w:val="center"/>
          </w:tcPr>
          <w:p w:rsidR="009C283C" w:rsidRPr="00EB38FD" w:rsidRDefault="009C283C" w:rsidP="00A14764">
            <w:pPr>
              <w:pStyle w:val="Tabletext"/>
            </w:pPr>
          </w:p>
        </w:tc>
      </w:tr>
      <w:tr w:rsidR="009C283C" w:rsidRPr="00EB38FD" w:rsidTr="00DE0635">
        <w:tc>
          <w:tcPr>
            <w:tcW w:w="3747" w:type="dxa"/>
            <w:vAlign w:val="center"/>
          </w:tcPr>
          <w:p w:rsidR="009C283C" w:rsidRPr="00EB38FD" w:rsidRDefault="009C283C" w:rsidP="00A14764">
            <w:pPr>
              <w:pStyle w:val="Tabletext"/>
              <w:ind w:firstLine="284"/>
            </w:pPr>
            <w:r w:rsidRPr="00EB38FD">
              <w:t>No previous chem-ind nausea and vomiting</w:t>
            </w:r>
          </w:p>
        </w:tc>
        <w:tc>
          <w:tcPr>
            <w:tcW w:w="2694" w:type="dxa"/>
            <w:vAlign w:val="center"/>
          </w:tcPr>
          <w:p w:rsidR="009C283C" w:rsidRPr="00EB38FD" w:rsidRDefault="009C283C" w:rsidP="00A14764">
            <w:pPr>
              <w:pStyle w:val="Tabletext"/>
            </w:pPr>
            <w:r w:rsidRPr="00EB38FD">
              <w:t>5-HT</w:t>
            </w:r>
            <w:r w:rsidRPr="00EB38FD">
              <w:rPr>
                <w:vertAlign w:val="subscript"/>
              </w:rPr>
              <w:t xml:space="preserve">3 </w:t>
            </w:r>
            <w:r w:rsidRPr="00EB38FD">
              <w:t>RA</w:t>
            </w:r>
            <w:r w:rsidRPr="00EB38FD">
              <w:rPr>
                <w:vertAlign w:val="superscript"/>
              </w:rPr>
              <w:t>b</w:t>
            </w:r>
            <w:r w:rsidRPr="00EB38FD">
              <w:t xml:space="preserve"> + Dex</w:t>
            </w:r>
          </w:p>
        </w:tc>
        <w:tc>
          <w:tcPr>
            <w:tcW w:w="1984" w:type="dxa"/>
            <w:vAlign w:val="center"/>
          </w:tcPr>
          <w:p w:rsidR="009C283C" w:rsidRPr="00EB38FD" w:rsidRDefault="009C283C" w:rsidP="00A14764">
            <w:pPr>
              <w:pStyle w:val="Tabletext"/>
            </w:pPr>
            <w:r w:rsidRPr="00EB38FD">
              <w:t>Not requested</w:t>
            </w:r>
          </w:p>
        </w:tc>
      </w:tr>
      <w:tr w:rsidR="009C283C" w:rsidRPr="00EB38FD" w:rsidTr="00DE0635">
        <w:tc>
          <w:tcPr>
            <w:tcW w:w="3747" w:type="dxa"/>
            <w:vAlign w:val="center"/>
          </w:tcPr>
          <w:p w:rsidR="009C283C" w:rsidRPr="00EB38FD" w:rsidRDefault="009C283C" w:rsidP="00A14764">
            <w:pPr>
              <w:pStyle w:val="Tabletext"/>
              <w:ind w:firstLine="284"/>
            </w:pPr>
            <w:r w:rsidRPr="00EB38FD">
              <w:t>Previous chem-ind nausea and vomiting</w:t>
            </w:r>
          </w:p>
        </w:tc>
        <w:tc>
          <w:tcPr>
            <w:tcW w:w="2694" w:type="dxa"/>
            <w:vAlign w:val="center"/>
          </w:tcPr>
          <w:p w:rsidR="009C283C" w:rsidRPr="00EB38FD" w:rsidRDefault="009C283C" w:rsidP="00A14764">
            <w:pPr>
              <w:pStyle w:val="Tabletext"/>
            </w:pPr>
            <w:r w:rsidRPr="00EB38FD">
              <w:t>5-HT</w:t>
            </w:r>
            <w:r w:rsidRPr="00EB38FD">
              <w:rPr>
                <w:vertAlign w:val="subscript"/>
              </w:rPr>
              <w:t>3</w:t>
            </w:r>
            <w:r w:rsidRPr="00EB38FD">
              <w:t xml:space="preserve"> RA</w:t>
            </w:r>
            <w:r w:rsidRPr="00EB38FD">
              <w:rPr>
                <w:vertAlign w:val="superscript"/>
              </w:rPr>
              <w:t>b</w:t>
            </w:r>
            <w:r w:rsidRPr="00EB38FD">
              <w:t xml:space="preserve"> + Dex </w:t>
            </w:r>
          </w:p>
          <w:p w:rsidR="009C283C" w:rsidRPr="00EB38FD" w:rsidRDefault="009C283C" w:rsidP="00A14764">
            <w:pPr>
              <w:pStyle w:val="Tabletext"/>
            </w:pPr>
            <w:r w:rsidRPr="00EB38FD">
              <w:rPr>
                <w:b/>
              </w:rPr>
              <w:t>OR</w:t>
            </w:r>
            <w:r w:rsidRPr="00EB38FD">
              <w:t xml:space="preserve"> aprepitant + 5-HT</w:t>
            </w:r>
            <w:r w:rsidRPr="00EB38FD">
              <w:rPr>
                <w:vertAlign w:val="subscript"/>
              </w:rPr>
              <w:t xml:space="preserve">3 </w:t>
            </w:r>
            <w:r w:rsidRPr="00EB38FD">
              <w:t xml:space="preserve">RA </w:t>
            </w:r>
            <w:r w:rsidRPr="00EB38FD">
              <w:rPr>
                <w:vertAlign w:val="superscript"/>
              </w:rPr>
              <w:t>b</w:t>
            </w:r>
            <w:r w:rsidRPr="00EB38FD">
              <w:t xml:space="preserve"> + Dex</w:t>
            </w:r>
          </w:p>
        </w:tc>
        <w:tc>
          <w:tcPr>
            <w:tcW w:w="1984" w:type="dxa"/>
            <w:vAlign w:val="center"/>
          </w:tcPr>
          <w:p w:rsidR="009C283C" w:rsidRPr="00EB38FD" w:rsidRDefault="009C283C" w:rsidP="00A14764">
            <w:pPr>
              <w:pStyle w:val="Tabletext"/>
            </w:pPr>
            <w:r w:rsidRPr="00EB38FD">
              <w:rPr>
                <w:b/>
              </w:rPr>
              <w:t>OR</w:t>
            </w:r>
            <w:r w:rsidRPr="00EB38FD">
              <w:t xml:space="preserve"> NEPA + Dex</w:t>
            </w:r>
          </w:p>
        </w:tc>
      </w:tr>
    </w:tbl>
    <w:p w:rsidR="009C283C" w:rsidRPr="00EB38FD" w:rsidRDefault="009C283C" w:rsidP="009C283C">
      <w:pPr>
        <w:pStyle w:val="TableFooter"/>
        <w:widowControl/>
        <w:ind w:left="720"/>
      </w:pPr>
      <w:r w:rsidRPr="00EB38FD">
        <w:t xml:space="preserve">Source: Constructed </w:t>
      </w:r>
      <w:r w:rsidR="00AA2579" w:rsidRPr="00EB38FD">
        <w:t>for ESC</w:t>
      </w:r>
      <w:r w:rsidRPr="00EB38FD">
        <w:t>, using Figure</w:t>
      </w:r>
      <w:r w:rsidR="00A14764" w:rsidRPr="00EB38FD">
        <w:t>s</w:t>
      </w:r>
      <w:r w:rsidRPr="00EB38FD">
        <w:t xml:space="preserve"> 3-4, p14 of the submission</w:t>
      </w:r>
    </w:p>
    <w:p w:rsidR="009C283C" w:rsidRPr="00EB38FD" w:rsidRDefault="009C283C" w:rsidP="009C283C">
      <w:pPr>
        <w:pStyle w:val="TableFooter"/>
        <w:widowControl/>
        <w:ind w:left="720"/>
      </w:pPr>
      <w:r w:rsidRPr="00EB38FD">
        <w:t>5-HT</w:t>
      </w:r>
      <w:r w:rsidRPr="00EB38FD">
        <w:rPr>
          <w:vertAlign w:val="subscript"/>
        </w:rPr>
        <w:t>3</w:t>
      </w:r>
      <w:r w:rsidRPr="00EB38FD">
        <w:t xml:space="preserve"> RA = serotonin receptor antagonist; </w:t>
      </w:r>
      <w:r w:rsidR="00A14764" w:rsidRPr="00EB38FD">
        <w:t xml:space="preserve">AC = anthracycline plus cyclophosphamide </w:t>
      </w:r>
      <w:r w:rsidR="00E247C8" w:rsidRPr="00EB38FD">
        <w:t>regimens</w:t>
      </w:r>
      <w:r w:rsidR="00A14764" w:rsidRPr="00EB38FD">
        <w:t xml:space="preserve">; chem-ind = chemotherapy induced; Dex = dexamethasone; HEC = highly emetogenic chemotherapy; MEC = moderately emetogenic chemotherapy </w:t>
      </w:r>
      <w:r w:rsidRPr="00EB38FD">
        <w:t>NEPA = netupitant/palonosetron</w:t>
      </w:r>
      <w:r w:rsidR="002D4552" w:rsidRPr="00EB38FD">
        <w:t xml:space="preserve"> fixed dose combination</w:t>
      </w:r>
      <w:r w:rsidR="00A14764" w:rsidRPr="00EB38FD">
        <w:t>.</w:t>
      </w:r>
      <w:r w:rsidRPr="00EB38FD">
        <w:t xml:space="preserve"> </w:t>
      </w:r>
    </w:p>
    <w:p w:rsidR="009C283C" w:rsidRPr="00EB38FD" w:rsidRDefault="009C283C" w:rsidP="009C283C">
      <w:pPr>
        <w:pStyle w:val="TableFooter"/>
        <w:widowControl/>
        <w:ind w:left="720"/>
      </w:pPr>
      <w:r w:rsidRPr="00EB38FD">
        <w:rPr>
          <w:vertAlign w:val="superscript"/>
        </w:rPr>
        <w:t>a</w:t>
      </w:r>
      <w:r w:rsidRPr="00EB38FD">
        <w:t xml:space="preserve"> palonosetron is preferred 5-HT</w:t>
      </w:r>
      <w:r w:rsidRPr="00EB38FD">
        <w:rPr>
          <w:vertAlign w:val="subscript"/>
        </w:rPr>
        <w:t xml:space="preserve">3 </w:t>
      </w:r>
      <w:r w:rsidRPr="00EB38FD">
        <w:t xml:space="preserve">RA (NCCN guidelines, evidence 2B); </w:t>
      </w:r>
      <w:r w:rsidRPr="00EB38FD">
        <w:rPr>
          <w:vertAlign w:val="superscript"/>
        </w:rPr>
        <w:t>b</w:t>
      </w:r>
      <w:r w:rsidRPr="00EB38FD">
        <w:t xml:space="preserve"> palonosetron is preferred 5-HT</w:t>
      </w:r>
      <w:r w:rsidRPr="00EB38FD">
        <w:rPr>
          <w:vertAlign w:val="subscript"/>
        </w:rPr>
        <w:t xml:space="preserve">3 </w:t>
      </w:r>
      <w:r w:rsidRPr="00EB38FD">
        <w:t>RA (ASCO guidelines 2011)</w:t>
      </w:r>
    </w:p>
    <w:p w:rsidR="009C283C" w:rsidRPr="00EB38FD" w:rsidRDefault="009C283C" w:rsidP="00D77E5F">
      <w:pPr>
        <w:pStyle w:val="ListParagraph"/>
        <w:keepNext/>
        <w:widowControl/>
        <w:rPr>
          <w:szCs w:val="22"/>
        </w:rPr>
      </w:pPr>
    </w:p>
    <w:p w:rsidR="007C4441" w:rsidRPr="00EB38FD" w:rsidRDefault="001D5F9A" w:rsidP="007C4441">
      <w:pPr>
        <w:pStyle w:val="ListParagraph"/>
        <w:keepNext/>
        <w:widowControl/>
        <w:numPr>
          <w:ilvl w:val="1"/>
          <w:numId w:val="4"/>
        </w:numPr>
        <w:rPr>
          <w:szCs w:val="22"/>
        </w:rPr>
      </w:pPr>
      <w:r w:rsidRPr="00EB38FD">
        <w:rPr>
          <w:szCs w:val="22"/>
        </w:rPr>
        <w:t>Current clinical guidelines</w:t>
      </w:r>
      <w:r w:rsidR="002F65E8" w:rsidRPr="00EB38FD">
        <w:rPr>
          <w:szCs w:val="22"/>
        </w:rPr>
        <w:t xml:space="preserve"> from the American Society of Clinical Oncology</w:t>
      </w:r>
      <w:r w:rsidRPr="00EB38FD">
        <w:rPr>
          <w:szCs w:val="22"/>
        </w:rPr>
        <w:t xml:space="preserve"> </w:t>
      </w:r>
      <w:r w:rsidR="004B199E" w:rsidRPr="00EB38FD">
        <w:rPr>
          <w:szCs w:val="22"/>
        </w:rPr>
        <w:t xml:space="preserve">(ASCO, 2011) </w:t>
      </w:r>
      <w:r w:rsidRPr="00EB38FD">
        <w:rPr>
          <w:szCs w:val="22"/>
        </w:rPr>
        <w:t xml:space="preserve">recommend </w:t>
      </w:r>
      <w:r w:rsidR="0074752B" w:rsidRPr="00EB38FD">
        <w:rPr>
          <w:szCs w:val="22"/>
        </w:rPr>
        <w:t>aprepitant plus a 5-HT</w:t>
      </w:r>
      <w:r w:rsidR="0074752B" w:rsidRPr="00EB38FD">
        <w:rPr>
          <w:szCs w:val="22"/>
          <w:vertAlign w:val="subscript"/>
        </w:rPr>
        <w:t>3</w:t>
      </w:r>
      <w:r w:rsidR="0074752B" w:rsidRPr="00EB38FD">
        <w:rPr>
          <w:szCs w:val="22"/>
        </w:rPr>
        <w:t xml:space="preserve"> RA </w:t>
      </w:r>
      <w:r w:rsidRPr="00EB38FD">
        <w:rPr>
          <w:szCs w:val="22"/>
        </w:rPr>
        <w:t xml:space="preserve">for </w:t>
      </w:r>
      <w:r w:rsidR="00FC4DD6" w:rsidRPr="00EB38FD">
        <w:rPr>
          <w:szCs w:val="22"/>
        </w:rPr>
        <w:t xml:space="preserve">patients treated with highly </w:t>
      </w:r>
      <w:r w:rsidR="00E32B0A" w:rsidRPr="00EB38FD">
        <w:rPr>
          <w:szCs w:val="22"/>
        </w:rPr>
        <w:t>emetogenic</w:t>
      </w:r>
      <w:r w:rsidR="00FC4DD6" w:rsidRPr="00EB38FD">
        <w:rPr>
          <w:szCs w:val="22"/>
        </w:rPr>
        <w:t xml:space="preserve"> chemotherapy</w:t>
      </w:r>
      <w:r w:rsidR="00A35EB0" w:rsidRPr="00EB38FD">
        <w:rPr>
          <w:szCs w:val="22"/>
        </w:rPr>
        <w:t xml:space="preserve"> and a 5-HT</w:t>
      </w:r>
      <w:r w:rsidR="00A35EB0" w:rsidRPr="00EB38FD">
        <w:rPr>
          <w:szCs w:val="22"/>
          <w:vertAlign w:val="subscript"/>
        </w:rPr>
        <w:t>3</w:t>
      </w:r>
      <w:r w:rsidR="00494BE3" w:rsidRPr="00EB38FD">
        <w:rPr>
          <w:szCs w:val="22"/>
          <w:vertAlign w:val="subscript"/>
        </w:rPr>
        <w:t xml:space="preserve"> </w:t>
      </w:r>
      <w:r w:rsidR="00A35EB0" w:rsidRPr="00EB38FD">
        <w:rPr>
          <w:szCs w:val="22"/>
        </w:rPr>
        <w:t>RA for patients treated with moderately emetogenic chemotherapy</w:t>
      </w:r>
      <w:r w:rsidR="004B199E" w:rsidRPr="00EB38FD">
        <w:rPr>
          <w:szCs w:val="22"/>
        </w:rPr>
        <w:t xml:space="preserve">. </w:t>
      </w:r>
      <w:r w:rsidR="00EF2A79" w:rsidRPr="00EB38FD">
        <w:rPr>
          <w:szCs w:val="22"/>
        </w:rPr>
        <w:t>The submission considered anthracycline plus cyclophosphamide based regimens to be moderately emetogenic, however, the con</w:t>
      </w:r>
      <w:r w:rsidR="00D30470" w:rsidRPr="00EB38FD">
        <w:rPr>
          <w:szCs w:val="22"/>
        </w:rPr>
        <w:t>s</w:t>
      </w:r>
      <w:r w:rsidR="00EF2A79" w:rsidRPr="00EB38FD">
        <w:rPr>
          <w:szCs w:val="22"/>
        </w:rPr>
        <w:t xml:space="preserve">ensus guidelines from </w:t>
      </w:r>
      <w:r w:rsidR="002F65E8" w:rsidRPr="00EB38FD">
        <w:rPr>
          <w:szCs w:val="22"/>
        </w:rPr>
        <w:t>ASCO</w:t>
      </w:r>
      <w:r w:rsidR="00EF2A79" w:rsidRPr="00EB38FD">
        <w:rPr>
          <w:szCs w:val="22"/>
        </w:rPr>
        <w:t xml:space="preserve"> </w:t>
      </w:r>
      <w:r w:rsidR="00A14764" w:rsidRPr="00EB38FD">
        <w:rPr>
          <w:szCs w:val="22"/>
        </w:rPr>
        <w:t>classifie</w:t>
      </w:r>
      <w:r w:rsidR="005B6B0F">
        <w:rPr>
          <w:szCs w:val="22"/>
        </w:rPr>
        <w:t>d</w:t>
      </w:r>
      <w:r w:rsidR="00A14764" w:rsidRPr="00EB38FD">
        <w:rPr>
          <w:szCs w:val="22"/>
        </w:rPr>
        <w:t xml:space="preserve"> </w:t>
      </w:r>
      <w:r w:rsidR="00EF2A79" w:rsidRPr="00EB38FD">
        <w:rPr>
          <w:szCs w:val="22"/>
        </w:rPr>
        <w:t xml:space="preserve">combined anthracycline and </w:t>
      </w:r>
      <w:r w:rsidR="00E247C8" w:rsidRPr="00EB38FD">
        <w:rPr>
          <w:szCs w:val="22"/>
        </w:rPr>
        <w:t>cyclophosphamide</w:t>
      </w:r>
      <w:r w:rsidR="00EF2A79" w:rsidRPr="00EB38FD">
        <w:rPr>
          <w:szCs w:val="22"/>
        </w:rPr>
        <w:t xml:space="preserve"> regimens as highly emetogenic</w:t>
      </w:r>
      <w:r w:rsidR="00A14764" w:rsidRPr="00EB38FD">
        <w:rPr>
          <w:szCs w:val="22"/>
        </w:rPr>
        <w:t xml:space="preserve"> chemotherapy</w:t>
      </w:r>
      <w:r w:rsidR="007C4441" w:rsidRPr="00EB38FD">
        <w:rPr>
          <w:szCs w:val="22"/>
        </w:rPr>
        <w:t xml:space="preserve">. </w:t>
      </w:r>
    </w:p>
    <w:p w:rsidR="004B199E" w:rsidRPr="00EB38FD" w:rsidRDefault="004B199E" w:rsidP="004B199E">
      <w:pPr>
        <w:keepNext/>
        <w:widowControl/>
        <w:rPr>
          <w:szCs w:val="22"/>
        </w:rPr>
      </w:pPr>
    </w:p>
    <w:p w:rsidR="005677AF" w:rsidRPr="00EB38FD" w:rsidRDefault="00260082" w:rsidP="00260082">
      <w:pPr>
        <w:pStyle w:val="ListParagraph"/>
        <w:keepNext/>
        <w:widowControl/>
        <w:numPr>
          <w:ilvl w:val="1"/>
          <w:numId w:val="4"/>
        </w:numPr>
        <w:rPr>
          <w:szCs w:val="22"/>
        </w:rPr>
      </w:pPr>
      <w:r w:rsidRPr="00EB38FD">
        <w:rPr>
          <w:szCs w:val="22"/>
        </w:rPr>
        <w:t>The submission classified patients scheduled to receive moderately emetogenic chemotherapy with a prior episode of chemotherapy induced nausea and/or vomiting as “refractory”, which</w:t>
      </w:r>
      <w:r w:rsidRPr="00EB38FD">
        <w:t xml:space="preserve"> implies failure of, or lack of response to, other agents that have been used for chemotherapy-induced nausea and vomiting. </w:t>
      </w:r>
      <w:r w:rsidR="005677AF" w:rsidRPr="00EB38FD">
        <w:t xml:space="preserve">Although the requested listing replicates the current PBS listings for aprepitant, there remains a lack of clarity around the definition of refractory chemotherapy induced nausea and vomiting for patients receiving moderately emetogenic chemotherapy. </w:t>
      </w:r>
      <w:r w:rsidR="005677AF" w:rsidRPr="00EB38FD">
        <w:rPr>
          <w:szCs w:val="22"/>
        </w:rPr>
        <w:t xml:space="preserve">The ESC therefore considered that the clinical place of NEPA is unclear. </w:t>
      </w:r>
    </w:p>
    <w:p w:rsidR="00BE34DF" w:rsidRPr="00EB38FD" w:rsidRDefault="00BE34DF" w:rsidP="00260082">
      <w:pPr>
        <w:pStyle w:val="ListParagraph"/>
        <w:keepNext/>
        <w:widowControl/>
        <w:rPr>
          <w:szCs w:val="22"/>
        </w:rPr>
      </w:pPr>
    </w:p>
    <w:p w:rsidR="00C55F7F" w:rsidRPr="00BB7EC3" w:rsidRDefault="00C55F7F" w:rsidP="00C55F7F">
      <w:pPr>
        <w:pStyle w:val="ListParagraph"/>
        <w:ind w:left="709"/>
        <w:rPr>
          <w:i/>
          <w:szCs w:val="22"/>
        </w:rPr>
      </w:pPr>
      <w:r>
        <w:rPr>
          <w:i/>
          <w:szCs w:val="22"/>
        </w:rPr>
        <w:t>For more detail on PBAC’s view, see section 7 “PBAC outcome”</w:t>
      </w:r>
    </w:p>
    <w:p w:rsidR="00BE34DF" w:rsidRDefault="00BE34DF" w:rsidP="004A2158">
      <w:pPr>
        <w:pStyle w:val="ListParagraph"/>
        <w:widowControl/>
        <w:rPr>
          <w:szCs w:val="22"/>
        </w:rPr>
      </w:pPr>
    </w:p>
    <w:p w:rsidR="009A562E" w:rsidRPr="00882085" w:rsidRDefault="009A562E" w:rsidP="004A2158">
      <w:pPr>
        <w:pStyle w:val="ListParagraph"/>
        <w:widowControl/>
        <w:rPr>
          <w:szCs w:val="22"/>
        </w:rPr>
      </w:pPr>
    </w:p>
    <w:p w:rsidR="00BE34DF" w:rsidRPr="00407F2D" w:rsidRDefault="00BE34DF" w:rsidP="004A2158">
      <w:pPr>
        <w:pStyle w:val="Header"/>
        <w:widowControl/>
        <w:numPr>
          <w:ilvl w:val="0"/>
          <w:numId w:val="4"/>
        </w:numPr>
        <w:tabs>
          <w:tab w:val="clear" w:pos="4513"/>
          <w:tab w:val="clear" w:pos="9026"/>
        </w:tabs>
        <w:rPr>
          <w:b/>
          <w:szCs w:val="22"/>
        </w:rPr>
      </w:pPr>
      <w:r w:rsidRPr="00407F2D">
        <w:rPr>
          <w:b/>
          <w:szCs w:val="22"/>
        </w:rPr>
        <w:t>Comparator</w:t>
      </w:r>
    </w:p>
    <w:p w:rsidR="00BE34DF" w:rsidRPr="00882085" w:rsidRDefault="00BE34DF" w:rsidP="004A2158">
      <w:pPr>
        <w:widowControl/>
      </w:pPr>
    </w:p>
    <w:p w:rsidR="00526C9D" w:rsidRPr="00526C9D" w:rsidRDefault="00BE34DF" w:rsidP="004A2158">
      <w:pPr>
        <w:pStyle w:val="ListParagraph"/>
        <w:widowControl/>
        <w:numPr>
          <w:ilvl w:val="1"/>
          <w:numId w:val="4"/>
        </w:numPr>
        <w:rPr>
          <w:szCs w:val="22"/>
        </w:rPr>
      </w:pPr>
      <w:r>
        <w:t>Aprepitant plus a 5-HT</w:t>
      </w:r>
      <w:r>
        <w:rPr>
          <w:vertAlign w:val="subscript"/>
        </w:rPr>
        <w:t>3</w:t>
      </w:r>
      <w:r>
        <w:t xml:space="preserve"> </w:t>
      </w:r>
      <w:r w:rsidR="00AD2874">
        <w:t>RA</w:t>
      </w:r>
      <w:r>
        <w:t xml:space="preserve">. </w:t>
      </w:r>
      <w:r w:rsidR="00224D58">
        <w:t>The ESC considered</w:t>
      </w:r>
      <w:r w:rsidR="00224D58" w:rsidRPr="00B463EB">
        <w:t xml:space="preserve"> </w:t>
      </w:r>
      <w:r w:rsidR="00224D58">
        <w:t xml:space="preserve">this </w:t>
      </w:r>
      <w:r w:rsidR="004B199E" w:rsidRPr="00B463EB">
        <w:t>was</w:t>
      </w:r>
      <w:r w:rsidRPr="00B463EB">
        <w:t xml:space="preserve"> the appropriate comparator for patients who received highly </w:t>
      </w:r>
      <w:r w:rsidR="00E32B0A" w:rsidRPr="00B463EB">
        <w:t>emetogenic</w:t>
      </w:r>
      <w:r w:rsidRPr="00B463EB">
        <w:t xml:space="preserve"> chemotherapy</w:t>
      </w:r>
      <w:r w:rsidR="00746B79" w:rsidRPr="00B463EB">
        <w:t xml:space="preserve"> </w:t>
      </w:r>
      <w:r w:rsidR="004B199E" w:rsidRPr="00B463EB">
        <w:t>and</w:t>
      </w:r>
      <w:r w:rsidR="00746B79" w:rsidRPr="00B463EB">
        <w:t xml:space="preserve"> patients with breast cancer who received anthracycline plus cyclophosphamide </w:t>
      </w:r>
      <w:r w:rsidR="002D4552" w:rsidRPr="00B463EB">
        <w:t>treatment regimens</w:t>
      </w:r>
      <w:r w:rsidRPr="00B463EB">
        <w:t xml:space="preserve">. </w:t>
      </w:r>
    </w:p>
    <w:p w:rsidR="00526C9D" w:rsidRPr="00526C9D" w:rsidRDefault="00526C9D" w:rsidP="00526C9D">
      <w:pPr>
        <w:pStyle w:val="ListParagraph"/>
        <w:widowControl/>
        <w:rPr>
          <w:szCs w:val="22"/>
        </w:rPr>
      </w:pPr>
    </w:p>
    <w:p w:rsidR="00BE34DF" w:rsidRPr="00B463EB" w:rsidRDefault="00224D58" w:rsidP="004A2158">
      <w:pPr>
        <w:pStyle w:val="ListParagraph"/>
        <w:widowControl/>
        <w:numPr>
          <w:ilvl w:val="1"/>
          <w:numId w:val="4"/>
        </w:numPr>
        <w:rPr>
          <w:szCs w:val="22"/>
        </w:rPr>
      </w:pPr>
      <w:r w:rsidRPr="00526C9D">
        <w:t>The ESC considered t</w:t>
      </w:r>
      <w:r w:rsidR="00BE34DF" w:rsidRPr="00526C9D">
        <w:t xml:space="preserve">he appropriate comparator for patients who received moderately </w:t>
      </w:r>
      <w:r w:rsidR="00E32B0A" w:rsidRPr="00526C9D">
        <w:t>emetogenic</w:t>
      </w:r>
      <w:r w:rsidR="00BE34DF" w:rsidRPr="00526C9D">
        <w:t xml:space="preserve"> chemotherapy with prior </w:t>
      </w:r>
      <w:r w:rsidR="00746B79" w:rsidRPr="00526C9D">
        <w:t>chemotherapy induced nausea and</w:t>
      </w:r>
      <w:r w:rsidR="00422B4D" w:rsidRPr="00526C9D">
        <w:t xml:space="preserve"> </w:t>
      </w:r>
      <w:r w:rsidR="00746B79" w:rsidRPr="00526C9D">
        <w:t xml:space="preserve">or vomiting </w:t>
      </w:r>
      <w:r w:rsidR="001D5F9A" w:rsidRPr="00526C9D">
        <w:t xml:space="preserve">could be </w:t>
      </w:r>
      <w:r w:rsidR="00746B79" w:rsidRPr="00526C9D">
        <w:t>aprepitant plus a 5HT</w:t>
      </w:r>
      <w:r w:rsidR="00746B79" w:rsidRPr="00526C9D">
        <w:rPr>
          <w:vertAlign w:val="subscript"/>
        </w:rPr>
        <w:t>3</w:t>
      </w:r>
      <w:r w:rsidR="00746B79" w:rsidRPr="00526C9D">
        <w:t xml:space="preserve">-RA or </w:t>
      </w:r>
      <w:r w:rsidR="001D5F9A" w:rsidRPr="00526C9D">
        <w:t>5-HT</w:t>
      </w:r>
      <w:r w:rsidR="001D5F9A" w:rsidRPr="00526C9D">
        <w:rPr>
          <w:vertAlign w:val="subscript"/>
        </w:rPr>
        <w:t>3</w:t>
      </w:r>
      <w:r w:rsidR="001D5F9A" w:rsidRPr="00526C9D">
        <w:t xml:space="preserve"> </w:t>
      </w:r>
      <w:r w:rsidR="00AD2874" w:rsidRPr="00526C9D">
        <w:t>RA</w:t>
      </w:r>
      <w:r w:rsidR="00746B79" w:rsidRPr="00526C9D">
        <w:t xml:space="preserve"> monotherapy</w:t>
      </w:r>
      <w:r w:rsidR="00BE34DF" w:rsidRPr="00526C9D">
        <w:t>.</w:t>
      </w:r>
      <w:r w:rsidR="00526C9D">
        <w:t xml:space="preserve"> The PBAC did not agree that this was the</w:t>
      </w:r>
      <w:r w:rsidR="000419AB">
        <w:t xml:space="preserve"> only</w:t>
      </w:r>
      <w:r w:rsidR="00526C9D">
        <w:t xml:space="preserve"> appropriate comparator and instead considered that aprepitant with dexamethasone </w:t>
      </w:r>
      <w:r w:rsidR="000419AB">
        <w:t>may also be an</w:t>
      </w:r>
      <w:r w:rsidR="00526C9D">
        <w:t xml:space="preserve"> appropriate comparator in this population. </w:t>
      </w:r>
    </w:p>
    <w:p w:rsidR="00BE34DF" w:rsidRDefault="00BE34DF" w:rsidP="004A2158">
      <w:pPr>
        <w:widowControl/>
        <w:rPr>
          <w:szCs w:val="22"/>
        </w:rPr>
      </w:pPr>
    </w:p>
    <w:p w:rsidR="00C55F7F" w:rsidRPr="00BB7EC3" w:rsidRDefault="00C55F7F" w:rsidP="00C55F7F">
      <w:pPr>
        <w:pStyle w:val="ListParagraph"/>
        <w:ind w:left="709"/>
        <w:rPr>
          <w:i/>
          <w:szCs w:val="22"/>
        </w:rPr>
      </w:pPr>
      <w:r>
        <w:rPr>
          <w:i/>
          <w:szCs w:val="22"/>
        </w:rPr>
        <w:lastRenderedPageBreak/>
        <w:t>For more detail on PBAC’s view, see section 7 “PBAC outcome”</w:t>
      </w:r>
    </w:p>
    <w:p w:rsidR="009A562E" w:rsidRDefault="009A562E" w:rsidP="004A2158">
      <w:pPr>
        <w:widowControl/>
        <w:rPr>
          <w:szCs w:val="22"/>
        </w:rPr>
      </w:pPr>
    </w:p>
    <w:p w:rsidR="009A562E" w:rsidRPr="00DF5D2B" w:rsidRDefault="009A562E" w:rsidP="004A2158">
      <w:pPr>
        <w:widowControl/>
        <w:rPr>
          <w:szCs w:val="22"/>
        </w:rPr>
      </w:pPr>
    </w:p>
    <w:p w:rsidR="00BE34DF" w:rsidRDefault="00BE34DF" w:rsidP="004A2158">
      <w:pPr>
        <w:pStyle w:val="PBACHeading1"/>
      </w:pPr>
      <w:bookmarkStart w:id="7" w:name="_Toc409535757"/>
      <w:r>
        <w:t>C</w:t>
      </w:r>
      <w:r w:rsidRPr="00407F2D">
        <w:t>onsideration of the evidence</w:t>
      </w:r>
      <w:bookmarkEnd w:id="7"/>
    </w:p>
    <w:p w:rsidR="005677AF" w:rsidRPr="00407F2D" w:rsidRDefault="005677AF" w:rsidP="005677AF">
      <w:pPr>
        <w:pStyle w:val="PBACHeading1"/>
        <w:numPr>
          <w:ilvl w:val="0"/>
          <w:numId w:val="0"/>
        </w:numPr>
        <w:ind w:left="720"/>
      </w:pPr>
    </w:p>
    <w:p w:rsidR="00C55F7F" w:rsidRPr="001C33BF" w:rsidRDefault="00C55F7F" w:rsidP="001C33BF">
      <w:pPr>
        <w:pStyle w:val="Heading2"/>
      </w:pPr>
      <w:r w:rsidRPr="001C33BF">
        <w:t>Sponsor hearing</w:t>
      </w:r>
    </w:p>
    <w:p w:rsidR="00C55F7F" w:rsidRPr="00882085" w:rsidRDefault="00C55F7F" w:rsidP="00C55F7F">
      <w:pPr>
        <w:ind w:left="709"/>
        <w:rPr>
          <w:b/>
          <w:szCs w:val="22"/>
        </w:rPr>
      </w:pPr>
    </w:p>
    <w:p w:rsidR="00C55F7F" w:rsidRDefault="00C55F7F" w:rsidP="0056795C">
      <w:pPr>
        <w:pStyle w:val="ListParagraph"/>
        <w:widowControl/>
        <w:numPr>
          <w:ilvl w:val="1"/>
          <w:numId w:val="4"/>
        </w:numPr>
        <w:rPr>
          <w:szCs w:val="22"/>
        </w:rPr>
      </w:pPr>
      <w:r>
        <w:rPr>
          <w:szCs w:val="22"/>
        </w:rPr>
        <w:t>There was no hearing for this item.</w:t>
      </w:r>
    </w:p>
    <w:p w:rsidR="00C55F7F" w:rsidRDefault="00C55F7F" w:rsidP="00C55F7F">
      <w:pPr>
        <w:pStyle w:val="ListParagraph"/>
        <w:ind w:left="709"/>
        <w:rPr>
          <w:szCs w:val="22"/>
        </w:rPr>
      </w:pPr>
    </w:p>
    <w:p w:rsidR="009A562E" w:rsidRPr="00EC185B" w:rsidRDefault="00C55F7F" w:rsidP="001C33BF">
      <w:pPr>
        <w:pStyle w:val="Heading2"/>
      </w:pPr>
      <w:r w:rsidRPr="00EC185B">
        <w:t>Consumer comments</w:t>
      </w:r>
    </w:p>
    <w:p w:rsidR="00C55F7F" w:rsidRPr="00BB7EC3" w:rsidRDefault="00C55F7F" w:rsidP="009A562E"/>
    <w:p w:rsidR="00C55F7F" w:rsidRPr="00BB7EC3" w:rsidRDefault="00C55F7F" w:rsidP="00C55F7F">
      <w:pPr>
        <w:pStyle w:val="ListParagraph"/>
        <w:widowControl/>
        <w:numPr>
          <w:ilvl w:val="1"/>
          <w:numId w:val="4"/>
        </w:numPr>
        <w:rPr>
          <w:szCs w:val="22"/>
        </w:rPr>
      </w:pPr>
      <w:r>
        <w:rPr>
          <w:szCs w:val="22"/>
        </w:rPr>
        <w:t>The PBAC noted that no consumer comments were received for this item.</w:t>
      </w:r>
    </w:p>
    <w:p w:rsidR="00BE34DF" w:rsidRPr="00882085" w:rsidRDefault="00BE34DF" w:rsidP="004A2158">
      <w:pPr>
        <w:widowControl/>
      </w:pPr>
    </w:p>
    <w:p w:rsidR="00BE34DF" w:rsidRPr="00EC185B" w:rsidRDefault="00BE34DF" w:rsidP="001C33BF">
      <w:pPr>
        <w:pStyle w:val="Heading2"/>
      </w:pPr>
      <w:bookmarkStart w:id="8" w:name="_Toc409535758"/>
      <w:r w:rsidRPr="00EC185B">
        <w:t>Clinical trials</w:t>
      </w:r>
      <w:bookmarkEnd w:id="8"/>
    </w:p>
    <w:p w:rsidR="00BE34DF" w:rsidRPr="00882085" w:rsidRDefault="00BE34DF" w:rsidP="004A2158">
      <w:pPr>
        <w:widowControl/>
        <w:rPr>
          <w:szCs w:val="22"/>
        </w:rPr>
      </w:pPr>
    </w:p>
    <w:p w:rsidR="00BE34DF" w:rsidRPr="00E21C18" w:rsidRDefault="00BE34DF" w:rsidP="004A2158">
      <w:pPr>
        <w:pStyle w:val="ListParagraph"/>
        <w:widowControl/>
        <w:numPr>
          <w:ilvl w:val="1"/>
          <w:numId w:val="4"/>
        </w:numPr>
        <w:rPr>
          <w:szCs w:val="22"/>
        </w:rPr>
      </w:pPr>
      <w:r w:rsidRPr="00862502">
        <w:t xml:space="preserve">The submission </w:t>
      </w:r>
      <w:r>
        <w:t>was</w:t>
      </w:r>
      <w:r w:rsidRPr="00862502">
        <w:t xml:space="preserve"> based on </w:t>
      </w:r>
      <w:r>
        <w:t>two</w:t>
      </w:r>
      <w:r w:rsidRPr="00862502">
        <w:t xml:space="preserve"> head-to-head trial</w:t>
      </w:r>
      <w:r w:rsidR="00C07917">
        <w:t>s in</w:t>
      </w:r>
      <w:r>
        <w:t xml:space="preserve"> chemotherapy naïve populations:</w:t>
      </w:r>
    </w:p>
    <w:p w:rsidR="00BE34DF" w:rsidRDefault="00BE34DF" w:rsidP="004A2158">
      <w:pPr>
        <w:pStyle w:val="ListParagraph"/>
        <w:widowControl/>
        <w:numPr>
          <w:ilvl w:val="0"/>
          <w:numId w:val="19"/>
        </w:numPr>
        <w:rPr>
          <w:szCs w:val="22"/>
        </w:rPr>
      </w:pPr>
      <w:r>
        <w:rPr>
          <w:szCs w:val="22"/>
        </w:rPr>
        <w:t xml:space="preserve">NETU-07-07 compared </w:t>
      </w:r>
      <w:r w:rsidR="00746B79">
        <w:rPr>
          <w:szCs w:val="22"/>
        </w:rPr>
        <w:t>oral netupitant (3 different doses) plus oral palonosetron</w:t>
      </w:r>
      <w:r w:rsidR="009A3618">
        <w:rPr>
          <w:szCs w:val="22"/>
        </w:rPr>
        <w:t>,</w:t>
      </w:r>
      <w:r w:rsidR="00746B79">
        <w:rPr>
          <w:szCs w:val="22"/>
        </w:rPr>
        <w:t xml:space="preserve"> provided as two capsules</w:t>
      </w:r>
      <w:r w:rsidR="009A3618">
        <w:rPr>
          <w:szCs w:val="22"/>
        </w:rPr>
        <w:t>,</w:t>
      </w:r>
      <w:r w:rsidR="00746B79">
        <w:rPr>
          <w:szCs w:val="22"/>
        </w:rPr>
        <w:t xml:space="preserve"> </w:t>
      </w:r>
      <w:r>
        <w:rPr>
          <w:szCs w:val="22"/>
        </w:rPr>
        <w:t>to aprepitant plus a 5-HT</w:t>
      </w:r>
      <w:r>
        <w:rPr>
          <w:szCs w:val="22"/>
          <w:vertAlign w:val="subscript"/>
        </w:rPr>
        <w:t>3</w:t>
      </w:r>
      <w:r>
        <w:rPr>
          <w:szCs w:val="22"/>
        </w:rPr>
        <w:t xml:space="preserve"> </w:t>
      </w:r>
      <w:r w:rsidR="00AD2874">
        <w:rPr>
          <w:szCs w:val="22"/>
        </w:rPr>
        <w:t>RA</w:t>
      </w:r>
      <w:r w:rsidR="002D4552">
        <w:rPr>
          <w:szCs w:val="22"/>
        </w:rPr>
        <w:t xml:space="preserve"> </w:t>
      </w:r>
      <w:r w:rsidR="002D4552" w:rsidRPr="00EB38FD">
        <w:rPr>
          <w:szCs w:val="22"/>
        </w:rPr>
        <w:t>(</w:t>
      </w:r>
      <w:r w:rsidR="00B463EB" w:rsidRPr="00EB38FD">
        <w:rPr>
          <w:szCs w:val="22"/>
        </w:rPr>
        <w:t>IV</w:t>
      </w:r>
      <w:r w:rsidR="002D4552" w:rsidRPr="00EB38FD">
        <w:rPr>
          <w:szCs w:val="22"/>
        </w:rPr>
        <w:t xml:space="preserve"> ondansetron)</w:t>
      </w:r>
      <w:r>
        <w:rPr>
          <w:szCs w:val="22"/>
        </w:rPr>
        <w:t xml:space="preserve"> for patients who received highly </w:t>
      </w:r>
      <w:r w:rsidR="00E32B0A">
        <w:rPr>
          <w:szCs w:val="22"/>
        </w:rPr>
        <w:t>emetogenic</w:t>
      </w:r>
      <w:r>
        <w:rPr>
          <w:szCs w:val="22"/>
        </w:rPr>
        <w:t xml:space="preserve"> </w:t>
      </w:r>
      <w:r w:rsidR="004F3FAE" w:rsidRPr="00EB38FD">
        <w:rPr>
          <w:szCs w:val="22"/>
        </w:rPr>
        <w:t>cisplatin-based</w:t>
      </w:r>
      <w:r w:rsidR="004F3FAE">
        <w:rPr>
          <w:szCs w:val="22"/>
        </w:rPr>
        <w:t xml:space="preserve"> </w:t>
      </w:r>
      <w:r>
        <w:rPr>
          <w:szCs w:val="22"/>
        </w:rPr>
        <w:t>chemotherapy</w:t>
      </w:r>
      <w:r w:rsidR="00C61826">
        <w:rPr>
          <w:szCs w:val="22"/>
        </w:rPr>
        <w:t>; and</w:t>
      </w:r>
    </w:p>
    <w:p w:rsidR="00BE34DF" w:rsidRDefault="00BE34DF" w:rsidP="004A2158">
      <w:pPr>
        <w:pStyle w:val="ListParagraph"/>
        <w:widowControl/>
        <w:numPr>
          <w:ilvl w:val="0"/>
          <w:numId w:val="19"/>
        </w:numPr>
        <w:rPr>
          <w:szCs w:val="22"/>
        </w:rPr>
      </w:pPr>
      <w:r>
        <w:rPr>
          <w:szCs w:val="22"/>
        </w:rPr>
        <w:t xml:space="preserve">NETU-10-29 compared fixed dose </w:t>
      </w:r>
      <w:r w:rsidR="00AD2874">
        <w:rPr>
          <w:szCs w:val="22"/>
        </w:rPr>
        <w:t>NEPA</w:t>
      </w:r>
      <w:r>
        <w:rPr>
          <w:szCs w:val="22"/>
        </w:rPr>
        <w:t xml:space="preserve"> to aprepitant plus a 5-HT</w:t>
      </w:r>
      <w:r>
        <w:rPr>
          <w:szCs w:val="22"/>
          <w:vertAlign w:val="subscript"/>
        </w:rPr>
        <w:t>3</w:t>
      </w:r>
      <w:r>
        <w:rPr>
          <w:szCs w:val="22"/>
        </w:rPr>
        <w:t xml:space="preserve"> </w:t>
      </w:r>
      <w:r w:rsidR="00AD2874" w:rsidRPr="00EB38FD">
        <w:rPr>
          <w:szCs w:val="22"/>
        </w:rPr>
        <w:t>RA</w:t>
      </w:r>
      <w:r w:rsidR="002D4552" w:rsidRPr="00EB38FD">
        <w:rPr>
          <w:szCs w:val="22"/>
        </w:rPr>
        <w:t xml:space="preserve"> (oral palonosetron)</w:t>
      </w:r>
      <w:r w:rsidRPr="00EB38FD">
        <w:rPr>
          <w:szCs w:val="22"/>
        </w:rPr>
        <w:t xml:space="preserve"> </w:t>
      </w:r>
      <w:r>
        <w:rPr>
          <w:szCs w:val="22"/>
        </w:rPr>
        <w:t xml:space="preserve">for patients who received highly </w:t>
      </w:r>
      <w:r w:rsidR="001D5F9A">
        <w:rPr>
          <w:szCs w:val="22"/>
        </w:rPr>
        <w:t xml:space="preserve">or </w:t>
      </w:r>
      <w:r>
        <w:rPr>
          <w:szCs w:val="22"/>
        </w:rPr>
        <w:t xml:space="preserve">moderately </w:t>
      </w:r>
      <w:r w:rsidR="00E32B0A">
        <w:rPr>
          <w:szCs w:val="22"/>
        </w:rPr>
        <w:t>emetogenic</w:t>
      </w:r>
      <w:r>
        <w:rPr>
          <w:szCs w:val="22"/>
        </w:rPr>
        <w:t xml:space="preserve"> chemotherapy</w:t>
      </w:r>
      <w:r w:rsidR="00C61826">
        <w:rPr>
          <w:szCs w:val="22"/>
        </w:rPr>
        <w:t>.</w:t>
      </w:r>
    </w:p>
    <w:p w:rsidR="00C55F7F" w:rsidRDefault="00C55F7F" w:rsidP="00C55F7F">
      <w:pPr>
        <w:pStyle w:val="ListParagraph"/>
        <w:widowControl/>
        <w:ind w:left="1080"/>
        <w:rPr>
          <w:szCs w:val="22"/>
        </w:rPr>
      </w:pPr>
    </w:p>
    <w:p w:rsidR="00BE34DF" w:rsidRPr="00EB38FD" w:rsidRDefault="00BE34DF" w:rsidP="00FD7D3E">
      <w:pPr>
        <w:pStyle w:val="ListParagraph"/>
        <w:widowControl/>
        <w:numPr>
          <w:ilvl w:val="1"/>
          <w:numId w:val="4"/>
        </w:numPr>
        <w:rPr>
          <w:szCs w:val="22"/>
        </w:rPr>
      </w:pPr>
      <w:r w:rsidRPr="00EB38FD">
        <w:rPr>
          <w:szCs w:val="22"/>
        </w:rPr>
        <w:t xml:space="preserve">The submission included an indirect comparison for </w:t>
      </w:r>
      <w:r w:rsidR="00C07917" w:rsidRPr="00EB38FD">
        <w:rPr>
          <w:szCs w:val="22"/>
        </w:rPr>
        <w:t xml:space="preserve">breast cancer </w:t>
      </w:r>
      <w:r w:rsidRPr="00EB38FD">
        <w:rPr>
          <w:szCs w:val="22"/>
        </w:rPr>
        <w:t>patients who received anthracycline</w:t>
      </w:r>
      <w:r w:rsidR="00746B79" w:rsidRPr="00EB38FD">
        <w:rPr>
          <w:szCs w:val="22"/>
        </w:rPr>
        <w:t xml:space="preserve"> plus cyclophosphamide</w:t>
      </w:r>
      <w:r w:rsidR="002D4552" w:rsidRPr="00EB38FD">
        <w:rPr>
          <w:szCs w:val="22"/>
        </w:rPr>
        <w:t xml:space="preserve"> treatment regimens</w:t>
      </w:r>
      <w:r w:rsidRPr="00EB38FD">
        <w:rPr>
          <w:szCs w:val="22"/>
        </w:rPr>
        <w:t>.</w:t>
      </w:r>
      <w:r w:rsidR="00746B79" w:rsidRPr="00EB38FD">
        <w:rPr>
          <w:szCs w:val="22"/>
        </w:rPr>
        <w:t xml:space="preserve"> The NEPA trial (NETU-08-18) included patients with solid malignant tumours</w:t>
      </w:r>
      <w:r w:rsidR="004F3FAE" w:rsidRPr="00EB38FD">
        <w:rPr>
          <w:szCs w:val="22"/>
        </w:rPr>
        <w:t xml:space="preserve"> (&gt;97% breast cancer)</w:t>
      </w:r>
      <w:r w:rsidR="00746B79" w:rsidRPr="00EB38FD">
        <w:rPr>
          <w:szCs w:val="22"/>
        </w:rPr>
        <w:t xml:space="preserve">, while the aprepitant plus </w:t>
      </w:r>
      <w:r w:rsidR="00746B79" w:rsidRPr="00EB38FD">
        <w:t>5HT</w:t>
      </w:r>
      <w:r w:rsidR="00746B79" w:rsidRPr="00EB38FD">
        <w:rPr>
          <w:vertAlign w:val="subscript"/>
        </w:rPr>
        <w:t>3</w:t>
      </w:r>
      <w:r w:rsidR="00746B79" w:rsidRPr="00EB38FD">
        <w:t xml:space="preserve">-RA trial (Trial 071) included </w:t>
      </w:r>
      <w:r w:rsidR="00AA5D6D" w:rsidRPr="00EB38FD">
        <w:t xml:space="preserve">only </w:t>
      </w:r>
      <w:r w:rsidR="00746B79" w:rsidRPr="00EB38FD">
        <w:t xml:space="preserve">patients with breast cancer. </w:t>
      </w:r>
    </w:p>
    <w:p w:rsidR="00BE34DF" w:rsidRPr="00862502" w:rsidRDefault="00BE34DF" w:rsidP="004A2158">
      <w:pPr>
        <w:widowControl/>
        <w:rPr>
          <w:szCs w:val="22"/>
        </w:rPr>
      </w:pPr>
    </w:p>
    <w:p w:rsidR="00BE34DF" w:rsidRDefault="00BE34DF" w:rsidP="004A2158">
      <w:pPr>
        <w:pStyle w:val="ListParagraph"/>
        <w:widowControl/>
        <w:numPr>
          <w:ilvl w:val="1"/>
          <w:numId w:val="4"/>
        </w:numPr>
        <w:rPr>
          <w:szCs w:val="22"/>
        </w:rPr>
      </w:pPr>
      <w:r w:rsidRPr="00B50DB8">
        <w:rPr>
          <w:szCs w:val="22"/>
        </w:rPr>
        <w:t>Details of the trials presented in the submission</w:t>
      </w:r>
      <w:r>
        <w:rPr>
          <w:szCs w:val="22"/>
        </w:rPr>
        <w:t xml:space="preserve"> </w:t>
      </w:r>
      <w:r w:rsidR="002F65E8">
        <w:rPr>
          <w:szCs w:val="22"/>
        </w:rPr>
        <w:t xml:space="preserve">are </w:t>
      </w:r>
      <w:r>
        <w:rPr>
          <w:szCs w:val="22"/>
        </w:rPr>
        <w:t xml:space="preserve">provided in </w:t>
      </w:r>
      <w:r w:rsidR="0089749B">
        <w:rPr>
          <w:szCs w:val="22"/>
        </w:rPr>
        <w:t>the table below</w:t>
      </w:r>
      <w:r w:rsidRPr="00B50DB8">
        <w:rPr>
          <w:szCs w:val="22"/>
        </w:rPr>
        <w:t>.</w:t>
      </w:r>
    </w:p>
    <w:p w:rsidR="0089749B" w:rsidRPr="0089749B" w:rsidRDefault="0089749B" w:rsidP="0089749B">
      <w:pPr>
        <w:pStyle w:val="ListParagraph"/>
        <w:rPr>
          <w:szCs w:val="22"/>
        </w:rPr>
      </w:pPr>
    </w:p>
    <w:p w:rsidR="00BE34DF" w:rsidRDefault="00BE34DF" w:rsidP="004A2158">
      <w:pPr>
        <w:keepNext/>
        <w:widowControl/>
        <w:ind w:left="720"/>
        <w:rPr>
          <w:rStyle w:val="CommentReference"/>
        </w:rPr>
      </w:pPr>
      <w:r w:rsidRPr="000812CA">
        <w:rPr>
          <w:rStyle w:val="CommentReference"/>
        </w:rPr>
        <w:lastRenderedPageBreak/>
        <w:t>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and associated reports presented in the submission"/>
      </w:tblPr>
      <w:tblGrid>
        <w:gridCol w:w="628"/>
        <w:gridCol w:w="6303"/>
        <w:gridCol w:w="1414"/>
      </w:tblGrid>
      <w:tr w:rsidR="001D5F9A" w:rsidRPr="004E2ADC" w:rsidTr="00C91930">
        <w:trPr>
          <w:cantSplit/>
          <w:trHeight w:val="20"/>
          <w:tblHeader/>
        </w:trPr>
        <w:tc>
          <w:tcPr>
            <w:tcW w:w="0" w:type="auto"/>
          </w:tcPr>
          <w:p w:rsidR="001D5F9A" w:rsidRPr="004E2ADC" w:rsidRDefault="001D5F9A" w:rsidP="004A2158">
            <w:pPr>
              <w:keepNext/>
              <w:widowControl/>
              <w:jc w:val="left"/>
              <w:rPr>
                <w:rFonts w:ascii="Arial Narrow" w:hAnsi="Arial Narrow"/>
                <w:b/>
                <w:sz w:val="20"/>
              </w:rPr>
            </w:pPr>
            <w:r w:rsidRPr="004E2ADC">
              <w:rPr>
                <w:rFonts w:ascii="Arial Narrow" w:hAnsi="Arial Narrow"/>
                <w:b/>
                <w:sz w:val="20"/>
              </w:rPr>
              <w:t>Trial ID</w:t>
            </w:r>
          </w:p>
        </w:tc>
        <w:tc>
          <w:tcPr>
            <w:tcW w:w="0" w:type="auto"/>
          </w:tcPr>
          <w:p w:rsidR="001D5F9A" w:rsidRPr="004E2ADC" w:rsidRDefault="001D5F9A" w:rsidP="004A2158">
            <w:pPr>
              <w:keepNext/>
              <w:widowControl/>
              <w:jc w:val="center"/>
              <w:rPr>
                <w:rFonts w:ascii="Arial Narrow" w:hAnsi="Arial Narrow"/>
                <w:b/>
                <w:sz w:val="20"/>
              </w:rPr>
            </w:pPr>
            <w:r w:rsidRPr="004E2ADC">
              <w:rPr>
                <w:rFonts w:ascii="Arial Narrow" w:hAnsi="Arial Narrow"/>
                <w:b/>
                <w:sz w:val="20"/>
              </w:rPr>
              <w:t>Protocol title/ Publication title</w:t>
            </w:r>
          </w:p>
        </w:tc>
        <w:tc>
          <w:tcPr>
            <w:tcW w:w="0" w:type="auto"/>
          </w:tcPr>
          <w:p w:rsidR="001D5F9A" w:rsidRPr="004E2ADC" w:rsidRDefault="001D5F9A" w:rsidP="004A2158">
            <w:pPr>
              <w:keepNext/>
              <w:widowControl/>
              <w:jc w:val="center"/>
              <w:rPr>
                <w:rFonts w:ascii="Arial Narrow" w:hAnsi="Arial Narrow"/>
                <w:b/>
                <w:sz w:val="20"/>
              </w:rPr>
            </w:pPr>
            <w:r w:rsidRPr="004E2ADC">
              <w:rPr>
                <w:rFonts w:ascii="Arial Narrow" w:hAnsi="Arial Narrow"/>
                <w:b/>
                <w:sz w:val="20"/>
              </w:rPr>
              <w:t>Publication citation</w:t>
            </w:r>
          </w:p>
        </w:tc>
      </w:tr>
      <w:tr w:rsidR="001D5F9A" w:rsidRPr="004E2ADC" w:rsidTr="00C91930">
        <w:trPr>
          <w:cantSplit/>
          <w:trHeight w:val="20"/>
        </w:trPr>
        <w:tc>
          <w:tcPr>
            <w:tcW w:w="0" w:type="auto"/>
            <w:gridSpan w:val="3"/>
          </w:tcPr>
          <w:p w:rsidR="001D5F9A" w:rsidRPr="004E2ADC" w:rsidRDefault="001D5F9A" w:rsidP="004A2158">
            <w:pPr>
              <w:keepNext/>
              <w:widowControl/>
              <w:jc w:val="left"/>
              <w:rPr>
                <w:rFonts w:ascii="Arial Narrow" w:hAnsi="Arial Narrow"/>
                <w:b/>
                <w:sz w:val="20"/>
              </w:rPr>
            </w:pPr>
            <w:r>
              <w:rPr>
                <w:rFonts w:ascii="Arial Narrow" w:hAnsi="Arial Narrow"/>
                <w:b/>
                <w:sz w:val="20"/>
              </w:rPr>
              <w:t>Direct randomised trials</w:t>
            </w:r>
          </w:p>
        </w:tc>
      </w:tr>
      <w:tr w:rsidR="001D5F9A" w:rsidRPr="004E2ADC" w:rsidTr="00C91930">
        <w:trPr>
          <w:cantSplit/>
          <w:trHeight w:val="20"/>
        </w:trPr>
        <w:tc>
          <w:tcPr>
            <w:tcW w:w="0" w:type="auto"/>
          </w:tcPr>
          <w:p w:rsidR="001D5F9A" w:rsidRPr="004E2ADC" w:rsidRDefault="001D5F9A" w:rsidP="004A2158">
            <w:pPr>
              <w:keepNext/>
              <w:widowControl/>
              <w:jc w:val="left"/>
              <w:rPr>
                <w:rFonts w:ascii="Arial Narrow" w:hAnsi="Arial Narrow"/>
                <w:sz w:val="20"/>
              </w:rPr>
            </w:pPr>
            <w:r w:rsidRPr="00780EEF">
              <w:rPr>
                <w:rFonts w:ascii="Arial Narrow" w:hAnsi="Arial Narrow"/>
                <w:sz w:val="20"/>
              </w:rPr>
              <w:t>NETU-07-07</w:t>
            </w:r>
          </w:p>
        </w:tc>
        <w:tc>
          <w:tcPr>
            <w:tcW w:w="0" w:type="auto"/>
          </w:tcPr>
          <w:p w:rsidR="001D5F9A" w:rsidRDefault="001D5F9A" w:rsidP="004A2158">
            <w:pPr>
              <w:keepNext/>
              <w:widowControl/>
              <w:jc w:val="left"/>
              <w:rPr>
                <w:rFonts w:ascii="Arial Narrow" w:hAnsi="Arial Narrow"/>
                <w:sz w:val="20"/>
              </w:rPr>
            </w:pPr>
            <w:r w:rsidRPr="00780EEF">
              <w:rPr>
                <w:rFonts w:ascii="Arial Narrow" w:hAnsi="Arial Narrow"/>
                <w:sz w:val="20"/>
              </w:rPr>
              <w:t xml:space="preserve">Helsinn Healthcare SA. A Randomized, Double-Blind, Parallel Group, Dose-Ranging, Multicenter Study Assessing the Effect of Different Doses of Netupitant or Placebo Administered with Palonosetron and Dexamethasone on the Prevention of Highly </w:t>
            </w:r>
            <w:r w:rsidR="002D5ABD">
              <w:rPr>
                <w:rFonts w:ascii="Arial Narrow" w:hAnsi="Arial Narrow"/>
                <w:sz w:val="20"/>
              </w:rPr>
              <w:t>Emetic</w:t>
            </w:r>
            <w:r w:rsidRPr="00780EEF">
              <w:rPr>
                <w:rFonts w:ascii="Arial Narrow" w:hAnsi="Arial Narrow"/>
                <w:sz w:val="20"/>
              </w:rPr>
              <w:t xml:space="preserve"> Chemotherapy-Induced Nausea and vomiting in Cancer Patients. </w:t>
            </w:r>
          </w:p>
          <w:p w:rsidR="001D5F9A" w:rsidRDefault="001D5F9A" w:rsidP="004A2158">
            <w:pPr>
              <w:keepNext/>
              <w:widowControl/>
              <w:jc w:val="left"/>
              <w:rPr>
                <w:rFonts w:ascii="Arial Narrow" w:hAnsi="Arial Narrow"/>
                <w:sz w:val="20"/>
              </w:rPr>
            </w:pPr>
          </w:p>
          <w:p w:rsidR="001D5F9A" w:rsidRPr="00744CED" w:rsidRDefault="001D5F9A" w:rsidP="004A2158">
            <w:pPr>
              <w:keepNext/>
              <w:widowControl/>
              <w:jc w:val="left"/>
              <w:rPr>
                <w:rFonts w:ascii="Arial Narrow" w:hAnsi="Arial Narrow"/>
                <w:sz w:val="20"/>
              </w:rPr>
            </w:pPr>
            <w:r w:rsidRPr="00780EEF">
              <w:rPr>
                <w:rFonts w:ascii="Arial Narrow" w:hAnsi="Arial Narrow"/>
                <w:sz w:val="20"/>
              </w:rPr>
              <w:t>Heske</w:t>
            </w:r>
            <w:r>
              <w:rPr>
                <w:rFonts w:ascii="Arial Narrow" w:hAnsi="Arial Narrow"/>
                <w:sz w:val="20"/>
              </w:rPr>
              <w:t>th PJ, Rossi G, Rizzi G</w:t>
            </w:r>
            <w:r w:rsidR="00AB1A68">
              <w:rPr>
                <w:rFonts w:ascii="Arial Narrow" w:hAnsi="Arial Narrow"/>
                <w:sz w:val="20"/>
              </w:rPr>
              <w:t>,</w:t>
            </w:r>
            <w:r>
              <w:rPr>
                <w:rFonts w:ascii="Arial Narrow" w:hAnsi="Arial Narrow"/>
                <w:sz w:val="20"/>
              </w:rPr>
              <w:t xml:space="preserve"> et al</w:t>
            </w:r>
            <w:r w:rsidRPr="00780EEF">
              <w:rPr>
                <w:rFonts w:ascii="Arial Narrow" w:hAnsi="Arial Narrow"/>
                <w:sz w:val="20"/>
              </w:rPr>
              <w:t xml:space="preserve">. Efficacy and safety of NEPA, an oral combination of netupitant and palonosetron, for prevention of chemotherapy-induced nausea and vomiting following highly </w:t>
            </w:r>
            <w:r w:rsidR="002D5ABD">
              <w:rPr>
                <w:rFonts w:ascii="Arial Narrow" w:hAnsi="Arial Narrow"/>
                <w:sz w:val="20"/>
              </w:rPr>
              <w:t>emetic</w:t>
            </w:r>
            <w:r w:rsidRPr="00780EEF">
              <w:rPr>
                <w:rFonts w:ascii="Arial Narrow" w:hAnsi="Arial Narrow"/>
                <w:sz w:val="20"/>
              </w:rPr>
              <w:t xml:space="preserve"> chemotherapy: a randomized dose-ranging pivotal study.</w:t>
            </w:r>
          </w:p>
        </w:tc>
        <w:tc>
          <w:tcPr>
            <w:tcW w:w="0" w:type="auto"/>
          </w:tcPr>
          <w:p w:rsidR="001D5F9A" w:rsidRPr="004E2ADC" w:rsidRDefault="001D5F9A" w:rsidP="004A2158">
            <w:pPr>
              <w:keepNext/>
              <w:widowControl/>
              <w:jc w:val="left"/>
              <w:rPr>
                <w:rFonts w:ascii="Arial Narrow" w:hAnsi="Arial Narrow"/>
                <w:sz w:val="20"/>
              </w:rPr>
            </w:pPr>
            <w:r>
              <w:rPr>
                <w:rFonts w:ascii="Arial Narrow" w:hAnsi="Arial Narrow"/>
                <w:sz w:val="20"/>
              </w:rPr>
              <w:t>Clinical Study Report. 16 February 2010</w:t>
            </w:r>
          </w:p>
          <w:p w:rsidR="001D5F9A" w:rsidRDefault="001D5F9A" w:rsidP="004A2158">
            <w:pPr>
              <w:keepNext/>
              <w:widowControl/>
              <w:jc w:val="left"/>
              <w:rPr>
                <w:rFonts w:ascii="Arial Narrow" w:hAnsi="Arial Narrow"/>
                <w:b/>
                <w:sz w:val="20"/>
              </w:rPr>
            </w:pPr>
          </w:p>
          <w:p w:rsidR="001D5F9A" w:rsidRDefault="001D5F9A" w:rsidP="004A2158">
            <w:pPr>
              <w:keepNext/>
              <w:widowControl/>
              <w:jc w:val="left"/>
              <w:rPr>
                <w:rFonts w:ascii="Arial Narrow" w:hAnsi="Arial Narrow"/>
                <w:b/>
                <w:sz w:val="20"/>
              </w:rPr>
            </w:pPr>
          </w:p>
          <w:p w:rsidR="001D5F9A" w:rsidRPr="00B93739" w:rsidRDefault="001D5F9A" w:rsidP="004A2158">
            <w:pPr>
              <w:keepNext/>
              <w:widowControl/>
              <w:jc w:val="left"/>
              <w:rPr>
                <w:rFonts w:ascii="Arial Narrow" w:hAnsi="Arial Narrow"/>
                <w:sz w:val="20"/>
              </w:rPr>
            </w:pPr>
            <w:r w:rsidRPr="00780EEF">
              <w:rPr>
                <w:rFonts w:ascii="Arial Narrow" w:hAnsi="Arial Narrow"/>
                <w:sz w:val="20"/>
              </w:rPr>
              <w:t>Ann Oncol 2014; 25(7):1340-1346</w:t>
            </w:r>
            <w:r>
              <w:rPr>
                <w:rFonts w:ascii="Arial Narrow" w:hAnsi="Arial Narrow"/>
                <w:sz w:val="20"/>
              </w:rPr>
              <w:t>.</w:t>
            </w:r>
          </w:p>
        </w:tc>
      </w:tr>
      <w:tr w:rsidR="001D5F9A" w:rsidRPr="004E2ADC" w:rsidTr="00C91930">
        <w:trPr>
          <w:cantSplit/>
          <w:trHeight w:val="20"/>
        </w:trPr>
        <w:tc>
          <w:tcPr>
            <w:tcW w:w="0" w:type="auto"/>
          </w:tcPr>
          <w:p w:rsidR="001D5F9A" w:rsidRPr="004E2ADC" w:rsidRDefault="001D5F9A" w:rsidP="004A2158">
            <w:pPr>
              <w:keepNext/>
              <w:widowControl/>
              <w:jc w:val="left"/>
              <w:rPr>
                <w:rFonts w:ascii="Arial Narrow" w:hAnsi="Arial Narrow"/>
                <w:sz w:val="20"/>
              </w:rPr>
            </w:pPr>
            <w:r>
              <w:rPr>
                <w:rFonts w:ascii="Arial Narrow" w:hAnsi="Arial Narrow"/>
                <w:sz w:val="20"/>
              </w:rPr>
              <w:t>NETU-10-29</w:t>
            </w:r>
          </w:p>
        </w:tc>
        <w:tc>
          <w:tcPr>
            <w:tcW w:w="0" w:type="auto"/>
          </w:tcPr>
          <w:p w:rsidR="001D5F9A" w:rsidRDefault="001D5F9A" w:rsidP="004A2158">
            <w:pPr>
              <w:pStyle w:val="Tabletext"/>
              <w:keepNext/>
            </w:pPr>
            <w:r w:rsidRPr="00565FFC">
              <w:t>Helsinn Healthcare SA. A phase III, multi</w:t>
            </w:r>
            <w:r>
              <w:t>centre</w:t>
            </w:r>
            <w:r w:rsidRPr="00565FFC">
              <w:t xml:space="preserve">, randomized, double-blind, unbalanced (3:1) active control study to assess the safety and describe the efficacy of netupitant and palonosetron for the prevention of chemotherapy-induced nausea and vomiting in repeated chemotherapy cycles. </w:t>
            </w:r>
          </w:p>
          <w:p w:rsidR="001D5F9A" w:rsidRDefault="001D5F9A" w:rsidP="004A2158">
            <w:pPr>
              <w:pStyle w:val="Tabletext"/>
              <w:keepNext/>
            </w:pPr>
          </w:p>
          <w:p w:rsidR="001D5F9A" w:rsidRDefault="001D5F9A" w:rsidP="004A2158">
            <w:pPr>
              <w:pStyle w:val="Tabletext"/>
              <w:keepNext/>
            </w:pPr>
            <w:r w:rsidRPr="00565FFC">
              <w:t>Gralla RJ, Bosnjak SM, Hont</w:t>
            </w:r>
            <w:r>
              <w:t>sa A</w:t>
            </w:r>
            <w:r w:rsidR="00AB1A68">
              <w:t>,</w:t>
            </w:r>
            <w:r w:rsidRPr="00565FFC">
              <w:t xml:space="preserve"> et al. A phase III study evaluating the safety and efficacy of NEPA, a fixed-dose combination of netupitant and palonosetron, for prevention of chemotherapy-induced nausea and vomiting over repeated cycles of chemotherapy. </w:t>
            </w:r>
          </w:p>
          <w:p w:rsidR="00287B9A" w:rsidRPr="004E2ADC" w:rsidRDefault="00287B9A" w:rsidP="004A2158">
            <w:pPr>
              <w:pStyle w:val="Tabletext"/>
              <w:keepNext/>
            </w:pPr>
          </w:p>
        </w:tc>
        <w:tc>
          <w:tcPr>
            <w:tcW w:w="0" w:type="auto"/>
          </w:tcPr>
          <w:p w:rsidR="001D5F9A" w:rsidRPr="004E2ADC" w:rsidRDefault="001D5F9A" w:rsidP="004A2158">
            <w:pPr>
              <w:pStyle w:val="Tabletext"/>
              <w:keepNext/>
            </w:pPr>
            <w:r>
              <w:t>Clinical Study Report. 5 June 2013</w:t>
            </w:r>
          </w:p>
          <w:p w:rsidR="001D5F9A" w:rsidRDefault="001D5F9A" w:rsidP="004A2158">
            <w:pPr>
              <w:keepNext/>
              <w:widowControl/>
              <w:jc w:val="left"/>
              <w:rPr>
                <w:rFonts w:ascii="Arial Narrow" w:hAnsi="Arial Narrow"/>
                <w:b/>
                <w:sz w:val="20"/>
              </w:rPr>
            </w:pPr>
          </w:p>
          <w:p w:rsidR="001D5F9A" w:rsidRDefault="001D5F9A" w:rsidP="004A2158">
            <w:pPr>
              <w:pStyle w:val="Tabletext"/>
              <w:keepNext/>
              <w:rPr>
                <w:rFonts w:cs="Arial"/>
                <w:b/>
                <w:snapToGrid w:val="0"/>
              </w:rPr>
            </w:pPr>
          </w:p>
          <w:p w:rsidR="001D5F9A" w:rsidRPr="004E2ADC" w:rsidRDefault="001D5F9A" w:rsidP="004A2158">
            <w:pPr>
              <w:pStyle w:val="Tabletext"/>
              <w:keepNext/>
            </w:pPr>
            <w:r w:rsidRPr="00565FFC">
              <w:t>Ann Oncol 2014; 25(7):1333-1339.</w:t>
            </w:r>
          </w:p>
        </w:tc>
      </w:tr>
      <w:tr w:rsidR="001D5F9A" w:rsidRPr="004E2ADC" w:rsidTr="0080509D">
        <w:trPr>
          <w:cantSplit/>
          <w:trHeight w:val="20"/>
        </w:trPr>
        <w:tc>
          <w:tcPr>
            <w:tcW w:w="0" w:type="auto"/>
            <w:gridSpan w:val="3"/>
          </w:tcPr>
          <w:p w:rsidR="001D5F9A" w:rsidRPr="00C91930" w:rsidDel="001D5F9A" w:rsidRDefault="001D5F9A" w:rsidP="004A2158">
            <w:pPr>
              <w:pStyle w:val="Tabletext"/>
              <w:keepNext/>
              <w:rPr>
                <w:b/>
              </w:rPr>
            </w:pPr>
            <w:r w:rsidRPr="00C91930">
              <w:rPr>
                <w:b/>
              </w:rPr>
              <w:t xml:space="preserve">Trials included for the indirect comparison </w:t>
            </w:r>
          </w:p>
        </w:tc>
      </w:tr>
      <w:tr w:rsidR="001D5F9A" w:rsidRPr="004E2ADC" w:rsidTr="00C91930">
        <w:trPr>
          <w:cantSplit/>
          <w:trHeight w:val="20"/>
        </w:trPr>
        <w:tc>
          <w:tcPr>
            <w:tcW w:w="0" w:type="auto"/>
          </w:tcPr>
          <w:p w:rsidR="001D5F9A" w:rsidRPr="004E2ADC" w:rsidRDefault="001D5F9A" w:rsidP="004A2158">
            <w:pPr>
              <w:pStyle w:val="TableText0"/>
            </w:pPr>
            <w:r w:rsidRPr="00B40A82">
              <w:t>NETU-08-18</w:t>
            </w:r>
          </w:p>
        </w:tc>
        <w:tc>
          <w:tcPr>
            <w:tcW w:w="0" w:type="auto"/>
          </w:tcPr>
          <w:p w:rsidR="001D5F9A" w:rsidRDefault="001D5F9A" w:rsidP="004A2158">
            <w:pPr>
              <w:pStyle w:val="Tabletext"/>
              <w:keepNext/>
            </w:pPr>
            <w:r w:rsidRPr="00565FFC">
              <w:t>Helsinn Healthcare SA. A phase III multi</w:t>
            </w:r>
            <w:r>
              <w:t>centre</w:t>
            </w:r>
            <w:r w:rsidRPr="00565FFC">
              <w:t xml:space="preserve">, randomized, double-blind, double-dummy, active-controlled, parallel group study of the efficacy and safety of oral netupitant administered in combination with palonosetron and dexamethasone compared to oral palonosetron and dexamethasone for the prevention of nausea and vomiting in cancer patients receiving moderately </w:t>
            </w:r>
            <w:r w:rsidR="002D5ABD">
              <w:t>emetic</w:t>
            </w:r>
            <w:r w:rsidRPr="00565FFC">
              <w:t xml:space="preserve"> chemotherapy. </w:t>
            </w:r>
          </w:p>
          <w:p w:rsidR="001D5F9A" w:rsidRDefault="001D5F9A" w:rsidP="004A2158">
            <w:pPr>
              <w:pStyle w:val="Tabletext"/>
              <w:keepNext/>
            </w:pPr>
          </w:p>
          <w:p w:rsidR="001D5F9A" w:rsidRPr="004E2ADC" w:rsidRDefault="001D5F9A" w:rsidP="004A2158">
            <w:pPr>
              <w:pStyle w:val="Tabletext"/>
              <w:keepNext/>
            </w:pPr>
            <w:r>
              <w:t>Aapro M, Rugo H, Rossi G</w:t>
            </w:r>
            <w:r w:rsidR="00AB1A68">
              <w:t>,</w:t>
            </w:r>
            <w:r w:rsidRPr="00744CED">
              <w:t xml:space="preserve"> et al. A randomized phase III study evaluating the efficacy and safety of NEPA, a fixed-dose combination of netupitant and palonosetron, for prevention of chemotherapy-induced nausea and vomiting following moderately </w:t>
            </w:r>
            <w:r w:rsidR="002D5ABD">
              <w:t>emetic</w:t>
            </w:r>
            <w:r w:rsidRPr="00744CED">
              <w:t xml:space="preserve"> chemotherapy. </w:t>
            </w:r>
          </w:p>
        </w:tc>
        <w:tc>
          <w:tcPr>
            <w:tcW w:w="0" w:type="auto"/>
          </w:tcPr>
          <w:p w:rsidR="001D5F9A" w:rsidRDefault="001D5F9A" w:rsidP="004A2158">
            <w:pPr>
              <w:pStyle w:val="Tabletext"/>
              <w:keepNext/>
            </w:pPr>
            <w:r>
              <w:t>Clinical Study Report. 12 June 2013</w:t>
            </w:r>
          </w:p>
          <w:p w:rsidR="001D5F9A" w:rsidRDefault="001D5F9A" w:rsidP="004A2158">
            <w:pPr>
              <w:pStyle w:val="Tabletext"/>
              <w:keepNext/>
            </w:pPr>
          </w:p>
          <w:p w:rsidR="001D5F9A" w:rsidRDefault="001D5F9A" w:rsidP="004A2158">
            <w:pPr>
              <w:pStyle w:val="Tabletext"/>
              <w:keepNext/>
            </w:pPr>
          </w:p>
          <w:p w:rsidR="001D5F9A" w:rsidRDefault="001D5F9A" w:rsidP="004A2158">
            <w:pPr>
              <w:pStyle w:val="Tabletext"/>
              <w:keepNext/>
            </w:pPr>
          </w:p>
          <w:p w:rsidR="001D5F9A" w:rsidRPr="00744CED" w:rsidRDefault="001D5F9A" w:rsidP="004A2158">
            <w:pPr>
              <w:pStyle w:val="Tabletext"/>
              <w:keepNext/>
            </w:pPr>
            <w:r w:rsidRPr="00744CED">
              <w:t>Ann Oncol 2014; 25(7):1328-1333.</w:t>
            </w:r>
          </w:p>
        </w:tc>
      </w:tr>
      <w:tr w:rsidR="001D5F9A" w:rsidRPr="004E2ADC" w:rsidTr="00C91930">
        <w:trPr>
          <w:cantSplit/>
          <w:trHeight w:val="20"/>
        </w:trPr>
        <w:tc>
          <w:tcPr>
            <w:tcW w:w="0" w:type="auto"/>
          </w:tcPr>
          <w:p w:rsidR="001D5F9A" w:rsidRPr="004E2ADC" w:rsidRDefault="001D5F9A" w:rsidP="004A2158">
            <w:pPr>
              <w:keepNext/>
              <w:widowControl/>
              <w:jc w:val="left"/>
              <w:rPr>
                <w:rFonts w:ascii="Arial Narrow" w:hAnsi="Arial Narrow"/>
                <w:sz w:val="20"/>
              </w:rPr>
            </w:pPr>
            <w:r>
              <w:rPr>
                <w:rFonts w:ascii="Arial Narrow" w:hAnsi="Arial Narrow"/>
                <w:sz w:val="20"/>
              </w:rPr>
              <w:t>071</w:t>
            </w:r>
          </w:p>
        </w:tc>
        <w:tc>
          <w:tcPr>
            <w:tcW w:w="0" w:type="auto"/>
          </w:tcPr>
          <w:p w:rsidR="001D5F9A" w:rsidRPr="004E2ADC" w:rsidRDefault="001D5F9A" w:rsidP="004A2158">
            <w:pPr>
              <w:pStyle w:val="Tabletext"/>
              <w:keepNext/>
            </w:pPr>
            <w:r w:rsidRPr="00744CED">
              <w:t>Wa</w:t>
            </w:r>
            <w:r>
              <w:t>rr DG, Hesketh PJ, Gralla RJ</w:t>
            </w:r>
            <w:r w:rsidR="00AB1A68">
              <w:t>,</w:t>
            </w:r>
            <w:r w:rsidRPr="00744CED">
              <w:t xml:space="preserve"> et al. Efficacy and tolerability of aprepitant for the prevention of chemotherapy-induced nausea and vomiting in patients with breast cancer after moderately </w:t>
            </w:r>
            <w:r w:rsidR="002D5ABD">
              <w:t>emetic</w:t>
            </w:r>
            <w:r w:rsidRPr="00744CED">
              <w:t xml:space="preserve"> chemotherapy.[Erratum appears in J</w:t>
            </w:r>
            <w:r w:rsidR="002C0624">
              <w:t>ournal</w:t>
            </w:r>
            <w:r w:rsidRPr="00744CED">
              <w:t xml:space="preserve"> Clin</w:t>
            </w:r>
            <w:r w:rsidR="002C0624">
              <w:t>ical</w:t>
            </w:r>
            <w:r w:rsidRPr="00744CED">
              <w:t xml:space="preserve"> Oncol</w:t>
            </w:r>
            <w:r w:rsidR="002C0624">
              <w:t>ogy</w:t>
            </w:r>
            <w:r w:rsidRPr="00744CED">
              <w:t xml:space="preserve">. 2005 Aug 20;23(24):5851 Note: Dosage error in published abstract; MEDLINE/PubMed abstract corrected].  </w:t>
            </w:r>
          </w:p>
        </w:tc>
        <w:tc>
          <w:tcPr>
            <w:tcW w:w="0" w:type="auto"/>
          </w:tcPr>
          <w:p w:rsidR="001D5F9A" w:rsidRPr="004E2ADC" w:rsidRDefault="001D5F9A" w:rsidP="004A2158">
            <w:pPr>
              <w:pStyle w:val="Tabletext"/>
              <w:keepNext/>
            </w:pPr>
            <w:r w:rsidRPr="00744CED">
              <w:t xml:space="preserve">J </w:t>
            </w:r>
            <w:r w:rsidR="00BC7E7A">
              <w:t>C</w:t>
            </w:r>
            <w:r w:rsidRPr="00744CED">
              <w:t xml:space="preserve">lin </w:t>
            </w:r>
            <w:r w:rsidR="00BC7E7A">
              <w:t>O</w:t>
            </w:r>
            <w:r w:rsidRPr="00744CED">
              <w:t>ncol 2005; 23(12):2822-2830.</w:t>
            </w:r>
          </w:p>
        </w:tc>
      </w:tr>
      <w:tr w:rsidR="001D5F9A" w:rsidRPr="004E2ADC" w:rsidTr="00C91930">
        <w:trPr>
          <w:cantSplit/>
          <w:trHeight w:val="20"/>
        </w:trPr>
        <w:tc>
          <w:tcPr>
            <w:tcW w:w="0" w:type="auto"/>
          </w:tcPr>
          <w:p w:rsidR="001D5F9A" w:rsidRDefault="00EE38FD" w:rsidP="004A2158">
            <w:pPr>
              <w:keepNext/>
              <w:widowControl/>
              <w:jc w:val="left"/>
              <w:rPr>
                <w:rFonts w:ascii="Arial Narrow" w:hAnsi="Arial Narrow"/>
                <w:sz w:val="20"/>
              </w:rPr>
            </w:pPr>
            <w:r>
              <w:rPr>
                <w:rFonts w:ascii="Arial Narrow" w:hAnsi="Arial Narrow"/>
                <w:sz w:val="20"/>
              </w:rPr>
              <w:t>Yeo (2009)</w:t>
            </w:r>
          </w:p>
        </w:tc>
        <w:tc>
          <w:tcPr>
            <w:tcW w:w="0" w:type="auto"/>
          </w:tcPr>
          <w:p w:rsidR="001D5F9A" w:rsidRPr="00744CED" w:rsidRDefault="001D5F9A" w:rsidP="004A2158">
            <w:pPr>
              <w:pStyle w:val="Tabletext"/>
              <w:keepNext/>
            </w:pPr>
            <w:r w:rsidRPr="00744CED">
              <w:t>Yeo W, Mo FK, Suen</w:t>
            </w:r>
            <w:r>
              <w:t xml:space="preserve"> JJ</w:t>
            </w:r>
            <w:r w:rsidR="00AB1A68">
              <w:t>,</w:t>
            </w:r>
            <w:r>
              <w:t xml:space="preserve"> et al</w:t>
            </w:r>
            <w:r w:rsidRPr="00744CED">
              <w:t xml:space="preserve">. A randomized study of aprepitant, ondansetron and dexamethasone for chemotherapy-induced nausea and vomiting in Chinese breast cancer patients receiving moderately </w:t>
            </w:r>
            <w:r w:rsidR="002D5ABD">
              <w:t>emetic</w:t>
            </w:r>
            <w:r w:rsidRPr="00744CED">
              <w:t xml:space="preserve"> chemotherapy. </w:t>
            </w:r>
          </w:p>
        </w:tc>
        <w:tc>
          <w:tcPr>
            <w:tcW w:w="0" w:type="auto"/>
          </w:tcPr>
          <w:p w:rsidR="001D5F9A" w:rsidRPr="00744CED" w:rsidRDefault="001D5F9A" w:rsidP="004A2158">
            <w:pPr>
              <w:pStyle w:val="Tabletext"/>
              <w:keepNext/>
            </w:pPr>
            <w:r w:rsidRPr="00744CED">
              <w:t>Breast Cancer ResTreat</w:t>
            </w:r>
            <w:r w:rsidR="00BC7E7A">
              <w:t xml:space="preserve"> </w:t>
            </w:r>
            <w:r w:rsidRPr="00744CED">
              <w:t>2009; 113(3):529-535.</w:t>
            </w:r>
          </w:p>
        </w:tc>
      </w:tr>
    </w:tbl>
    <w:p w:rsidR="00BE34DF" w:rsidRDefault="00BE34DF" w:rsidP="004A2158">
      <w:pPr>
        <w:pStyle w:val="TableFooter"/>
        <w:keepNext/>
        <w:widowControl/>
      </w:pPr>
      <w:r>
        <w:rPr>
          <w:szCs w:val="22"/>
        </w:rPr>
        <w:tab/>
      </w:r>
      <w:r>
        <w:t xml:space="preserve">Source: Table 7, pp30-33 </w:t>
      </w:r>
      <w:r w:rsidRPr="00D13A3E">
        <w:t>of the submissio</w:t>
      </w:r>
      <w:r>
        <w:t>n</w:t>
      </w:r>
    </w:p>
    <w:p w:rsidR="00DF77D1" w:rsidRPr="00D13A3E" w:rsidRDefault="00DF77D1" w:rsidP="004A2158">
      <w:pPr>
        <w:pStyle w:val="TableFooter"/>
        <w:widowControl/>
      </w:pPr>
      <w:r>
        <w:tab/>
        <w:t>NEPA = netupitant/palonosetron</w:t>
      </w:r>
    </w:p>
    <w:p w:rsidR="00BE34DF" w:rsidRDefault="00BE34DF" w:rsidP="004A2158">
      <w:pPr>
        <w:widowControl/>
        <w:rPr>
          <w:szCs w:val="22"/>
        </w:rPr>
      </w:pPr>
    </w:p>
    <w:p w:rsidR="00BE34DF" w:rsidRPr="00EB38FD" w:rsidRDefault="00BE34DF" w:rsidP="00FD7D3E">
      <w:pPr>
        <w:pStyle w:val="ListParagraph"/>
        <w:widowControl/>
        <w:numPr>
          <w:ilvl w:val="1"/>
          <w:numId w:val="4"/>
        </w:numPr>
      </w:pPr>
      <w:r w:rsidRPr="00FD7D3E">
        <w:t xml:space="preserve">In the commentary, data from Yeo (2009) </w:t>
      </w:r>
      <w:r w:rsidR="00EE38FD" w:rsidRPr="00FD7D3E">
        <w:t>we</w:t>
      </w:r>
      <w:r w:rsidRPr="00FD7D3E">
        <w:t>re not presented</w:t>
      </w:r>
      <w:r w:rsidR="009A3618" w:rsidRPr="00FD7D3E">
        <w:t>,</w:t>
      </w:r>
      <w:r w:rsidR="0074752B" w:rsidRPr="00FD7D3E">
        <w:t xml:space="preserve"> because</w:t>
      </w:r>
      <w:r w:rsidR="00EE38FD" w:rsidRPr="00FD7D3E">
        <w:t xml:space="preserve"> </w:t>
      </w:r>
      <w:r w:rsidR="004F3FAE" w:rsidRPr="00FD7D3E">
        <w:t xml:space="preserve">most </w:t>
      </w:r>
      <w:r w:rsidR="00EE38FD" w:rsidRPr="00FD7D3E">
        <w:t>of the patients in Yeo (2009)</w:t>
      </w:r>
      <w:r w:rsidR="004F3FAE" w:rsidRPr="00FD7D3E">
        <w:t xml:space="preserve"> were also included in Trial 071</w:t>
      </w:r>
      <w:r w:rsidRPr="00FD7D3E">
        <w:t>.</w:t>
      </w:r>
      <w:r w:rsidR="004F3FAE" w:rsidRPr="00FD7D3E">
        <w:t xml:space="preserve"> </w:t>
      </w:r>
      <w:r w:rsidR="004F3FAE" w:rsidRPr="00EB38FD">
        <w:t>Th</w:t>
      </w:r>
      <w:r w:rsidR="00FD7D3E" w:rsidRPr="00EB38FD">
        <w:t>e ESC considered this</w:t>
      </w:r>
      <w:r w:rsidR="004F3FAE" w:rsidRPr="00EB38FD">
        <w:t xml:space="preserve"> was appropriate</w:t>
      </w:r>
      <w:r w:rsidR="004A1E3E" w:rsidRPr="00EB38FD">
        <w:t>.</w:t>
      </w:r>
    </w:p>
    <w:p w:rsidR="00BE34DF" w:rsidRPr="008F120A" w:rsidRDefault="00BE34DF" w:rsidP="004A2158">
      <w:pPr>
        <w:widowControl/>
        <w:ind w:left="720"/>
        <w:rPr>
          <w:szCs w:val="22"/>
        </w:rPr>
      </w:pPr>
    </w:p>
    <w:p w:rsidR="00BE34DF" w:rsidRPr="002576E1" w:rsidRDefault="00BE34DF" w:rsidP="004A2158">
      <w:pPr>
        <w:pStyle w:val="ListParagraph"/>
        <w:widowControl/>
        <w:numPr>
          <w:ilvl w:val="1"/>
          <w:numId w:val="4"/>
        </w:numPr>
        <w:rPr>
          <w:szCs w:val="22"/>
        </w:rPr>
      </w:pPr>
      <w:r w:rsidRPr="002576E1">
        <w:rPr>
          <w:szCs w:val="22"/>
        </w:rPr>
        <w:t xml:space="preserve">The key features of the direct randomised trials </w:t>
      </w:r>
      <w:r w:rsidR="00BC7E7A">
        <w:rPr>
          <w:szCs w:val="22"/>
        </w:rPr>
        <w:t>ar</w:t>
      </w:r>
      <w:r w:rsidRPr="002576E1">
        <w:rPr>
          <w:szCs w:val="22"/>
        </w:rPr>
        <w:t xml:space="preserve">e summarised in </w:t>
      </w:r>
      <w:r w:rsidR="0089749B">
        <w:rPr>
          <w:szCs w:val="22"/>
        </w:rPr>
        <w:t>the table below</w:t>
      </w:r>
      <w:r w:rsidRPr="002576E1">
        <w:rPr>
          <w:szCs w:val="22"/>
        </w:rPr>
        <w:t>.</w:t>
      </w:r>
    </w:p>
    <w:p w:rsidR="00BE34DF" w:rsidRDefault="00BE34DF" w:rsidP="004A2158">
      <w:pPr>
        <w:widowControl/>
        <w:rPr>
          <w:szCs w:val="22"/>
        </w:rPr>
      </w:pPr>
    </w:p>
    <w:p w:rsidR="00BE34DF" w:rsidRPr="00E2771E" w:rsidRDefault="00BE34DF" w:rsidP="004A2158">
      <w:pPr>
        <w:keepNext/>
        <w:widowControl/>
        <w:ind w:firstLine="720"/>
        <w:rPr>
          <w:rStyle w:val="CommentReference"/>
        </w:rPr>
      </w:pPr>
      <w:r w:rsidRPr="00E2771E">
        <w:rPr>
          <w:rStyle w:val="CommentReference"/>
        </w:rPr>
        <w:lastRenderedPageBreak/>
        <w:t>Key features of the included evidence</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from the direct randomised trials"/>
      </w:tblPr>
      <w:tblGrid>
        <w:gridCol w:w="1133"/>
        <w:gridCol w:w="709"/>
        <w:gridCol w:w="1843"/>
        <w:gridCol w:w="708"/>
        <w:gridCol w:w="1561"/>
        <w:gridCol w:w="2409"/>
      </w:tblGrid>
      <w:tr w:rsidR="00EE38FD" w:rsidRPr="00E2771E" w:rsidTr="00C91930">
        <w:trPr>
          <w:cantSplit/>
        </w:trPr>
        <w:tc>
          <w:tcPr>
            <w:tcW w:w="678" w:type="pct"/>
            <w:shd w:val="clear" w:color="auto" w:fill="auto"/>
            <w:vAlign w:val="center"/>
          </w:tcPr>
          <w:p w:rsidR="00BE34DF" w:rsidRPr="00E2771E" w:rsidRDefault="00BE34DF" w:rsidP="004A2158">
            <w:pPr>
              <w:keepNext/>
              <w:widowControl/>
              <w:jc w:val="left"/>
              <w:rPr>
                <w:rFonts w:ascii="Arial Narrow" w:hAnsi="Arial Narrow"/>
                <w:b/>
                <w:sz w:val="20"/>
                <w:lang w:val="en-US"/>
              </w:rPr>
            </w:pPr>
            <w:r w:rsidRPr="00E2771E">
              <w:rPr>
                <w:rFonts w:ascii="Arial Narrow" w:hAnsi="Arial Narrow"/>
                <w:b/>
                <w:sz w:val="20"/>
                <w:lang w:val="en-US"/>
              </w:rPr>
              <w:t>Trial</w:t>
            </w:r>
          </w:p>
        </w:tc>
        <w:tc>
          <w:tcPr>
            <w:tcW w:w="424" w:type="pct"/>
            <w:shd w:val="clear" w:color="auto" w:fill="auto"/>
            <w:vAlign w:val="center"/>
          </w:tcPr>
          <w:p w:rsidR="00BE34DF" w:rsidRPr="00E2771E" w:rsidRDefault="00BE34DF" w:rsidP="004A2158">
            <w:pPr>
              <w:keepNext/>
              <w:widowControl/>
              <w:jc w:val="center"/>
              <w:rPr>
                <w:rFonts w:ascii="Arial Narrow" w:hAnsi="Arial Narrow"/>
                <w:b/>
                <w:sz w:val="20"/>
                <w:lang w:val="en-US"/>
              </w:rPr>
            </w:pPr>
            <w:r w:rsidRPr="00E2771E">
              <w:rPr>
                <w:rFonts w:ascii="Arial Narrow" w:hAnsi="Arial Narrow"/>
                <w:b/>
                <w:sz w:val="20"/>
                <w:lang w:val="en-US"/>
              </w:rPr>
              <w:t>N</w:t>
            </w:r>
          </w:p>
        </w:tc>
        <w:tc>
          <w:tcPr>
            <w:tcW w:w="1102" w:type="pct"/>
            <w:shd w:val="clear" w:color="auto" w:fill="auto"/>
            <w:vAlign w:val="center"/>
          </w:tcPr>
          <w:p w:rsidR="00BE34DF" w:rsidRPr="00E2771E" w:rsidRDefault="00BE34DF" w:rsidP="004A2158">
            <w:pPr>
              <w:keepNext/>
              <w:widowControl/>
              <w:jc w:val="center"/>
              <w:rPr>
                <w:rFonts w:ascii="Arial Narrow" w:hAnsi="Arial Narrow"/>
                <w:b/>
                <w:sz w:val="20"/>
                <w:lang w:val="en-US"/>
              </w:rPr>
            </w:pPr>
            <w:r w:rsidRPr="00E2771E">
              <w:rPr>
                <w:rFonts w:ascii="Arial Narrow" w:hAnsi="Arial Narrow"/>
                <w:b/>
                <w:sz w:val="20"/>
                <w:lang w:val="en-US"/>
              </w:rPr>
              <w:t>Design/ duration</w:t>
            </w:r>
          </w:p>
        </w:tc>
        <w:tc>
          <w:tcPr>
            <w:tcW w:w="423" w:type="pct"/>
            <w:shd w:val="clear" w:color="auto" w:fill="auto"/>
            <w:vAlign w:val="center"/>
          </w:tcPr>
          <w:p w:rsidR="00BE34DF" w:rsidRPr="00E2771E" w:rsidRDefault="00BE34DF" w:rsidP="004A2158">
            <w:pPr>
              <w:keepNext/>
              <w:widowControl/>
              <w:jc w:val="center"/>
              <w:rPr>
                <w:rFonts w:ascii="Arial Narrow" w:hAnsi="Arial Narrow"/>
                <w:b/>
                <w:sz w:val="20"/>
                <w:lang w:val="en-US"/>
              </w:rPr>
            </w:pPr>
            <w:r w:rsidRPr="00E2771E">
              <w:rPr>
                <w:rFonts w:ascii="Arial Narrow" w:hAnsi="Arial Narrow"/>
                <w:b/>
                <w:sz w:val="20"/>
                <w:lang w:val="en-US"/>
              </w:rPr>
              <w:t>Risk of bias</w:t>
            </w:r>
          </w:p>
        </w:tc>
        <w:tc>
          <w:tcPr>
            <w:tcW w:w="933" w:type="pct"/>
            <w:shd w:val="clear" w:color="auto" w:fill="auto"/>
            <w:vAlign w:val="center"/>
          </w:tcPr>
          <w:p w:rsidR="00BE34DF" w:rsidRPr="00E2771E" w:rsidRDefault="00BE34DF" w:rsidP="004A2158">
            <w:pPr>
              <w:keepNext/>
              <w:widowControl/>
              <w:jc w:val="center"/>
              <w:rPr>
                <w:rFonts w:ascii="Arial Narrow" w:hAnsi="Arial Narrow"/>
                <w:b/>
                <w:sz w:val="20"/>
                <w:lang w:val="en-US"/>
              </w:rPr>
            </w:pPr>
            <w:r w:rsidRPr="00E2771E">
              <w:rPr>
                <w:rFonts w:ascii="Arial Narrow" w:hAnsi="Arial Narrow"/>
                <w:b/>
                <w:sz w:val="20"/>
                <w:lang w:val="en-US"/>
              </w:rPr>
              <w:t>Patient population</w:t>
            </w:r>
          </w:p>
        </w:tc>
        <w:tc>
          <w:tcPr>
            <w:tcW w:w="1440" w:type="pct"/>
            <w:shd w:val="clear" w:color="auto" w:fill="auto"/>
            <w:vAlign w:val="center"/>
          </w:tcPr>
          <w:p w:rsidR="00BE34DF" w:rsidRPr="00E2771E" w:rsidRDefault="00EE38FD" w:rsidP="004A2158">
            <w:pPr>
              <w:keepNext/>
              <w:widowControl/>
              <w:jc w:val="center"/>
              <w:rPr>
                <w:rFonts w:ascii="Arial Narrow" w:hAnsi="Arial Narrow"/>
                <w:b/>
                <w:sz w:val="20"/>
                <w:lang w:val="en-US"/>
              </w:rPr>
            </w:pPr>
            <w:r>
              <w:rPr>
                <w:rFonts w:ascii="Arial Narrow" w:hAnsi="Arial Narrow"/>
                <w:b/>
                <w:sz w:val="20"/>
                <w:lang w:val="en-US"/>
              </w:rPr>
              <w:t>Key o</w:t>
            </w:r>
            <w:r w:rsidR="00BE34DF">
              <w:rPr>
                <w:rFonts w:ascii="Arial Narrow" w:hAnsi="Arial Narrow"/>
                <w:b/>
                <w:sz w:val="20"/>
                <w:lang w:val="en-US"/>
              </w:rPr>
              <w:t>utcomes</w:t>
            </w:r>
          </w:p>
        </w:tc>
      </w:tr>
      <w:tr w:rsidR="00BE34DF" w:rsidRPr="00E2771E" w:rsidTr="00C91930">
        <w:trPr>
          <w:cantSplit/>
        </w:trPr>
        <w:tc>
          <w:tcPr>
            <w:tcW w:w="5000" w:type="pct"/>
            <w:gridSpan w:val="6"/>
            <w:shd w:val="clear" w:color="auto" w:fill="auto"/>
            <w:vAlign w:val="center"/>
          </w:tcPr>
          <w:p w:rsidR="00BE34DF" w:rsidRDefault="00AD2874" w:rsidP="004A2158">
            <w:pPr>
              <w:keepNext/>
              <w:widowControl/>
              <w:jc w:val="left"/>
              <w:rPr>
                <w:rFonts w:ascii="Arial Narrow" w:hAnsi="Arial Narrow"/>
                <w:sz w:val="20"/>
                <w:lang w:val="en-US"/>
              </w:rPr>
            </w:pPr>
            <w:r>
              <w:rPr>
                <w:rFonts w:ascii="Arial Narrow" w:hAnsi="Arial Narrow"/>
                <w:b/>
                <w:sz w:val="20"/>
                <w:lang w:val="en-US"/>
              </w:rPr>
              <w:t>NEPA</w:t>
            </w:r>
            <w:r w:rsidR="00BE34DF">
              <w:rPr>
                <w:rFonts w:ascii="Arial Narrow" w:hAnsi="Arial Narrow"/>
                <w:b/>
                <w:sz w:val="20"/>
                <w:lang w:val="en-US"/>
              </w:rPr>
              <w:t xml:space="preserve"> vs</w:t>
            </w:r>
            <w:r>
              <w:rPr>
                <w:rFonts w:ascii="Arial Narrow" w:hAnsi="Arial Narrow"/>
                <w:b/>
                <w:sz w:val="20"/>
                <w:lang w:val="en-US"/>
              </w:rPr>
              <w:t>.</w:t>
            </w:r>
            <w:r w:rsidR="00BE34DF">
              <w:rPr>
                <w:rFonts w:ascii="Arial Narrow" w:hAnsi="Arial Narrow"/>
                <w:b/>
                <w:sz w:val="20"/>
                <w:lang w:val="en-US"/>
              </w:rPr>
              <w:t xml:space="preserve"> aprepitant plus 5-HT</w:t>
            </w:r>
            <w:r w:rsidR="00BE34DF">
              <w:rPr>
                <w:rFonts w:ascii="Arial Narrow" w:hAnsi="Arial Narrow"/>
                <w:b/>
                <w:sz w:val="20"/>
                <w:vertAlign w:val="subscript"/>
                <w:lang w:val="en-US"/>
              </w:rPr>
              <w:t>3</w:t>
            </w:r>
            <w:r w:rsidR="00BE34DF">
              <w:rPr>
                <w:rFonts w:ascii="Arial Narrow" w:hAnsi="Arial Narrow"/>
                <w:b/>
                <w:sz w:val="20"/>
                <w:lang w:val="en-US"/>
              </w:rPr>
              <w:t xml:space="preserve"> </w:t>
            </w:r>
            <w:r>
              <w:rPr>
                <w:rFonts w:ascii="Arial Narrow" w:hAnsi="Arial Narrow"/>
                <w:b/>
                <w:sz w:val="20"/>
                <w:lang w:val="en-US"/>
              </w:rPr>
              <w:t>RA</w:t>
            </w:r>
          </w:p>
        </w:tc>
      </w:tr>
      <w:tr w:rsidR="00EE38FD" w:rsidRPr="00E2771E" w:rsidTr="00C91930">
        <w:trPr>
          <w:cantSplit/>
        </w:trPr>
        <w:tc>
          <w:tcPr>
            <w:tcW w:w="678" w:type="pct"/>
            <w:shd w:val="clear" w:color="auto" w:fill="auto"/>
            <w:vAlign w:val="center"/>
          </w:tcPr>
          <w:p w:rsidR="00BE34DF" w:rsidRPr="00E2771E" w:rsidRDefault="00BE34DF" w:rsidP="004A2158">
            <w:pPr>
              <w:keepNext/>
              <w:widowControl/>
              <w:jc w:val="left"/>
              <w:rPr>
                <w:rFonts w:ascii="Arial Narrow" w:hAnsi="Arial Narrow"/>
                <w:sz w:val="20"/>
                <w:lang w:val="en-US"/>
              </w:rPr>
            </w:pPr>
            <w:r>
              <w:rPr>
                <w:rFonts w:ascii="Arial Narrow" w:hAnsi="Arial Narrow"/>
                <w:sz w:val="20"/>
                <w:lang w:val="en-US"/>
              </w:rPr>
              <w:t>NETU-07-07</w:t>
            </w:r>
          </w:p>
        </w:tc>
        <w:tc>
          <w:tcPr>
            <w:tcW w:w="424" w:type="pct"/>
            <w:shd w:val="clear" w:color="auto" w:fill="auto"/>
            <w:vAlign w:val="center"/>
          </w:tcPr>
          <w:p w:rsidR="00BE34DF" w:rsidRPr="00896FD6" w:rsidRDefault="00BE34DF" w:rsidP="004A2158">
            <w:pPr>
              <w:keepNext/>
              <w:widowControl/>
              <w:jc w:val="center"/>
              <w:rPr>
                <w:rFonts w:ascii="Arial Narrow" w:hAnsi="Arial Narrow"/>
                <w:sz w:val="20"/>
                <w:vertAlign w:val="superscript"/>
                <w:lang w:val="en-US"/>
              </w:rPr>
            </w:pPr>
            <w:r>
              <w:rPr>
                <w:rFonts w:ascii="Arial Narrow" w:hAnsi="Arial Narrow"/>
                <w:sz w:val="20"/>
                <w:lang w:val="en-US"/>
              </w:rPr>
              <w:t>270</w:t>
            </w:r>
            <w:r w:rsidR="002C0624">
              <w:rPr>
                <w:rFonts w:ascii="Arial Narrow" w:hAnsi="Arial Narrow"/>
                <w:sz w:val="20"/>
                <w:lang w:val="en-US"/>
              </w:rPr>
              <w:t xml:space="preserve"> </w:t>
            </w:r>
            <w:r>
              <w:rPr>
                <w:rFonts w:ascii="Arial Narrow" w:hAnsi="Arial Narrow"/>
                <w:sz w:val="20"/>
                <w:vertAlign w:val="superscript"/>
                <w:lang w:val="en-US"/>
              </w:rPr>
              <w:t>a</w:t>
            </w:r>
          </w:p>
        </w:tc>
        <w:tc>
          <w:tcPr>
            <w:tcW w:w="1102"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R, MC, DB</w:t>
            </w:r>
            <w:r w:rsidR="00EE38FD">
              <w:rPr>
                <w:rFonts w:ascii="Arial Narrow" w:hAnsi="Arial Narrow"/>
                <w:sz w:val="20"/>
                <w:lang w:val="en-US"/>
              </w:rPr>
              <w:t xml:space="preserve"> </w:t>
            </w:r>
            <w:r>
              <w:rPr>
                <w:rFonts w:ascii="Arial Narrow" w:hAnsi="Arial Narrow"/>
                <w:sz w:val="20"/>
                <w:lang w:val="en-US"/>
              </w:rPr>
              <w:t>22 days</w:t>
            </w:r>
          </w:p>
        </w:tc>
        <w:tc>
          <w:tcPr>
            <w:tcW w:w="423" w:type="pct"/>
            <w:shd w:val="clear" w:color="auto" w:fill="auto"/>
            <w:vAlign w:val="center"/>
          </w:tcPr>
          <w:p w:rsidR="00BE34DF" w:rsidRPr="00E2771E" w:rsidRDefault="00BE34DF" w:rsidP="004A2158">
            <w:pPr>
              <w:keepNext/>
              <w:widowControl/>
              <w:jc w:val="center"/>
              <w:rPr>
                <w:rFonts w:ascii="Arial Narrow" w:hAnsi="Arial Narrow"/>
                <w:sz w:val="20"/>
                <w:lang w:val="en-US"/>
              </w:rPr>
            </w:pPr>
            <w:r w:rsidRPr="00E2771E">
              <w:rPr>
                <w:rFonts w:ascii="Arial Narrow" w:hAnsi="Arial Narrow"/>
                <w:sz w:val="20"/>
                <w:lang w:val="en-US"/>
              </w:rPr>
              <w:t>Low</w:t>
            </w:r>
          </w:p>
        </w:tc>
        <w:tc>
          <w:tcPr>
            <w:tcW w:w="933"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HEC</w:t>
            </w:r>
          </w:p>
        </w:tc>
        <w:tc>
          <w:tcPr>
            <w:tcW w:w="1440"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CR,CP,TC,NSN,NN,NRM,NE</w:t>
            </w:r>
          </w:p>
        </w:tc>
      </w:tr>
      <w:tr w:rsidR="00EE38FD" w:rsidRPr="00E2771E" w:rsidTr="00C91930">
        <w:trPr>
          <w:cantSplit/>
        </w:trPr>
        <w:tc>
          <w:tcPr>
            <w:tcW w:w="678" w:type="pct"/>
            <w:shd w:val="clear" w:color="auto" w:fill="auto"/>
            <w:vAlign w:val="center"/>
          </w:tcPr>
          <w:p w:rsidR="00BE34DF" w:rsidRPr="00E2771E" w:rsidRDefault="00BE34DF" w:rsidP="004A2158">
            <w:pPr>
              <w:keepNext/>
              <w:widowControl/>
              <w:jc w:val="left"/>
              <w:rPr>
                <w:rFonts w:ascii="Arial Narrow" w:hAnsi="Arial Narrow"/>
                <w:sz w:val="20"/>
                <w:lang w:val="en-US"/>
              </w:rPr>
            </w:pPr>
            <w:r>
              <w:rPr>
                <w:rFonts w:ascii="Arial Narrow" w:hAnsi="Arial Narrow"/>
                <w:sz w:val="20"/>
                <w:lang w:val="en-US"/>
              </w:rPr>
              <w:t>NETU-10-29</w:t>
            </w:r>
          </w:p>
        </w:tc>
        <w:tc>
          <w:tcPr>
            <w:tcW w:w="424"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412</w:t>
            </w:r>
          </w:p>
        </w:tc>
        <w:tc>
          <w:tcPr>
            <w:tcW w:w="1102"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R, MC, DB</w:t>
            </w:r>
            <w:r w:rsidR="00EE38FD">
              <w:rPr>
                <w:rFonts w:ascii="Arial Narrow" w:hAnsi="Arial Narrow"/>
                <w:sz w:val="20"/>
                <w:lang w:val="en-US"/>
              </w:rPr>
              <w:t xml:space="preserve"> </w:t>
            </w:r>
            <w:r>
              <w:rPr>
                <w:rFonts w:ascii="Arial Narrow" w:hAnsi="Arial Narrow"/>
                <w:sz w:val="20"/>
                <w:lang w:val="en-US"/>
              </w:rPr>
              <w:t>2-5 weeks</w:t>
            </w:r>
          </w:p>
        </w:tc>
        <w:tc>
          <w:tcPr>
            <w:tcW w:w="423"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Low</w:t>
            </w:r>
          </w:p>
        </w:tc>
        <w:tc>
          <w:tcPr>
            <w:tcW w:w="933" w:type="pct"/>
            <w:shd w:val="clear" w:color="auto" w:fill="auto"/>
            <w:vAlign w:val="center"/>
          </w:tcPr>
          <w:p w:rsidR="009A3618" w:rsidRDefault="00BE34DF" w:rsidP="004A2158">
            <w:pPr>
              <w:keepNext/>
              <w:widowControl/>
              <w:jc w:val="center"/>
              <w:rPr>
                <w:rFonts w:ascii="Arial Narrow" w:hAnsi="Arial Narrow"/>
                <w:sz w:val="20"/>
                <w:lang w:val="en-US"/>
              </w:rPr>
            </w:pPr>
            <w:r>
              <w:rPr>
                <w:rFonts w:ascii="Arial Narrow" w:hAnsi="Arial Narrow"/>
                <w:sz w:val="20"/>
                <w:lang w:val="en-US"/>
              </w:rPr>
              <w:t xml:space="preserve">HEC </w:t>
            </w:r>
            <w:r w:rsidR="009A3618">
              <w:rPr>
                <w:rFonts w:ascii="Arial Narrow" w:hAnsi="Arial Narrow"/>
                <w:sz w:val="20"/>
                <w:lang w:val="en-US"/>
              </w:rPr>
              <w:t>(n=100) and</w:t>
            </w:r>
          </w:p>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MEC (n=312)</w:t>
            </w:r>
          </w:p>
        </w:tc>
        <w:tc>
          <w:tcPr>
            <w:tcW w:w="1440" w:type="pct"/>
            <w:shd w:val="clear" w:color="auto" w:fill="auto"/>
            <w:vAlign w:val="center"/>
          </w:tcPr>
          <w:p w:rsidR="00BE34DF" w:rsidRPr="00E2771E" w:rsidRDefault="00BE34DF" w:rsidP="004A2158">
            <w:pPr>
              <w:keepNext/>
              <w:widowControl/>
              <w:jc w:val="center"/>
              <w:rPr>
                <w:rFonts w:ascii="Arial Narrow" w:hAnsi="Arial Narrow"/>
                <w:sz w:val="20"/>
                <w:lang w:val="en-US"/>
              </w:rPr>
            </w:pPr>
            <w:r>
              <w:rPr>
                <w:rFonts w:ascii="Arial Narrow" w:hAnsi="Arial Narrow"/>
                <w:sz w:val="20"/>
                <w:lang w:val="en-US"/>
              </w:rPr>
              <w:t>CR, NSN, NRM</w:t>
            </w:r>
          </w:p>
        </w:tc>
      </w:tr>
      <w:tr w:rsidR="00EE38FD" w:rsidRPr="00E2771E" w:rsidTr="00C91930">
        <w:trPr>
          <w:cantSplit/>
        </w:trPr>
        <w:tc>
          <w:tcPr>
            <w:tcW w:w="5000" w:type="pct"/>
            <w:gridSpan w:val="6"/>
            <w:shd w:val="clear" w:color="auto" w:fill="auto"/>
            <w:vAlign w:val="center"/>
          </w:tcPr>
          <w:p w:rsidR="00EE38FD" w:rsidRDefault="00AD2874" w:rsidP="004A2158">
            <w:pPr>
              <w:keepNext/>
              <w:widowControl/>
              <w:jc w:val="left"/>
              <w:rPr>
                <w:rFonts w:ascii="Arial Narrow" w:hAnsi="Arial Narrow"/>
                <w:sz w:val="20"/>
                <w:lang w:val="en-US"/>
              </w:rPr>
            </w:pPr>
            <w:r>
              <w:rPr>
                <w:rFonts w:ascii="Arial Narrow" w:hAnsi="Arial Narrow"/>
                <w:b/>
                <w:sz w:val="20"/>
                <w:szCs w:val="16"/>
                <w:lang w:val="en-US"/>
              </w:rPr>
              <w:t>NEPA</w:t>
            </w:r>
            <w:r w:rsidR="00EE38FD">
              <w:rPr>
                <w:rFonts w:ascii="Arial Narrow" w:hAnsi="Arial Narrow"/>
                <w:b/>
                <w:sz w:val="20"/>
                <w:szCs w:val="16"/>
                <w:lang w:val="en-US"/>
              </w:rPr>
              <w:t xml:space="preserve"> vs</w:t>
            </w:r>
            <w:r>
              <w:rPr>
                <w:rFonts w:ascii="Arial Narrow" w:hAnsi="Arial Narrow"/>
                <w:b/>
                <w:sz w:val="20"/>
                <w:szCs w:val="16"/>
                <w:lang w:val="en-US"/>
              </w:rPr>
              <w:t>.</w:t>
            </w:r>
            <w:r w:rsidR="00EE38FD">
              <w:rPr>
                <w:rFonts w:ascii="Arial Narrow" w:hAnsi="Arial Narrow"/>
                <w:b/>
                <w:sz w:val="20"/>
                <w:szCs w:val="16"/>
                <w:lang w:val="en-US"/>
              </w:rPr>
              <w:t xml:space="preserve"> 5-HT</w:t>
            </w:r>
            <w:r w:rsidR="00EE38FD">
              <w:rPr>
                <w:rFonts w:ascii="Arial Narrow" w:hAnsi="Arial Narrow"/>
                <w:b/>
                <w:sz w:val="20"/>
                <w:szCs w:val="16"/>
                <w:vertAlign w:val="subscript"/>
                <w:lang w:val="en-US"/>
              </w:rPr>
              <w:t>3</w:t>
            </w:r>
            <w:r w:rsidR="00EE38FD">
              <w:rPr>
                <w:rFonts w:ascii="Arial Narrow" w:hAnsi="Arial Narrow"/>
                <w:b/>
                <w:sz w:val="20"/>
                <w:szCs w:val="16"/>
                <w:lang w:val="en-US"/>
              </w:rPr>
              <w:t xml:space="preserve"> </w:t>
            </w:r>
            <w:r>
              <w:rPr>
                <w:rFonts w:ascii="Arial Narrow" w:hAnsi="Arial Narrow"/>
                <w:b/>
                <w:sz w:val="20"/>
                <w:szCs w:val="16"/>
                <w:lang w:val="en-US"/>
              </w:rPr>
              <w:t>RA</w:t>
            </w:r>
          </w:p>
        </w:tc>
      </w:tr>
      <w:tr w:rsidR="00EE38FD" w:rsidRPr="00E2771E" w:rsidTr="00C91930">
        <w:trPr>
          <w:cantSplit/>
        </w:trPr>
        <w:tc>
          <w:tcPr>
            <w:tcW w:w="678" w:type="pct"/>
            <w:shd w:val="clear" w:color="auto" w:fill="auto"/>
            <w:vAlign w:val="center"/>
          </w:tcPr>
          <w:p w:rsidR="00EE38FD" w:rsidRDefault="00EE38FD" w:rsidP="004A2158">
            <w:pPr>
              <w:keepNext/>
              <w:widowControl/>
              <w:jc w:val="left"/>
              <w:rPr>
                <w:rFonts w:ascii="Arial Narrow" w:hAnsi="Arial Narrow"/>
                <w:sz w:val="20"/>
                <w:lang w:val="en-US"/>
              </w:rPr>
            </w:pPr>
            <w:r>
              <w:rPr>
                <w:rFonts w:ascii="Arial Narrow" w:hAnsi="Arial Narrow"/>
                <w:sz w:val="20"/>
                <w:szCs w:val="16"/>
                <w:lang w:val="en-US"/>
              </w:rPr>
              <w:t>NETU-08-18</w:t>
            </w:r>
          </w:p>
        </w:tc>
        <w:tc>
          <w:tcPr>
            <w:tcW w:w="424" w:type="pct"/>
            <w:shd w:val="clear" w:color="auto" w:fill="auto"/>
            <w:vAlign w:val="center"/>
          </w:tcPr>
          <w:p w:rsidR="00EE38FD" w:rsidRDefault="00C21342" w:rsidP="00C21342">
            <w:pPr>
              <w:keepNext/>
              <w:widowControl/>
              <w:jc w:val="center"/>
              <w:rPr>
                <w:rFonts w:ascii="Arial Narrow" w:hAnsi="Arial Narrow"/>
                <w:sz w:val="20"/>
                <w:lang w:val="en-US"/>
              </w:rPr>
            </w:pPr>
            <w:r>
              <w:rPr>
                <w:rFonts w:ascii="Arial Narrow" w:hAnsi="Arial Narrow"/>
                <w:sz w:val="20"/>
                <w:szCs w:val="16"/>
                <w:lang w:val="en-US"/>
              </w:rPr>
              <w:t>1</w:t>
            </w:r>
            <w:r w:rsidR="002D4552">
              <w:rPr>
                <w:rFonts w:ascii="Arial Narrow" w:hAnsi="Arial Narrow"/>
                <w:sz w:val="20"/>
                <w:szCs w:val="16"/>
                <w:lang w:val="en-US"/>
              </w:rPr>
              <w:t>,</w:t>
            </w:r>
            <w:r>
              <w:rPr>
                <w:rFonts w:ascii="Arial Narrow" w:hAnsi="Arial Narrow"/>
                <w:sz w:val="20"/>
                <w:szCs w:val="16"/>
                <w:lang w:val="en-US"/>
              </w:rPr>
              <w:t>455</w:t>
            </w:r>
          </w:p>
        </w:tc>
        <w:tc>
          <w:tcPr>
            <w:tcW w:w="1102" w:type="pct"/>
            <w:shd w:val="clear" w:color="auto" w:fill="auto"/>
            <w:vAlign w:val="center"/>
          </w:tcPr>
          <w:p w:rsidR="00EE38FD" w:rsidRDefault="00EE38FD" w:rsidP="004A2158">
            <w:pPr>
              <w:keepNext/>
              <w:widowControl/>
              <w:jc w:val="center"/>
              <w:rPr>
                <w:rFonts w:ascii="Arial Narrow" w:hAnsi="Arial Narrow"/>
                <w:sz w:val="20"/>
                <w:lang w:val="en-US"/>
              </w:rPr>
            </w:pPr>
            <w:r w:rsidRPr="00E2771E">
              <w:rPr>
                <w:rFonts w:ascii="Arial Narrow" w:hAnsi="Arial Narrow"/>
                <w:sz w:val="20"/>
                <w:szCs w:val="16"/>
                <w:lang w:val="en-US"/>
              </w:rPr>
              <w:t>R, DB</w:t>
            </w:r>
            <w:r>
              <w:rPr>
                <w:rFonts w:ascii="Arial Narrow" w:hAnsi="Arial Narrow"/>
                <w:sz w:val="20"/>
                <w:szCs w:val="16"/>
                <w:lang w:val="en-US"/>
              </w:rPr>
              <w:t xml:space="preserve"> Max. 37 days</w:t>
            </w:r>
          </w:p>
        </w:tc>
        <w:tc>
          <w:tcPr>
            <w:tcW w:w="423"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Low</w:t>
            </w:r>
          </w:p>
        </w:tc>
        <w:tc>
          <w:tcPr>
            <w:tcW w:w="933" w:type="pct"/>
            <w:shd w:val="clear" w:color="auto" w:fill="auto"/>
            <w:vAlign w:val="center"/>
          </w:tcPr>
          <w:p w:rsidR="00EE38FD" w:rsidRDefault="00EE38FD" w:rsidP="004F3FAE">
            <w:pPr>
              <w:keepNext/>
              <w:widowControl/>
              <w:jc w:val="center"/>
              <w:rPr>
                <w:rFonts w:ascii="Arial Narrow" w:hAnsi="Arial Narrow"/>
                <w:sz w:val="20"/>
                <w:lang w:val="en-US"/>
              </w:rPr>
            </w:pPr>
            <w:r>
              <w:rPr>
                <w:rFonts w:ascii="Arial Narrow" w:hAnsi="Arial Narrow"/>
                <w:sz w:val="20"/>
                <w:szCs w:val="16"/>
                <w:lang w:val="en-US"/>
              </w:rPr>
              <w:t>AC</w:t>
            </w:r>
          </w:p>
        </w:tc>
        <w:tc>
          <w:tcPr>
            <w:tcW w:w="1440"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CR,CP,TC, NSN, NN, NRM,NE</w:t>
            </w:r>
          </w:p>
        </w:tc>
      </w:tr>
      <w:tr w:rsidR="00EE38FD" w:rsidRPr="00E2771E" w:rsidTr="00C91930">
        <w:trPr>
          <w:cantSplit/>
        </w:trPr>
        <w:tc>
          <w:tcPr>
            <w:tcW w:w="5000" w:type="pct"/>
            <w:gridSpan w:val="6"/>
            <w:shd w:val="clear" w:color="auto" w:fill="auto"/>
            <w:vAlign w:val="center"/>
          </w:tcPr>
          <w:p w:rsidR="00EE38FD" w:rsidRDefault="00EE38FD" w:rsidP="004A2158">
            <w:pPr>
              <w:keepNext/>
              <w:widowControl/>
              <w:jc w:val="left"/>
              <w:rPr>
                <w:rFonts w:ascii="Arial Narrow" w:hAnsi="Arial Narrow"/>
                <w:sz w:val="20"/>
                <w:lang w:val="en-US"/>
              </w:rPr>
            </w:pPr>
            <w:r w:rsidRPr="00FF28FD">
              <w:rPr>
                <w:rFonts w:ascii="Arial Narrow" w:hAnsi="Arial Narrow"/>
                <w:b/>
                <w:sz w:val="20"/>
                <w:szCs w:val="16"/>
                <w:lang w:val="en-US"/>
              </w:rPr>
              <w:t>Aprepitant plus 5-HT</w:t>
            </w:r>
            <w:r w:rsidRPr="00FF28FD">
              <w:rPr>
                <w:rFonts w:ascii="Arial Narrow" w:hAnsi="Arial Narrow"/>
                <w:b/>
                <w:sz w:val="20"/>
                <w:szCs w:val="16"/>
                <w:vertAlign w:val="subscript"/>
                <w:lang w:val="en-US"/>
              </w:rPr>
              <w:t>3</w:t>
            </w:r>
            <w:r w:rsidRPr="00FF28FD">
              <w:rPr>
                <w:rFonts w:ascii="Arial Narrow" w:hAnsi="Arial Narrow"/>
                <w:b/>
                <w:sz w:val="20"/>
                <w:szCs w:val="16"/>
                <w:lang w:val="en-US"/>
              </w:rPr>
              <w:t xml:space="preserve"> </w:t>
            </w:r>
            <w:r w:rsidR="00AD2874">
              <w:rPr>
                <w:rFonts w:ascii="Arial Narrow" w:hAnsi="Arial Narrow"/>
                <w:b/>
                <w:sz w:val="20"/>
                <w:szCs w:val="16"/>
                <w:lang w:val="en-US"/>
              </w:rPr>
              <w:t>RA</w:t>
            </w:r>
            <w:r w:rsidRPr="00FF28FD">
              <w:rPr>
                <w:rFonts w:ascii="Arial Narrow" w:hAnsi="Arial Narrow"/>
                <w:b/>
                <w:sz w:val="20"/>
                <w:szCs w:val="16"/>
                <w:lang w:val="en-US"/>
              </w:rPr>
              <w:t xml:space="preserve"> vs</w:t>
            </w:r>
            <w:r w:rsidR="00AD2874">
              <w:rPr>
                <w:rFonts w:ascii="Arial Narrow" w:hAnsi="Arial Narrow"/>
                <w:b/>
                <w:sz w:val="20"/>
                <w:szCs w:val="16"/>
                <w:lang w:val="en-US"/>
              </w:rPr>
              <w:t>.</w:t>
            </w:r>
            <w:r w:rsidRPr="00FF28FD">
              <w:rPr>
                <w:rFonts w:ascii="Arial Narrow" w:hAnsi="Arial Narrow"/>
                <w:b/>
                <w:sz w:val="20"/>
                <w:szCs w:val="16"/>
                <w:lang w:val="en-US"/>
              </w:rPr>
              <w:t xml:space="preserve"> 5-HT</w:t>
            </w:r>
            <w:r w:rsidRPr="00FF28FD">
              <w:rPr>
                <w:rFonts w:ascii="Arial Narrow" w:hAnsi="Arial Narrow"/>
                <w:b/>
                <w:sz w:val="20"/>
                <w:szCs w:val="16"/>
                <w:vertAlign w:val="subscript"/>
                <w:lang w:val="en-US"/>
              </w:rPr>
              <w:t>3</w:t>
            </w:r>
            <w:r w:rsidRPr="00FF28FD">
              <w:rPr>
                <w:rFonts w:ascii="Arial Narrow" w:hAnsi="Arial Narrow"/>
                <w:b/>
                <w:sz w:val="20"/>
                <w:szCs w:val="16"/>
                <w:lang w:val="en-US"/>
              </w:rPr>
              <w:t xml:space="preserve"> </w:t>
            </w:r>
            <w:r w:rsidR="00AD2874">
              <w:rPr>
                <w:rFonts w:ascii="Arial Narrow" w:hAnsi="Arial Narrow"/>
                <w:b/>
                <w:sz w:val="20"/>
                <w:szCs w:val="16"/>
                <w:lang w:val="en-US"/>
              </w:rPr>
              <w:t>RA</w:t>
            </w:r>
          </w:p>
        </w:tc>
      </w:tr>
      <w:tr w:rsidR="00EE38FD" w:rsidRPr="00E2771E" w:rsidTr="00C91930">
        <w:trPr>
          <w:cantSplit/>
        </w:trPr>
        <w:tc>
          <w:tcPr>
            <w:tcW w:w="678" w:type="pct"/>
            <w:shd w:val="clear" w:color="auto" w:fill="auto"/>
            <w:vAlign w:val="center"/>
          </w:tcPr>
          <w:p w:rsidR="00EE38FD" w:rsidRDefault="00EE38FD" w:rsidP="004A2158">
            <w:pPr>
              <w:keepNext/>
              <w:widowControl/>
              <w:jc w:val="left"/>
              <w:rPr>
                <w:rFonts w:ascii="Arial Narrow" w:hAnsi="Arial Narrow"/>
                <w:sz w:val="20"/>
                <w:lang w:val="en-US"/>
              </w:rPr>
            </w:pPr>
            <w:r>
              <w:rPr>
                <w:rFonts w:ascii="Arial Narrow" w:hAnsi="Arial Narrow"/>
                <w:sz w:val="20"/>
                <w:szCs w:val="16"/>
                <w:lang w:val="en-US"/>
              </w:rPr>
              <w:t>071</w:t>
            </w:r>
          </w:p>
        </w:tc>
        <w:tc>
          <w:tcPr>
            <w:tcW w:w="424"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866</w:t>
            </w:r>
          </w:p>
        </w:tc>
        <w:tc>
          <w:tcPr>
            <w:tcW w:w="1102"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R, DB 5 days</w:t>
            </w:r>
          </w:p>
        </w:tc>
        <w:tc>
          <w:tcPr>
            <w:tcW w:w="423"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Low</w:t>
            </w:r>
          </w:p>
        </w:tc>
        <w:tc>
          <w:tcPr>
            <w:tcW w:w="933" w:type="pct"/>
            <w:shd w:val="clear" w:color="auto" w:fill="auto"/>
            <w:vAlign w:val="center"/>
          </w:tcPr>
          <w:p w:rsidR="00EE38FD" w:rsidRDefault="00EE38FD" w:rsidP="004F3FAE">
            <w:pPr>
              <w:keepNext/>
              <w:widowControl/>
              <w:jc w:val="center"/>
              <w:rPr>
                <w:rFonts w:ascii="Arial Narrow" w:hAnsi="Arial Narrow"/>
                <w:sz w:val="20"/>
                <w:lang w:val="en-US"/>
              </w:rPr>
            </w:pPr>
            <w:r>
              <w:rPr>
                <w:rFonts w:ascii="Arial Narrow" w:hAnsi="Arial Narrow"/>
                <w:sz w:val="20"/>
                <w:szCs w:val="16"/>
                <w:lang w:val="en-US"/>
              </w:rPr>
              <w:t>AC</w:t>
            </w:r>
          </w:p>
        </w:tc>
        <w:tc>
          <w:tcPr>
            <w:tcW w:w="1440" w:type="pct"/>
            <w:shd w:val="clear" w:color="auto" w:fill="auto"/>
            <w:vAlign w:val="center"/>
          </w:tcPr>
          <w:p w:rsidR="00EE38FD" w:rsidRDefault="00EE38FD" w:rsidP="004A2158">
            <w:pPr>
              <w:keepNext/>
              <w:widowControl/>
              <w:jc w:val="center"/>
              <w:rPr>
                <w:rFonts w:ascii="Arial Narrow" w:hAnsi="Arial Narrow"/>
                <w:sz w:val="20"/>
                <w:lang w:val="en-US"/>
              </w:rPr>
            </w:pPr>
            <w:r>
              <w:rPr>
                <w:rFonts w:ascii="Arial Narrow" w:hAnsi="Arial Narrow"/>
                <w:sz w:val="20"/>
                <w:szCs w:val="16"/>
                <w:lang w:val="en-US"/>
              </w:rPr>
              <w:t>CR, NSN, NRM, NE</w:t>
            </w:r>
          </w:p>
        </w:tc>
      </w:tr>
    </w:tbl>
    <w:p w:rsidR="00BE34DF" w:rsidRPr="00896FD6" w:rsidRDefault="00BE34DF" w:rsidP="004A2158">
      <w:pPr>
        <w:pStyle w:val="TableFooter"/>
        <w:keepNext/>
        <w:widowControl/>
        <w:ind w:left="720"/>
      </w:pPr>
      <w:r w:rsidRPr="00896FD6">
        <w:t>Source: compiled during the evaluation</w:t>
      </w:r>
    </w:p>
    <w:p w:rsidR="00BE34DF" w:rsidRDefault="00611BB2" w:rsidP="004A2158">
      <w:pPr>
        <w:pStyle w:val="TableFooter"/>
        <w:keepNext/>
        <w:widowControl/>
        <w:ind w:left="720"/>
      </w:pPr>
      <w:r>
        <w:t>5-HT</w:t>
      </w:r>
      <w:r w:rsidRPr="00C91930">
        <w:rPr>
          <w:vertAlign w:val="subscript"/>
        </w:rPr>
        <w:t>3</w:t>
      </w:r>
      <w:r>
        <w:t xml:space="preserve"> RA = serotonin receptor antagonist;</w:t>
      </w:r>
      <w:r w:rsidR="00DB36F5">
        <w:t xml:space="preserve"> AC = anthracycline</w:t>
      </w:r>
      <w:r w:rsidR="004F3FAE">
        <w:t xml:space="preserve"> plus cyclophosphamide</w:t>
      </w:r>
      <w:r w:rsidR="00DB36F5">
        <w:t xml:space="preserve"> </w:t>
      </w:r>
      <w:r w:rsidR="009A3618">
        <w:t>based</w:t>
      </w:r>
      <w:r w:rsidR="002D4552">
        <w:t xml:space="preserve"> regimens</w:t>
      </w:r>
      <w:r w:rsidR="00DB36F5">
        <w:t>;</w:t>
      </w:r>
      <w:r w:rsidRPr="00896FD6">
        <w:t xml:space="preserve"> </w:t>
      </w:r>
      <w:r w:rsidR="00BE34DF" w:rsidRPr="00896FD6">
        <w:t>CR = complete response; CP = complete protection; DB</w:t>
      </w:r>
      <w:r w:rsidR="00AB1A68">
        <w:t xml:space="preserve"> </w:t>
      </w:r>
      <w:r w:rsidR="00BE34DF" w:rsidRPr="00896FD6">
        <w:t>=</w:t>
      </w:r>
      <w:r w:rsidR="00AB1A68">
        <w:t xml:space="preserve"> </w:t>
      </w:r>
      <w:r w:rsidR="00BE34DF" w:rsidRPr="00896FD6">
        <w:t>double blind;</w:t>
      </w:r>
      <w:r w:rsidR="00BE34DF">
        <w:t xml:space="preserve"> HEC = highly </w:t>
      </w:r>
      <w:r w:rsidR="00E32B0A">
        <w:t>emetogenic</w:t>
      </w:r>
      <w:r w:rsidR="00BE34DF">
        <w:t xml:space="preserve"> chemotherapy; MEC = moderately </w:t>
      </w:r>
      <w:r w:rsidR="00E32B0A">
        <w:t>emetogenic</w:t>
      </w:r>
      <w:r w:rsidR="00BE34DF">
        <w:t xml:space="preserve"> chemotherapy;</w:t>
      </w:r>
      <w:r w:rsidR="00BE34DF" w:rsidRPr="00896FD6">
        <w:t xml:space="preserve"> MC</w:t>
      </w:r>
      <w:r w:rsidR="00AB1A68">
        <w:t xml:space="preserve"> </w:t>
      </w:r>
      <w:r w:rsidR="00BE34DF" w:rsidRPr="00896FD6">
        <w:t>=</w:t>
      </w:r>
      <w:r w:rsidR="00AB1A68">
        <w:t xml:space="preserve"> </w:t>
      </w:r>
      <w:r w:rsidR="00BE34DF" w:rsidRPr="00896FD6">
        <w:t>multi-centre;</w:t>
      </w:r>
      <w:r w:rsidR="00BE34DF">
        <w:t xml:space="preserve"> NE = no emesis;</w:t>
      </w:r>
      <w:r w:rsidR="00BE34DF" w:rsidRPr="00896FD6">
        <w:t xml:space="preserve"> </w:t>
      </w:r>
      <w:r w:rsidR="00AD2874">
        <w:t xml:space="preserve">NEPA = netupitant/palonosetron; </w:t>
      </w:r>
      <w:r w:rsidR="00BE34DF" w:rsidRPr="00896FD6">
        <w:t>NN = no nausea;</w:t>
      </w:r>
      <w:r w:rsidR="00BE34DF">
        <w:t xml:space="preserve"> </w:t>
      </w:r>
      <w:r w:rsidR="00BE34DF" w:rsidRPr="00896FD6">
        <w:t xml:space="preserve">NSN = no significant </w:t>
      </w:r>
      <w:r w:rsidR="00BE34DF">
        <w:t xml:space="preserve">nausea; </w:t>
      </w:r>
      <w:r w:rsidR="00BE34DF" w:rsidRPr="00896FD6">
        <w:t xml:space="preserve">NRM = no rescue </w:t>
      </w:r>
      <w:r w:rsidR="00BE34DF">
        <w:t xml:space="preserve">medication; </w:t>
      </w:r>
      <w:r>
        <w:t>R</w:t>
      </w:r>
      <w:r w:rsidR="00AB1A68">
        <w:t xml:space="preserve"> </w:t>
      </w:r>
      <w:r>
        <w:t>=</w:t>
      </w:r>
      <w:r w:rsidR="00AB1A68">
        <w:t xml:space="preserve"> </w:t>
      </w:r>
      <w:r>
        <w:t>randomised</w:t>
      </w:r>
      <w:r w:rsidR="00AD2874">
        <w:t xml:space="preserve">; </w:t>
      </w:r>
      <w:r w:rsidR="00EE38FD">
        <w:t>TC = total control</w:t>
      </w:r>
      <w:r w:rsidR="00BE34DF">
        <w:tab/>
      </w:r>
    </w:p>
    <w:p w:rsidR="00BE34DF" w:rsidRDefault="00BE34DF" w:rsidP="004A2158">
      <w:pPr>
        <w:pStyle w:val="TableFooter"/>
        <w:widowControl/>
        <w:ind w:left="720"/>
      </w:pPr>
      <w:r w:rsidRPr="00C91930">
        <w:rPr>
          <w:vertAlign w:val="superscript"/>
        </w:rPr>
        <w:t>a</w:t>
      </w:r>
      <w:r w:rsidR="003B432A">
        <w:t xml:space="preserve"> </w:t>
      </w:r>
      <w:r>
        <w:t>only included patients for 300</w:t>
      </w:r>
      <w:r w:rsidR="00EE38FD">
        <w:t xml:space="preserve"> </w:t>
      </w:r>
      <w:r>
        <w:t xml:space="preserve">mg </w:t>
      </w:r>
      <w:r w:rsidR="00AD2874">
        <w:t>NEPA</w:t>
      </w:r>
      <w:r>
        <w:t xml:space="preserve"> dose and appropriate comparator</w:t>
      </w:r>
      <w:r w:rsidR="00BC7E7A">
        <w:t xml:space="preserve"> arms</w:t>
      </w:r>
    </w:p>
    <w:p w:rsidR="001C70B9" w:rsidRDefault="001C70B9" w:rsidP="004A2158">
      <w:pPr>
        <w:widowControl/>
        <w:ind w:left="720"/>
        <w:rPr>
          <w:i/>
        </w:rPr>
      </w:pPr>
    </w:p>
    <w:p w:rsidR="004947A7" w:rsidRPr="00EB38FD" w:rsidRDefault="001C70B9" w:rsidP="004A2158">
      <w:pPr>
        <w:pStyle w:val="ListParagraph"/>
        <w:widowControl/>
        <w:numPr>
          <w:ilvl w:val="1"/>
          <w:numId w:val="4"/>
        </w:numPr>
        <w:rPr>
          <w:szCs w:val="22"/>
        </w:rPr>
      </w:pPr>
      <w:r w:rsidRPr="00FD7D3E">
        <w:t xml:space="preserve">Patient characteristics </w:t>
      </w:r>
      <w:r w:rsidR="000429AA" w:rsidRPr="00FD7D3E">
        <w:t>were</w:t>
      </w:r>
      <w:r w:rsidRPr="00FD7D3E">
        <w:t xml:space="preserve"> largely comparable in </w:t>
      </w:r>
      <w:r w:rsidR="004F3FAE" w:rsidRPr="00FD7D3E">
        <w:t>all trials</w:t>
      </w:r>
      <w:r w:rsidRPr="00FD7D3E">
        <w:t>.</w:t>
      </w:r>
      <w:r w:rsidRPr="004947A7">
        <w:rPr>
          <w:i/>
        </w:rPr>
        <w:t xml:space="preserve"> </w:t>
      </w:r>
      <w:r w:rsidR="0089749B">
        <w:t>The table below</w:t>
      </w:r>
      <w:r w:rsidR="004947A7" w:rsidRPr="00EB38FD">
        <w:t xml:space="preserve"> presents the dosing regimen in the four included trials.</w:t>
      </w:r>
    </w:p>
    <w:p w:rsidR="004947A7" w:rsidRDefault="004947A7" w:rsidP="004947A7">
      <w:pPr>
        <w:pStyle w:val="ListParagraph"/>
        <w:widowControl/>
        <w:rPr>
          <w:i/>
        </w:rPr>
      </w:pPr>
    </w:p>
    <w:p w:rsidR="004947A7" w:rsidRPr="00EB38FD" w:rsidRDefault="004947A7" w:rsidP="004947A7">
      <w:pPr>
        <w:pStyle w:val="ListParagraph"/>
        <w:widowControl/>
        <w:rPr>
          <w:rStyle w:val="CommentReference"/>
        </w:rPr>
      </w:pPr>
      <w:r w:rsidRPr="00EB38FD">
        <w:rPr>
          <w:rStyle w:val="CommentReference"/>
        </w:rPr>
        <w:t>Dosing regimens in the included clinical trials</w:t>
      </w:r>
    </w:p>
    <w:tbl>
      <w:tblPr>
        <w:tblStyle w:val="TableGrid"/>
        <w:tblW w:w="8522" w:type="dxa"/>
        <w:tblInd w:w="720" w:type="dxa"/>
        <w:tblLayout w:type="fixed"/>
        <w:tblCellMar>
          <w:left w:w="28" w:type="dxa"/>
          <w:right w:w="28" w:type="dxa"/>
        </w:tblCellMar>
        <w:tblLook w:val="04A0" w:firstRow="1" w:lastRow="0" w:firstColumn="1" w:lastColumn="0" w:noHBand="0" w:noVBand="1"/>
        <w:tblCaption w:val="Dosing regimens"/>
      </w:tblPr>
      <w:tblGrid>
        <w:gridCol w:w="1011"/>
        <w:gridCol w:w="2408"/>
        <w:gridCol w:w="2065"/>
        <w:gridCol w:w="3038"/>
      </w:tblGrid>
      <w:tr w:rsidR="004947A7" w:rsidRPr="00EB38FD" w:rsidTr="002F3C2E">
        <w:tc>
          <w:tcPr>
            <w:tcW w:w="1011" w:type="dxa"/>
            <w:vAlign w:val="center"/>
          </w:tcPr>
          <w:p w:rsidR="00245F51" w:rsidRPr="00EB38FD" w:rsidRDefault="00245F51" w:rsidP="002F3C2E">
            <w:pPr>
              <w:pStyle w:val="Tabletext"/>
              <w:rPr>
                <w:b/>
              </w:rPr>
            </w:pPr>
            <w:r w:rsidRPr="00EB38FD">
              <w:rPr>
                <w:b/>
              </w:rPr>
              <w:t>Trial</w:t>
            </w:r>
          </w:p>
        </w:tc>
        <w:tc>
          <w:tcPr>
            <w:tcW w:w="2408" w:type="dxa"/>
            <w:vAlign w:val="center"/>
          </w:tcPr>
          <w:p w:rsidR="00245F51" w:rsidRPr="00EB38FD" w:rsidRDefault="00245F51" w:rsidP="002F3C2E">
            <w:pPr>
              <w:pStyle w:val="Tabletext"/>
              <w:rPr>
                <w:b/>
              </w:rPr>
            </w:pPr>
            <w:r w:rsidRPr="00EB38FD">
              <w:rPr>
                <w:b/>
              </w:rPr>
              <w:t>NEPA</w:t>
            </w:r>
          </w:p>
        </w:tc>
        <w:tc>
          <w:tcPr>
            <w:tcW w:w="2065" w:type="dxa"/>
            <w:vAlign w:val="center"/>
          </w:tcPr>
          <w:p w:rsidR="00245F51" w:rsidRPr="00EB38FD" w:rsidRDefault="00245F51" w:rsidP="002F3C2E">
            <w:pPr>
              <w:pStyle w:val="Tabletext"/>
              <w:rPr>
                <w:b/>
              </w:rPr>
            </w:pPr>
            <w:r w:rsidRPr="00EB38FD">
              <w:rPr>
                <w:b/>
              </w:rPr>
              <w:t>5HT</w:t>
            </w:r>
            <w:r w:rsidRPr="00EB38FD">
              <w:rPr>
                <w:b/>
                <w:vertAlign w:val="subscript"/>
              </w:rPr>
              <w:t>3</w:t>
            </w:r>
            <w:r w:rsidRPr="00EB38FD">
              <w:rPr>
                <w:b/>
              </w:rPr>
              <w:t xml:space="preserve"> RA</w:t>
            </w:r>
          </w:p>
        </w:tc>
        <w:tc>
          <w:tcPr>
            <w:tcW w:w="3038" w:type="dxa"/>
            <w:vAlign w:val="center"/>
          </w:tcPr>
          <w:p w:rsidR="00245F51" w:rsidRPr="00EB38FD" w:rsidRDefault="00245F51" w:rsidP="002F3C2E">
            <w:pPr>
              <w:pStyle w:val="Tabletext"/>
              <w:rPr>
                <w:b/>
              </w:rPr>
            </w:pPr>
            <w:r w:rsidRPr="00EB38FD">
              <w:rPr>
                <w:b/>
              </w:rPr>
              <w:t>Apre + 5HT</w:t>
            </w:r>
            <w:r w:rsidRPr="00EB38FD">
              <w:rPr>
                <w:b/>
                <w:vertAlign w:val="subscript"/>
              </w:rPr>
              <w:t>3</w:t>
            </w:r>
            <w:r w:rsidRPr="00EB38FD">
              <w:rPr>
                <w:b/>
              </w:rPr>
              <w:t xml:space="preserve"> RA</w:t>
            </w:r>
          </w:p>
        </w:tc>
      </w:tr>
      <w:tr w:rsidR="004947A7" w:rsidRPr="00EB38FD" w:rsidTr="002F3C2E">
        <w:tc>
          <w:tcPr>
            <w:tcW w:w="1011" w:type="dxa"/>
            <w:vAlign w:val="center"/>
          </w:tcPr>
          <w:p w:rsidR="00245F51" w:rsidRPr="00EB38FD" w:rsidRDefault="00245F51" w:rsidP="002F3C2E">
            <w:pPr>
              <w:pStyle w:val="Tabletext"/>
            </w:pPr>
            <w:r w:rsidRPr="00EB38FD">
              <w:t>NETU-07-07</w:t>
            </w:r>
          </w:p>
        </w:tc>
        <w:tc>
          <w:tcPr>
            <w:tcW w:w="2408" w:type="dxa"/>
            <w:vAlign w:val="center"/>
          </w:tcPr>
          <w:p w:rsidR="00245F51" w:rsidRPr="00EB38FD" w:rsidRDefault="00245F51" w:rsidP="002F3C2E">
            <w:pPr>
              <w:pStyle w:val="Tabletext"/>
            </w:pPr>
            <w:r w:rsidRPr="00EB38FD">
              <w:t>NE 300 mg oral + PA oral 0.5 mg</w:t>
            </w:r>
            <w:r w:rsidR="004947A7" w:rsidRPr="00EB38FD">
              <w:t xml:space="preserve"> + Dexa </w:t>
            </w:r>
            <w:r w:rsidR="004947A7" w:rsidRPr="00EB38FD">
              <w:rPr>
                <w:vertAlign w:val="superscript"/>
              </w:rPr>
              <w:t>a</w:t>
            </w:r>
            <w:r w:rsidR="004947A7" w:rsidRPr="00EB38FD">
              <w:t xml:space="preserve"> </w:t>
            </w:r>
          </w:p>
        </w:tc>
        <w:tc>
          <w:tcPr>
            <w:tcW w:w="2065" w:type="dxa"/>
            <w:vAlign w:val="center"/>
          </w:tcPr>
          <w:p w:rsidR="00245F51" w:rsidRPr="00EB38FD" w:rsidRDefault="007A4029" w:rsidP="002F3C2E">
            <w:pPr>
              <w:pStyle w:val="Tabletext"/>
            </w:pPr>
            <w:r w:rsidRPr="00EB38FD">
              <w:t xml:space="preserve">PA oral 0.5 mg + </w:t>
            </w:r>
          </w:p>
          <w:p w:rsidR="007A4029" w:rsidRPr="00EB38FD" w:rsidRDefault="007A4029" w:rsidP="002F3C2E">
            <w:pPr>
              <w:pStyle w:val="Tabletext"/>
            </w:pPr>
            <w:r w:rsidRPr="00EB38FD">
              <w:t xml:space="preserve">Dexa </w:t>
            </w:r>
            <w:r w:rsidRPr="00EB38FD">
              <w:rPr>
                <w:vertAlign w:val="superscript"/>
              </w:rPr>
              <w:t>b</w:t>
            </w:r>
          </w:p>
        </w:tc>
        <w:tc>
          <w:tcPr>
            <w:tcW w:w="3038" w:type="dxa"/>
            <w:vAlign w:val="center"/>
          </w:tcPr>
          <w:p w:rsidR="00245F51" w:rsidRPr="00EB38FD" w:rsidRDefault="00245F51" w:rsidP="002F3C2E">
            <w:pPr>
              <w:pStyle w:val="Tabletext"/>
            </w:pPr>
            <w:r w:rsidRPr="00EB38FD">
              <w:t>Apre 3</w:t>
            </w:r>
            <w:r w:rsidR="004947A7" w:rsidRPr="00EB38FD">
              <w:t>-</w:t>
            </w:r>
            <w:r w:rsidRPr="00EB38FD">
              <w:t>day dosing</w:t>
            </w:r>
            <w:r w:rsidR="004947A7" w:rsidRPr="00EB38FD">
              <w:t xml:space="preserve"> </w:t>
            </w:r>
            <w:r w:rsidR="007A4029" w:rsidRPr="00EB38FD">
              <w:rPr>
                <w:vertAlign w:val="superscript"/>
              </w:rPr>
              <w:t>c</w:t>
            </w:r>
            <w:r w:rsidRPr="00EB38FD">
              <w:t xml:space="preserve"> + Ond i.v. 32 mg</w:t>
            </w:r>
            <w:r w:rsidR="007A4029" w:rsidRPr="00EB38FD">
              <w:t xml:space="preserve"> +</w:t>
            </w:r>
          </w:p>
          <w:p w:rsidR="007A4029" w:rsidRPr="00EB38FD" w:rsidRDefault="007A4029" w:rsidP="002F3C2E">
            <w:pPr>
              <w:pStyle w:val="Tabletext"/>
            </w:pPr>
            <w:r w:rsidRPr="00EB38FD">
              <w:t xml:space="preserve">Dexa </w:t>
            </w:r>
            <w:r w:rsidRPr="00EB38FD">
              <w:rPr>
                <w:vertAlign w:val="superscript"/>
              </w:rPr>
              <w:t>a</w:t>
            </w:r>
          </w:p>
        </w:tc>
      </w:tr>
      <w:tr w:rsidR="004947A7" w:rsidRPr="00EB38FD" w:rsidTr="002F3C2E">
        <w:tc>
          <w:tcPr>
            <w:tcW w:w="1011" w:type="dxa"/>
            <w:vAlign w:val="center"/>
          </w:tcPr>
          <w:p w:rsidR="00245F51" w:rsidRPr="00EB38FD" w:rsidRDefault="00245F51" w:rsidP="002F3C2E">
            <w:pPr>
              <w:pStyle w:val="Tabletext"/>
            </w:pPr>
            <w:r w:rsidRPr="00EB38FD">
              <w:t>NETU-10-29</w:t>
            </w:r>
          </w:p>
        </w:tc>
        <w:tc>
          <w:tcPr>
            <w:tcW w:w="2408" w:type="dxa"/>
            <w:vAlign w:val="center"/>
          </w:tcPr>
          <w:p w:rsidR="00245F51" w:rsidRPr="00EB38FD" w:rsidRDefault="00245F51" w:rsidP="002F3C2E">
            <w:pPr>
              <w:pStyle w:val="Tabletext"/>
            </w:pPr>
            <w:r w:rsidRPr="00EB38FD">
              <w:t>NEPA 300 mg/0.5 mg oral</w:t>
            </w:r>
            <w:r w:rsidR="004947A7" w:rsidRPr="00EB38FD">
              <w:t xml:space="preserve"> + Dexa </w:t>
            </w:r>
            <w:r w:rsidR="007A4029" w:rsidRPr="00EB38FD">
              <w:rPr>
                <w:vertAlign w:val="superscript"/>
              </w:rPr>
              <w:t>d</w:t>
            </w:r>
          </w:p>
        </w:tc>
        <w:tc>
          <w:tcPr>
            <w:tcW w:w="2065" w:type="dxa"/>
            <w:vAlign w:val="center"/>
          </w:tcPr>
          <w:p w:rsidR="00245F51" w:rsidRPr="00EB38FD" w:rsidRDefault="00245F51" w:rsidP="002F3C2E">
            <w:pPr>
              <w:pStyle w:val="Tabletext"/>
            </w:pPr>
            <w:r w:rsidRPr="00EB38FD">
              <w:t>-</w:t>
            </w:r>
          </w:p>
        </w:tc>
        <w:tc>
          <w:tcPr>
            <w:tcW w:w="3038" w:type="dxa"/>
            <w:vAlign w:val="center"/>
          </w:tcPr>
          <w:p w:rsidR="00245F51" w:rsidRPr="00EB38FD" w:rsidRDefault="00245F51" w:rsidP="002F3C2E">
            <w:pPr>
              <w:pStyle w:val="Tabletext"/>
            </w:pPr>
            <w:r w:rsidRPr="00EB38FD">
              <w:t>Apre 3</w:t>
            </w:r>
            <w:r w:rsidR="004947A7" w:rsidRPr="00EB38FD">
              <w:t>-</w:t>
            </w:r>
            <w:r w:rsidRPr="00EB38FD">
              <w:t>day dosing</w:t>
            </w:r>
            <w:r w:rsidR="007A4029" w:rsidRPr="00EB38FD">
              <w:t xml:space="preserve"> </w:t>
            </w:r>
            <w:r w:rsidR="007A4029" w:rsidRPr="00EB38FD">
              <w:rPr>
                <w:vertAlign w:val="superscript"/>
              </w:rPr>
              <w:t>c</w:t>
            </w:r>
            <w:r w:rsidRPr="00EB38FD">
              <w:t xml:space="preserve"> + PA 0.5 mg oral</w:t>
            </w:r>
            <w:r w:rsidR="007A4029" w:rsidRPr="00EB38FD">
              <w:t xml:space="preserve"> + Dexa </w:t>
            </w:r>
            <w:r w:rsidR="007A4029" w:rsidRPr="00EB38FD">
              <w:rPr>
                <w:vertAlign w:val="superscript"/>
              </w:rPr>
              <w:t>d</w:t>
            </w:r>
          </w:p>
        </w:tc>
      </w:tr>
      <w:tr w:rsidR="004947A7" w:rsidRPr="00EB38FD" w:rsidTr="002F3C2E">
        <w:tc>
          <w:tcPr>
            <w:tcW w:w="1011" w:type="dxa"/>
            <w:vAlign w:val="center"/>
          </w:tcPr>
          <w:p w:rsidR="00245F51" w:rsidRPr="00EB38FD" w:rsidRDefault="00245F51" w:rsidP="002F3C2E">
            <w:pPr>
              <w:pStyle w:val="Tabletext"/>
            </w:pPr>
            <w:r w:rsidRPr="00EB38FD">
              <w:t>NETU-08-18</w:t>
            </w:r>
          </w:p>
        </w:tc>
        <w:tc>
          <w:tcPr>
            <w:tcW w:w="2408" w:type="dxa"/>
            <w:vAlign w:val="center"/>
          </w:tcPr>
          <w:p w:rsidR="00245F51" w:rsidRPr="00EB38FD" w:rsidRDefault="00245F51" w:rsidP="002F3C2E">
            <w:pPr>
              <w:pStyle w:val="Tabletext"/>
            </w:pPr>
            <w:r w:rsidRPr="00EB38FD">
              <w:t>NEPA 300 mg/0.5 mg oral</w:t>
            </w:r>
            <w:r w:rsidR="007A4029" w:rsidRPr="00EB38FD">
              <w:t xml:space="preserve"> + Dexa 12 mg </w:t>
            </w:r>
            <w:r w:rsidR="007A4029" w:rsidRPr="00EB38FD">
              <w:rPr>
                <w:vertAlign w:val="superscript"/>
              </w:rPr>
              <w:t>e</w:t>
            </w:r>
          </w:p>
        </w:tc>
        <w:tc>
          <w:tcPr>
            <w:tcW w:w="2065" w:type="dxa"/>
            <w:vAlign w:val="center"/>
          </w:tcPr>
          <w:p w:rsidR="007A4029" w:rsidRPr="00EB38FD" w:rsidRDefault="00245F51" w:rsidP="002F3C2E">
            <w:pPr>
              <w:pStyle w:val="Tabletext"/>
            </w:pPr>
            <w:r w:rsidRPr="00EB38FD">
              <w:t>PA 0.5 mg oral</w:t>
            </w:r>
            <w:r w:rsidR="007A4029" w:rsidRPr="00EB38FD">
              <w:t xml:space="preserve"> +</w:t>
            </w:r>
          </w:p>
          <w:p w:rsidR="00245F51" w:rsidRPr="00EB38FD" w:rsidRDefault="007A4029" w:rsidP="002F3C2E">
            <w:pPr>
              <w:pStyle w:val="Tabletext"/>
            </w:pPr>
            <w:r w:rsidRPr="00EB38FD">
              <w:t xml:space="preserve">Dexa 20 mg </w:t>
            </w:r>
            <w:r w:rsidRPr="00EB38FD">
              <w:rPr>
                <w:vertAlign w:val="superscript"/>
              </w:rPr>
              <w:t>e</w:t>
            </w:r>
          </w:p>
        </w:tc>
        <w:tc>
          <w:tcPr>
            <w:tcW w:w="3038" w:type="dxa"/>
            <w:vAlign w:val="center"/>
          </w:tcPr>
          <w:p w:rsidR="00245F51" w:rsidRPr="00EB38FD" w:rsidRDefault="007A4029" w:rsidP="002F3C2E">
            <w:pPr>
              <w:pStyle w:val="Tabletext"/>
            </w:pPr>
            <w:r w:rsidRPr="00EB38FD">
              <w:t>-</w:t>
            </w:r>
          </w:p>
        </w:tc>
      </w:tr>
      <w:tr w:rsidR="004947A7" w:rsidRPr="00EB38FD" w:rsidTr="002F3C2E">
        <w:tc>
          <w:tcPr>
            <w:tcW w:w="1011" w:type="dxa"/>
            <w:vAlign w:val="center"/>
          </w:tcPr>
          <w:p w:rsidR="00245F51" w:rsidRPr="00EB38FD" w:rsidRDefault="00245F51" w:rsidP="002F3C2E">
            <w:pPr>
              <w:pStyle w:val="Tabletext"/>
            </w:pPr>
            <w:r w:rsidRPr="00EB38FD">
              <w:t>Trial 071</w:t>
            </w:r>
          </w:p>
        </w:tc>
        <w:tc>
          <w:tcPr>
            <w:tcW w:w="2408" w:type="dxa"/>
            <w:vAlign w:val="center"/>
          </w:tcPr>
          <w:p w:rsidR="00245F51" w:rsidRPr="00EB38FD" w:rsidRDefault="004947A7" w:rsidP="002F3C2E">
            <w:pPr>
              <w:pStyle w:val="Tabletext"/>
            </w:pPr>
            <w:r w:rsidRPr="00EB38FD">
              <w:t>-</w:t>
            </w:r>
          </w:p>
        </w:tc>
        <w:tc>
          <w:tcPr>
            <w:tcW w:w="2065" w:type="dxa"/>
            <w:vAlign w:val="center"/>
          </w:tcPr>
          <w:p w:rsidR="00245F51" w:rsidRPr="00EB38FD" w:rsidRDefault="002F3C2E" w:rsidP="002F3C2E">
            <w:pPr>
              <w:pStyle w:val="Tabletext"/>
            </w:pPr>
            <w:r w:rsidRPr="00EB38FD">
              <w:t xml:space="preserve">Day 1-3: </w:t>
            </w:r>
            <w:r w:rsidR="00245F51" w:rsidRPr="00EB38FD">
              <w:t xml:space="preserve">Ond </w:t>
            </w:r>
            <w:r w:rsidRPr="00EB38FD">
              <w:t>8</w:t>
            </w:r>
            <w:r w:rsidR="00245F51" w:rsidRPr="00EB38FD">
              <w:t xml:space="preserve"> mg </w:t>
            </w:r>
            <w:r w:rsidRPr="00EB38FD">
              <w:t xml:space="preserve">BiD </w:t>
            </w:r>
            <w:r w:rsidR="00245F51" w:rsidRPr="00EB38FD">
              <w:t>oral</w:t>
            </w:r>
            <w:r w:rsidR="007A4029" w:rsidRPr="00EB38FD">
              <w:t xml:space="preserve"> + Dexa 20 mg </w:t>
            </w:r>
            <w:r w:rsidR="007A4029" w:rsidRPr="00EB38FD">
              <w:rPr>
                <w:vertAlign w:val="superscript"/>
              </w:rPr>
              <w:t>e</w:t>
            </w:r>
          </w:p>
        </w:tc>
        <w:tc>
          <w:tcPr>
            <w:tcW w:w="3038" w:type="dxa"/>
            <w:vAlign w:val="center"/>
          </w:tcPr>
          <w:p w:rsidR="00245F51" w:rsidRPr="00EB38FD" w:rsidRDefault="00245F51" w:rsidP="002F3C2E">
            <w:pPr>
              <w:pStyle w:val="Tabletext"/>
            </w:pPr>
            <w:r w:rsidRPr="00EB38FD">
              <w:t>Apre 3</w:t>
            </w:r>
            <w:r w:rsidR="004947A7" w:rsidRPr="00EB38FD">
              <w:t>-</w:t>
            </w:r>
            <w:r w:rsidRPr="00EB38FD">
              <w:t>day dosing</w:t>
            </w:r>
            <w:r w:rsidR="007A4029" w:rsidRPr="00EB38FD">
              <w:t xml:space="preserve"> </w:t>
            </w:r>
            <w:r w:rsidR="007A4029" w:rsidRPr="00EB38FD">
              <w:rPr>
                <w:vertAlign w:val="superscript"/>
              </w:rPr>
              <w:t>c</w:t>
            </w:r>
            <w:r w:rsidRPr="00EB38FD">
              <w:t xml:space="preserve"> + </w:t>
            </w:r>
            <w:r w:rsidR="002F3C2E" w:rsidRPr="00EB38FD">
              <w:t xml:space="preserve">Day 1: </w:t>
            </w:r>
            <w:r w:rsidRPr="00EB38FD">
              <w:t xml:space="preserve">Ond </w:t>
            </w:r>
            <w:r w:rsidR="002F3C2E" w:rsidRPr="00EB38FD">
              <w:t>8</w:t>
            </w:r>
            <w:r w:rsidRPr="00EB38FD">
              <w:t xml:space="preserve"> mg</w:t>
            </w:r>
            <w:r w:rsidR="002F3C2E" w:rsidRPr="00EB38FD">
              <w:t xml:space="preserve"> BiD</w:t>
            </w:r>
            <w:r w:rsidRPr="00EB38FD">
              <w:t xml:space="preserve"> oral</w:t>
            </w:r>
            <w:r w:rsidR="007A4029" w:rsidRPr="00EB38FD">
              <w:t xml:space="preserve"> + Dexa 12 mg </w:t>
            </w:r>
            <w:r w:rsidR="007A4029" w:rsidRPr="00EB38FD">
              <w:rPr>
                <w:vertAlign w:val="superscript"/>
              </w:rPr>
              <w:t>e</w:t>
            </w:r>
          </w:p>
        </w:tc>
      </w:tr>
    </w:tbl>
    <w:p w:rsidR="004947A7" w:rsidRPr="00EB38FD" w:rsidRDefault="004947A7" w:rsidP="004947A7">
      <w:pPr>
        <w:pStyle w:val="TableFooter"/>
        <w:ind w:left="720"/>
      </w:pPr>
      <w:r w:rsidRPr="00EB38FD">
        <w:t>Source: Table 26, p68-69 of the submission</w:t>
      </w:r>
    </w:p>
    <w:p w:rsidR="00245F51" w:rsidRPr="00EB38FD" w:rsidRDefault="004947A7" w:rsidP="004947A7">
      <w:pPr>
        <w:pStyle w:val="TableFooter"/>
        <w:ind w:left="720"/>
      </w:pPr>
      <w:r w:rsidRPr="00EB38FD">
        <w:t>5-HT</w:t>
      </w:r>
      <w:r w:rsidRPr="00EB38FD">
        <w:rPr>
          <w:vertAlign w:val="subscript"/>
        </w:rPr>
        <w:t>3</w:t>
      </w:r>
      <w:r w:rsidRPr="00EB38FD">
        <w:t xml:space="preserve"> RA = serotonin receptor antagonist; Apre = aprepitant; </w:t>
      </w:r>
      <w:r w:rsidR="002F3C2E" w:rsidRPr="00EB38FD">
        <w:t xml:space="preserve">BiD = twice daily; </w:t>
      </w:r>
      <w:r w:rsidRPr="00EB38FD">
        <w:t>Dexa = dexamethasone; i.v. = intravenous; NE = netupitant; NEPA = netupitant/palonosetron; Ond = ondansetron; PA = palonosetron</w:t>
      </w:r>
      <w:r w:rsidRPr="00EB38FD">
        <w:tab/>
      </w:r>
    </w:p>
    <w:p w:rsidR="004947A7" w:rsidRPr="00EB38FD" w:rsidRDefault="004947A7" w:rsidP="004947A7">
      <w:pPr>
        <w:pStyle w:val="TableFooter"/>
        <w:ind w:left="720"/>
      </w:pPr>
      <w:r w:rsidRPr="00EB38FD">
        <w:rPr>
          <w:vertAlign w:val="superscript"/>
        </w:rPr>
        <w:t>a</w:t>
      </w:r>
      <w:r w:rsidRPr="00EB38FD">
        <w:t xml:space="preserve"> Dexamethasone schedule: </w:t>
      </w:r>
      <w:r w:rsidR="007A4029" w:rsidRPr="00EB38FD">
        <w:t xml:space="preserve">day 1: </w:t>
      </w:r>
      <w:r w:rsidRPr="00EB38FD">
        <w:t>12 mg</w:t>
      </w:r>
      <w:r w:rsidR="007A4029" w:rsidRPr="00EB38FD">
        <w:t>; day 2-4:</w:t>
      </w:r>
      <w:r w:rsidRPr="00EB38FD">
        <w:t xml:space="preserve"> 8 mg </w:t>
      </w:r>
      <w:r w:rsidR="007A4029" w:rsidRPr="00EB38FD">
        <w:t xml:space="preserve">once </w:t>
      </w:r>
      <w:r w:rsidRPr="00EB38FD">
        <w:t xml:space="preserve">daily </w:t>
      </w:r>
    </w:p>
    <w:p w:rsidR="007A4029" w:rsidRPr="00EB38FD" w:rsidRDefault="007A4029" w:rsidP="004947A7">
      <w:pPr>
        <w:pStyle w:val="TableFooter"/>
        <w:ind w:left="720"/>
      </w:pPr>
      <w:r w:rsidRPr="00EB38FD">
        <w:rPr>
          <w:vertAlign w:val="superscript"/>
        </w:rPr>
        <w:t>b</w:t>
      </w:r>
      <w:r w:rsidRPr="00EB38FD">
        <w:t xml:space="preserve"> Dexamethasone schedule: day 1: 20 mg; day 2-4: 8 mg twice daily</w:t>
      </w:r>
    </w:p>
    <w:p w:rsidR="004947A7" w:rsidRPr="00EB38FD" w:rsidRDefault="007A4029" w:rsidP="004947A7">
      <w:pPr>
        <w:pStyle w:val="TableFooter"/>
        <w:ind w:left="720"/>
      </w:pPr>
      <w:r w:rsidRPr="00EB38FD">
        <w:rPr>
          <w:vertAlign w:val="superscript"/>
        </w:rPr>
        <w:t>c</w:t>
      </w:r>
      <w:r w:rsidR="004947A7" w:rsidRPr="00EB38FD">
        <w:t xml:space="preserve"> Apre 3-day dosing schedule was 125 mg oral aprepitant on day 1 and 80 mg oral aprepitant on days 2 and 3</w:t>
      </w:r>
    </w:p>
    <w:p w:rsidR="004947A7" w:rsidRPr="00EB38FD" w:rsidRDefault="007A4029" w:rsidP="004947A7">
      <w:pPr>
        <w:pStyle w:val="TableFooter"/>
        <w:ind w:left="720"/>
      </w:pPr>
      <w:r w:rsidRPr="00EB38FD">
        <w:rPr>
          <w:vertAlign w:val="superscript"/>
        </w:rPr>
        <w:t>d</w:t>
      </w:r>
      <w:r w:rsidR="004947A7" w:rsidRPr="00EB38FD">
        <w:t xml:space="preserve"> Dexamethasone schedule: Day 1: 12 mg; Day 2-4: 8 mg daily (only for those patients on highly emetic chemotherapy). </w:t>
      </w:r>
    </w:p>
    <w:p w:rsidR="007A4029" w:rsidRPr="00EB38FD" w:rsidRDefault="002D4552" w:rsidP="004947A7">
      <w:pPr>
        <w:pStyle w:val="TableFooter"/>
        <w:ind w:left="720"/>
      </w:pPr>
      <w:r w:rsidRPr="00EB38FD">
        <w:rPr>
          <w:vertAlign w:val="superscript"/>
        </w:rPr>
        <w:t>e</w:t>
      </w:r>
      <w:r w:rsidR="007A4029" w:rsidRPr="00EB38FD">
        <w:t xml:space="preserve"> Dexamethasone provided on day 1 only </w:t>
      </w:r>
    </w:p>
    <w:p w:rsidR="00245F51" w:rsidRPr="00260082" w:rsidRDefault="00245F51" w:rsidP="004947A7">
      <w:pPr>
        <w:pStyle w:val="ListParagraph"/>
        <w:widowControl/>
        <w:rPr>
          <w:szCs w:val="22"/>
        </w:rPr>
      </w:pPr>
    </w:p>
    <w:p w:rsidR="001C70B9" w:rsidRPr="00EB38FD" w:rsidRDefault="00EC185B" w:rsidP="004A2158">
      <w:pPr>
        <w:pStyle w:val="ListParagraph"/>
        <w:widowControl/>
        <w:numPr>
          <w:ilvl w:val="1"/>
          <w:numId w:val="4"/>
        </w:numPr>
        <w:rPr>
          <w:szCs w:val="22"/>
        </w:rPr>
      </w:pPr>
      <w:r w:rsidRPr="00260082">
        <w:t>Ondansetron was</w:t>
      </w:r>
      <w:r w:rsidR="001C70B9" w:rsidRPr="00260082">
        <w:t xml:space="preserve"> </w:t>
      </w:r>
      <w:r w:rsidR="002F65E8" w:rsidRPr="00260082">
        <w:t xml:space="preserve">administered </w:t>
      </w:r>
      <w:r w:rsidR="00A501B5">
        <w:t xml:space="preserve">in trial </w:t>
      </w:r>
      <w:r w:rsidR="000429AA" w:rsidRPr="00260082">
        <w:t xml:space="preserve">NETU-07-07 </w:t>
      </w:r>
      <w:r w:rsidR="001C70B9" w:rsidRPr="00260082">
        <w:t>at a higher dose</w:t>
      </w:r>
      <w:r w:rsidR="00A501B5">
        <w:t xml:space="preserve"> </w:t>
      </w:r>
      <w:r w:rsidR="00A501B5" w:rsidRPr="00260082">
        <w:t>(32 mg</w:t>
      </w:r>
      <w:r w:rsidR="00A501B5" w:rsidRPr="00A501B5">
        <w:t xml:space="preserve"> </w:t>
      </w:r>
      <w:r w:rsidR="00A501B5" w:rsidRPr="00260082">
        <w:t>intravenous</w:t>
      </w:r>
      <w:r w:rsidR="00A501B5">
        <w:t>ly</w:t>
      </w:r>
      <w:r w:rsidR="00A501B5" w:rsidRPr="00260082">
        <w:t>)</w:t>
      </w:r>
      <w:r w:rsidR="001C70B9" w:rsidRPr="00260082">
        <w:t xml:space="preserve"> than </w:t>
      </w:r>
      <w:r w:rsidR="0074752B" w:rsidRPr="00260082">
        <w:t>recommended in</w:t>
      </w:r>
      <w:r w:rsidR="001C70B9" w:rsidRPr="00260082">
        <w:t xml:space="preserve"> Australian </w:t>
      </w:r>
      <w:r w:rsidR="0074752B" w:rsidRPr="00260082">
        <w:t>practice</w:t>
      </w:r>
      <w:r w:rsidR="002F65E8" w:rsidRPr="00260082">
        <w:t xml:space="preserve"> (</w:t>
      </w:r>
      <w:r w:rsidR="002F65E8">
        <w:t>8</w:t>
      </w:r>
      <w:r w:rsidR="007232A7">
        <w:t xml:space="preserve"> </w:t>
      </w:r>
      <w:r w:rsidR="002F65E8">
        <w:t>mg</w:t>
      </w:r>
      <w:r w:rsidR="00A501B5">
        <w:t xml:space="preserve"> </w:t>
      </w:r>
      <w:r w:rsidR="007232A7">
        <w:t>–</w:t>
      </w:r>
      <w:r w:rsidR="002F65E8">
        <w:t xml:space="preserve"> 16</w:t>
      </w:r>
      <w:r w:rsidR="007232A7">
        <w:t xml:space="preserve"> </w:t>
      </w:r>
      <w:r w:rsidR="002F65E8">
        <w:t>mg)</w:t>
      </w:r>
      <w:r w:rsidR="001C70B9" w:rsidRPr="00FB40BE">
        <w:t xml:space="preserve"> limiting the </w:t>
      </w:r>
      <w:r w:rsidR="007232A7">
        <w:t>generalis</w:t>
      </w:r>
      <w:r w:rsidR="00A501B5">
        <w:t xml:space="preserve">ability of the outcomes of study NETU-07-07 to the </w:t>
      </w:r>
      <w:r w:rsidR="000429AA" w:rsidRPr="00FB40BE">
        <w:t>Australian setting</w:t>
      </w:r>
      <w:r w:rsidR="001C70B9" w:rsidRPr="00FB40BE">
        <w:t>.</w:t>
      </w:r>
      <w:r w:rsidR="001C70B9">
        <w:rPr>
          <w:i/>
        </w:rPr>
        <w:t xml:space="preserve"> </w:t>
      </w:r>
      <w:r w:rsidR="001C70B9" w:rsidRPr="00FB40BE">
        <w:t xml:space="preserve">For the indirect comparison the common comparator </w:t>
      </w:r>
      <w:r w:rsidR="002D4552" w:rsidRPr="00FB40BE">
        <w:t>(</w:t>
      </w:r>
      <w:r w:rsidR="001C70B9" w:rsidRPr="00FB40BE">
        <w:t>5-HT</w:t>
      </w:r>
      <w:r w:rsidR="001C70B9" w:rsidRPr="00FB40BE">
        <w:rPr>
          <w:vertAlign w:val="subscript"/>
        </w:rPr>
        <w:t xml:space="preserve">3 </w:t>
      </w:r>
      <w:r w:rsidR="001C70B9" w:rsidRPr="00FB40BE">
        <w:t>RA</w:t>
      </w:r>
      <w:r w:rsidR="002D4552" w:rsidRPr="00FB40BE">
        <w:t>)</w:t>
      </w:r>
      <w:r w:rsidR="001C70B9" w:rsidRPr="00FB40BE">
        <w:t xml:space="preserve"> was </w:t>
      </w:r>
      <w:r w:rsidR="007A4029" w:rsidRPr="00FB40BE">
        <w:t>different</w:t>
      </w:r>
      <w:r w:rsidR="004947A7" w:rsidRPr="00FB40BE">
        <w:t xml:space="preserve">, i.e. </w:t>
      </w:r>
      <w:r w:rsidR="002D4552" w:rsidRPr="00FB40BE">
        <w:t>palonosetron</w:t>
      </w:r>
      <w:r w:rsidR="00114C5A" w:rsidRPr="00FB40BE">
        <w:t xml:space="preserve"> (oral</w:t>
      </w:r>
      <w:r w:rsidR="003118CB" w:rsidRPr="00FB40BE">
        <w:t>, 0.5mg daily</w:t>
      </w:r>
      <w:r w:rsidR="00114C5A" w:rsidRPr="00FB40BE">
        <w:t>)</w:t>
      </w:r>
      <w:r w:rsidR="002D4552" w:rsidRPr="00FB40BE">
        <w:t xml:space="preserve"> </w:t>
      </w:r>
      <w:r w:rsidR="004947A7" w:rsidRPr="00FB40BE">
        <w:t xml:space="preserve">in </w:t>
      </w:r>
      <w:r w:rsidR="00AA5D6D" w:rsidRPr="00FB40BE">
        <w:t>NETU-08-18</w:t>
      </w:r>
      <w:r w:rsidR="004947A7" w:rsidRPr="00FB40BE">
        <w:t xml:space="preserve"> </w:t>
      </w:r>
      <w:r w:rsidR="002D4552" w:rsidRPr="00FB40BE">
        <w:t xml:space="preserve">and ondansetron </w:t>
      </w:r>
      <w:r w:rsidR="00114C5A" w:rsidRPr="00FB40BE">
        <w:t>(oral</w:t>
      </w:r>
      <w:r w:rsidR="003118CB" w:rsidRPr="00FB40BE">
        <w:t>, 8mg BD</w:t>
      </w:r>
      <w:r w:rsidR="00114C5A" w:rsidRPr="00FB40BE">
        <w:t xml:space="preserve">) </w:t>
      </w:r>
      <w:r w:rsidR="002D4552" w:rsidRPr="00FB40BE">
        <w:t xml:space="preserve">in </w:t>
      </w:r>
      <w:r w:rsidR="00AA5D6D" w:rsidRPr="00FB40BE">
        <w:t>Trial 071</w:t>
      </w:r>
      <w:r w:rsidR="001C70B9" w:rsidRPr="00FB40BE">
        <w:t>.</w:t>
      </w:r>
      <w:r w:rsidR="003118CB" w:rsidRPr="00FB40BE">
        <w:t xml:space="preserve"> </w:t>
      </w:r>
      <w:r w:rsidR="003118CB" w:rsidRPr="00EB38FD">
        <w:t xml:space="preserve">Whether palonosetron (oral 0.5mg) and ondansetron (oral 8mg </w:t>
      </w:r>
      <w:r w:rsidR="00F430AA">
        <w:t>BD</w:t>
      </w:r>
      <w:r w:rsidR="003118CB" w:rsidRPr="00EB38FD">
        <w:t xml:space="preserve">) are equivalent has not been addressed in the submission. </w:t>
      </w:r>
    </w:p>
    <w:p w:rsidR="00EE38FD" w:rsidRDefault="00EE38FD" w:rsidP="004A2158">
      <w:pPr>
        <w:widowControl/>
        <w:ind w:left="720"/>
        <w:rPr>
          <w:i/>
        </w:rPr>
      </w:pPr>
    </w:p>
    <w:p w:rsidR="00C54FA6" w:rsidRPr="00EB38FD" w:rsidRDefault="00260082" w:rsidP="004A2158">
      <w:pPr>
        <w:pStyle w:val="ListParagraph"/>
        <w:widowControl/>
        <w:numPr>
          <w:ilvl w:val="1"/>
          <w:numId w:val="4"/>
        </w:numPr>
        <w:rPr>
          <w:szCs w:val="22"/>
        </w:rPr>
      </w:pPr>
      <w:r w:rsidRPr="00FB40BE">
        <w:t>The comparison between NEPA vs. aprepitant plus a 5-HT</w:t>
      </w:r>
      <w:r w:rsidRPr="00FB40BE">
        <w:rPr>
          <w:vertAlign w:val="subscript"/>
        </w:rPr>
        <w:t>3</w:t>
      </w:r>
      <w:r w:rsidRPr="00FB40BE">
        <w:t xml:space="preserve"> RA was an exploratory analysis in the two direct trials, as the main analysis in NETU-07-07 was between NE+PA vs. oral palonosetron monotherapy </w:t>
      </w:r>
      <w:r>
        <w:t xml:space="preserve">while </w:t>
      </w:r>
      <w:r w:rsidRPr="00FB40BE">
        <w:t>NETU-10-29</w:t>
      </w:r>
      <w:r>
        <w:t xml:space="preserve"> was a safety study of NEPA in initial and repeated cycles with efficacy as a secondary outcome</w:t>
      </w:r>
      <w:r w:rsidRPr="00EB38FD">
        <w:t>. In this latter trial, the aprepitant plus 5-HT</w:t>
      </w:r>
      <w:r w:rsidRPr="00EB38FD">
        <w:rPr>
          <w:vertAlign w:val="subscript"/>
        </w:rPr>
        <w:t>3</w:t>
      </w:r>
      <w:r w:rsidRPr="00EB38FD">
        <w:t xml:space="preserve"> RA group was included to help interpret </w:t>
      </w:r>
      <w:r w:rsidRPr="00EB38FD">
        <w:lastRenderedPageBreak/>
        <w:t xml:space="preserve">unexpected safety findings in the experimental arm. The ESC noted that prior use of NK1 inhibitors (i.e. aprepitant) varied across the clinical trial populations. </w:t>
      </w:r>
      <w:r w:rsidR="00530243" w:rsidRPr="00EB38FD">
        <w:t xml:space="preserve"> </w:t>
      </w:r>
    </w:p>
    <w:p w:rsidR="00BE34DF" w:rsidRDefault="00BE34DF" w:rsidP="004A2158">
      <w:pPr>
        <w:widowControl/>
        <w:rPr>
          <w:szCs w:val="22"/>
        </w:rPr>
      </w:pPr>
    </w:p>
    <w:p w:rsidR="005677AF" w:rsidRPr="00BB7EC3" w:rsidRDefault="005677AF" w:rsidP="005677AF">
      <w:pPr>
        <w:pStyle w:val="ListParagraph"/>
        <w:ind w:left="709"/>
        <w:rPr>
          <w:i/>
          <w:szCs w:val="22"/>
        </w:rPr>
      </w:pPr>
      <w:r>
        <w:rPr>
          <w:i/>
          <w:szCs w:val="22"/>
        </w:rPr>
        <w:t>For more detail on PBAC’s view, see section 7 “PBAC outcome”</w:t>
      </w:r>
    </w:p>
    <w:p w:rsidR="005677AF" w:rsidRDefault="005677AF" w:rsidP="004A2158">
      <w:pPr>
        <w:widowControl/>
        <w:rPr>
          <w:szCs w:val="22"/>
        </w:rPr>
      </w:pPr>
    </w:p>
    <w:p w:rsidR="00BE34DF" w:rsidRPr="00EC185B" w:rsidRDefault="00BE34DF" w:rsidP="001C33BF">
      <w:pPr>
        <w:pStyle w:val="Heading2"/>
      </w:pPr>
      <w:bookmarkStart w:id="9" w:name="_Toc409535759"/>
      <w:r w:rsidRPr="00EC185B">
        <w:t>Comparative effectiveness</w:t>
      </w:r>
      <w:bookmarkEnd w:id="9"/>
    </w:p>
    <w:p w:rsidR="00BE34DF" w:rsidRPr="00882085" w:rsidRDefault="00BE34DF" w:rsidP="004A2158">
      <w:pPr>
        <w:widowControl/>
        <w:rPr>
          <w:szCs w:val="22"/>
        </w:rPr>
      </w:pPr>
    </w:p>
    <w:p w:rsidR="00BE34DF" w:rsidRDefault="00BE34DF" w:rsidP="004A2158">
      <w:pPr>
        <w:pStyle w:val="ListParagraph"/>
        <w:widowControl/>
        <w:numPr>
          <w:ilvl w:val="1"/>
          <w:numId w:val="4"/>
        </w:numPr>
        <w:rPr>
          <w:szCs w:val="22"/>
        </w:rPr>
      </w:pPr>
      <w:r w:rsidRPr="00C333B5">
        <w:rPr>
          <w:szCs w:val="22"/>
        </w:rPr>
        <w:t xml:space="preserve">The submission </w:t>
      </w:r>
      <w:r w:rsidR="00A76D48">
        <w:rPr>
          <w:szCs w:val="22"/>
        </w:rPr>
        <w:t xml:space="preserve">reported </w:t>
      </w:r>
      <w:r w:rsidR="0074752B">
        <w:rPr>
          <w:szCs w:val="22"/>
        </w:rPr>
        <w:t>‘</w:t>
      </w:r>
      <w:r w:rsidRPr="00C333B5">
        <w:rPr>
          <w:szCs w:val="22"/>
        </w:rPr>
        <w:t>complete response</w:t>
      </w:r>
      <w:r w:rsidR="0074752B">
        <w:rPr>
          <w:szCs w:val="22"/>
        </w:rPr>
        <w:t>’</w:t>
      </w:r>
      <w:r w:rsidR="00EE38FD">
        <w:rPr>
          <w:szCs w:val="22"/>
        </w:rPr>
        <w:t xml:space="preserve">, </w:t>
      </w:r>
      <w:r w:rsidR="0074752B">
        <w:rPr>
          <w:szCs w:val="22"/>
        </w:rPr>
        <w:t>defined as</w:t>
      </w:r>
      <w:r w:rsidR="00EE38FD">
        <w:rPr>
          <w:szCs w:val="22"/>
        </w:rPr>
        <w:t xml:space="preserve"> </w:t>
      </w:r>
      <w:r w:rsidRPr="00C333B5">
        <w:rPr>
          <w:szCs w:val="22"/>
        </w:rPr>
        <w:t xml:space="preserve">no emesis </w:t>
      </w:r>
      <w:r w:rsidR="002F3C2E">
        <w:rPr>
          <w:szCs w:val="22"/>
        </w:rPr>
        <w:t>(acute, delayed or overall)</w:t>
      </w:r>
      <w:r w:rsidR="007A4029">
        <w:rPr>
          <w:szCs w:val="22"/>
        </w:rPr>
        <w:t xml:space="preserve"> </w:t>
      </w:r>
      <w:r w:rsidRPr="00C333B5">
        <w:rPr>
          <w:szCs w:val="22"/>
        </w:rPr>
        <w:t>and ‘no use of rescue medication’</w:t>
      </w:r>
      <w:r w:rsidR="00EE38FD">
        <w:rPr>
          <w:szCs w:val="22"/>
        </w:rPr>
        <w:t>,</w:t>
      </w:r>
      <w:r w:rsidRPr="00C333B5">
        <w:rPr>
          <w:szCs w:val="22"/>
        </w:rPr>
        <w:t xml:space="preserve"> as the main primary outcome</w:t>
      </w:r>
      <w:r w:rsidR="007E2118">
        <w:rPr>
          <w:szCs w:val="22"/>
        </w:rPr>
        <w:t>s</w:t>
      </w:r>
      <w:r w:rsidR="0089749B">
        <w:rPr>
          <w:szCs w:val="22"/>
        </w:rPr>
        <w:t>.</w:t>
      </w:r>
    </w:p>
    <w:p w:rsidR="00BE34DF" w:rsidRDefault="00BE34DF" w:rsidP="004A2158">
      <w:pPr>
        <w:pStyle w:val="PBACHeading1"/>
        <w:numPr>
          <w:ilvl w:val="0"/>
          <w:numId w:val="0"/>
        </w:numPr>
        <w:ind w:left="720" w:hanging="720"/>
      </w:pPr>
    </w:p>
    <w:p w:rsidR="00BE34DF" w:rsidRDefault="00BE34DF" w:rsidP="004A2158">
      <w:pPr>
        <w:keepNext/>
        <w:widowControl/>
        <w:ind w:left="720"/>
        <w:rPr>
          <w:rStyle w:val="CommentReference"/>
        </w:rPr>
      </w:pPr>
      <w:r>
        <w:rPr>
          <w:rStyle w:val="CommentReference"/>
        </w:rPr>
        <w:t xml:space="preserve">Results for complete response </w:t>
      </w:r>
      <w:r w:rsidRPr="00F851CE">
        <w:rPr>
          <w:rStyle w:val="CommentReference"/>
        </w:rPr>
        <w:t xml:space="preserve">across </w:t>
      </w:r>
      <w:r w:rsidR="007A4029">
        <w:rPr>
          <w:rStyle w:val="CommentReference"/>
          <w:rFonts w:cs="Times New Roman"/>
        </w:rPr>
        <w:t xml:space="preserve">the </w:t>
      </w:r>
      <w:r w:rsidR="00215D60">
        <w:rPr>
          <w:rStyle w:val="CommentReference"/>
          <w:rFonts w:cs="Times New Roman"/>
        </w:rPr>
        <w:t>d</w:t>
      </w:r>
      <w:r w:rsidRPr="00F851CE">
        <w:rPr>
          <w:rStyle w:val="CommentReference"/>
        </w:rPr>
        <w:t>irect randomised trials</w:t>
      </w:r>
      <w:r w:rsidR="002D4552">
        <w:rPr>
          <w:rStyle w:val="CommentReference"/>
        </w:rPr>
        <w:t xml:space="preserve"> </w:t>
      </w:r>
      <w:r w:rsidR="002D4552" w:rsidRPr="002D4552">
        <w:rPr>
          <w:rStyle w:val="CommentReference"/>
          <w:vertAlign w:val="superscript"/>
        </w:rPr>
        <w:t>a</w:t>
      </w:r>
    </w:p>
    <w:tbl>
      <w:tblPr>
        <w:tblW w:w="0" w:type="auto"/>
        <w:tblInd w:w="737" w:type="dxa"/>
        <w:tblLayout w:type="fixed"/>
        <w:tblCellMar>
          <w:left w:w="28" w:type="dxa"/>
          <w:right w:w="28" w:type="dxa"/>
        </w:tblCellMar>
        <w:tblLook w:val="04A0" w:firstRow="1" w:lastRow="0" w:firstColumn="1" w:lastColumn="0" w:noHBand="0" w:noVBand="1"/>
        <w:tblCaption w:val="Comparative effectiveness"/>
      </w:tblPr>
      <w:tblGrid>
        <w:gridCol w:w="1418"/>
        <w:gridCol w:w="1417"/>
        <w:gridCol w:w="1276"/>
        <w:gridCol w:w="1417"/>
        <w:gridCol w:w="1276"/>
        <w:gridCol w:w="1541"/>
      </w:tblGrid>
      <w:tr w:rsidR="00075773" w:rsidRPr="00CF2712" w:rsidTr="005B099A">
        <w:trPr>
          <w:trHeight w:val="20"/>
          <w:tblHeader/>
        </w:trPr>
        <w:tc>
          <w:tcPr>
            <w:tcW w:w="1418"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075773" w:rsidRPr="00CF2712" w:rsidRDefault="00075773" w:rsidP="004A2158">
            <w:pPr>
              <w:pStyle w:val="Tabletext"/>
              <w:keepNext/>
              <w:jc w:val="center"/>
              <w:rPr>
                <w:b/>
                <w:lang w:val="en-GB" w:eastAsia="en-GB"/>
              </w:rPr>
            </w:pPr>
            <w:r w:rsidRPr="00CF2712">
              <w:rPr>
                <w:b/>
                <w:lang w:eastAsia="en-GB"/>
              </w:rPr>
              <w:t>Trial ID</w:t>
            </w:r>
          </w:p>
        </w:tc>
        <w:tc>
          <w:tcPr>
            <w:tcW w:w="1417" w:type="dxa"/>
            <w:tcBorders>
              <w:top w:val="single" w:sz="8" w:space="0" w:color="auto"/>
              <w:left w:val="nil"/>
              <w:right w:val="single" w:sz="4" w:space="0" w:color="auto"/>
            </w:tcBorders>
            <w:vAlign w:val="center"/>
          </w:tcPr>
          <w:p w:rsidR="00075773" w:rsidRPr="00CF2712" w:rsidRDefault="00AD2874" w:rsidP="004A2158">
            <w:pPr>
              <w:pStyle w:val="Tabletext"/>
              <w:keepNext/>
              <w:jc w:val="center"/>
              <w:rPr>
                <w:b/>
                <w:vertAlign w:val="superscript"/>
                <w:lang w:eastAsia="en-GB"/>
              </w:rPr>
            </w:pPr>
            <w:r w:rsidRPr="00CF2712">
              <w:rPr>
                <w:b/>
                <w:lang w:eastAsia="en-GB"/>
              </w:rPr>
              <w:t>NEPA</w:t>
            </w:r>
            <w:r w:rsidR="00075773" w:rsidRPr="00CF2712">
              <w:rPr>
                <w:b/>
                <w:lang w:eastAsia="en-GB"/>
              </w:rPr>
              <w:t xml:space="preserve"> </w:t>
            </w:r>
            <w:r w:rsidR="00075773" w:rsidRPr="00CF2712">
              <w:rPr>
                <w:b/>
                <w:vertAlign w:val="superscript"/>
                <w:lang w:eastAsia="en-GB"/>
              </w:rPr>
              <w:t>a</w:t>
            </w:r>
          </w:p>
          <w:p w:rsidR="00075773" w:rsidRPr="00CF2712" w:rsidRDefault="00655017" w:rsidP="004A2158">
            <w:pPr>
              <w:pStyle w:val="Tabletext"/>
              <w:keepNext/>
              <w:jc w:val="center"/>
              <w:rPr>
                <w:b/>
                <w:lang w:eastAsia="en-GB"/>
              </w:rPr>
            </w:pPr>
            <w:r w:rsidRPr="00CF2712">
              <w:rPr>
                <w:b/>
                <w:lang w:eastAsia="en-GB"/>
              </w:rPr>
              <w:t>n/N (</w:t>
            </w:r>
            <w:r w:rsidR="00075773" w:rsidRPr="00CF2712">
              <w:rPr>
                <w:b/>
                <w:lang w:eastAsia="en-GB"/>
              </w:rPr>
              <w:t>%</w:t>
            </w:r>
            <w:r w:rsidRPr="00CF2712">
              <w:rPr>
                <w:b/>
                <w:lang w:eastAsia="en-GB"/>
              </w:rPr>
              <w:t>)</w:t>
            </w:r>
          </w:p>
        </w:tc>
        <w:tc>
          <w:tcPr>
            <w:tcW w:w="1276" w:type="dxa"/>
            <w:tcBorders>
              <w:top w:val="single" w:sz="8" w:space="0" w:color="auto"/>
              <w:left w:val="single" w:sz="4" w:space="0" w:color="auto"/>
              <w:right w:val="single" w:sz="8" w:space="0" w:color="auto"/>
            </w:tcBorders>
            <w:shd w:val="clear" w:color="auto" w:fill="auto"/>
            <w:vAlign w:val="center"/>
            <w:hideMark/>
          </w:tcPr>
          <w:p w:rsidR="00075773" w:rsidRPr="00CF2712" w:rsidRDefault="00AD2874" w:rsidP="004A2158">
            <w:pPr>
              <w:pStyle w:val="Tabletext"/>
              <w:keepNext/>
              <w:jc w:val="center"/>
              <w:rPr>
                <w:b/>
                <w:lang w:eastAsia="en-GB"/>
              </w:rPr>
            </w:pPr>
            <w:r w:rsidRPr="00CF2712">
              <w:rPr>
                <w:b/>
                <w:lang w:eastAsia="en-GB"/>
              </w:rPr>
              <w:t>PA</w:t>
            </w:r>
          </w:p>
          <w:p w:rsidR="00075773" w:rsidRPr="00CF2712" w:rsidRDefault="00655017" w:rsidP="004A2158">
            <w:pPr>
              <w:pStyle w:val="Tabletext"/>
              <w:keepNext/>
              <w:jc w:val="center"/>
              <w:rPr>
                <w:b/>
                <w:lang w:eastAsia="en-GB"/>
              </w:rPr>
            </w:pPr>
            <w:r w:rsidRPr="00CF2712">
              <w:rPr>
                <w:b/>
                <w:lang w:eastAsia="en-GB"/>
              </w:rPr>
              <w:t>n/N (</w:t>
            </w:r>
            <w:r w:rsidR="00075773" w:rsidRPr="00CF2712">
              <w:rPr>
                <w:b/>
                <w:lang w:eastAsia="en-GB"/>
              </w:rPr>
              <w:t>%</w:t>
            </w:r>
            <w:r w:rsidRPr="00CF2712">
              <w:rPr>
                <w:b/>
                <w:lang w:eastAsia="en-GB"/>
              </w:rPr>
              <w:t>)</w:t>
            </w:r>
          </w:p>
        </w:tc>
        <w:tc>
          <w:tcPr>
            <w:tcW w:w="1417" w:type="dxa"/>
            <w:tcBorders>
              <w:top w:val="single" w:sz="8" w:space="0" w:color="auto"/>
              <w:left w:val="nil"/>
              <w:right w:val="single" w:sz="8" w:space="0" w:color="auto"/>
            </w:tcBorders>
            <w:shd w:val="clear" w:color="auto" w:fill="auto"/>
            <w:vAlign w:val="center"/>
            <w:hideMark/>
          </w:tcPr>
          <w:p w:rsidR="00075773" w:rsidRPr="00CF2712" w:rsidRDefault="00075773" w:rsidP="004A2158">
            <w:pPr>
              <w:pStyle w:val="Tabletext"/>
              <w:keepNext/>
              <w:jc w:val="center"/>
              <w:rPr>
                <w:b/>
                <w:vertAlign w:val="subscript"/>
                <w:lang w:eastAsia="en-GB"/>
              </w:rPr>
            </w:pPr>
            <w:r w:rsidRPr="00CF2712">
              <w:rPr>
                <w:b/>
                <w:lang w:eastAsia="en-GB"/>
              </w:rPr>
              <w:t>Apre + 5-HT</w:t>
            </w:r>
            <w:r w:rsidRPr="00CF2712">
              <w:rPr>
                <w:b/>
                <w:vertAlign w:val="subscript"/>
                <w:lang w:eastAsia="en-GB"/>
              </w:rPr>
              <w:t>3</w:t>
            </w:r>
            <w:r w:rsidR="00AD2874" w:rsidRPr="00CF2712">
              <w:rPr>
                <w:b/>
                <w:vertAlign w:val="subscript"/>
                <w:lang w:eastAsia="en-GB"/>
              </w:rPr>
              <w:t xml:space="preserve"> </w:t>
            </w:r>
            <w:r w:rsidR="00AD2874" w:rsidRPr="00CF2712">
              <w:rPr>
                <w:b/>
                <w:lang w:eastAsia="en-GB"/>
              </w:rPr>
              <w:t>RA</w:t>
            </w:r>
          </w:p>
          <w:p w:rsidR="00075773" w:rsidRPr="00CF2712" w:rsidRDefault="00075773" w:rsidP="004A2158">
            <w:pPr>
              <w:pStyle w:val="Tabletext"/>
              <w:keepNext/>
              <w:jc w:val="center"/>
              <w:rPr>
                <w:b/>
                <w:lang w:val="en-GB" w:eastAsia="en-GB"/>
              </w:rPr>
            </w:pPr>
            <w:r w:rsidRPr="00CF2712">
              <w:rPr>
                <w:b/>
                <w:lang w:eastAsia="en-GB"/>
              </w:rPr>
              <w:t>n/N (%)</w:t>
            </w:r>
          </w:p>
        </w:tc>
        <w:tc>
          <w:tcPr>
            <w:tcW w:w="1276" w:type="dxa"/>
            <w:tcBorders>
              <w:top w:val="single" w:sz="8" w:space="0" w:color="auto"/>
              <w:left w:val="nil"/>
              <w:right w:val="single" w:sz="8" w:space="0" w:color="auto"/>
            </w:tcBorders>
            <w:shd w:val="clear" w:color="auto" w:fill="auto"/>
            <w:vAlign w:val="center"/>
            <w:hideMark/>
          </w:tcPr>
          <w:p w:rsidR="00A92950" w:rsidRPr="00CF2712" w:rsidRDefault="00075773" w:rsidP="004A2158">
            <w:pPr>
              <w:pStyle w:val="Tabletext"/>
              <w:keepNext/>
              <w:jc w:val="center"/>
              <w:rPr>
                <w:b/>
                <w:lang w:eastAsia="en-GB"/>
              </w:rPr>
            </w:pPr>
            <w:r w:rsidRPr="00CF2712">
              <w:rPr>
                <w:b/>
                <w:lang w:eastAsia="en-GB"/>
              </w:rPr>
              <w:t>R</w:t>
            </w:r>
            <w:r w:rsidR="00655017" w:rsidRPr="00CF2712">
              <w:rPr>
                <w:b/>
                <w:lang w:eastAsia="en-GB"/>
              </w:rPr>
              <w:t>D</w:t>
            </w:r>
            <w:r w:rsidRPr="00CF2712">
              <w:rPr>
                <w:b/>
                <w:lang w:eastAsia="en-GB"/>
              </w:rPr>
              <w:t xml:space="preserve"> </w:t>
            </w:r>
            <w:r w:rsidR="00023CDE" w:rsidRPr="00CF2712">
              <w:rPr>
                <w:b/>
                <w:lang w:eastAsia="en-GB"/>
              </w:rPr>
              <w:t>(95% CI)</w:t>
            </w:r>
          </w:p>
          <w:p w:rsidR="00AD2874" w:rsidRPr="00CF2712" w:rsidRDefault="00A92950" w:rsidP="004A2158">
            <w:pPr>
              <w:pStyle w:val="Tabletext"/>
              <w:keepNext/>
              <w:jc w:val="center"/>
              <w:rPr>
                <w:b/>
                <w:lang w:eastAsia="en-GB"/>
              </w:rPr>
            </w:pPr>
            <w:r w:rsidRPr="00CF2712">
              <w:rPr>
                <w:b/>
                <w:lang w:eastAsia="en-GB"/>
              </w:rPr>
              <w:t>vs.</w:t>
            </w:r>
          </w:p>
          <w:p w:rsidR="00075773" w:rsidRPr="00CF2712" w:rsidRDefault="00AD2874" w:rsidP="004A2158">
            <w:pPr>
              <w:pStyle w:val="Tabletext"/>
              <w:keepNext/>
              <w:jc w:val="center"/>
              <w:rPr>
                <w:b/>
                <w:lang w:val="en-GB" w:eastAsia="en-GB"/>
              </w:rPr>
            </w:pPr>
            <w:r w:rsidRPr="00CF2712">
              <w:rPr>
                <w:b/>
                <w:lang w:eastAsia="en-GB"/>
              </w:rPr>
              <w:t>PA</w:t>
            </w:r>
          </w:p>
        </w:tc>
        <w:tc>
          <w:tcPr>
            <w:tcW w:w="1541" w:type="dxa"/>
            <w:tcBorders>
              <w:top w:val="single" w:sz="8" w:space="0" w:color="auto"/>
              <w:left w:val="nil"/>
              <w:right w:val="single" w:sz="8" w:space="0" w:color="auto"/>
            </w:tcBorders>
            <w:shd w:val="clear" w:color="auto" w:fill="auto"/>
            <w:vAlign w:val="center"/>
            <w:hideMark/>
          </w:tcPr>
          <w:p w:rsidR="00A92950" w:rsidRPr="00CF2712" w:rsidRDefault="00655017" w:rsidP="004A2158">
            <w:pPr>
              <w:pStyle w:val="Tabletext"/>
              <w:keepNext/>
              <w:jc w:val="center"/>
              <w:rPr>
                <w:b/>
                <w:lang w:eastAsia="en-GB"/>
              </w:rPr>
            </w:pPr>
            <w:r w:rsidRPr="00CF2712">
              <w:rPr>
                <w:b/>
                <w:lang w:eastAsia="en-GB"/>
              </w:rPr>
              <w:t xml:space="preserve">RD </w:t>
            </w:r>
            <w:r w:rsidR="00023CDE" w:rsidRPr="00CF2712">
              <w:rPr>
                <w:b/>
                <w:lang w:eastAsia="en-GB"/>
              </w:rPr>
              <w:t>(95% CI)</w:t>
            </w:r>
          </w:p>
          <w:p w:rsidR="00AD2874" w:rsidRPr="00CF2712" w:rsidRDefault="006C3E45" w:rsidP="004A2158">
            <w:pPr>
              <w:pStyle w:val="Tabletext"/>
              <w:keepNext/>
              <w:jc w:val="center"/>
              <w:rPr>
                <w:b/>
                <w:lang w:eastAsia="en-GB"/>
              </w:rPr>
            </w:pPr>
            <w:r w:rsidRPr="00CF2712">
              <w:rPr>
                <w:b/>
                <w:lang w:eastAsia="en-GB"/>
              </w:rPr>
              <w:t>v</w:t>
            </w:r>
            <w:r w:rsidR="00655017" w:rsidRPr="00CF2712">
              <w:rPr>
                <w:b/>
                <w:lang w:eastAsia="en-GB"/>
              </w:rPr>
              <w:t>s</w:t>
            </w:r>
            <w:r w:rsidRPr="00CF2712">
              <w:rPr>
                <w:b/>
                <w:lang w:eastAsia="en-GB"/>
              </w:rPr>
              <w:t>.</w:t>
            </w:r>
          </w:p>
          <w:p w:rsidR="00075773" w:rsidRPr="00CF2712" w:rsidRDefault="00075773" w:rsidP="004A2158">
            <w:pPr>
              <w:pStyle w:val="Tabletext"/>
              <w:keepNext/>
              <w:jc w:val="center"/>
              <w:rPr>
                <w:b/>
                <w:lang w:eastAsia="en-GB"/>
              </w:rPr>
            </w:pPr>
            <w:r w:rsidRPr="00CF2712">
              <w:rPr>
                <w:b/>
                <w:lang w:eastAsia="en-GB"/>
              </w:rPr>
              <w:t>Apre + 5-HT</w:t>
            </w:r>
            <w:r w:rsidRPr="00CF2712">
              <w:rPr>
                <w:b/>
                <w:vertAlign w:val="subscript"/>
                <w:lang w:eastAsia="en-GB"/>
              </w:rPr>
              <w:t>3</w:t>
            </w:r>
            <w:r w:rsidR="00AD2874" w:rsidRPr="00CF2712">
              <w:rPr>
                <w:b/>
                <w:vertAlign w:val="subscript"/>
                <w:lang w:eastAsia="en-GB"/>
              </w:rPr>
              <w:t xml:space="preserve"> </w:t>
            </w:r>
            <w:r w:rsidR="00AD2874" w:rsidRPr="00CF2712">
              <w:rPr>
                <w:b/>
                <w:lang w:eastAsia="en-GB"/>
              </w:rPr>
              <w:t>RA</w:t>
            </w:r>
          </w:p>
        </w:tc>
      </w:tr>
      <w:tr w:rsidR="00BE34DF" w:rsidRPr="00CF2712" w:rsidTr="00C91930">
        <w:trPr>
          <w:trHeight w:val="20"/>
        </w:trPr>
        <w:tc>
          <w:tcPr>
            <w:tcW w:w="834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BE34DF" w:rsidRPr="00CF2712" w:rsidRDefault="00BE34DF" w:rsidP="004A2158">
            <w:pPr>
              <w:pStyle w:val="Tabletext"/>
              <w:keepNext/>
              <w:rPr>
                <w:b/>
                <w:lang w:val="en-GB" w:eastAsia="en-GB"/>
              </w:rPr>
            </w:pPr>
            <w:r w:rsidRPr="00CF2712">
              <w:rPr>
                <w:b/>
                <w:lang w:eastAsia="en-GB"/>
              </w:rPr>
              <w:t xml:space="preserve">Highly </w:t>
            </w:r>
            <w:r w:rsidR="00E32B0A" w:rsidRPr="00CF2712">
              <w:rPr>
                <w:b/>
                <w:lang w:eastAsia="en-GB"/>
              </w:rPr>
              <w:t>emetogenic</w:t>
            </w:r>
            <w:r w:rsidRPr="00CF2712">
              <w:rPr>
                <w:b/>
                <w:lang w:eastAsia="en-GB"/>
              </w:rPr>
              <w:t xml:space="preserve"> chemotherapy</w:t>
            </w:r>
          </w:p>
        </w:tc>
      </w:tr>
      <w:tr w:rsidR="00A92950" w:rsidRPr="00CF2712" w:rsidTr="00C91930">
        <w:trPr>
          <w:trHeight w:val="20"/>
        </w:trPr>
        <w:tc>
          <w:tcPr>
            <w:tcW w:w="8345" w:type="dxa"/>
            <w:gridSpan w:val="6"/>
            <w:tcBorders>
              <w:top w:val="nil"/>
              <w:left w:val="single" w:sz="8" w:space="0" w:color="auto"/>
              <w:bottom w:val="single" w:sz="8" w:space="0" w:color="auto"/>
              <w:right w:val="single" w:sz="8" w:space="0" w:color="auto"/>
            </w:tcBorders>
            <w:shd w:val="clear" w:color="auto" w:fill="auto"/>
            <w:vAlign w:val="center"/>
            <w:hideMark/>
          </w:tcPr>
          <w:p w:rsidR="00A92950" w:rsidRPr="00CF2712" w:rsidRDefault="00A92950" w:rsidP="004A2158">
            <w:pPr>
              <w:pStyle w:val="Tabletext"/>
              <w:keepNext/>
              <w:rPr>
                <w:b/>
                <w:highlight w:val="yellow"/>
                <w:lang w:val="en-GB" w:eastAsia="en-GB"/>
              </w:rPr>
            </w:pPr>
            <w:r w:rsidRPr="00CF2712">
              <w:rPr>
                <w:b/>
                <w:lang w:eastAsia="en-GB"/>
              </w:rPr>
              <w:t xml:space="preserve">Acute (0-24 </w:t>
            </w:r>
            <w:r w:rsidR="00E247C8" w:rsidRPr="00CF2712">
              <w:rPr>
                <w:b/>
                <w:lang w:eastAsia="en-GB"/>
              </w:rPr>
              <w:t>hr.</w:t>
            </w:r>
            <w:r w:rsidRPr="00CF2712">
              <w:rPr>
                <w:b/>
                <w:lang w:eastAsia="en-GB"/>
              </w:rPr>
              <w:t>)</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NETU-07-07  </w:t>
            </w:r>
          </w:p>
        </w:tc>
        <w:tc>
          <w:tcPr>
            <w:tcW w:w="1417" w:type="dxa"/>
            <w:tcBorders>
              <w:top w:val="nil"/>
              <w:left w:val="nil"/>
              <w:bottom w:val="single" w:sz="8" w:space="0" w:color="auto"/>
              <w:right w:val="single" w:sz="4" w:space="0" w:color="auto"/>
            </w:tcBorders>
          </w:tcPr>
          <w:p w:rsidR="00655017" w:rsidRPr="00CF2712" w:rsidRDefault="00655017" w:rsidP="004A2158">
            <w:pPr>
              <w:pStyle w:val="Tabletext"/>
              <w:keepNext/>
              <w:jc w:val="center"/>
              <w:rPr>
                <w:lang w:eastAsia="en-GB"/>
              </w:rPr>
            </w:pPr>
            <w:r w:rsidRPr="00CF2712">
              <w:rPr>
                <w:lang w:eastAsia="en-GB"/>
              </w:rPr>
              <w:t>133/135 (98.5%)</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122/136 (89.7%)</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127/134 (94.8%)</w:t>
            </w:r>
          </w:p>
        </w:tc>
        <w:tc>
          <w:tcPr>
            <w:tcW w:w="1276" w:type="dxa"/>
            <w:tcBorders>
              <w:top w:val="nil"/>
              <w:left w:val="nil"/>
              <w:bottom w:val="single" w:sz="8" w:space="0" w:color="auto"/>
              <w:right w:val="single" w:sz="8" w:space="0" w:color="auto"/>
            </w:tcBorders>
            <w:shd w:val="clear" w:color="auto" w:fill="auto"/>
            <w:vAlign w:val="center"/>
            <w:hideMark/>
          </w:tcPr>
          <w:p w:rsidR="00655017" w:rsidRPr="00CF2712" w:rsidRDefault="00DD551D" w:rsidP="004A2158">
            <w:pPr>
              <w:pStyle w:val="Tabletext"/>
              <w:keepNext/>
              <w:jc w:val="center"/>
              <w:rPr>
                <w:b/>
                <w:lang w:val="en-GB" w:eastAsia="en-GB"/>
              </w:rPr>
            </w:pPr>
            <w:r w:rsidRPr="00CF2712">
              <w:rPr>
                <w:b/>
                <w:lang w:val="en-GB" w:eastAsia="en-GB"/>
              </w:rPr>
              <w:t>0.09 (0.03, 0.14)</w:t>
            </w:r>
          </w:p>
        </w:tc>
        <w:tc>
          <w:tcPr>
            <w:tcW w:w="1541"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keepNext/>
              <w:widowControl/>
              <w:jc w:val="center"/>
              <w:rPr>
                <w:rFonts w:ascii="Arial Narrow" w:hAnsi="Arial Narrow"/>
                <w:color w:val="000000"/>
                <w:sz w:val="20"/>
                <w:szCs w:val="18"/>
              </w:rPr>
            </w:pPr>
            <w:r w:rsidRPr="00CF2712">
              <w:rPr>
                <w:rFonts w:ascii="Arial Narrow" w:hAnsi="Arial Narrow"/>
                <w:color w:val="000000"/>
                <w:sz w:val="20"/>
                <w:szCs w:val="18"/>
              </w:rPr>
              <w:t>0.04 (-0.01, 0.08)</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NETU-10-29 </w:t>
            </w:r>
          </w:p>
        </w:tc>
        <w:tc>
          <w:tcPr>
            <w:tcW w:w="1417" w:type="dxa"/>
            <w:tcBorders>
              <w:top w:val="nil"/>
              <w:left w:val="nil"/>
              <w:bottom w:val="single" w:sz="8" w:space="0" w:color="auto"/>
              <w:right w:val="single" w:sz="4" w:space="0" w:color="auto"/>
            </w:tcBorders>
          </w:tcPr>
          <w:p w:rsidR="00655017" w:rsidRPr="00CF2712" w:rsidRDefault="00655017" w:rsidP="004A2158">
            <w:pPr>
              <w:pStyle w:val="Tabletext"/>
              <w:keepNext/>
              <w:jc w:val="center"/>
              <w:rPr>
                <w:lang w:eastAsia="en-GB"/>
              </w:rPr>
            </w:pPr>
            <w:r w:rsidRPr="00CF2712">
              <w:rPr>
                <w:lang w:eastAsia="en-GB"/>
              </w:rPr>
              <w:t>68/74 (91.9%)</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25/26 (96.2%)</w:t>
            </w:r>
          </w:p>
        </w:tc>
        <w:tc>
          <w:tcPr>
            <w:tcW w:w="1276"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N/A</w:t>
            </w:r>
          </w:p>
        </w:tc>
        <w:tc>
          <w:tcPr>
            <w:tcW w:w="1541"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keepNext/>
              <w:widowControl/>
              <w:jc w:val="center"/>
              <w:rPr>
                <w:rFonts w:ascii="Arial Narrow" w:hAnsi="Arial Narrow"/>
                <w:color w:val="000000"/>
                <w:sz w:val="20"/>
                <w:szCs w:val="18"/>
              </w:rPr>
            </w:pPr>
            <w:r w:rsidRPr="00CF2712">
              <w:rPr>
                <w:rFonts w:ascii="Arial Narrow" w:hAnsi="Arial Narrow"/>
                <w:color w:val="000000"/>
                <w:sz w:val="20"/>
                <w:szCs w:val="18"/>
              </w:rPr>
              <w:t>-0.04 (-0.14,</w:t>
            </w:r>
            <w:r w:rsidR="00C53652" w:rsidRPr="00CF2712">
              <w:rPr>
                <w:rFonts w:ascii="Arial Narrow" w:hAnsi="Arial Narrow"/>
                <w:color w:val="000000"/>
                <w:sz w:val="20"/>
                <w:szCs w:val="18"/>
              </w:rPr>
              <w:t xml:space="preserve"> </w:t>
            </w:r>
            <w:r w:rsidRPr="00CF2712">
              <w:rPr>
                <w:rFonts w:ascii="Arial Narrow" w:hAnsi="Arial Narrow"/>
                <w:color w:val="000000"/>
                <w:sz w:val="20"/>
                <w:szCs w:val="18"/>
              </w:rPr>
              <w:t>0.05)</w:t>
            </w:r>
          </w:p>
        </w:tc>
      </w:tr>
      <w:tr w:rsidR="00693A86" w:rsidRPr="00CF2712" w:rsidTr="00352601">
        <w:trPr>
          <w:trHeight w:val="20"/>
        </w:trPr>
        <w:tc>
          <w:tcPr>
            <w:tcW w:w="6804" w:type="dxa"/>
            <w:gridSpan w:val="5"/>
            <w:tcBorders>
              <w:top w:val="nil"/>
              <w:left w:val="single" w:sz="8" w:space="0" w:color="auto"/>
              <w:bottom w:val="single" w:sz="8" w:space="0" w:color="auto"/>
              <w:right w:val="single" w:sz="8" w:space="0" w:color="auto"/>
            </w:tcBorders>
            <w:shd w:val="clear" w:color="auto" w:fill="auto"/>
            <w:vAlign w:val="center"/>
            <w:hideMark/>
          </w:tcPr>
          <w:p w:rsidR="00693A86" w:rsidRPr="00CF2712" w:rsidRDefault="00693A86" w:rsidP="004A2158">
            <w:pPr>
              <w:pStyle w:val="Tabletext"/>
              <w:keepNext/>
              <w:rPr>
                <w:lang w:val="en-GB" w:eastAsia="en-GB"/>
              </w:rPr>
            </w:pPr>
            <w:r w:rsidRPr="00CF2712">
              <w:rPr>
                <w:lang w:eastAsia="en-GB"/>
              </w:rPr>
              <w:t>Meta-analysis</w:t>
            </w:r>
            <w:r w:rsidR="00C54FA6" w:rsidRPr="00CF2712">
              <w:rPr>
                <w:lang w:eastAsia="en-GB"/>
              </w:rPr>
              <w:t>, I</w:t>
            </w:r>
            <w:r w:rsidR="00C54FA6" w:rsidRPr="00CF2712">
              <w:rPr>
                <w:vertAlign w:val="superscript"/>
                <w:lang w:eastAsia="en-GB"/>
              </w:rPr>
              <w:t>2</w:t>
            </w:r>
            <w:r w:rsidR="00C54FA6" w:rsidRPr="00CF2712">
              <w:rPr>
                <w:lang w:eastAsia="en-GB"/>
              </w:rPr>
              <w:t xml:space="preserve"> = 55.0%</w:t>
            </w:r>
            <w:r w:rsidRPr="00CF2712">
              <w:rPr>
                <w:lang w:eastAsia="en-GB"/>
              </w:rPr>
              <w:t xml:space="preserve"> </w:t>
            </w:r>
          </w:p>
        </w:tc>
        <w:tc>
          <w:tcPr>
            <w:tcW w:w="1541" w:type="dxa"/>
            <w:tcBorders>
              <w:top w:val="nil"/>
              <w:left w:val="nil"/>
              <w:bottom w:val="single" w:sz="8" w:space="0" w:color="auto"/>
              <w:right w:val="single" w:sz="8" w:space="0" w:color="auto"/>
            </w:tcBorders>
            <w:shd w:val="clear" w:color="auto" w:fill="auto"/>
            <w:vAlign w:val="center"/>
            <w:hideMark/>
          </w:tcPr>
          <w:p w:rsidR="00693A86" w:rsidRPr="00CF2712" w:rsidRDefault="00693A86" w:rsidP="004A2158">
            <w:pPr>
              <w:pStyle w:val="Tabletext"/>
              <w:keepNext/>
              <w:jc w:val="center"/>
              <w:rPr>
                <w:vertAlign w:val="superscript"/>
                <w:lang w:val="en-GB" w:eastAsia="en-GB"/>
              </w:rPr>
            </w:pPr>
            <w:r w:rsidRPr="00CF2712">
              <w:rPr>
                <w:lang w:val="en-GB" w:eastAsia="en-GB"/>
              </w:rPr>
              <w:t xml:space="preserve">0.01 (-0.07, 0.09) </w:t>
            </w:r>
          </w:p>
        </w:tc>
      </w:tr>
      <w:tr w:rsidR="00655017" w:rsidRPr="00CF2712" w:rsidTr="00C91930">
        <w:trPr>
          <w:trHeight w:val="20"/>
        </w:trPr>
        <w:tc>
          <w:tcPr>
            <w:tcW w:w="8345" w:type="dxa"/>
            <w:gridSpan w:val="6"/>
            <w:tcBorders>
              <w:top w:val="nil"/>
              <w:left w:val="single" w:sz="8" w:space="0" w:color="auto"/>
              <w:bottom w:val="single" w:sz="8" w:space="0" w:color="auto"/>
              <w:right w:val="single" w:sz="8" w:space="0" w:color="auto"/>
            </w:tcBorders>
            <w:shd w:val="clear" w:color="auto" w:fill="auto"/>
            <w:vAlign w:val="center"/>
          </w:tcPr>
          <w:p w:rsidR="00655017" w:rsidRPr="00CF2712" w:rsidRDefault="00E247C8" w:rsidP="004A2158">
            <w:pPr>
              <w:pStyle w:val="Tabletext"/>
              <w:keepNext/>
              <w:rPr>
                <w:b/>
                <w:lang w:eastAsia="en-GB"/>
              </w:rPr>
            </w:pPr>
            <w:r w:rsidRPr="00CF2712">
              <w:rPr>
                <w:b/>
                <w:lang w:eastAsia="en-GB"/>
              </w:rPr>
              <w:t>Delayed (</w:t>
            </w:r>
            <w:r w:rsidR="00655017" w:rsidRPr="00CF2712">
              <w:rPr>
                <w:b/>
                <w:lang w:eastAsia="en-GB"/>
              </w:rPr>
              <w:t xml:space="preserve">25-120 </w:t>
            </w:r>
            <w:r w:rsidRPr="00CF2712">
              <w:rPr>
                <w:b/>
                <w:lang w:eastAsia="en-GB"/>
              </w:rPr>
              <w:t>hr.</w:t>
            </w:r>
            <w:r w:rsidR="00655017" w:rsidRPr="00CF2712">
              <w:rPr>
                <w:b/>
                <w:lang w:eastAsia="en-GB"/>
              </w:rPr>
              <w:t>)</w:t>
            </w:r>
            <w:r w:rsidR="00655017" w:rsidRPr="00CF2712" w:rsidDel="00A92950">
              <w:rPr>
                <w:lang w:eastAsia="en-GB"/>
              </w:rPr>
              <w:t xml:space="preserve"> </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vertAlign w:val="superscript"/>
                <w:lang w:val="en-GB" w:eastAsia="en-GB"/>
              </w:rPr>
            </w:pPr>
            <w:r w:rsidRPr="00CF2712">
              <w:rPr>
                <w:lang w:eastAsia="en-GB"/>
              </w:rPr>
              <w:t xml:space="preserve">NETU-07-07 </w:t>
            </w:r>
          </w:p>
        </w:tc>
        <w:tc>
          <w:tcPr>
            <w:tcW w:w="1417" w:type="dxa"/>
            <w:tcBorders>
              <w:top w:val="nil"/>
              <w:left w:val="nil"/>
              <w:bottom w:val="single" w:sz="8" w:space="0" w:color="auto"/>
              <w:right w:val="single" w:sz="4" w:space="0" w:color="auto"/>
            </w:tcBorders>
          </w:tcPr>
          <w:p w:rsidR="00655017" w:rsidRPr="00CF2712" w:rsidRDefault="00655017" w:rsidP="004A2158">
            <w:pPr>
              <w:pStyle w:val="Tabletext"/>
              <w:keepNext/>
              <w:jc w:val="center"/>
              <w:rPr>
                <w:lang w:eastAsia="en-GB"/>
              </w:rPr>
            </w:pPr>
            <w:r w:rsidRPr="00CF2712">
              <w:rPr>
                <w:lang w:eastAsia="en-GB"/>
              </w:rPr>
              <w:t>122/135 (90.4%)</w:t>
            </w:r>
          </w:p>
        </w:tc>
        <w:tc>
          <w:tcPr>
            <w:tcW w:w="1276" w:type="dxa"/>
            <w:tcBorders>
              <w:top w:val="nil"/>
              <w:left w:val="single" w:sz="4"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109/136 (80.1%)</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119/134 (88.8%)</w:t>
            </w:r>
          </w:p>
        </w:tc>
        <w:tc>
          <w:tcPr>
            <w:tcW w:w="1276" w:type="dxa"/>
            <w:tcBorders>
              <w:top w:val="nil"/>
              <w:left w:val="nil"/>
              <w:bottom w:val="single" w:sz="8" w:space="0" w:color="auto"/>
              <w:right w:val="single" w:sz="8" w:space="0" w:color="auto"/>
            </w:tcBorders>
            <w:shd w:val="clear" w:color="auto" w:fill="auto"/>
            <w:vAlign w:val="center"/>
            <w:hideMark/>
          </w:tcPr>
          <w:p w:rsidR="00655017" w:rsidRPr="00CF2712" w:rsidRDefault="00DD551D" w:rsidP="004A2158">
            <w:pPr>
              <w:pStyle w:val="Tabletext"/>
              <w:keepNext/>
              <w:rPr>
                <w:b/>
                <w:lang w:val="en-GB" w:eastAsia="en-GB"/>
              </w:rPr>
            </w:pPr>
            <w:r w:rsidRPr="00CF2712">
              <w:rPr>
                <w:b/>
                <w:lang w:val="en-GB" w:eastAsia="en-GB"/>
              </w:rPr>
              <w:t>0.10 (0.02, 0.19)</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eastAsia="en-GB"/>
              </w:rPr>
              <w:t>0.02 (-0.01, 0.08)</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NETU-10-29 </w:t>
            </w:r>
          </w:p>
        </w:tc>
        <w:tc>
          <w:tcPr>
            <w:tcW w:w="1417" w:type="dxa"/>
            <w:tcBorders>
              <w:top w:val="nil"/>
              <w:left w:val="nil"/>
              <w:bottom w:val="single" w:sz="8" w:space="0" w:color="auto"/>
              <w:right w:val="single" w:sz="4" w:space="0" w:color="auto"/>
            </w:tcBorders>
          </w:tcPr>
          <w:p w:rsidR="00655017" w:rsidRPr="00CF2712" w:rsidRDefault="00655017" w:rsidP="004A2158">
            <w:pPr>
              <w:pStyle w:val="Tabletext"/>
              <w:keepNext/>
              <w:jc w:val="center"/>
              <w:rPr>
                <w:lang w:val="en-GB" w:eastAsia="en-GB"/>
              </w:rPr>
            </w:pPr>
            <w:r w:rsidRPr="00CF2712">
              <w:rPr>
                <w:lang w:val="en-GB" w:eastAsia="en-GB"/>
              </w:rPr>
              <w:t>65/74 (87.8%)</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15/26 (57.7%)</w:t>
            </w:r>
          </w:p>
        </w:tc>
        <w:tc>
          <w:tcPr>
            <w:tcW w:w="1276"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N/A</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b/>
                <w:lang w:val="en-GB" w:eastAsia="en-GB"/>
              </w:rPr>
            </w:pPr>
            <w:r w:rsidRPr="00CF2712">
              <w:rPr>
                <w:b/>
                <w:lang w:eastAsia="en-GB"/>
              </w:rPr>
              <w:t>0.30 (0.13, 0.52)</w:t>
            </w:r>
          </w:p>
        </w:tc>
      </w:tr>
      <w:tr w:rsidR="00693A86" w:rsidRPr="00CF2712" w:rsidTr="00352601">
        <w:trPr>
          <w:trHeight w:val="20"/>
        </w:trPr>
        <w:tc>
          <w:tcPr>
            <w:tcW w:w="6804" w:type="dxa"/>
            <w:gridSpan w:val="5"/>
            <w:tcBorders>
              <w:top w:val="nil"/>
              <w:left w:val="single" w:sz="8" w:space="0" w:color="auto"/>
              <w:bottom w:val="single" w:sz="8" w:space="0" w:color="auto"/>
              <w:right w:val="single" w:sz="8" w:space="0" w:color="auto"/>
            </w:tcBorders>
            <w:shd w:val="clear" w:color="auto" w:fill="auto"/>
            <w:vAlign w:val="center"/>
            <w:hideMark/>
          </w:tcPr>
          <w:p w:rsidR="00693A86" w:rsidRPr="00CF2712" w:rsidRDefault="00693A86" w:rsidP="004A2158">
            <w:pPr>
              <w:pStyle w:val="Tabletext"/>
              <w:keepNext/>
              <w:rPr>
                <w:lang w:val="en-GB" w:eastAsia="en-GB"/>
              </w:rPr>
            </w:pPr>
            <w:r w:rsidRPr="00CF2712">
              <w:rPr>
                <w:lang w:eastAsia="en-GB"/>
              </w:rPr>
              <w:t>Meta-analysis</w:t>
            </w:r>
            <w:r w:rsidR="00C54FA6" w:rsidRPr="00CF2712">
              <w:rPr>
                <w:lang w:eastAsia="en-GB"/>
              </w:rPr>
              <w:t>, I</w:t>
            </w:r>
            <w:r w:rsidR="00C54FA6" w:rsidRPr="00CF2712">
              <w:rPr>
                <w:vertAlign w:val="superscript"/>
                <w:lang w:eastAsia="en-GB"/>
              </w:rPr>
              <w:t>2</w:t>
            </w:r>
            <w:r w:rsidR="00C54FA6" w:rsidRPr="00CF2712">
              <w:rPr>
                <w:lang w:eastAsia="en-GB"/>
              </w:rPr>
              <w:t xml:space="preserve"> = 79.9%</w:t>
            </w:r>
            <w:r w:rsidRPr="00CF2712">
              <w:rPr>
                <w:lang w:eastAsia="en-GB"/>
              </w:rPr>
              <w:t xml:space="preserve"> </w:t>
            </w:r>
          </w:p>
        </w:tc>
        <w:tc>
          <w:tcPr>
            <w:tcW w:w="1541" w:type="dxa"/>
            <w:tcBorders>
              <w:top w:val="nil"/>
              <w:left w:val="nil"/>
              <w:bottom w:val="single" w:sz="8" w:space="0" w:color="auto"/>
              <w:right w:val="single" w:sz="8" w:space="0" w:color="auto"/>
            </w:tcBorders>
            <w:shd w:val="clear" w:color="auto" w:fill="auto"/>
            <w:vAlign w:val="center"/>
            <w:hideMark/>
          </w:tcPr>
          <w:p w:rsidR="00693A86" w:rsidRPr="00CF2712" w:rsidRDefault="00693A86" w:rsidP="004A2158">
            <w:pPr>
              <w:pStyle w:val="Tabletext"/>
              <w:keepNext/>
              <w:jc w:val="center"/>
              <w:rPr>
                <w:vertAlign w:val="superscript"/>
                <w:lang w:val="en-GB" w:eastAsia="en-GB"/>
              </w:rPr>
            </w:pPr>
            <w:r w:rsidRPr="00CF2712">
              <w:rPr>
                <w:lang w:val="en-GB" w:eastAsia="en-GB"/>
              </w:rPr>
              <w:t>0.12 (-0.13, 0.36)</w:t>
            </w:r>
          </w:p>
        </w:tc>
      </w:tr>
      <w:tr w:rsidR="00655017" w:rsidRPr="00CF2712" w:rsidTr="00C91930">
        <w:trPr>
          <w:trHeight w:val="20"/>
        </w:trPr>
        <w:tc>
          <w:tcPr>
            <w:tcW w:w="8345" w:type="dxa"/>
            <w:gridSpan w:val="6"/>
            <w:tcBorders>
              <w:top w:val="nil"/>
              <w:left w:val="single" w:sz="8"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rPr>
                <w:b/>
                <w:lang w:eastAsia="en-GB"/>
              </w:rPr>
            </w:pPr>
            <w:r w:rsidRPr="00CF2712">
              <w:rPr>
                <w:b/>
                <w:lang w:eastAsia="en-GB"/>
              </w:rPr>
              <w:t xml:space="preserve">Overall (0-120 </w:t>
            </w:r>
            <w:r w:rsidR="00E247C8" w:rsidRPr="00CF2712">
              <w:rPr>
                <w:b/>
                <w:lang w:eastAsia="en-GB"/>
              </w:rPr>
              <w:t>hr.</w:t>
            </w:r>
            <w:r w:rsidRPr="00CF2712">
              <w:rPr>
                <w:b/>
                <w:lang w:eastAsia="en-GB"/>
              </w:rPr>
              <w:t>)</w:t>
            </w:r>
            <w:r w:rsidRPr="00CF2712" w:rsidDel="00075773">
              <w:rPr>
                <w:b/>
                <w:lang w:eastAsia="en-GB"/>
              </w:rPr>
              <w:t xml:space="preserve"> </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NETU-07-07 </w:t>
            </w:r>
          </w:p>
        </w:tc>
        <w:tc>
          <w:tcPr>
            <w:tcW w:w="1417" w:type="dxa"/>
            <w:tcBorders>
              <w:top w:val="nil"/>
              <w:left w:val="nil"/>
              <w:bottom w:val="single" w:sz="8" w:space="0" w:color="auto"/>
              <w:right w:val="single" w:sz="4" w:space="0" w:color="auto"/>
            </w:tcBorders>
            <w:vAlign w:val="center"/>
          </w:tcPr>
          <w:p w:rsidR="00655017" w:rsidRPr="00CF2712" w:rsidRDefault="00655017" w:rsidP="004A2158">
            <w:pPr>
              <w:pStyle w:val="Tabletext"/>
              <w:keepNext/>
              <w:jc w:val="center"/>
              <w:rPr>
                <w:lang w:eastAsia="en-GB"/>
              </w:rPr>
            </w:pPr>
            <w:r w:rsidRPr="00CF2712">
              <w:rPr>
                <w:lang w:eastAsia="en-GB"/>
              </w:rPr>
              <w:t>121/135 (89.6%)</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eastAsia="en-GB"/>
              </w:rPr>
              <w:t>104/136 (76.5%)</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116/134 (86.6%)</w:t>
            </w:r>
          </w:p>
        </w:tc>
        <w:tc>
          <w:tcPr>
            <w:tcW w:w="1276" w:type="dxa"/>
            <w:tcBorders>
              <w:top w:val="nil"/>
              <w:left w:val="nil"/>
              <w:bottom w:val="single" w:sz="8" w:space="0" w:color="auto"/>
              <w:right w:val="single" w:sz="8" w:space="0" w:color="auto"/>
            </w:tcBorders>
            <w:shd w:val="clear" w:color="auto" w:fill="auto"/>
            <w:vAlign w:val="center"/>
          </w:tcPr>
          <w:p w:rsidR="00655017" w:rsidRPr="00CF2712" w:rsidRDefault="00DD551D" w:rsidP="004A2158">
            <w:pPr>
              <w:pStyle w:val="Tabletext"/>
              <w:keepNext/>
              <w:jc w:val="center"/>
              <w:rPr>
                <w:b/>
                <w:lang w:val="en-GB" w:eastAsia="en-GB"/>
              </w:rPr>
            </w:pPr>
            <w:r w:rsidRPr="00CF2712">
              <w:rPr>
                <w:b/>
                <w:lang w:val="en-GB" w:eastAsia="en-GB"/>
              </w:rPr>
              <w:t>0.13 (0.04, 0.22)</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eastAsia="en-GB"/>
              </w:rPr>
              <w:t>0.03 (-0.05, 0.11)</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NETU-10-29 </w:t>
            </w:r>
          </w:p>
        </w:tc>
        <w:tc>
          <w:tcPr>
            <w:tcW w:w="1417" w:type="dxa"/>
            <w:tcBorders>
              <w:top w:val="nil"/>
              <w:left w:val="nil"/>
              <w:bottom w:val="single" w:sz="8" w:space="0" w:color="auto"/>
              <w:right w:val="single" w:sz="4" w:space="0" w:color="auto"/>
            </w:tcBorders>
            <w:vAlign w:val="center"/>
          </w:tcPr>
          <w:p w:rsidR="00655017" w:rsidRPr="00CF2712" w:rsidRDefault="00655017" w:rsidP="004A2158">
            <w:pPr>
              <w:pStyle w:val="Tabletext"/>
              <w:keepNext/>
              <w:jc w:val="center"/>
              <w:rPr>
                <w:lang w:eastAsia="en-GB"/>
              </w:rPr>
            </w:pPr>
            <w:r w:rsidRPr="00CF2712">
              <w:rPr>
                <w:lang w:eastAsia="en-GB"/>
              </w:rPr>
              <w:t>62/74 (83.8%)</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15/26 (57.7%)</w:t>
            </w:r>
          </w:p>
        </w:tc>
        <w:tc>
          <w:tcPr>
            <w:tcW w:w="1276"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N/A</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b/>
                <w:lang w:val="en-GB" w:eastAsia="en-GB"/>
              </w:rPr>
            </w:pPr>
            <w:r w:rsidRPr="00CF2712">
              <w:rPr>
                <w:b/>
                <w:lang w:eastAsia="en-GB"/>
              </w:rPr>
              <w:t>0.26 (0.05, 0.47)</w:t>
            </w:r>
          </w:p>
        </w:tc>
      </w:tr>
      <w:tr w:rsidR="00693A86" w:rsidRPr="00CF2712" w:rsidTr="00352601">
        <w:trPr>
          <w:trHeight w:val="20"/>
        </w:trPr>
        <w:tc>
          <w:tcPr>
            <w:tcW w:w="6804" w:type="dxa"/>
            <w:gridSpan w:val="5"/>
            <w:tcBorders>
              <w:top w:val="nil"/>
              <w:left w:val="single" w:sz="8" w:space="0" w:color="auto"/>
              <w:bottom w:val="single" w:sz="8" w:space="0" w:color="auto"/>
              <w:right w:val="single" w:sz="8" w:space="0" w:color="auto"/>
            </w:tcBorders>
            <w:shd w:val="clear" w:color="auto" w:fill="auto"/>
            <w:vAlign w:val="center"/>
            <w:hideMark/>
          </w:tcPr>
          <w:p w:rsidR="00693A86" w:rsidRPr="00CF2712" w:rsidRDefault="00693A86" w:rsidP="004A2158">
            <w:pPr>
              <w:pStyle w:val="Tabletext"/>
              <w:keepNext/>
              <w:rPr>
                <w:lang w:val="en-GB" w:eastAsia="en-GB"/>
              </w:rPr>
            </w:pPr>
            <w:r w:rsidRPr="00CF2712">
              <w:rPr>
                <w:lang w:eastAsia="en-GB"/>
              </w:rPr>
              <w:t xml:space="preserve">Meta-analysis </w:t>
            </w:r>
            <w:r w:rsidR="00C54FA6" w:rsidRPr="00CF2712">
              <w:rPr>
                <w:lang w:eastAsia="en-GB"/>
              </w:rPr>
              <w:t>I</w:t>
            </w:r>
            <w:r w:rsidR="00C54FA6" w:rsidRPr="00CF2712">
              <w:rPr>
                <w:vertAlign w:val="superscript"/>
                <w:lang w:eastAsia="en-GB"/>
              </w:rPr>
              <w:t>2</w:t>
            </w:r>
            <w:r w:rsidR="00C54FA6" w:rsidRPr="00CF2712">
              <w:rPr>
                <w:lang w:eastAsia="en-GB"/>
              </w:rPr>
              <w:t xml:space="preserve"> = 63.5%</w:t>
            </w:r>
          </w:p>
        </w:tc>
        <w:tc>
          <w:tcPr>
            <w:tcW w:w="1541" w:type="dxa"/>
            <w:tcBorders>
              <w:top w:val="nil"/>
              <w:left w:val="nil"/>
              <w:bottom w:val="single" w:sz="8" w:space="0" w:color="auto"/>
              <w:right w:val="single" w:sz="8" w:space="0" w:color="auto"/>
            </w:tcBorders>
            <w:shd w:val="clear" w:color="auto" w:fill="auto"/>
            <w:vAlign w:val="center"/>
            <w:hideMark/>
          </w:tcPr>
          <w:p w:rsidR="00693A86" w:rsidRPr="00CF2712" w:rsidRDefault="00693A86" w:rsidP="004A2158">
            <w:pPr>
              <w:pStyle w:val="Tabletext"/>
              <w:keepNext/>
              <w:jc w:val="center"/>
              <w:rPr>
                <w:vertAlign w:val="superscript"/>
                <w:lang w:val="en-GB" w:eastAsia="en-GB"/>
              </w:rPr>
            </w:pPr>
            <w:r w:rsidRPr="00CF2712">
              <w:rPr>
                <w:lang w:val="en-GB" w:eastAsia="en-GB"/>
              </w:rPr>
              <w:t>0.10 (-0.08, 0.28)</w:t>
            </w:r>
          </w:p>
        </w:tc>
      </w:tr>
      <w:tr w:rsidR="00655017" w:rsidRPr="00CF2712" w:rsidTr="00C91930">
        <w:trPr>
          <w:trHeight w:val="20"/>
        </w:trPr>
        <w:tc>
          <w:tcPr>
            <w:tcW w:w="8345"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rsidR="00655017" w:rsidRPr="00CF2712" w:rsidRDefault="00655017" w:rsidP="004A2158">
            <w:pPr>
              <w:pStyle w:val="Tabletext"/>
              <w:keepNext/>
              <w:rPr>
                <w:b/>
                <w:lang w:val="en-GB" w:eastAsia="en-GB"/>
              </w:rPr>
            </w:pPr>
            <w:r w:rsidRPr="00CF2712">
              <w:rPr>
                <w:b/>
                <w:lang w:eastAsia="en-GB"/>
              </w:rPr>
              <w:t xml:space="preserve">Moderately </w:t>
            </w:r>
            <w:r w:rsidR="00E32B0A" w:rsidRPr="00CF2712">
              <w:rPr>
                <w:b/>
                <w:lang w:eastAsia="en-GB"/>
              </w:rPr>
              <w:t>emetogenic</w:t>
            </w:r>
            <w:r w:rsidRPr="00CF2712">
              <w:rPr>
                <w:b/>
                <w:lang w:eastAsia="en-GB"/>
              </w:rPr>
              <w:t xml:space="preserve"> chemotherapy: NETU-10-29</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Acute (0-24 </w:t>
            </w:r>
            <w:r w:rsidR="00E247C8" w:rsidRPr="00CF2712">
              <w:rPr>
                <w:lang w:eastAsia="en-GB"/>
              </w:rPr>
              <w:t>hr.</w:t>
            </w:r>
            <w:r w:rsidRPr="00CF2712">
              <w:rPr>
                <w:lang w:eastAsia="en-GB"/>
              </w:rPr>
              <w:t>)</w:t>
            </w:r>
          </w:p>
        </w:tc>
        <w:tc>
          <w:tcPr>
            <w:tcW w:w="1417" w:type="dxa"/>
            <w:tcBorders>
              <w:top w:val="nil"/>
              <w:left w:val="nil"/>
              <w:bottom w:val="single" w:sz="8" w:space="0" w:color="auto"/>
              <w:right w:val="single" w:sz="4" w:space="0" w:color="auto"/>
            </w:tcBorders>
            <w:vAlign w:val="center"/>
          </w:tcPr>
          <w:p w:rsidR="00655017" w:rsidRPr="00CF2712" w:rsidRDefault="00655017" w:rsidP="004A2158">
            <w:pPr>
              <w:pStyle w:val="Tabletext"/>
              <w:keepNext/>
              <w:jc w:val="center"/>
              <w:rPr>
                <w:lang w:eastAsia="en-GB"/>
              </w:rPr>
            </w:pPr>
            <w:r w:rsidRPr="00CF2712">
              <w:rPr>
                <w:lang w:eastAsia="en-GB"/>
              </w:rPr>
              <w:t>219/235 (93.2%)</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72/77 (93.5%)</w:t>
            </w:r>
          </w:p>
        </w:tc>
        <w:tc>
          <w:tcPr>
            <w:tcW w:w="1276"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eastAsia="en-GB"/>
              </w:rPr>
              <w:t>N/A</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0</w:t>
            </w:r>
            <w:r w:rsidR="00C54FA6" w:rsidRPr="00CF2712">
              <w:rPr>
                <w:lang w:val="en-GB" w:eastAsia="en-GB"/>
              </w:rPr>
              <w:t>.00</w:t>
            </w:r>
            <w:r w:rsidRPr="00CF2712">
              <w:rPr>
                <w:lang w:val="en-GB" w:eastAsia="en-GB"/>
              </w:rPr>
              <w:t xml:space="preserve"> (-0.07, 0.06)</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Delay (25-120 </w:t>
            </w:r>
            <w:r w:rsidR="00E247C8" w:rsidRPr="00CF2712">
              <w:rPr>
                <w:lang w:eastAsia="en-GB"/>
              </w:rPr>
              <w:t>hr.</w:t>
            </w:r>
            <w:r w:rsidRPr="00CF2712">
              <w:rPr>
                <w:lang w:eastAsia="en-GB"/>
              </w:rPr>
              <w:t>)</w:t>
            </w:r>
          </w:p>
        </w:tc>
        <w:tc>
          <w:tcPr>
            <w:tcW w:w="1417" w:type="dxa"/>
            <w:tcBorders>
              <w:top w:val="nil"/>
              <w:left w:val="nil"/>
              <w:bottom w:val="single" w:sz="8" w:space="0" w:color="auto"/>
              <w:right w:val="single" w:sz="4" w:space="0" w:color="auto"/>
            </w:tcBorders>
            <w:vAlign w:val="center"/>
          </w:tcPr>
          <w:p w:rsidR="00655017" w:rsidRPr="00CF2712" w:rsidRDefault="00655017" w:rsidP="004A2158">
            <w:pPr>
              <w:pStyle w:val="Tabletext"/>
              <w:keepNext/>
              <w:jc w:val="center"/>
              <w:rPr>
                <w:lang w:eastAsia="en-GB"/>
              </w:rPr>
            </w:pPr>
            <w:r w:rsidRPr="00CF2712">
              <w:rPr>
                <w:lang w:eastAsia="en-GB"/>
              </w:rPr>
              <w:t>192/235 (81.7%)</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65/77 (84.4%)</w:t>
            </w:r>
          </w:p>
        </w:tc>
        <w:tc>
          <w:tcPr>
            <w:tcW w:w="1276" w:type="dxa"/>
            <w:tcBorders>
              <w:top w:val="nil"/>
              <w:left w:val="nil"/>
              <w:bottom w:val="single" w:sz="8" w:space="0" w:color="auto"/>
              <w:right w:val="single" w:sz="8" w:space="0" w:color="auto"/>
            </w:tcBorders>
            <w:shd w:val="clear" w:color="auto" w:fill="auto"/>
          </w:tcPr>
          <w:p w:rsidR="00655017" w:rsidRPr="00CF2712" w:rsidRDefault="00655017" w:rsidP="004A2158">
            <w:pPr>
              <w:pStyle w:val="Tabletext"/>
              <w:keepNext/>
              <w:jc w:val="center"/>
              <w:rPr>
                <w:lang w:val="en-GB" w:eastAsia="en-GB"/>
              </w:rPr>
            </w:pPr>
            <w:r w:rsidRPr="00CF2712">
              <w:rPr>
                <w:lang w:eastAsia="en-GB"/>
              </w:rPr>
              <w:t>N/A</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-0.03 (-0.12, 0.07)</w:t>
            </w:r>
          </w:p>
        </w:tc>
      </w:tr>
      <w:tr w:rsidR="00655017" w:rsidRPr="00CF2712" w:rsidTr="005B099A">
        <w:trPr>
          <w:trHeight w:val="20"/>
        </w:trPr>
        <w:tc>
          <w:tcPr>
            <w:tcW w:w="1418" w:type="dxa"/>
            <w:tcBorders>
              <w:top w:val="nil"/>
              <w:left w:val="single" w:sz="8" w:space="0" w:color="auto"/>
              <w:bottom w:val="single" w:sz="8" w:space="0" w:color="auto"/>
              <w:right w:val="single" w:sz="8" w:space="0" w:color="auto"/>
            </w:tcBorders>
            <w:shd w:val="clear" w:color="auto" w:fill="auto"/>
            <w:vAlign w:val="center"/>
            <w:hideMark/>
          </w:tcPr>
          <w:p w:rsidR="00655017" w:rsidRPr="00CF2712" w:rsidRDefault="00655017" w:rsidP="004A2158">
            <w:pPr>
              <w:pStyle w:val="Tabletext"/>
              <w:keepNext/>
              <w:rPr>
                <w:lang w:val="en-GB" w:eastAsia="en-GB"/>
              </w:rPr>
            </w:pPr>
            <w:r w:rsidRPr="00CF2712">
              <w:rPr>
                <w:lang w:eastAsia="en-GB"/>
              </w:rPr>
              <w:t xml:space="preserve">Overall (0-120 </w:t>
            </w:r>
            <w:r w:rsidR="00E247C8" w:rsidRPr="00CF2712">
              <w:rPr>
                <w:lang w:eastAsia="en-GB"/>
              </w:rPr>
              <w:t>hr.</w:t>
            </w:r>
            <w:r w:rsidRPr="00CF2712">
              <w:rPr>
                <w:lang w:eastAsia="en-GB"/>
              </w:rPr>
              <w:t>)</w:t>
            </w:r>
          </w:p>
        </w:tc>
        <w:tc>
          <w:tcPr>
            <w:tcW w:w="1417" w:type="dxa"/>
            <w:tcBorders>
              <w:top w:val="nil"/>
              <w:left w:val="nil"/>
              <w:bottom w:val="single" w:sz="8" w:space="0" w:color="auto"/>
              <w:right w:val="single" w:sz="4" w:space="0" w:color="auto"/>
            </w:tcBorders>
            <w:vAlign w:val="center"/>
          </w:tcPr>
          <w:p w:rsidR="00655017" w:rsidRPr="00CF2712" w:rsidRDefault="00655017" w:rsidP="004A2158">
            <w:pPr>
              <w:pStyle w:val="Tabletext"/>
              <w:keepNext/>
              <w:jc w:val="center"/>
              <w:rPr>
                <w:lang w:eastAsia="en-GB"/>
              </w:rPr>
            </w:pPr>
            <w:r w:rsidRPr="00CF2712">
              <w:rPr>
                <w:lang w:eastAsia="en-GB"/>
              </w:rPr>
              <w:t>187/235 (79.6%)</w:t>
            </w:r>
          </w:p>
        </w:tc>
        <w:tc>
          <w:tcPr>
            <w:tcW w:w="1276" w:type="dxa"/>
            <w:tcBorders>
              <w:top w:val="nil"/>
              <w:left w:val="single" w:sz="4" w:space="0" w:color="auto"/>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w:t>
            </w:r>
          </w:p>
        </w:tc>
        <w:tc>
          <w:tcPr>
            <w:tcW w:w="1417" w:type="dxa"/>
            <w:tcBorders>
              <w:top w:val="nil"/>
              <w:left w:val="nil"/>
              <w:bottom w:val="single" w:sz="8" w:space="0" w:color="auto"/>
              <w:right w:val="single" w:sz="8" w:space="0" w:color="auto"/>
            </w:tcBorders>
            <w:shd w:val="clear" w:color="auto" w:fill="auto"/>
            <w:vAlign w:val="center"/>
            <w:hideMark/>
          </w:tcPr>
          <w:p w:rsidR="00655017" w:rsidRPr="00CF2712" w:rsidRDefault="00655017" w:rsidP="004A2158">
            <w:pPr>
              <w:pStyle w:val="Tabletext"/>
              <w:keepNext/>
              <w:jc w:val="center"/>
              <w:rPr>
                <w:lang w:val="en-GB" w:eastAsia="en-GB"/>
              </w:rPr>
            </w:pPr>
            <w:r w:rsidRPr="00CF2712">
              <w:rPr>
                <w:lang w:eastAsia="en-GB"/>
              </w:rPr>
              <w:t>63/77 (81.8%)</w:t>
            </w:r>
          </w:p>
        </w:tc>
        <w:tc>
          <w:tcPr>
            <w:tcW w:w="1276" w:type="dxa"/>
            <w:tcBorders>
              <w:top w:val="nil"/>
              <w:left w:val="nil"/>
              <w:bottom w:val="single" w:sz="8" w:space="0" w:color="auto"/>
              <w:right w:val="single" w:sz="8" w:space="0" w:color="auto"/>
            </w:tcBorders>
            <w:shd w:val="clear" w:color="auto" w:fill="auto"/>
          </w:tcPr>
          <w:p w:rsidR="00655017" w:rsidRPr="00CF2712" w:rsidRDefault="00655017" w:rsidP="004A2158">
            <w:pPr>
              <w:pStyle w:val="Tabletext"/>
              <w:keepNext/>
              <w:jc w:val="center"/>
              <w:rPr>
                <w:lang w:val="en-GB" w:eastAsia="en-GB"/>
              </w:rPr>
            </w:pPr>
            <w:r w:rsidRPr="00CF2712">
              <w:rPr>
                <w:lang w:val="en-GB" w:eastAsia="en-GB"/>
              </w:rPr>
              <w:t>N/A</w:t>
            </w:r>
          </w:p>
        </w:tc>
        <w:tc>
          <w:tcPr>
            <w:tcW w:w="1541" w:type="dxa"/>
            <w:tcBorders>
              <w:top w:val="nil"/>
              <w:left w:val="nil"/>
              <w:bottom w:val="single" w:sz="8" w:space="0" w:color="auto"/>
              <w:right w:val="single" w:sz="8" w:space="0" w:color="auto"/>
            </w:tcBorders>
            <w:shd w:val="clear" w:color="auto" w:fill="auto"/>
            <w:vAlign w:val="center"/>
          </w:tcPr>
          <w:p w:rsidR="00655017" w:rsidRPr="00CF2712" w:rsidRDefault="00655017" w:rsidP="004A2158">
            <w:pPr>
              <w:pStyle w:val="Tabletext"/>
              <w:keepNext/>
              <w:jc w:val="center"/>
              <w:rPr>
                <w:lang w:val="en-GB" w:eastAsia="en-GB"/>
              </w:rPr>
            </w:pPr>
            <w:r w:rsidRPr="00CF2712">
              <w:rPr>
                <w:lang w:val="en-GB" w:eastAsia="en-GB"/>
              </w:rPr>
              <w:t>-0.02 (-0.12, 0.08)</w:t>
            </w:r>
          </w:p>
        </w:tc>
      </w:tr>
    </w:tbl>
    <w:p w:rsidR="00BE34DF" w:rsidRDefault="00BE34DF" w:rsidP="004A2158">
      <w:pPr>
        <w:pStyle w:val="TableFooter"/>
        <w:keepNext/>
        <w:widowControl/>
        <w:ind w:left="720"/>
      </w:pPr>
      <w:r>
        <w:t>Source: Table 33</w:t>
      </w:r>
      <w:r w:rsidRPr="00D13A3E">
        <w:t>,</w:t>
      </w:r>
      <w:r w:rsidR="009D5852">
        <w:t xml:space="preserve"> pp</w:t>
      </w:r>
      <w:r>
        <w:t>89-90</w:t>
      </w:r>
      <w:r w:rsidR="00215D60">
        <w:t xml:space="preserve"> </w:t>
      </w:r>
      <w:r>
        <w:t>of the submission</w:t>
      </w:r>
    </w:p>
    <w:p w:rsidR="00BE34DF" w:rsidRDefault="00611BB2" w:rsidP="004A2158">
      <w:pPr>
        <w:pStyle w:val="TableFooter"/>
        <w:keepNext/>
        <w:widowControl/>
        <w:ind w:left="720"/>
      </w:pPr>
      <w:r>
        <w:t>5-HT</w:t>
      </w:r>
      <w:r w:rsidRPr="00C91930">
        <w:rPr>
          <w:vertAlign w:val="subscript"/>
        </w:rPr>
        <w:t>3</w:t>
      </w:r>
      <w:r>
        <w:t xml:space="preserve"> RA = serotonin receptor antagonist; </w:t>
      </w:r>
      <w:r w:rsidR="00BE34DF">
        <w:t xml:space="preserve">Apre = aprepitant; CI = confidence interval; </w:t>
      </w:r>
      <w:r w:rsidR="00E247C8">
        <w:t>hr.</w:t>
      </w:r>
      <w:r w:rsidR="00BE34DF">
        <w:t xml:space="preserve"> = hour;</w:t>
      </w:r>
      <w:r w:rsidR="00593584" w:rsidRPr="00593584">
        <w:rPr>
          <w:i/>
          <w:iCs/>
        </w:rPr>
        <w:t xml:space="preserve"> </w:t>
      </w:r>
      <w:r w:rsidR="00593584" w:rsidRPr="00D13A3E">
        <w:rPr>
          <w:i/>
          <w:iCs/>
        </w:rPr>
        <w:t xml:space="preserve">n </w:t>
      </w:r>
      <w:r w:rsidR="00593584" w:rsidRPr="00D13A3E">
        <w:t>= number with event;</w:t>
      </w:r>
      <w:r w:rsidR="00593584" w:rsidRPr="00D13A3E">
        <w:rPr>
          <w:i/>
          <w:iCs/>
        </w:rPr>
        <w:t xml:space="preserve"> N</w:t>
      </w:r>
      <w:r w:rsidR="004A2158">
        <w:rPr>
          <w:i/>
          <w:iCs/>
        </w:rPr>
        <w:t> </w:t>
      </w:r>
      <w:r w:rsidR="004A2158">
        <w:t>= </w:t>
      </w:r>
      <w:r w:rsidR="00593584" w:rsidRPr="00D13A3E">
        <w:t>number in group</w:t>
      </w:r>
      <w:r w:rsidR="00593584">
        <w:t xml:space="preserve">; </w:t>
      </w:r>
      <w:r w:rsidR="00AD2874">
        <w:t xml:space="preserve">NEPA </w:t>
      </w:r>
      <w:r w:rsidR="00BE34DF">
        <w:t>= netupitant</w:t>
      </w:r>
      <w:r w:rsidR="00AD2874">
        <w:t>/palonosetron</w:t>
      </w:r>
      <w:r w:rsidR="00BE34DF">
        <w:t>;</w:t>
      </w:r>
      <w:r w:rsidR="00DB36F5">
        <w:t xml:space="preserve"> N/A = not applicable</w:t>
      </w:r>
      <w:r w:rsidR="00BE34DF">
        <w:t xml:space="preserve">; </w:t>
      </w:r>
      <w:r w:rsidR="00AD2874">
        <w:t xml:space="preserve">PA </w:t>
      </w:r>
      <w:r>
        <w:t>= palonosetron</w:t>
      </w:r>
      <w:r w:rsidR="00AD2874">
        <w:t xml:space="preserve">; </w:t>
      </w:r>
      <w:r w:rsidR="00655017">
        <w:t>RD = risk difference</w:t>
      </w:r>
      <w:r w:rsidR="006C3E45">
        <w:t xml:space="preserve">; </w:t>
      </w:r>
      <w:r w:rsidR="006C3E45" w:rsidRPr="00B73D85">
        <w:rPr>
          <w:b/>
        </w:rPr>
        <w:t>Bold</w:t>
      </w:r>
      <w:r w:rsidR="004A2158">
        <w:t> = </w:t>
      </w:r>
      <w:r w:rsidR="006C3E45">
        <w:t>significant result</w:t>
      </w:r>
      <w:r w:rsidR="0055009D">
        <w:t xml:space="preserve"> </w:t>
      </w:r>
    </w:p>
    <w:p w:rsidR="002D4552" w:rsidRDefault="00BE34DF" w:rsidP="004A2158">
      <w:pPr>
        <w:pStyle w:val="TableFooter"/>
        <w:widowControl/>
        <w:ind w:left="720"/>
      </w:pPr>
      <w:r w:rsidRPr="00352601">
        <w:rPr>
          <w:vertAlign w:val="superscript"/>
        </w:rPr>
        <w:t>a</w:t>
      </w:r>
      <w:r>
        <w:t xml:space="preserve"> </w:t>
      </w:r>
      <w:r w:rsidR="002D4552">
        <w:t xml:space="preserve">In both trials the results were presented for the full analysis set, rather than the ITT population. </w:t>
      </w:r>
    </w:p>
    <w:p w:rsidR="00C54FA6" w:rsidRDefault="002D4552" w:rsidP="004A2158">
      <w:pPr>
        <w:pStyle w:val="TableFooter"/>
        <w:widowControl/>
        <w:ind w:left="720"/>
      </w:pPr>
      <w:r w:rsidRPr="002D4552">
        <w:rPr>
          <w:vertAlign w:val="superscript"/>
        </w:rPr>
        <w:t>b</w:t>
      </w:r>
      <w:r>
        <w:t xml:space="preserve"> R</w:t>
      </w:r>
      <w:r w:rsidR="00C54FA6">
        <w:t>esults presented for 300 mg netupitant</w:t>
      </w:r>
      <w:r w:rsidR="002F3C2E">
        <w:t xml:space="preserve"> </w:t>
      </w:r>
      <w:r w:rsidR="00E247C8">
        <w:t>plus 0.5mg</w:t>
      </w:r>
      <w:r w:rsidR="00C54FA6">
        <w:t xml:space="preserve"> palonosetron </w:t>
      </w:r>
    </w:p>
    <w:p w:rsidR="00BE34DF" w:rsidRPr="00C54FA6" w:rsidRDefault="00BE34DF" w:rsidP="004A2158">
      <w:pPr>
        <w:widowControl/>
        <w:rPr>
          <w:szCs w:val="22"/>
        </w:rPr>
      </w:pPr>
    </w:p>
    <w:p w:rsidR="00260082" w:rsidRPr="007C0AA3" w:rsidRDefault="00260082" w:rsidP="00260082">
      <w:pPr>
        <w:pStyle w:val="ListParagraph"/>
        <w:widowControl/>
        <w:numPr>
          <w:ilvl w:val="1"/>
          <w:numId w:val="4"/>
        </w:numPr>
        <w:rPr>
          <w:i/>
        </w:rPr>
      </w:pPr>
      <w:r w:rsidRPr="00C54FA6">
        <w:t>NEPA</w:t>
      </w:r>
      <w:r>
        <w:t xml:space="preserve"> administered as individual components</w:t>
      </w:r>
      <w:r w:rsidRPr="00C54FA6">
        <w:t xml:space="preserve"> </w:t>
      </w:r>
      <w:r>
        <w:t xml:space="preserve">in treatment naïve patients due to receive highly emetogenic chemotherapy was associated with </w:t>
      </w:r>
      <w:r w:rsidRPr="00C54FA6">
        <w:t>statistically significant</w:t>
      </w:r>
      <w:r>
        <w:t>ly</w:t>
      </w:r>
      <w:r w:rsidRPr="00C54FA6">
        <w:t xml:space="preserve"> more patients </w:t>
      </w:r>
      <w:r>
        <w:t>reporting</w:t>
      </w:r>
      <w:r w:rsidRPr="00C54FA6">
        <w:t xml:space="preserve"> a complete response compared to palonosetron monotherapy. The submission claimed there was no significant difference between NEPA and aprepitant + 5HT</w:t>
      </w:r>
      <w:r w:rsidRPr="00C54FA6">
        <w:rPr>
          <w:vertAlign w:val="subscript"/>
        </w:rPr>
        <w:t>3</w:t>
      </w:r>
      <w:r w:rsidRPr="00C54FA6">
        <w:t xml:space="preserve"> RA in complete response for both </w:t>
      </w:r>
      <w:r>
        <w:t xml:space="preserve">head to head </w:t>
      </w:r>
      <w:r w:rsidRPr="00C54FA6">
        <w:t xml:space="preserve">randomised trials. </w:t>
      </w:r>
      <w:r w:rsidRPr="00FB40BE">
        <w:t>The submission did not define a minimum clinically important difference and the trials were not designed as non-inferiority trials</w:t>
      </w:r>
      <w:r w:rsidRPr="00EB38FD">
        <w:t>. No studies included patients with prior chemotherapy treatment.</w:t>
      </w:r>
      <w:r>
        <w:rPr>
          <w:i/>
        </w:rPr>
        <w:t xml:space="preserve"> </w:t>
      </w:r>
      <w:r w:rsidRPr="00EB38FD">
        <w:t xml:space="preserve">The ESC considered this problematic given the requested restriction </w:t>
      </w:r>
      <w:r w:rsidR="000419AB">
        <w:t>required</w:t>
      </w:r>
      <w:r w:rsidR="000419AB" w:rsidRPr="00EB38FD">
        <w:t xml:space="preserve"> </w:t>
      </w:r>
      <w:r w:rsidRPr="00EB38FD">
        <w:t xml:space="preserve">patients due to receive moderately emetogenic chemotherapy </w:t>
      </w:r>
      <w:r w:rsidR="000419AB">
        <w:t>to</w:t>
      </w:r>
      <w:r w:rsidR="000419AB" w:rsidRPr="00EB38FD">
        <w:t xml:space="preserve"> </w:t>
      </w:r>
      <w:r w:rsidRPr="00EB38FD">
        <w:t>have had a prior episode of CINV.</w:t>
      </w:r>
    </w:p>
    <w:p w:rsidR="007C0AA3" w:rsidRDefault="007C0AA3" w:rsidP="007C0AA3">
      <w:pPr>
        <w:pStyle w:val="ListParagraph"/>
        <w:widowControl/>
        <w:rPr>
          <w:i/>
        </w:rPr>
      </w:pPr>
    </w:p>
    <w:p w:rsidR="003C3EF3" w:rsidRPr="00352601" w:rsidRDefault="003C3EF3" w:rsidP="00260082">
      <w:pPr>
        <w:pStyle w:val="ListParagraph"/>
        <w:widowControl/>
        <w:numPr>
          <w:ilvl w:val="1"/>
          <w:numId w:val="4"/>
        </w:numPr>
        <w:rPr>
          <w:i/>
        </w:rPr>
      </w:pPr>
      <w:r>
        <w:lastRenderedPageBreak/>
        <w:t>The ESC noted that the comparative effectiveness is difficult to interpret as the direct evidence in patients due to receive either highly emetogenic or moderately emetogenic chemotherapy are based on exploratory analyses.</w:t>
      </w:r>
      <w:r>
        <w:rPr>
          <w:i/>
        </w:rPr>
        <w:t xml:space="preserve"> </w:t>
      </w:r>
    </w:p>
    <w:p w:rsidR="003F21CC" w:rsidRPr="003F21CC" w:rsidRDefault="003F21CC" w:rsidP="004A2158">
      <w:pPr>
        <w:pStyle w:val="ListParagraph"/>
        <w:widowControl/>
        <w:rPr>
          <w:i/>
        </w:rPr>
      </w:pPr>
    </w:p>
    <w:p w:rsidR="003F21CC" w:rsidRPr="00FB40BE" w:rsidRDefault="00DF2300" w:rsidP="004A2158">
      <w:pPr>
        <w:pStyle w:val="ListParagraph"/>
        <w:widowControl/>
        <w:numPr>
          <w:ilvl w:val="1"/>
          <w:numId w:val="4"/>
        </w:numPr>
      </w:pPr>
      <w:r w:rsidRPr="006C663C">
        <w:t>Based on the results of the indirect comparison in patients with anthracycline plus cyclophosphamide based regimens,</w:t>
      </w:r>
      <w:r>
        <w:rPr>
          <w:i/>
        </w:rPr>
        <w:t xml:space="preserve"> </w:t>
      </w:r>
      <w:r>
        <w:t>t</w:t>
      </w:r>
      <w:r w:rsidR="003F21CC" w:rsidRPr="00FB40BE">
        <w:t xml:space="preserve">here were no statistically significant </w:t>
      </w:r>
      <w:r w:rsidR="00481370" w:rsidRPr="00FB40BE">
        <w:t>differences</w:t>
      </w:r>
      <w:r w:rsidR="003F21CC" w:rsidRPr="00FB40BE">
        <w:t xml:space="preserve"> </w:t>
      </w:r>
      <w:r w:rsidR="00AC493C" w:rsidRPr="00FB40BE">
        <w:t>between</w:t>
      </w:r>
      <w:r w:rsidR="00414945" w:rsidRPr="00FB40BE">
        <w:t xml:space="preserve"> NEPA </w:t>
      </w:r>
      <w:r w:rsidR="00AC493C" w:rsidRPr="00FB40BE">
        <w:t>and</w:t>
      </w:r>
      <w:r w:rsidR="00414945" w:rsidRPr="00FB40BE">
        <w:t xml:space="preserve"> aprepitant plus 5-HT</w:t>
      </w:r>
      <w:r w:rsidR="00414945" w:rsidRPr="00FB40BE">
        <w:rPr>
          <w:vertAlign w:val="subscript"/>
        </w:rPr>
        <w:t xml:space="preserve">3 </w:t>
      </w:r>
      <w:r w:rsidR="00414945" w:rsidRPr="00FB40BE">
        <w:t>RA, using 5-HT</w:t>
      </w:r>
      <w:r w:rsidR="00414945" w:rsidRPr="00FB40BE">
        <w:rPr>
          <w:vertAlign w:val="subscript"/>
        </w:rPr>
        <w:t>3</w:t>
      </w:r>
      <w:r w:rsidR="00414945" w:rsidRPr="00FB40BE">
        <w:t xml:space="preserve"> RA as common comparator</w:t>
      </w:r>
      <w:r w:rsidR="003F21CC" w:rsidRPr="00FB40BE">
        <w:t xml:space="preserve">. The submission concluded </w:t>
      </w:r>
      <w:r w:rsidR="00A76D48" w:rsidRPr="00FB40BE">
        <w:t xml:space="preserve">that there is </w:t>
      </w:r>
      <w:r w:rsidR="003F21CC" w:rsidRPr="00FB40BE">
        <w:t>equivalen</w:t>
      </w:r>
      <w:r w:rsidR="00A76D48" w:rsidRPr="00FB40BE">
        <w:t>t</w:t>
      </w:r>
      <w:r w:rsidR="00481370" w:rsidRPr="00FB40BE">
        <w:t xml:space="preserve"> efficacy for NEPA and aprepitant plus 5-HT</w:t>
      </w:r>
      <w:r w:rsidR="00481370" w:rsidRPr="00FB40BE">
        <w:rPr>
          <w:vertAlign w:val="subscript"/>
        </w:rPr>
        <w:t xml:space="preserve">3 </w:t>
      </w:r>
      <w:r w:rsidR="00481370" w:rsidRPr="00FB40BE">
        <w:t xml:space="preserve">RA in </w:t>
      </w:r>
      <w:r w:rsidR="00414945" w:rsidRPr="00FB40BE">
        <w:t xml:space="preserve">breast cancer </w:t>
      </w:r>
      <w:r w:rsidR="00481370" w:rsidRPr="00FB40BE">
        <w:t xml:space="preserve">patients </w:t>
      </w:r>
      <w:r w:rsidR="00414945" w:rsidRPr="00FB40BE">
        <w:t xml:space="preserve">treated with </w:t>
      </w:r>
      <w:r w:rsidR="00481370" w:rsidRPr="00FB40BE">
        <w:t>anthracycline</w:t>
      </w:r>
      <w:r w:rsidR="00414945" w:rsidRPr="00FB40BE">
        <w:t xml:space="preserve"> plus cyclophosphamide </w:t>
      </w:r>
      <w:r w:rsidR="00AC493C" w:rsidRPr="00FB40BE">
        <w:t xml:space="preserve">based </w:t>
      </w:r>
      <w:r w:rsidR="00414945" w:rsidRPr="00FB40BE">
        <w:t>regimens</w:t>
      </w:r>
      <w:r w:rsidR="003F21CC" w:rsidRPr="00FB40BE">
        <w:t xml:space="preserve">. This </w:t>
      </w:r>
      <w:r w:rsidR="00C54FA6" w:rsidRPr="00FB40BE">
        <w:t xml:space="preserve">might </w:t>
      </w:r>
      <w:r w:rsidR="003F21CC" w:rsidRPr="00FB40BE">
        <w:t>not be reasonable</w:t>
      </w:r>
      <w:r w:rsidR="006C3E45" w:rsidRPr="00FB40BE">
        <w:t xml:space="preserve"> as</w:t>
      </w:r>
      <w:r w:rsidR="003F21CC" w:rsidRPr="00FB40BE">
        <w:t>:</w:t>
      </w:r>
    </w:p>
    <w:p w:rsidR="003F21CC" w:rsidRPr="00FB40BE" w:rsidRDefault="003F21CC" w:rsidP="004A2158">
      <w:pPr>
        <w:pStyle w:val="ListParagraph"/>
        <w:widowControl/>
        <w:numPr>
          <w:ilvl w:val="1"/>
          <w:numId w:val="28"/>
        </w:numPr>
        <w:ind w:left="1077" w:hanging="357"/>
      </w:pPr>
      <w:r w:rsidRPr="00FB40BE">
        <w:t>The 5-HT</w:t>
      </w:r>
      <w:r w:rsidRPr="00FB40BE">
        <w:rPr>
          <w:vertAlign w:val="subscript"/>
        </w:rPr>
        <w:t>3</w:t>
      </w:r>
      <w:r w:rsidR="00FC1FBE" w:rsidRPr="00FB40BE">
        <w:rPr>
          <w:vertAlign w:val="subscript"/>
        </w:rPr>
        <w:t xml:space="preserve"> </w:t>
      </w:r>
      <w:r w:rsidR="00FC1FBE" w:rsidRPr="00FB40BE">
        <w:t>RA</w:t>
      </w:r>
      <w:r w:rsidRPr="00FB40BE">
        <w:t xml:space="preserve"> arm in the two trials did not result in comparable complete response rate</w:t>
      </w:r>
      <w:r w:rsidR="00A76D48" w:rsidRPr="00FB40BE">
        <w:t>,</w:t>
      </w:r>
      <w:r w:rsidRPr="00FB40BE">
        <w:t xml:space="preserve"> which </w:t>
      </w:r>
      <w:r w:rsidR="00C54FA6" w:rsidRPr="00FB40BE">
        <w:t>could</w:t>
      </w:r>
      <w:r w:rsidRPr="00FB40BE">
        <w:t xml:space="preserve"> be due to differences in treatment</w:t>
      </w:r>
      <w:r w:rsidR="00414945" w:rsidRPr="00FB40BE">
        <w:t xml:space="preserve"> (5-HT</w:t>
      </w:r>
      <w:r w:rsidR="00414945" w:rsidRPr="00FB40BE">
        <w:rPr>
          <w:vertAlign w:val="subscript"/>
        </w:rPr>
        <w:t>3</w:t>
      </w:r>
      <w:r w:rsidR="00414945" w:rsidRPr="00FB40BE">
        <w:t xml:space="preserve"> RA)</w:t>
      </w:r>
      <w:r w:rsidRPr="00FB40BE">
        <w:t xml:space="preserve"> or patient characteristics</w:t>
      </w:r>
      <w:r w:rsidR="00A76D48" w:rsidRPr="00FB40BE">
        <w:t>.</w:t>
      </w:r>
    </w:p>
    <w:p w:rsidR="003F21CC" w:rsidRPr="00FB40BE" w:rsidRDefault="003F21CC" w:rsidP="004A2158">
      <w:pPr>
        <w:pStyle w:val="ListParagraph"/>
        <w:widowControl/>
        <w:numPr>
          <w:ilvl w:val="1"/>
          <w:numId w:val="28"/>
        </w:numPr>
        <w:ind w:left="1077" w:hanging="357"/>
        <w:rPr>
          <w:szCs w:val="22"/>
        </w:rPr>
      </w:pPr>
      <w:r w:rsidRPr="00FB40BE">
        <w:t xml:space="preserve">The confidence intervals </w:t>
      </w:r>
      <w:r w:rsidR="00414945" w:rsidRPr="00FB40BE">
        <w:t xml:space="preserve">around the risk difference for the indirect comparisons </w:t>
      </w:r>
      <w:r w:rsidRPr="00FB40BE">
        <w:t xml:space="preserve">were wide, especially for </w:t>
      </w:r>
      <w:r w:rsidR="00414945" w:rsidRPr="00FB40BE">
        <w:t xml:space="preserve">complete response in </w:t>
      </w:r>
      <w:r w:rsidRPr="00FB40BE">
        <w:t>the delayed phase</w:t>
      </w:r>
      <w:r w:rsidR="00414945" w:rsidRPr="00FB40BE">
        <w:t xml:space="preserve"> (25-120 hour)</w:t>
      </w:r>
      <w:r w:rsidRPr="00FB40BE">
        <w:t xml:space="preserve"> which could indicate that NEPA may be five times better or worse than aprepitant plus ondansetron</w:t>
      </w:r>
      <w:r w:rsidR="00F42B68" w:rsidRPr="00FB40BE">
        <w:t>.</w:t>
      </w:r>
    </w:p>
    <w:p w:rsidR="003F21CC" w:rsidRDefault="003F21CC" w:rsidP="004A2158">
      <w:pPr>
        <w:pStyle w:val="ListParagraph"/>
        <w:widowControl/>
        <w:rPr>
          <w:szCs w:val="22"/>
        </w:rPr>
      </w:pPr>
    </w:p>
    <w:p w:rsidR="003C3EF3" w:rsidRDefault="003C3EF3" w:rsidP="003C3EF3">
      <w:pPr>
        <w:pStyle w:val="ListParagraph"/>
        <w:widowControl/>
        <w:numPr>
          <w:ilvl w:val="1"/>
          <w:numId w:val="4"/>
        </w:numPr>
        <w:rPr>
          <w:szCs w:val="22"/>
        </w:rPr>
      </w:pPr>
      <w:r>
        <w:rPr>
          <w:szCs w:val="22"/>
        </w:rPr>
        <w:t xml:space="preserve">The ESC noted that comparative effectiveness is difficult to interpret in the indirect analysis </w:t>
      </w:r>
      <w:r w:rsidR="007F2401">
        <w:rPr>
          <w:szCs w:val="22"/>
        </w:rPr>
        <w:t>as it</w:t>
      </w:r>
      <w:r>
        <w:rPr>
          <w:szCs w:val="22"/>
        </w:rPr>
        <w:t xml:space="preserve"> relies on assumed equivalence across multiple comparisons</w:t>
      </w:r>
      <w:r w:rsidR="007E2118">
        <w:rPr>
          <w:szCs w:val="22"/>
        </w:rPr>
        <w:t>,</w:t>
      </w:r>
      <w:r>
        <w:rPr>
          <w:szCs w:val="22"/>
        </w:rPr>
        <w:t xml:space="preserve"> which have not been </w:t>
      </w:r>
      <w:r w:rsidR="007E2118">
        <w:rPr>
          <w:szCs w:val="22"/>
        </w:rPr>
        <w:t>supported.</w:t>
      </w:r>
      <w:r>
        <w:rPr>
          <w:szCs w:val="22"/>
        </w:rPr>
        <w:t xml:space="preserve"> </w:t>
      </w:r>
    </w:p>
    <w:p w:rsidR="003C3EF3" w:rsidRPr="003F21CC" w:rsidRDefault="003C3EF3" w:rsidP="004A2158">
      <w:pPr>
        <w:pStyle w:val="ListParagraph"/>
        <w:widowControl/>
        <w:rPr>
          <w:szCs w:val="22"/>
        </w:rPr>
      </w:pPr>
    </w:p>
    <w:p w:rsidR="003F21CC" w:rsidRPr="00EC185B" w:rsidRDefault="003F21CC" w:rsidP="001C33BF">
      <w:pPr>
        <w:pStyle w:val="Heading2"/>
      </w:pPr>
      <w:bookmarkStart w:id="10" w:name="_Toc409535760"/>
      <w:r w:rsidRPr="00EC185B">
        <w:t>Comparative harms</w:t>
      </w:r>
      <w:bookmarkEnd w:id="10"/>
    </w:p>
    <w:p w:rsidR="003F21CC" w:rsidRPr="003F21CC" w:rsidRDefault="003F21CC" w:rsidP="004A2158">
      <w:pPr>
        <w:pStyle w:val="ListParagraph"/>
        <w:keepNext/>
        <w:widowControl/>
        <w:rPr>
          <w:szCs w:val="22"/>
        </w:rPr>
      </w:pPr>
    </w:p>
    <w:p w:rsidR="00BE34DF" w:rsidRPr="00261AA0" w:rsidRDefault="00BE34DF" w:rsidP="004A2158">
      <w:pPr>
        <w:pStyle w:val="ListParagraph"/>
        <w:widowControl/>
        <w:numPr>
          <w:ilvl w:val="1"/>
          <w:numId w:val="4"/>
        </w:numPr>
        <w:rPr>
          <w:szCs w:val="22"/>
        </w:rPr>
      </w:pPr>
      <w:r w:rsidRPr="00C333B5">
        <w:t>The submission compared adverse events recorded in first and multiple cycles of s</w:t>
      </w:r>
      <w:r>
        <w:t>cheduled cytotoxic chemotherapy</w:t>
      </w:r>
      <w:r w:rsidR="00DF2300">
        <w:t xml:space="preserve">. </w:t>
      </w:r>
      <w:r w:rsidR="003F21CC">
        <w:t xml:space="preserve">No deaths were reported related to study drugs. The submission concluded that the type, frequency, and severity of treatment-emergent adverse events </w:t>
      </w:r>
      <w:r w:rsidR="006C3E45">
        <w:t>were</w:t>
      </w:r>
      <w:r w:rsidR="003F21CC">
        <w:t xml:space="preserve"> comparable across treatment groups. </w:t>
      </w:r>
      <w:r w:rsidR="003F21CC" w:rsidRPr="00FB40BE">
        <w:t xml:space="preserve">Overall, the majority of adverse events were </w:t>
      </w:r>
      <w:r w:rsidR="00414945" w:rsidRPr="00FB40BE">
        <w:t>similar between NEPA and aprepitant plus 5-HT</w:t>
      </w:r>
      <w:r w:rsidR="00414945" w:rsidRPr="00FB40BE">
        <w:rPr>
          <w:vertAlign w:val="subscript"/>
        </w:rPr>
        <w:t>3</w:t>
      </w:r>
      <w:r w:rsidR="00414945" w:rsidRPr="00FB40BE">
        <w:t xml:space="preserve"> RA</w:t>
      </w:r>
      <w:r w:rsidR="003F21CC" w:rsidRPr="00FB40BE">
        <w:t xml:space="preserve"> and of mild to moderate intensity.</w:t>
      </w:r>
    </w:p>
    <w:p w:rsidR="00BE34DF" w:rsidRDefault="00BE34DF" w:rsidP="004A2158">
      <w:pPr>
        <w:pStyle w:val="PBACHeading1"/>
        <w:numPr>
          <w:ilvl w:val="0"/>
          <w:numId w:val="0"/>
        </w:numPr>
        <w:ind w:left="720" w:hanging="720"/>
      </w:pPr>
    </w:p>
    <w:p w:rsidR="005677AF" w:rsidRPr="00BB7EC3" w:rsidRDefault="005677AF" w:rsidP="005677AF">
      <w:pPr>
        <w:pStyle w:val="ListParagraph"/>
        <w:ind w:left="709"/>
        <w:rPr>
          <w:i/>
          <w:szCs w:val="22"/>
        </w:rPr>
      </w:pPr>
      <w:bookmarkStart w:id="11" w:name="_Toc409535762"/>
      <w:r>
        <w:rPr>
          <w:i/>
          <w:szCs w:val="22"/>
        </w:rPr>
        <w:t>For more detail on PBAC’s view, see section 7 “PBAC outcome”</w:t>
      </w:r>
    </w:p>
    <w:p w:rsidR="003842DF" w:rsidRDefault="003842DF" w:rsidP="001C33BF">
      <w:pPr>
        <w:pStyle w:val="Heading2"/>
      </w:pPr>
    </w:p>
    <w:p w:rsidR="00BE34DF" w:rsidRPr="00EC185B" w:rsidRDefault="00BE34DF" w:rsidP="001C33BF">
      <w:pPr>
        <w:pStyle w:val="Heading2"/>
      </w:pPr>
      <w:r w:rsidRPr="00EC185B">
        <w:t>Clinical claim</w:t>
      </w:r>
      <w:bookmarkEnd w:id="11"/>
    </w:p>
    <w:p w:rsidR="00BE34DF" w:rsidRPr="00882085" w:rsidRDefault="00BE34DF" w:rsidP="004A2158">
      <w:pPr>
        <w:widowControl/>
        <w:ind w:left="720" w:hanging="720"/>
        <w:rPr>
          <w:szCs w:val="22"/>
        </w:rPr>
      </w:pPr>
    </w:p>
    <w:p w:rsidR="00D35848" w:rsidRPr="00D35848" w:rsidRDefault="00C07917" w:rsidP="004A2158">
      <w:pPr>
        <w:pStyle w:val="ListParagraph"/>
        <w:widowControl/>
        <w:numPr>
          <w:ilvl w:val="1"/>
          <w:numId w:val="4"/>
        </w:numPr>
        <w:rPr>
          <w:szCs w:val="22"/>
        </w:rPr>
      </w:pPr>
      <w:r>
        <w:t>The overall claim of the submission was that NEPA was therapeutically equivalent to aprepitant in combination with a 5-HT</w:t>
      </w:r>
      <w:r>
        <w:rPr>
          <w:vertAlign w:val="subscript"/>
        </w:rPr>
        <w:t>3</w:t>
      </w:r>
      <w:r>
        <w:t xml:space="preserve"> RA. However the following limitations were noted by ESC</w:t>
      </w:r>
      <w:r w:rsidR="00530243">
        <w:t xml:space="preserve">: </w:t>
      </w:r>
    </w:p>
    <w:p w:rsidR="0082028B" w:rsidRDefault="0082028B" w:rsidP="004A2158">
      <w:pPr>
        <w:widowControl/>
      </w:pPr>
    </w:p>
    <w:p w:rsidR="00BE34DF" w:rsidRPr="00C473E5" w:rsidRDefault="00BE34DF" w:rsidP="004A2158">
      <w:pPr>
        <w:widowControl/>
        <w:ind w:left="720"/>
      </w:pPr>
      <w:r w:rsidRPr="00C473E5">
        <w:rPr>
          <w:b/>
        </w:rPr>
        <w:t xml:space="preserve">Highly </w:t>
      </w:r>
      <w:r w:rsidR="00E32B0A">
        <w:rPr>
          <w:b/>
        </w:rPr>
        <w:t>emetogenic</w:t>
      </w:r>
      <w:r w:rsidRPr="00C473E5">
        <w:rPr>
          <w:b/>
        </w:rPr>
        <w:t xml:space="preserve"> population</w:t>
      </w:r>
    </w:p>
    <w:p w:rsidR="00BE34DF" w:rsidRPr="00267C42" w:rsidRDefault="0082028B" w:rsidP="004A2158">
      <w:pPr>
        <w:pStyle w:val="ListParagraph"/>
        <w:widowControl/>
        <w:numPr>
          <w:ilvl w:val="0"/>
          <w:numId w:val="24"/>
        </w:numPr>
        <w:ind w:left="1077" w:hanging="357"/>
      </w:pPr>
      <w:r w:rsidRPr="00267C42">
        <w:t xml:space="preserve">In </w:t>
      </w:r>
      <w:r w:rsidR="00BE34DF" w:rsidRPr="00267C42">
        <w:t>NETU-07-07</w:t>
      </w:r>
      <w:r w:rsidRPr="00267C42">
        <w:t xml:space="preserve">, for the comparison arm, </w:t>
      </w:r>
      <w:r w:rsidR="005F3F17" w:rsidRPr="00267C42">
        <w:t>ondansetron (intravenous, 32 mg) was prescribed at a higher dose than recommended in Australian practice</w:t>
      </w:r>
      <w:r w:rsidR="00BE34DF" w:rsidRPr="00267C42">
        <w:t>.</w:t>
      </w:r>
    </w:p>
    <w:p w:rsidR="005F3F17" w:rsidRPr="00EB38FD" w:rsidRDefault="005F3F17" w:rsidP="004A2158">
      <w:pPr>
        <w:pStyle w:val="ListParagraph"/>
        <w:widowControl/>
        <w:numPr>
          <w:ilvl w:val="0"/>
          <w:numId w:val="24"/>
        </w:numPr>
        <w:ind w:left="1077" w:hanging="357"/>
      </w:pPr>
      <w:r w:rsidRPr="00EB38FD">
        <w:t>The clinical trials were not designed as non-inferiority trials and the submission did not provide non-inferiority limits.</w:t>
      </w:r>
    </w:p>
    <w:p w:rsidR="00BE34DF" w:rsidRPr="0039739E" w:rsidRDefault="00BE34DF" w:rsidP="00E300AA">
      <w:pPr>
        <w:widowControl/>
        <w:ind w:left="720"/>
        <w:rPr>
          <w:b/>
        </w:rPr>
      </w:pPr>
      <w:r w:rsidRPr="0039739E">
        <w:rPr>
          <w:b/>
        </w:rPr>
        <w:t>Anthracycline</w:t>
      </w:r>
      <w:r w:rsidR="002F6B32" w:rsidRPr="0039739E">
        <w:rPr>
          <w:b/>
        </w:rPr>
        <w:t xml:space="preserve"> plus</w:t>
      </w:r>
      <w:r w:rsidR="00260082" w:rsidRPr="0039739E">
        <w:rPr>
          <w:b/>
        </w:rPr>
        <w:t xml:space="preserve"> cyclophosphamide based regimen</w:t>
      </w:r>
      <w:r w:rsidR="002F6B32" w:rsidRPr="0039739E">
        <w:rPr>
          <w:b/>
        </w:rPr>
        <w:t xml:space="preserve">s in </w:t>
      </w:r>
      <w:r w:rsidR="00AC493C" w:rsidRPr="0039739E">
        <w:rPr>
          <w:b/>
        </w:rPr>
        <w:t xml:space="preserve">patients with </w:t>
      </w:r>
      <w:r w:rsidRPr="0039739E">
        <w:rPr>
          <w:b/>
        </w:rPr>
        <w:t>breast cancer</w:t>
      </w:r>
    </w:p>
    <w:p w:rsidR="00BE34DF" w:rsidRPr="00267C42" w:rsidRDefault="00592359" w:rsidP="004A2158">
      <w:pPr>
        <w:pStyle w:val="ListParagraph"/>
        <w:widowControl/>
        <w:numPr>
          <w:ilvl w:val="0"/>
          <w:numId w:val="25"/>
        </w:numPr>
        <w:ind w:left="1077" w:hanging="357"/>
      </w:pPr>
      <w:r w:rsidRPr="00267C42">
        <w:t>This claim of equivalent efficacy and safety was based on an i</w:t>
      </w:r>
      <w:r w:rsidR="00BE34DF" w:rsidRPr="00267C42">
        <w:t xml:space="preserve">ndirect comparison </w:t>
      </w:r>
      <w:r w:rsidR="00BE34DF" w:rsidRPr="00267C42">
        <w:rPr>
          <w:u w:val="single"/>
        </w:rPr>
        <w:t>without</w:t>
      </w:r>
      <w:r w:rsidR="00BE34DF" w:rsidRPr="00267C42">
        <w:t xml:space="preserve"> </w:t>
      </w:r>
      <w:r w:rsidR="0082028B" w:rsidRPr="00267C42">
        <w:t>the same</w:t>
      </w:r>
      <w:r w:rsidR="00BE34DF" w:rsidRPr="00267C42">
        <w:t xml:space="preserve"> common comparator (5-HT</w:t>
      </w:r>
      <w:r w:rsidR="00BE34DF" w:rsidRPr="00267C42">
        <w:rPr>
          <w:vertAlign w:val="subscript"/>
        </w:rPr>
        <w:t>3</w:t>
      </w:r>
      <w:r w:rsidR="00BE34DF" w:rsidRPr="00267C42">
        <w:t xml:space="preserve"> </w:t>
      </w:r>
      <w:r w:rsidR="00AD2874" w:rsidRPr="00267C42">
        <w:t>RA</w:t>
      </w:r>
      <w:r w:rsidR="00BE34DF" w:rsidRPr="00267C42">
        <w:t>)</w:t>
      </w:r>
      <w:r w:rsidR="0082028B" w:rsidRPr="00267C42">
        <w:t xml:space="preserve"> in both trials</w:t>
      </w:r>
      <w:r w:rsidR="00BE34DF" w:rsidRPr="00267C42">
        <w:t>.</w:t>
      </w:r>
    </w:p>
    <w:p w:rsidR="00BE34DF" w:rsidRPr="00267C42" w:rsidRDefault="00BE34DF" w:rsidP="004A2158">
      <w:pPr>
        <w:pStyle w:val="ListParagraph"/>
        <w:widowControl/>
        <w:numPr>
          <w:ilvl w:val="0"/>
          <w:numId w:val="25"/>
        </w:numPr>
        <w:ind w:left="1077" w:hanging="357"/>
      </w:pPr>
      <w:r w:rsidRPr="00267C42">
        <w:t>The clinical evidence was based on exploratory post-hoc analysis.</w:t>
      </w:r>
    </w:p>
    <w:p w:rsidR="002F6B32" w:rsidRDefault="002F6B32" w:rsidP="002F6B32">
      <w:pPr>
        <w:pStyle w:val="ListParagraph"/>
        <w:widowControl/>
        <w:ind w:left="1077"/>
      </w:pPr>
    </w:p>
    <w:p w:rsidR="007C1582" w:rsidRPr="00C473E5" w:rsidRDefault="007C1582" w:rsidP="00E300AA">
      <w:pPr>
        <w:pStyle w:val="ListParagraph"/>
        <w:widowControl/>
        <w:ind w:left="360" w:firstLine="360"/>
      </w:pPr>
      <w:r w:rsidRPr="007C1582">
        <w:rPr>
          <w:b/>
        </w:rPr>
        <w:t>Moderately emetogenic chemotherapy</w:t>
      </w:r>
      <w:r w:rsidR="000C53E6">
        <w:rPr>
          <w:b/>
        </w:rPr>
        <w:t xml:space="preserve"> </w:t>
      </w:r>
    </w:p>
    <w:p w:rsidR="00BE34DF" w:rsidRPr="00C473E5" w:rsidRDefault="00BE34DF" w:rsidP="004A2158">
      <w:pPr>
        <w:widowControl/>
        <w:ind w:left="720"/>
      </w:pPr>
      <w:r w:rsidRPr="00C473E5">
        <w:rPr>
          <w:u w:val="single"/>
        </w:rPr>
        <w:t>With known previous event of chemotherapy induced nausea and vomiting</w:t>
      </w:r>
    </w:p>
    <w:p w:rsidR="0082028B" w:rsidRPr="00FB40BE" w:rsidRDefault="00BE34DF" w:rsidP="004A2158">
      <w:pPr>
        <w:pStyle w:val="ListParagraph"/>
        <w:widowControl/>
        <w:numPr>
          <w:ilvl w:val="0"/>
          <w:numId w:val="26"/>
        </w:numPr>
        <w:ind w:left="1077" w:hanging="357"/>
      </w:pPr>
      <w:r w:rsidRPr="00FB40BE">
        <w:t xml:space="preserve">No </w:t>
      </w:r>
      <w:r w:rsidR="0082028B" w:rsidRPr="00FB40BE">
        <w:t xml:space="preserve">clinical evidence was provided </w:t>
      </w:r>
      <w:r w:rsidR="0042115D" w:rsidRPr="00FB40BE">
        <w:t>for</w:t>
      </w:r>
      <w:r w:rsidR="0082028B" w:rsidRPr="00FB40BE">
        <w:t xml:space="preserve"> the efficacy and safety in patients on moderately </w:t>
      </w:r>
      <w:r w:rsidR="00E32B0A" w:rsidRPr="00FB40BE">
        <w:t>emetogenic</w:t>
      </w:r>
      <w:r w:rsidR="0082028B" w:rsidRPr="00FB40BE">
        <w:t xml:space="preserve"> chemotherapy who had experienced a previous</w:t>
      </w:r>
      <w:r w:rsidR="007C1582" w:rsidRPr="00FB40BE">
        <w:t xml:space="preserve"> chemotherapy induced nausea and/or vomiting</w:t>
      </w:r>
      <w:r w:rsidR="0082028B" w:rsidRPr="00FB40BE">
        <w:t xml:space="preserve"> event. </w:t>
      </w:r>
    </w:p>
    <w:p w:rsidR="00BE34DF" w:rsidRPr="00224D58" w:rsidRDefault="00BE34DF" w:rsidP="004A2158">
      <w:pPr>
        <w:widowControl/>
        <w:rPr>
          <w:szCs w:val="22"/>
        </w:rPr>
      </w:pPr>
    </w:p>
    <w:p w:rsidR="005677AF" w:rsidRPr="00F430AA" w:rsidRDefault="005677AF" w:rsidP="00F430AA">
      <w:pPr>
        <w:pStyle w:val="ListParagraph"/>
        <w:widowControl/>
        <w:numPr>
          <w:ilvl w:val="1"/>
          <w:numId w:val="4"/>
        </w:numPr>
        <w:rPr>
          <w:szCs w:val="22"/>
        </w:rPr>
      </w:pPr>
      <w:r w:rsidRPr="00224D58">
        <w:rPr>
          <w:szCs w:val="22"/>
        </w:rPr>
        <w:t>The PBAC considered that the claim of non-inferior comparative effectiveness was reasonable</w:t>
      </w:r>
      <w:r w:rsidR="00133260">
        <w:rPr>
          <w:szCs w:val="22"/>
        </w:rPr>
        <w:t xml:space="preserve"> for patients due to receive highly emetogenic chemotherapy and in breast cancer patients due to receive anthracycline with cyclophosphamide. However, the clinical claim is poorly supported for the patients due to receive moderately emetogenic chemotherapy.</w:t>
      </w:r>
    </w:p>
    <w:p w:rsidR="005677AF" w:rsidRPr="00224D58" w:rsidRDefault="005677AF" w:rsidP="005677AF">
      <w:pPr>
        <w:pStyle w:val="ListParagraph"/>
        <w:rPr>
          <w:szCs w:val="22"/>
        </w:rPr>
      </w:pPr>
    </w:p>
    <w:p w:rsidR="005677AF" w:rsidRPr="00224D58" w:rsidRDefault="005677AF" w:rsidP="005677AF">
      <w:pPr>
        <w:pStyle w:val="ListParagraph"/>
        <w:widowControl/>
        <w:numPr>
          <w:ilvl w:val="1"/>
          <w:numId w:val="4"/>
        </w:numPr>
        <w:rPr>
          <w:szCs w:val="22"/>
        </w:rPr>
      </w:pPr>
      <w:r w:rsidRPr="00224D58">
        <w:rPr>
          <w:szCs w:val="22"/>
        </w:rPr>
        <w:t>The PBAC considered that the claim of non-inferior comparative safety was reasonable</w:t>
      </w:r>
      <w:r w:rsidR="00390AAD" w:rsidRPr="00224D58">
        <w:rPr>
          <w:szCs w:val="22"/>
        </w:rPr>
        <w:t>.</w:t>
      </w:r>
    </w:p>
    <w:p w:rsidR="005677AF" w:rsidRDefault="005677AF" w:rsidP="004A2158">
      <w:pPr>
        <w:widowControl/>
        <w:rPr>
          <w:szCs w:val="22"/>
        </w:rPr>
      </w:pPr>
    </w:p>
    <w:p w:rsidR="005677AF" w:rsidRPr="00BB7EC3" w:rsidRDefault="005677AF" w:rsidP="005677AF">
      <w:pPr>
        <w:pStyle w:val="ListParagraph"/>
        <w:ind w:left="709"/>
        <w:rPr>
          <w:i/>
          <w:szCs w:val="22"/>
        </w:rPr>
      </w:pPr>
      <w:r>
        <w:rPr>
          <w:i/>
          <w:szCs w:val="22"/>
        </w:rPr>
        <w:t>For more detail on PBAC’s view, see section 7 “PBAC outcome”</w:t>
      </w:r>
    </w:p>
    <w:p w:rsidR="005677AF" w:rsidRPr="00882085" w:rsidRDefault="005677AF" w:rsidP="004A2158">
      <w:pPr>
        <w:widowControl/>
        <w:rPr>
          <w:szCs w:val="22"/>
        </w:rPr>
      </w:pPr>
    </w:p>
    <w:p w:rsidR="00BE34DF" w:rsidRPr="00EC185B" w:rsidRDefault="00BE34DF" w:rsidP="001C33BF">
      <w:pPr>
        <w:pStyle w:val="Heading2"/>
      </w:pPr>
      <w:bookmarkStart w:id="12" w:name="_Toc409535763"/>
      <w:r w:rsidRPr="00EC185B">
        <w:t>Economic analysis</w:t>
      </w:r>
      <w:bookmarkEnd w:id="12"/>
      <w:r w:rsidRPr="00EC185B">
        <w:t xml:space="preserve"> </w:t>
      </w:r>
    </w:p>
    <w:p w:rsidR="00BE34DF" w:rsidRPr="00882085" w:rsidRDefault="00BE34DF" w:rsidP="004A2158">
      <w:pPr>
        <w:keepNext/>
        <w:widowControl/>
        <w:ind w:left="720" w:hanging="720"/>
        <w:rPr>
          <w:szCs w:val="22"/>
        </w:rPr>
      </w:pPr>
    </w:p>
    <w:p w:rsidR="00BE34DF" w:rsidRDefault="00BE34DF" w:rsidP="006001EC">
      <w:pPr>
        <w:pStyle w:val="ListParagraph"/>
        <w:widowControl/>
        <w:numPr>
          <w:ilvl w:val="1"/>
          <w:numId w:val="4"/>
        </w:numPr>
        <w:rPr>
          <w:i/>
        </w:rPr>
      </w:pPr>
      <w:r w:rsidRPr="00E934EC">
        <w:t xml:space="preserve">The submission presented a cost-minimisation analysis of </w:t>
      </w:r>
      <w:r w:rsidR="00AD2874">
        <w:t>NEPA</w:t>
      </w:r>
      <w:r w:rsidRPr="00E934EC">
        <w:t>.</w:t>
      </w:r>
      <w:r w:rsidR="00E5120D">
        <w:t xml:space="preserve"> </w:t>
      </w:r>
      <w:r w:rsidRPr="00FB40BE">
        <w:t xml:space="preserve">The submission did not </w:t>
      </w:r>
      <w:r w:rsidR="00A76D48" w:rsidRPr="00FB40BE">
        <w:t xml:space="preserve">estimate </w:t>
      </w:r>
      <w:r w:rsidRPr="00FB40BE">
        <w:t>the equi-effective doses</w:t>
      </w:r>
      <w:r w:rsidR="0042115D" w:rsidRPr="00FB40BE">
        <w:t>, but</w:t>
      </w:r>
      <w:r w:rsidR="00287B9A" w:rsidRPr="00FB40BE">
        <w:t xml:space="preserve"> these</w:t>
      </w:r>
      <w:r w:rsidR="0042115D" w:rsidRPr="00FB40BE">
        <w:t xml:space="preserve"> </w:t>
      </w:r>
      <w:r w:rsidR="00CF2712">
        <w:t>were</w:t>
      </w:r>
      <w:r w:rsidR="00CF2712" w:rsidRPr="00FB40BE">
        <w:t xml:space="preserve"> </w:t>
      </w:r>
      <w:r w:rsidR="0042115D" w:rsidRPr="00FB40BE">
        <w:t>pr</w:t>
      </w:r>
      <w:r w:rsidR="00A76D48" w:rsidRPr="00FB40BE">
        <w:t>oposed</w:t>
      </w:r>
      <w:r w:rsidR="00CF2712">
        <w:t xml:space="preserve"> during the evaluation and presented</w:t>
      </w:r>
      <w:r w:rsidR="0042115D" w:rsidRPr="00FB40BE">
        <w:t xml:space="preserve"> in </w:t>
      </w:r>
      <w:r w:rsidR="007F2401">
        <w:t>the table below</w:t>
      </w:r>
      <w:r w:rsidRPr="00FB40BE">
        <w:t>.</w:t>
      </w:r>
      <w:r w:rsidRPr="006001EC">
        <w:rPr>
          <w:i/>
        </w:rPr>
        <w:t xml:space="preserve"> </w:t>
      </w:r>
      <w:r w:rsidR="006001EC" w:rsidRPr="00EB38FD">
        <w:t>The PSCR (p2) agreed with the equi-effective doses presented below.</w:t>
      </w:r>
      <w:r w:rsidR="006001EC" w:rsidRPr="006001EC">
        <w:rPr>
          <w:i/>
        </w:rPr>
        <w:t xml:space="preserve"> </w:t>
      </w:r>
    </w:p>
    <w:p w:rsidR="006001EC" w:rsidRDefault="006001EC" w:rsidP="004A2158">
      <w:pPr>
        <w:pStyle w:val="ListParagraph"/>
        <w:keepNext/>
        <w:widowControl/>
        <w:ind w:hanging="720"/>
      </w:pPr>
    </w:p>
    <w:p w:rsidR="00BE34DF" w:rsidRDefault="00BE34DF" w:rsidP="004A2158">
      <w:pPr>
        <w:widowControl/>
        <w:ind w:firstLine="720"/>
        <w:rPr>
          <w:rStyle w:val="CommentReference"/>
        </w:rPr>
      </w:pPr>
      <w:r w:rsidRPr="0001497B">
        <w:rPr>
          <w:rStyle w:val="CommentReference"/>
        </w:rPr>
        <w:t xml:space="preserve">Equi-effective dosing for </w:t>
      </w:r>
      <w:r w:rsidR="00AD2874">
        <w:rPr>
          <w:rStyle w:val="CommentReference"/>
        </w:rPr>
        <w:t>NEPA</w:t>
      </w:r>
      <w:r w:rsidRPr="0001497B">
        <w:rPr>
          <w:rStyle w:val="CommentReference"/>
        </w:rPr>
        <w:t xml:space="preserve"> and aprepitant + 5-HT</w:t>
      </w:r>
      <w:r w:rsidRPr="0001497B">
        <w:rPr>
          <w:rStyle w:val="CommentReference"/>
          <w:vertAlign w:val="subscript"/>
        </w:rPr>
        <w:t>3</w:t>
      </w:r>
      <w:r w:rsidRPr="0001497B">
        <w:rPr>
          <w:rStyle w:val="CommentReference"/>
        </w:rPr>
        <w:t xml:space="preserve"> </w:t>
      </w:r>
      <w:r w:rsidR="00AD2874">
        <w:rPr>
          <w:rStyle w:val="CommentReference"/>
        </w:rPr>
        <w:t>RA</w:t>
      </w:r>
    </w:p>
    <w:tbl>
      <w:tblPr>
        <w:tblStyle w:val="TableGrid1"/>
        <w:tblW w:w="8505" w:type="dxa"/>
        <w:tblInd w:w="737" w:type="dxa"/>
        <w:tblCellMar>
          <w:left w:w="28" w:type="dxa"/>
          <w:right w:w="28" w:type="dxa"/>
        </w:tblCellMar>
        <w:tblLook w:val="04A0" w:firstRow="1" w:lastRow="0" w:firstColumn="1" w:lastColumn="0" w:noHBand="0" w:noVBand="1"/>
      </w:tblPr>
      <w:tblGrid>
        <w:gridCol w:w="1507"/>
        <w:gridCol w:w="2250"/>
        <w:gridCol w:w="2764"/>
        <w:gridCol w:w="1984"/>
      </w:tblGrid>
      <w:tr w:rsidR="009C4843" w:rsidRPr="0039739E" w:rsidTr="000749DC">
        <w:trPr>
          <w:trHeight w:val="20"/>
          <w:tblHeader/>
        </w:trPr>
        <w:tc>
          <w:tcPr>
            <w:tcW w:w="0" w:type="auto"/>
          </w:tcPr>
          <w:p w:rsidR="009C4843" w:rsidRPr="0039739E" w:rsidRDefault="009C4843" w:rsidP="004A2158">
            <w:pPr>
              <w:widowControl/>
              <w:rPr>
                <w:rFonts w:ascii="Arial Narrow" w:hAnsi="Arial Narrow"/>
                <w:b/>
                <w:sz w:val="20"/>
              </w:rPr>
            </w:pPr>
            <w:r w:rsidRPr="0039739E">
              <w:rPr>
                <w:rFonts w:ascii="Arial Narrow" w:hAnsi="Arial Narrow"/>
                <w:b/>
                <w:sz w:val="20"/>
              </w:rPr>
              <w:t>Medication</w:t>
            </w:r>
          </w:p>
        </w:tc>
        <w:tc>
          <w:tcPr>
            <w:tcW w:w="4931" w:type="dxa"/>
            <w:gridSpan w:val="2"/>
            <w:vAlign w:val="center"/>
          </w:tcPr>
          <w:p w:rsidR="009C4843" w:rsidRPr="0039739E" w:rsidRDefault="009C4843" w:rsidP="004A2158">
            <w:pPr>
              <w:widowControl/>
              <w:jc w:val="center"/>
              <w:rPr>
                <w:rFonts w:ascii="Arial Narrow" w:hAnsi="Arial Narrow"/>
                <w:b/>
                <w:sz w:val="20"/>
              </w:rPr>
            </w:pPr>
            <w:r w:rsidRPr="0039739E">
              <w:rPr>
                <w:rFonts w:ascii="Arial Narrow" w:hAnsi="Arial Narrow"/>
                <w:b/>
                <w:sz w:val="20"/>
              </w:rPr>
              <w:t>Dosing schedule</w:t>
            </w:r>
          </w:p>
        </w:tc>
        <w:tc>
          <w:tcPr>
            <w:tcW w:w="1984" w:type="dxa"/>
          </w:tcPr>
          <w:p w:rsidR="009C4843" w:rsidRPr="0039739E" w:rsidRDefault="009C4843" w:rsidP="004A2158">
            <w:pPr>
              <w:widowControl/>
              <w:jc w:val="center"/>
              <w:rPr>
                <w:rFonts w:ascii="Arial Narrow" w:hAnsi="Arial Narrow"/>
                <w:b/>
                <w:sz w:val="20"/>
              </w:rPr>
            </w:pPr>
            <w:r w:rsidRPr="0039739E">
              <w:rPr>
                <w:rFonts w:ascii="Arial Narrow" w:hAnsi="Arial Narrow"/>
                <w:b/>
                <w:sz w:val="20"/>
              </w:rPr>
              <w:t>Source</w:t>
            </w:r>
          </w:p>
        </w:tc>
      </w:tr>
      <w:tr w:rsidR="009C4843" w:rsidRPr="0039739E" w:rsidTr="000749DC">
        <w:trPr>
          <w:trHeight w:val="20"/>
          <w:tblHeader/>
        </w:trPr>
        <w:tc>
          <w:tcPr>
            <w:tcW w:w="0" w:type="auto"/>
          </w:tcPr>
          <w:p w:rsidR="009C4843" w:rsidRPr="0039739E" w:rsidRDefault="009C4843" w:rsidP="004A2158">
            <w:pPr>
              <w:widowControl/>
              <w:rPr>
                <w:rFonts w:ascii="Arial Narrow" w:hAnsi="Arial Narrow"/>
                <w:sz w:val="20"/>
              </w:rPr>
            </w:pPr>
          </w:p>
        </w:tc>
        <w:tc>
          <w:tcPr>
            <w:tcW w:w="0" w:type="auto"/>
          </w:tcPr>
          <w:p w:rsidR="009C4843" w:rsidRPr="0039739E" w:rsidRDefault="009C4843" w:rsidP="004A2158">
            <w:pPr>
              <w:widowControl/>
              <w:jc w:val="center"/>
              <w:rPr>
                <w:rFonts w:ascii="Arial Narrow" w:hAnsi="Arial Narrow"/>
                <w:b/>
                <w:sz w:val="20"/>
              </w:rPr>
            </w:pPr>
            <w:r w:rsidRPr="0039739E">
              <w:rPr>
                <w:rFonts w:ascii="Arial Narrow" w:hAnsi="Arial Narrow"/>
                <w:b/>
                <w:sz w:val="20"/>
              </w:rPr>
              <w:t>Substance P inhibitor</w:t>
            </w:r>
          </w:p>
        </w:tc>
        <w:tc>
          <w:tcPr>
            <w:tcW w:w="2508" w:type="dxa"/>
          </w:tcPr>
          <w:p w:rsidR="009C4843" w:rsidRPr="0039739E" w:rsidRDefault="009C4843" w:rsidP="004A2158">
            <w:pPr>
              <w:widowControl/>
              <w:jc w:val="center"/>
              <w:rPr>
                <w:rFonts w:ascii="Arial Narrow" w:hAnsi="Arial Narrow"/>
                <w:b/>
                <w:sz w:val="20"/>
              </w:rPr>
            </w:pPr>
            <w:r w:rsidRPr="0039739E">
              <w:rPr>
                <w:rFonts w:ascii="Arial Narrow" w:hAnsi="Arial Narrow"/>
                <w:b/>
                <w:sz w:val="20"/>
              </w:rPr>
              <w:t>5-HT</w:t>
            </w:r>
            <w:r w:rsidRPr="0039739E">
              <w:rPr>
                <w:rFonts w:ascii="Arial Narrow" w:hAnsi="Arial Narrow"/>
                <w:b/>
                <w:sz w:val="20"/>
                <w:vertAlign w:val="subscript"/>
              </w:rPr>
              <w:t>3</w:t>
            </w:r>
            <w:r w:rsidRPr="0039739E">
              <w:rPr>
                <w:rFonts w:ascii="Arial Narrow" w:hAnsi="Arial Narrow"/>
                <w:b/>
                <w:sz w:val="20"/>
              </w:rPr>
              <w:t xml:space="preserve"> RA</w:t>
            </w:r>
          </w:p>
        </w:tc>
        <w:tc>
          <w:tcPr>
            <w:tcW w:w="1984" w:type="dxa"/>
          </w:tcPr>
          <w:p w:rsidR="009C4843" w:rsidRPr="0039739E" w:rsidRDefault="009C4843" w:rsidP="004A2158">
            <w:pPr>
              <w:widowControl/>
              <w:rPr>
                <w:rFonts w:ascii="Arial Narrow" w:hAnsi="Arial Narrow"/>
                <w:sz w:val="20"/>
              </w:rPr>
            </w:pPr>
          </w:p>
        </w:tc>
      </w:tr>
      <w:tr w:rsidR="009C4843" w:rsidRPr="0039739E" w:rsidTr="000749DC">
        <w:trPr>
          <w:trHeight w:val="20"/>
          <w:tblHeader/>
        </w:trPr>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NEPA, FDC</w:t>
            </w:r>
          </w:p>
        </w:tc>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 xml:space="preserve">NE: Day 1: 300 mg oral </w:t>
            </w:r>
          </w:p>
        </w:tc>
        <w:tc>
          <w:tcPr>
            <w:tcW w:w="2508" w:type="dxa"/>
          </w:tcPr>
          <w:p w:rsidR="009C4843" w:rsidRPr="0039739E" w:rsidRDefault="009C4843" w:rsidP="004A2158">
            <w:pPr>
              <w:widowControl/>
              <w:rPr>
                <w:rFonts w:ascii="Arial Narrow" w:hAnsi="Arial Narrow"/>
                <w:sz w:val="20"/>
              </w:rPr>
            </w:pPr>
            <w:r w:rsidRPr="0039739E">
              <w:rPr>
                <w:rFonts w:ascii="Arial Narrow" w:hAnsi="Arial Narrow"/>
                <w:sz w:val="20"/>
              </w:rPr>
              <w:t>PA: 0.5 mg oral day 1</w:t>
            </w:r>
          </w:p>
        </w:tc>
        <w:tc>
          <w:tcPr>
            <w:tcW w:w="1984" w:type="dxa"/>
          </w:tcPr>
          <w:p w:rsidR="009C4843" w:rsidRPr="0039739E" w:rsidRDefault="009C4843" w:rsidP="004A2158">
            <w:pPr>
              <w:widowControl/>
              <w:rPr>
                <w:rFonts w:ascii="Arial Narrow" w:hAnsi="Arial Narrow"/>
                <w:sz w:val="20"/>
              </w:rPr>
            </w:pPr>
            <w:r w:rsidRPr="0039739E">
              <w:rPr>
                <w:rFonts w:ascii="Arial Narrow" w:hAnsi="Arial Narrow"/>
                <w:sz w:val="20"/>
              </w:rPr>
              <w:t xml:space="preserve">Clinical trials. proposed </w:t>
            </w:r>
          </w:p>
        </w:tc>
      </w:tr>
      <w:tr w:rsidR="009C4843" w:rsidRPr="0039739E" w:rsidTr="000749DC">
        <w:trPr>
          <w:trHeight w:val="20"/>
          <w:tblHeader/>
        </w:trPr>
        <w:tc>
          <w:tcPr>
            <w:tcW w:w="0" w:type="auto"/>
          </w:tcPr>
          <w:p w:rsidR="009C4843" w:rsidRPr="0039739E" w:rsidRDefault="009C4843" w:rsidP="004A2158">
            <w:pPr>
              <w:widowControl/>
              <w:rPr>
                <w:rFonts w:ascii="Arial Narrow" w:hAnsi="Arial Narrow"/>
                <w:b/>
                <w:sz w:val="20"/>
              </w:rPr>
            </w:pPr>
            <w:r w:rsidRPr="0039739E">
              <w:rPr>
                <w:rFonts w:ascii="Arial Narrow" w:hAnsi="Arial Narrow"/>
                <w:b/>
                <w:sz w:val="20"/>
              </w:rPr>
              <w:t>Comparator</w:t>
            </w:r>
          </w:p>
        </w:tc>
        <w:tc>
          <w:tcPr>
            <w:tcW w:w="0" w:type="auto"/>
          </w:tcPr>
          <w:p w:rsidR="009C4843" w:rsidRPr="0039739E" w:rsidRDefault="009C4843" w:rsidP="004A2158">
            <w:pPr>
              <w:widowControl/>
              <w:rPr>
                <w:rFonts w:ascii="Arial Narrow" w:hAnsi="Arial Narrow"/>
                <w:sz w:val="20"/>
              </w:rPr>
            </w:pPr>
          </w:p>
        </w:tc>
        <w:tc>
          <w:tcPr>
            <w:tcW w:w="2508" w:type="dxa"/>
          </w:tcPr>
          <w:p w:rsidR="009C4843" w:rsidRPr="0039739E" w:rsidRDefault="009C4843" w:rsidP="004A2158">
            <w:pPr>
              <w:widowControl/>
              <w:rPr>
                <w:rFonts w:ascii="Arial Narrow" w:hAnsi="Arial Narrow"/>
                <w:sz w:val="20"/>
              </w:rPr>
            </w:pPr>
          </w:p>
        </w:tc>
        <w:tc>
          <w:tcPr>
            <w:tcW w:w="1984" w:type="dxa"/>
          </w:tcPr>
          <w:p w:rsidR="009C4843" w:rsidRPr="0039739E" w:rsidRDefault="009C4843" w:rsidP="004A2158">
            <w:pPr>
              <w:widowControl/>
              <w:rPr>
                <w:rFonts w:ascii="Arial Narrow" w:hAnsi="Arial Narrow"/>
                <w:sz w:val="20"/>
              </w:rPr>
            </w:pPr>
          </w:p>
        </w:tc>
      </w:tr>
      <w:tr w:rsidR="009C4843" w:rsidRPr="0039739E" w:rsidTr="000749DC">
        <w:trPr>
          <w:trHeight w:val="20"/>
          <w:tblHeader/>
        </w:trPr>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Use in clinical trials</w:t>
            </w:r>
          </w:p>
        </w:tc>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 xml:space="preserve">Apre: </w:t>
            </w:r>
          </w:p>
          <w:p w:rsidR="009C4843" w:rsidRPr="0039739E" w:rsidRDefault="009C4843" w:rsidP="004A2158">
            <w:pPr>
              <w:widowControl/>
              <w:ind w:left="720" w:hanging="561"/>
              <w:rPr>
                <w:rFonts w:ascii="Arial Narrow" w:hAnsi="Arial Narrow"/>
                <w:sz w:val="20"/>
              </w:rPr>
            </w:pPr>
            <w:r w:rsidRPr="0039739E">
              <w:rPr>
                <w:rFonts w:ascii="Arial Narrow" w:hAnsi="Arial Narrow"/>
                <w:sz w:val="20"/>
              </w:rPr>
              <w:t>Day 1: 125 mg oral</w:t>
            </w:r>
          </w:p>
          <w:p w:rsidR="009C4843" w:rsidRPr="0039739E" w:rsidRDefault="009C4843" w:rsidP="004A2158">
            <w:pPr>
              <w:widowControl/>
              <w:ind w:left="720" w:hanging="561"/>
              <w:rPr>
                <w:rFonts w:ascii="Arial Narrow" w:hAnsi="Arial Narrow"/>
                <w:sz w:val="20"/>
              </w:rPr>
            </w:pPr>
            <w:r w:rsidRPr="0039739E">
              <w:rPr>
                <w:rFonts w:ascii="Arial Narrow" w:hAnsi="Arial Narrow"/>
                <w:sz w:val="20"/>
              </w:rPr>
              <w:t>Day 2 and 3: 80 mg oral</w:t>
            </w:r>
          </w:p>
        </w:tc>
        <w:tc>
          <w:tcPr>
            <w:tcW w:w="2508" w:type="dxa"/>
          </w:tcPr>
          <w:p w:rsidR="009C4843" w:rsidRPr="0039739E" w:rsidRDefault="009C4843" w:rsidP="004A2158">
            <w:pPr>
              <w:widowControl/>
              <w:rPr>
                <w:rFonts w:ascii="Arial Narrow" w:hAnsi="Arial Narrow"/>
                <w:sz w:val="20"/>
              </w:rPr>
            </w:pPr>
            <w:r w:rsidRPr="0039739E">
              <w:rPr>
                <w:rFonts w:ascii="Arial Narrow" w:hAnsi="Arial Narrow"/>
                <w:sz w:val="20"/>
              </w:rPr>
              <w:t>Ond: 32 mg iv day 1; OR</w:t>
            </w:r>
          </w:p>
          <w:p w:rsidR="009C4843" w:rsidRPr="0039739E" w:rsidRDefault="009C4843" w:rsidP="004A2158">
            <w:pPr>
              <w:widowControl/>
              <w:rPr>
                <w:rFonts w:ascii="Arial Narrow" w:hAnsi="Arial Narrow"/>
                <w:sz w:val="20"/>
              </w:rPr>
            </w:pPr>
            <w:r w:rsidRPr="0039739E">
              <w:rPr>
                <w:rFonts w:ascii="Arial Narrow" w:hAnsi="Arial Narrow"/>
                <w:sz w:val="20"/>
              </w:rPr>
              <w:t>PA: 0.5 mg oral day 1; OR</w:t>
            </w:r>
          </w:p>
          <w:p w:rsidR="009C4843" w:rsidRPr="0039739E" w:rsidRDefault="009C4843" w:rsidP="004A2158">
            <w:pPr>
              <w:widowControl/>
              <w:rPr>
                <w:rFonts w:ascii="Arial Narrow" w:hAnsi="Arial Narrow"/>
                <w:sz w:val="20"/>
              </w:rPr>
            </w:pPr>
            <w:r w:rsidRPr="0039739E">
              <w:rPr>
                <w:rFonts w:ascii="Arial Narrow" w:hAnsi="Arial Narrow"/>
                <w:sz w:val="20"/>
              </w:rPr>
              <w:t>Ond: 16 mg oral day 1-3</w:t>
            </w:r>
          </w:p>
        </w:tc>
        <w:tc>
          <w:tcPr>
            <w:tcW w:w="1984" w:type="dxa"/>
          </w:tcPr>
          <w:p w:rsidR="009C4843" w:rsidRPr="0039739E" w:rsidRDefault="009C4843" w:rsidP="004A2158">
            <w:pPr>
              <w:widowControl/>
              <w:rPr>
                <w:rFonts w:ascii="Arial Narrow" w:hAnsi="Arial Narrow"/>
                <w:sz w:val="20"/>
              </w:rPr>
            </w:pPr>
            <w:r w:rsidRPr="0039739E">
              <w:rPr>
                <w:rFonts w:ascii="Arial Narrow" w:hAnsi="Arial Narrow"/>
                <w:sz w:val="20"/>
              </w:rPr>
              <w:t>NETU-07-07</w:t>
            </w:r>
          </w:p>
          <w:p w:rsidR="009C4843" w:rsidRPr="0039739E" w:rsidRDefault="009C4843" w:rsidP="004A2158">
            <w:pPr>
              <w:widowControl/>
              <w:rPr>
                <w:rFonts w:ascii="Arial Narrow" w:hAnsi="Arial Narrow"/>
                <w:sz w:val="20"/>
              </w:rPr>
            </w:pPr>
            <w:r w:rsidRPr="0039739E">
              <w:rPr>
                <w:rFonts w:ascii="Arial Narrow" w:hAnsi="Arial Narrow"/>
                <w:sz w:val="20"/>
              </w:rPr>
              <w:t>NETU-10-29</w:t>
            </w:r>
          </w:p>
          <w:p w:rsidR="009C4843" w:rsidRPr="0039739E" w:rsidRDefault="009C4843" w:rsidP="004A2158">
            <w:pPr>
              <w:widowControl/>
              <w:rPr>
                <w:rFonts w:ascii="Arial Narrow" w:hAnsi="Arial Narrow"/>
                <w:sz w:val="20"/>
              </w:rPr>
            </w:pPr>
            <w:r w:rsidRPr="0039739E">
              <w:rPr>
                <w:rFonts w:ascii="Arial Narrow" w:hAnsi="Arial Narrow"/>
                <w:sz w:val="20"/>
              </w:rPr>
              <w:t>Trial 071</w:t>
            </w:r>
          </w:p>
        </w:tc>
      </w:tr>
      <w:tr w:rsidR="009C4843" w:rsidRPr="0039739E" w:rsidTr="000749DC">
        <w:trPr>
          <w:trHeight w:val="20"/>
          <w:tblHeader/>
        </w:trPr>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 xml:space="preserve">PBS listed dosing </w:t>
            </w:r>
          </w:p>
        </w:tc>
        <w:tc>
          <w:tcPr>
            <w:tcW w:w="0" w:type="auto"/>
          </w:tcPr>
          <w:p w:rsidR="009C4843" w:rsidRPr="0039739E" w:rsidRDefault="009C4843" w:rsidP="004A2158">
            <w:pPr>
              <w:widowControl/>
              <w:rPr>
                <w:rFonts w:ascii="Arial Narrow" w:hAnsi="Arial Narrow"/>
                <w:sz w:val="20"/>
              </w:rPr>
            </w:pPr>
            <w:r w:rsidRPr="0039739E">
              <w:rPr>
                <w:rFonts w:ascii="Arial Narrow" w:hAnsi="Arial Narrow"/>
                <w:sz w:val="20"/>
              </w:rPr>
              <w:t>Apre:</w:t>
            </w:r>
          </w:p>
          <w:p w:rsidR="009C4843" w:rsidRPr="0039739E" w:rsidRDefault="009C4843" w:rsidP="004A2158">
            <w:pPr>
              <w:widowControl/>
              <w:ind w:firstLine="225"/>
              <w:rPr>
                <w:rFonts w:ascii="Arial Narrow" w:hAnsi="Arial Narrow"/>
                <w:sz w:val="20"/>
              </w:rPr>
            </w:pPr>
            <w:r w:rsidRPr="0039739E">
              <w:rPr>
                <w:rFonts w:ascii="Arial Narrow" w:hAnsi="Arial Narrow"/>
                <w:sz w:val="20"/>
              </w:rPr>
              <w:t xml:space="preserve">Day 1: 165 mg oral </w:t>
            </w:r>
          </w:p>
        </w:tc>
        <w:tc>
          <w:tcPr>
            <w:tcW w:w="2508" w:type="dxa"/>
          </w:tcPr>
          <w:p w:rsidR="004C51C8" w:rsidRPr="0039739E" w:rsidRDefault="004C51C8" w:rsidP="004A2158">
            <w:pPr>
              <w:widowControl/>
              <w:rPr>
                <w:rFonts w:ascii="Arial Narrow" w:hAnsi="Arial Narrow"/>
                <w:sz w:val="20"/>
              </w:rPr>
            </w:pPr>
            <w:r w:rsidRPr="0039739E">
              <w:rPr>
                <w:rFonts w:ascii="Arial Narrow" w:hAnsi="Arial Narrow"/>
                <w:sz w:val="20"/>
              </w:rPr>
              <w:t>PA 0.25 mg iv on day 1; OR</w:t>
            </w:r>
          </w:p>
          <w:p w:rsidR="009C4843" w:rsidRPr="0039739E" w:rsidRDefault="009C4843" w:rsidP="004A2158">
            <w:pPr>
              <w:widowControl/>
              <w:rPr>
                <w:rFonts w:ascii="Arial Narrow" w:hAnsi="Arial Narrow"/>
                <w:sz w:val="20"/>
              </w:rPr>
            </w:pPr>
            <w:r w:rsidRPr="0039739E">
              <w:rPr>
                <w:rFonts w:ascii="Arial Narrow" w:hAnsi="Arial Narrow"/>
                <w:sz w:val="20"/>
              </w:rPr>
              <w:t>Ond 8-32 mg iv on day 1</w:t>
            </w:r>
          </w:p>
        </w:tc>
        <w:tc>
          <w:tcPr>
            <w:tcW w:w="1984" w:type="dxa"/>
          </w:tcPr>
          <w:p w:rsidR="009C4843" w:rsidRPr="0039739E" w:rsidRDefault="004C51C8" w:rsidP="004A2158">
            <w:pPr>
              <w:widowControl/>
              <w:rPr>
                <w:rFonts w:ascii="Arial Narrow" w:hAnsi="Arial Narrow"/>
                <w:sz w:val="20"/>
              </w:rPr>
            </w:pPr>
            <w:r w:rsidRPr="0039739E">
              <w:rPr>
                <w:rFonts w:ascii="Arial Narrow" w:hAnsi="Arial Narrow"/>
                <w:sz w:val="20"/>
              </w:rPr>
              <w:t>PBS Schedule</w:t>
            </w:r>
          </w:p>
        </w:tc>
      </w:tr>
    </w:tbl>
    <w:p w:rsidR="00BE34DF" w:rsidRPr="00530243" w:rsidRDefault="00BE34DF" w:rsidP="004A2158">
      <w:pPr>
        <w:pStyle w:val="TableFooter"/>
        <w:widowControl/>
        <w:ind w:firstLine="720"/>
      </w:pPr>
      <w:r w:rsidRPr="00530243">
        <w:t>Source: Constructed during evaluation</w:t>
      </w:r>
    </w:p>
    <w:p w:rsidR="00BE34DF" w:rsidRDefault="00D87796" w:rsidP="004A2158">
      <w:pPr>
        <w:pStyle w:val="TableFooter"/>
        <w:widowControl/>
        <w:ind w:left="720"/>
      </w:pPr>
      <w:r w:rsidRPr="00530243">
        <w:t>5-HT</w:t>
      </w:r>
      <w:r w:rsidRPr="00530243">
        <w:rPr>
          <w:vertAlign w:val="subscript"/>
        </w:rPr>
        <w:t>3</w:t>
      </w:r>
      <w:r w:rsidRPr="00530243">
        <w:t xml:space="preserve"> RA = serotonin receptor antagonist</w:t>
      </w:r>
      <w:r w:rsidR="00924FDA" w:rsidRPr="00530243">
        <w:t>;</w:t>
      </w:r>
      <w:r w:rsidR="009C4843" w:rsidRPr="00530243">
        <w:t xml:space="preserve"> Apre = aprepitant</w:t>
      </w:r>
      <w:r w:rsidR="00E247C8" w:rsidRPr="00530243">
        <w:t>; iv</w:t>
      </w:r>
      <w:r w:rsidR="00BE34DF" w:rsidRPr="00530243">
        <w:t xml:space="preserve"> = intravenous; FDC = fixed dose combination;</w:t>
      </w:r>
      <w:r w:rsidR="00B01A58" w:rsidRPr="00530243">
        <w:t xml:space="preserve"> mg = milligrams;</w:t>
      </w:r>
      <w:r w:rsidR="00BE34DF" w:rsidRPr="00530243">
        <w:t xml:space="preserve"> </w:t>
      </w:r>
      <w:r w:rsidR="009C4843" w:rsidRPr="00530243">
        <w:t xml:space="preserve">NE = netupitant; </w:t>
      </w:r>
      <w:r w:rsidR="0082028B" w:rsidRPr="00530243">
        <w:t>N</w:t>
      </w:r>
      <w:r w:rsidRPr="00530243">
        <w:t>EPA = netupitant/palonosetron</w:t>
      </w:r>
      <w:r w:rsidR="00DB36F5" w:rsidRPr="00530243">
        <w:t xml:space="preserve">; </w:t>
      </w:r>
      <w:r w:rsidR="009C4843" w:rsidRPr="00530243">
        <w:t>Ond = ond</w:t>
      </w:r>
      <w:r w:rsidR="004C51C8" w:rsidRPr="00530243">
        <w:t>a</w:t>
      </w:r>
      <w:r w:rsidR="009C4843" w:rsidRPr="00530243">
        <w:t xml:space="preserve">nsetron; PA = palonosetron; </w:t>
      </w:r>
      <w:r w:rsidR="00DB36F5" w:rsidRPr="00530243">
        <w:t>PBS = Pharmaceutical Benefits Scheme</w:t>
      </w:r>
    </w:p>
    <w:p w:rsidR="00530243" w:rsidRPr="00600DFB" w:rsidRDefault="00530243" w:rsidP="00600DFB">
      <w:pPr>
        <w:pStyle w:val="ListParagraph"/>
      </w:pPr>
    </w:p>
    <w:p w:rsidR="00530243" w:rsidRPr="00530243" w:rsidRDefault="00530243" w:rsidP="00530243">
      <w:pPr>
        <w:pStyle w:val="ListParagraph"/>
        <w:widowControl/>
        <w:numPr>
          <w:ilvl w:val="1"/>
          <w:numId w:val="4"/>
        </w:numPr>
        <w:rPr>
          <w:i/>
        </w:rPr>
      </w:pPr>
      <w:r>
        <w:t>The PBAC had previously considered the two dosing schedules of aprepitant (1 and 3 day dosing) to be non-inferior. According to the Therapeutic Relatively List, the equi-effective doses for the 5-HT</w:t>
      </w:r>
      <w:r w:rsidRPr="00530243">
        <w:rPr>
          <w:vertAlign w:val="subscript"/>
        </w:rPr>
        <w:t>3</w:t>
      </w:r>
      <w:r>
        <w:t xml:space="preserve"> RAs are palonosetron 0.25 mg and ondansetron 12 mg (both intravenously). Further, the submission considered that the oral palonosetron dosing schedule was non-inferior to the intravenous dosing schedule. </w:t>
      </w:r>
      <w:r w:rsidRPr="00EB38FD">
        <w:t>If the PBAC accepts the non-inferiority claim, the PBS listed dosing of aprepitant and 5-HT</w:t>
      </w:r>
      <w:r w:rsidRPr="00EB38FD">
        <w:rPr>
          <w:vertAlign w:val="subscript"/>
        </w:rPr>
        <w:t>3</w:t>
      </w:r>
      <w:r w:rsidRPr="00EB38FD">
        <w:t xml:space="preserve"> RA (palonosetron or ondansetron) might be equi-effective to NEPA.</w:t>
      </w:r>
    </w:p>
    <w:p w:rsidR="00530243" w:rsidRDefault="00530243" w:rsidP="00530243">
      <w:pPr>
        <w:pStyle w:val="ListParagraph"/>
        <w:widowControl/>
        <w:rPr>
          <w:i/>
        </w:rPr>
      </w:pPr>
    </w:p>
    <w:p w:rsidR="00530243" w:rsidRPr="00EB38FD" w:rsidRDefault="007F2401" w:rsidP="00530243">
      <w:pPr>
        <w:pStyle w:val="ListParagraph"/>
        <w:widowControl/>
        <w:numPr>
          <w:ilvl w:val="1"/>
          <w:numId w:val="4"/>
        </w:numPr>
      </w:pPr>
      <w:r>
        <w:t>The figures</w:t>
      </w:r>
      <w:r w:rsidR="00530243" w:rsidRPr="00EB38FD">
        <w:t xml:space="preserve"> below demonstrate the currently accepted dose relativities </w:t>
      </w:r>
      <w:r w:rsidR="00C0589D" w:rsidRPr="00EB38FD">
        <w:t xml:space="preserve">or available trial-based relativities </w:t>
      </w:r>
      <w:r w:rsidR="00530243" w:rsidRPr="00EB38FD">
        <w:t xml:space="preserve">for both </w:t>
      </w:r>
      <w:r w:rsidR="00600DFB" w:rsidRPr="00EB38FD">
        <w:t>NK1</w:t>
      </w:r>
      <w:r w:rsidR="00530243" w:rsidRPr="00EB38FD">
        <w:t xml:space="preserve"> </w:t>
      </w:r>
      <w:r w:rsidR="00600DFB" w:rsidRPr="00EB38FD">
        <w:t>antagonists</w:t>
      </w:r>
      <w:r w:rsidR="00530243" w:rsidRPr="00EB38FD">
        <w:t xml:space="preserve"> (aprepitant and netupitant) and 5-HT3 RAs (ondansetron and palonosetron). </w:t>
      </w:r>
    </w:p>
    <w:p w:rsidR="00530243" w:rsidRDefault="00530243" w:rsidP="00530243">
      <w:pPr>
        <w:pStyle w:val="ListParagraph"/>
        <w:widowControl/>
        <w:rPr>
          <w:i/>
        </w:rPr>
      </w:pPr>
      <w:r>
        <w:rPr>
          <w:noProof/>
          <w:lang w:eastAsia="en-AU"/>
        </w:rPr>
        <w:lastRenderedPageBreak/>
        <w:drawing>
          <wp:inline distT="0" distB="0" distL="0" distR="0" wp14:anchorId="5B09F014" wp14:editId="274C13D2">
            <wp:extent cx="5343276" cy="2981739"/>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 1.jpg"/>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349409" cy="2985161"/>
                    </a:xfrm>
                    <a:prstGeom prst="rect">
                      <a:avLst/>
                    </a:prstGeom>
                    <a:ln>
                      <a:noFill/>
                    </a:ln>
                    <a:extLst>
                      <a:ext uri="{53640926-AAD7-44D8-BBD7-CCE9431645EC}">
                        <a14:shadowObscured xmlns:a14="http://schemas.microsoft.com/office/drawing/2010/main"/>
                      </a:ext>
                    </a:extLst>
                  </pic:spPr>
                </pic:pic>
              </a:graphicData>
            </a:graphic>
          </wp:inline>
        </w:drawing>
      </w:r>
    </w:p>
    <w:p w:rsidR="00530243" w:rsidRDefault="00530243" w:rsidP="00530243">
      <w:pPr>
        <w:widowControl/>
        <w:rPr>
          <w:rFonts w:ascii="Arial Narrow" w:hAnsi="Arial Narrow"/>
          <w:b/>
          <w:sz w:val="20"/>
        </w:rPr>
      </w:pPr>
      <w:r>
        <w:rPr>
          <w:i/>
        </w:rPr>
        <w:tab/>
      </w:r>
      <w:r w:rsidRPr="00530243">
        <w:rPr>
          <w:rFonts w:ascii="Arial Narrow" w:hAnsi="Arial Narrow"/>
          <w:b/>
          <w:sz w:val="20"/>
        </w:rPr>
        <w:t>Dose-relativities of aprepitant and netupitant</w:t>
      </w:r>
    </w:p>
    <w:p w:rsidR="00530243" w:rsidRPr="00530243" w:rsidRDefault="00530243" w:rsidP="00530243">
      <w:pPr>
        <w:widowControl/>
        <w:rPr>
          <w:rFonts w:ascii="Arial Narrow" w:hAnsi="Arial Narrow"/>
          <w:b/>
        </w:rPr>
      </w:pPr>
    </w:p>
    <w:p w:rsidR="00530243" w:rsidRDefault="00530243" w:rsidP="005F38CF">
      <w:pPr>
        <w:widowControl/>
        <w:jc w:val="right"/>
      </w:pPr>
      <w:r>
        <w:rPr>
          <w:noProof/>
          <w:lang w:eastAsia="en-AU"/>
        </w:rPr>
        <w:drawing>
          <wp:inline distT="0" distB="0" distL="0" distR="0" wp14:anchorId="2CA12FFD" wp14:editId="3EBAC870">
            <wp:extent cx="5383033" cy="358464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arison 2.jpg"/>
                    <pic:cNvPicPr/>
                  </pic:nvPicPr>
                  <pic:blipFill rotWithShape="1">
                    <a:blip r:embed="rId10">
                      <a:extLst>
                        <a:ext uri="{28A0092B-C50C-407E-A947-70E740481C1C}">
                          <a14:useLocalDpi xmlns:a14="http://schemas.microsoft.com/office/drawing/2010/main" val="0"/>
                        </a:ext>
                      </a:extLst>
                    </a:blip>
                    <a:srcRect/>
                    <a:stretch/>
                  </pic:blipFill>
                  <pic:spPr bwMode="auto">
                    <a:xfrm>
                      <a:off x="0" y="0"/>
                      <a:ext cx="5383829" cy="3585175"/>
                    </a:xfrm>
                    <a:prstGeom prst="rect">
                      <a:avLst/>
                    </a:prstGeom>
                    <a:ln>
                      <a:noFill/>
                    </a:ln>
                    <a:extLst>
                      <a:ext uri="{53640926-AAD7-44D8-BBD7-CCE9431645EC}">
                        <a14:shadowObscured xmlns:a14="http://schemas.microsoft.com/office/drawing/2010/main"/>
                      </a:ext>
                    </a:extLst>
                  </pic:spPr>
                </pic:pic>
              </a:graphicData>
            </a:graphic>
          </wp:inline>
        </w:drawing>
      </w:r>
    </w:p>
    <w:p w:rsidR="00530243" w:rsidRPr="00530243" w:rsidRDefault="00530243" w:rsidP="00530243">
      <w:pPr>
        <w:widowControl/>
        <w:ind w:firstLine="720"/>
        <w:rPr>
          <w:rFonts w:ascii="Arial Narrow" w:hAnsi="Arial Narrow"/>
          <w:b/>
          <w:sz w:val="20"/>
        </w:rPr>
      </w:pPr>
      <w:r w:rsidRPr="00530243">
        <w:rPr>
          <w:rFonts w:ascii="Arial Narrow" w:hAnsi="Arial Narrow"/>
          <w:b/>
          <w:sz w:val="20"/>
        </w:rPr>
        <w:t xml:space="preserve">Dose-relativities of ondansetron and palonosetron </w:t>
      </w:r>
    </w:p>
    <w:p w:rsidR="00530243" w:rsidRPr="00530243" w:rsidRDefault="00530243" w:rsidP="00530243">
      <w:pPr>
        <w:widowControl/>
        <w:rPr>
          <w:rFonts w:ascii="Arial Narrow" w:hAnsi="Arial Narrow"/>
          <w:b/>
          <w:sz w:val="20"/>
        </w:rPr>
      </w:pPr>
    </w:p>
    <w:p w:rsidR="00BE34DF" w:rsidRPr="006B1C21" w:rsidRDefault="00BE34DF" w:rsidP="004A2158">
      <w:pPr>
        <w:pStyle w:val="ListParagraph"/>
        <w:widowControl/>
        <w:numPr>
          <w:ilvl w:val="1"/>
          <w:numId w:val="4"/>
        </w:numPr>
        <w:rPr>
          <w:szCs w:val="22"/>
        </w:rPr>
      </w:pPr>
      <w:r w:rsidRPr="00E934EC">
        <w:t>The cost-minim</w:t>
      </w:r>
      <w:r>
        <w:t xml:space="preserve">isation analysis is presented </w:t>
      </w:r>
      <w:r w:rsidR="00287B9A">
        <w:t>in</w:t>
      </w:r>
      <w:r w:rsidRPr="00E934EC">
        <w:t xml:space="preserve"> </w:t>
      </w:r>
      <w:r w:rsidR="007F2401">
        <w:t>the table below</w:t>
      </w:r>
      <w:r w:rsidRPr="00E934EC">
        <w:t>.</w:t>
      </w:r>
    </w:p>
    <w:p w:rsidR="00BE34DF" w:rsidRPr="006B1C21" w:rsidRDefault="00BE34DF" w:rsidP="004A2158">
      <w:pPr>
        <w:widowControl/>
        <w:rPr>
          <w:szCs w:val="22"/>
        </w:rPr>
      </w:pPr>
    </w:p>
    <w:p w:rsidR="00BE34DF" w:rsidRDefault="00BE34DF" w:rsidP="00F95EDA">
      <w:pPr>
        <w:keepNext/>
        <w:widowControl/>
        <w:ind w:firstLine="720"/>
        <w:rPr>
          <w:rStyle w:val="CommentReference"/>
        </w:rPr>
      </w:pPr>
      <w:r>
        <w:rPr>
          <w:rStyle w:val="CommentReference"/>
        </w:rPr>
        <w:lastRenderedPageBreak/>
        <w:t xml:space="preserve">Economic </w:t>
      </w:r>
      <w:r w:rsidR="0039739E">
        <w:rPr>
          <w:rStyle w:val="CommentReference"/>
        </w:rPr>
        <w:t>e</w:t>
      </w:r>
      <w:r>
        <w:rPr>
          <w:rStyle w:val="CommentReference"/>
        </w:rPr>
        <w:t>valuation provided by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conomic evaluation"/>
      </w:tblPr>
      <w:tblGrid>
        <w:gridCol w:w="2835"/>
        <w:gridCol w:w="1598"/>
        <w:gridCol w:w="619"/>
        <w:gridCol w:w="1307"/>
        <w:gridCol w:w="651"/>
        <w:gridCol w:w="1307"/>
      </w:tblGrid>
      <w:tr w:rsidR="00BE34DF" w:rsidRPr="002638F0" w:rsidTr="001509BB">
        <w:trPr>
          <w:trHeight w:val="57"/>
          <w:tblHeader/>
        </w:trPr>
        <w:tc>
          <w:tcPr>
            <w:tcW w:w="2835" w:type="dxa"/>
            <w:vMerge w:val="restart"/>
            <w:shd w:val="clear" w:color="auto" w:fill="auto"/>
            <w:vAlign w:val="bottom"/>
          </w:tcPr>
          <w:p w:rsidR="00BE34DF" w:rsidRPr="002638F0" w:rsidRDefault="00BE34DF" w:rsidP="00F95EDA">
            <w:pPr>
              <w:pStyle w:val="Tabletext"/>
              <w:keepNext/>
              <w:rPr>
                <w:b/>
              </w:rPr>
            </w:pPr>
            <w:r w:rsidRPr="002638F0">
              <w:rPr>
                <w:b/>
              </w:rPr>
              <w:t>Drug name</w:t>
            </w:r>
          </w:p>
        </w:tc>
        <w:tc>
          <w:tcPr>
            <w:tcW w:w="1598" w:type="dxa"/>
            <w:vMerge w:val="restart"/>
          </w:tcPr>
          <w:p w:rsidR="00BE34DF" w:rsidRPr="002638F0" w:rsidRDefault="00BE34DF" w:rsidP="00F95EDA">
            <w:pPr>
              <w:pStyle w:val="Tabletext"/>
              <w:keepNext/>
              <w:jc w:val="center"/>
              <w:rPr>
                <w:b/>
                <w:vertAlign w:val="superscript"/>
              </w:rPr>
            </w:pPr>
            <w:r w:rsidRPr="002638F0">
              <w:rPr>
                <w:b/>
              </w:rPr>
              <w:t>% Co-Prescribed</w:t>
            </w:r>
            <w:r w:rsidRPr="002638F0">
              <w:rPr>
                <w:b/>
                <w:vertAlign w:val="superscript"/>
              </w:rPr>
              <w:t xml:space="preserve"> </w:t>
            </w:r>
            <w:r w:rsidRPr="002638F0">
              <w:rPr>
                <w:b/>
              </w:rPr>
              <w:t xml:space="preserve">with </w:t>
            </w:r>
            <w:r w:rsidR="0082028B" w:rsidRPr="002638F0">
              <w:rPr>
                <w:b/>
              </w:rPr>
              <w:t xml:space="preserve">Apre </w:t>
            </w:r>
            <w:r w:rsidRPr="002638F0">
              <w:rPr>
                <w:b/>
                <w:vertAlign w:val="superscript"/>
              </w:rPr>
              <w:t>a</w:t>
            </w:r>
          </w:p>
        </w:tc>
        <w:tc>
          <w:tcPr>
            <w:tcW w:w="0" w:type="auto"/>
            <w:gridSpan w:val="2"/>
            <w:shd w:val="clear" w:color="auto" w:fill="auto"/>
            <w:noWrap/>
          </w:tcPr>
          <w:p w:rsidR="00BE34DF" w:rsidRPr="002638F0" w:rsidRDefault="00BE34DF" w:rsidP="00F95EDA">
            <w:pPr>
              <w:pStyle w:val="Tabletext"/>
              <w:keepNext/>
              <w:jc w:val="center"/>
              <w:rPr>
                <w:b/>
              </w:rPr>
            </w:pPr>
            <w:r w:rsidRPr="002638F0">
              <w:rPr>
                <w:b/>
              </w:rPr>
              <w:t>General Schedule</w:t>
            </w:r>
          </w:p>
          <w:p w:rsidR="001509BB" w:rsidRPr="002638F0" w:rsidRDefault="001509BB" w:rsidP="00F95EDA">
            <w:pPr>
              <w:pStyle w:val="Tabletext"/>
              <w:keepNext/>
              <w:jc w:val="center"/>
              <w:rPr>
                <w:b/>
              </w:rPr>
            </w:pPr>
            <w:r w:rsidRPr="002638F0">
              <w:rPr>
                <w:b/>
              </w:rPr>
              <w:t>DPMQ</w:t>
            </w:r>
          </w:p>
        </w:tc>
        <w:tc>
          <w:tcPr>
            <w:tcW w:w="0" w:type="auto"/>
            <w:gridSpan w:val="2"/>
            <w:shd w:val="clear" w:color="auto" w:fill="auto"/>
            <w:noWrap/>
          </w:tcPr>
          <w:p w:rsidR="00BE34DF" w:rsidRPr="002638F0" w:rsidRDefault="00BE34DF" w:rsidP="00F95EDA">
            <w:pPr>
              <w:pStyle w:val="Tabletext"/>
              <w:keepNext/>
              <w:jc w:val="center"/>
              <w:rPr>
                <w:b/>
              </w:rPr>
            </w:pPr>
            <w:r w:rsidRPr="002638F0">
              <w:rPr>
                <w:b/>
              </w:rPr>
              <w:t>Section 100 (CT)</w:t>
            </w:r>
          </w:p>
          <w:p w:rsidR="001509BB" w:rsidRPr="002638F0" w:rsidRDefault="001509BB" w:rsidP="001509BB">
            <w:pPr>
              <w:pStyle w:val="Tabletext"/>
              <w:keepNext/>
              <w:jc w:val="center"/>
              <w:rPr>
                <w:b/>
              </w:rPr>
            </w:pPr>
            <w:r w:rsidRPr="002638F0">
              <w:rPr>
                <w:b/>
              </w:rPr>
              <w:t>DPMQ</w:t>
            </w:r>
          </w:p>
        </w:tc>
      </w:tr>
      <w:tr w:rsidR="0082028B" w:rsidRPr="002638F0" w:rsidTr="001509BB">
        <w:trPr>
          <w:trHeight w:val="57"/>
          <w:tblHeader/>
        </w:trPr>
        <w:tc>
          <w:tcPr>
            <w:tcW w:w="2835" w:type="dxa"/>
            <w:vMerge/>
            <w:shd w:val="clear" w:color="auto" w:fill="auto"/>
            <w:vAlign w:val="bottom"/>
          </w:tcPr>
          <w:p w:rsidR="0082028B" w:rsidRPr="002638F0" w:rsidRDefault="0082028B" w:rsidP="00F95EDA">
            <w:pPr>
              <w:pStyle w:val="Tabletext"/>
              <w:keepNext/>
              <w:rPr>
                <w:b/>
              </w:rPr>
            </w:pPr>
          </w:p>
        </w:tc>
        <w:tc>
          <w:tcPr>
            <w:tcW w:w="1598" w:type="dxa"/>
            <w:vMerge/>
          </w:tcPr>
          <w:p w:rsidR="0082028B" w:rsidRPr="002638F0" w:rsidRDefault="0082028B" w:rsidP="00F95EDA">
            <w:pPr>
              <w:pStyle w:val="Tabletext"/>
              <w:keepNext/>
              <w:jc w:val="center"/>
              <w:rPr>
                <w:b/>
              </w:rPr>
            </w:pPr>
          </w:p>
        </w:tc>
        <w:tc>
          <w:tcPr>
            <w:tcW w:w="0" w:type="auto"/>
            <w:shd w:val="clear" w:color="auto" w:fill="auto"/>
            <w:noWrap/>
          </w:tcPr>
          <w:p w:rsidR="0082028B" w:rsidRPr="002638F0" w:rsidRDefault="0082028B" w:rsidP="00F95EDA">
            <w:pPr>
              <w:pStyle w:val="Tabletext"/>
              <w:keepNext/>
              <w:jc w:val="center"/>
              <w:rPr>
                <w:b/>
              </w:rPr>
            </w:pPr>
            <w:r w:rsidRPr="002638F0">
              <w:rPr>
                <w:b/>
              </w:rPr>
              <w:t>NEPA</w:t>
            </w:r>
          </w:p>
        </w:tc>
        <w:tc>
          <w:tcPr>
            <w:tcW w:w="0" w:type="auto"/>
            <w:shd w:val="clear" w:color="auto" w:fill="auto"/>
            <w:noWrap/>
          </w:tcPr>
          <w:p w:rsidR="0082028B" w:rsidRPr="002638F0" w:rsidRDefault="0082028B" w:rsidP="00F95EDA">
            <w:pPr>
              <w:pStyle w:val="Tabletext"/>
              <w:keepNext/>
              <w:jc w:val="center"/>
              <w:rPr>
                <w:b/>
                <w:vertAlign w:val="subscript"/>
              </w:rPr>
            </w:pPr>
            <w:r w:rsidRPr="002638F0">
              <w:rPr>
                <w:b/>
              </w:rPr>
              <w:t>Apre + 5-HT</w:t>
            </w:r>
            <w:r w:rsidRPr="002638F0">
              <w:rPr>
                <w:b/>
                <w:vertAlign w:val="subscript"/>
              </w:rPr>
              <w:t xml:space="preserve">3 </w:t>
            </w:r>
            <w:r w:rsidRPr="002638F0">
              <w:rPr>
                <w:b/>
              </w:rPr>
              <w:t>RA</w:t>
            </w:r>
          </w:p>
        </w:tc>
        <w:tc>
          <w:tcPr>
            <w:tcW w:w="0" w:type="auto"/>
            <w:shd w:val="clear" w:color="auto" w:fill="auto"/>
            <w:noWrap/>
          </w:tcPr>
          <w:p w:rsidR="0082028B" w:rsidRPr="002638F0" w:rsidRDefault="0082028B" w:rsidP="00F95EDA">
            <w:pPr>
              <w:pStyle w:val="Tabletext"/>
              <w:keepNext/>
              <w:jc w:val="center"/>
              <w:rPr>
                <w:b/>
              </w:rPr>
            </w:pPr>
            <w:r w:rsidRPr="002638F0">
              <w:rPr>
                <w:b/>
              </w:rPr>
              <w:t>NEPA</w:t>
            </w:r>
          </w:p>
        </w:tc>
        <w:tc>
          <w:tcPr>
            <w:tcW w:w="0" w:type="auto"/>
            <w:shd w:val="clear" w:color="auto" w:fill="auto"/>
            <w:noWrap/>
          </w:tcPr>
          <w:p w:rsidR="0082028B" w:rsidRPr="002638F0" w:rsidRDefault="0082028B" w:rsidP="00F95EDA">
            <w:pPr>
              <w:pStyle w:val="Tabletext"/>
              <w:keepNext/>
              <w:jc w:val="center"/>
              <w:rPr>
                <w:b/>
                <w:vertAlign w:val="subscript"/>
              </w:rPr>
            </w:pPr>
            <w:r w:rsidRPr="002638F0">
              <w:rPr>
                <w:b/>
              </w:rPr>
              <w:t>Apre + 5-HT</w:t>
            </w:r>
            <w:r w:rsidRPr="002638F0">
              <w:rPr>
                <w:b/>
                <w:vertAlign w:val="subscript"/>
              </w:rPr>
              <w:t xml:space="preserve">3 </w:t>
            </w:r>
            <w:r w:rsidRPr="002638F0">
              <w:rPr>
                <w:b/>
              </w:rPr>
              <w:t>RA</w:t>
            </w:r>
          </w:p>
        </w:tc>
      </w:tr>
      <w:tr w:rsidR="0082028B" w:rsidRPr="002638F0" w:rsidTr="001509BB">
        <w:trPr>
          <w:trHeight w:val="57"/>
        </w:trPr>
        <w:tc>
          <w:tcPr>
            <w:tcW w:w="2835" w:type="dxa"/>
            <w:shd w:val="clear" w:color="auto" w:fill="auto"/>
            <w:vAlign w:val="bottom"/>
            <w:hideMark/>
          </w:tcPr>
          <w:p w:rsidR="00BE34DF" w:rsidRPr="002638F0" w:rsidRDefault="00AD2874" w:rsidP="00F95EDA">
            <w:pPr>
              <w:pStyle w:val="Tabletext"/>
              <w:keepNext/>
            </w:pPr>
            <w:r w:rsidRPr="002638F0">
              <w:t>NEPA</w:t>
            </w:r>
          </w:p>
        </w:tc>
        <w:tc>
          <w:tcPr>
            <w:tcW w:w="1598" w:type="dxa"/>
          </w:tcPr>
          <w:p w:rsidR="00BE34DF" w:rsidRPr="002638F0" w:rsidRDefault="00BE34DF" w:rsidP="00F95EDA">
            <w:pPr>
              <w:pStyle w:val="Tabletext"/>
              <w:keepNext/>
              <w:jc w:val="center"/>
            </w:pPr>
            <w:r w:rsidRPr="002638F0">
              <w:t>NA</w:t>
            </w:r>
          </w:p>
        </w:tc>
        <w:tc>
          <w:tcPr>
            <w:tcW w:w="0" w:type="auto"/>
            <w:shd w:val="clear" w:color="auto" w:fill="auto"/>
            <w:noWrap/>
            <w:hideMark/>
          </w:tcPr>
          <w:p w:rsidR="00BE34DF" w:rsidRPr="002638F0" w:rsidRDefault="00BE34DF" w:rsidP="00F95EDA">
            <w:pPr>
              <w:pStyle w:val="Tabletext"/>
              <w:keepNext/>
              <w:jc w:val="right"/>
            </w:pPr>
            <w:r w:rsidRPr="002638F0">
              <w:t>$</w:t>
            </w:r>
            <w:r w:rsidR="00C349A9">
              <w:rPr>
                <w:noProof/>
                <w:color w:val="000000"/>
                <w:highlight w:val="black"/>
              </w:rPr>
              <w:t>'''''''''''''''</w:t>
            </w:r>
          </w:p>
        </w:tc>
        <w:tc>
          <w:tcPr>
            <w:tcW w:w="0" w:type="auto"/>
            <w:shd w:val="clear" w:color="auto" w:fill="auto"/>
            <w:noWrap/>
            <w:hideMark/>
          </w:tcPr>
          <w:p w:rsidR="00BE34DF" w:rsidRPr="002638F0" w:rsidRDefault="00BE34DF" w:rsidP="00F95EDA">
            <w:pPr>
              <w:pStyle w:val="Tabletext"/>
              <w:keepNext/>
              <w:jc w:val="right"/>
            </w:pPr>
            <w:r w:rsidRPr="002638F0">
              <w:t>-</w:t>
            </w:r>
          </w:p>
        </w:tc>
        <w:tc>
          <w:tcPr>
            <w:tcW w:w="0" w:type="auto"/>
            <w:shd w:val="clear" w:color="auto" w:fill="auto"/>
            <w:noWrap/>
            <w:hideMark/>
          </w:tcPr>
          <w:p w:rsidR="00BE34DF" w:rsidRPr="002638F0" w:rsidRDefault="00BE34DF" w:rsidP="00F95EDA">
            <w:pPr>
              <w:pStyle w:val="Tabletext"/>
              <w:keepNext/>
              <w:jc w:val="right"/>
            </w:pPr>
            <w:r w:rsidRPr="002638F0">
              <w:t>$</w:t>
            </w:r>
            <w:r w:rsidR="00C349A9">
              <w:rPr>
                <w:noProof/>
                <w:color w:val="000000"/>
                <w:highlight w:val="black"/>
              </w:rPr>
              <w:t>''''''''''''''''</w:t>
            </w:r>
          </w:p>
        </w:tc>
        <w:tc>
          <w:tcPr>
            <w:tcW w:w="0" w:type="auto"/>
            <w:shd w:val="clear" w:color="auto" w:fill="auto"/>
            <w:noWrap/>
            <w:hideMark/>
          </w:tcPr>
          <w:p w:rsidR="00BE34DF" w:rsidRPr="002638F0" w:rsidRDefault="00BE34DF" w:rsidP="00F95EDA">
            <w:pPr>
              <w:pStyle w:val="Tabletext"/>
              <w:keepNext/>
              <w:jc w:val="right"/>
            </w:pPr>
            <w:r w:rsidRPr="002638F0">
              <w:t>-</w:t>
            </w:r>
          </w:p>
        </w:tc>
      </w:tr>
      <w:tr w:rsidR="0082028B" w:rsidRPr="002638F0" w:rsidTr="001509BB">
        <w:trPr>
          <w:trHeight w:val="57"/>
        </w:trPr>
        <w:tc>
          <w:tcPr>
            <w:tcW w:w="2835" w:type="dxa"/>
            <w:shd w:val="clear" w:color="auto" w:fill="auto"/>
            <w:vAlign w:val="bottom"/>
            <w:hideMark/>
          </w:tcPr>
          <w:p w:rsidR="00BE34DF" w:rsidRPr="002638F0" w:rsidRDefault="00BE34DF" w:rsidP="00F95EDA">
            <w:pPr>
              <w:pStyle w:val="Tabletext"/>
              <w:keepNext/>
              <w:ind w:firstLine="142"/>
            </w:pPr>
            <w:r w:rsidRPr="002638F0">
              <w:t>Aprepitant</w:t>
            </w:r>
          </w:p>
        </w:tc>
        <w:tc>
          <w:tcPr>
            <w:tcW w:w="1598" w:type="dxa"/>
          </w:tcPr>
          <w:p w:rsidR="00BE34DF" w:rsidRPr="002638F0" w:rsidRDefault="005F3F17" w:rsidP="001509BB">
            <w:pPr>
              <w:pStyle w:val="Tabletext"/>
              <w:keepNext/>
              <w:jc w:val="center"/>
            </w:pPr>
            <w:r w:rsidRPr="002638F0">
              <w:t>100</w:t>
            </w:r>
            <w:r w:rsidR="000841A6" w:rsidRPr="002638F0">
              <w:t>%</w:t>
            </w:r>
            <w:r w:rsidR="00E300AA" w:rsidRPr="002638F0">
              <w:t xml:space="preserve"> </w:t>
            </w:r>
          </w:p>
        </w:tc>
        <w:tc>
          <w:tcPr>
            <w:tcW w:w="0" w:type="auto"/>
            <w:shd w:val="clear" w:color="auto" w:fill="auto"/>
            <w:noWrap/>
            <w:hideMark/>
          </w:tcPr>
          <w:p w:rsidR="00BE34DF" w:rsidRPr="002638F0" w:rsidRDefault="00BE34DF" w:rsidP="00F95EDA">
            <w:pPr>
              <w:pStyle w:val="Tabletext"/>
              <w:keepNext/>
              <w:jc w:val="center"/>
            </w:pPr>
            <w:r w:rsidRPr="002638F0">
              <w:t>-</w:t>
            </w:r>
          </w:p>
        </w:tc>
        <w:tc>
          <w:tcPr>
            <w:tcW w:w="0" w:type="auto"/>
            <w:shd w:val="clear" w:color="auto" w:fill="auto"/>
            <w:noWrap/>
            <w:hideMark/>
          </w:tcPr>
          <w:p w:rsidR="00BE34DF" w:rsidRPr="002638F0" w:rsidRDefault="00BE34DF" w:rsidP="00F95EDA">
            <w:pPr>
              <w:pStyle w:val="Tabletext"/>
              <w:keepNext/>
              <w:jc w:val="right"/>
            </w:pPr>
            <w:r w:rsidRPr="002638F0">
              <w:t>$138.13</w:t>
            </w:r>
          </w:p>
        </w:tc>
        <w:tc>
          <w:tcPr>
            <w:tcW w:w="0" w:type="auto"/>
            <w:shd w:val="clear" w:color="auto" w:fill="auto"/>
            <w:noWrap/>
            <w:hideMark/>
          </w:tcPr>
          <w:p w:rsidR="00BE34DF" w:rsidRPr="002638F0" w:rsidRDefault="00BE34DF" w:rsidP="00F95EDA">
            <w:pPr>
              <w:pStyle w:val="Tabletext"/>
              <w:keepNext/>
              <w:jc w:val="right"/>
            </w:pPr>
            <w:r w:rsidRPr="002638F0">
              <w:t>-</w:t>
            </w:r>
          </w:p>
        </w:tc>
        <w:tc>
          <w:tcPr>
            <w:tcW w:w="0" w:type="auto"/>
            <w:shd w:val="clear" w:color="auto" w:fill="auto"/>
            <w:noWrap/>
            <w:hideMark/>
          </w:tcPr>
          <w:p w:rsidR="00BE34DF" w:rsidRPr="002638F0" w:rsidRDefault="00BE34DF" w:rsidP="00F95EDA">
            <w:pPr>
              <w:pStyle w:val="Tabletext"/>
              <w:keepNext/>
              <w:jc w:val="right"/>
            </w:pPr>
            <w:r w:rsidRPr="002638F0">
              <w:t>$111.08</w:t>
            </w:r>
          </w:p>
        </w:tc>
      </w:tr>
      <w:tr w:rsidR="005F3F17" w:rsidRPr="002638F0" w:rsidTr="004B145B">
        <w:trPr>
          <w:trHeight w:val="57"/>
        </w:trPr>
        <w:tc>
          <w:tcPr>
            <w:tcW w:w="2835" w:type="dxa"/>
            <w:shd w:val="clear" w:color="auto" w:fill="auto"/>
            <w:vAlign w:val="bottom"/>
            <w:hideMark/>
          </w:tcPr>
          <w:p w:rsidR="005F3F17" w:rsidRPr="002638F0" w:rsidRDefault="005F3F17" w:rsidP="004A2158">
            <w:pPr>
              <w:pStyle w:val="Tabletext"/>
              <w:keepNext/>
              <w:ind w:firstLine="142"/>
            </w:pPr>
            <w:r w:rsidRPr="002638F0">
              <w:t>Granisetron</w:t>
            </w:r>
            <w:r w:rsidR="001509BB" w:rsidRPr="002638F0">
              <w:t xml:space="preserve"> (3 mg/3mL injection)</w:t>
            </w:r>
          </w:p>
        </w:tc>
        <w:tc>
          <w:tcPr>
            <w:tcW w:w="1598" w:type="dxa"/>
          </w:tcPr>
          <w:p w:rsidR="005F3F17" w:rsidRPr="002638F0" w:rsidRDefault="005F3F17" w:rsidP="004A2158">
            <w:pPr>
              <w:pStyle w:val="Tabletext"/>
              <w:keepNext/>
              <w:jc w:val="center"/>
            </w:pPr>
            <w:r w:rsidRPr="002638F0">
              <w:t>10.3%</w:t>
            </w:r>
          </w:p>
        </w:tc>
        <w:tc>
          <w:tcPr>
            <w:tcW w:w="0" w:type="auto"/>
            <w:shd w:val="clear" w:color="auto" w:fill="auto"/>
            <w:noWrap/>
            <w:hideMark/>
          </w:tcPr>
          <w:p w:rsidR="005F3F17" w:rsidRPr="002638F0" w:rsidRDefault="005F3F17" w:rsidP="004A2158">
            <w:pPr>
              <w:pStyle w:val="Tabletext"/>
              <w:keepNext/>
              <w:jc w:val="center"/>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$11.68</w:t>
            </w:r>
          </w:p>
        </w:tc>
        <w:tc>
          <w:tcPr>
            <w:tcW w:w="0" w:type="auto"/>
            <w:shd w:val="clear" w:color="auto" w:fill="auto"/>
            <w:noWrap/>
            <w:hideMark/>
          </w:tcPr>
          <w:p w:rsidR="005F3F17" w:rsidRPr="002638F0" w:rsidRDefault="005F3F17" w:rsidP="004A2158">
            <w:pPr>
              <w:pStyle w:val="Tabletext"/>
              <w:keepNext/>
              <w:jc w:val="right"/>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$3.98</w:t>
            </w:r>
          </w:p>
        </w:tc>
      </w:tr>
      <w:tr w:rsidR="005F3F17" w:rsidRPr="002638F0" w:rsidTr="004B145B">
        <w:trPr>
          <w:trHeight w:val="57"/>
        </w:trPr>
        <w:tc>
          <w:tcPr>
            <w:tcW w:w="2835" w:type="dxa"/>
            <w:shd w:val="clear" w:color="auto" w:fill="auto"/>
            <w:vAlign w:val="bottom"/>
            <w:hideMark/>
          </w:tcPr>
          <w:p w:rsidR="005F3F17" w:rsidRPr="002638F0" w:rsidRDefault="005F3F17" w:rsidP="004A2158">
            <w:pPr>
              <w:pStyle w:val="Tabletext"/>
              <w:keepNext/>
              <w:ind w:firstLine="142"/>
            </w:pPr>
            <w:r w:rsidRPr="002638F0">
              <w:t>Ondansetron</w:t>
            </w:r>
            <w:r w:rsidR="001509BB" w:rsidRPr="002638F0">
              <w:t xml:space="preserve"> (4 and 8 mg tablet, 4)</w:t>
            </w:r>
          </w:p>
        </w:tc>
        <w:tc>
          <w:tcPr>
            <w:tcW w:w="1598" w:type="dxa"/>
          </w:tcPr>
          <w:p w:rsidR="005F3F17" w:rsidRPr="002638F0" w:rsidRDefault="005F3F17" w:rsidP="004A2158">
            <w:pPr>
              <w:pStyle w:val="Tabletext"/>
              <w:keepNext/>
              <w:jc w:val="center"/>
            </w:pPr>
            <w:r w:rsidRPr="002638F0">
              <w:t>12.2%</w:t>
            </w:r>
          </w:p>
        </w:tc>
        <w:tc>
          <w:tcPr>
            <w:tcW w:w="0" w:type="auto"/>
            <w:shd w:val="clear" w:color="auto" w:fill="auto"/>
            <w:noWrap/>
            <w:hideMark/>
          </w:tcPr>
          <w:p w:rsidR="005F3F17" w:rsidRPr="002638F0" w:rsidRDefault="005F3F17" w:rsidP="004A2158">
            <w:pPr>
              <w:pStyle w:val="Tabletext"/>
              <w:keepNext/>
              <w:jc w:val="center"/>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$19.82</w:t>
            </w:r>
          </w:p>
        </w:tc>
        <w:tc>
          <w:tcPr>
            <w:tcW w:w="0" w:type="auto"/>
            <w:shd w:val="clear" w:color="auto" w:fill="auto"/>
            <w:noWrap/>
            <w:hideMark/>
          </w:tcPr>
          <w:p w:rsidR="005F3F17" w:rsidRPr="002638F0" w:rsidRDefault="005F3F17" w:rsidP="004A2158">
            <w:pPr>
              <w:pStyle w:val="Tabletext"/>
              <w:keepNext/>
              <w:jc w:val="right"/>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$10.56</w:t>
            </w:r>
          </w:p>
        </w:tc>
      </w:tr>
      <w:tr w:rsidR="005F3F17" w:rsidRPr="002638F0" w:rsidTr="004B145B">
        <w:trPr>
          <w:trHeight w:val="57"/>
        </w:trPr>
        <w:tc>
          <w:tcPr>
            <w:tcW w:w="2835" w:type="dxa"/>
            <w:shd w:val="clear" w:color="auto" w:fill="auto"/>
            <w:vAlign w:val="bottom"/>
            <w:hideMark/>
          </w:tcPr>
          <w:p w:rsidR="005F3F17" w:rsidRPr="002638F0" w:rsidRDefault="005F3F17" w:rsidP="004A2158">
            <w:pPr>
              <w:pStyle w:val="Tabletext"/>
              <w:keepNext/>
              <w:ind w:firstLine="142"/>
            </w:pPr>
            <w:r w:rsidRPr="002638F0">
              <w:t>Palonosetron</w:t>
            </w:r>
          </w:p>
        </w:tc>
        <w:tc>
          <w:tcPr>
            <w:tcW w:w="1598" w:type="dxa"/>
          </w:tcPr>
          <w:p w:rsidR="005F3F17" w:rsidRPr="002638F0" w:rsidRDefault="005F3F17" w:rsidP="004A2158">
            <w:pPr>
              <w:pStyle w:val="Tabletext"/>
              <w:keepNext/>
              <w:jc w:val="center"/>
            </w:pPr>
            <w:r w:rsidRPr="002638F0">
              <w:t>44.2%</w:t>
            </w:r>
          </w:p>
        </w:tc>
        <w:tc>
          <w:tcPr>
            <w:tcW w:w="0" w:type="auto"/>
            <w:shd w:val="clear" w:color="auto" w:fill="auto"/>
            <w:noWrap/>
            <w:hideMark/>
          </w:tcPr>
          <w:p w:rsidR="005F3F17" w:rsidRPr="002638F0" w:rsidRDefault="005F3F17" w:rsidP="004A2158">
            <w:pPr>
              <w:pStyle w:val="Tabletext"/>
              <w:keepNext/>
              <w:jc w:val="center"/>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$48.20</w:t>
            </w:r>
          </w:p>
        </w:tc>
        <w:tc>
          <w:tcPr>
            <w:tcW w:w="0" w:type="auto"/>
            <w:shd w:val="clear" w:color="auto" w:fill="auto"/>
            <w:noWrap/>
            <w:hideMark/>
          </w:tcPr>
          <w:p w:rsidR="005F3F17" w:rsidRPr="002638F0" w:rsidRDefault="005F3F17" w:rsidP="004A2158">
            <w:pPr>
              <w:pStyle w:val="Tabletext"/>
              <w:keepNext/>
              <w:jc w:val="right"/>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$34.36</w:t>
            </w:r>
          </w:p>
        </w:tc>
      </w:tr>
      <w:tr w:rsidR="005F3F17" w:rsidRPr="002638F0" w:rsidTr="004B145B">
        <w:trPr>
          <w:trHeight w:val="57"/>
        </w:trPr>
        <w:tc>
          <w:tcPr>
            <w:tcW w:w="2835" w:type="dxa"/>
            <w:shd w:val="clear" w:color="auto" w:fill="auto"/>
            <w:vAlign w:val="bottom"/>
            <w:hideMark/>
          </w:tcPr>
          <w:p w:rsidR="005F3F17" w:rsidRPr="002638F0" w:rsidRDefault="005F3F17" w:rsidP="004A2158">
            <w:pPr>
              <w:pStyle w:val="Tabletext"/>
              <w:keepNext/>
              <w:ind w:firstLine="142"/>
            </w:pPr>
            <w:r w:rsidRPr="002638F0">
              <w:t>Tropisetron</w:t>
            </w:r>
          </w:p>
        </w:tc>
        <w:tc>
          <w:tcPr>
            <w:tcW w:w="1598" w:type="dxa"/>
          </w:tcPr>
          <w:p w:rsidR="005F3F17" w:rsidRPr="002638F0" w:rsidRDefault="005F3F17" w:rsidP="004A2158">
            <w:pPr>
              <w:pStyle w:val="Tabletext"/>
              <w:keepNext/>
              <w:jc w:val="center"/>
            </w:pPr>
            <w:r w:rsidRPr="002638F0">
              <w:t>5.9%</w:t>
            </w:r>
          </w:p>
        </w:tc>
        <w:tc>
          <w:tcPr>
            <w:tcW w:w="0" w:type="auto"/>
            <w:shd w:val="clear" w:color="auto" w:fill="auto"/>
            <w:noWrap/>
            <w:hideMark/>
          </w:tcPr>
          <w:p w:rsidR="005F3F17" w:rsidRPr="002638F0" w:rsidRDefault="005F3F17" w:rsidP="004A2158">
            <w:pPr>
              <w:pStyle w:val="Tabletext"/>
              <w:keepNext/>
              <w:jc w:val="center"/>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$18.84</w:t>
            </w:r>
          </w:p>
        </w:tc>
        <w:tc>
          <w:tcPr>
            <w:tcW w:w="0" w:type="auto"/>
            <w:shd w:val="clear" w:color="auto" w:fill="auto"/>
            <w:noWrap/>
            <w:hideMark/>
          </w:tcPr>
          <w:p w:rsidR="005F3F17" w:rsidRPr="002638F0" w:rsidRDefault="005F3F17" w:rsidP="004A2158">
            <w:pPr>
              <w:pStyle w:val="Tabletext"/>
              <w:keepNext/>
              <w:jc w:val="right"/>
            </w:pPr>
            <w:r w:rsidRPr="002638F0">
              <w:t>-</w:t>
            </w:r>
          </w:p>
        </w:tc>
        <w:tc>
          <w:tcPr>
            <w:tcW w:w="0" w:type="auto"/>
            <w:shd w:val="clear" w:color="auto" w:fill="auto"/>
            <w:noWrap/>
            <w:vAlign w:val="bottom"/>
            <w:hideMark/>
          </w:tcPr>
          <w:p w:rsidR="005F3F17" w:rsidRPr="002638F0" w:rsidRDefault="005F3F17" w:rsidP="004A2158">
            <w:pPr>
              <w:pStyle w:val="Tabletext"/>
              <w:keepNext/>
              <w:jc w:val="right"/>
            </w:pPr>
            <w:r w:rsidRPr="002638F0">
              <w:rPr>
                <w:rFonts w:cs="Arial"/>
              </w:rPr>
              <w:t>$9.77</w:t>
            </w:r>
          </w:p>
        </w:tc>
      </w:tr>
      <w:tr w:rsidR="0082028B" w:rsidRPr="002638F0" w:rsidTr="001509BB">
        <w:trPr>
          <w:trHeight w:val="57"/>
        </w:trPr>
        <w:tc>
          <w:tcPr>
            <w:tcW w:w="2835" w:type="dxa"/>
            <w:shd w:val="clear" w:color="auto" w:fill="auto"/>
            <w:vAlign w:val="bottom"/>
            <w:hideMark/>
          </w:tcPr>
          <w:p w:rsidR="00BE34DF" w:rsidRPr="002638F0" w:rsidRDefault="00BE34DF" w:rsidP="004A2158">
            <w:pPr>
              <w:pStyle w:val="Tabletext"/>
              <w:keepNext/>
            </w:pPr>
            <w:r w:rsidRPr="002638F0">
              <w:t xml:space="preserve">Total </w:t>
            </w:r>
            <w:r w:rsidR="005F3F17" w:rsidRPr="002638F0">
              <w:t xml:space="preserve">weighted </w:t>
            </w:r>
            <w:r w:rsidRPr="002638F0">
              <w:t>cost</w:t>
            </w:r>
          </w:p>
        </w:tc>
        <w:tc>
          <w:tcPr>
            <w:tcW w:w="1598" w:type="dxa"/>
          </w:tcPr>
          <w:p w:rsidR="00BE34DF" w:rsidRPr="002638F0" w:rsidRDefault="00BE34DF" w:rsidP="004A2158">
            <w:pPr>
              <w:pStyle w:val="Tabletext"/>
              <w:keepNext/>
              <w:jc w:val="center"/>
            </w:pPr>
            <w:r w:rsidRPr="002638F0">
              <w:t>-</w:t>
            </w:r>
          </w:p>
        </w:tc>
        <w:tc>
          <w:tcPr>
            <w:tcW w:w="0" w:type="auto"/>
            <w:shd w:val="clear" w:color="auto" w:fill="auto"/>
            <w:noWrap/>
            <w:hideMark/>
          </w:tcPr>
          <w:p w:rsidR="00BE34DF" w:rsidRPr="002638F0" w:rsidRDefault="00BE34DF" w:rsidP="004A2158">
            <w:pPr>
              <w:pStyle w:val="Tabletext"/>
              <w:keepNext/>
              <w:jc w:val="right"/>
            </w:pPr>
            <w:r w:rsidRPr="002638F0">
              <w:t>$</w:t>
            </w:r>
            <w:r w:rsidR="00C349A9">
              <w:rPr>
                <w:noProof/>
                <w:color w:val="000000"/>
                <w:highlight w:val="black"/>
              </w:rPr>
              <w:t>'''''''''''''''</w:t>
            </w:r>
          </w:p>
        </w:tc>
        <w:tc>
          <w:tcPr>
            <w:tcW w:w="0" w:type="auto"/>
            <w:shd w:val="clear" w:color="auto" w:fill="auto"/>
            <w:noWrap/>
            <w:hideMark/>
          </w:tcPr>
          <w:p w:rsidR="00BE34DF" w:rsidRPr="002638F0" w:rsidRDefault="00BE34DF" w:rsidP="004A2158">
            <w:pPr>
              <w:pStyle w:val="Tabletext"/>
              <w:keepNext/>
              <w:jc w:val="right"/>
            </w:pPr>
            <w:r w:rsidRPr="002638F0">
              <w:t>$164.19</w:t>
            </w:r>
          </w:p>
        </w:tc>
        <w:tc>
          <w:tcPr>
            <w:tcW w:w="0" w:type="auto"/>
            <w:shd w:val="clear" w:color="auto" w:fill="auto"/>
            <w:noWrap/>
            <w:hideMark/>
          </w:tcPr>
          <w:p w:rsidR="00BE34DF" w:rsidRPr="002638F0" w:rsidRDefault="00BE34DF" w:rsidP="004A2158">
            <w:pPr>
              <w:pStyle w:val="Tabletext"/>
              <w:keepNext/>
              <w:jc w:val="right"/>
            </w:pPr>
            <w:r w:rsidRPr="002638F0">
              <w:t>$</w:t>
            </w:r>
            <w:r w:rsidR="00C349A9">
              <w:rPr>
                <w:noProof/>
                <w:color w:val="000000"/>
                <w:highlight w:val="black"/>
              </w:rPr>
              <w:t>''''''''''''''''</w:t>
            </w:r>
          </w:p>
        </w:tc>
        <w:tc>
          <w:tcPr>
            <w:tcW w:w="0" w:type="auto"/>
            <w:shd w:val="clear" w:color="auto" w:fill="auto"/>
            <w:noWrap/>
            <w:hideMark/>
          </w:tcPr>
          <w:p w:rsidR="00BE34DF" w:rsidRPr="002638F0" w:rsidRDefault="00BE34DF" w:rsidP="004A2158">
            <w:pPr>
              <w:pStyle w:val="Tabletext"/>
              <w:keepNext/>
              <w:jc w:val="right"/>
            </w:pPr>
            <w:r w:rsidRPr="002638F0">
              <w:t>$128.56</w:t>
            </w:r>
          </w:p>
        </w:tc>
      </w:tr>
      <w:tr w:rsidR="00BE34DF" w:rsidRPr="002638F0" w:rsidTr="001509BB">
        <w:trPr>
          <w:trHeight w:val="57"/>
        </w:trPr>
        <w:tc>
          <w:tcPr>
            <w:tcW w:w="0" w:type="auto"/>
            <w:gridSpan w:val="6"/>
            <w:shd w:val="clear" w:color="auto" w:fill="auto"/>
            <w:vAlign w:val="center"/>
          </w:tcPr>
          <w:p w:rsidR="00BE34DF" w:rsidRPr="002638F0" w:rsidRDefault="00BE34DF" w:rsidP="004A2158">
            <w:pPr>
              <w:pStyle w:val="Tabletext"/>
              <w:keepNext/>
            </w:pPr>
            <w:r w:rsidRPr="002638F0">
              <w:rPr>
                <w:b/>
              </w:rPr>
              <w:t xml:space="preserve">Weighted cost, 67% general schedule, 33% Section 100 (CT) </w:t>
            </w:r>
            <w:r w:rsidR="00E5120D" w:rsidRPr="002638F0">
              <w:rPr>
                <w:b/>
                <w:vertAlign w:val="superscript"/>
              </w:rPr>
              <w:t>b</w:t>
            </w:r>
          </w:p>
        </w:tc>
      </w:tr>
      <w:tr w:rsidR="0082028B" w:rsidRPr="002638F0" w:rsidTr="001509BB">
        <w:trPr>
          <w:trHeight w:val="57"/>
        </w:trPr>
        <w:tc>
          <w:tcPr>
            <w:tcW w:w="2835" w:type="dxa"/>
            <w:shd w:val="clear" w:color="auto" w:fill="auto"/>
            <w:vAlign w:val="bottom"/>
          </w:tcPr>
          <w:p w:rsidR="00BE34DF" w:rsidRPr="002638F0" w:rsidRDefault="0082028B" w:rsidP="004A2158">
            <w:pPr>
              <w:pStyle w:val="Tabletext"/>
              <w:keepNext/>
              <w:rPr>
                <w:b/>
              </w:rPr>
            </w:pPr>
            <w:r w:rsidRPr="002638F0">
              <w:rPr>
                <w:b/>
              </w:rPr>
              <w:t>NEPA</w:t>
            </w:r>
          </w:p>
        </w:tc>
        <w:tc>
          <w:tcPr>
            <w:tcW w:w="1598" w:type="dxa"/>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right"/>
              <w:rPr>
                <w:b/>
              </w:rPr>
            </w:pPr>
            <w:r w:rsidRPr="002638F0">
              <w:rPr>
                <w:b/>
              </w:rPr>
              <w:t>$</w:t>
            </w:r>
            <w:r w:rsidR="00C349A9">
              <w:rPr>
                <w:b/>
                <w:noProof/>
                <w:color w:val="000000"/>
                <w:highlight w:val="black"/>
              </w:rPr>
              <w:t>'''''''''''''''</w:t>
            </w:r>
          </w:p>
        </w:tc>
      </w:tr>
      <w:tr w:rsidR="0082028B" w:rsidRPr="002638F0" w:rsidTr="001509BB">
        <w:trPr>
          <w:trHeight w:val="57"/>
        </w:trPr>
        <w:tc>
          <w:tcPr>
            <w:tcW w:w="2835" w:type="dxa"/>
            <w:shd w:val="clear" w:color="auto" w:fill="auto"/>
            <w:vAlign w:val="bottom"/>
          </w:tcPr>
          <w:p w:rsidR="00BE34DF" w:rsidRPr="002638F0" w:rsidRDefault="00BE34DF" w:rsidP="004A2158">
            <w:pPr>
              <w:pStyle w:val="Tabletext"/>
              <w:keepNext/>
              <w:rPr>
                <w:b/>
              </w:rPr>
            </w:pPr>
            <w:r w:rsidRPr="002638F0">
              <w:rPr>
                <w:b/>
              </w:rPr>
              <w:t>Apre + 5-HT</w:t>
            </w:r>
            <w:r w:rsidRPr="002638F0">
              <w:rPr>
                <w:b/>
                <w:vertAlign w:val="subscript"/>
              </w:rPr>
              <w:t>3</w:t>
            </w:r>
            <w:r w:rsidR="0082028B" w:rsidRPr="002638F0">
              <w:rPr>
                <w:b/>
                <w:vertAlign w:val="subscript"/>
              </w:rPr>
              <w:t xml:space="preserve"> </w:t>
            </w:r>
            <w:r w:rsidR="0082028B" w:rsidRPr="002638F0">
              <w:rPr>
                <w:b/>
              </w:rPr>
              <w:t>RA</w:t>
            </w:r>
          </w:p>
        </w:tc>
        <w:tc>
          <w:tcPr>
            <w:tcW w:w="1598" w:type="dxa"/>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center"/>
            </w:pPr>
            <w:r w:rsidRPr="002638F0">
              <w:t>-</w:t>
            </w:r>
          </w:p>
        </w:tc>
        <w:tc>
          <w:tcPr>
            <w:tcW w:w="0" w:type="auto"/>
            <w:shd w:val="clear" w:color="auto" w:fill="auto"/>
            <w:noWrap/>
          </w:tcPr>
          <w:p w:rsidR="00BE34DF" w:rsidRPr="002638F0" w:rsidRDefault="00BE34DF" w:rsidP="004A2158">
            <w:pPr>
              <w:pStyle w:val="Tabletext"/>
              <w:keepNext/>
              <w:jc w:val="right"/>
              <w:rPr>
                <w:b/>
              </w:rPr>
            </w:pPr>
            <w:r w:rsidRPr="002638F0">
              <w:rPr>
                <w:b/>
              </w:rPr>
              <w:t>$152.51</w:t>
            </w:r>
          </w:p>
        </w:tc>
      </w:tr>
      <w:tr w:rsidR="00E300AA" w:rsidRPr="002638F0" w:rsidTr="001509BB">
        <w:trPr>
          <w:trHeight w:val="57"/>
        </w:trPr>
        <w:tc>
          <w:tcPr>
            <w:tcW w:w="2835" w:type="dxa"/>
            <w:tcBorders>
              <w:bottom w:val="single" w:sz="4" w:space="0" w:color="auto"/>
            </w:tcBorders>
            <w:shd w:val="clear" w:color="auto" w:fill="auto"/>
            <w:vAlign w:val="bottom"/>
          </w:tcPr>
          <w:p w:rsidR="00E300AA" w:rsidRPr="002638F0" w:rsidRDefault="00E300AA" w:rsidP="004A2158">
            <w:pPr>
              <w:pStyle w:val="Tabletext"/>
              <w:keepNext/>
              <w:rPr>
                <w:b/>
              </w:rPr>
            </w:pPr>
            <w:r w:rsidRPr="002638F0">
              <w:rPr>
                <w:b/>
              </w:rPr>
              <w:t>Apre + 5-HT</w:t>
            </w:r>
            <w:r w:rsidRPr="002638F0">
              <w:rPr>
                <w:b/>
                <w:vertAlign w:val="subscript"/>
              </w:rPr>
              <w:t>3</w:t>
            </w:r>
            <w:r w:rsidRPr="002638F0">
              <w:rPr>
                <w:b/>
              </w:rPr>
              <w:t xml:space="preserve"> RA (80%)</w:t>
            </w:r>
            <w:r w:rsidR="001509BB" w:rsidRPr="002638F0">
              <w:rPr>
                <w:b/>
              </w:rPr>
              <w:t xml:space="preserve"> </w:t>
            </w:r>
            <w:r w:rsidR="001509BB" w:rsidRPr="002638F0">
              <w:rPr>
                <w:b/>
                <w:vertAlign w:val="superscript"/>
              </w:rPr>
              <w:t>c</w:t>
            </w:r>
          </w:p>
          <w:p w:rsidR="00E300AA" w:rsidRPr="002638F0" w:rsidRDefault="00E300AA" w:rsidP="004A2158">
            <w:pPr>
              <w:pStyle w:val="Tabletext"/>
              <w:keepNext/>
              <w:rPr>
                <w:b/>
              </w:rPr>
            </w:pPr>
            <w:r w:rsidRPr="002638F0">
              <w:rPr>
                <w:b/>
              </w:rPr>
              <w:t>5-HT</w:t>
            </w:r>
            <w:r w:rsidRPr="002638F0">
              <w:rPr>
                <w:b/>
                <w:vertAlign w:val="subscript"/>
              </w:rPr>
              <w:t>3</w:t>
            </w:r>
            <w:r w:rsidRPr="002638F0">
              <w:rPr>
                <w:b/>
              </w:rPr>
              <w:t xml:space="preserve"> RA (20%)</w:t>
            </w:r>
            <w:r w:rsidR="005D77D4" w:rsidRPr="002638F0">
              <w:rPr>
                <w:b/>
              </w:rPr>
              <w:t xml:space="preserve"> </w:t>
            </w:r>
          </w:p>
        </w:tc>
        <w:tc>
          <w:tcPr>
            <w:tcW w:w="1598" w:type="dxa"/>
            <w:tcBorders>
              <w:bottom w:val="single" w:sz="4" w:space="0" w:color="auto"/>
            </w:tcBorders>
          </w:tcPr>
          <w:p w:rsidR="00E300AA" w:rsidRPr="002638F0" w:rsidRDefault="00E300AA" w:rsidP="004A2158">
            <w:pPr>
              <w:pStyle w:val="Tabletext"/>
              <w:keepNext/>
              <w:jc w:val="center"/>
            </w:pPr>
          </w:p>
        </w:tc>
        <w:tc>
          <w:tcPr>
            <w:tcW w:w="0" w:type="auto"/>
            <w:tcBorders>
              <w:bottom w:val="single" w:sz="4" w:space="0" w:color="auto"/>
            </w:tcBorders>
            <w:shd w:val="clear" w:color="auto" w:fill="auto"/>
            <w:noWrap/>
          </w:tcPr>
          <w:p w:rsidR="00E300AA" w:rsidRPr="002638F0" w:rsidRDefault="00E300AA" w:rsidP="004A2158">
            <w:pPr>
              <w:pStyle w:val="Tabletext"/>
              <w:keepNext/>
              <w:jc w:val="center"/>
            </w:pPr>
          </w:p>
        </w:tc>
        <w:tc>
          <w:tcPr>
            <w:tcW w:w="0" w:type="auto"/>
            <w:tcBorders>
              <w:bottom w:val="single" w:sz="4" w:space="0" w:color="auto"/>
            </w:tcBorders>
            <w:shd w:val="clear" w:color="auto" w:fill="auto"/>
            <w:noWrap/>
          </w:tcPr>
          <w:p w:rsidR="00E300AA" w:rsidRPr="002638F0" w:rsidRDefault="00E300AA" w:rsidP="004A2158">
            <w:pPr>
              <w:pStyle w:val="Tabletext"/>
              <w:keepNext/>
              <w:jc w:val="center"/>
            </w:pPr>
          </w:p>
        </w:tc>
        <w:tc>
          <w:tcPr>
            <w:tcW w:w="0" w:type="auto"/>
            <w:tcBorders>
              <w:bottom w:val="single" w:sz="4" w:space="0" w:color="auto"/>
            </w:tcBorders>
            <w:shd w:val="clear" w:color="auto" w:fill="auto"/>
            <w:noWrap/>
          </w:tcPr>
          <w:p w:rsidR="00E300AA" w:rsidRPr="002638F0" w:rsidRDefault="00E300AA" w:rsidP="004A2158">
            <w:pPr>
              <w:pStyle w:val="Tabletext"/>
              <w:keepNext/>
              <w:jc w:val="center"/>
            </w:pPr>
          </w:p>
        </w:tc>
        <w:tc>
          <w:tcPr>
            <w:tcW w:w="0" w:type="auto"/>
            <w:tcBorders>
              <w:bottom w:val="single" w:sz="4" w:space="0" w:color="auto"/>
            </w:tcBorders>
            <w:shd w:val="clear" w:color="auto" w:fill="auto"/>
            <w:noWrap/>
            <w:vAlign w:val="center"/>
          </w:tcPr>
          <w:p w:rsidR="00E300AA" w:rsidRPr="002638F0" w:rsidRDefault="005D77D4" w:rsidP="005D77D4">
            <w:pPr>
              <w:pStyle w:val="Tabletext"/>
              <w:keepNext/>
              <w:jc w:val="right"/>
              <w:rPr>
                <w:b/>
              </w:rPr>
            </w:pPr>
            <w:r w:rsidRPr="002638F0">
              <w:rPr>
                <w:b/>
              </w:rPr>
              <w:t>$126.66</w:t>
            </w:r>
          </w:p>
        </w:tc>
      </w:tr>
    </w:tbl>
    <w:p w:rsidR="00BE34DF" w:rsidRDefault="00BE34DF" w:rsidP="001509BB">
      <w:pPr>
        <w:pStyle w:val="TableFooter"/>
        <w:keepNext/>
        <w:widowControl/>
        <w:ind w:firstLine="720"/>
      </w:pPr>
      <w:r>
        <w:t>Source: Table 89, pp179 of the submission</w:t>
      </w:r>
      <w:r w:rsidR="005D77D4" w:rsidRPr="005D77D4">
        <w:rPr>
          <w:i/>
        </w:rPr>
        <w:t>, and calculated using Akynzeo_PBAC_SectionD.xlsx</w:t>
      </w:r>
      <w:r w:rsidR="001509BB">
        <w:rPr>
          <w:i/>
        </w:rPr>
        <w:t xml:space="preserve">, </w:t>
      </w:r>
    </w:p>
    <w:p w:rsidR="0082028B" w:rsidRPr="00142473" w:rsidRDefault="0082028B" w:rsidP="004A2158">
      <w:pPr>
        <w:pStyle w:val="TableFooter"/>
        <w:keepNext/>
        <w:widowControl/>
        <w:ind w:left="720"/>
      </w:pPr>
      <w:r w:rsidRPr="00142473">
        <w:t>5-HT</w:t>
      </w:r>
      <w:r w:rsidRPr="00142473">
        <w:rPr>
          <w:vertAlign w:val="subscript"/>
        </w:rPr>
        <w:t>3</w:t>
      </w:r>
      <w:r w:rsidRPr="00142473">
        <w:t xml:space="preserve"> RA = serotonin receptor antagonist; Apre = aprepitant; CT = Chemotherapy;</w:t>
      </w:r>
      <w:r w:rsidR="00DB36F5" w:rsidRPr="00142473">
        <w:t xml:space="preserve"> </w:t>
      </w:r>
      <w:r w:rsidR="001509BB" w:rsidRPr="00142473">
        <w:t xml:space="preserve">DPMQ = dispensed price maximum quantity; </w:t>
      </w:r>
      <w:r w:rsidR="00DB36F5" w:rsidRPr="00142473">
        <w:t>NEPA = netupitant/palonosetron</w:t>
      </w:r>
    </w:p>
    <w:p w:rsidR="00DB36F5" w:rsidRPr="00142473" w:rsidRDefault="00DB36F5" w:rsidP="004A2158">
      <w:pPr>
        <w:pStyle w:val="TableFooter"/>
        <w:widowControl/>
        <w:ind w:firstLine="720"/>
      </w:pPr>
      <w:r w:rsidRPr="00142473">
        <w:rPr>
          <w:vertAlign w:val="superscript"/>
        </w:rPr>
        <w:t>a</w:t>
      </w:r>
      <w:r w:rsidRPr="00142473">
        <w:t xml:space="preserve"> 2013 estimates from HI Connections 2014</w:t>
      </w:r>
    </w:p>
    <w:p w:rsidR="001509BB" w:rsidRPr="00142473" w:rsidRDefault="001509BB" w:rsidP="001509BB">
      <w:pPr>
        <w:pStyle w:val="TableFooter"/>
        <w:widowControl/>
        <w:ind w:left="720"/>
      </w:pPr>
      <w:r w:rsidRPr="00142473">
        <w:rPr>
          <w:vertAlign w:val="superscript"/>
        </w:rPr>
        <w:t>b</w:t>
      </w:r>
      <w:r w:rsidRPr="00142473">
        <w:t xml:space="preserve"> This estimate was derived from the weighted average of general schedule and section 100 for PBS data recorded between 2009-13</w:t>
      </w:r>
    </w:p>
    <w:p w:rsidR="005D77D4" w:rsidRPr="00142473" w:rsidRDefault="001509BB" w:rsidP="004A2158">
      <w:pPr>
        <w:pStyle w:val="TableFooter"/>
        <w:widowControl/>
        <w:ind w:firstLine="720"/>
      </w:pPr>
      <w:r w:rsidRPr="00142473">
        <w:rPr>
          <w:vertAlign w:val="superscript"/>
        </w:rPr>
        <w:t>c</w:t>
      </w:r>
      <w:r w:rsidRPr="00142473">
        <w:t xml:space="preserve"> Assuming that 80% of patients would receive aprepitant. The split for the 5-HT3 RA was unchanged</w:t>
      </w:r>
    </w:p>
    <w:p w:rsidR="003C3EF3" w:rsidRDefault="003C3EF3" w:rsidP="004A2158">
      <w:pPr>
        <w:widowControl/>
        <w:rPr>
          <w:szCs w:val="22"/>
        </w:rPr>
      </w:pPr>
    </w:p>
    <w:p w:rsidR="005677AF" w:rsidRPr="00BB7EC3" w:rsidRDefault="005677AF" w:rsidP="005677AF">
      <w:pPr>
        <w:pStyle w:val="ListParagraph"/>
        <w:ind w:left="709"/>
        <w:rPr>
          <w:i/>
          <w:szCs w:val="22"/>
        </w:rPr>
      </w:pPr>
      <w:r>
        <w:rPr>
          <w:i/>
          <w:szCs w:val="22"/>
        </w:rPr>
        <w:t>For more detail on PBAC’s view, see section 7 “PBAC outcome”</w:t>
      </w:r>
    </w:p>
    <w:p w:rsidR="005677AF" w:rsidRPr="00B93739" w:rsidRDefault="005677AF" w:rsidP="004A2158">
      <w:pPr>
        <w:widowControl/>
        <w:rPr>
          <w:szCs w:val="22"/>
        </w:rPr>
      </w:pPr>
    </w:p>
    <w:p w:rsidR="00BE34DF" w:rsidRPr="002638F0" w:rsidRDefault="00BE34DF" w:rsidP="001C33BF">
      <w:pPr>
        <w:pStyle w:val="Heading2"/>
      </w:pPr>
      <w:bookmarkStart w:id="13" w:name="_Toc409535764"/>
      <w:r w:rsidRPr="00EC185B">
        <w:t>Drug cost/patient</w:t>
      </w:r>
      <w:r w:rsidR="00E5120D" w:rsidRPr="00EC185B">
        <w:t>/cycle</w:t>
      </w:r>
      <w:r w:rsidRPr="00EC185B">
        <w:t xml:space="preserve">: </w:t>
      </w:r>
      <w:r w:rsidRPr="002638F0">
        <w:t>$</w:t>
      </w:r>
      <w:bookmarkEnd w:id="13"/>
      <w:r w:rsidR="00C349A9">
        <w:rPr>
          <w:noProof/>
          <w:color w:val="000000"/>
          <w:highlight w:val="black"/>
        </w:rPr>
        <w:t>''''''''''''''</w:t>
      </w:r>
    </w:p>
    <w:p w:rsidR="00BE34DF" w:rsidRPr="002638F0" w:rsidRDefault="00BE34DF" w:rsidP="004A2158">
      <w:pPr>
        <w:widowControl/>
        <w:rPr>
          <w:szCs w:val="22"/>
        </w:rPr>
      </w:pPr>
    </w:p>
    <w:p w:rsidR="00600DFB" w:rsidRPr="002638F0" w:rsidRDefault="00BE34DF" w:rsidP="004A2158">
      <w:pPr>
        <w:pStyle w:val="ListParagraph"/>
        <w:widowControl/>
        <w:numPr>
          <w:ilvl w:val="1"/>
          <w:numId w:val="4"/>
        </w:numPr>
        <w:rPr>
          <w:szCs w:val="22"/>
        </w:rPr>
      </w:pPr>
      <w:r w:rsidRPr="002638F0">
        <w:rPr>
          <w:szCs w:val="22"/>
        </w:rPr>
        <w:t xml:space="preserve">The submission estimated that the proposed price would be </w:t>
      </w:r>
      <w:r w:rsidR="00E5120D" w:rsidRPr="002638F0">
        <w:rPr>
          <w:szCs w:val="22"/>
        </w:rPr>
        <w:t>$</w:t>
      </w:r>
      <w:r w:rsidR="00C349A9">
        <w:rPr>
          <w:noProof/>
          <w:color w:val="000000"/>
          <w:szCs w:val="22"/>
          <w:highlight w:val="black"/>
        </w:rPr>
        <w:t>'''''''''''''''</w:t>
      </w:r>
      <w:r w:rsidR="00E5120D" w:rsidRPr="002638F0">
        <w:rPr>
          <w:szCs w:val="22"/>
        </w:rPr>
        <w:t xml:space="preserve"> per cycle compared to $152.51 for aprepitant plus 5-HT</w:t>
      </w:r>
      <w:r w:rsidR="00E5120D" w:rsidRPr="002638F0">
        <w:rPr>
          <w:szCs w:val="22"/>
          <w:vertAlign w:val="subscript"/>
        </w:rPr>
        <w:t>3</w:t>
      </w:r>
      <w:r w:rsidR="00E5120D" w:rsidRPr="002638F0">
        <w:rPr>
          <w:szCs w:val="22"/>
        </w:rPr>
        <w:t xml:space="preserve"> RA</w:t>
      </w:r>
      <w:r w:rsidRPr="002638F0">
        <w:rPr>
          <w:szCs w:val="22"/>
        </w:rPr>
        <w:t>.</w:t>
      </w:r>
      <w:r w:rsidRPr="002638F0">
        <w:rPr>
          <w:i/>
          <w:szCs w:val="22"/>
        </w:rPr>
        <w:t xml:space="preserve"> </w:t>
      </w:r>
      <w:r w:rsidR="00C729D9" w:rsidRPr="002638F0">
        <w:rPr>
          <w:szCs w:val="22"/>
        </w:rPr>
        <w:t xml:space="preserve">The submission did not provide details </w:t>
      </w:r>
      <w:r w:rsidR="00A76D48" w:rsidRPr="002638F0">
        <w:rPr>
          <w:szCs w:val="22"/>
        </w:rPr>
        <w:t>of</w:t>
      </w:r>
      <w:r w:rsidR="00C729D9" w:rsidRPr="002638F0">
        <w:rPr>
          <w:szCs w:val="22"/>
        </w:rPr>
        <w:t xml:space="preserve"> how the proposed price was </w:t>
      </w:r>
      <w:r w:rsidR="004C51C8" w:rsidRPr="002638F0">
        <w:rPr>
          <w:szCs w:val="22"/>
        </w:rPr>
        <w:t>derived</w:t>
      </w:r>
      <w:r w:rsidR="00C729D9" w:rsidRPr="002638F0">
        <w:rPr>
          <w:szCs w:val="22"/>
        </w:rPr>
        <w:t xml:space="preserve">. </w:t>
      </w:r>
    </w:p>
    <w:p w:rsidR="004B145B" w:rsidRPr="002638F0" w:rsidRDefault="004B145B" w:rsidP="0039739E">
      <w:pPr>
        <w:widowControl/>
        <w:rPr>
          <w:szCs w:val="22"/>
        </w:rPr>
      </w:pPr>
    </w:p>
    <w:p w:rsidR="00BE34DF" w:rsidRPr="002638F0" w:rsidRDefault="004B145B" w:rsidP="004A2158">
      <w:pPr>
        <w:pStyle w:val="ListParagraph"/>
        <w:widowControl/>
        <w:numPr>
          <w:ilvl w:val="1"/>
          <w:numId w:val="4"/>
        </w:numPr>
        <w:rPr>
          <w:szCs w:val="22"/>
        </w:rPr>
      </w:pPr>
      <w:r w:rsidRPr="002638F0">
        <w:rPr>
          <w:szCs w:val="22"/>
        </w:rPr>
        <w:t>The ESC noted that the weighted cost of 5HT</w:t>
      </w:r>
      <w:r w:rsidRPr="002638F0">
        <w:rPr>
          <w:szCs w:val="22"/>
          <w:vertAlign w:val="subscript"/>
        </w:rPr>
        <w:t>3</w:t>
      </w:r>
      <w:r w:rsidRPr="002638F0">
        <w:rPr>
          <w:szCs w:val="22"/>
        </w:rPr>
        <w:t xml:space="preserve"> RA does not account for other dosage forms of ondansetron</w:t>
      </w:r>
      <w:r w:rsidR="006E62DC" w:rsidRPr="002638F0">
        <w:rPr>
          <w:szCs w:val="22"/>
        </w:rPr>
        <w:t xml:space="preserve"> (intravenous or wafers</w:t>
      </w:r>
      <w:r w:rsidR="007E2118" w:rsidRPr="002638F0">
        <w:rPr>
          <w:szCs w:val="22"/>
        </w:rPr>
        <w:t>), which</w:t>
      </w:r>
      <w:r w:rsidRPr="002638F0">
        <w:rPr>
          <w:szCs w:val="22"/>
        </w:rPr>
        <w:t xml:space="preserve"> appear to be used to the same, if not higher, extent than 5HT</w:t>
      </w:r>
      <w:r w:rsidRPr="002638F0">
        <w:rPr>
          <w:szCs w:val="22"/>
          <w:vertAlign w:val="subscript"/>
        </w:rPr>
        <w:t>3</w:t>
      </w:r>
      <w:r w:rsidRPr="002638F0">
        <w:rPr>
          <w:szCs w:val="22"/>
        </w:rPr>
        <w:t xml:space="preserve"> RAs such as granisetron. </w:t>
      </w:r>
    </w:p>
    <w:p w:rsidR="0071266E" w:rsidRPr="0071266E" w:rsidRDefault="0071266E" w:rsidP="004A2158">
      <w:pPr>
        <w:pStyle w:val="ListParagraph"/>
        <w:widowControl/>
        <w:rPr>
          <w:szCs w:val="22"/>
        </w:rPr>
      </w:pPr>
    </w:p>
    <w:p w:rsidR="00BE34DF" w:rsidRPr="00EC185B" w:rsidRDefault="00BE34DF" w:rsidP="001C33BF">
      <w:pPr>
        <w:pStyle w:val="Heading2"/>
      </w:pPr>
      <w:bookmarkStart w:id="14" w:name="_Toc409535765"/>
      <w:r w:rsidRPr="00EC185B">
        <w:t>Estimated PBS usage &amp; financial implications</w:t>
      </w:r>
      <w:bookmarkEnd w:id="14"/>
    </w:p>
    <w:p w:rsidR="00BE34DF" w:rsidRPr="00882085" w:rsidRDefault="00BE34DF" w:rsidP="004A2158">
      <w:pPr>
        <w:widowControl/>
        <w:ind w:left="720" w:hanging="720"/>
        <w:rPr>
          <w:b/>
          <w:i/>
          <w:szCs w:val="22"/>
        </w:rPr>
      </w:pPr>
    </w:p>
    <w:p w:rsidR="00E5120D" w:rsidRPr="0049593D" w:rsidRDefault="00E5120D" w:rsidP="004A2158">
      <w:pPr>
        <w:pStyle w:val="ListParagraph"/>
        <w:widowControl/>
        <w:numPr>
          <w:ilvl w:val="1"/>
          <w:numId w:val="4"/>
        </w:numPr>
        <w:rPr>
          <w:szCs w:val="22"/>
        </w:rPr>
      </w:pPr>
      <w:r>
        <w:t xml:space="preserve">This submission </w:t>
      </w:r>
      <w:r w:rsidR="007F2401">
        <w:t xml:space="preserve">was </w:t>
      </w:r>
      <w:r>
        <w:t>not considered by DUSC</w:t>
      </w:r>
      <w:r w:rsidRPr="00E5120D">
        <w:rPr>
          <w:color w:val="0070C0"/>
        </w:rPr>
        <w:t xml:space="preserve">. </w:t>
      </w:r>
      <w:r>
        <w:t>The submission used a market share approach to estimate the utilisation and cost of NEPA over a five year time horizon</w:t>
      </w:r>
      <w:r w:rsidR="007F2401">
        <w:t>.</w:t>
      </w:r>
    </w:p>
    <w:p w:rsidR="00BE34DF" w:rsidRPr="00491AB4" w:rsidRDefault="00BE34DF" w:rsidP="004A2158">
      <w:pPr>
        <w:pStyle w:val="ListParagraph"/>
        <w:widowControl/>
        <w:rPr>
          <w:szCs w:val="22"/>
        </w:rPr>
      </w:pPr>
    </w:p>
    <w:p w:rsidR="00BE34DF" w:rsidRDefault="00BE34DF" w:rsidP="004A2158">
      <w:pPr>
        <w:keepNext/>
        <w:widowControl/>
        <w:ind w:firstLine="709"/>
        <w:rPr>
          <w:rStyle w:val="CommentReference"/>
          <w:rFonts w:cs="Times New Roman"/>
          <w:snapToGrid/>
        </w:rPr>
      </w:pPr>
      <w:r w:rsidRPr="001222FC">
        <w:rPr>
          <w:rStyle w:val="CommentReference"/>
        </w:rPr>
        <w:t>Estimated use and financial implications</w:t>
      </w:r>
      <w:r>
        <w:rPr>
          <w:rStyle w:val="CommentReference"/>
        </w:rPr>
        <w:t xml:space="preserve"> of listing </w:t>
      </w:r>
      <w:r w:rsidR="00AD2874">
        <w:rPr>
          <w:rStyle w:val="CommentReference"/>
        </w:rPr>
        <w:t>NEPA</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PBS usage &amp; financial implications"/>
        <w:tblDescription w:val="Year 1 to 5"/>
      </w:tblPr>
      <w:tblGrid>
        <w:gridCol w:w="2269"/>
        <w:gridCol w:w="1134"/>
        <w:gridCol w:w="1133"/>
        <w:gridCol w:w="1275"/>
        <w:gridCol w:w="1275"/>
        <w:gridCol w:w="1260"/>
      </w:tblGrid>
      <w:tr w:rsidR="00BE34DF" w:rsidRPr="004E2ADC" w:rsidTr="00BE34DF">
        <w:trPr>
          <w:tblHeader/>
        </w:trPr>
        <w:tc>
          <w:tcPr>
            <w:tcW w:w="1359" w:type="pct"/>
            <w:shd w:val="clear" w:color="auto" w:fill="auto"/>
            <w:vAlign w:val="center"/>
          </w:tcPr>
          <w:p w:rsidR="00BE34DF" w:rsidRPr="004E2ADC" w:rsidRDefault="00BE34DF" w:rsidP="004A2158">
            <w:pPr>
              <w:keepNext/>
              <w:widowControl/>
              <w:tabs>
                <w:tab w:val="left" w:pos="142"/>
              </w:tabs>
              <w:jc w:val="left"/>
              <w:rPr>
                <w:rFonts w:ascii="Arial Narrow" w:hAnsi="Arial Narrow"/>
                <w:b/>
                <w:sz w:val="20"/>
              </w:rPr>
            </w:pPr>
          </w:p>
        </w:tc>
        <w:tc>
          <w:tcPr>
            <w:tcW w:w="679" w:type="pct"/>
            <w:shd w:val="clear" w:color="auto" w:fill="auto"/>
            <w:vAlign w:val="center"/>
          </w:tcPr>
          <w:p w:rsidR="00BE34DF" w:rsidRDefault="00BE34DF" w:rsidP="004A2158">
            <w:pPr>
              <w:keepNext/>
              <w:widowControl/>
              <w:jc w:val="center"/>
              <w:rPr>
                <w:rFonts w:ascii="Arial Narrow" w:hAnsi="Arial Narrow"/>
                <w:b/>
                <w:sz w:val="20"/>
              </w:rPr>
            </w:pPr>
            <w:r w:rsidRPr="004E2ADC">
              <w:rPr>
                <w:rFonts w:ascii="Arial Narrow" w:hAnsi="Arial Narrow"/>
                <w:b/>
                <w:sz w:val="20"/>
              </w:rPr>
              <w:t>Year 1</w:t>
            </w:r>
          </w:p>
          <w:p w:rsidR="00BE34DF" w:rsidRPr="004E2ADC" w:rsidRDefault="00BE34DF" w:rsidP="004A2158">
            <w:pPr>
              <w:keepNext/>
              <w:widowControl/>
              <w:jc w:val="center"/>
              <w:rPr>
                <w:rFonts w:ascii="Arial Narrow" w:hAnsi="Arial Narrow"/>
                <w:b/>
                <w:sz w:val="20"/>
              </w:rPr>
            </w:pPr>
            <w:r>
              <w:rPr>
                <w:rFonts w:ascii="Arial Narrow" w:hAnsi="Arial Narrow"/>
                <w:b/>
                <w:sz w:val="20"/>
              </w:rPr>
              <w:t>(2016)</w:t>
            </w:r>
          </w:p>
        </w:tc>
        <w:tc>
          <w:tcPr>
            <w:tcW w:w="679" w:type="pct"/>
            <w:shd w:val="clear" w:color="auto" w:fill="auto"/>
            <w:vAlign w:val="center"/>
          </w:tcPr>
          <w:p w:rsidR="00BE34DF" w:rsidRDefault="00BE34DF" w:rsidP="004A2158">
            <w:pPr>
              <w:keepNext/>
              <w:widowControl/>
              <w:jc w:val="center"/>
              <w:rPr>
                <w:rFonts w:ascii="Arial Narrow" w:hAnsi="Arial Narrow"/>
                <w:b/>
                <w:sz w:val="20"/>
              </w:rPr>
            </w:pPr>
            <w:r w:rsidRPr="004E2ADC">
              <w:rPr>
                <w:rFonts w:ascii="Arial Narrow" w:hAnsi="Arial Narrow"/>
                <w:b/>
                <w:sz w:val="20"/>
              </w:rPr>
              <w:t>Year 2</w:t>
            </w:r>
          </w:p>
          <w:p w:rsidR="00BE34DF" w:rsidRPr="004E2ADC" w:rsidRDefault="00BE34DF" w:rsidP="004A2158">
            <w:pPr>
              <w:keepNext/>
              <w:widowControl/>
              <w:jc w:val="center"/>
              <w:rPr>
                <w:rFonts w:ascii="Arial Narrow" w:hAnsi="Arial Narrow"/>
                <w:b/>
                <w:sz w:val="20"/>
              </w:rPr>
            </w:pPr>
            <w:r>
              <w:rPr>
                <w:rFonts w:ascii="Arial Narrow" w:hAnsi="Arial Narrow"/>
                <w:b/>
                <w:sz w:val="20"/>
              </w:rPr>
              <w:t>(2017)</w:t>
            </w:r>
          </w:p>
        </w:tc>
        <w:tc>
          <w:tcPr>
            <w:tcW w:w="764" w:type="pct"/>
            <w:shd w:val="clear" w:color="auto" w:fill="auto"/>
            <w:vAlign w:val="center"/>
          </w:tcPr>
          <w:p w:rsidR="00BE34DF" w:rsidRDefault="00BE34DF" w:rsidP="004A2158">
            <w:pPr>
              <w:keepNext/>
              <w:widowControl/>
              <w:jc w:val="center"/>
              <w:rPr>
                <w:rFonts w:ascii="Arial Narrow" w:hAnsi="Arial Narrow"/>
                <w:b/>
                <w:sz w:val="20"/>
              </w:rPr>
            </w:pPr>
            <w:r w:rsidRPr="004E2ADC">
              <w:rPr>
                <w:rFonts w:ascii="Arial Narrow" w:hAnsi="Arial Narrow"/>
                <w:b/>
                <w:sz w:val="20"/>
              </w:rPr>
              <w:t>Year 3</w:t>
            </w:r>
          </w:p>
          <w:p w:rsidR="00BE34DF" w:rsidRPr="004E2ADC" w:rsidRDefault="00BE34DF" w:rsidP="004A2158">
            <w:pPr>
              <w:keepNext/>
              <w:widowControl/>
              <w:jc w:val="center"/>
              <w:rPr>
                <w:rFonts w:ascii="Arial Narrow" w:hAnsi="Arial Narrow"/>
                <w:b/>
                <w:sz w:val="20"/>
              </w:rPr>
            </w:pPr>
            <w:r>
              <w:rPr>
                <w:rFonts w:ascii="Arial Narrow" w:hAnsi="Arial Narrow"/>
                <w:b/>
                <w:sz w:val="20"/>
              </w:rPr>
              <w:t>(2018)</w:t>
            </w:r>
          </w:p>
        </w:tc>
        <w:tc>
          <w:tcPr>
            <w:tcW w:w="764" w:type="pct"/>
            <w:shd w:val="clear" w:color="auto" w:fill="auto"/>
            <w:vAlign w:val="center"/>
          </w:tcPr>
          <w:p w:rsidR="00BE34DF" w:rsidRDefault="00BE34DF" w:rsidP="004A2158">
            <w:pPr>
              <w:keepNext/>
              <w:widowControl/>
              <w:jc w:val="center"/>
              <w:rPr>
                <w:rFonts w:ascii="Arial Narrow" w:hAnsi="Arial Narrow"/>
                <w:b/>
                <w:sz w:val="20"/>
              </w:rPr>
            </w:pPr>
            <w:r w:rsidRPr="004E2ADC">
              <w:rPr>
                <w:rFonts w:ascii="Arial Narrow" w:hAnsi="Arial Narrow"/>
                <w:b/>
                <w:sz w:val="20"/>
              </w:rPr>
              <w:t>Year 4</w:t>
            </w:r>
          </w:p>
          <w:p w:rsidR="00BE34DF" w:rsidRPr="004E2ADC" w:rsidRDefault="00BE34DF" w:rsidP="004A2158">
            <w:pPr>
              <w:keepNext/>
              <w:widowControl/>
              <w:jc w:val="center"/>
              <w:rPr>
                <w:rFonts w:ascii="Arial Narrow" w:hAnsi="Arial Narrow"/>
                <w:b/>
                <w:sz w:val="20"/>
              </w:rPr>
            </w:pPr>
            <w:r>
              <w:rPr>
                <w:rFonts w:ascii="Arial Narrow" w:hAnsi="Arial Narrow"/>
                <w:b/>
                <w:sz w:val="20"/>
              </w:rPr>
              <w:t>(2019)</w:t>
            </w:r>
          </w:p>
        </w:tc>
        <w:tc>
          <w:tcPr>
            <w:tcW w:w="755" w:type="pct"/>
            <w:shd w:val="clear" w:color="auto" w:fill="auto"/>
            <w:vAlign w:val="center"/>
          </w:tcPr>
          <w:p w:rsidR="00BE34DF" w:rsidRDefault="00BE34DF" w:rsidP="004A2158">
            <w:pPr>
              <w:keepNext/>
              <w:widowControl/>
              <w:jc w:val="center"/>
              <w:rPr>
                <w:rFonts w:ascii="Arial Narrow" w:hAnsi="Arial Narrow"/>
                <w:b/>
                <w:sz w:val="20"/>
              </w:rPr>
            </w:pPr>
            <w:r w:rsidRPr="004E2ADC">
              <w:rPr>
                <w:rFonts w:ascii="Arial Narrow" w:hAnsi="Arial Narrow"/>
                <w:b/>
                <w:sz w:val="20"/>
              </w:rPr>
              <w:t>Year 5</w:t>
            </w:r>
          </w:p>
          <w:p w:rsidR="00BE34DF" w:rsidRPr="004E2ADC" w:rsidRDefault="00BE34DF" w:rsidP="004A2158">
            <w:pPr>
              <w:keepNext/>
              <w:widowControl/>
              <w:jc w:val="center"/>
              <w:rPr>
                <w:rFonts w:ascii="Arial Narrow" w:hAnsi="Arial Narrow"/>
                <w:b/>
                <w:sz w:val="20"/>
              </w:rPr>
            </w:pPr>
            <w:r>
              <w:rPr>
                <w:rFonts w:ascii="Arial Narrow" w:hAnsi="Arial Narrow"/>
                <w:b/>
                <w:sz w:val="20"/>
              </w:rPr>
              <w:t>(2020)</w:t>
            </w:r>
          </w:p>
        </w:tc>
      </w:tr>
      <w:tr w:rsidR="00BE34DF" w:rsidRPr="004E2ADC" w:rsidTr="00BE34DF">
        <w:tc>
          <w:tcPr>
            <w:tcW w:w="5000" w:type="pct"/>
            <w:gridSpan w:val="6"/>
            <w:shd w:val="clear" w:color="auto" w:fill="auto"/>
            <w:vAlign w:val="center"/>
          </w:tcPr>
          <w:p w:rsidR="00BE34DF" w:rsidRPr="004E2ADC" w:rsidRDefault="00BE34DF" w:rsidP="004A2158">
            <w:pPr>
              <w:keepNext/>
              <w:widowControl/>
              <w:jc w:val="left"/>
              <w:rPr>
                <w:rFonts w:ascii="Arial Narrow" w:hAnsi="Arial Narrow"/>
                <w:b/>
                <w:bCs/>
                <w:color w:val="000000"/>
                <w:sz w:val="20"/>
              </w:rPr>
            </w:pPr>
            <w:r w:rsidRPr="004E2ADC">
              <w:rPr>
                <w:rFonts w:ascii="Arial Narrow" w:hAnsi="Arial Narrow"/>
                <w:b/>
                <w:bCs/>
                <w:color w:val="000000"/>
                <w:sz w:val="20"/>
              </w:rPr>
              <w:t>Estimated extent of use</w:t>
            </w:r>
            <w:r>
              <w:rPr>
                <w:rFonts w:ascii="Arial Narrow" w:hAnsi="Arial Narrow"/>
                <w:b/>
                <w:bCs/>
                <w:color w:val="000000"/>
                <w:sz w:val="20"/>
              </w:rPr>
              <w:t xml:space="preserve"> of </w:t>
            </w:r>
            <w:r w:rsidR="00AD2874">
              <w:rPr>
                <w:rFonts w:ascii="Arial Narrow" w:hAnsi="Arial Narrow"/>
                <w:b/>
                <w:bCs/>
                <w:color w:val="000000"/>
                <w:sz w:val="20"/>
              </w:rPr>
              <w:t>NEPA</w:t>
            </w:r>
          </w:p>
        </w:tc>
      </w:tr>
      <w:tr w:rsidR="00BE34DF" w:rsidRPr="004E2ADC" w:rsidTr="00BE34DF">
        <w:tc>
          <w:tcPr>
            <w:tcW w:w="1359" w:type="pct"/>
            <w:shd w:val="clear" w:color="auto" w:fill="auto"/>
            <w:vAlign w:val="center"/>
          </w:tcPr>
          <w:p w:rsidR="00BE34DF" w:rsidRPr="004E2ADC" w:rsidRDefault="00BE34DF" w:rsidP="004A2158">
            <w:pPr>
              <w:keepNext/>
              <w:widowControl/>
              <w:tabs>
                <w:tab w:val="left" w:pos="142"/>
              </w:tabs>
              <w:jc w:val="left"/>
              <w:rPr>
                <w:rFonts w:ascii="Arial Narrow" w:hAnsi="Arial Narrow"/>
                <w:sz w:val="20"/>
              </w:rPr>
            </w:pPr>
            <w:r w:rsidRPr="004E2ADC">
              <w:rPr>
                <w:rFonts w:ascii="Arial Narrow" w:hAnsi="Arial Narrow"/>
                <w:sz w:val="20"/>
              </w:rPr>
              <w:t>Number treated</w:t>
            </w:r>
          </w:p>
        </w:tc>
        <w:tc>
          <w:tcPr>
            <w:tcW w:w="679" w:type="pct"/>
            <w:shd w:val="clear" w:color="auto" w:fill="auto"/>
          </w:tcPr>
          <w:p w:rsidR="00BE34DF" w:rsidRPr="00C349A9" w:rsidRDefault="00C349A9" w:rsidP="004A2158">
            <w:pPr>
              <w:pStyle w:val="TableText0"/>
              <w:spacing w:before="0" w:after="0" w:line="276" w:lineRule="auto"/>
              <w:jc w:val="center"/>
              <w:rPr>
                <w:color w:val="000000"/>
                <w:highlight w:val="black"/>
              </w:rPr>
            </w:pPr>
            <w:r>
              <w:rPr>
                <w:noProof/>
                <w:color w:val="000000"/>
                <w:highlight w:val="black"/>
              </w:rPr>
              <w:t>''''''''''''''</w:t>
            </w:r>
          </w:p>
        </w:tc>
        <w:tc>
          <w:tcPr>
            <w:tcW w:w="679" w:type="pct"/>
            <w:shd w:val="clear" w:color="auto" w:fill="auto"/>
          </w:tcPr>
          <w:p w:rsidR="00BE34DF" w:rsidRPr="00C349A9" w:rsidRDefault="00C349A9" w:rsidP="004A2158">
            <w:pPr>
              <w:pStyle w:val="TableText0"/>
              <w:spacing w:before="0" w:after="0" w:line="276" w:lineRule="auto"/>
              <w:jc w:val="center"/>
              <w:rPr>
                <w:color w:val="000000"/>
                <w:highlight w:val="black"/>
              </w:rPr>
            </w:pPr>
            <w:r>
              <w:rPr>
                <w:noProof/>
                <w:color w:val="000000"/>
                <w:highlight w:val="black"/>
              </w:rPr>
              <w:t>'''''''''''''''</w:t>
            </w:r>
          </w:p>
        </w:tc>
        <w:tc>
          <w:tcPr>
            <w:tcW w:w="764" w:type="pct"/>
            <w:shd w:val="clear" w:color="auto" w:fill="auto"/>
          </w:tcPr>
          <w:p w:rsidR="00BE34DF" w:rsidRPr="00C349A9" w:rsidRDefault="00C349A9" w:rsidP="004A2158">
            <w:pPr>
              <w:pStyle w:val="TableText0"/>
              <w:spacing w:before="0" w:after="0" w:line="276" w:lineRule="auto"/>
              <w:jc w:val="center"/>
              <w:rPr>
                <w:color w:val="000000"/>
                <w:highlight w:val="black"/>
              </w:rPr>
            </w:pPr>
            <w:r>
              <w:rPr>
                <w:noProof/>
                <w:color w:val="000000"/>
                <w:highlight w:val="black"/>
              </w:rPr>
              <w:t>'''''''''''''''</w:t>
            </w:r>
          </w:p>
        </w:tc>
        <w:tc>
          <w:tcPr>
            <w:tcW w:w="764" w:type="pct"/>
            <w:shd w:val="clear" w:color="auto" w:fill="auto"/>
          </w:tcPr>
          <w:p w:rsidR="00BE34DF" w:rsidRPr="00C349A9" w:rsidRDefault="00C349A9" w:rsidP="004A2158">
            <w:pPr>
              <w:pStyle w:val="TableText0"/>
              <w:spacing w:before="0" w:after="0" w:line="276" w:lineRule="auto"/>
              <w:jc w:val="center"/>
              <w:rPr>
                <w:color w:val="000000"/>
                <w:highlight w:val="black"/>
              </w:rPr>
            </w:pPr>
            <w:r>
              <w:rPr>
                <w:noProof/>
                <w:color w:val="000000"/>
                <w:highlight w:val="black"/>
              </w:rPr>
              <w:t>''''''''''''''''</w:t>
            </w:r>
          </w:p>
        </w:tc>
        <w:tc>
          <w:tcPr>
            <w:tcW w:w="755" w:type="pct"/>
            <w:shd w:val="clear" w:color="auto" w:fill="auto"/>
          </w:tcPr>
          <w:p w:rsidR="00BE34DF" w:rsidRPr="00C349A9" w:rsidRDefault="00C349A9" w:rsidP="004A2158">
            <w:pPr>
              <w:pStyle w:val="TableText0"/>
              <w:spacing w:before="0" w:after="0" w:line="276" w:lineRule="auto"/>
              <w:jc w:val="center"/>
              <w:rPr>
                <w:color w:val="000000"/>
                <w:highlight w:val="black"/>
              </w:rPr>
            </w:pPr>
            <w:r>
              <w:rPr>
                <w:noProof/>
                <w:color w:val="000000"/>
                <w:highlight w:val="black"/>
              </w:rPr>
              <w:t>'''''''''''''''''</w:t>
            </w:r>
          </w:p>
        </w:tc>
      </w:tr>
      <w:tr w:rsidR="00E5120D" w:rsidRPr="004E2ADC" w:rsidTr="00C91930">
        <w:tc>
          <w:tcPr>
            <w:tcW w:w="1359" w:type="pct"/>
            <w:shd w:val="clear" w:color="auto" w:fill="auto"/>
            <w:vAlign w:val="center"/>
          </w:tcPr>
          <w:p w:rsidR="00E5120D" w:rsidRPr="00543555" w:rsidRDefault="00E5120D" w:rsidP="004A2158">
            <w:pPr>
              <w:widowControl/>
              <w:tabs>
                <w:tab w:val="left" w:pos="142"/>
              </w:tabs>
              <w:jc w:val="left"/>
              <w:rPr>
                <w:rFonts w:ascii="Arial Narrow" w:hAnsi="Arial Narrow"/>
                <w:sz w:val="20"/>
                <w:highlight w:val="yellow"/>
              </w:rPr>
            </w:pPr>
            <w:r w:rsidRPr="00C91930">
              <w:rPr>
                <w:rFonts w:ascii="Arial Narrow" w:hAnsi="Arial Narrow"/>
                <w:sz w:val="20"/>
              </w:rPr>
              <w:t>Market share</w:t>
            </w:r>
          </w:p>
        </w:tc>
        <w:tc>
          <w:tcPr>
            <w:tcW w:w="679" w:type="pct"/>
            <w:shd w:val="clear" w:color="auto" w:fill="auto"/>
          </w:tcPr>
          <w:p w:rsidR="00E5120D" w:rsidRPr="002638F0" w:rsidRDefault="00C349A9" w:rsidP="004A2158">
            <w:pPr>
              <w:pStyle w:val="Tabletext"/>
              <w:jc w:val="center"/>
              <w:rPr>
                <w:bCs/>
                <w:color w:val="000000"/>
              </w:rPr>
            </w:pPr>
            <w:r>
              <w:rPr>
                <w:noProof/>
                <w:color w:val="000000"/>
                <w:highlight w:val="black"/>
              </w:rPr>
              <w:t>''''''''''''''</w:t>
            </w:r>
            <w:r w:rsidR="00E5120D" w:rsidRPr="002638F0">
              <w:t>%</w:t>
            </w:r>
          </w:p>
        </w:tc>
        <w:tc>
          <w:tcPr>
            <w:tcW w:w="679" w:type="pct"/>
            <w:shd w:val="clear" w:color="auto" w:fill="auto"/>
          </w:tcPr>
          <w:p w:rsidR="00E5120D" w:rsidRPr="002638F0" w:rsidRDefault="00C349A9" w:rsidP="004A2158">
            <w:pPr>
              <w:pStyle w:val="Tabletext"/>
              <w:jc w:val="center"/>
              <w:rPr>
                <w:bCs/>
                <w:color w:val="000000"/>
              </w:rPr>
            </w:pPr>
            <w:r>
              <w:rPr>
                <w:noProof/>
                <w:color w:val="000000"/>
                <w:highlight w:val="black"/>
              </w:rPr>
              <w:t>'''''''''''''</w:t>
            </w:r>
            <w:r w:rsidR="00E5120D" w:rsidRPr="002638F0">
              <w:t>%</w:t>
            </w:r>
          </w:p>
        </w:tc>
        <w:tc>
          <w:tcPr>
            <w:tcW w:w="764" w:type="pct"/>
            <w:shd w:val="clear" w:color="auto" w:fill="auto"/>
          </w:tcPr>
          <w:p w:rsidR="00E5120D" w:rsidRPr="002638F0" w:rsidRDefault="00C349A9" w:rsidP="004A2158">
            <w:pPr>
              <w:pStyle w:val="Tabletext"/>
              <w:jc w:val="center"/>
              <w:rPr>
                <w:bCs/>
                <w:color w:val="000000"/>
              </w:rPr>
            </w:pPr>
            <w:r>
              <w:rPr>
                <w:noProof/>
                <w:color w:val="000000"/>
                <w:highlight w:val="black"/>
              </w:rPr>
              <w:t>'''''''''''''''</w:t>
            </w:r>
            <w:r w:rsidR="00E5120D" w:rsidRPr="002638F0">
              <w:t>%</w:t>
            </w:r>
          </w:p>
        </w:tc>
        <w:tc>
          <w:tcPr>
            <w:tcW w:w="764" w:type="pct"/>
            <w:shd w:val="clear" w:color="auto" w:fill="auto"/>
          </w:tcPr>
          <w:p w:rsidR="00E5120D" w:rsidRPr="002638F0" w:rsidRDefault="00C349A9" w:rsidP="004A2158">
            <w:pPr>
              <w:pStyle w:val="Tabletext"/>
              <w:jc w:val="center"/>
              <w:rPr>
                <w:bCs/>
                <w:color w:val="000000"/>
              </w:rPr>
            </w:pPr>
            <w:r>
              <w:rPr>
                <w:noProof/>
                <w:color w:val="000000"/>
                <w:highlight w:val="black"/>
              </w:rPr>
              <w:t>''''''''''''''</w:t>
            </w:r>
            <w:r w:rsidR="00E5120D" w:rsidRPr="002638F0">
              <w:t>%</w:t>
            </w:r>
          </w:p>
        </w:tc>
        <w:tc>
          <w:tcPr>
            <w:tcW w:w="755" w:type="pct"/>
            <w:shd w:val="clear" w:color="auto" w:fill="auto"/>
          </w:tcPr>
          <w:p w:rsidR="00E5120D" w:rsidRPr="002638F0" w:rsidRDefault="00C349A9" w:rsidP="004A2158">
            <w:pPr>
              <w:pStyle w:val="Tabletext"/>
              <w:jc w:val="center"/>
              <w:rPr>
                <w:bCs/>
                <w:color w:val="000000"/>
              </w:rPr>
            </w:pPr>
            <w:r>
              <w:rPr>
                <w:noProof/>
                <w:color w:val="000000"/>
                <w:highlight w:val="black"/>
              </w:rPr>
              <w:t>''''''''''</w:t>
            </w:r>
            <w:r w:rsidR="00E5120D" w:rsidRPr="002638F0">
              <w:t>%</w:t>
            </w:r>
          </w:p>
        </w:tc>
      </w:tr>
      <w:tr w:rsidR="00BE34DF" w:rsidRPr="004E2ADC" w:rsidTr="00BE34DF">
        <w:trPr>
          <w:trHeight w:val="203"/>
        </w:trPr>
        <w:tc>
          <w:tcPr>
            <w:tcW w:w="1359" w:type="pct"/>
            <w:shd w:val="clear" w:color="auto" w:fill="auto"/>
            <w:vAlign w:val="center"/>
          </w:tcPr>
          <w:p w:rsidR="00BE34DF" w:rsidRPr="004E2ADC" w:rsidRDefault="00BE34DF" w:rsidP="004A2158">
            <w:pPr>
              <w:widowControl/>
              <w:tabs>
                <w:tab w:val="left" w:pos="142"/>
              </w:tabs>
              <w:jc w:val="left"/>
              <w:rPr>
                <w:rFonts w:ascii="Arial Narrow" w:hAnsi="Arial Narrow"/>
                <w:sz w:val="20"/>
              </w:rPr>
            </w:pPr>
            <w:r>
              <w:rPr>
                <w:rFonts w:ascii="Arial Narrow" w:hAnsi="Arial Narrow"/>
                <w:sz w:val="20"/>
              </w:rPr>
              <w:t xml:space="preserve">Net change in </w:t>
            </w:r>
            <w:r w:rsidRPr="004E2ADC">
              <w:rPr>
                <w:rFonts w:ascii="Arial Narrow" w:hAnsi="Arial Narrow"/>
                <w:sz w:val="20"/>
              </w:rPr>
              <w:t>Scripts</w:t>
            </w:r>
            <w:r w:rsidR="00E46CD0">
              <w:rPr>
                <w:rFonts w:ascii="Arial Narrow" w:hAnsi="Arial Narrow"/>
                <w:sz w:val="20"/>
              </w:rPr>
              <w:t xml:space="preserve"> </w:t>
            </w:r>
          </w:p>
        </w:tc>
        <w:tc>
          <w:tcPr>
            <w:tcW w:w="679" w:type="pct"/>
            <w:shd w:val="clear" w:color="auto" w:fill="auto"/>
            <w:vAlign w:val="bottom"/>
          </w:tcPr>
          <w:p w:rsidR="00BE34DF" w:rsidRPr="00C349A9" w:rsidRDefault="00C349A9" w:rsidP="004A2158">
            <w:pPr>
              <w:pStyle w:val="TableText0"/>
              <w:spacing w:before="0" w:after="0" w:line="276" w:lineRule="auto"/>
              <w:jc w:val="center"/>
              <w:rPr>
                <w:highlight w:val="black"/>
                <w:lang w:eastAsia="en-AU"/>
              </w:rPr>
            </w:pPr>
            <w:r>
              <w:rPr>
                <w:noProof/>
                <w:color w:val="000000"/>
                <w:highlight w:val="black"/>
                <w:lang w:eastAsia="en-AU"/>
              </w:rPr>
              <w:t>''''''''''''''''</w:t>
            </w:r>
          </w:p>
        </w:tc>
        <w:tc>
          <w:tcPr>
            <w:tcW w:w="679" w:type="pct"/>
            <w:shd w:val="clear" w:color="auto" w:fill="auto"/>
            <w:vAlign w:val="bottom"/>
          </w:tcPr>
          <w:p w:rsidR="00BE34DF" w:rsidRPr="00C349A9" w:rsidRDefault="00C349A9" w:rsidP="004A2158">
            <w:pPr>
              <w:pStyle w:val="TableText0"/>
              <w:spacing w:before="0" w:after="0" w:line="276" w:lineRule="auto"/>
              <w:jc w:val="center"/>
              <w:rPr>
                <w:highlight w:val="black"/>
                <w:lang w:eastAsia="en-AU"/>
              </w:rPr>
            </w:pPr>
            <w:r>
              <w:rPr>
                <w:noProof/>
                <w:color w:val="000000"/>
                <w:highlight w:val="black"/>
                <w:lang w:eastAsia="en-AU"/>
              </w:rPr>
              <w:t>''''''''''''''''</w:t>
            </w:r>
          </w:p>
        </w:tc>
        <w:tc>
          <w:tcPr>
            <w:tcW w:w="764" w:type="pct"/>
            <w:shd w:val="clear" w:color="auto" w:fill="auto"/>
            <w:vAlign w:val="bottom"/>
          </w:tcPr>
          <w:p w:rsidR="00BE34DF" w:rsidRPr="00C349A9" w:rsidRDefault="00C349A9" w:rsidP="004A2158">
            <w:pPr>
              <w:pStyle w:val="TableText0"/>
              <w:spacing w:before="0" w:after="0" w:line="276" w:lineRule="auto"/>
              <w:jc w:val="center"/>
              <w:rPr>
                <w:highlight w:val="black"/>
                <w:lang w:eastAsia="en-AU"/>
              </w:rPr>
            </w:pPr>
            <w:r>
              <w:rPr>
                <w:noProof/>
                <w:color w:val="000000"/>
                <w:highlight w:val="black"/>
                <w:lang w:eastAsia="en-AU"/>
              </w:rPr>
              <w:t>''''''''''''''''</w:t>
            </w:r>
          </w:p>
        </w:tc>
        <w:tc>
          <w:tcPr>
            <w:tcW w:w="764" w:type="pct"/>
            <w:shd w:val="clear" w:color="auto" w:fill="auto"/>
            <w:vAlign w:val="bottom"/>
          </w:tcPr>
          <w:p w:rsidR="00BE34DF" w:rsidRPr="00C349A9" w:rsidRDefault="00C349A9" w:rsidP="004A2158">
            <w:pPr>
              <w:pStyle w:val="TableText0"/>
              <w:spacing w:before="0" w:after="0" w:line="276" w:lineRule="auto"/>
              <w:jc w:val="center"/>
              <w:rPr>
                <w:highlight w:val="black"/>
                <w:lang w:eastAsia="en-AU"/>
              </w:rPr>
            </w:pPr>
            <w:r>
              <w:rPr>
                <w:noProof/>
                <w:color w:val="000000"/>
                <w:highlight w:val="black"/>
                <w:lang w:eastAsia="en-AU"/>
              </w:rPr>
              <w:t>'''''''''''''''''''</w:t>
            </w:r>
          </w:p>
        </w:tc>
        <w:tc>
          <w:tcPr>
            <w:tcW w:w="755" w:type="pct"/>
            <w:shd w:val="clear" w:color="auto" w:fill="auto"/>
            <w:vAlign w:val="bottom"/>
          </w:tcPr>
          <w:p w:rsidR="00BE34DF" w:rsidRPr="00C349A9" w:rsidRDefault="00C349A9" w:rsidP="004A2158">
            <w:pPr>
              <w:pStyle w:val="TableText0"/>
              <w:spacing w:before="0" w:after="0" w:line="276" w:lineRule="auto"/>
              <w:jc w:val="center"/>
              <w:rPr>
                <w:highlight w:val="black"/>
                <w:lang w:eastAsia="en-AU"/>
              </w:rPr>
            </w:pPr>
            <w:r>
              <w:rPr>
                <w:noProof/>
                <w:color w:val="000000"/>
                <w:highlight w:val="black"/>
                <w:lang w:eastAsia="en-AU"/>
              </w:rPr>
              <w:t>''''''''''''''''''</w:t>
            </w:r>
          </w:p>
        </w:tc>
      </w:tr>
      <w:tr w:rsidR="00BE34DF" w:rsidRPr="004E2ADC" w:rsidTr="00BE34DF">
        <w:tc>
          <w:tcPr>
            <w:tcW w:w="5000" w:type="pct"/>
            <w:gridSpan w:val="6"/>
            <w:shd w:val="clear" w:color="auto" w:fill="auto"/>
            <w:vAlign w:val="center"/>
          </w:tcPr>
          <w:p w:rsidR="00BE34DF" w:rsidRPr="002638F0" w:rsidRDefault="00BE34DF" w:rsidP="004A2158">
            <w:pPr>
              <w:widowControl/>
              <w:jc w:val="left"/>
              <w:rPr>
                <w:rFonts w:ascii="Arial Narrow" w:hAnsi="Arial Narrow"/>
                <w:b/>
                <w:color w:val="000000"/>
                <w:sz w:val="20"/>
              </w:rPr>
            </w:pPr>
            <w:r w:rsidRPr="002638F0">
              <w:rPr>
                <w:rFonts w:ascii="Arial Narrow" w:hAnsi="Arial Narrow"/>
                <w:b/>
                <w:color w:val="000000"/>
                <w:sz w:val="20"/>
              </w:rPr>
              <w:t>Estimated total net cost</w:t>
            </w:r>
          </w:p>
        </w:tc>
      </w:tr>
      <w:tr w:rsidR="00BE34DF" w:rsidRPr="004E2ADC" w:rsidTr="00BE34DF">
        <w:tc>
          <w:tcPr>
            <w:tcW w:w="1359" w:type="pct"/>
            <w:shd w:val="clear" w:color="auto" w:fill="auto"/>
            <w:vAlign w:val="center"/>
          </w:tcPr>
          <w:p w:rsidR="00BE34DF" w:rsidRPr="00145540" w:rsidRDefault="00BE34DF" w:rsidP="004A2158">
            <w:pPr>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679" w:type="pct"/>
            <w:shd w:val="clear" w:color="auto" w:fill="auto"/>
          </w:tcPr>
          <w:p w:rsidR="00BE34DF" w:rsidRPr="002638F0" w:rsidRDefault="00C349A9" w:rsidP="004A2158">
            <w:pPr>
              <w:pStyle w:val="TableText0"/>
              <w:spacing w:before="0" w:after="0" w:line="276" w:lineRule="auto"/>
              <w:jc w:val="right"/>
              <w:rPr>
                <w:b/>
                <w:lang w:eastAsia="en-AU"/>
              </w:rPr>
            </w:pPr>
            <w:r>
              <w:rPr>
                <w:b/>
                <w:noProof/>
                <w:color w:val="000000"/>
                <w:highlight w:val="black"/>
                <w:lang w:eastAsia="en-AU"/>
              </w:rPr>
              <w:t>''</w:t>
            </w:r>
            <w:r w:rsidR="00BE34DF" w:rsidRPr="002638F0">
              <w:rPr>
                <w:b/>
                <w:lang w:eastAsia="en-AU"/>
              </w:rPr>
              <w:t>$</w:t>
            </w:r>
            <w:r>
              <w:rPr>
                <w:b/>
                <w:noProof/>
                <w:color w:val="000000"/>
                <w:highlight w:val="black"/>
                <w:lang w:eastAsia="en-AU"/>
              </w:rPr>
              <w:t>'''''''''''''''</w:t>
            </w:r>
          </w:p>
        </w:tc>
        <w:tc>
          <w:tcPr>
            <w:tcW w:w="679" w:type="pct"/>
            <w:shd w:val="clear" w:color="auto" w:fill="auto"/>
          </w:tcPr>
          <w:p w:rsidR="00BE34DF" w:rsidRPr="002638F0" w:rsidRDefault="00C349A9" w:rsidP="004A2158">
            <w:pPr>
              <w:pStyle w:val="TableText0"/>
              <w:spacing w:before="0" w:after="0" w:line="276" w:lineRule="auto"/>
              <w:jc w:val="right"/>
              <w:rPr>
                <w:b/>
                <w:lang w:eastAsia="en-AU"/>
              </w:rPr>
            </w:pPr>
            <w:r>
              <w:rPr>
                <w:b/>
                <w:noProof/>
                <w:color w:val="000000"/>
                <w:highlight w:val="black"/>
                <w:lang w:eastAsia="en-AU"/>
              </w:rPr>
              <w:t>''</w:t>
            </w:r>
            <w:r w:rsidR="00BE34DF" w:rsidRPr="002638F0">
              <w:rPr>
                <w:b/>
                <w:lang w:eastAsia="en-AU"/>
              </w:rPr>
              <w:t>$</w:t>
            </w:r>
            <w:r>
              <w:rPr>
                <w:b/>
                <w:noProof/>
                <w:color w:val="000000"/>
                <w:highlight w:val="black"/>
                <w:lang w:eastAsia="en-AU"/>
              </w:rPr>
              <w:t>''''''''''''''''</w:t>
            </w:r>
          </w:p>
        </w:tc>
        <w:tc>
          <w:tcPr>
            <w:tcW w:w="764" w:type="pct"/>
            <w:shd w:val="clear" w:color="auto" w:fill="auto"/>
          </w:tcPr>
          <w:p w:rsidR="00BE34DF" w:rsidRPr="002638F0" w:rsidRDefault="00C349A9" w:rsidP="004A2158">
            <w:pPr>
              <w:pStyle w:val="TableText0"/>
              <w:spacing w:before="0" w:after="0" w:line="276" w:lineRule="auto"/>
              <w:jc w:val="right"/>
              <w:rPr>
                <w:b/>
                <w:lang w:eastAsia="en-AU"/>
              </w:rPr>
            </w:pPr>
            <w:r>
              <w:rPr>
                <w:b/>
                <w:noProof/>
                <w:color w:val="000000"/>
                <w:highlight w:val="black"/>
                <w:lang w:eastAsia="en-AU"/>
              </w:rPr>
              <w:t>''</w:t>
            </w:r>
            <w:r w:rsidR="00BE34DF" w:rsidRPr="002638F0">
              <w:rPr>
                <w:b/>
                <w:lang w:eastAsia="en-AU"/>
              </w:rPr>
              <w:t>$</w:t>
            </w:r>
            <w:r>
              <w:rPr>
                <w:b/>
                <w:noProof/>
                <w:color w:val="000000"/>
                <w:highlight w:val="black"/>
                <w:lang w:eastAsia="en-AU"/>
              </w:rPr>
              <w:t>''''''''''''''''</w:t>
            </w:r>
          </w:p>
        </w:tc>
        <w:tc>
          <w:tcPr>
            <w:tcW w:w="764" w:type="pct"/>
            <w:shd w:val="clear" w:color="auto" w:fill="auto"/>
          </w:tcPr>
          <w:p w:rsidR="00BE34DF" w:rsidRPr="002638F0" w:rsidRDefault="00C349A9" w:rsidP="004A2158">
            <w:pPr>
              <w:pStyle w:val="TableText0"/>
              <w:spacing w:before="0" w:after="0" w:line="276" w:lineRule="auto"/>
              <w:jc w:val="right"/>
              <w:rPr>
                <w:b/>
                <w:lang w:eastAsia="en-AU"/>
              </w:rPr>
            </w:pPr>
            <w:r>
              <w:rPr>
                <w:b/>
                <w:noProof/>
                <w:color w:val="000000"/>
                <w:highlight w:val="black"/>
                <w:lang w:eastAsia="en-AU"/>
              </w:rPr>
              <w:t>''</w:t>
            </w:r>
            <w:r w:rsidR="00BE34DF" w:rsidRPr="002638F0">
              <w:rPr>
                <w:b/>
                <w:lang w:eastAsia="en-AU"/>
              </w:rPr>
              <w:t>$</w:t>
            </w:r>
            <w:r>
              <w:rPr>
                <w:b/>
                <w:noProof/>
                <w:color w:val="000000"/>
                <w:highlight w:val="black"/>
                <w:lang w:eastAsia="en-AU"/>
              </w:rPr>
              <w:t>'''''''''''''''''</w:t>
            </w:r>
          </w:p>
        </w:tc>
        <w:tc>
          <w:tcPr>
            <w:tcW w:w="755" w:type="pct"/>
            <w:shd w:val="clear" w:color="auto" w:fill="auto"/>
          </w:tcPr>
          <w:p w:rsidR="00BE34DF" w:rsidRPr="002638F0" w:rsidRDefault="00C349A9" w:rsidP="004A2158">
            <w:pPr>
              <w:pStyle w:val="TableText0"/>
              <w:spacing w:before="0" w:after="0" w:line="276" w:lineRule="auto"/>
              <w:jc w:val="right"/>
              <w:rPr>
                <w:b/>
                <w:lang w:eastAsia="en-AU"/>
              </w:rPr>
            </w:pPr>
            <w:r>
              <w:rPr>
                <w:b/>
                <w:noProof/>
                <w:color w:val="000000"/>
                <w:highlight w:val="black"/>
                <w:lang w:eastAsia="en-AU"/>
              </w:rPr>
              <w:t>''</w:t>
            </w:r>
            <w:r w:rsidR="00BE34DF" w:rsidRPr="002638F0">
              <w:rPr>
                <w:b/>
                <w:lang w:eastAsia="en-AU"/>
              </w:rPr>
              <w:t>$</w:t>
            </w:r>
            <w:r>
              <w:rPr>
                <w:b/>
                <w:noProof/>
                <w:color w:val="000000"/>
                <w:highlight w:val="black"/>
                <w:lang w:eastAsia="en-AU"/>
              </w:rPr>
              <w:t>''''''''''''''''</w:t>
            </w:r>
          </w:p>
        </w:tc>
      </w:tr>
    </w:tbl>
    <w:p w:rsidR="00BE34DF" w:rsidRDefault="00BE34DF" w:rsidP="004A2158">
      <w:pPr>
        <w:pStyle w:val="TableFooter"/>
        <w:widowControl/>
        <w:ind w:firstLine="720"/>
        <w:rPr>
          <w:szCs w:val="18"/>
        </w:rPr>
      </w:pPr>
      <w:r w:rsidRPr="001222FC">
        <w:rPr>
          <w:sz w:val="16"/>
          <w:szCs w:val="18"/>
        </w:rPr>
        <w:t xml:space="preserve">Source: </w:t>
      </w:r>
      <w:r w:rsidR="009D5852">
        <w:rPr>
          <w:szCs w:val="18"/>
        </w:rPr>
        <w:t>Table 96-98, pp</w:t>
      </w:r>
      <w:r w:rsidR="00B01A58">
        <w:rPr>
          <w:szCs w:val="18"/>
        </w:rPr>
        <w:t>188-189 of the submission</w:t>
      </w:r>
    </w:p>
    <w:p w:rsidR="00BE34DF" w:rsidRDefault="00E46CD0" w:rsidP="004A2158">
      <w:pPr>
        <w:pStyle w:val="TableFooter"/>
        <w:widowControl/>
        <w:ind w:left="720"/>
        <w:rPr>
          <w:szCs w:val="22"/>
        </w:rPr>
      </w:pPr>
      <w:r>
        <w:rPr>
          <w:szCs w:val="18"/>
        </w:rPr>
        <w:lastRenderedPageBreak/>
        <w:t xml:space="preserve">AC-MEC = anthracycline-based moderately </w:t>
      </w:r>
      <w:r w:rsidR="00E32B0A">
        <w:rPr>
          <w:szCs w:val="18"/>
        </w:rPr>
        <w:t>emetogenic</w:t>
      </w:r>
      <w:r>
        <w:rPr>
          <w:szCs w:val="18"/>
        </w:rPr>
        <w:t xml:space="preserve"> chemotherapy; HEC = highly </w:t>
      </w:r>
      <w:r w:rsidR="00E32B0A">
        <w:rPr>
          <w:szCs w:val="18"/>
        </w:rPr>
        <w:t>emetogenic</w:t>
      </w:r>
      <w:r>
        <w:rPr>
          <w:szCs w:val="18"/>
        </w:rPr>
        <w:t xml:space="preserve"> chemotherapy; </w:t>
      </w:r>
      <w:r w:rsidR="00BE34DF">
        <w:rPr>
          <w:szCs w:val="18"/>
        </w:rPr>
        <w:t>MBS = Medicare Benefits Schedule;</w:t>
      </w:r>
      <w:r>
        <w:rPr>
          <w:szCs w:val="18"/>
        </w:rPr>
        <w:t xml:space="preserve"> MEC = moderately </w:t>
      </w:r>
      <w:r w:rsidR="00E32B0A">
        <w:rPr>
          <w:szCs w:val="18"/>
        </w:rPr>
        <w:t>emetogenic</w:t>
      </w:r>
      <w:r>
        <w:rPr>
          <w:szCs w:val="18"/>
        </w:rPr>
        <w:t xml:space="preserve"> chemotherapy; NEPA = netupitant/palonosetron; </w:t>
      </w:r>
      <w:r w:rsidR="00BE34DF">
        <w:rPr>
          <w:szCs w:val="18"/>
        </w:rPr>
        <w:t>PBS = Pharmaceutical Benefits Scheme; RPBS = Repatriation Pharmaceutical Benefits Scheme</w:t>
      </w:r>
    </w:p>
    <w:p w:rsidR="00BE34DF" w:rsidRPr="00C25D9C" w:rsidRDefault="00BE34DF" w:rsidP="004A2158">
      <w:pPr>
        <w:widowControl/>
        <w:rPr>
          <w:szCs w:val="22"/>
        </w:rPr>
      </w:pPr>
    </w:p>
    <w:p w:rsidR="00605238" w:rsidRDefault="00605238" w:rsidP="00B7075A">
      <w:pPr>
        <w:pStyle w:val="ListParagraph"/>
        <w:widowControl/>
        <w:numPr>
          <w:ilvl w:val="1"/>
          <w:numId w:val="4"/>
        </w:numPr>
        <w:rPr>
          <w:szCs w:val="22"/>
        </w:rPr>
      </w:pPr>
      <w:r>
        <w:rPr>
          <w:szCs w:val="22"/>
        </w:rPr>
        <w:t>The redacted table above estimates that less than 10,000 patients will be treated in year one, increasing to 50,000 to 100,000 in year 5.</w:t>
      </w:r>
    </w:p>
    <w:p w:rsidR="00605238" w:rsidRPr="00605238" w:rsidRDefault="00605238" w:rsidP="00605238">
      <w:pPr>
        <w:pStyle w:val="ListParagraph"/>
        <w:widowControl/>
        <w:rPr>
          <w:szCs w:val="22"/>
        </w:rPr>
      </w:pPr>
    </w:p>
    <w:p w:rsidR="00BE34DF" w:rsidRPr="00814995" w:rsidRDefault="00BE34DF" w:rsidP="00B7075A">
      <w:pPr>
        <w:pStyle w:val="ListParagraph"/>
        <w:widowControl/>
        <w:numPr>
          <w:ilvl w:val="1"/>
          <w:numId w:val="4"/>
        </w:numPr>
        <w:rPr>
          <w:szCs w:val="22"/>
        </w:rPr>
      </w:pPr>
      <w:r w:rsidRPr="00814995">
        <w:t xml:space="preserve">The submission estimated that listing </w:t>
      </w:r>
      <w:r w:rsidR="00AD2874" w:rsidRPr="00814995">
        <w:t>NEPA</w:t>
      </w:r>
      <w:r w:rsidRPr="00814995">
        <w:t xml:space="preserve"> on the PBS </w:t>
      </w:r>
      <w:r w:rsidR="00E5120D" w:rsidRPr="00814995">
        <w:t xml:space="preserve">could </w:t>
      </w:r>
      <w:r w:rsidRPr="00814995">
        <w:t xml:space="preserve">result in a cost saving </w:t>
      </w:r>
      <w:r w:rsidR="00A76D48" w:rsidRPr="00814995">
        <w:t xml:space="preserve">of </w:t>
      </w:r>
      <w:r w:rsidR="00820D2C" w:rsidRPr="00814995">
        <w:t>up to</w:t>
      </w:r>
      <w:r w:rsidRPr="00814995">
        <w:t xml:space="preserve"> </w:t>
      </w:r>
      <w:r w:rsidR="00B7075A" w:rsidRPr="00814995">
        <w:t>less than $10 million per year</w:t>
      </w:r>
      <w:r w:rsidR="00C81B79" w:rsidRPr="00814995">
        <w:t xml:space="preserve"> </w:t>
      </w:r>
      <w:r w:rsidRPr="00814995">
        <w:t>in the fifth year of listing. The accuracy of the financial estimates</w:t>
      </w:r>
      <w:r w:rsidR="00A76D48" w:rsidRPr="00814995">
        <w:t xml:space="preserve"> </w:t>
      </w:r>
      <w:r w:rsidR="0018448E" w:rsidRPr="00814995">
        <w:t xml:space="preserve">could not </w:t>
      </w:r>
      <w:r w:rsidR="00A76D48" w:rsidRPr="00814995">
        <w:t>be est</w:t>
      </w:r>
      <w:r w:rsidR="005D77D4" w:rsidRPr="00814995">
        <w:t>a</w:t>
      </w:r>
      <w:r w:rsidR="00A76D48" w:rsidRPr="00814995">
        <w:t>blished</w:t>
      </w:r>
      <w:r w:rsidR="004B145B" w:rsidRPr="00814995">
        <w:t>.</w:t>
      </w:r>
      <w:r w:rsidRPr="00814995">
        <w:t xml:space="preserve"> The main </w:t>
      </w:r>
      <w:r w:rsidR="00A76D48" w:rsidRPr="00814995">
        <w:t xml:space="preserve">assumptions </w:t>
      </w:r>
      <w:r w:rsidRPr="00814995">
        <w:t xml:space="preserve">that </w:t>
      </w:r>
      <w:r w:rsidR="004A1E3E" w:rsidRPr="00814995">
        <w:t>we</w:t>
      </w:r>
      <w:r w:rsidR="00A76D48" w:rsidRPr="00814995">
        <w:t>re poorly supported</w:t>
      </w:r>
      <w:r w:rsidR="00A623B5" w:rsidRPr="00814995">
        <w:t xml:space="preserve"> were</w:t>
      </w:r>
      <w:r w:rsidRPr="00814995">
        <w:t>:</w:t>
      </w:r>
    </w:p>
    <w:p w:rsidR="00BE34DF" w:rsidRPr="004B145B" w:rsidRDefault="00A76D48" w:rsidP="004A2158">
      <w:pPr>
        <w:pStyle w:val="ListParagraph"/>
        <w:widowControl/>
        <w:numPr>
          <w:ilvl w:val="0"/>
          <w:numId w:val="22"/>
        </w:numPr>
        <w:rPr>
          <w:szCs w:val="22"/>
        </w:rPr>
      </w:pPr>
      <w:r w:rsidRPr="00814995">
        <w:t>Whether the uptake</w:t>
      </w:r>
      <w:r w:rsidRPr="004B145B">
        <w:t xml:space="preserve"> of </w:t>
      </w:r>
      <w:r w:rsidR="00B05436" w:rsidRPr="004B145B">
        <w:t xml:space="preserve">NEPA </w:t>
      </w:r>
      <w:r w:rsidRPr="004B145B">
        <w:t xml:space="preserve">can be reliably based </w:t>
      </w:r>
      <w:r w:rsidR="00B05436" w:rsidRPr="004B145B">
        <w:t xml:space="preserve">on </w:t>
      </w:r>
      <w:r w:rsidRPr="004B145B">
        <w:t xml:space="preserve">the </w:t>
      </w:r>
      <w:r w:rsidR="00820D2C" w:rsidRPr="004B145B">
        <w:t>historical</w:t>
      </w:r>
      <w:r w:rsidRPr="004B145B">
        <w:t xml:space="preserve"> data for </w:t>
      </w:r>
      <w:r w:rsidR="00BE34DF" w:rsidRPr="004B145B">
        <w:t>palonosetron</w:t>
      </w:r>
      <w:r w:rsidR="00820D2C" w:rsidRPr="004B145B">
        <w:t xml:space="preserve"> market uptake</w:t>
      </w:r>
      <w:r w:rsidRPr="004B145B">
        <w:t>,</w:t>
      </w:r>
      <w:r w:rsidR="00BE34DF" w:rsidRPr="004B145B">
        <w:t xml:space="preserve"> which </w:t>
      </w:r>
      <w:r w:rsidRPr="004B145B">
        <w:t xml:space="preserve">may be a </w:t>
      </w:r>
      <w:r w:rsidR="00BE34DF" w:rsidRPr="004B145B">
        <w:t>differ</w:t>
      </w:r>
      <w:r w:rsidR="00B05436" w:rsidRPr="004B145B">
        <w:t>ent</w:t>
      </w:r>
      <w:r w:rsidR="00BE34DF" w:rsidRPr="004B145B">
        <w:t xml:space="preserve"> patient population</w:t>
      </w:r>
      <w:r w:rsidR="005D77D4" w:rsidRPr="004B145B">
        <w:t xml:space="preserve">, i.e. this patient population </w:t>
      </w:r>
      <w:r w:rsidR="00EE3D60" w:rsidRPr="004B145B">
        <w:t xml:space="preserve">also </w:t>
      </w:r>
      <w:r w:rsidR="005D77D4" w:rsidRPr="004B145B">
        <w:t>include</w:t>
      </w:r>
      <w:r w:rsidR="00EE3D60" w:rsidRPr="004B145B">
        <w:t>d</w:t>
      </w:r>
      <w:r w:rsidR="005D77D4" w:rsidRPr="004B145B">
        <w:t xml:space="preserve"> patients on moderate emetogenenic chemotherapy who </w:t>
      </w:r>
      <w:r w:rsidR="00EE3D60" w:rsidRPr="004B145B">
        <w:t>may have</w:t>
      </w:r>
      <w:r w:rsidR="005D77D4" w:rsidRPr="004B145B">
        <w:t xml:space="preserve"> not had a previous event</w:t>
      </w:r>
      <w:r w:rsidR="00F05B5E">
        <w:t xml:space="preserve">. </w:t>
      </w:r>
      <w:r w:rsidR="00F05B5E" w:rsidRPr="00EB38FD">
        <w:t>The PSCR (p2)</w:t>
      </w:r>
      <w:r w:rsidR="00DC5263" w:rsidRPr="00EB38FD">
        <w:t xml:space="preserve"> considered that this provides the best estimate for the likely uptake of NEPA in the absence of other data</w:t>
      </w:r>
      <w:r w:rsidR="00E405FE" w:rsidRPr="00EB38FD">
        <w:t>;</w:t>
      </w:r>
    </w:p>
    <w:p w:rsidR="00BE34DF" w:rsidRPr="004B145B" w:rsidRDefault="00C87D5A" w:rsidP="004A2158">
      <w:pPr>
        <w:pStyle w:val="ListParagraph"/>
        <w:widowControl/>
        <w:numPr>
          <w:ilvl w:val="0"/>
          <w:numId w:val="22"/>
        </w:numPr>
      </w:pPr>
      <w:r w:rsidRPr="004B145B">
        <w:t>The co-prescription analysis may have underestimated co-administration of aprepitant with 5-HT</w:t>
      </w:r>
      <w:r w:rsidRPr="004B145B">
        <w:rPr>
          <w:vertAlign w:val="subscript"/>
        </w:rPr>
        <w:t>3</w:t>
      </w:r>
      <w:r w:rsidRPr="004B145B">
        <w:t xml:space="preserve"> RA</w:t>
      </w:r>
      <w:r w:rsidR="005D77D4" w:rsidRPr="004B145B">
        <w:t xml:space="preserve">, due to assumption that the </w:t>
      </w:r>
      <w:r w:rsidR="00DC5263">
        <w:t>dispensing</w:t>
      </w:r>
      <w:r w:rsidR="00DC5263" w:rsidRPr="004B145B">
        <w:t xml:space="preserve"> </w:t>
      </w:r>
      <w:r w:rsidR="005D77D4" w:rsidRPr="004B145B">
        <w:t>needed to be on the same day</w:t>
      </w:r>
      <w:r w:rsidRPr="004B145B">
        <w:t xml:space="preserve">. This would impact the estimated changes in use of </w:t>
      </w:r>
      <w:r w:rsidR="002B1398" w:rsidRPr="004B145B">
        <w:t>other drugs</w:t>
      </w:r>
      <w:r w:rsidR="00E405FE" w:rsidRPr="004B145B">
        <w:t>; and</w:t>
      </w:r>
      <w:r w:rsidR="00BE34DF" w:rsidRPr="004B145B">
        <w:t xml:space="preserve"> </w:t>
      </w:r>
    </w:p>
    <w:p w:rsidR="00BE34DF" w:rsidRPr="004B145B" w:rsidRDefault="00BE34DF" w:rsidP="004A2158">
      <w:pPr>
        <w:pStyle w:val="ListParagraph"/>
        <w:widowControl/>
        <w:numPr>
          <w:ilvl w:val="0"/>
          <w:numId w:val="22"/>
        </w:numPr>
      </w:pPr>
      <w:r w:rsidRPr="004B145B">
        <w:t xml:space="preserve">Potential patient leakage </w:t>
      </w:r>
      <w:r w:rsidR="00951BE4" w:rsidRPr="004B145B">
        <w:t xml:space="preserve">if the TGA approves a </w:t>
      </w:r>
      <w:r w:rsidRPr="004B145B">
        <w:t>broader indication</w:t>
      </w:r>
      <w:r w:rsidR="00951BE4" w:rsidRPr="004B145B">
        <w:t xml:space="preserve"> for NEPA</w:t>
      </w:r>
      <w:r w:rsidRPr="004B145B">
        <w:t xml:space="preserve"> than </w:t>
      </w:r>
      <w:r w:rsidR="00951BE4" w:rsidRPr="004B145B">
        <w:t xml:space="preserve">the proposed </w:t>
      </w:r>
      <w:r w:rsidRPr="004B145B">
        <w:t>PBS restriction. Patient</w:t>
      </w:r>
      <w:r w:rsidR="00B05436" w:rsidRPr="004B145B">
        <w:t>s</w:t>
      </w:r>
      <w:r w:rsidRPr="004B145B">
        <w:t xml:space="preserve"> scheduled to receive moderately </w:t>
      </w:r>
      <w:r w:rsidR="00E32B0A" w:rsidRPr="004B145B">
        <w:t>emetogenic</w:t>
      </w:r>
      <w:r w:rsidRPr="004B145B">
        <w:t xml:space="preserve"> chemotherapy </w:t>
      </w:r>
      <w:r w:rsidR="0058696E" w:rsidRPr="004B145B">
        <w:t>should receive 5-HT</w:t>
      </w:r>
      <w:r w:rsidR="0058696E" w:rsidRPr="004B145B">
        <w:rPr>
          <w:vertAlign w:val="subscript"/>
        </w:rPr>
        <w:t>3</w:t>
      </w:r>
      <w:r w:rsidR="0058696E" w:rsidRPr="004B145B">
        <w:t xml:space="preserve"> RA as first-line therapy</w:t>
      </w:r>
      <w:r w:rsidR="00592359" w:rsidRPr="004B145B">
        <w:t xml:space="preserve">, and only change treatment to include NEPA if they have an </w:t>
      </w:r>
      <w:r w:rsidR="00E32B0A" w:rsidRPr="004B145B">
        <w:t>emetogenic</w:t>
      </w:r>
      <w:r w:rsidR="00592359" w:rsidRPr="004B145B">
        <w:t xml:space="preserve"> event</w:t>
      </w:r>
      <w:r w:rsidR="0058696E" w:rsidRPr="004B145B">
        <w:t xml:space="preserve">. </w:t>
      </w:r>
    </w:p>
    <w:p w:rsidR="00592359" w:rsidRDefault="00592359" w:rsidP="004A2158">
      <w:pPr>
        <w:pStyle w:val="ListParagraph"/>
        <w:widowControl/>
        <w:ind w:left="1440"/>
        <w:rPr>
          <w:i/>
        </w:rPr>
      </w:pPr>
    </w:p>
    <w:p w:rsidR="00C07917" w:rsidRPr="00526C9D" w:rsidRDefault="00C07917" w:rsidP="00C07917">
      <w:pPr>
        <w:pStyle w:val="ListParagraph"/>
        <w:widowControl/>
        <w:numPr>
          <w:ilvl w:val="1"/>
          <w:numId w:val="4"/>
        </w:numPr>
        <w:rPr>
          <w:szCs w:val="24"/>
        </w:rPr>
      </w:pPr>
      <w:r w:rsidRPr="00526C9D">
        <w:rPr>
          <w:szCs w:val="24"/>
        </w:rPr>
        <w:t>Depending on the proportion of current 5-HT</w:t>
      </w:r>
      <w:r w:rsidRPr="00526C9D">
        <w:rPr>
          <w:szCs w:val="24"/>
          <w:vertAlign w:val="subscript"/>
        </w:rPr>
        <w:t>3</w:t>
      </w:r>
      <w:r w:rsidRPr="00526C9D">
        <w:rPr>
          <w:szCs w:val="24"/>
        </w:rPr>
        <w:t xml:space="preserve"> RA monotherapy scripts that could be replaced, the cost-savings may be less or there may be an additional cost, as 5-HT</w:t>
      </w:r>
      <w:r w:rsidRPr="00526C9D">
        <w:rPr>
          <w:szCs w:val="24"/>
          <w:vertAlign w:val="subscript"/>
        </w:rPr>
        <w:t>3</w:t>
      </w:r>
      <w:r w:rsidRPr="00526C9D">
        <w:rPr>
          <w:szCs w:val="24"/>
        </w:rPr>
        <w:t xml:space="preserve"> RA monotherapy is less expensive than NEPA</w:t>
      </w:r>
      <w:r w:rsidR="00390AAD" w:rsidRPr="00526C9D">
        <w:rPr>
          <w:szCs w:val="24"/>
        </w:rPr>
        <w:t>.</w:t>
      </w:r>
    </w:p>
    <w:p w:rsidR="00E5120D" w:rsidRDefault="00E5120D" w:rsidP="004A2158">
      <w:pPr>
        <w:widowControl/>
        <w:ind w:left="720"/>
        <w:rPr>
          <w:i/>
        </w:rPr>
      </w:pPr>
    </w:p>
    <w:p w:rsidR="005677AF" w:rsidRPr="00BB7EC3" w:rsidRDefault="005677AF" w:rsidP="005677AF">
      <w:pPr>
        <w:pStyle w:val="ListParagraph"/>
        <w:ind w:left="709"/>
        <w:rPr>
          <w:i/>
          <w:szCs w:val="22"/>
        </w:rPr>
      </w:pPr>
      <w:r>
        <w:rPr>
          <w:i/>
          <w:szCs w:val="22"/>
        </w:rPr>
        <w:t>For more detail on PBAC’s view, see section 7 “PBAC outcome”</w:t>
      </w:r>
    </w:p>
    <w:p w:rsidR="005677AF" w:rsidRPr="00DC75BE" w:rsidRDefault="005677AF" w:rsidP="004A2158">
      <w:pPr>
        <w:widowControl/>
        <w:ind w:left="720"/>
        <w:rPr>
          <w:i/>
        </w:rPr>
      </w:pPr>
    </w:p>
    <w:p w:rsidR="00956448" w:rsidRPr="00EC185B" w:rsidRDefault="0026303E" w:rsidP="0026303E">
      <w:pPr>
        <w:rPr>
          <w:b/>
        </w:rPr>
      </w:pPr>
      <w:r w:rsidRPr="00EC185B">
        <w:rPr>
          <w:b/>
        </w:rPr>
        <w:t>Quality use of medicines</w:t>
      </w:r>
    </w:p>
    <w:p w:rsidR="00956448" w:rsidRPr="00EB38FD" w:rsidRDefault="00956448" w:rsidP="0026303E">
      <w:pPr>
        <w:rPr>
          <w:b/>
        </w:rPr>
      </w:pPr>
    </w:p>
    <w:p w:rsidR="0026303E" w:rsidRPr="00EB38FD" w:rsidRDefault="004B145B" w:rsidP="004B145B">
      <w:pPr>
        <w:pStyle w:val="ListParagraph"/>
        <w:widowControl/>
        <w:numPr>
          <w:ilvl w:val="1"/>
          <w:numId w:val="4"/>
        </w:numPr>
      </w:pPr>
      <w:r w:rsidRPr="00EB38FD">
        <w:t>The ESC considered a relevant QUM concern to be the potential for co-administered 5</w:t>
      </w:r>
      <w:r w:rsidR="007F065E" w:rsidRPr="00EB38FD">
        <w:t>-</w:t>
      </w:r>
      <w:r w:rsidRPr="00EB38FD">
        <w:t>HT</w:t>
      </w:r>
      <w:r w:rsidRPr="00EB38FD">
        <w:rPr>
          <w:vertAlign w:val="subscript"/>
        </w:rPr>
        <w:t>3</w:t>
      </w:r>
      <w:r w:rsidRPr="00EB38FD">
        <w:t xml:space="preserve"> RA with NEPA. This would be inappropriate and </w:t>
      </w:r>
      <w:r w:rsidR="00237106" w:rsidRPr="00EB38FD">
        <w:t>c</w:t>
      </w:r>
      <w:r w:rsidRPr="00EB38FD">
        <w:t xml:space="preserve">ould be addressed through a note in the restriction. </w:t>
      </w:r>
    </w:p>
    <w:p w:rsidR="005E4FEE" w:rsidRPr="004B145B" w:rsidRDefault="005E4FEE" w:rsidP="00CB7707">
      <w:pPr>
        <w:pStyle w:val="ListParagraph"/>
        <w:widowControl/>
        <w:rPr>
          <w:i/>
        </w:rPr>
      </w:pPr>
    </w:p>
    <w:p w:rsidR="005677AF" w:rsidRPr="00882085" w:rsidRDefault="005677AF" w:rsidP="005677AF">
      <w:pPr>
        <w:rPr>
          <w:b/>
          <w:szCs w:val="22"/>
        </w:rPr>
      </w:pPr>
    </w:p>
    <w:p w:rsidR="005677AF" w:rsidRPr="00882085" w:rsidRDefault="005677AF" w:rsidP="005677AF">
      <w:pPr>
        <w:pStyle w:val="PBACHeading1"/>
        <w:rPr>
          <w:b w:val="0"/>
        </w:rPr>
      </w:pPr>
      <w:r w:rsidRPr="00882085">
        <w:t xml:space="preserve">PBAC Outcome </w:t>
      </w:r>
    </w:p>
    <w:p w:rsidR="005677AF" w:rsidRDefault="005677AF" w:rsidP="005677AF">
      <w:pPr>
        <w:rPr>
          <w:b/>
          <w:szCs w:val="22"/>
        </w:rPr>
      </w:pPr>
    </w:p>
    <w:p w:rsidR="00F8117E" w:rsidRDefault="00F8117E" w:rsidP="00980F51">
      <w:pPr>
        <w:pStyle w:val="ListParagraph"/>
        <w:widowControl/>
        <w:numPr>
          <w:ilvl w:val="1"/>
          <w:numId w:val="4"/>
        </w:numPr>
        <w:rPr>
          <w:szCs w:val="22"/>
        </w:rPr>
      </w:pPr>
      <w:r>
        <w:rPr>
          <w:szCs w:val="22"/>
        </w:rPr>
        <w:t>The PBAC decided not to recommend that netupitant with palonosetron</w:t>
      </w:r>
      <w:r w:rsidR="00980F51">
        <w:rPr>
          <w:szCs w:val="22"/>
        </w:rPr>
        <w:t xml:space="preserve"> (NEPA)</w:t>
      </w:r>
      <w:r>
        <w:rPr>
          <w:szCs w:val="22"/>
        </w:rPr>
        <w:t xml:space="preserve"> fixed dose combination tablet be made available on the PBS for chemotherapy induced nausea and vomiting. </w:t>
      </w:r>
      <w:r w:rsidRPr="00980F51">
        <w:rPr>
          <w:szCs w:val="22"/>
        </w:rPr>
        <w:t xml:space="preserve">In making </w:t>
      </w:r>
      <w:r w:rsidR="00980F51">
        <w:rPr>
          <w:szCs w:val="22"/>
        </w:rPr>
        <w:t>its</w:t>
      </w:r>
      <w:r w:rsidRPr="00980F51">
        <w:rPr>
          <w:szCs w:val="22"/>
        </w:rPr>
        <w:t xml:space="preserve"> recommendation, the PBAC considered that there was no unmet clinical need for this population of patients</w:t>
      </w:r>
      <w:r w:rsidR="007E2118">
        <w:rPr>
          <w:szCs w:val="22"/>
        </w:rPr>
        <w:t xml:space="preserve"> and the clinical place for the FDC was not established in the submission.</w:t>
      </w:r>
    </w:p>
    <w:p w:rsidR="00CB7A36" w:rsidRDefault="00CB7A36" w:rsidP="00CB7A36">
      <w:pPr>
        <w:pStyle w:val="ListParagraph"/>
        <w:widowControl/>
        <w:rPr>
          <w:szCs w:val="22"/>
        </w:rPr>
      </w:pPr>
    </w:p>
    <w:p w:rsidR="00CB7A36" w:rsidRPr="00390AAD" w:rsidRDefault="00CB7A36" w:rsidP="00390AAD">
      <w:pPr>
        <w:pStyle w:val="ListParagraph"/>
        <w:widowControl/>
        <w:numPr>
          <w:ilvl w:val="1"/>
          <w:numId w:val="4"/>
        </w:numPr>
        <w:rPr>
          <w:szCs w:val="22"/>
        </w:rPr>
      </w:pPr>
      <w:r>
        <w:rPr>
          <w:szCs w:val="22"/>
        </w:rPr>
        <w:t>The PBAC considered that the proposed restriction for NEPA that mirrors the restriction of aprepitant was</w:t>
      </w:r>
      <w:r w:rsidR="005504CA">
        <w:rPr>
          <w:szCs w:val="22"/>
        </w:rPr>
        <w:t xml:space="preserve"> not necessarily in</w:t>
      </w:r>
      <w:r>
        <w:rPr>
          <w:szCs w:val="22"/>
        </w:rPr>
        <w:t xml:space="preserve">appropriate.  </w:t>
      </w:r>
      <w:r w:rsidR="00390AAD">
        <w:rPr>
          <w:szCs w:val="22"/>
        </w:rPr>
        <w:t xml:space="preserve">However, the PBAC noted that guidelines </w:t>
      </w:r>
      <w:r w:rsidR="00207B8B">
        <w:rPr>
          <w:szCs w:val="22"/>
        </w:rPr>
        <w:t xml:space="preserve">for managing </w:t>
      </w:r>
      <w:r w:rsidR="00390AAD">
        <w:rPr>
          <w:szCs w:val="22"/>
        </w:rPr>
        <w:t xml:space="preserve">emesis risk </w:t>
      </w:r>
      <w:r w:rsidR="00224D58">
        <w:rPr>
          <w:szCs w:val="22"/>
        </w:rPr>
        <w:t>have changed</w:t>
      </w:r>
      <w:r w:rsidR="007E2118">
        <w:rPr>
          <w:szCs w:val="22"/>
        </w:rPr>
        <w:t>,</w:t>
      </w:r>
      <w:r w:rsidR="00390AAD">
        <w:rPr>
          <w:szCs w:val="22"/>
        </w:rPr>
        <w:t xml:space="preserve"> meaning that any </w:t>
      </w:r>
      <w:r w:rsidR="00390AAD">
        <w:rPr>
          <w:szCs w:val="22"/>
        </w:rPr>
        <w:lastRenderedPageBreak/>
        <w:t xml:space="preserve">restriction for antiemetic therapy based </w:t>
      </w:r>
      <w:r w:rsidR="00207B8B">
        <w:rPr>
          <w:szCs w:val="22"/>
        </w:rPr>
        <w:t>on</w:t>
      </w:r>
      <w:r w:rsidR="00390AAD">
        <w:rPr>
          <w:szCs w:val="22"/>
        </w:rPr>
        <w:t xml:space="preserve"> the emesis risk of specific chemotherapy agents, such as that proposed for NEPA, </w:t>
      </w:r>
      <w:r w:rsidR="005504CA">
        <w:rPr>
          <w:szCs w:val="22"/>
        </w:rPr>
        <w:t>may become</w:t>
      </w:r>
      <w:r w:rsidR="00390AAD">
        <w:rPr>
          <w:szCs w:val="22"/>
        </w:rPr>
        <w:t xml:space="preserve"> outdated. </w:t>
      </w:r>
    </w:p>
    <w:p w:rsidR="00980F51" w:rsidRDefault="00980F51" w:rsidP="00980F51">
      <w:pPr>
        <w:pStyle w:val="ListParagraph"/>
        <w:widowControl/>
        <w:rPr>
          <w:szCs w:val="22"/>
        </w:rPr>
      </w:pPr>
    </w:p>
    <w:p w:rsidR="00DA55F4" w:rsidRDefault="00980F51" w:rsidP="00DA55F4">
      <w:pPr>
        <w:pStyle w:val="ListParagraph"/>
        <w:widowControl/>
        <w:numPr>
          <w:ilvl w:val="1"/>
          <w:numId w:val="4"/>
        </w:numPr>
        <w:rPr>
          <w:szCs w:val="22"/>
        </w:rPr>
      </w:pPr>
      <w:r w:rsidRPr="00821417">
        <w:rPr>
          <w:szCs w:val="22"/>
        </w:rPr>
        <w:t xml:space="preserve">The PBAC noted that the TGA </w:t>
      </w:r>
      <w:r w:rsidR="00AC6ED4">
        <w:rPr>
          <w:szCs w:val="22"/>
        </w:rPr>
        <w:t>D</w:t>
      </w:r>
      <w:r w:rsidRPr="00821417">
        <w:rPr>
          <w:szCs w:val="22"/>
        </w:rPr>
        <w:t>elegate was unable to make a recommendation as to whether NEPA shoul</w:t>
      </w:r>
      <w:r w:rsidR="00DF2300" w:rsidRPr="00821417">
        <w:rPr>
          <w:szCs w:val="22"/>
        </w:rPr>
        <w:t>d be approved for registration</w:t>
      </w:r>
      <w:r w:rsidR="00821417" w:rsidRPr="00821417">
        <w:rPr>
          <w:szCs w:val="22"/>
        </w:rPr>
        <w:t xml:space="preserve"> due to a lack of evidence for patients scheduled to receive moderately emetogenic chemotherapy and an unknown benefit/risk balance. </w:t>
      </w:r>
    </w:p>
    <w:p w:rsidR="00821417" w:rsidRPr="00821417" w:rsidRDefault="00821417" w:rsidP="00821417">
      <w:pPr>
        <w:widowControl/>
        <w:rPr>
          <w:szCs w:val="22"/>
        </w:rPr>
      </w:pPr>
    </w:p>
    <w:p w:rsidR="007E2118" w:rsidRDefault="00F8117E" w:rsidP="007E2118">
      <w:pPr>
        <w:pStyle w:val="ListParagraph"/>
        <w:widowControl/>
        <w:numPr>
          <w:ilvl w:val="1"/>
          <w:numId w:val="4"/>
        </w:numPr>
        <w:rPr>
          <w:szCs w:val="22"/>
        </w:rPr>
      </w:pPr>
      <w:r>
        <w:rPr>
          <w:szCs w:val="22"/>
        </w:rPr>
        <w:t xml:space="preserve">The PBAC </w:t>
      </w:r>
      <w:r w:rsidR="00224D58">
        <w:rPr>
          <w:szCs w:val="22"/>
        </w:rPr>
        <w:t xml:space="preserve">was concerned </w:t>
      </w:r>
      <w:r>
        <w:rPr>
          <w:szCs w:val="22"/>
        </w:rPr>
        <w:t xml:space="preserve">that the Fixed Dose Combination guidelines were not </w:t>
      </w:r>
      <w:r w:rsidR="005504CA">
        <w:rPr>
          <w:szCs w:val="22"/>
        </w:rPr>
        <w:t>addressed in</w:t>
      </w:r>
      <w:r>
        <w:rPr>
          <w:szCs w:val="22"/>
        </w:rPr>
        <w:t xml:space="preserve"> the submission</w:t>
      </w:r>
      <w:r w:rsidR="005504CA">
        <w:rPr>
          <w:szCs w:val="22"/>
        </w:rPr>
        <w:t xml:space="preserve">. The clinical need for a combination product was unclear. The guidelines express the preference for </w:t>
      </w:r>
      <w:r w:rsidR="00DF2300">
        <w:rPr>
          <w:szCs w:val="22"/>
        </w:rPr>
        <w:t>components</w:t>
      </w:r>
      <w:r w:rsidR="005504CA">
        <w:rPr>
          <w:szCs w:val="22"/>
        </w:rPr>
        <w:t xml:space="preserve"> to be individually listed on the PBS, as well as avoiding unnecessary proliferation of products or dose forms. </w:t>
      </w:r>
    </w:p>
    <w:p w:rsidR="00F8117E" w:rsidRPr="00DF2300" w:rsidRDefault="00F8117E" w:rsidP="007E2118">
      <w:pPr>
        <w:pStyle w:val="ListParagraph"/>
        <w:widowControl/>
        <w:rPr>
          <w:szCs w:val="22"/>
        </w:rPr>
      </w:pPr>
    </w:p>
    <w:p w:rsidR="00DA55F4" w:rsidRDefault="00641CD1" w:rsidP="00DA55F4">
      <w:pPr>
        <w:pStyle w:val="ListParagraph"/>
        <w:widowControl/>
        <w:numPr>
          <w:ilvl w:val="1"/>
          <w:numId w:val="4"/>
        </w:numPr>
        <w:rPr>
          <w:szCs w:val="22"/>
        </w:rPr>
      </w:pPr>
      <w:r w:rsidRPr="00DA55F4">
        <w:rPr>
          <w:szCs w:val="22"/>
        </w:rPr>
        <w:t xml:space="preserve">The PBAC considered that </w:t>
      </w:r>
      <w:r w:rsidR="0051771D">
        <w:rPr>
          <w:szCs w:val="22"/>
        </w:rPr>
        <w:t>aprepitant with a 5-HT</w:t>
      </w:r>
      <w:r w:rsidR="0051771D" w:rsidRPr="0051771D">
        <w:rPr>
          <w:szCs w:val="22"/>
          <w:vertAlign w:val="subscript"/>
        </w:rPr>
        <w:t>3</w:t>
      </w:r>
      <w:r w:rsidR="0051771D">
        <w:rPr>
          <w:szCs w:val="22"/>
        </w:rPr>
        <w:t xml:space="preserve"> RA</w:t>
      </w:r>
      <w:r w:rsidRPr="00DA55F4">
        <w:rPr>
          <w:szCs w:val="22"/>
        </w:rPr>
        <w:t xml:space="preserve"> </w:t>
      </w:r>
      <w:r w:rsidR="0051771D">
        <w:rPr>
          <w:szCs w:val="22"/>
        </w:rPr>
        <w:t xml:space="preserve">is the appropriate comparator for patients due to receive highly emetogenic chemotherapy and patients with breast cancer who are due to receive anthracycline plus cyclophosphamide. However, the PBAC considered that the </w:t>
      </w:r>
      <w:r w:rsidR="00207B8B">
        <w:rPr>
          <w:szCs w:val="22"/>
        </w:rPr>
        <w:t xml:space="preserve">same </w:t>
      </w:r>
      <w:r w:rsidRPr="00DA55F4">
        <w:rPr>
          <w:szCs w:val="22"/>
        </w:rPr>
        <w:t>comparator</w:t>
      </w:r>
      <w:r w:rsidR="0051771D">
        <w:rPr>
          <w:szCs w:val="22"/>
        </w:rPr>
        <w:t xml:space="preserve"> </w:t>
      </w:r>
      <w:r w:rsidRPr="00DA55F4">
        <w:rPr>
          <w:szCs w:val="22"/>
        </w:rPr>
        <w:t>may not be appropriate</w:t>
      </w:r>
      <w:r w:rsidR="0051771D">
        <w:rPr>
          <w:szCs w:val="22"/>
        </w:rPr>
        <w:t xml:space="preserve"> </w:t>
      </w:r>
      <w:r w:rsidRPr="00DA55F4">
        <w:rPr>
          <w:szCs w:val="22"/>
        </w:rPr>
        <w:t xml:space="preserve">in the population of patients </w:t>
      </w:r>
      <w:r w:rsidR="00821417">
        <w:rPr>
          <w:szCs w:val="22"/>
        </w:rPr>
        <w:t>scheduled</w:t>
      </w:r>
      <w:r w:rsidRPr="00DA55F4">
        <w:rPr>
          <w:szCs w:val="22"/>
        </w:rPr>
        <w:t xml:space="preserve"> to receive moderately emetogenic chemotherapy as it was considered that the majority of </w:t>
      </w:r>
      <w:r w:rsidR="00207B8B">
        <w:rPr>
          <w:szCs w:val="22"/>
        </w:rPr>
        <w:t xml:space="preserve">these </w:t>
      </w:r>
      <w:r w:rsidRPr="00DA55F4">
        <w:rPr>
          <w:szCs w:val="22"/>
        </w:rPr>
        <w:t xml:space="preserve">patients </w:t>
      </w:r>
      <w:r w:rsidR="005504CA">
        <w:rPr>
          <w:szCs w:val="22"/>
        </w:rPr>
        <w:t>may be</w:t>
      </w:r>
      <w:r w:rsidRPr="00DA55F4">
        <w:rPr>
          <w:szCs w:val="22"/>
        </w:rPr>
        <w:t xml:space="preserve"> effectively treated with </w:t>
      </w:r>
      <w:r w:rsidR="00EB2C2F">
        <w:rPr>
          <w:szCs w:val="22"/>
        </w:rPr>
        <w:t>aprepitant with dexamethasone</w:t>
      </w:r>
      <w:r w:rsidR="00DA55F4" w:rsidRPr="00DA55F4">
        <w:rPr>
          <w:szCs w:val="22"/>
        </w:rPr>
        <w:t xml:space="preserve">. </w:t>
      </w:r>
    </w:p>
    <w:p w:rsidR="00565501" w:rsidRPr="00390AAD" w:rsidRDefault="00565501" w:rsidP="00390AAD">
      <w:pPr>
        <w:rPr>
          <w:szCs w:val="22"/>
        </w:rPr>
      </w:pPr>
    </w:p>
    <w:p w:rsidR="00565501" w:rsidRPr="00DA55F4" w:rsidRDefault="00565501" w:rsidP="00DA55F4">
      <w:pPr>
        <w:pStyle w:val="ListParagraph"/>
        <w:widowControl/>
        <w:numPr>
          <w:ilvl w:val="1"/>
          <w:numId w:val="4"/>
        </w:numPr>
        <w:rPr>
          <w:szCs w:val="22"/>
        </w:rPr>
      </w:pPr>
      <w:r>
        <w:rPr>
          <w:szCs w:val="22"/>
        </w:rPr>
        <w:t>The PBAC considered that despite the wide confidence intervals, the clinical claim</w:t>
      </w:r>
      <w:r w:rsidR="001B3109">
        <w:rPr>
          <w:szCs w:val="22"/>
        </w:rPr>
        <w:t xml:space="preserve"> that NEPA is non-inferior to aprepitant </w:t>
      </w:r>
      <w:r w:rsidR="00390AAD">
        <w:rPr>
          <w:szCs w:val="22"/>
        </w:rPr>
        <w:t>in combination with a</w:t>
      </w:r>
      <w:r w:rsidR="001B3109">
        <w:rPr>
          <w:szCs w:val="22"/>
        </w:rPr>
        <w:t xml:space="preserve"> 5</w:t>
      </w:r>
      <w:r w:rsidR="00AC6ED4">
        <w:rPr>
          <w:szCs w:val="22"/>
        </w:rPr>
        <w:t>-</w:t>
      </w:r>
      <w:r w:rsidR="001B3109">
        <w:rPr>
          <w:szCs w:val="22"/>
        </w:rPr>
        <w:t>HT</w:t>
      </w:r>
      <w:r w:rsidR="001B3109" w:rsidRPr="001B3109">
        <w:rPr>
          <w:szCs w:val="22"/>
          <w:vertAlign w:val="subscript"/>
        </w:rPr>
        <w:t>3</w:t>
      </w:r>
      <w:r w:rsidR="001B3109">
        <w:rPr>
          <w:szCs w:val="22"/>
        </w:rPr>
        <w:t xml:space="preserve"> </w:t>
      </w:r>
      <w:r w:rsidR="00980F51">
        <w:rPr>
          <w:szCs w:val="22"/>
        </w:rPr>
        <w:t>r</w:t>
      </w:r>
      <w:r w:rsidR="00390AAD">
        <w:rPr>
          <w:szCs w:val="22"/>
        </w:rPr>
        <w:t>eceptor antagonist</w:t>
      </w:r>
      <w:r w:rsidR="001B3109">
        <w:rPr>
          <w:szCs w:val="22"/>
        </w:rPr>
        <w:t xml:space="preserve"> </w:t>
      </w:r>
      <w:r>
        <w:rPr>
          <w:szCs w:val="22"/>
        </w:rPr>
        <w:t>is reasonably well supported for patients due to receive highly</w:t>
      </w:r>
      <w:r w:rsidR="001B3109">
        <w:rPr>
          <w:szCs w:val="22"/>
        </w:rPr>
        <w:t xml:space="preserve"> emetogenic chemotherapy and in breast cancer patients due to receive anthracycline with cyclophosphamide</w:t>
      </w:r>
      <w:r w:rsidR="00133260">
        <w:rPr>
          <w:szCs w:val="22"/>
        </w:rPr>
        <w:t>.</w:t>
      </w:r>
      <w:r w:rsidR="001B3109">
        <w:rPr>
          <w:szCs w:val="22"/>
        </w:rPr>
        <w:t xml:space="preserve"> </w:t>
      </w:r>
      <w:r w:rsidR="00133260">
        <w:rPr>
          <w:szCs w:val="22"/>
        </w:rPr>
        <w:t>H</w:t>
      </w:r>
      <w:r>
        <w:rPr>
          <w:szCs w:val="22"/>
        </w:rPr>
        <w:t>owever</w:t>
      </w:r>
      <w:r w:rsidR="00133260">
        <w:rPr>
          <w:szCs w:val="22"/>
        </w:rPr>
        <w:t>,</w:t>
      </w:r>
      <w:r>
        <w:rPr>
          <w:szCs w:val="22"/>
        </w:rPr>
        <w:t xml:space="preserve"> the clinical claim </w:t>
      </w:r>
      <w:r w:rsidR="00207B8B">
        <w:rPr>
          <w:szCs w:val="22"/>
        </w:rPr>
        <w:t>wa</w:t>
      </w:r>
      <w:r>
        <w:rPr>
          <w:szCs w:val="22"/>
        </w:rPr>
        <w:t>s poorly supported for the</w:t>
      </w:r>
      <w:r w:rsidR="005432F9">
        <w:rPr>
          <w:szCs w:val="22"/>
        </w:rPr>
        <w:t xml:space="preserve"> patients </w:t>
      </w:r>
      <w:r w:rsidR="00AA7A5B">
        <w:rPr>
          <w:szCs w:val="22"/>
        </w:rPr>
        <w:t xml:space="preserve">due to receive </w:t>
      </w:r>
      <w:r>
        <w:rPr>
          <w:szCs w:val="22"/>
        </w:rPr>
        <w:t>moderately emet</w:t>
      </w:r>
      <w:r w:rsidR="00AA7A5B">
        <w:rPr>
          <w:szCs w:val="22"/>
        </w:rPr>
        <w:t>ogenic chemotherapy</w:t>
      </w:r>
      <w:r w:rsidR="0039739E">
        <w:rPr>
          <w:szCs w:val="22"/>
        </w:rPr>
        <w:t xml:space="preserve"> as no clinical evidence was provided </w:t>
      </w:r>
      <w:r w:rsidR="00B903BA">
        <w:rPr>
          <w:szCs w:val="22"/>
        </w:rPr>
        <w:t>in patients who had experienced a previous event of chemotherapy induced nausea/vomiting</w:t>
      </w:r>
      <w:r w:rsidR="005432F9">
        <w:rPr>
          <w:szCs w:val="22"/>
        </w:rPr>
        <w:t>.</w:t>
      </w:r>
      <w:r w:rsidR="00133260">
        <w:rPr>
          <w:szCs w:val="22"/>
        </w:rPr>
        <w:t xml:space="preserve"> The PBAC </w:t>
      </w:r>
      <w:r w:rsidR="00F375AB">
        <w:rPr>
          <w:szCs w:val="22"/>
        </w:rPr>
        <w:t xml:space="preserve">remained concerned about potential for use in patients undergoing MEC </w:t>
      </w:r>
      <w:r w:rsidR="00C5031C">
        <w:rPr>
          <w:szCs w:val="22"/>
        </w:rPr>
        <w:t>who do not have</w:t>
      </w:r>
      <w:r w:rsidR="00F375AB">
        <w:rPr>
          <w:szCs w:val="22"/>
        </w:rPr>
        <w:t xml:space="preserve"> refractory CINV</w:t>
      </w:r>
      <w:r w:rsidR="00B903BA">
        <w:rPr>
          <w:szCs w:val="22"/>
        </w:rPr>
        <w:t>.</w:t>
      </w:r>
    </w:p>
    <w:p w:rsidR="00DA55F4" w:rsidRPr="00DA55F4" w:rsidRDefault="00DA55F4" w:rsidP="00DA55F4">
      <w:pPr>
        <w:pStyle w:val="ListParagraph"/>
        <w:rPr>
          <w:szCs w:val="22"/>
        </w:rPr>
      </w:pPr>
    </w:p>
    <w:p w:rsidR="00DA55F4" w:rsidRDefault="00DA55F4" w:rsidP="00F8117E">
      <w:pPr>
        <w:pStyle w:val="ListParagraph"/>
        <w:widowControl/>
        <w:numPr>
          <w:ilvl w:val="1"/>
          <w:numId w:val="4"/>
        </w:numPr>
        <w:rPr>
          <w:szCs w:val="22"/>
        </w:rPr>
      </w:pPr>
      <w:r>
        <w:rPr>
          <w:szCs w:val="22"/>
        </w:rPr>
        <w:t xml:space="preserve">The PBAC noted that the economic evaluation presented is not a cost-minimisation analysis but rather a cost comparison. </w:t>
      </w:r>
    </w:p>
    <w:p w:rsidR="001B3109" w:rsidRPr="001B3109" w:rsidRDefault="001B3109" w:rsidP="001B3109">
      <w:pPr>
        <w:pStyle w:val="ListParagraph"/>
        <w:rPr>
          <w:szCs w:val="22"/>
        </w:rPr>
      </w:pPr>
    </w:p>
    <w:p w:rsidR="001B3109" w:rsidRDefault="001B3109" w:rsidP="007232A7">
      <w:pPr>
        <w:pStyle w:val="ListParagraph"/>
        <w:widowControl/>
        <w:numPr>
          <w:ilvl w:val="1"/>
          <w:numId w:val="4"/>
        </w:numPr>
        <w:rPr>
          <w:szCs w:val="22"/>
        </w:rPr>
      </w:pPr>
      <w:r>
        <w:rPr>
          <w:szCs w:val="22"/>
        </w:rPr>
        <w:t xml:space="preserve">The PBAC </w:t>
      </w:r>
      <w:r w:rsidR="007232A7">
        <w:rPr>
          <w:szCs w:val="22"/>
        </w:rPr>
        <w:t>not</w:t>
      </w:r>
      <w:r>
        <w:rPr>
          <w:szCs w:val="22"/>
        </w:rPr>
        <w:t xml:space="preserve">ed the equi-effective doses as proposed in the evaluation. </w:t>
      </w:r>
      <w:r w:rsidR="007232A7">
        <w:rPr>
          <w:szCs w:val="22"/>
        </w:rPr>
        <w:t xml:space="preserve">The PBAC considered in the absence of the single components of the FDC being available on the PBS, the pricing of the FDC would be difficult to establish. </w:t>
      </w:r>
      <w:r w:rsidR="00207B8B">
        <w:rPr>
          <w:szCs w:val="22"/>
        </w:rPr>
        <w:t>T</w:t>
      </w:r>
      <w:r w:rsidR="007232A7">
        <w:rPr>
          <w:szCs w:val="22"/>
        </w:rPr>
        <w:t xml:space="preserve">he </w:t>
      </w:r>
      <w:r w:rsidR="0084127B">
        <w:rPr>
          <w:szCs w:val="22"/>
        </w:rPr>
        <w:t>clinical evidence w</w:t>
      </w:r>
      <w:r w:rsidR="00207B8B">
        <w:rPr>
          <w:szCs w:val="22"/>
        </w:rPr>
        <w:t>as</w:t>
      </w:r>
      <w:r w:rsidR="007232A7" w:rsidRPr="007232A7">
        <w:rPr>
          <w:szCs w:val="22"/>
        </w:rPr>
        <w:t xml:space="preserve"> </w:t>
      </w:r>
      <w:r w:rsidR="007232A7">
        <w:rPr>
          <w:szCs w:val="22"/>
        </w:rPr>
        <w:t xml:space="preserve">not </w:t>
      </w:r>
      <w:r w:rsidR="007232A7" w:rsidRPr="007232A7">
        <w:rPr>
          <w:szCs w:val="22"/>
        </w:rPr>
        <w:t xml:space="preserve">sufficiently robust to </w:t>
      </w:r>
      <w:r w:rsidR="00207B8B">
        <w:rPr>
          <w:szCs w:val="22"/>
        </w:rPr>
        <w:t xml:space="preserve">be used as </w:t>
      </w:r>
      <w:r w:rsidR="007232A7" w:rsidRPr="007232A7">
        <w:rPr>
          <w:szCs w:val="22"/>
        </w:rPr>
        <w:t xml:space="preserve">the basis for a </w:t>
      </w:r>
      <w:r w:rsidR="007232A7">
        <w:rPr>
          <w:szCs w:val="22"/>
        </w:rPr>
        <w:t xml:space="preserve">cost-minimisation analysis, particularly </w:t>
      </w:r>
      <w:r w:rsidR="007232A7" w:rsidRPr="007232A7">
        <w:rPr>
          <w:szCs w:val="22"/>
        </w:rPr>
        <w:t>for the patients due to receive moderately emetogenic chemotherapy</w:t>
      </w:r>
      <w:r w:rsidR="007232A7">
        <w:rPr>
          <w:szCs w:val="22"/>
        </w:rPr>
        <w:t>.</w:t>
      </w:r>
    </w:p>
    <w:p w:rsidR="00565501" w:rsidRPr="00565501" w:rsidRDefault="00565501" w:rsidP="00565501">
      <w:pPr>
        <w:pStyle w:val="ListParagraph"/>
        <w:rPr>
          <w:szCs w:val="22"/>
        </w:rPr>
      </w:pPr>
    </w:p>
    <w:p w:rsidR="00565501" w:rsidRDefault="00565501" w:rsidP="00F8117E">
      <w:pPr>
        <w:pStyle w:val="ListParagraph"/>
        <w:widowControl/>
        <w:numPr>
          <w:ilvl w:val="1"/>
          <w:numId w:val="4"/>
        </w:numPr>
        <w:rPr>
          <w:szCs w:val="22"/>
        </w:rPr>
      </w:pPr>
      <w:r>
        <w:rPr>
          <w:szCs w:val="22"/>
        </w:rPr>
        <w:t xml:space="preserve">The PBAC </w:t>
      </w:r>
      <w:r w:rsidR="000534EB">
        <w:rPr>
          <w:szCs w:val="22"/>
        </w:rPr>
        <w:t xml:space="preserve">noted the Pre-PBAC response with regard to the market share approach for the financial estimates but </w:t>
      </w:r>
      <w:r>
        <w:rPr>
          <w:szCs w:val="22"/>
        </w:rPr>
        <w:t xml:space="preserve">agreed with the </w:t>
      </w:r>
      <w:r w:rsidR="000534EB">
        <w:rPr>
          <w:szCs w:val="22"/>
        </w:rPr>
        <w:t>ESC</w:t>
      </w:r>
      <w:r>
        <w:rPr>
          <w:szCs w:val="22"/>
        </w:rPr>
        <w:t xml:space="preserve"> that the</w:t>
      </w:r>
      <w:r w:rsidR="00EB2C2F">
        <w:rPr>
          <w:szCs w:val="22"/>
        </w:rPr>
        <w:t xml:space="preserve">re </w:t>
      </w:r>
      <w:r w:rsidR="00980F51">
        <w:rPr>
          <w:szCs w:val="22"/>
        </w:rPr>
        <w:t>was a</w:t>
      </w:r>
      <w:r w:rsidR="00EB2C2F">
        <w:rPr>
          <w:szCs w:val="22"/>
        </w:rPr>
        <w:t xml:space="preserve"> risk </w:t>
      </w:r>
      <w:r w:rsidR="00980F51">
        <w:rPr>
          <w:szCs w:val="22"/>
        </w:rPr>
        <w:t>of</w:t>
      </w:r>
      <w:r w:rsidR="00EB2C2F">
        <w:rPr>
          <w:szCs w:val="22"/>
        </w:rPr>
        <w:t xml:space="preserve"> leakage into populations where combination therapy may not be required, and therefore any savings calculated</w:t>
      </w:r>
      <w:r w:rsidR="00980F51">
        <w:rPr>
          <w:szCs w:val="22"/>
        </w:rPr>
        <w:t xml:space="preserve"> by the submission</w:t>
      </w:r>
      <w:r w:rsidR="00EB2C2F">
        <w:rPr>
          <w:szCs w:val="22"/>
        </w:rPr>
        <w:t xml:space="preserve"> may not be realised. </w:t>
      </w:r>
    </w:p>
    <w:p w:rsidR="00F8117E" w:rsidRDefault="00F8117E" w:rsidP="00F8117E">
      <w:pPr>
        <w:pStyle w:val="PBACHeading1"/>
        <w:numPr>
          <w:ilvl w:val="0"/>
          <w:numId w:val="0"/>
        </w:numPr>
        <w:ind w:left="720"/>
      </w:pPr>
    </w:p>
    <w:p w:rsidR="005677AF" w:rsidRDefault="005677AF" w:rsidP="00EB2C2F">
      <w:pPr>
        <w:pStyle w:val="ListParagraph"/>
        <w:widowControl/>
        <w:numPr>
          <w:ilvl w:val="1"/>
          <w:numId w:val="4"/>
        </w:numPr>
        <w:rPr>
          <w:bCs/>
          <w:i/>
          <w:szCs w:val="22"/>
        </w:rPr>
      </w:pPr>
      <w:r>
        <w:rPr>
          <w:szCs w:val="22"/>
        </w:rPr>
        <w:t>The PBAC noted that this submission is</w:t>
      </w:r>
      <w:r w:rsidR="00EB2C2F">
        <w:rPr>
          <w:szCs w:val="22"/>
        </w:rPr>
        <w:t xml:space="preserve"> </w:t>
      </w:r>
      <w:r w:rsidRPr="00882085">
        <w:rPr>
          <w:szCs w:val="22"/>
        </w:rPr>
        <w:t>eligibl</w:t>
      </w:r>
      <w:r>
        <w:rPr>
          <w:szCs w:val="22"/>
        </w:rPr>
        <w:t>e</w:t>
      </w:r>
      <w:r w:rsidRPr="00882085">
        <w:rPr>
          <w:szCs w:val="22"/>
        </w:rPr>
        <w:t xml:space="preserve"> for </w:t>
      </w:r>
      <w:r>
        <w:rPr>
          <w:szCs w:val="22"/>
        </w:rPr>
        <w:t xml:space="preserve">an </w:t>
      </w:r>
      <w:r w:rsidRPr="00882085">
        <w:rPr>
          <w:szCs w:val="22"/>
        </w:rPr>
        <w:t>Independent Review.</w:t>
      </w:r>
      <w:r>
        <w:rPr>
          <w:szCs w:val="22"/>
        </w:rPr>
        <w:t xml:space="preserve"> </w:t>
      </w:r>
    </w:p>
    <w:p w:rsidR="005677AF" w:rsidRPr="00882085" w:rsidRDefault="005677AF" w:rsidP="005677AF">
      <w:pPr>
        <w:rPr>
          <w:szCs w:val="22"/>
        </w:rPr>
      </w:pPr>
    </w:p>
    <w:p w:rsidR="005677AF" w:rsidRPr="00882085" w:rsidRDefault="005677AF" w:rsidP="005677AF">
      <w:pPr>
        <w:rPr>
          <w:b/>
          <w:szCs w:val="22"/>
        </w:rPr>
      </w:pPr>
      <w:r w:rsidRPr="00882085">
        <w:rPr>
          <w:b/>
          <w:szCs w:val="22"/>
        </w:rPr>
        <w:t>Outcome:</w:t>
      </w:r>
    </w:p>
    <w:p w:rsidR="00EB2C2F" w:rsidRDefault="005677AF" w:rsidP="005677AF">
      <w:pPr>
        <w:rPr>
          <w:szCs w:val="22"/>
        </w:rPr>
      </w:pPr>
      <w:r w:rsidRPr="00882085">
        <w:rPr>
          <w:szCs w:val="22"/>
        </w:rPr>
        <w:t xml:space="preserve">Rejected </w:t>
      </w:r>
    </w:p>
    <w:p w:rsidR="00356CB1" w:rsidRPr="00C45157" w:rsidRDefault="00356CB1" w:rsidP="001C33BF">
      <w:pPr>
        <w:pStyle w:val="PBACHeading1"/>
        <w:rPr>
          <w:snapToGrid/>
        </w:rPr>
      </w:pPr>
      <w:r w:rsidRPr="00C45157">
        <w:rPr>
          <w:snapToGrid/>
        </w:rPr>
        <w:lastRenderedPageBreak/>
        <w:t>Context for Decision</w:t>
      </w:r>
    </w:p>
    <w:p w:rsidR="00356CB1" w:rsidRPr="00C45157" w:rsidRDefault="00356CB1" w:rsidP="00356CB1">
      <w:pPr>
        <w:widowControl/>
        <w:ind w:left="720"/>
        <w:contextualSpacing/>
        <w:jc w:val="left"/>
        <w:rPr>
          <w:rFonts w:ascii="Times New Roman" w:hAnsi="Times New Roman" w:cs="Times New Roman"/>
          <w:b/>
          <w:snapToGrid/>
          <w:sz w:val="24"/>
          <w:szCs w:val="24"/>
          <w:lang w:eastAsia="en-AU"/>
        </w:rPr>
      </w:pPr>
    </w:p>
    <w:p w:rsidR="00356CB1" w:rsidRPr="00C45157" w:rsidRDefault="00356CB1" w:rsidP="00356CB1">
      <w:pPr>
        <w:widowControl/>
        <w:ind w:left="720"/>
        <w:jc w:val="left"/>
        <w:rPr>
          <w:bCs/>
          <w:szCs w:val="22"/>
          <w:lang w:eastAsia="en-AU"/>
        </w:rPr>
      </w:pPr>
      <w:r w:rsidRPr="00C45157">
        <w:rPr>
          <w:bCs/>
          <w:szCs w:val="22"/>
          <w:lang w:eastAsia="en-AU"/>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56CB1" w:rsidRPr="00C45157" w:rsidRDefault="00356CB1" w:rsidP="00356CB1">
      <w:pPr>
        <w:widowControl/>
        <w:jc w:val="left"/>
        <w:rPr>
          <w:rFonts w:ascii="Times New Roman" w:hAnsi="Times New Roman" w:cs="Times New Roman"/>
          <w:snapToGrid/>
          <w:sz w:val="24"/>
          <w:szCs w:val="24"/>
          <w:lang w:eastAsia="en-AU"/>
        </w:rPr>
      </w:pPr>
    </w:p>
    <w:p w:rsidR="00356CB1" w:rsidRPr="00C45157" w:rsidRDefault="00356CB1" w:rsidP="001C33BF">
      <w:pPr>
        <w:pStyle w:val="PBACHeading1"/>
        <w:rPr>
          <w:snapToGrid/>
        </w:rPr>
      </w:pPr>
      <w:r w:rsidRPr="00C45157">
        <w:rPr>
          <w:snapToGrid/>
        </w:rPr>
        <w:t>Sponsor’s Comment</w:t>
      </w:r>
    </w:p>
    <w:p w:rsidR="00356CB1" w:rsidRPr="00C45157" w:rsidRDefault="00356CB1" w:rsidP="00356CB1">
      <w:pPr>
        <w:widowControl/>
        <w:rPr>
          <w:rFonts w:cs="Times New Roman"/>
          <w:snapToGrid/>
          <w:szCs w:val="22"/>
          <w:lang w:eastAsia="en-AU"/>
        </w:rPr>
      </w:pPr>
    </w:p>
    <w:p w:rsidR="00356CB1" w:rsidRPr="00605238" w:rsidRDefault="00605238" w:rsidP="00605238">
      <w:pPr>
        <w:pStyle w:val="PBACHeading1"/>
        <w:numPr>
          <w:ilvl w:val="0"/>
          <w:numId w:val="0"/>
        </w:numPr>
        <w:ind w:firstLine="720"/>
        <w:jc w:val="both"/>
        <w:outlineLvl w:val="0"/>
        <w:rPr>
          <w:b w:val="0"/>
        </w:rPr>
      </w:pPr>
      <w:r w:rsidRPr="00605238">
        <w:rPr>
          <w:b w:val="0"/>
        </w:rPr>
        <w:t xml:space="preserve">The Sponsor had no comment. </w:t>
      </w:r>
    </w:p>
    <w:sectPr w:rsidR="00356CB1" w:rsidRPr="00605238" w:rsidSect="00AE3121">
      <w:headerReference w:type="default" r:id="rId11"/>
      <w:footerReference w:type="default" r:id="rId12"/>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AF841A4" w15:done="0"/>
  <w15:commentEx w15:paraId="57D2A37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9A9" w:rsidRDefault="00C349A9" w:rsidP="00124A51">
      <w:r>
        <w:separator/>
      </w:r>
    </w:p>
  </w:endnote>
  <w:endnote w:type="continuationSeparator" w:id="0">
    <w:p w:rsidR="00C349A9" w:rsidRDefault="00C349A9"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1725750"/>
      <w:docPartObj>
        <w:docPartGallery w:val="Page Numbers (Bottom of Page)"/>
        <w:docPartUnique/>
      </w:docPartObj>
    </w:sdtPr>
    <w:sdtEndPr>
      <w:rPr>
        <w:noProof/>
      </w:rPr>
    </w:sdtEndPr>
    <w:sdtContent>
      <w:p w:rsidR="002638F0" w:rsidRDefault="002638F0" w:rsidP="00C55F7F">
        <w:pPr>
          <w:pStyle w:val="Footer"/>
          <w:jc w:val="center"/>
        </w:pPr>
        <w:r>
          <w:fldChar w:fldCharType="begin"/>
        </w:r>
        <w:r>
          <w:instrText xml:space="preserve"> PAGE   \* MERGEFORMAT </w:instrText>
        </w:r>
        <w:r>
          <w:fldChar w:fldCharType="separate"/>
        </w:r>
        <w:r w:rsidR="00C349A9">
          <w:rPr>
            <w:noProof/>
          </w:rPr>
          <w:t>2</w:t>
        </w:r>
        <w:r>
          <w:rPr>
            <w:noProof/>
          </w:rPr>
          <w:fldChar w:fldCharType="end"/>
        </w:r>
      </w:p>
    </w:sdtContent>
  </w:sdt>
  <w:p w:rsidR="002638F0" w:rsidRDefault="002638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9A9" w:rsidRDefault="00C349A9" w:rsidP="00124A51">
      <w:r>
        <w:separator/>
      </w:r>
    </w:p>
  </w:footnote>
  <w:footnote w:type="continuationSeparator" w:id="0">
    <w:p w:rsidR="00C349A9" w:rsidRDefault="00C349A9"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8F0" w:rsidRPr="00DF217D" w:rsidRDefault="002638F0" w:rsidP="00C55F7F">
    <w:pPr>
      <w:pStyle w:val="Header"/>
      <w:jc w:val="center"/>
      <w:rPr>
        <w:i/>
        <w:color w:val="808080"/>
      </w:rPr>
    </w:pPr>
    <w:r>
      <w:rPr>
        <w:i/>
        <w:color w:val="808080"/>
      </w:rPr>
      <w:t xml:space="preserve">Public Summary Document </w:t>
    </w:r>
    <w:r w:rsidRPr="00DF217D">
      <w:rPr>
        <w:i/>
        <w:color w:val="808080"/>
      </w:rPr>
      <w:t>–</w:t>
    </w:r>
    <w:r>
      <w:rPr>
        <w:i/>
        <w:color w:val="808080"/>
      </w:rPr>
      <w:t xml:space="preserve"> March 2015 </w:t>
    </w:r>
    <w:r w:rsidRPr="00DF217D">
      <w:rPr>
        <w:i/>
        <w:color w:val="808080"/>
      </w:rPr>
      <w:t>PBAC</w:t>
    </w:r>
    <w:r>
      <w:rPr>
        <w:i/>
        <w:color w:val="808080"/>
      </w:rPr>
      <w:t xml:space="preserve"> </w:t>
    </w:r>
    <w:r w:rsidRPr="00DF217D">
      <w:rPr>
        <w:i/>
        <w:color w:val="808080"/>
      </w:rPr>
      <w:t>Meeting</w:t>
    </w:r>
  </w:p>
  <w:p w:rsidR="002638F0" w:rsidRPr="00DF217D" w:rsidRDefault="002638F0" w:rsidP="00C55F7F">
    <w:pPr>
      <w:pStyle w:val="Header"/>
      <w:jc w:val="center"/>
      <w:rPr>
        <w:i/>
        <w:color w:val="808080"/>
      </w:rPr>
    </w:pPr>
  </w:p>
  <w:p w:rsidR="002638F0" w:rsidRDefault="002638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C38F5"/>
    <w:multiLevelType w:val="hybridMultilevel"/>
    <w:tmpl w:val="960A693A"/>
    <w:lvl w:ilvl="0" w:tplc="0C090003">
      <w:start w:val="1"/>
      <w:numFmt w:val="bullet"/>
      <w:lvlText w:val="o"/>
      <w:lvlJc w:val="left"/>
      <w:pPr>
        <w:ind w:left="1364" w:hanging="360"/>
      </w:pPr>
      <w:rPr>
        <w:rFonts w:ascii="Courier New" w:hAnsi="Courier New" w:cs="Courier New"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1">
    <w:nsid w:val="06157852"/>
    <w:multiLevelType w:val="hybridMultilevel"/>
    <w:tmpl w:val="509AB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E3689E"/>
    <w:multiLevelType w:val="multilevel"/>
    <w:tmpl w:val="67C0CB9C"/>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9A77F8E"/>
    <w:multiLevelType w:val="hybridMultilevel"/>
    <w:tmpl w:val="979231B4"/>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E4A56BB"/>
    <w:multiLevelType w:val="hybridMultilevel"/>
    <w:tmpl w:val="37C28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00D69AE"/>
    <w:multiLevelType w:val="hybridMultilevel"/>
    <w:tmpl w:val="BEE4B3DA"/>
    <w:lvl w:ilvl="0" w:tplc="5D22481C">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13B4514"/>
    <w:multiLevelType w:val="hybridMultilevel"/>
    <w:tmpl w:val="C25E3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17E1523F"/>
    <w:multiLevelType w:val="hybridMultilevel"/>
    <w:tmpl w:val="0672A5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185B21AB"/>
    <w:multiLevelType w:val="hybridMultilevel"/>
    <w:tmpl w:val="899469DA"/>
    <w:lvl w:ilvl="0" w:tplc="E874490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8AD4F2E"/>
    <w:multiLevelType w:val="hybridMultilevel"/>
    <w:tmpl w:val="AD6CA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D4348DF"/>
    <w:multiLevelType w:val="hybridMultilevel"/>
    <w:tmpl w:val="A0182D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2">
    <w:nsid w:val="2113131C"/>
    <w:multiLevelType w:val="hybridMultilevel"/>
    <w:tmpl w:val="A00ED5B4"/>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26954CB"/>
    <w:multiLevelType w:val="hybridMultilevel"/>
    <w:tmpl w:val="55B8D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3C6186F"/>
    <w:multiLevelType w:val="hybridMultilevel"/>
    <w:tmpl w:val="37F4FFF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5A308CC"/>
    <w:multiLevelType w:val="hybridMultilevel"/>
    <w:tmpl w:val="31E6A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7AF20D0"/>
    <w:multiLevelType w:val="hybridMultilevel"/>
    <w:tmpl w:val="EF982AC0"/>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84A60CE"/>
    <w:multiLevelType w:val="hybridMultilevel"/>
    <w:tmpl w:val="ECFAC26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nsid w:val="28992D77"/>
    <w:multiLevelType w:val="hybridMultilevel"/>
    <w:tmpl w:val="BC0A7D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nsid w:val="31F1149D"/>
    <w:multiLevelType w:val="hybridMultilevel"/>
    <w:tmpl w:val="3906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68F5979"/>
    <w:multiLevelType w:val="hybridMultilevel"/>
    <w:tmpl w:val="59883F36"/>
    <w:lvl w:ilvl="0" w:tplc="FE942B3E">
      <w:start w:val="6"/>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8D33914"/>
    <w:multiLevelType w:val="hybridMultilevel"/>
    <w:tmpl w:val="C54C9124"/>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22">
    <w:nsid w:val="38EB46D9"/>
    <w:multiLevelType w:val="hybridMultilevel"/>
    <w:tmpl w:val="599AF79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3B7C34E2"/>
    <w:multiLevelType w:val="hybridMultilevel"/>
    <w:tmpl w:val="A4467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nsid w:val="3B7F2D92"/>
    <w:multiLevelType w:val="hybridMultilevel"/>
    <w:tmpl w:val="F5A0C5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nsid w:val="3DA75F53"/>
    <w:multiLevelType w:val="hybridMultilevel"/>
    <w:tmpl w:val="999EB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E0E542F"/>
    <w:multiLevelType w:val="hybridMultilevel"/>
    <w:tmpl w:val="AD04E106"/>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7">
    <w:nsid w:val="48150277"/>
    <w:multiLevelType w:val="hybridMultilevel"/>
    <w:tmpl w:val="61AC9B4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9">
    <w:nsid w:val="4F147CA1"/>
    <w:multiLevelType w:val="hybridMultilevel"/>
    <w:tmpl w:val="E014E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0660ECA"/>
    <w:multiLevelType w:val="hybridMultilevel"/>
    <w:tmpl w:val="87B8492E"/>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506C118D"/>
    <w:multiLevelType w:val="hybridMultilevel"/>
    <w:tmpl w:val="FA9E46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2">
    <w:nsid w:val="5266486D"/>
    <w:multiLevelType w:val="hybridMultilevel"/>
    <w:tmpl w:val="3A6EF44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3B640D1"/>
    <w:multiLevelType w:val="hybridMultilevel"/>
    <w:tmpl w:val="C99C00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5B8834DF"/>
    <w:multiLevelType w:val="hybridMultilevel"/>
    <w:tmpl w:val="0D34D3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nsid w:val="69373213"/>
    <w:multiLevelType w:val="hybridMultilevel"/>
    <w:tmpl w:val="CA5EFD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69553E27"/>
    <w:multiLevelType w:val="hybridMultilevel"/>
    <w:tmpl w:val="33B03610"/>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AB7493C"/>
    <w:multiLevelType w:val="hybridMultilevel"/>
    <w:tmpl w:val="AD04E106"/>
    <w:lvl w:ilvl="0" w:tplc="0809000F">
      <w:start w:val="1"/>
      <w:numFmt w:val="decimal"/>
      <w:lvlText w:val="%1."/>
      <w:lvlJc w:val="left"/>
      <w:pPr>
        <w:ind w:left="360" w:hanging="360"/>
      </w:p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0">
    <w:nsid w:val="723249BE"/>
    <w:multiLevelType w:val="hybridMultilevel"/>
    <w:tmpl w:val="F72C114A"/>
    <w:lvl w:ilvl="0" w:tplc="E312BDD8">
      <w:numFmt w:val="bullet"/>
      <w:lvlText w:val="-"/>
      <w:lvlJc w:val="left"/>
      <w:pPr>
        <w:ind w:left="1364" w:hanging="360"/>
      </w:pPr>
      <w:rPr>
        <w:rFonts w:ascii="Arial Narrow" w:eastAsia="Times New Roman" w:hAnsi="Arial Narrow" w:cs="Times New Roman" w:hint="default"/>
      </w:rPr>
    </w:lvl>
    <w:lvl w:ilvl="1" w:tplc="0C090003">
      <w:start w:val="1"/>
      <w:numFmt w:val="bullet"/>
      <w:lvlText w:val="o"/>
      <w:lvlJc w:val="left"/>
      <w:pPr>
        <w:ind w:left="2084" w:hanging="360"/>
      </w:pPr>
      <w:rPr>
        <w:rFonts w:ascii="Courier New" w:hAnsi="Courier New" w:cs="Courier New" w:hint="default"/>
      </w:rPr>
    </w:lvl>
    <w:lvl w:ilvl="2" w:tplc="0C090005" w:tentative="1">
      <w:start w:val="1"/>
      <w:numFmt w:val="bullet"/>
      <w:lvlText w:val=""/>
      <w:lvlJc w:val="left"/>
      <w:pPr>
        <w:ind w:left="2804" w:hanging="360"/>
      </w:pPr>
      <w:rPr>
        <w:rFonts w:ascii="Wingdings" w:hAnsi="Wingdings" w:hint="default"/>
      </w:rPr>
    </w:lvl>
    <w:lvl w:ilvl="3" w:tplc="0C090001" w:tentative="1">
      <w:start w:val="1"/>
      <w:numFmt w:val="bullet"/>
      <w:lvlText w:val=""/>
      <w:lvlJc w:val="left"/>
      <w:pPr>
        <w:ind w:left="3524" w:hanging="360"/>
      </w:pPr>
      <w:rPr>
        <w:rFonts w:ascii="Symbol" w:hAnsi="Symbol" w:hint="default"/>
      </w:rPr>
    </w:lvl>
    <w:lvl w:ilvl="4" w:tplc="0C090003" w:tentative="1">
      <w:start w:val="1"/>
      <w:numFmt w:val="bullet"/>
      <w:lvlText w:val="o"/>
      <w:lvlJc w:val="left"/>
      <w:pPr>
        <w:ind w:left="4244" w:hanging="360"/>
      </w:pPr>
      <w:rPr>
        <w:rFonts w:ascii="Courier New" w:hAnsi="Courier New" w:cs="Courier New" w:hint="default"/>
      </w:rPr>
    </w:lvl>
    <w:lvl w:ilvl="5" w:tplc="0C090005" w:tentative="1">
      <w:start w:val="1"/>
      <w:numFmt w:val="bullet"/>
      <w:lvlText w:val=""/>
      <w:lvlJc w:val="left"/>
      <w:pPr>
        <w:ind w:left="4964" w:hanging="360"/>
      </w:pPr>
      <w:rPr>
        <w:rFonts w:ascii="Wingdings" w:hAnsi="Wingdings" w:hint="default"/>
      </w:rPr>
    </w:lvl>
    <w:lvl w:ilvl="6" w:tplc="0C090001" w:tentative="1">
      <w:start w:val="1"/>
      <w:numFmt w:val="bullet"/>
      <w:lvlText w:val=""/>
      <w:lvlJc w:val="left"/>
      <w:pPr>
        <w:ind w:left="5684" w:hanging="360"/>
      </w:pPr>
      <w:rPr>
        <w:rFonts w:ascii="Symbol" w:hAnsi="Symbol" w:hint="default"/>
      </w:rPr>
    </w:lvl>
    <w:lvl w:ilvl="7" w:tplc="0C090003" w:tentative="1">
      <w:start w:val="1"/>
      <w:numFmt w:val="bullet"/>
      <w:lvlText w:val="o"/>
      <w:lvlJc w:val="left"/>
      <w:pPr>
        <w:ind w:left="6404" w:hanging="360"/>
      </w:pPr>
      <w:rPr>
        <w:rFonts w:ascii="Courier New" w:hAnsi="Courier New" w:cs="Courier New" w:hint="default"/>
      </w:rPr>
    </w:lvl>
    <w:lvl w:ilvl="8" w:tplc="0C090005" w:tentative="1">
      <w:start w:val="1"/>
      <w:numFmt w:val="bullet"/>
      <w:lvlText w:val=""/>
      <w:lvlJc w:val="left"/>
      <w:pPr>
        <w:ind w:left="7124" w:hanging="360"/>
      </w:pPr>
      <w:rPr>
        <w:rFonts w:ascii="Wingdings" w:hAnsi="Wingdings" w:hint="default"/>
      </w:rPr>
    </w:lvl>
  </w:abstractNum>
  <w:abstractNum w:abstractNumId="41">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84D033C"/>
    <w:multiLevelType w:val="multilevel"/>
    <w:tmpl w:val="E678384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7B2B6CC9"/>
    <w:multiLevelType w:val="hybridMultilevel"/>
    <w:tmpl w:val="5F641B92"/>
    <w:lvl w:ilvl="0" w:tplc="E312BDD8">
      <w:numFmt w:val="bullet"/>
      <w:lvlText w:val="-"/>
      <w:lvlJc w:val="left"/>
      <w:pPr>
        <w:ind w:left="1440" w:hanging="360"/>
      </w:pPr>
      <w:rPr>
        <w:rFonts w:ascii="Arial Narrow" w:eastAsia="Times New Roman" w:hAnsi="Arial Narrow"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4">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45">
    <w:nsid w:val="7EAB4B81"/>
    <w:multiLevelType w:val="hybridMultilevel"/>
    <w:tmpl w:val="AA76DA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nsid w:val="7F787CF2"/>
    <w:multiLevelType w:val="hybridMultilevel"/>
    <w:tmpl w:val="5FA25D4C"/>
    <w:lvl w:ilvl="0" w:tplc="0C090001">
      <w:start w:val="1"/>
      <w:numFmt w:val="bullet"/>
      <w:lvlText w:val=""/>
      <w:lvlJc w:val="left"/>
      <w:pPr>
        <w:ind w:left="2062" w:hanging="360"/>
      </w:pPr>
      <w:rPr>
        <w:rFonts w:ascii="Symbol" w:hAnsi="Symbol" w:hint="default"/>
      </w:rPr>
    </w:lvl>
    <w:lvl w:ilvl="1" w:tplc="0C090003" w:tentative="1">
      <w:start w:val="1"/>
      <w:numFmt w:val="bullet"/>
      <w:lvlText w:val="o"/>
      <w:lvlJc w:val="left"/>
      <w:pPr>
        <w:ind w:left="2782" w:hanging="360"/>
      </w:pPr>
      <w:rPr>
        <w:rFonts w:ascii="Courier New" w:hAnsi="Courier New" w:cs="Courier New" w:hint="default"/>
      </w:rPr>
    </w:lvl>
    <w:lvl w:ilvl="2" w:tplc="0C090005" w:tentative="1">
      <w:start w:val="1"/>
      <w:numFmt w:val="bullet"/>
      <w:lvlText w:val=""/>
      <w:lvlJc w:val="left"/>
      <w:pPr>
        <w:ind w:left="3502" w:hanging="360"/>
      </w:pPr>
      <w:rPr>
        <w:rFonts w:ascii="Wingdings" w:hAnsi="Wingdings" w:hint="default"/>
      </w:rPr>
    </w:lvl>
    <w:lvl w:ilvl="3" w:tplc="0C090001" w:tentative="1">
      <w:start w:val="1"/>
      <w:numFmt w:val="bullet"/>
      <w:lvlText w:val=""/>
      <w:lvlJc w:val="left"/>
      <w:pPr>
        <w:ind w:left="4222" w:hanging="360"/>
      </w:pPr>
      <w:rPr>
        <w:rFonts w:ascii="Symbol" w:hAnsi="Symbol" w:hint="default"/>
      </w:rPr>
    </w:lvl>
    <w:lvl w:ilvl="4" w:tplc="0C090003" w:tentative="1">
      <w:start w:val="1"/>
      <w:numFmt w:val="bullet"/>
      <w:lvlText w:val="o"/>
      <w:lvlJc w:val="left"/>
      <w:pPr>
        <w:ind w:left="4942" w:hanging="360"/>
      </w:pPr>
      <w:rPr>
        <w:rFonts w:ascii="Courier New" w:hAnsi="Courier New" w:cs="Courier New" w:hint="default"/>
      </w:rPr>
    </w:lvl>
    <w:lvl w:ilvl="5" w:tplc="0C090005" w:tentative="1">
      <w:start w:val="1"/>
      <w:numFmt w:val="bullet"/>
      <w:lvlText w:val=""/>
      <w:lvlJc w:val="left"/>
      <w:pPr>
        <w:ind w:left="5662" w:hanging="360"/>
      </w:pPr>
      <w:rPr>
        <w:rFonts w:ascii="Wingdings" w:hAnsi="Wingdings" w:hint="default"/>
      </w:rPr>
    </w:lvl>
    <w:lvl w:ilvl="6" w:tplc="0C090001" w:tentative="1">
      <w:start w:val="1"/>
      <w:numFmt w:val="bullet"/>
      <w:lvlText w:val=""/>
      <w:lvlJc w:val="left"/>
      <w:pPr>
        <w:ind w:left="6382" w:hanging="360"/>
      </w:pPr>
      <w:rPr>
        <w:rFonts w:ascii="Symbol" w:hAnsi="Symbol" w:hint="default"/>
      </w:rPr>
    </w:lvl>
    <w:lvl w:ilvl="7" w:tplc="0C090003" w:tentative="1">
      <w:start w:val="1"/>
      <w:numFmt w:val="bullet"/>
      <w:lvlText w:val="o"/>
      <w:lvlJc w:val="left"/>
      <w:pPr>
        <w:ind w:left="7102" w:hanging="360"/>
      </w:pPr>
      <w:rPr>
        <w:rFonts w:ascii="Courier New" w:hAnsi="Courier New" w:cs="Courier New" w:hint="default"/>
      </w:rPr>
    </w:lvl>
    <w:lvl w:ilvl="8" w:tplc="0C090005" w:tentative="1">
      <w:start w:val="1"/>
      <w:numFmt w:val="bullet"/>
      <w:lvlText w:val=""/>
      <w:lvlJc w:val="left"/>
      <w:pPr>
        <w:ind w:left="7822" w:hanging="360"/>
      </w:pPr>
      <w:rPr>
        <w:rFonts w:ascii="Wingdings" w:hAnsi="Wingdings" w:hint="default"/>
      </w:rPr>
    </w:lvl>
  </w:abstractNum>
  <w:num w:numId="1">
    <w:abstractNumId w:val="26"/>
  </w:num>
  <w:num w:numId="2">
    <w:abstractNumId w:val="28"/>
  </w:num>
  <w:num w:numId="3">
    <w:abstractNumId w:val="23"/>
  </w:num>
  <w:num w:numId="4">
    <w:abstractNumId w:val="42"/>
  </w:num>
  <w:num w:numId="5">
    <w:abstractNumId w:val="39"/>
  </w:num>
  <w:num w:numId="6">
    <w:abstractNumId w:val="30"/>
  </w:num>
  <w:num w:numId="7">
    <w:abstractNumId w:val="12"/>
  </w:num>
  <w:num w:numId="8">
    <w:abstractNumId w:val="16"/>
  </w:num>
  <w:num w:numId="9">
    <w:abstractNumId w:val="27"/>
  </w:num>
  <w:num w:numId="10">
    <w:abstractNumId w:val="3"/>
  </w:num>
  <w:num w:numId="11">
    <w:abstractNumId w:val="22"/>
  </w:num>
  <w:num w:numId="12">
    <w:abstractNumId w:val="38"/>
  </w:num>
  <w:num w:numId="13">
    <w:abstractNumId w:val="14"/>
  </w:num>
  <w:num w:numId="14">
    <w:abstractNumId w:val="18"/>
  </w:num>
  <w:num w:numId="15">
    <w:abstractNumId w:val="37"/>
  </w:num>
  <w:num w:numId="16">
    <w:abstractNumId w:val="7"/>
  </w:num>
  <w:num w:numId="17">
    <w:abstractNumId w:val="33"/>
  </w:num>
  <w:num w:numId="18">
    <w:abstractNumId w:val="17"/>
  </w:num>
  <w:num w:numId="19">
    <w:abstractNumId w:val="24"/>
  </w:num>
  <w:num w:numId="20">
    <w:abstractNumId w:val="10"/>
  </w:num>
  <w:num w:numId="21">
    <w:abstractNumId w:val="45"/>
  </w:num>
  <w:num w:numId="22">
    <w:abstractNumId w:val="31"/>
  </w:num>
  <w:num w:numId="23">
    <w:abstractNumId w:val="13"/>
  </w:num>
  <w:num w:numId="24">
    <w:abstractNumId w:val="36"/>
  </w:num>
  <w:num w:numId="25">
    <w:abstractNumId w:val="6"/>
  </w:num>
  <w:num w:numId="26">
    <w:abstractNumId w:val="46"/>
  </w:num>
  <w:num w:numId="27">
    <w:abstractNumId w:val="40"/>
  </w:num>
  <w:num w:numId="28">
    <w:abstractNumId w:val="2"/>
  </w:num>
  <w:num w:numId="29">
    <w:abstractNumId w:val="15"/>
  </w:num>
  <w:num w:numId="30">
    <w:abstractNumId w:val="9"/>
  </w:num>
  <w:num w:numId="31">
    <w:abstractNumId w:val="29"/>
  </w:num>
  <w:num w:numId="32">
    <w:abstractNumId w:val="1"/>
  </w:num>
  <w:num w:numId="33">
    <w:abstractNumId w:val="21"/>
  </w:num>
  <w:num w:numId="34">
    <w:abstractNumId w:val="19"/>
  </w:num>
  <w:num w:numId="35">
    <w:abstractNumId w:val="25"/>
  </w:num>
  <w:num w:numId="36">
    <w:abstractNumId w:val="8"/>
  </w:num>
  <w:num w:numId="37">
    <w:abstractNumId w:val="5"/>
  </w:num>
  <w:num w:numId="38">
    <w:abstractNumId w:val="32"/>
  </w:num>
  <w:num w:numId="39">
    <w:abstractNumId w:val="4"/>
  </w:num>
  <w:num w:numId="40">
    <w:abstractNumId w:val="43"/>
  </w:num>
  <w:num w:numId="41">
    <w:abstractNumId w:val="20"/>
  </w:num>
  <w:num w:numId="42">
    <w:abstractNumId w:val="0"/>
  </w:num>
  <w:num w:numId="43">
    <w:abstractNumId w:val="35"/>
  </w:num>
  <w:num w:numId="44">
    <w:abstractNumId w:val="34"/>
  </w:num>
  <w:num w:numId="45">
    <w:abstractNumId w:val="41"/>
  </w:num>
  <w:num w:numId="46">
    <w:abstractNumId w:val="44"/>
  </w:num>
  <w:num w:numId="47">
    <w:abstractNumId w:val="11"/>
  </w:num>
  <w:num w:numId="48">
    <w:abstractNumId w:val="42"/>
  </w:num>
  <w:num w:numId="49">
    <w:abstractNumId w:val="42"/>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rson w15:author="Christopher Etherton-Beer">
    <w15:presenceInfo w15:providerId="None" w15:userId="Christopher Etherton-Beer"/>
  </w15:person>
  <w15:person w15:author="Robyn Ward [2]">
    <w15:presenceInfo w15:providerId="AD" w15:userId="S-1-5-21-620321403-24207062-1845911597-740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965"/>
    <w:rsid w:val="000005DA"/>
    <w:rsid w:val="00000790"/>
    <w:rsid w:val="0000110B"/>
    <w:rsid w:val="000020E9"/>
    <w:rsid w:val="00003499"/>
    <w:rsid w:val="00004EAD"/>
    <w:rsid w:val="00005530"/>
    <w:rsid w:val="00011110"/>
    <w:rsid w:val="00011301"/>
    <w:rsid w:val="00013247"/>
    <w:rsid w:val="00013785"/>
    <w:rsid w:val="00013C2C"/>
    <w:rsid w:val="0001497B"/>
    <w:rsid w:val="00015886"/>
    <w:rsid w:val="000162EF"/>
    <w:rsid w:val="00016DE4"/>
    <w:rsid w:val="0002225F"/>
    <w:rsid w:val="0002320F"/>
    <w:rsid w:val="0002347D"/>
    <w:rsid w:val="00023763"/>
    <w:rsid w:val="00023CDE"/>
    <w:rsid w:val="00024A38"/>
    <w:rsid w:val="00025636"/>
    <w:rsid w:val="0002688F"/>
    <w:rsid w:val="00026AB3"/>
    <w:rsid w:val="000279CC"/>
    <w:rsid w:val="000319CD"/>
    <w:rsid w:val="00033144"/>
    <w:rsid w:val="00040178"/>
    <w:rsid w:val="00040895"/>
    <w:rsid w:val="000419AB"/>
    <w:rsid w:val="000429AA"/>
    <w:rsid w:val="000437DC"/>
    <w:rsid w:val="00043C37"/>
    <w:rsid w:val="00045410"/>
    <w:rsid w:val="00046BE8"/>
    <w:rsid w:val="00046CD3"/>
    <w:rsid w:val="0005093E"/>
    <w:rsid w:val="0005246A"/>
    <w:rsid w:val="00053463"/>
    <w:rsid w:val="000534EB"/>
    <w:rsid w:val="000536B0"/>
    <w:rsid w:val="00053876"/>
    <w:rsid w:val="000538BF"/>
    <w:rsid w:val="000546D7"/>
    <w:rsid w:val="000549B2"/>
    <w:rsid w:val="0005581C"/>
    <w:rsid w:val="00056240"/>
    <w:rsid w:val="00057978"/>
    <w:rsid w:val="0006181C"/>
    <w:rsid w:val="00061A43"/>
    <w:rsid w:val="000626C0"/>
    <w:rsid w:val="00062C4F"/>
    <w:rsid w:val="00063691"/>
    <w:rsid w:val="000644A6"/>
    <w:rsid w:val="0006514F"/>
    <w:rsid w:val="00070696"/>
    <w:rsid w:val="00070B35"/>
    <w:rsid w:val="000711D1"/>
    <w:rsid w:val="00071248"/>
    <w:rsid w:val="00071BFA"/>
    <w:rsid w:val="000720B9"/>
    <w:rsid w:val="00072219"/>
    <w:rsid w:val="000749DC"/>
    <w:rsid w:val="00075264"/>
    <w:rsid w:val="00075773"/>
    <w:rsid w:val="000812CA"/>
    <w:rsid w:val="00082895"/>
    <w:rsid w:val="00083293"/>
    <w:rsid w:val="000837D6"/>
    <w:rsid w:val="000841A6"/>
    <w:rsid w:val="0008592B"/>
    <w:rsid w:val="00085DF2"/>
    <w:rsid w:val="00087282"/>
    <w:rsid w:val="00087F7E"/>
    <w:rsid w:val="00087FFC"/>
    <w:rsid w:val="0009050C"/>
    <w:rsid w:val="00090C7E"/>
    <w:rsid w:val="00093252"/>
    <w:rsid w:val="00093BE1"/>
    <w:rsid w:val="00093EC9"/>
    <w:rsid w:val="00094F2D"/>
    <w:rsid w:val="00097732"/>
    <w:rsid w:val="000A1C5E"/>
    <w:rsid w:val="000A1FAD"/>
    <w:rsid w:val="000A3631"/>
    <w:rsid w:val="000A699B"/>
    <w:rsid w:val="000A6B2A"/>
    <w:rsid w:val="000A7283"/>
    <w:rsid w:val="000B1180"/>
    <w:rsid w:val="000B220B"/>
    <w:rsid w:val="000B28DD"/>
    <w:rsid w:val="000B384C"/>
    <w:rsid w:val="000B55A6"/>
    <w:rsid w:val="000B63F9"/>
    <w:rsid w:val="000C528E"/>
    <w:rsid w:val="000C53E6"/>
    <w:rsid w:val="000C7515"/>
    <w:rsid w:val="000D100B"/>
    <w:rsid w:val="000D1BFC"/>
    <w:rsid w:val="000D266D"/>
    <w:rsid w:val="000D3910"/>
    <w:rsid w:val="000D506A"/>
    <w:rsid w:val="000D55D4"/>
    <w:rsid w:val="000D5C97"/>
    <w:rsid w:val="000E394B"/>
    <w:rsid w:val="000E4CE9"/>
    <w:rsid w:val="000E4E69"/>
    <w:rsid w:val="000E58CC"/>
    <w:rsid w:val="000E6303"/>
    <w:rsid w:val="000E647E"/>
    <w:rsid w:val="000F2A95"/>
    <w:rsid w:val="000F2BAE"/>
    <w:rsid w:val="000F4BB8"/>
    <w:rsid w:val="000F6904"/>
    <w:rsid w:val="000F7127"/>
    <w:rsid w:val="000F7CFE"/>
    <w:rsid w:val="0010074F"/>
    <w:rsid w:val="00100F8A"/>
    <w:rsid w:val="001026DE"/>
    <w:rsid w:val="001034A0"/>
    <w:rsid w:val="001035F8"/>
    <w:rsid w:val="00104678"/>
    <w:rsid w:val="001057A0"/>
    <w:rsid w:val="001068F9"/>
    <w:rsid w:val="0011032E"/>
    <w:rsid w:val="001106F8"/>
    <w:rsid w:val="00113093"/>
    <w:rsid w:val="00113361"/>
    <w:rsid w:val="0011348B"/>
    <w:rsid w:val="00114C5A"/>
    <w:rsid w:val="00116493"/>
    <w:rsid w:val="001172CF"/>
    <w:rsid w:val="00117AF7"/>
    <w:rsid w:val="00120777"/>
    <w:rsid w:val="00121799"/>
    <w:rsid w:val="00121C57"/>
    <w:rsid w:val="001222FC"/>
    <w:rsid w:val="00123AFD"/>
    <w:rsid w:val="00124A51"/>
    <w:rsid w:val="00126621"/>
    <w:rsid w:val="00126CAE"/>
    <w:rsid w:val="001301A5"/>
    <w:rsid w:val="001301E9"/>
    <w:rsid w:val="00130C0D"/>
    <w:rsid w:val="00133260"/>
    <w:rsid w:val="001346E8"/>
    <w:rsid w:val="00137645"/>
    <w:rsid w:val="001400B3"/>
    <w:rsid w:val="0014015A"/>
    <w:rsid w:val="00140E99"/>
    <w:rsid w:val="001421D5"/>
    <w:rsid w:val="00142473"/>
    <w:rsid w:val="00145540"/>
    <w:rsid w:val="001456B0"/>
    <w:rsid w:val="00145D40"/>
    <w:rsid w:val="0014603E"/>
    <w:rsid w:val="00146FAC"/>
    <w:rsid w:val="001509BB"/>
    <w:rsid w:val="001513D8"/>
    <w:rsid w:val="00151610"/>
    <w:rsid w:val="00152BD6"/>
    <w:rsid w:val="00154D59"/>
    <w:rsid w:val="00155C92"/>
    <w:rsid w:val="00157130"/>
    <w:rsid w:val="0015729D"/>
    <w:rsid w:val="0015754D"/>
    <w:rsid w:val="00162913"/>
    <w:rsid w:val="00163EFF"/>
    <w:rsid w:val="001648ED"/>
    <w:rsid w:val="00165644"/>
    <w:rsid w:val="00165DDC"/>
    <w:rsid w:val="001661C4"/>
    <w:rsid w:val="001661FB"/>
    <w:rsid w:val="00166752"/>
    <w:rsid w:val="0016736F"/>
    <w:rsid w:val="00171184"/>
    <w:rsid w:val="00171559"/>
    <w:rsid w:val="00171A6A"/>
    <w:rsid w:val="001721DB"/>
    <w:rsid w:val="00181499"/>
    <w:rsid w:val="0018448E"/>
    <w:rsid w:val="001856E7"/>
    <w:rsid w:val="00185E74"/>
    <w:rsid w:val="00186EC7"/>
    <w:rsid w:val="0018752F"/>
    <w:rsid w:val="00187652"/>
    <w:rsid w:val="00187FF9"/>
    <w:rsid w:val="001920A0"/>
    <w:rsid w:val="00192727"/>
    <w:rsid w:val="00195222"/>
    <w:rsid w:val="00196046"/>
    <w:rsid w:val="001975D8"/>
    <w:rsid w:val="0019765B"/>
    <w:rsid w:val="001976B9"/>
    <w:rsid w:val="001A42D1"/>
    <w:rsid w:val="001A5F54"/>
    <w:rsid w:val="001A7323"/>
    <w:rsid w:val="001A7BC2"/>
    <w:rsid w:val="001A7F51"/>
    <w:rsid w:val="001B28EE"/>
    <w:rsid w:val="001B3109"/>
    <w:rsid w:val="001B3443"/>
    <w:rsid w:val="001B46B4"/>
    <w:rsid w:val="001B552B"/>
    <w:rsid w:val="001B66C8"/>
    <w:rsid w:val="001B6CB5"/>
    <w:rsid w:val="001B6CDF"/>
    <w:rsid w:val="001C0F9D"/>
    <w:rsid w:val="001C2FB5"/>
    <w:rsid w:val="001C33BF"/>
    <w:rsid w:val="001C5F44"/>
    <w:rsid w:val="001C670B"/>
    <w:rsid w:val="001C6E66"/>
    <w:rsid w:val="001C70B9"/>
    <w:rsid w:val="001D00E1"/>
    <w:rsid w:val="001D5F9A"/>
    <w:rsid w:val="001E0788"/>
    <w:rsid w:val="001E238E"/>
    <w:rsid w:val="001E2B1E"/>
    <w:rsid w:val="001E35D9"/>
    <w:rsid w:val="001E3FB3"/>
    <w:rsid w:val="001E52EB"/>
    <w:rsid w:val="001E6A8A"/>
    <w:rsid w:val="001E740C"/>
    <w:rsid w:val="001E799F"/>
    <w:rsid w:val="001F088E"/>
    <w:rsid w:val="001F1235"/>
    <w:rsid w:val="001F1CB3"/>
    <w:rsid w:val="001F2C36"/>
    <w:rsid w:val="001F3F06"/>
    <w:rsid w:val="001F7361"/>
    <w:rsid w:val="001F7459"/>
    <w:rsid w:val="0020385F"/>
    <w:rsid w:val="00204724"/>
    <w:rsid w:val="00206840"/>
    <w:rsid w:val="00206DFF"/>
    <w:rsid w:val="00207021"/>
    <w:rsid w:val="00207666"/>
    <w:rsid w:val="00207B8B"/>
    <w:rsid w:val="00207D00"/>
    <w:rsid w:val="002105C1"/>
    <w:rsid w:val="00213416"/>
    <w:rsid w:val="00215D60"/>
    <w:rsid w:val="0021706C"/>
    <w:rsid w:val="0022119E"/>
    <w:rsid w:val="00221B05"/>
    <w:rsid w:val="00222985"/>
    <w:rsid w:val="00223B49"/>
    <w:rsid w:val="0022442C"/>
    <w:rsid w:val="00224D58"/>
    <w:rsid w:val="00224DD4"/>
    <w:rsid w:val="00227AFD"/>
    <w:rsid w:val="002309CC"/>
    <w:rsid w:val="002346F8"/>
    <w:rsid w:val="002353A1"/>
    <w:rsid w:val="00237106"/>
    <w:rsid w:val="00237BFF"/>
    <w:rsid w:val="00241965"/>
    <w:rsid w:val="0024481B"/>
    <w:rsid w:val="00245F51"/>
    <w:rsid w:val="00247EA3"/>
    <w:rsid w:val="0025345E"/>
    <w:rsid w:val="002538E5"/>
    <w:rsid w:val="002539F8"/>
    <w:rsid w:val="00253FEF"/>
    <w:rsid w:val="0025416F"/>
    <w:rsid w:val="00254DCF"/>
    <w:rsid w:val="0025534B"/>
    <w:rsid w:val="00255BB7"/>
    <w:rsid w:val="0025697F"/>
    <w:rsid w:val="00256CFA"/>
    <w:rsid w:val="002573EA"/>
    <w:rsid w:val="00257428"/>
    <w:rsid w:val="002576E1"/>
    <w:rsid w:val="00260082"/>
    <w:rsid w:val="00261AA0"/>
    <w:rsid w:val="00261D8E"/>
    <w:rsid w:val="002625F4"/>
    <w:rsid w:val="00262A87"/>
    <w:rsid w:val="0026303E"/>
    <w:rsid w:val="002638F0"/>
    <w:rsid w:val="00263AF9"/>
    <w:rsid w:val="00264B49"/>
    <w:rsid w:val="00267C42"/>
    <w:rsid w:val="002712C8"/>
    <w:rsid w:val="002712CA"/>
    <w:rsid w:val="00271877"/>
    <w:rsid w:val="002736BC"/>
    <w:rsid w:val="00274BC3"/>
    <w:rsid w:val="00275C5A"/>
    <w:rsid w:val="00275DB4"/>
    <w:rsid w:val="002768B1"/>
    <w:rsid w:val="00276F68"/>
    <w:rsid w:val="00281014"/>
    <w:rsid w:val="0028146B"/>
    <w:rsid w:val="00281EDD"/>
    <w:rsid w:val="00282F47"/>
    <w:rsid w:val="00284DA1"/>
    <w:rsid w:val="00286C53"/>
    <w:rsid w:val="00287033"/>
    <w:rsid w:val="00287B9A"/>
    <w:rsid w:val="00290413"/>
    <w:rsid w:val="00290E97"/>
    <w:rsid w:val="00291F60"/>
    <w:rsid w:val="002941BC"/>
    <w:rsid w:val="00294FAF"/>
    <w:rsid w:val="002950D6"/>
    <w:rsid w:val="00296248"/>
    <w:rsid w:val="002A14AB"/>
    <w:rsid w:val="002A1AE1"/>
    <w:rsid w:val="002A2E8F"/>
    <w:rsid w:val="002A3077"/>
    <w:rsid w:val="002A3103"/>
    <w:rsid w:val="002A5F81"/>
    <w:rsid w:val="002B0315"/>
    <w:rsid w:val="002B1398"/>
    <w:rsid w:val="002B1C1F"/>
    <w:rsid w:val="002B2AE6"/>
    <w:rsid w:val="002B432F"/>
    <w:rsid w:val="002B6A6B"/>
    <w:rsid w:val="002B6CCE"/>
    <w:rsid w:val="002C0624"/>
    <w:rsid w:val="002C2775"/>
    <w:rsid w:val="002C27C1"/>
    <w:rsid w:val="002C470C"/>
    <w:rsid w:val="002C49DF"/>
    <w:rsid w:val="002C51C2"/>
    <w:rsid w:val="002C589E"/>
    <w:rsid w:val="002C7324"/>
    <w:rsid w:val="002D2629"/>
    <w:rsid w:val="002D297C"/>
    <w:rsid w:val="002D4552"/>
    <w:rsid w:val="002D4B0C"/>
    <w:rsid w:val="002D5816"/>
    <w:rsid w:val="002D5ABD"/>
    <w:rsid w:val="002D69D5"/>
    <w:rsid w:val="002D6EB7"/>
    <w:rsid w:val="002D7EBB"/>
    <w:rsid w:val="002E239B"/>
    <w:rsid w:val="002E2D1E"/>
    <w:rsid w:val="002E3E7C"/>
    <w:rsid w:val="002E5BEA"/>
    <w:rsid w:val="002F04BB"/>
    <w:rsid w:val="002F129C"/>
    <w:rsid w:val="002F3C2E"/>
    <w:rsid w:val="002F65E8"/>
    <w:rsid w:val="002F6B32"/>
    <w:rsid w:val="0030036B"/>
    <w:rsid w:val="00301017"/>
    <w:rsid w:val="003060D5"/>
    <w:rsid w:val="0030665B"/>
    <w:rsid w:val="003066EA"/>
    <w:rsid w:val="00307298"/>
    <w:rsid w:val="0030786C"/>
    <w:rsid w:val="0031031A"/>
    <w:rsid w:val="00310981"/>
    <w:rsid w:val="00311274"/>
    <w:rsid w:val="003118CB"/>
    <w:rsid w:val="003122FB"/>
    <w:rsid w:val="0031541B"/>
    <w:rsid w:val="00315498"/>
    <w:rsid w:val="00316D53"/>
    <w:rsid w:val="00321AAA"/>
    <w:rsid w:val="00322B3D"/>
    <w:rsid w:val="00322CC8"/>
    <w:rsid w:val="00323D9B"/>
    <w:rsid w:val="003310C5"/>
    <w:rsid w:val="00332690"/>
    <w:rsid w:val="00332B0F"/>
    <w:rsid w:val="00334863"/>
    <w:rsid w:val="00335606"/>
    <w:rsid w:val="003359D8"/>
    <w:rsid w:val="00335E07"/>
    <w:rsid w:val="003365A8"/>
    <w:rsid w:val="003366C9"/>
    <w:rsid w:val="003371B0"/>
    <w:rsid w:val="00341454"/>
    <w:rsid w:val="00341983"/>
    <w:rsid w:val="00342478"/>
    <w:rsid w:val="003440F9"/>
    <w:rsid w:val="00345EBF"/>
    <w:rsid w:val="0034660D"/>
    <w:rsid w:val="00346CAA"/>
    <w:rsid w:val="003477BC"/>
    <w:rsid w:val="00347C9B"/>
    <w:rsid w:val="003507F0"/>
    <w:rsid w:val="003517E3"/>
    <w:rsid w:val="00352601"/>
    <w:rsid w:val="003529B3"/>
    <w:rsid w:val="0035450A"/>
    <w:rsid w:val="0035620E"/>
    <w:rsid w:val="0035637B"/>
    <w:rsid w:val="00356CB1"/>
    <w:rsid w:val="00356F1D"/>
    <w:rsid w:val="00357351"/>
    <w:rsid w:val="00357919"/>
    <w:rsid w:val="003644EA"/>
    <w:rsid w:val="003663F7"/>
    <w:rsid w:val="00371F49"/>
    <w:rsid w:val="003723E8"/>
    <w:rsid w:val="00372493"/>
    <w:rsid w:val="00374005"/>
    <w:rsid w:val="0037449B"/>
    <w:rsid w:val="00376996"/>
    <w:rsid w:val="00376BD3"/>
    <w:rsid w:val="00380765"/>
    <w:rsid w:val="003823DA"/>
    <w:rsid w:val="0038365C"/>
    <w:rsid w:val="003842DF"/>
    <w:rsid w:val="00387D55"/>
    <w:rsid w:val="0039027D"/>
    <w:rsid w:val="00390AAD"/>
    <w:rsid w:val="00390CFE"/>
    <w:rsid w:val="00391B2E"/>
    <w:rsid w:val="003925D7"/>
    <w:rsid w:val="00394D35"/>
    <w:rsid w:val="003954F4"/>
    <w:rsid w:val="003963C5"/>
    <w:rsid w:val="00396FD0"/>
    <w:rsid w:val="0039739E"/>
    <w:rsid w:val="003A02D9"/>
    <w:rsid w:val="003A0AFA"/>
    <w:rsid w:val="003A1241"/>
    <w:rsid w:val="003A1A7A"/>
    <w:rsid w:val="003A455B"/>
    <w:rsid w:val="003A5EC0"/>
    <w:rsid w:val="003B0FA7"/>
    <w:rsid w:val="003B3ECC"/>
    <w:rsid w:val="003B432A"/>
    <w:rsid w:val="003B53C0"/>
    <w:rsid w:val="003B57B9"/>
    <w:rsid w:val="003C0A22"/>
    <w:rsid w:val="003C2AFF"/>
    <w:rsid w:val="003C3208"/>
    <w:rsid w:val="003C3591"/>
    <w:rsid w:val="003C3EF3"/>
    <w:rsid w:val="003C49F7"/>
    <w:rsid w:val="003C5A71"/>
    <w:rsid w:val="003C68BA"/>
    <w:rsid w:val="003C6DB2"/>
    <w:rsid w:val="003D09BE"/>
    <w:rsid w:val="003D1828"/>
    <w:rsid w:val="003D2422"/>
    <w:rsid w:val="003D42A2"/>
    <w:rsid w:val="003D66B2"/>
    <w:rsid w:val="003E00C7"/>
    <w:rsid w:val="003E34F6"/>
    <w:rsid w:val="003E686A"/>
    <w:rsid w:val="003F0F4A"/>
    <w:rsid w:val="003F21CC"/>
    <w:rsid w:val="003F3FB4"/>
    <w:rsid w:val="003F4156"/>
    <w:rsid w:val="003F4C87"/>
    <w:rsid w:val="003F5F35"/>
    <w:rsid w:val="004007FF"/>
    <w:rsid w:val="00402E52"/>
    <w:rsid w:val="00404332"/>
    <w:rsid w:val="00407DB2"/>
    <w:rsid w:val="00410708"/>
    <w:rsid w:val="00410EC7"/>
    <w:rsid w:val="004142AB"/>
    <w:rsid w:val="00414476"/>
    <w:rsid w:val="0041492A"/>
    <w:rsid w:val="00414945"/>
    <w:rsid w:val="004154E3"/>
    <w:rsid w:val="00416B2B"/>
    <w:rsid w:val="00416FCA"/>
    <w:rsid w:val="00420B9F"/>
    <w:rsid w:val="0042115D"/>
    <w:rsid w:val="00422134"/>
    <w:rsid w:val="00422912"/>
    <w:rsid w:val="00422B4D"/>
    <w:rsid w:val="0042406C"/>
    <w:rsid w:val="004255A5"/>
    <w:rsid w:val="0042741F"/>
    <w:rsid w:val="00430B55"/>
    <w:rsid w:val="004319F8"/>
    <w:rsid w:val="00433044"/>
    <w:rsid w:val="00433F9D"/>
    <w:rsid w:val="00434025"/>
    <w:rsid w:val="00434ABC"/>
    <w:rsid w:val="004370F2"/>
    <w:rsid w:val="0043715A"/>
    <w:rsid w:val="0044074D"/>
    <w:rsid w:val="0044171C"/>
    <w:rsid w:val="0044235A"/>
    <w:rsid w:val="004437F4"/>
    <w:rsid w:val="00443FF1"/>
    <w:rsid w:val="004443A7"/>
    <w:rsid w:val="00444EA9"/>
    <w:rsid w:val="004462D2"/>
    <w:rsid w:val="004464EB"/>
    <w:rsid w:val="004511EE"/>
    <w:rsid w:val="00455C9B"/>
    <w:rsid w:val="00455D45"/>
    <w:rsid w:val="00455DDA"/>
    <w:rsid w:val="00462DDE"/>
    <w:rsid w:val="0046354B"/>
    <w:rsid w:val="00464595"/>
    <w:rsid w:val="0046488E"/>
    <w:rsid w:val="0046633A"/>
    <w:rsid w:val="00466B4C"/>
    <w:rsid w:val="0047052D"/>
    <w:rsid w:val="00471E7D"/>
    <w:rsid w:val="00475E5F"/>
    <w:rsid w:val="00477865"/>
    <w:rsid w:val="00480267"/>
    <w:rsid w:val="00481370"/>
    <w:rsid w:val="004867E2"/>
    <w:rsid w:val="00490307"/>
    <w:rsid w:val="00491AB4"/>
    <w:rsid w:val="00491B3A"/>
    <w:rsid w:val="00492CFD"/>
    <w:rsid w:val="004947A7"/>
    <w:rsid w:val="0049482E"/>
    <w:rsid w:val="00494B10"/>
    <w:rsid w:val="00494BE3"/>
    <w:rsid w:val="004956BD"/>
    <w:rsid w:val="0049593D"/>
    <w:rsid w:val="004962D2"/>
    <w:rsid w:val="00497848"/>
    <w:rsid w:val="004A0DA1"/>
    <w:rsid w:val="004A13CC"/>
    <w:rsid w:val="004A1E3E"/>
    <w:rsid w:val="004A2158"/>
    <w:rsid w:val="004A4409"/>
    <w:rsid w:val="004A4566"/>
    <w:rsid w:val="004A476B"/>
    <w:rsid w:val="004A5A17"/>
    <w:rsid w:val="004A5E98"/>
    <w:rsid w:val="004A6597"/>
    <w:rsid w:val="004A7044"/>
    <w:rsid w:val="004B145B"/>
    <w:rsid w:val="004B199E"/>
    <w:rsid w:val="004B1CB4"/>
    <w:rsid w:val="004B2AAC"/>
    <w:rsid w:val="004B2F18"/>
    <w:rsid w:val="004B33C9"/>
    <w:rsid w:val="004B3DDB"/>
    <w:rsid w:val="004B3ED0"/>
    <w:rsid w:val="004B4434"/>
    <w:rsid w:val="004B44FD"/>
    <w:rsid w:val="004B4D92"/>
    <w:rsid w:val="004B5CBB"/>
    <w:rsid w:val="004B5CFC"/>
    <w:rsid w:val="004B6329"/>
    <w:rsid w:val="004C0507"/>
    <w:rsid w:val="004C0AF4"/>
    <w:rsid w:val="004C3150"/>
    <w:rsid w:val="004C41A9"/>
    <w:rsid w:val="004C4AED"/>
    <w:rsid w:val="004C51C8"/>
    <w:rsid w:val="004D05DC"/>
    <w:rsid w:val="004D1C32"/>
    <w:rsid w:val="004D2224"/>
    <w:rsid w:val="004D36F3"/>
    <w:rsid w:val="004D4160"/>
    <w:rsid w:val="004D454E"/>
    <w:rsid w:val="004D527A"/>
    <w:rsid w:val="004D6F66"/>
    <w:rsid w:val="004D738E"/>
    <w:rsid w:val="004E0004"/>
    <w:rsid w:val="004E00F1"/>
    <w:rsid w:val="004E0C31"/>
    <w:rsid w:val="004E0EB8"/>
    <w:rsid w:val="004E2018"/>
    <w:rsid w:val="004E2ADC"/>
    <w:rsid w:val="004E43B2"/>
    <w:rsid w:val="004E5B34"/>
    <w:rsid w:val="004F05E9"/>
    <w:rsid w:val="004F1D02"/>
    <w:rsid w:val="004F22E8"/>
    <w:rsid w:val="004F2679"/>
    <w:rsid w:val="004F3FAE"/>
    <w:rsid w:val="004F69BA"/>
    <w:rsid w:val="004F7865"/>
    <w:rsid w:val="004F7F77"/>
    <w:rsid w:val="00503C79"/>
    <w:rsid w:val="00503C9D"/>
    <w:rsid w:val="00505EB6"/>
    <w:rsid w:val="00506928"/>
    <w:rsid w:val="005075EA"/>
    <w:rsid w:val="005115D0"/>
    <w:rsid w:val="00512DD8"/>
    <w:rsid w:val="00513258"/>
    <w:rsid w:val="005152B5"/>
    <w:rsid w:val="00517585"/>
    <w:rsid w:val="0051771D"/>
    <w:rsid w:val="0052054A"/>
    <w:rsid w:val="00521319"/>
    <w:rsid w:val="00521940"/>
    <w:rsid w:val="0052270E"/>
    <w:rsid w:val="00522E41"/>
    <w:rsid w:val="005238FF"/>
    <w:rsid w:val="0052392B"/>
    <w:rsid w:val="00523C28"/>
    <w:rsid w:val="0052636B"/>
    <w:rsid w:val="00526C9D"/>
    <w:rsid w:val="00530243"/>
    <w:rsid w:val="005322B3"/>
    <w:rsid w:val="00537EC7"/>
    <w:rsid w:val="00540585"/>
    <w:rsid w:val="0054219E"/>
    <w:rsid w:val="00542307"/>
    <w:rsid w:val="00542BA5"/>
    <w:rsid w:val="005432F9"/>
    <w:rsid w:val="00543555"/>
    <w:rsid w:val="005442A5"/>
    <w:rsid w:val="0054522A"/>
    <w:rsid w:val="005455FA"/>
    <w:rsid w:val="00546A72"/>
    <w:rsid w:val="0055009D"/>
    <w:rsid w:val="005504CA"/>
    <w:rsid w:val="0055121C"/>
    <w:rsid w:val="00551BEC"/>
    <w:rsid w:val="00552BD3"/>
    <w:rsid w:val="0055334C"/>
    <w:rsid w:val="00554A7F"/>
    <w:rsid w:val="00555109"/>
    <w:rsid w:val="005604DC"/>
    <w:rsid w:val="00561401"/>
    <w:rsid w:val="0056399F"/>
    <w:rsid w:val="0056525D"/>
    <w:rsid w:val="00565501"/>
    <w:rsid w:val="00565552"/>
    <w:rsid w:val="00565FFC"/>
    <w:rsid w:val="00566965"/>
    <w:rsid w:val="0056696F"/>
    <w:rsid w:val="005677AF"/>
    <w:rsid w:val="0056795C"/>
    <w:rsid w:val="0057298E"/>
    <w:rsid w:val="00572DE9"/>
    <w:rsid w:val="00574CA1"/>
    <w:rsid w:val="00575D8D"/>
    <w:rsid w:val="00576972"/>
    <w:rsid w:val="00577442"/>
    <w:rsid w:val="0058066E"/>
    <w:rsid w:val="0058217E"/>
    <w:rsid w:val="00582D8A"/>
    <w:rsid w:val="005833E5"/>
    <w:rsid w:val="00583699"/>
    <w:rsid w:val="00583A29"/>
    <w:rsid w:val="0058556F"/>
    <w:rsid w:val="0058696E"/>
    <w:rsid w:val="00592359"/>
    <w:rsid w:val="00592B8B"/>
    <w:rsid w:val="00593584"/>
    <w:rsid w:val="00594C74"/>
    <w:rsid w:val="0059573C"/>
    <w:rsid w:val="005A3A66"/>
    <w:rsid w:val="005A3AA5"/>
    <w:rsid w:val="005A3BA2"/>
    <w:rsid w:val="005B099A"/>
    <w:rsid w:val="005B1EB3"/>
    <w:rsid w:val="005B38B6"/>
    <w:rsid w:val="005B44F0"/>
    <w:rsid w:val="005B5857"/>
    <w:rsid w:val="005B6B0F"/>
    <w:rsid w:val="005B6DA3"/>
    <w:rsid w:val="005B73AB"/>
    <w:rsid w:val="005C1B83"/>
    <w:rsid w:val="005C346B"/>
    <w:rsid w:val="005C3615"/>
    <w:rsid w:val="005C3A35"/>
    <w:rsid w:val="005C4B06"/>
    <w:rsid w:val="005C664A"/>
    <w:rsid w:val="005C687F"/>
    <w:rsid w:val="005C74BE"/>
    <w:rsid w:val="005D044D"/>
    <w:rsid w:val="005D1202"/>
    <w:rsid w:val="005D18AD"/>
    <w:rsid w:val="005D4488"/>
    <w:rsid w:val="005D4AA3"/>
    <w:rsid w:val="005D77D4"/>
    <w:rsid w:val="005D7FA2"/>
    <w:rsid w:val="005E06DB"/>
    <w:rsid w:val="005E22D8"/>
    <w:rsid w:val="005E2800"/>
    <w:rsid w:val="005E4FEE"/>
    <w:rsid w:val="005E628F"/>
    <w:rsid w:val="005E6723"/>
    <w:rsid w:val="005E73C0"/>
    <w:rsid w:val="005F1FA4"/>
    <w:rsid w:val="005F2706"/>
    <w:rsid w:val="005F383A"/>
    <w:rsid w:val="005F38CF"/>
    <w:rsid w:val="005F3F17"/>
    <w:rsid w:val="005F6A8F"/>
    <w:rsid w:val="006001EC"/>
    <w:rsid w:val="00600DFB"/>
    <w:rsid w:val="0060290D"/>
    <w:rsid w:val="00604697"/>
    <w:rsid w:val="00605238"/>
    <w:rsid w:val="00606AB4"/>
    <w:rsid w:val="00607669"/>
    <w:rsid w:val="00607735"/>
    <w:rsid w:val="006114E6"/>
    <w:rsid w:val="00611BB2"/>
    <w:rsid w:val="00611C95"/>
    <w:rsid w:val="00612F97"/>
    <w:rsid w:val="00616686"/>
    <w:rsid w:val="00616802"/>
    <w:rsid w:val="00616808"/>
    <w:rsid w:val="00616B57"/>
    <w:rsid w:val="00617E12"/>
    <w:rsid w:val="006205CC"/>
    <w:rsid w:val="00621477"/>
    <w:rsid w:val="006240F5"/>
    <w:rsid w:val="006251E7"/>
    <w:rsid w:val="006277DD"/>
    <w:rsid w:val="006278F3"/>
    <w:rsid w:val="006316E5"/>
    <w:rsid w:val="00631D6B"/>
    <w:rsid w:val="00632016"/>
    <w:rsid w:val="00632A81"/>
    <w:rsid w:val="00633CB3"/>
    <w:rsid w:val="00633E05"/>
    <w:rsid w:val="0063479F"/>
    <w:rsid w:val="00635A61"/>
    <w:rsid w:val="006364A1"/>
    <w:rsid w:val="006367CE"/>
    <w:rsid w:val="00636BCB"/>
    <w:rsid w:val="00636FE0"/>
    <w:rsid w:val="00637BFD"/>
    <w:rsid w:val="006404EB"/>
    <w:rsid w:val="00641CD1"/>
    <w:rsid w:val="00642246"/>
    <w:rsid w:val="00646795"/>
    <w:rsid w:val="006471CC"/>
    <w:rsid w:val="00647924"/>
    <w:rsid w:val="0065079F"/>
    <w:rsid w:val="0065236D"/>
    <w:rsid w:val="006531C1"/>
    <w:rsid w:val="00654E8D"/>
    <w:rsid w:val="00655017"/>
    <w:rsid w:val="006551C7"/>
    <w:rsid w:val="00655507"/>
    <w:rsid w:val="00656575"/>
    <w:rsid w:val="00657A3C"/>
    <w:rsid w:val="00662F45"/>
    <w:rsid w:val="006660A8"/>
    <w:rsid w:val="006721BB"/>
    <w:rsid w:val="00674627"/>
    <w:rsid w:val="00674E42"/>
    <w:rsid w:val="00677318"/>
    <w:rsid w:val="00680061"/>
    <w:rsid w:val="006807E7"/>
    <w:rsid w:val="00680AAF"/>
    <w:rsid w:val="00682112"/>
    <w:rsid w:val="0068487D"/>
    <w:rsid w:val="00685425"/>
    <w:rsid w:val="006872BA"/>
    <w:rsid w:val="006917D7"/>
    <w:rsid w:val="00693A86"/>
    <w:rsid w:val="00694D4A"/>
    <w:rsid w:val="00694F44"/>
    <w:rsid w:val="006A0A3A"/>
    <w:rsid w:val="006A2953"/>
    <w:rsid w:val="006A50DB"/>
    <w:rsid w:val="006A50E4"/>
    <w:rsid w:val="006A7730"/>
    <w:rsid w:val="006A7DC3"/>
    <w:rsid w:val="006B0291"/>
    <w:rsid w:val="006B1C21"/>
    <w:rsid w:val="006B4504"/>
    <w:rsid w:val="006B4578"/>
    <w:rsid w:val="006B494A"/>
    <w:rsid w:val="006B6239"/>
    <w:rsid w:val="006B62AB"/>
    <w:rsid w:val="006C0C92"/>
    <w:rsid w:val="006C168D"/>
    <w:rsid w:val="006C2A8E"/>
    <w:rsid w:val="006C3E45"/>
    <w:rsid w:val="006C4BBB"/>
    <w:rsid w:val="006C566A"/>
    <w:rsid w:val="006C663C"/>
    <w:rsid w:val="006C69AB"/>
    <w:rsid w:val="006D0AB0"/>
    <w:rsid w:val="006D3C7D"/>
    <w:rsid w:val="006D3D52"/>
    <w:rsid w:val="006D4CA0"/>
    <w:rsid w:val="006D5D5F"/>
    <w:rsid w:val="006D6C06"/>
    <w:rsid w:val="006D6E1A"/>
    <w:rsid w:val="006D6EA0"/>
    <w:rsid w:val="006D757F"/>
    <w:rsid w:val="006E04FA"/>
    <w:rsid w:val="006E0BF1"/>
    <w:rsid w:val="006E0BF5"/>
    <w:rsid w:val="006E2797"/>
    <w:rsid w:val="006E2DB9"/>
    <w:rsid w:val="006E3923"/>
    <w:rsid w:val="006E3EC6"/>
    <w:rsid w:val="006E62DC"/>
    <w:rsid w:val="006E7156"/>
    <w:rsid w:val="006F2335"/>
    <w:rsid w:val="006F2F7E"/>
    <w:rsid w:val="006F4561"/>
    <w:rsid w:val="006F4983"/>
    <w:rsid w:val="006F595E"/>
    <w:rsid w:val="006F63A5"/>
    <w:rsid w:val="006F65E7"/>
    <w:rsid w:val="00701333"/>
    <w:rsid w:val="007018FB"/>
    <w:rsid w:val="0070276E"/>
    <w:rsid w:val="00702F8F"/>
    <w:rsid w:val="007030D5"/>
    <w:rsid w:val="00703331"/>
    <w:rsid w:val="00705377"/>
    <w:rsid w:val="00706AD9"/>
    <w:rsid w:val="00706E36"/>
    <w:rsid w:val="00711A36"/>
    <w:rsid w:val="0071266E"/>
    <w:rsid w:val="00713436"/>
    <w:rsid w:val="007138A1"/>
    <w:rsid w:val="0071680D"/>
    <w:rsid w:val="007168EB"/>
    <w:rsid w:val="007172AD"/>
    <w:rsid w:val="0071730A"/>
    <w:rsid w:val="007232A7"/>
    <w:rsid w:val="007238E9"/>
    <w:rsid w:val="0072416F"/>
    <w:rsid w:val="007247AE"/>
    <w:rsid w:val="00725555"/>
    <w:rsid w:val="00725BDC"/>
    <w:rsid w:val="00726729"/>
    <w:rsid w:val="007279C9"/>
    <w:rsid w:val="00732E49"/>
    <w:rsid w:val="00735328"/>
    <w:rsid w:val="0073685B"/>
    <w:rsid w:val="00736F3C"/>
    <w:rsid w:val="007372B3"/>
    <w:rsid w:val="00740654"/>
    <w:rsid w:val="007424FF"/>
    <w:rsid w:val="007449A7"/>
    <w:rsid w:val="00744CED"/>
    <w:rsid w:val="007455A5"/>
    <w:rsid w:val="00745BB0"/>
    <w:rsid w:val="007466DE"/>
    <w:rsid w:val="00746B79"/>
    <w:rsid w:val="0074752B"/>
    <w:rsid w:val="007517B7"/>
    <w:rsid w:val="00751F7C"/>
    <w:rsid w:val="0075737A"/>
    <w:rsid w:val="0076069B"/>
    <w:rsid w:val="00763ADD"/>
    <w:rsid w:val="0076733E"/>
    <w:rsid w:val="007704FB"/>
    <w:rsid w:val="0077308D"/>
    <w:rsid w:val="00773BA8"/>
    <w:rsid w:val="00774BE3"/>
    <w:rsid w:val="0077556E"/>
    <w:rsid w:val="00776340"/>
    <w:rsid w:val="00776D5F"/>
    <w:rsid w:val="00776EC4"/>
    <w:rsid w:val="0078064B"/>
    <w:rsid w:val="00780EEF"/>
    <w:rsid w:val="00781843"/>
    <w:rsid w:val="00781D86"/>
    <w:rsid w:val="00784778"/>
    <w:rsid w:val="00786ACF"/>
    <w:rsid w:val="00787AE1"/>
    <w:rsid w:val="00790A9D"/>
    <w:rsid w:val="00796680"/>
    <w:rsid w:val="007A01E0"/>
    <w:rsid w:val="007A0A12"/>
    <w:rsid w:val="007A4029"/>
    <w:rsid w:val="007A5693"/>
    <w:rsid w:val="007A5C77"/>
    <w:rsid w:val="007B09C3"/>
    <w:rsid w:val="007B10F2"/>
    <w:rsid w:val="007B251D"/>
    <w:rsid w:val="007B4401"/>
    <w:rsid w:val="007B7062"/>
    <w:rsid w:val="007B77D1"/>
    <w:rsid w:val="007C0AA3"/>
    <w:rsid w:val="007C1582"/>
    <w:rsid w:val="007C361D"/>
    <w:rsid w:val="007C40BC"/>
    <w:rsid w:val="007C4441"/>
    <w:rsid w:val="007C691A"/>
    <w:rsid w:val="007C7C41"/>
    <w:rsid w:val="007D07E3"/>
    <w:rsid w:val="007D0B38"/>
    <w:rsid w:val="007D2944"/>
    <w:rsid w:val="007D2E1C"/>
    <w:rsid w:val="007D7C59"/>
    <w:rsid w:val="007E09D4"/>
    <w:rsid w:val="007E1194"/>
    <w:rsid w:val="007E2118"/>
    <w:rsid w:val="007E3B7D"/>
    <w:rsid w:val="007E3E20"/>
    <w:rsid w:val="007E55D5"/>
    <w:rsid w:val="007E6671"/>
    <w:rsid w:val="007E6F3B"/>
    <w:rsid w:val="007F065E"/>
    <w:rsid w:val="007F1017"/>
    <w:rsid w:val="007F2401"/>
    <w:rsid w:val="007F31FB"/>
    <w:rsid w:val="007F45C8"/>
    <w:rsid w:val="007F4A3F"/>
    <w:rsid w:val="007F4AC4"/>
    <w:rsid w:val="007F51B9"/>
    <w:rsid w:val="00801292"/>
    <w:rsid w:val="00801AA8"/>
    <w:rsid w:val="00802B69"/>
    <w:rsid w:val="0080509D"/>
    <w:rsid w:val="00805142"/>
    <w:rsid w:val="0080580E"/>
    <w:rsid w:val="00807A8B"/>
    <w:rsid w:val="00807CD0"/>
    <w:rsid w:val="0081009E"/>
    <w:rsid w:val="00810DD0"/>
    <w:rsid w:val="00812149"/>
    <w:rsid w:val="00814020"/>
    <w:rsid w:val="00814995"/>
    <w:rsid w:val="00814FAD"/>
    <w:rsid w:val="008151F5"/>
    <w:rsid w:val="008166EF"/>
    <w:rsid w:val="00816DC9"/>
    <w:rsid w:val="00817532"/>
    <w:rsid w:val="0082028B"/>
    <w:rsid w:val="00820D2C"/>
    <w:rsid w:val="00821417"/>
    <w:rsid w:val="008264EB"/>
    <w:rsid w:val="00833B05"/>
    <w:rsid w:val="0083742A"/>
    <w:rsid w:val="00837554"/>
    <w:rsid w:val="00840CA2"/>
    <w:rsid w:val="0084127B"/>
    <w:rsid w:val="00842B18"/>
    <w:rsid w:val="00845B05"/>
    <w:rsid w:val="0084611A"/>
    <w:rsid w:val="00847FAD"/>
    <w:rsid w:val="008516F9"/>
    <w:rsid w:val="008519BD"/>
    <w:rsid w:val="00853BA9"/>
    <w:rsid w:val="00854747"/>
    <w:rsid w:val="00854F3A"/>
    <w:rsid w:val="008564C9"/>
    <w:rsid w:val="00856E9A"/>
    <w:rsid w:val="0085775F"/>
    <w:rsid w:val="008611FA"/>
    <w:rsid w:val="00861DA6"/>
    <w:rsid w:val="00862502"/>
    <w:rsid w:val="008673D7"/>
    <w:rsid w:val="008709FB"/>
    <w:rsid w:val="00870FFC"/>
    <w:rsid w:val="00871FE5"/>
    <w:rsid w:val="00874CAA"/>
    <w:rsid w:val="00875043"/>
    <w:rsid w:val="0087699A"/>
    <w:rsid w:val="00876BC2"/>
    <w:rsid w:val="008770CE"/>
    <w:rsid w:val="008807FC"/>
    <w:rsid w:val="00881B50"/>
    <w:rsid w:val="00882679"/>
    <w:rsid w:val="00882874"/>
    <w:rsid w:val="00882DC2"/>
    <w:rsid w:val="00883787"/>
    <w:rsid w:val="00883FA7"/>
    <w:rsid w:val="00885450"/>
    <w:rsid w:val="00886EA5"/>
    <w:rsid w:val="008873B5"/>
    <w:rsid w:val="008918B5"/>
    <w:rsid w:val="00891A50"/>
    <w:rsid w:val="008924CA"/>
    <w:rsid w:val="00892D2D"/>
    <w:rsid w:val="0089415C"/>
    <w:rsid w:val="00894419"/>
    <w:rsid w:val="00894489"/>
    <w:rsid w:val="00895B97"/>
    <w:rsid w:val="008963A5"/>
    <w:rsid w:val="00896FD6"/>
    <w:rsid w:val="008971CB"/>
    <w:rsid w:val="008972E0"/>
    <w:rsid w:val="0089749B"/>
    <w:rsid w:val="008A01F4"/>
    <w:rsid w:val="008A3C3B"/>
    <w:rsid w:val="008A3C3E"/>
    <w:rsid w:val="008A79DE"/>
    <w:rsid w:val="008A7F22"/>
    <w:rsid w:val="008B0C75"/>
    <w:rsid w:val="008B11CB"/>
    <w:rsid w:val="008B6C65"/>
    <w:rsid w:val="008B7D7E"/>
    <w:rsid w:val="008C0D37"/>
    <w:rsid w:val="008C1343"/>
    <w:rsid w:val="008C215D"/>
    <w:rsid w:val="008C21B8"/>
    <w:rsid w:val="008C2B01"/>
    <w:rsid w:val="008C50CD"/>
    <w:rsid w:val="008C512C"/>
    <w:rsid w:val="008C69D8"/>
    <w:rsid w:val="008C7258"/>
    <w:rsid w:val="008C7931"/>
    <w:rsid w:val="008C7ECB"/>
    <w:rsid w:val="008D13AA"/>
    <w:rsid w:val="008D27AB"/>
    <w:rsid w:val="008D2F3C"/>
    <w:rsid w:val="008D454F"/>
    <w:rsid w:val="008D4E08"/>
    <w:rsid w:val="008D5E5B"/>
    <w:rsid w:val="008D6035"/>
    <w:rsid w:val="008D7B79"/>
    <w:rsid w:val="008E1B9E"/>
    <w:rsid w:val="008E2174"/>
    <w:rsid w:val="008E6208"/>
    <w:rsid w:val="008E6607"/>
    <w:rsid w:val="008E7F6C"/>
    <w:rsid w:val="008F120A"/>
    <w:rsid w:val="008F16AA"/>
    <w:rsid w:val="008F30AA"/>
    <w:rsid w:val="008F3A79"/>
    <w:rsid w:val="008F48EB"/>
    <w:rsid w:val="008F4F0B"/>
    <w:rsid w:val="008F57B8"/>
    <w:rsid w:val="00900C50"/>
    <w:rsid w:val="009023D4"/>
    <w:rsid w:val="00904425"/>
    <w:rsid w:val="00904A37"/>
    <w:rsid w:val="00906284"/>
    <w:rsid w:val="009062A5"/>
    <w:rsid w:val="00911272"/>
    <w:rsid w:val="0091187C"/>
    <w:rsid w:val="00913EF3"/>
    <w:rsid w:val="009148EC"/>
    <w:rsid w:val="00915BD5"/>
    <w:rsid w:val="0091644A"/>
    <w:rsid w:val="00920CFC"/>
    <w:rsid w:val="009212BC"/>
    <w:rsid w:val="00923378"/>
    <w:rsid w:val="009233F8"/>
    <w:rsid w:val="00923CEF"/>
    <w:rsid w:val="00924FDA"/>
    <w:rsid w:val="00924FE9"/>
    <w:rsid w:val="00925493"/>
    <w:rsid w:val="00925942"/>
    <w:rsid w:val="00930119"/>
    <w:rsid w:val="009316A2"/>
    <w:rsid w:val="00932BCF"/>
    <w:rsid w:val="00932D2D"/>
    <w:rsid w:val="009361C5"/>
    <w:rsid w:val="00936842"/>
    <w:rsid w:val="00940A6C"/>
    <w:rsid w:val="00943F15"/>
    <w:rsid w:val="009450D6"/>
    <w:rsid w:val="00951213"/>
    <w:rsid w:val="0095167D"/>
    <w:rsid w:val="00951BE4"/>
    <w:rsid w:val="0095468A"/>
    <w:rsid w:val="00954EEE"/>
    <w:rsid w:val="009561F2"/>
    <w:rsid w:val="00956448"/>
    <w:rsid w:val="009566E9"/>
    <w:rsid w:val="00957CF6"/>
    <w:rsid w:val="00962CB9"/>
    <w:rsid w:val="00963795"/>
    <w:rsid w:val="00964312"/>
    <w:rsid w:val="00966019"/>
    <w:rsid w:val="00974BF3"/>
    <w:rsid w:val="009759D6"/>
    <w:rsid w:val="009763B6"/>
    <w:rsid w:val="00977E4D"/>
    <w:rsid w:val="00980A3C"/>
    <w:rsid w:val="00980C09"/>
    <w:rsid w:val="00980F51"/>
    <w:rsid w:val="00982CD6"/>
    <w:rsid w:val="009838FA"/>
    <w:rsid w:val="00983E4B"/>
    <w:rsid w:val="00983E57"/>
    <w:rsid w:val="00984D8D"/>
    <w:rsid w:val="00984F4B"/>
    <w:rsid w:val="009858F5"/>
    <w:rsid w:val="00985C0C"/>
    <w:rsid w:val="00985C44"/>
    <w:rsid w:val="00986ABE"/>
    <w:rsid w:val="00987BAA"/>
    <w:rsid w:val="009926D6"/>
    <w:rsid w:val="0099460E"/>
    <w:rsid w:val="00996B1A"/>
    <w:rsid w:val="009978A4"/>
    <w:rsid w:val="009A0CCF"/>
    <w:rsid w:val="009A1EC6"/>
    <w:rsid w:val="009A3618"/>
    <w:rsid w:val="009A42F6"/>
    <w:rsid w:val="009A537F"/>
    <w:rsid w:val="009A562E"/>
    <w:rsid w:val="009A5D29"/>
    <w:rsid w:val="009A5E1F"/>
    <w:rsid w:val="009A74D6"/>
    <w:rsid w:val="009B3E26"/>
    <w:rsid w:val="009B5D62"/>
    <w:rsid w:val="009B60CF"/>
    <w:rsid w:val="009C0D44"/>
    <w:rsid w:val="009C135C"/>
    <w:rsid w:val="009C230C"/>
    <w:rsid w:val="009C247F"/>
    <w:rsid w:val="009C283C"/>
    <w:rsid w:val="009C3279"/>
    <w:rsid w:val="009C3A1D"/>
    <w:rsid w:val="009C4843"/>
    <w:rsid w:val="009C4C81"/>
    <w:rsid w:val="009C5A48"/>
    <w:rsid w:val="009C75EF"/>
    <w:rsid w:val="009D20ED"/>
    <w:rsid w:val="009D2E88"/>
    <w:rsid w:val="009D30E8"/>
    <w:rsid w:val="009D3B21"/>
    <w:rsid w:val="009D5852"/>
    <w:rsid w:val="009D5B91"/>
    <w:rsid w:val="009D5C8E"/>
    <w:rsid w:val="009D5CEB"/>
    <w:rsid w:val="009D771A"/>
    <w:rsid w:val="009E20FF"/>
    <w:rsid w:val="009E390B"/>
    <w:rsid w:val="009E4C07"/>
    <w:rsid w:val="009E65DF"/>
    <w:rsid w:val="009F0AD3"/>
    <w:rsid w:val="009F184A"/>
    <w:rsid w:val="009F1B43"/>
    <w:rsid w:val="009F39C1"/>
    <w:rsid w:val="009F6234"/>
    <w:rsid w:val="009F6BB1"/>
    <w:rsid w:val="00A0023F"/>
    <w:rsid w:val="00A004FA"/>
    <w:rsid w:val="00A006DD"/>
    <w:rsid w:val="00A00FD3"/>
    <w:rsid w:val="00A0156A"/>
    <w:rsid w:val="00A01BB4"/>
    <w:rsid w:val="00A023F3"/>
    <w:rsid w:val="00A02B18"/>
    <w:rsid w:val="00A03815"/>
    <w:rsid w:val="00A03D43"/>
    <w:rsid w:val="00A04380"/>
    <w:rsid w:val="00A11096"/>
    <w:rsid w:val="00A11097"/>
    <w:rsid w:val="00A11E72"/>
    <w:rsid w:val="00A122F9"/>
    <w:rsid w:val="00A13948"/>
    <w:rsid w:val="00A13C6B"/>
    <w:rsid w:val="00A14764"/>
    <w:rsid w:val="00A15B49"/>
    <w:rsid w:val="00A176BD"/>
    <w:rsid w:val="00A20899"/>
    <w:rsid w:val="00A2188D"/>
    <w:rsid w:val="00A255AF"/>
    <w:rsid w:val="00A25B29"/>
    <w:rsid w:val="00A25BDA"/>
    <w:rsid w:val="00A27AEC"/>
    <w:rsid w:val="00A32A81"/>
    <w:rsid w:val="00A3514C"/>
    <w:rsid w:val="00A3568C"/>
    <w:rsid w:val="00A35895"/>
    <w:rsid w:val="00A35D16"/>
    <w:rsid w:val="00A35EB0"/>
    <w:rsid w:val="00A36FAE"/>
    <w:rsid w:val="00A43C59"/>
    <w:rsid w:val="00A4594B"/>
    <w:rsid w:val="00A501B5"/>
    <w:rsid w:val="00A50873"/>
    <w:rsid w:val="00A50ECD"/>
    <w:rsid w:val="00A51481"/>
    <w:rsid w:val="00A51830"/>
    <w:rsid w:val="00A52729"/>
    <w:rsid w:val="00A53662"/>
    <w:rsid w:val="00A53675"/>
    <w:rsid w:val="00A53AFA"/>
    <w:rsid w:val="00A54053"/>
    <w:rsid w:val="00A54876"/>
    <w:rsid w:val="00A5607A"/>
    <w:rsid w:val="00A56B6A"/>
    <w:rsid w:val="00A578DC"/>
    <w:rsid w:val="00A57AB4"/>
    <w:rsid w:val="00A6160D"/>
    <w:rsid w:val="00A61C1E"/>
    <w:rsid w:val="00A623B5"/>
    <w:rsid w:val="00A63DBC"/>
    <w:rsid w:val="00A65181"/>
    <w:rsid w:val="00A66B0D"/>
    <w:rsid w:val="00A6725B"/>
    <w:rsid w:val="00A717DC"/>
    <w:rsid w:val="00A7209D"/>
    <w:rsid w:val="00A7214D"/>
    <w:rsid w:val="00A75C28"/>
    <w:rsid w:val="00A762BA"/>
    <w:rsid w:val="00A76D48"/>
    <w:rsid w:val="00A801AE"/>
    <w:rsid w:val="00A8042A"/>
    <w:rsid w:val="00A80592"/>
    <w:rsid w:val="00A8267E"/>
    <w:rsid w:val="00A86E8B"/>
    <w:rsid w:val="00A92950"/>
    <w:rsid w:val="00A93072"/>
    <w:rsid w:val="00A930A9"/>
    <w:rsid w:val="00A95810"/>
    <w:rsid w:val="00A959D8"/>
    <w:rsid w:val="00A96682"/>
    <w:rsid w:val="00A96B70"/>
    <w:rsid w:val="00A96DBB"/>
    <w:rsid w:val="00A97660"/>
    <w:rsid w:val="00AA0EFD"/>
    <w:rsid w:val="00AA2579"/>
    <w:rsid w:val="00AA344D"/>
    <w:rsid w:val="00AA37CF"/>
    <w:rsid w:val="00AA467D"/>
    <w:rsid w:val="00AA4FCF"/>
    <w:rsid w:val="00AA5445"/>
    <w:rsid w:val="00AA5D6D"/>
    <w:rsid w:val="00AA6D8C"/>
    <w:rsid w:val="00AA7A5B"/>
    <w:rsid w:val="00AB042A"/>
    <w:rsid w:val="00AB05D7"/>
    <w:rsid w:val="00AB0AEF"/>
    <w:rsid w:val="00AB139E"/>
    <w:rsid w:val="00AB1A68"/>
    <w:rsid w:val="00AB2D34"/>
    <w:rsid w:val="00AB3430"/>
    <w:rsid w:val="00AB3A73"/>
    <w:rsid w:val="00AB409F"/>
    <w:rsid w:val="00AB4341"/>
    <w:rsid w:val="00AB4AC7"/>
    <w:rsid w:val="00AB5CC2"/>
    <w:rsid w:val="00AB7645"/>
    <w:rsid w:val="00AB7CFA"/>
    <w:rsid w:val="00AC0286"/>
    <w:rsid w:val="00AC1771"/>
    <w:rsid w:val="00AC1DDA"/>
    <w:rsid w:val="00AC493C"/>
    <w:rsid w:val="00AC4F48"/>
    <w:rsid w:val="00AC598F"/>
    <w:rsid w:val="00AC6ED4"/>
    <w:rsid w:val="00AD2764"/>
    <w:rsid w:val="00AD2874"/>
    <w:rsid w:val="00AD538A"/>
    <w:rsid w:val="00AD5788"/>
    <w:rsid w:val="00AE2021"/>
    <w:rsid w:val="00AE3121"/>
    <w:rsid w:val="00AE477E"/>
    <w:rsid w:val="00AE6774"/>
    <w:rsid w:val="00AE7230"/>
    <w:rsid w:val="00AF23E0"/>
    <w:rsid w:val="00AF6ED9"/>
    <w:rsid w:val="00AF71B4"/>
    <w:rsid w:val="00AF7338"/>
    <w:rsid w:val="00B01A58"/>
    <w:rsid w:val="00B03CB4"/>
    <w:rsid w:val="00B05436"/>
    <w:rsid w:val="00B05804"/>
    <w:rsid w:val="00B0730D"/>
    <w:rsid w:val="00B079F0"/>
    <w:rsid w:val="00B116F8"/>
    <w:rsid w:val="00B11A21"/>
    <w:rsid w:val="00B11A54"/>
    <w:rsid w:val="00B127A1"/>
    <w:rsid w:val="00B12CE5"/>
    <w:rsid w:val="00B13EA7"/>
    <w:rsid w:val="00B143C9"/>
    <w:rsid w:val="00B15437"/>
    <w:rsid w:val="00B15B0B"/>
    <w:rsid w:val="00B20675"/>
    <w:rsid w:val="00B20B9B"/>
    <w:rsid w:val="00B25B12"/>
    <w:rsid w:val="00B3434C"/>
    <w:rsid w:val="00B34932"/>
    <w:rsid w:val="00B34DA9"/>
    <w:rsid w:val="00B3611D"/>
    <w:rsid w:val="00B36B37"/>
    <w:rsid w:val="00B3744D"/>
    <w:rsid w:val="00B37B12"/>
    <w:rsid w:val="00B414C5"/>
    <w:rsid w:val="00B41D12"/>
    <w:rsid w:val="00B42290"/>
    <w:rsid w:val="00B42851"/>
    <w:rsid w:val="00B42FA0"/>
    <w:rsid w:val="00B433D3"/>
    <w:rsid w:val="00B44125"/>
    <w:rsid w:val="00B45605"/>
    <w:rsid w:val="00B463EB"/>
    <w:rsid w:val="00B46EE4"/>
    <w:rsid w:val="00B4733E"/>
    <w:rsid w:val="00B50089"/>
    <w:rsid w:val="00B50DB8"/>
    <w:rsid w:val="00B5114E"/>
    <w:rsid w:val="00B52A2C"/>
    <w:rsid w:val="00B53560"/>
    <w:rsid w:val="00B53905"/>
    <w:rsid w:val="00B54B5B"/>
    <w:rsid w:val="00B5562E"/>
    <w:rsid w:val="00B56C0C"/>
    <w:rsid w:val="00B57000"/>
    <w:rsid w:val="00B60289"/>
    <w:rsid w:val="00B60842"/>
    <w:rsid w:val="00B60939"/>
    <w:rsid w:val="00B60AFD"/>
    <w:rsid w:val="00B622F6"/>
    <w:rsid w:val="00B62715"/>
    <w:rsid w:val="00B63851"/>
    <w:rsid w:val="00B67B4B"/>
    <w:rsid w:val="00B7075A"/>
    <w:rsid w:val="00B73014"/>
    <w:rsid w:val="00B754D3"/>
    <w:rsid w:val="00B77453"/>
    <w:rsid w:val="00B80660"/>
    <w:rsid w:val="00B818A4"/>
    <w:rsid w:val="00B82FB6"/>
    <w:rsid w:val="00B83FFC"/>
    <w:rsid w:val="00B84858"/>
    <w:rsid w:val="00B854EC"/>
    <w:rsid w:val="00B8649C"/>
    <w:rsid w:val="00B8661D"/>
    <w:rsid w:val="00B903BA"/>
    <w:rsid w:val="00B92D0B"/>
    <w:rsid w:val="00B93739"/>
    <w:rsid w:val="00B94945"/>
    <w:rsid w:val="00B95704"/>
    <w:rsid w:val="00B96293"/>
    <w:rsid w:val="00B97383"/>
    <w:rsid w:val="00BA2255"/>
    <w:rsid w:val="00BA3FB3"/>
    <w:rsid w:val="00BA4A24"/>
    <w:rsid w:val="00BA4D66"/>
    <w:rsid w:val="00BA55E0"/>
    <w:rsid w:val="00BA6081"/>
    <w:rsid w:val="00BA7673"/>
    <w:rsid w:val="00BB1BD1"/>
    <w:rsid w:val="00BB23F4"/>
    <w:rsid w:val="00BB4C5C"/>
    <w:rsid w:val="00BB4EAC"/>
    <w:rsid w:val="00BB5FF2"/>
    <w:rsid w:val="00BB6F31"/>
    <w:rsid w:val="00BB7405"/>
    <w:rsid w:val="00BB7AF1"/>
    <w:rsid w:val="00BC0CE0"/>
    <w:rsid w:val="00BC3246"/>
    <w:rsid w:val="00BC6D7E"/>
    <w:rsid w:val="00BC7E7A"/>
    <w:rsid w:val="00BD2D71"/>
    <w:rsid w:val="00BD3403"/>
    <w:rsid w:val="00BD3A04"/>
    <w:rsid w:val="00BD6CF3"/>
    <w:rsid w:val="00BD72CA"/>
    <w:rsid w:val="00BE10AE"/>
    <w:rsid w:val="00BE2180"/>
    <w:rsid w:val="00BE2F08"/>
    <w:rsid w:val="00BE34DF"/>
    <w:rsid w:val="00BE3550"/>
    <w:rsid w:val="00BE4275"/>
    <w:rsid w:val="00BE6D00"/>
    <w:rsid w:val="00BE6D11"/>
    <w:rsid w:val="00BE6EDB"/>
    <w:rsid w:val="00BE7CED"/>
    <w:rsid w:val="00BF2085"/>
    <w:rsid w:val="00BF2433"/>
    <w:rsid w:val="00BF260E"/>
    <w:rsid w:val="00BF3240"/>
    <w:rsid w:val="00BF61C9"/>
    <w:rsid w:val="00BF6AC0"/>
    <w:rsid w:val="00BF77BA"/>
    <w:rsid w:val="00C00429"/>
    <w:rsid w:val="00C05841"/>
    <w:rsid w:val="00C0589D"/>
    <w:rsid w:val="00C05C0E"/>
    <w:rsid w:val="00C072B6"/>
    <w:rsid w:val="00C07917"/>
    <w:rsid w:val="00C1092E"/>
    <w:rsid w:val="00C109BE"/>
    <w:rsid w:val="00C1483E"/>
    <w:rsid w:val="00C1764D"/>
    <w:rsid w:val="00C21342"/>
    <w:rsid w:val="00C217FB"/>
    <w:rsid w:val="00C223EC"/>
    <w:rsid w:val="00C25418"/>
    <w:rsid w:val="00C25D9C"/>
    <w:rsid w:val="00C273E7"/>
    <w:rsid w:val="00C309F1"/>
    <w:rsid w:val="00C31649"/>
    <w:rsid w:val="00C333B5"/>
    <w:rsid w:val="00C34691"/>
    <w:rsid w:val="00C349A9"/>
    <w:rsid w:val="00C35EA7"/>
    <w:rsid w:val="00C40385"/>
    <w:rsid w:val="00C41438"/>
    <w:rsid w:val="00C464C6"/>
    <w:rsid w:val="00C473E5"/>
    <w:rsid w:val="00C5031C"/>
    <w:rsid w:val="00C50C98"/>
    <w:rsid w:val="00C53652"/>
    <w:rsid w:val="00C54FA6"/>
    <w:rsid w:val="00C55F7F"/>
    <w:rsid w:val="00C56A72"/>
    <w:rsid w:val="00C56CD5"/>
    <w:rsid w:val="00C61826"/>
    <w:rsid w:val="00C65429"/>
    <w:rsid w:val="00C65576"/>
    <w:rsid w:val="00C658AA"/>
    <w:rsid w:val="00C66165"/>
    <w:rsid w:val="00C715E4"/>
    <w:rsid w:val="00C719A3"/>
    <w:rsid w:val="00C729D9"/>
    <w:rsid w:val="00C72AE6"/>
    <w:rsid w:val="00C750C8"/>
    <w:rsid w:val="00C751BC"/>
    <w:rsid w:val="00C752FD"/>
    <w:rsid w:val="00C765E7"/>
    <w:rsid w:val="00C7665E"/>
    <w:rsid w:val="00C771EF"/>
    <w:rsid w:val="00C77AEC"/>
    <w:rsid w:val="00C8097D"/>
    <w:rsid w:val="00C81B79"/>
    <w:rsid w:val="00C8213F"/>
    <w:rsid w:val="00C8387B"/>
    <w:rsid w:val="00C848E0"/>
    <w:rsid w:val="00C8490C"/>
    <w:rsid w:val="00C86610"/>
    <w:rsid w:val="00C8797A"/>
    <w:rsid w:val="00C87D5A"/>
    <w:rsid w:val="00C91401"/>
    <w:rsid w:val="00C91930"/>
    <w:rsid w:val="00C91DCC"/>
    <w:rsid w:val="00C938CF"/>
    <w:rsid w:val="00C95469"/>
    <w:rsid w:val="00CA0104"/>
    <w:rsid w:val="00CA024D"/>
    <w:rsid w:val="00CA1F3B"/>
    <w:rsid w:val="00CA30EA"/>
    <w:rsid w:val="00CA4F4B"/>
    <w:rsid w:val="00CA5245"/>
    <w:rsid w:val="00CA6E45"/>
    <w:rsid w:val="00CA7674"/>
    <w:rsid w:val="00CA7733"/>
    <w:rsid w:val="00CA7B09"/>
    <w:rsid w:val="00CA7FBC"/>
    <w:rsid w:val="00CB1736"/>
    <w:rsid w:val="00CB1E8D"/>
    <w:rsid w:val="00CB2EB5"/>
    <w:rsid w:val="00CB46BC"/>
    <w:rsid w:val="00CB5866"/>
    <w:rsid w:val="00CB5B1A"/>
    <w:rsid w:val="00CB628A"/>
    <w:rsid w:val="00CB7707"/>
    <w:rsid w:val="00CB7A36"/>
    <w:rsid w:val="00CC1102"/>
    <w:rsid w:val="00CC1113"/>
    <w:rsid w:val="00CC1EBB"/>
    <w:rsid w:val="00CD0867"/>
    <w:rsid w:val="00CD2264"/>
    <w:rsid w:val="00CD5A09"/>
    <w:rsid w:val="00CD6ADC"/>
    <w:rsid w:val="00CD71B3"/>
    <w:rsid w:val="00CD792E"/>
    <w:rsid w:val="00CD795F"/>
    <w:rsid w:val="00CE0913"/>
    <w:rsid w:val="00CE2000"/>
    <w:rsid w:val="00CE2291"/>
    <w:rsid w:val="00CE264F"/>
    <w:rsid w:val="00CE4D01"/>
    <w:rsid w:val="00CE4F02"/>
    <w:rsid w:val="00CE5147"/>
    <w:rsid w:val="00CE6274"/>
    <w:rsid w:val="00CE7E3C"/>
    <w:rsid w:val="00CF015F"/>
    <w:rsid w:val="00CF1E97"/>
    <w:rsid w:val="00CF2712"/>
    <w:rsid w:val="00CF456B"/>
    <w:rsid w:val="00CF4ABC"/>
    <w:rsid w:val="00CF5A22"/>
    <w:rsid w:val="00CF6842"/>
    <w:rsid w:val="00D0073C"/>
    <w:rsid w:val="00D00E40"/>
    <w:rsid w:val="00D0262E"/>
    <w:rsid w:val="00D03C25"/>
    <w:rsid w:val="00D0446E"/>
    <w:rsid w:val="00D04A59"/>
    <w:rsid w:val="00D110BD"/>
    <w:rsid w:val="00D121E7"/>
    <w:rsid w:val="00D12821"/>
    <w:rsid w:val="00D16E91"/>
    <w:rsid w:val="00D17D6C"/>
    <w:rsid w:val="00D2272A"/>
    <w:rsid w:val="00D24663"/>
    <w:rsid w:val="00D2478D"/>
    <w:rsid w:val="00D27227"/>
    <w:rsid w:val="00D30470"/>
    <w:rsid w:val="00D31370"/>
    <w:rsid w:val="00D31DC3"/>
    <w:rsid w:val="00D32CE9"/>
    <w:rsid w:val="00D357FF"/>
    <w:rsid w:val="00D35848"/>
    <w:rsid w:val="00D35F9E"/>
    <w:rsid w:val="00D376DA"/>
    <w:rsid w:val="00D40685"/>
    <w:rsid w:val="00D40932"/>
    <w:rsid w:val="00D50623"/>
    <w:rsid w:val="00D5130F"/>
    <w:rsid w:val="00D52841"/>
    <w:rsid w:val="00D566B2"/>
    <w:rsid w:val="00D65E94"/>
    <w:rsid w:val="00D6645F"/>
    <w:rsid w:val="00D67743"/>
    <w:rsid w:val="00D73BDF"/>
    <w:rsid w:val="00D74536"/>
    <w:rsid w:val="00D75875"/>
    <w:rsid w:val="00D75ACE"/>
    <w:rsid w:val="00D76A44"/>
    <w:rsid w:val="00D7757E"/>
    <w:rsid w:val="00D77E5F"/>
    <w:rsid w:val="00D8053F"/>
    <w:rsid w:val="00D82B2C"/>
    <w:rsid w:val="00D8574C"/>
    <w:rsid w:val="00D857CF"/>
    <w:rsid w:val="00D85D59"/>
    <w:rsid w:val="00D860F7"/>
    <w:rsid w:val="00D867B6"/>
    <w:rsid w:val="00D87796"/>
    <w:rsid w:val="00D9039E"/>
    <w:rsid w:val="00D90956"/>
    <w:rsid w:val="00D92099"/>
    <w:rsid w:val="00D92378"/>
    <w:rsid w:val="00D92B7D"/>
    <w:rsid w:val="00D936AF"/>
    <w:rsid w:val="00D9370D"/>
    <w:rsid w:val="00D93753"/>
    <w:rsid w:val="00DA4006"/>
    <w:rsid w:val="00DA4AC0"/>
    <w:rsid w:val="00DA55F4"/>
    <w:rsid w:val="00DA77A5"/>
    <w:rsid w:val="00DB230E"/>
    <w:rsid w:val="00DB2ACC"/>
    <w:rsid w:val="00DB302F"/>
    <w:rsid w:val="00DB36F5"/>
    <w:rsid w:val="00DB38D7"/>
    <w:rsid w:val="00DB4123"/>
    <w:rsid w:val="00DB5886"/>
    <w:rsid w:val="00DB5BDA"/>
    <w:rsid w:val="00DB5F0E"/>
    <w:rsid w:val="00DB7B15"/>
    <w:rsid w:val="00DC052A"/>
    <w:rsid w:val="00DC0D14"/>
    <w:rsid w:val="00DC12B8"/>
    <w:rsid w:val="00DC5263"/>
    <w:rsid w:val="00DC5501"/>
    <w:rsid w:val="00DC555F"/>
    <w:rsid w:val="00DC59A5"/>
    <w:rsid w:val="00DC5FA0"/>
    <w:rsid w:val="00DC6AA1"/>
    <w:rsid w:val="00DC75BE"/>
    <w:rsid w:val="00DD1631"/>
    <w:rsid w:val="00DD1958"/>
    <w:rsid w:val="00DD220E"/>
    <w:rsid w:val="00DD33B4"/>
    <w:rsid w:val="00DD3C29"/>
    <w:rsid w:val="00DD3F28"/>
    <w:rsid w:val="00DD4537"/>
    <w:rsid w:val="00DD4E15"/>
    <w:rsid w:val="00DD551D"/>
    <w:rsid w:val="00DD674C"/>
    <w:rsid w:val="00DD6E20"/>
    <w:rsid w:val="00DD730D"/>
    <w:rsid w:val="00DE0635"/>
    <w:rsid w:val="00DE22E7"/>
    <w:rsid w:val="00DE26D3"/>
    <w:rsid w:val="00DE4FCB"/>
    <w:rsid w:val="00DE6CA2"/>
    <w:rsid w:val="00DE7210"/>
    <w:rsid w:val="00DF0044"/>
    <w:rsid w:val="00DF08E8"/>
    <w:rsid w:val="00DF2300"/>
    <w:rsid w:val="00DF5D2B"/>
    <w:rsid w:val="00DF6871"/>
    <w:rsid w:val="00DF77D1"/>
    <w:rsid w:val="00E003E7"/>
    <w:rsid w:val="00E02598"/>
    <w:rsid w:val="00E04B31"/>
    <w:rsid w:val="00E10149"/>
    <w:rsid w:val="00E1056A"/>
    <w:rsid w:val="00E10F1A"/>
    <w:rsid w:val="00E111F2"/>
    <w:rsid w:val="00E1423E"/>
    <w:rsid w:val="00E1481E"/>
    <w:rsid w:val="00E14C3E"/>
    <w:rsid w:val="00E16372"/>
    <w:rsid w:val="00E20ED6"/>
    <w:rsid w:val="00E21358"/>
    <w:rsid w:val="00E218C1"/>
    <w:rsid w:val="00E21C18"/>
    <w:rsid w:val="00E2249B"/>
    <w:rsid w:val="00E229FF"/>
    <w:rsid w:val="00E22A0D"/>
    <w:rsid w:val="00E2339F"/>
    <w:rsid w:val="00E23B1F"/>
    <w:rsid w:val="00E247C8"/>
    <w:rsid w:val="00E2688A"/>
    <w:rsid w:val="00E27201"/>
    <w:rsid w:val="00E2771E"/>
    <w:rsid w:val="00E300AA"/>
    <w:rsid w:val="00E32B0A"/>
    <w:rsid w:val="00E32F00"/>
    <w:rsid w:val="00E335E9"/>
    <w:rsid w:val="00E361BB"/>
    <w:rsid w:val="00E372A9"/>
    <w:rsid w:val="00E37569"/>
    <w:rsid w:val="00E405FE"/>
    <w:rsid w:val="00E41099"/>
    <w:rsid w:val="00E41AF9"/>
    <w:rsid w:val="00E41E30"/>
    <w:rsid w:val="00E43C7D"/>
    <w:rsid w:val="00E43D70"/>
    <w:rsid w:val="00E43E14"/>
    <w:rsid w:val="00E46CD0"/>
    <w:rsid w:val="00E4789B"/>
    <w:rsid w:val="00E47B2C"/>
    <w:rsid w:val="00E511F5"/>
    <w:rsid w:val="00E5120D"/>
    <w:rsid w:val="00E51336"/>
    <w:rsid w:val="00E51560"/>
    <w:rsid w:val="00E52170"/>
    <w:rsid w:val="00E55424"/>
    <w:rsid w:val="00E55BB5"/>
    <w:rsid w:val="00E60652"/>
    <w:rsid w:val="00E607E6"/>
    <w:rsid w:val="00E60B28"/>
    <w:rsid w:val="00E64D9A"/>
    <w:rsid w:val="00E65E79"/>
    <w:rsid w:val="00E67416"/>
    <w:rsid w:val="00E6764F"/>
    <w:rsid w:val="00E7124E"/>
    <w:rsid w:val="00E718B6"/>
    <w:rsid w:val="00E71B0A"/>
    <w:rsid w:val="00E73581"/>
    <w:rsid w:val="00E741F6"/>
    <w:rsid w:val="00E80707"/>
    <w:rsid w:val="00E82B4A"/>
    <w:rsid w:val="00E83207"/>
    <w:rsid w:val="00E83BDF"/>
    <w:rsid w:val="00E83ECE"/>
    <w:rsid w:val="00E848CF"/>
    <w:rsid w:val="00E87223"/>
    <w:rsid w:val="00E87C86"/>
    <w:rsid w:val="00E917D0"/>
    <w:rsid w:val="00E934EC"/>
    <w:rsid w:val="00E95753"/>
    <w:rsid w:val="00E95840"/>
    <w:rsid w:val="00E95E6E"/>
    <w:rsid w:val="00E96861"/>
    <w:rsid w:val="00E973B4"/>
    <w:rsid w:val="00EA15D3"/>
    <w:rsid w:val="00EA163F"/>
    <w:rsid w:val="00EA2B4E"/>
    <w:rsid w:val="00EA36D8"/>
    <w:rsid w:val="00EA3864"/>
    <w:rsid w:val="00EB1579"/>
    <w:rsid w:val="00EB15B6"/>
    <w:rsid w:val="00EB2A09"/>
    <w:rsid w:val="00EB2C2F"/>
    <w:rsid w:val="00EB365D"/>
    <w:rsid w:val="00EB38FD"/>
    <w:rsid w:val="00EB3D1F"/>
    <w:rsid w:val="00EB4916"/>
    <w:rsid w:val="00EB59F6"/>
    <w:rsid w:val="00EB70E6"/>
    <w:rsid w:val="00EB719F"/>
    <w:rsid w:val="00EC00C9"/>
    <w:rsid w:val="00EC185B"/>
    <w:rsid w:val="00EC21FB"/>
    <w:rsid w:val="00EC22EE"/>
    <w:rsid w:val="00EC4E08"/>
    <w:rsid w:val="00EC60BF"/>
    <w:rsid w:val="00EC6771"/>
    <w:rsid w:val="00EC7C22"/>
    <w:rsid w:val="00ED00E5"/>
    <w:rsid w:val="00ED452D"/>
    <w:rsid w:val="00ED7F78"/>
    <w:rsid w:val="00EE07D3"/>
    <w:rsid w:val="00EE0B5D"/>
    <w:rsid w:val="00EE1D6F"/>
    <w:rsid w:val="00EE38FD"/>
    <w:rsid w:val="00EE3D60"/>
    <w:rsid w:val="00EE525E"/>
    <w:rsid w:val="00EE7826"/>
    <w:rsid w:val="00EF06FC"/>
    <w:rsid w:val="00EF0B71"/>
    <w:rsid w:val="00EF21B8"/>
    <w:rsid w:val="00EF2923"/>
    <w:rsid w:val="00EF2A79"/>
    <w:rsid w:val="00EF3D8B"/>
    <w:rsid w:val="00EF42F5"/>
    <w:rsid w:val="00EF631C"/>
    <w:rsid w:val="00EF7109"/>
    <w:rsid w:val="00EF7AA4"/>
    <w:rsid w:val="00F01855"/>
    <w:rsid w:val="00F04523"/>
    <w:rsid w:val="00F05B5E"/>
    <w:rsid w:val="00F062D0"/>
    <w:rsid w:val="00F0636F"/>
    <w:rsid w:val="00F067A2"/>
    <w:rsid w:val="00F119DF"/>
    <w:rsid w:val="00F171DD"/>
    <w:rsid w:val="00F174E5"/>
    <w:rsid w:val="00F2012F"/>
    <w:rsid w:val="00F20176"/>
    <w:rsid w:val="00F20E77"/>
    <w:rsid w:val="00F210C3"/>
    <w:rsid w:val="00F2151F"/>
    <w:rsid w:val="00F243BE"/>
    <w:rsid w:val="00F24565"/>
    <w:rsid w:val="00F24837"/>
    <w:rsid w:val="00F2575F"/>
    <w:rsid w:val="00F30675"/>
    <w:rsid w:val="00F3070F"/>
    <w:rsid w:val="00F30DD1"/>
    <w:rsid w:val="00F3175F"/>
    <w:rsid w:val="00F32830"/>
    <w:rsid w:val="00F33663"/>
    <w:rsid w:val="00F33DE9"/>
    <w:rsid w:val="00F34061"/>
    <w:rsid w:val="00F3619A"/>
    <w:rsid w:val="00F375AB"/>
    <w:rsid w:val="00F37EB9"/>
    <w:rsid w:val="00F40FD3"/>
    <w:rsid w:val="00F422A5"/>
    <w:rsid w:val="00F42775"/>
    <w:rsid w:val="00F42B68"/>
    <w:rsid w:val="00F42D36"/>
    <w:rsid w:val="00F430AA"/>
    <w:rsid w:val="00F43D21"/>
    <w:rsid w:val="00F456BA"/>
    <w:rsid w:val="00F4649D"/>
    <w:rsid w:val="00F466B8"/>
    <w:rsid w:val="00F46CB6"/>
    <w:rsid w:val="00F47E40"/>
    <w:rsid w:val="00F51070"/>
    <w:rsid w:val="00F517BC"/>
    <w:rsid w:val="00F53631"/>
    <w:rsid w:val="00F54052"/>
    <w:rsid w:val="00F5412A"/>
    <w:rsid w:val="00F55E73"/>
    <w:rsid w:val="00F57F0D"/>
    <w:rsid w:val="00F60092"/>
    <w:rsid w:val="00F60CE4"/>
    <w:rsid w:val="00F653BF"/>
    <w:rsid w:val="00F65B2F"/>
    <w:rsid w:val="00F70EA6"/>
    <w:rsid w:val="00F72EA3"/>
    <w:rsid w:val="00F7417B"/>
    <w:rsid w:val="00F743BC"/>
    <w:rsid w:val="00F770BE"/>
    <w:rsid w:val="00F808BC"/>
    <w:rsid w:val="00F80AD3"/>
    <w:rsid w:val="00F80E5D"/>
    <w:rsid w:val="00F8117E"/>
    <w:rsid w:val="00F817A7"/>
    <w:rsid w:val="00F81C5B"/>
    <w:rsid w:val="00F82398"/>
    <w:rsid w:val="00F83C6D"/>
    <w:rsid w:val="00F851CE"/>
    <w:rsid w:val="00F85E87"/>
    <w:rsid w:val="00F85F12"/>
    <w:rsid w:val="00F872AA"/>
    <w:rsid w:val="00F9058D"/>
    <w:rsid w:val="00F927A9"/>
    <w:rsid w:val="00F92975"/>
    <w:rsid w:val="00F9315D"/>
    <w:rsid w:val="00F95686"/>
    <w:rsid w:val="00F95EDA"/>
    <w:rsid w:val="00F97801"/>
    <w:rsid w:val="00F97A78"/>
    <w:rsid w:val="00FA234E"/>
    <w:rsid w:val="00FA24E7"/>
    <w:rsid w:val="00FA2620"/>
    <w:rsid w:val="00FA2E52"/>
    <w:rsid w:val="00FA3D9F"/>
    <w:rsid w:val="00FA4699"/>
    <w:rsid w:val="00FA6A05"/>
    <w:rsid w:val="00FA729F"/>
    <w:rsid w:val="00FB0D0A"/>
    <w:rsid w:val="00FB2D96"/>
    <w:rsid w:val="00FB2FCB"/>
    <w:rsid w:val="00FB40BE"/>
    <w:rsid w:val="00FB607C"/>
    <w:rsid w:val="00FC1074"/>
    <w:rsid w:val="00FC1884"/>
    <w:rsid w:val="00FC1FBE"/>
    <w:rsid w:val="00FC418C"/>
    <w:rsid w:val="00FC4DD6"/>
    <w:rsid w:val="00FC6AC5"/>
    <w:rsid w:val="00FD14D3"/>
    <w:rsid w:val="00FD18A3"/>
    <w:rsid w:val="00FD1C12"/>
    <w:rsid w:val="00FD2100"/>
    <w:rsid w:val="00FD2A60"/>
    <w:rsid w:val="00FD33CC"/>
    <w:rsid w:val="00FD36DD"/>
    <w:rsid w:val="00FD3FA5"/>
    <w:rsid w:val="00FD3FAD"/>
    <w:rsid w:val="00FD446D"/>
    <w:rsid w:val="00FD4667"/>
    <w:rsid w:val="00FD5BB8"/>
    <w:rsid w:val="00FD7D3E"/>
    <w:rsid w:val="00FE0E1E"/>
    <w:rsid w:val="00FE18EE"/>
    <w:rsid w:val="00FE21D7"/>
    <w:rsid w:val="00FE58E5"/>
    <w:rsid w:val="00FE6BC6"/>
    <w:rsid w:val="00FE6CB4"/>
    <w:rsid w:val="00FF0AE0"/>
    <w:rsid w:val="00FF1159"/>
    <w:rsid w:val="00FF1633"/>
    <w:rsid w:val="00FF28FD"/>
    <w:rsid w:val="00FF3DCF"/>
    <w:rsid w:val="00FF3F68"/>
    <w:rsid w:val="00FF437E"/>
    <w:rsid w:val="00FF512A"/>
    <w:rsid w:val="00FF5AA3"/>
    <w:rsid w:val="00FF5EB1"/>
    <w:rsid w:val="00FF7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807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9050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1C33BF"/>
    <w:pPr>
      <w:outlineLvl w:val="1"/>
    </w:pPr>
    <w:rPr>
      <w:b/>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33BF"/>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C33BF"/>
    <w:pPr>
      <w:widowControl/>
      <w:ind w:left="0" w:firstLine="0"/>
    </w:pPr>
    <w:rPr>
      <w:sz w:val="28"/>
    </w:rPr>
  </w:style>
  <w:style w:type="character" w:customStyle="1" w:styleId="TitleChar">
    <w:name w:val="Title Char"/>
    <w:basedOn w:val="DefaultParagraphFont"/>
    <w:link w:val="Title"/>
    <w:rsid w:val="001C33BF"/>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character" w:customStyle="1" w:styleId="TableTextChar0">
    <w:name w:val="TableText Char"/>
    <w:basedOn w:val="DefaultParagraphFont"/>
    <w:link w:val="TableText0"/>
    <w:rsid w:val="00980A3C"/>
    <w:rPr>
      <w:rFonts w:ascii="Arial Narrow" w:hAnsi="Arial Narrow" w:cs="Arial Narrow"/>
      <w:lang w:eastAsia="en-US"/>
    </w:rPr>
  </w:style>
  <w:style w:type="paragraph" w:customStyle="1" w:styleId="Table">
    <w:name w:val="Table"/>
    <w:basedOn w:val="Normal"/>
    <w:qFormat/>
    <w:rsid w:val="001F7459"/>
    <w:pPr>
      <w:widowControl/>
      <w:jc w:val="left"/>
    </w:pPr>
    <w:rPr>
      <w:rFonts w:ascii="Arial Narrow" w:eastAsiaTheme="minorHAnsi" w:hAnsi="Arial Narrow" w:cstheme="minorBidi"/>
      <w:snapToGrid/>
      <w:sz w:val="20"/>
      <w:szCs w:val="22"/>
    </w:rPr>
  </w:style>
  <w:style w:type="paragraph" w:customStyle="1" w:styleId="Tablefootnotes">
    <w:name w:val="Table footnotes"/>
    <w:basedOn w:val="BodyText"/>
    <w:qFormat/>
    <w:rsid w:val="001E799F"/>
    <w:pPr>
      <w:keepLines/>
      <w:widowControl/>
      <w:contextualSpacing/>
      <w:jc w:val="both"/>
    </w:pPr>
    <w:rPr>
      <w:rFonts w:ascii="Arial Narrow" w:hAnsi="Arial Narrow"/>
      <w:snapToGrid/>
      <w:sz w:val="18"/>
      <w:szCs w:val="24"/>
    </w:rPr>
  </w:style>
  <w:style w:type="character" w:customStyle="1" w:styleId="Heading1Char">
    <w:name w:val="Heading 1 Char"/>
    <w:basedOn w:val="DefaultParagraphFont"/>
    <w:link w:val="Heading1"/>
    <w:rsid w:val="00656575"/>
    <w:rPr>
      <w:rFonts w:ascii="Arial Bold" w:hAnsi="Arial Bold" w:cs="Arial"/>
      <w:b/>
      <w:caps/>
      <w:snapToGrid w:val="0"/>
      <w:sz w:val="22"/>
      <w:lang w:eastAsia="en-US"/>
    </w:rPr>
  </w:style>
  <w:style w:type="character" w:customStyle="1" w:styleId="Heading3Char">
    <w:name w:val="Heading 3 Char"/>
    <w:basedOn w:val="DefaultParagraphFont"/>
    <w:link w:val="Heading3"/>
    <w:rsid w:val="00656575"/>
    <w:rPr>
      <w:rFonts w:ascii="Arial" w:hAnsi="Arial" w:cs="Arial"/>
      <w:snapToGrid w:val="0"/>
      <w:sz w:val="22"/>
      <w:u w:val="single"/>
      <w:lang w:eastAsia="en-US"/>
    </w:rPr>
  </w:style>
  <w:style w:type="paragraph" w:customStyle="1" w:styleId="Table-columnheadings">
    <w:name w:val="Table - column headings"/>
    <w:basedOn w:val="TableHeading"/>
    <w:rsid w:val="00EA15D3"/>
    <w:pPr>
      <w:spacing w:line="360" w:lineRule="auto"/>
      <w:jc w:val="both"/>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1423E"/>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E1423E"/>
    <w:pPr>
      <w:autoSpaceDE w:val="0"/>
      <w:autoSpaceDN w:val="0"/>
      <w:adjustRightInd w:val="0"/>
    </w:pPr>
    <w:rPr>
      <w:rFonts w:ascii="Cambria" w:hAnsi="Cambria" w:cs="Cambria"/>
      <w:color w:val="000000"/>
      <w:sz w:val="24"/>
      <w:szCs w:val="24"/>
    </w:rPr>
  </w:style>
  <w:style w:type="table" w:customStyle="1" w:styleId="TableGrid1">
    <w:name w:val="Table Grid1"/>
    <w:basedOn w:val="TableNormal"/>
    <w:next w:val="TableGrid"/>
    <w:uiPriority w:val="59"/>
    <w:rsid w:val="009C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BodyText2"/>
    <w:qFormat/>
    <w:rsid w:val="00C55F7F"/>
    <w:pPr>
      <w:spacing w:after="0" w:line="240" w:lineRule="auto"/>
    </w:pPr>
    <w:rPr>
      <w:rFonts w:cs="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09050C"/>
    <w:pPr>
      <w:widowControl w:val="0"/>
      <w:jc w:val="both"/>
    </w:pPr>
    <w:rPr>
      <w:rFonts w:ascii="Arial" w:hAnsi="Arial" w:cs="Arial"/>
      <w:snapToGrid w:val="0"/>
      <w:sz w:val="22"/>
      <w:lang w:eastAsia="en-US"/>
    </w:rPr>
  </w:style>
  <w:style w:type="paragraph" w:styleId="Heading1">
    <w:name w:val="heading 1"/>
    <w:basedOn w:val="Normal"/>
    <w:next w:val="Normal"/>
    <w:link w:val="Heading1Char"/>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1C33BF"/>
    <w:pPr>
      <w:outlineLvl w:val="1"/>
    </w:pPr>
    <w:rPr>
      <w:b/>
      <w:szCs w:val="22"/>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rsid w:val="001C33BF"/>
    <w:rPr>
      <w:rFonts w:ascii="Arial" w:hAnsi="Arial" w:cs="Arial"/>
      <w:b/>
      <w:snapToGrid w:val="0"/>
      <w:sz w:val="22"/>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Heading1"/>
    <w:next w:val="Normal"/>
    <w:link w:val="TitleChar"/>
    <w:rsid w:val="001C33BF"/>
    <w:pPr>
      <w:widowControl/>
      <w:ind w:left="0" w:firstLine="0"/>
    </w:pPr>
    <w:rPr>
      <w:sz w:val="28"/>
    </w:rPr>
  </w:style>
  <w:style w:type="character" w:customStyle="1" w:styleId="TitleChar">
    <w:name w:val="Title Char"/>
    <w:basedOn w:val="DefaultParagraphFont"/>
    <w:link w:val="Title"/>
    <w:rsid w:val="001C33BF"/>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character" w:customStyle="1" w:styleId="TableTextChar0">
    <w:name w:val="TableText Char"/>
    <w:basedOn w:val="DefaultParagraphFont"/>
    <w:link w:val="TableText0"/>
    <w:rsid w:val="00980A3C"/>
    <w:rPr>
      <w:rFonts w:ascii="Arial Narrow" w:hAnsi="Arial Narrow" w:cs="Arial Narrow"/>
      <w:lang w:eastAsia="en-US"/>
    </w:rPr>
  </w:style>
  <w:style w:type="paragraph" w:customStyle="1" w:styleId="Table">
    <w:name w:val="Table"/>
    <w:basedOn w:val="Normal"/>
    <w:qFormat/>
    <w:rsid w:val="001F7459"/>
    <w:pPr>
      <w:widowControl/>
      <w:jc w:val="left"/>
    </w:pPr>
    <w:rPr>
      <w:rFonts w:ascii="Arial Narrow" w:eastAsiaTheme="minorHAnsi" w:hAnsi="Arial Narrow" w:cstheme="minorBidi"/>
      <w:snapToGrid/>
      <w:sz w:val="20"/>
      <w:szCs w:val="22"/>
    </w:rPr>
  </w:style>
  <w:style w:type="paragraph" w:customStyle="1" w:styleId="Tablefootnotes">
    <w:name w:val="Table footnotes"/>
    <w:basedOn w:val="BodyText"/>
    <w:qFormat/>
    <w:rsid w:val="001E799F"/>
    <w:pPr>
      <w:keepLines/>
      <w:widowControl/>
      <w:contextualSpacing/>
      <w:jc w:val="both"/>
    </w:pPr>
    <w:rPr>
      <w:rFonts w:ascii="Arial Narrow" w:hAnsi="Arial Narrow"/>
      <w:snapToGrid/>
      <w:sz w:val="18"/>
      <w:szCs w:val="24"/>
    </w:rPr>
  </w:style>
  <w:style w:type="character" w:customStyle="1" w:styleId="Heading1Char">
    <w:name w:val="Heading 1 Char"/>
    <w:basedOn w:val="DefaultParagraphFont"/>
    <w:link w:val="Heading1"/>
    <w:rsid w:val="00656575"/>
    <w:rPr>
      <w:rFonts w:ascii="Arial Bold" w:hAnsi="Arial Bold" w:cs="Arial"/>
      <w:b/>
      <w:caps/>
      <w:snapToGrid w:val="0"/>
      <w:sz w:val="22"/>
      <w:lang w:eastAsia="en-US"/>
    </w:rPr>
  </w:style>
  <w:style w:type="character" w:customStyle="1" w:styleId="Heading3Char">
    <w:name w:val="Heading 3 Char"/>
    <w:basedOn w:val="DefaultParagraphFont"/>
    <w:link w:val="Heading3"/>
    <w:rsid w:val="00656575"/>
    <w:rPr>
      <w:rFonts w:ascii="Arial" w:hAnsi="Arial" w:cs="Arial"/>
      <w:snapToGrid w:val="0"/>
      <w:sz w:val="22"/>
      <w:u w:val="single"/>
      <w:lang w:eastAsia="en-US"/>
    </w:rPr>
  </w:style>
  <w:style w:type="paragraph" w:customStyle="1" w:styleId="Table-columnheadings">
    <w:name w:val="Table - column headings"/>
    <w:basedOn w:val="TableHeading"/>
    <w:rsid w:val="00EA15D3"/>
    <w:pPr>
      <w:spacing w:line="360" w:lineRule="auto"/>
      <w:jc w:val="both"/>
    </w:p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1423E"/>
    <w:pPr>
      <w:widowControl/>
      <w:spacing w:after="160" w:line="240" w:lineRule="exact"/>
      <w:jc w:val="left"/>
    </w:pPr>
    <w:rPr>
      <w:rFonts w:ascii="Verdana" w:eastAsia="MS Mincho" w:hAnsi="Verdana" w:cs="Verdana"/>
      <w:snapToGrid/>
      <w:sz w:val="20"/>
      <w:lang w:val="en-US"/>
    </w:rPr>
  </w:style>
  <w:style w:type="paragraph" w:customStyle="1" w:styleId="Default">
    <w:name w:val="Default"/>
    <w:rsid w:val="00E1423E"/>
    <w:pPr>
      <w:autoSpaceDE w:val="0"/>
      <w:autoSpaceDN w:val="0"/>
      <w:adjustRightInd w:val="0"/>
    </w:pPr>
    <w:rPr>
      <w:rFonts w:ascii="Cambria" w:hAnsi="Cambria" w:cs="Cambria"/>
      <w:color w:val="000000"/>
      <w:sz w:val="24"/>
      <w:szCs w:val="24"/>
    </w:rPr>
  </w:style>
  <w:style w:type="table" w:customStyle="1" w:styleId="TableGrid1">
    <w:name w:val="Table Grid1"/>
    <w:basedOn w:val="TableNormal"/>
    <w:next w:val="TableGrid"/>
    <w:uiPriority w:val="59"/>
    <w:rsid w:val="009C4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BodyText2"/>
    <w:qFormat/>
    <w:rsid w:val="00C55F7F"/>
    <w:pPr>
      <w:spacing w:after="0" w:line="240" w:lineRule="auto"/>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759741">
      <w:bodyDiv w:val="1"/>
      <w:marLeft w:val="0"/>
      <w:marRight w:val="0"/>
      <w:marTop w:val="0"/>
      <w:marBottom w:val="0"/>
      <w:divBdr>
        <w:top w:val="none" w:sz="0" w:space="0" w:color="auto"/>
        <w:left w:val="none" w:sz="0" w:space="0" w:color="auto"/>
        <w:bottom w:val="none" w:sz="0" w:space="0" w:color="auto"/>
        <w:right w:val="none" w:sz="0" w:space="0" w:color="auto"/>
      </w:divBdr>
    </w:div>
    <w:div w:id="180199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BACCF-3924-469C-B1BC-C7823A97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5241</Words>
  <Characters>29880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5.16 netupitant and palonosetron</vt:lpstr>
    </vt:vector>
  </TitlesOfParts>
  <LinksUpToDate>false</LinksUpToDate>
  <CharactersWithSpaces>35051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5.16 netupitant and palonosetron</dc:title>
  <dc:creator/>
  <cp:lastModifiedBy/>
  <cp:revision>1</cp:revision>
  <dcterms:created xsi:type="dcterms:W3CDTF">2015-06-29T03:19:00Z</dcterms:created>
  <dcterms:modified xsi:type="dcterms:W3CDTF">2015-06-29T03:20:00Z</dcterms:modified>
</cp:coreProperties>
</file>