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66" w:rsidRDefault="000B17D9" w:rsidP="00DF7C66">
      <w:pPr>
        <w:pStyle w:val="Title"/>
      </w:pPr>
      <w:r w:rsidRPr="00B51B47">
        <w:t xml:space="preserve">5.15 </w:t>
      </w:r>
      <w:r w:rsidR="00DF7C66">
        <w:t xml:space="preserve"> LUTROPIN ALFA</w:t>
      </w:r>
      <w:r w:rsidR="00DF7C66">
        <w:tab/>
      </w:r>
      <w:r w:rsidR="00DF7C66">
        <w:tab/>
      </w:r>
      <w:r w:rsidR="00DF7C66">
        <w:tab/>
      </w:r>
      <w:r w:rsidR="00DF7C66">
        <w:tab/>
      </w:r>
      <w:r w:rsidR="00DF7C66">
        <w:tab/>
      </w:r>
      <w:r w:rsidR="00DF7C66">
        <w:tab/>
      </w:r>
      <w:r w:rsidR="00DF7C66">
        <w:tab/>
      </w:r>
      <w:r w:rsidR="00DF7C66">
        <w:tab/>
      </w:r>
    </w:p>
    <w:p w:rsidR="00DF7C66" w:rsidRPr="00DF7C66" w:rsidRDefault="000B17D9" w:rsidP="00DF7C66">
      <w:pPr>
        <w:ind w:firstLine="720"/>
        <w:rPr>
          <w:b/>
          <w:sz w:val="28"/>
          <w:szCs w:val="28"/>
        </w:rPr>
      </w:pPr>
      <w:r w:rsidRPr="00DF7C66">
        <w:rPr>
          <w:b/>
          <w:sz w:val="28"/>
          <w:szCs w:val="28"/>
        </w:rPr>
        <w:t>75 IU, P</w:t>
      </w:r>
      <w:r w:rsidR="00B51B47" w:rsidRPr="00DF7C66">
        <w:rPr>
          <w:b/>
          <w:sz w:val="28"/>
          <w:szCs w:val="28"/>
        </w:rPr>
        <w:t>owder for injection;</w:t>
      </w:r>
      <w:r w:rsidRPr="00DF7C66">
        <w:rPr>
          <w:b/>
          <w:sz w:val="28"/>
          <w:szCs w:val="28"/>
        </w:rPr>
        <w:t xml:space="preserve"> </w:t>
      </w:r>
      <w:r w:rsidR="00DF7C66" w:rsidRPr="00DF7C66">
        <w:rPr>
          <w:b/>
          <w:sz w:val="28"/>
          <w:szCs w:val="28"/>
        </w:rPr>
        <w:tab/>
      </w:r>
      <w:r w:rsidR="00DF7C66" w:rsidRPr="00DF7C66">
        <w:rPr>
          <w:b/>
          <w:sz w:val="28"/>
          <w:szCs w:val="28"/>
        </w:rPr>
        <w:tab/>
      </w:r>
      <w:r w:rsidR="00DF7C66" w:rsidRPr="00DF7C66">
        <w:rPr>
          <w:b/>
          <w:sz w:val="28"/>
          <w:szCs w:val="28"/>
        </w:rPr>
        <w:tab/>
      </w:r>
    </w:p>
    <w:p w:rsidR="00B60939" w:rsidRPr="00DF7C66" w:rsidRDefault="00DF7C66" w:rsidP="00DF7C66">
      <w:pPr>
        <w:ind w:firstLine="720"/>
        <w:rPr>
          <w:b/>
          <w:sz w:val="28"/>
          <w:szCs w:val="28"/>
        </w:rPr>
      </w:pPr>
      <w:r w:rsidRPr="00DF7C66">
        <w:rPr>
          <w:b/>
          <w:sz w:val="28"/>
          <w:szCs w:val="28"/>
        </w:rPr>
        <w:t>L</w:t>
      </w:r>
      <w:r w:rsidR="000B17D9" w:rsidRPr="00DF7C66">
        <w:rPr>
          <w:b/>
          <w:sz w:val="28"/>
          <w:szCs w:val="28"/>
        </w:rPr>
        <w:t>uveris®</w:t>
      </w:r>
      <w:r w:rsidR="000821D2">
        <w:rPr>
          <w:b/>
          <w:sz w:val="28"/>
          <w:szCs w:val="28"/>
        </w:rPr>
        <w:t>;</w:t>
      </w:r>
      <w:r w:rsidR="0084465C" w:rsidRPr="00DF7C66">
        <w:rPr>
          <w:b/>
          <w:sz w:val="28"/>
          <w:szCs w:val="28"/>
        </w:rPr>
        <w:t xml:space="preserve"> </w:t>
      </w:r>
      <w:r w:rsidR="000B17D9" w:rsidRPr="00DF7C66">
        <w:rPr>
          <w:b/>
          <w:sz w:val="28"/>
          <w:szCs w:val="28"/>
        </w:rPr>
        <w:t>Merck Serono Australia Pty Ltd</w:t>
      </w:r>
    </w:p>
    <w:p w:rsidR="00B60939" w:rsidRDefault="00B60939" w:rsidP="00207D00"/>
    <w:p w:rsidR="00433044" w:rsidRDefault="00433044" w:rsidP="00433044"/>
    <w:p w:rsidR="00B50DB8" w:rsidRPr="00407F2D" w:rsidRDefault="00B50DB8" w:rsidP="00774711">
      <w:pPr>
        <w:pStyle w:val="PBACHeading1"/>
        <w:spacing w:after="220"/>
      </w:pPr>
      <w:bookmarkStart w:id="0" w:name="_Toc408922669"/>
      <w:r w:rsidRPr="00407F2D">
        <w:t>Purpose of Application</w:t>
      </w:r>
      <w:bookmarkEnd w:id="0"/>
    </w:p>
    <w:p w:rsidR="009E2615" w:rsidRPr="003568CC" w:rsidRDefault="001E238E" w:rsidP="00804CFF">
      <w:pPr>
        <w:pStyle w:val="ListParagraph"/>
        <w:widowControl/>
        <w:numPr>
          <w:ilvl w:val="1"/>
          <w:numId w:val="5"/>
        </w:numPr>
        <w:spacing w:after="220"/>
        <w:jc w:val="left"/>
        <w:rPr>
          <w:b/>
          <w:szCs w:val="22"/>
        </w:rPr>
      </w:pPr>
      <w:r w:rsidRPr="00E41DD8">
        <w:t>Section 100</w:t>
      </w:r>
      <w:r w:rsidR="00F77121" w:rsidRPr="00E41DD8">
        <w:t xml:space="preserve"> (IVF/GIFT program)</w:t>
      </w:r>
      <w:r w:rsidRPr="00E41DD8">
        <w:t xml:space="preserve"> listing for </w:t>
      </w:r>
      <w:r w:rsidR="00F77121" w:rsidRPr="00E41DD8">
        <w:t>lutropin alfa</w:t>
      </w:r>
      <w:r w:rsidRPr="00E41DD8">
        <w:t xml:space="preserve"> for treatment of </w:t>
      </w:r>
      <w:r w:rsidR="00F77121" w:rsidRPr="00E41DD8">
        <w:t>severe luteinising hormone deficiency</w:t>
      </w:r>
      <w:r w:rsidR="0038164E">
        <w:t>.</w:t>
      </w:r>
      <w:bookmarkStart w:id="1" w:name="_Toc408922670"/>
    </w:p>
    <w:p w:rsidR="003568CC" w:rsidRPr="00804CFF" w:rsidRDefault="003568CC" w:rsidP="003568CC">
      <w:pPr>
        <w:pStyle w:val="ListParagraph"/>
        <w:widowControl/>
        <w:spacing w:after="220"/>
        <w:jc w:val="left"/>
        <w:rPr>
          <w:b/>
          <w:szCs w:val="22"/>
        </w:rPr>
      </w:pPr>
    </w:p>
    <w:p w:rsidR="00B50DB8" w:rsidRDefault="00B50DB8" w:rsidP="00774711">
      <w:pPr>
        <w:pStyle w:val="PBACHeading1"/>
        <w:spacing w:after="220"/>
      </w:pPr>
      <w:r w:rsidRPr="00407F2D">
        <w:t>Requested listing</w:t>
      </w:r>
      <w:bookmarkEnd w:id="1"/>
    </w:p>
    <w:p w:rsidR="00804CFF" w:rsidRPr="00AF0E6A" w:rsidRDefault="00804CFF" w:rsidP="00804CFF">
      <w:pPr>
        <w:pStyle w:val="ListParagraph"/>
        <w:widowControl/>
        <w:numPr>
          <w:ilvl w:val="1"/>
          <w:numId w:val="5"/>
        </w:numPr>
        <w:rPr>
          <w:szCs w:val="22"/>
        </w:rPr>
      </w:pPr>
      <w:r w:rsidRPr="00AF0E6A">
        <w:rPr>
          <w:rFonts w:eastAsia="SimSun"/>
          <w:iCs/>
          <w:color w:val="000000"/>
          <w:szCs w:val="22"/>
        </w:rPr>
        <w:t>Suggestions and additions proposed by the Secretariat to the requested listing are added in italics and suggested deletions are crossed out with strikethrough.</w:t>
      </w:r>
    </w:p>
    <w:p w:rsidR="00804CFF" w:rsidRPr="00407F2D" w:rsidRDefault="00804CFF" w:rsidP="00804CFF">
      <w:pPr>
        <w:pStyle w:val="PBACHeading1"/>
        <w:numPr>
          <w:ilvl w:val="0"/>
          <w:numId w:val="0"/>
        </w:numPr>
        <w:spacing w:after="220"/>
        <w:ind w:left="720"/>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804CFF" w:rsidRPr="00C61D08" w:rsidTr="00251FD2">
        <w:trPr>
          <w:cantSplit/>
          <w:trHeight w:val="471"/>
        </w:trPr>
        <w:tc>
          <w:tcPr>
            <w:tcW w:w="2552" w:type="dxa"/>
            <w:gridSpan w:val="2"/>
            <w:tcBorders>
              <w:bottom w:val="single" w:sz="4" w:space="0" w:color="auto"/>
            </w:tcBorders>
          </w:tcPr>
          <w:p w:rsidR="00804CFF" w:rsidRPr="00C61D08" w:rsidRDefault="00804CFF" w:rsidP="00251FD2">
            <w:pPr>
              <w:keepNext/>
              <w:widowControl/>
              <w:ind w:left="-108"/>
              <w:rPr>
                <w:rFonts w:ascii="Arial Narrow" w:hAnsi="Arial Narrow"/>
                <w:snapToGrid/>
                <w:sz w:val="20"/>
                <w:lang w:eastAsia="en-AU"/>
              </w:rPr>
            </w:pPr>
            <w:r w:rsidRPr="00C61D08">
              <w:rPr>
                <w:rFonts w:ascii="Arial Narrow" w:hAnsi="Arial Narrow"/>
                <w:snapToGrid/>
                <w:sz w:val="20"/>
                <w:lang w:eastAsia="en-AU"/>
              </w:rPr>
              <w:t>Name, Restric</w:t>
            </w:r>
            <w:bookmarkStart w:id="2" w:name="_GoBack"/>
            <w:bookmarkEnd w:id="2"/>
            <w:r w:rsidRPr="00C61D08">
              <w:rPr>
                <w:rFonts w:ascii="Arial Narrow" w:hAnsi="Arial Narrow"/>
                <w:snapToGrid/>
                <w:sz w:val="20"/>
                <w:lang w:eastAsia="en-AU"/>
              </w:rPr>
              <w:t>tion,</w:t>
            </w:r>
          </w:p>
          <w:p w:rsidR="00804CFF" w:rsidRPr="00C61D08" w:rsidRDefault="00804CFF" w:rsidP="00251FD2">
            <w:pPr>
              <w:keepNext/>
              <w:widowControl/>
              <w:ind w:left="-108"/>
              <w:rPr>
                <w:rFonts w:ascii="Arial Narrow" w:hAnsi="Arial Narrow"/>
                <w:snapToGrid/>
                <w:sz w:val="20"/>
                <w:lang w:eastAsia="en-AU"/>
              </w:rPr>
            </w:pPr>
            <w:r w:rsidRPr="00C61D08">
              <w:rPr>
                <w:rFonts w:ascii="Arial Narrow" w:hAnsi="Arial Narrow"/>
                <w:snapToGrid/>
                <w:sz w:val="20"/>
                <w:lang w:eastAsia="en-AU"/>
              </w:rPr>
              <w:t>Manner of administration and form</w:t>
            </w:r>
          </w:p>
        </w:tc>
        <w:tc>
          <w:tcPr>
            <w:tcW w:w="567" w:type="dxa"/>
            <w:tcBorders>
              <w:bottom w:val="single" w:sz="4" w:space="0" w:color="auto"/>
            </w:tcBorders>
          </w:tcPr>
          <w:p w:rsidR="00804CFF" w:rsidRPr="00C61D08" w:rsidRDefault="00804CFF" w:rsidP="00251FD2">
            <w:pPr>
              <w:keepNext/>
              <w:widowControl/>
              <w:ind w:left="-108"/>
              <w:rPr>
                <w:rFonts w:ascii="Arial Narrow" w:hAnsi="Arial Narrow"/>
                <w:snapToGrid/>
                <w:sz w:val="20"/>
                <w:lang w:eastAsia="en-AU"/>
              </w:rPr>
            </w:pPr>
            <w:r w:rsidRPr="00C61D08">
              <w:rPr>
                <w:rFonts w:ascii="Arial Narrow" w:hAnsi="Arial Narrow"/>
                <w:snapToGrid/>
                <w:sz w:val="20"/>
                <w:lang w:eastAsia="en-AU"/>
              </w:rPr>
              <w:t>Max.</w:t>
            </w:r>
          </w:p>
          <w:p w:rsidR="00804CFF" w:rsidRPr="00C61D08" w:rsidRDefault="00804CFF" w:rsidP="00251FD2">
            <w:pPr>
              <w:keepNext/>
              <w:widowControl/>
              <w:ind w:left="-108"/>
              <w:rPr>
                <w:rFonts w:ascii="Arial Narrow" w:hAnsi="Arial Narrow"/>
                <w:snapToGrid/>
                <w:sz w:val="20"/>
                <w:lang w:eastAsia="en-AU"/>
              </w:rPr>
            </w:pPr>
            <w:r w:rsidRPr="00C61D08">
              <w:rPr>
                <w:rFonts w:ascii="Arial Narrow" w:hAnsi="Arial Narrow"/>
                <w:snapToGrid/>
                <w:sz w:val="20"/>
                <w:lang w:eastAsia="en-AU"/>
              </w:rPr>
              <w:t>Qty</w:t>
            </w:r>
          </w:p>
        </w:tc>
        <w:tc>
          <w:tcPr>
            <w:tcW w:w="850" w:type="dxa"/>
            <w:tcBorders>
              <w:bottom w:val="single" w:sz="4" w:space="0" w:color="auto"/>
            </w:tcBorders>
          </w:tcPr>
          <w:p w:rsidR="00804CFF" w:rsidRPr="00C61D08" w:rsidRDefault="00804CFF" w:rsidP="00251FD2">
            <w:pPr>
              <w:keepNext/>
              <w:widowControl/>
              <w:ind w:left="-108"/>
              <w:rPr>
                <w:rFonts w:ascii="Arial Narrow" w:hAnsi="Arial Narrow"/>
                <w:snapToGrid/>
                <w:sz w:val="20"/>
                <w:lang w:eastAsia="en-AU"/>
              </w:rPr>
            </w:pPr>
            <w:r w:rsidRPr="00C61D08">
              <w:rPr>
                <w:rFonts w:ascii="Arial Narrow" w:hAnsi="Arial Narrow"/>
                <w:snapToGrid/>
                <w:sz w:val="20"/>
                <w:lang w:eastAsia="en-AU"/>
              </w:rPr>
              <w:t>№.of</w:t>
            </w:r>
          </w:p>
          <w:p w:rsidR="00804CFF" w:rsidRPr="00C61D08" w:rsidRDefault="00804CFF" w:rsidP="00251FD2">
            <w:pPr>
              <w:keepNext/>
              <w:widowControl/>
              <w:ind w:left="-108"/>
              <w:rPr>
                <w:rFonts w:ascii="Arial Narrow" w:hAnsi="Arial Narrow"/>
                <w:snapToGrid/>
                <w:sz w:val="20"/>
                <w:lang w:eastAsia="en-AU"/>
              </w:rPr>
            </w:pPr>
            <w:r w:rsidRPr="00C61D08">
              <w:rPr>
                <w:rFonts w:ascii="Arial Narrow" w:hAnsi="Arial Narrow"/>
                <w:snapToGrid/>
                <w:sz w:val="20"/>
                <w:lang w:eastAsia="en-AU"/>
              </w:rPr>
              <w:t>Rpts</w:t>
            </w:r>
          </w:p>
        </w:tc>
        <w:tc>
          <w:tcPr>
            <w:tcW w:w="1701" w:type="dxa"/>
            <w:tcBorders>
              <w:bottom w:val="single" w:sz="4" w:space="0" w:color="auto"/>
            </w:tcBorders>
          </w:tcPr>
          <w:p w:rsidR="00804CFF" w:rsidRPr="00C61D08" w:rsidRDefault="00804CFF" w:rsidP="00251FD2">
            <w:pPr>
              <w:keepNext/>
              <w:widowControl/>
              <w:ind w:left="-108"/>
              <w:rPr>
                <w:rFonts w:ascii="Arial Narrow" w:hAnsi="Arial Narrow"/>
                <w:snapToGrid/>
                <w:sz w:val="20"/>
                <w:lang w:eastAsia="en-AU"/>
              </w:rPr>
            </w:pPr>
            <w:r w:rsidRPr="00C61D08">
              <w:rPr>
                <w:rFonts w:ascii="Arial Narrow" w:hAnsi="Arial Narrow"/>
                <w:snapToGrid/>
                <w:sz w:val="20"/>
                <w:lang w:eastAsia="en-AU"/>
              </w:rPr>
              <w:t>Dispensed Price for Max. Qty</w:t>
            </w:r>
          </w:p>
        </w:tc>
        <w:tc>
          <w:tcPr>
            <w:tcW w:w="2835" w:type="dxa"/>
            <w:gridSpan w:val="2"/>
            <w:tcBorders>
              <w:bottom w:val="single" w:sz="4" w:space="0" w:color="auto"/>
            </w:tcBorders>
          </w:tcPr>
          <w:p w:rsidR="00804CFF" w:rsidRPr="00C61D08" w:rsidRDefault="00804CFF" w:rsidP="00251FD2">
            <w:pPr>
              <w:keepNext/>
              <w:widowControl/>
              <w:rPr>
                <w:rFonts w:ascii="Arial Narrow" w:hAnsi="Arial Narrow"/>
                <w:snapToGrid/>
                <w:sz w:val="20"/>
                <w:lang w:val="fr-FR" w:eastAsia="en-AU"/>
              </w:rPr>
            </w:pPr>
            <w:r w:rsidRPr="00C61D08">
              <w:rPr>
                <w:rFonts w:ascii="Arial Narrow" w:hAnsi="Arial Narrow"/>
                <w:snapToGrid/>
                <w:sz w:val="20"/>
                <w:lang w:eastAsia="en-AU"/>
              </w:rPr>
              <w:t>Proprietary Name and Manufacturer</w:t>
            </w:r>
          </w:p>
        </w:tc>
      </w:tr>
      <w:tr w:rsidR="00804CFF" w:rsidRPr="00C61D08" w:rsidTr="00251FD2">
        <w:trPr>
          <w:cantSplit/>
          <w:trHeight w:val="577"/>
        </w:trPr>
        <w:tc>
          <w:tcPr>
            <w:tcW w:w="2552" w:type="dxa"/>
            <w:gridSpan w:val="2"/>
          </w:tcPr>
          <w:p w:rsidR="00804CFF" w:rsidRPr="00C61D08" w:rsidRDefault="00804CFF" w:rsidP="00251FD2">
            <w:pPr>
              <w:keepNext/>
              <w:widowControl/>
              <w:rPr>
                <w:sz w:val="20"/>
              </w:rPr>
            </w:pPr>
            <w:r w:rsidRPr="00C61D08">
              <w:rPr>
                <w:smallCaps/>
                <w:sz w:val="20"/>
              </w:rPr>
              <w:t>lutropin alfa</w:t>
            </w:r>
          </w:p>
          <w:p w:rsidR="00804CFF" w:rsidRPr="00C61D08" w:rsidRDefault="00804CFF" w:rsidP="00251FD2">
            <w:pPr>
              <w:keepNext/>
              <w:widowControl/>
              <w:rPr>
                <w:sz w:val="20"/>
              </w:rPr>
            </w:pPr>
            <w:r w:rsidRPr="00C61D08">
              <w:rPr>
                <w:sz w:val="20"/>
              </w:rPr>
              <w:t>Powder for injection 75IU. Vial of solvent, 1mL water for injections</w:t>
            </w:r>
          </w:p>
        </w:tc>
        <w:tc>
          <w:tcPr>
            <w:tcW w:w="567" w:type="dxa"/>
          </w:tcPr>
          <w:p w:rsidR="00804CFF" w:rsidRPr="00C61D08" w:rsidRDefault="00804CFF" w:rsidP="00251FD2">
            <w:pPr>
              <w:keepNext/>
              <w:widowControl/>
              <w:jc w:val="center"/>
              <w:rPr>
                <w:sz w:val="20"/>
              </w:rPr>
            </w:pPr>
          </w:p>
          <w:p w:rsidR="00804CFF" w:rsidRPr="00C61D08" w:rsidRDefault="00804CFF" w:rsidP="00251FD2">
            <w:pPr>
              <w:keepNext/>
              <w:widowControl/>
              <w:jc w:val="center"/>
              <w:rPr>
                <w:sz w:val="20"/>
              </w:rPr>
            </w:pPr>
            <w:r w:rsidRPr="00C61D08">
              <w:rPr>
                <w:sz w:val="20"/>
              </w:rPr>
              <w:t>1</w:t>
            </w:r>
          </w:p>
        </w:tc>
        <w:tc>
          <w:tcPr>
            <w:tcW w:w="850" w:type="dxa"/>
          </w:tcPr>
          <w:p w:rsidR="00804CFF" w:rsidRPr="00C61D08" w:rsidRDefault="00804CFF" w:rsidP="00251FD2">
            <w:pPr>
              <w:keepNext/>
              <w:widowControl/>
              <w:jc w:val="center"/>
              <w:rPr>
                <w:sz w:val="20"/>
              </w:rPr>
            </w:pPr>
          </w:p>
          <w:p w:rsidR="00804CFF" w:rsidRPr="00C61D08" w:rsidRDefault="00804CFF" w:rsidP="00251FD2">
            <w:pPr>
              <w:keepNext/>
              <w:widowControl/>
              <w:jc w:val="center"/>
              <w:rPr>
                <w:sz w:val="20"/>
              </w:rPr>
            </w:pPr>
            <w:r w:rsidRPr="00C61D08">
              <w:rPr>
                <w:sz w:val="20"/>
              </w:rPr>
              <w:t>1</w:t>
            </w:r>
          </w:p>
        </w:tc>
        <w:tc>
          <w:tcPr>
            <w:tcW w:w="1701" w:type="dxa"/>
          </w:tcPr>
          <w:p w:rsidR="00804CFF" w:rsidRPr="00C61D08" w:rsidRDefault="00804CFF" w:rsidP="00251FD2">
            <w:pPr>
              <w:keepNext/>
              <w:widowControl/>
              <w:jc w:val="center"/>
              <w:rPr>
                <w:sz w:val="20"/>
              </w:rPr>
            </w:pPr>
          </w:p>
          <w:p w:rsidR="00804CFF" w:rsidRPr="00C61D08" w:rsidRDefault="00804CFF" w:rsidP="00251FD2">
            <w:pPr>
              <w:keepNext/>
              <w:widowControl/>
              <w:jc w:val="center"/>
              <w:rPr>
                <w:sz w:val="20"/>
              </w:rPr>
            </w:pPr>
            <w:r w:rsidRPr="00C61D08">
              <w:rPr>
                <w:sz w:val="20"/>
              </w:rPr>
              <w:t>$</w:t>
            </w:r>
            <w:r w:rsidR="00C540E7">
              <w:rPr>
                <w:noProof/>
                <w:color w:val="000000"/>
                <w:sz w:val="20"/>
                <w:highlight w:val="black"/>
              </w:rPr>
              <w:t>'''''''''''''''</w:t>
            </w:r>
          </w:p>
        </w:tc>
        <w:tc>
          <w:tcPr>
            <w:tcW w:w="1559" w:type="dxa"/>
          </w:tcPr>
          <w:p w:rsidR="00804CFF" w:rsidRPr="00C61D08" w:rsidRDefault="00804CFF" w:rsidP="00251FD2">
            <w:pPr>
              <w:keepNext/>
              <w:widowControl/>
              <w:jc w:val="center"/>
              <w:rPr>
                <w:sz w:val="20"/>
              </w:rPr>
            </w:pPr>
            <w:r w:rsidRPr="00C61D08">
              <w:rPr>
                <w:sz w:val="20"/>
              </w:rPr>
              <w:t>Luveris®</w:t>
            </w:r>
          </w:p>
        </w:tc>
        <w:tc>
          <w:tcPr>
            <w:tcW w:w="1276" w:type="dxa"/>
          </w:tcPr>
          <w:p w:rsidR="00804CFF" w:rsidRPr="00C61D08" w:rsidRDefault="00804CFF" w:rsidP="00251FD2">
            <w:pPr>
              <w:keepNext/>
              <w:widowControl/>
              <w:jc w:val="center"/>
              <w:rPr>
                <w:sz w:val="20"/>
              </w:rPr>
            </w:pPr>
            <w:r w:rsidRPr="00C61D08">
              <w:rPr>
                <w:sz w:val="20"/>
              </w:rPr>
              <w:t>Merck Serono Australia Pty Ltd</w:t>
            </w:r>
          </w:p>
        </w:tc>
      </w:tr>
      <w:tr w:rsidR="00804CFF" w:rsidRPr="00C61D08" w:rsidTr="00251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rPr>
                <w:rFonts w:ascii="Arial Narrow" w:hAnsi="Arial Narrow"/>
                <w:b/>
                <w:snapToGrid/>
                <w:sz w:val="20"/>
                <w:lang w:eastAsia="en-AU"/>
              </w:rPr>
            </w:pPr>
            <w:r w:rsidRPr="00C61D08">
              <w:rPr>
                <w:rFonts w:ascii="Arial Narrow" w:hAnsi="Arial Narrow"/>
                <w:b/>
                <w:snapToGrid/>
                <w:sz w:val="20"/>
                <w:lang w:eastAsia="en-AU"/>
              </w:rPr>
              <w:t xml:space="preserve">Category / </w:t>
            </w:r>
          </w:p>
          <w:p w:rsidR="00804CFF" w:rsidRPr="00C61D08" w:rsidRDefault="00804CFF" w:rsidP="00251FD2">
            <w:pPr>
              <w:widowControl/>
              <w:rPr>
                <w:rFonts w:ascii="Arial Narrow" w:hAnsi="Arial Narrow"/>
                <w:b/>
                <w:snapToGrid/>
                <w:sz w:val="20"/>
                <w:lang w:eastAsia="en-AU"/>
              </w:rPr>
            </w:pPr>
            <w:r w:rsidRPr="00C61D08">
              <w:rPr>
                <w:rFonts w:ascii="Arial Narrow"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snapToGrid/>
                <w:sz w:val="20"/>
                <w:lang w:eastAsia="en-AU"/>
              </w:rPr>
              <w:t>Section 100 (IVF/GIFT Treatment)</w:t>
            </w:r>
          </w:p>
          <w:p w:rsidR="00804CFF" w:rsidRPr="00C61D08" w:rsidRDefault="00804CFF" w:rsidP="00251FD2">
            <w:pPr>
              <w:widowControl/>
              <w:jc w:val="left"/>
              <w:rPr>
                <w:rFonts w:ascii="Arial Narrow" w:hAnsi="Arial Narrow"/>
                <w:snapToGrid/>
                <w:sz w:val="20"/>
                <w:lang w:eastAsia="en-AU"/>
              </w:rPr>
            </w:pPr>
          </w:p>
        </w:tc>
      </w:tr>
      <w:tr w:rsidR="00804CFF" w:rsidRPr="00C61D08" w:rsidTr="00251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rPr>
                <w:rFonts w:ascii="Arial Narrow" w:hAnsi="Arial Narrow"/>
                <w:b/>
                <w:snapToGrid/>
                <w:sz w:val="20"/>
                <w:lang w:eastAsia="en-AU"/>
              </w:rPr>
            </w:pPr>
            <w:r w:rsidRPr="00C61D08">
              <w:rPr>
                <w:rFonts w:ascii="Arial Narrow" w:hAnsi="Arial Narrow"/>
                <w:b/>
                <w:snapToGrid/>
                <w:sz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1"/>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 xml:space="preserve">Dental  </w:t>
            </w:r>
            <w:r w:rsidRPr="00C61D08">
              <w:rPr>
                <w:rFonts w:ascii="Arial Narrow" w:hAnsi="Arial Narrow"/>
                <w:snapToGrid/>
                <w:sz w:val="20"/>
                <w:lang w:eastAsia="en-AU"/>
              </w:rPr>
              <w:fldChar w:fldCharType="begin">
                <w:ffData>
                  <w:name w:val=""/>
                  <w:enabled/>
                  <w:calcOnExit w:val="0"/>
                  <w:checkBox>
                    <w:sizeAuto/>
                    <w:default w:val="1"/>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 xml:space="preserve">Medical Practitioners  </w:t>
            </w:r>
            <w:r w:rsidRPr="00C61D08">
              <w:rPr>
                <w:rFonts w:ascii="Arial Narrow" w:hAnsi="Arial Narrow"/>
                <w:snapToGrid/>
                <w:sz w:val="20"/>
                <w:lang w:eastAsia="en-AU"/>
              </w:rPr>
              <w:fldChar w:fldCharType="begin">
                <w:ffData>
                  <w:name w:val="Check3"/>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 xml:space="preserve">Nurse practitioners  </w:t>
            </w:r>
            <w:r w:rsidRPr="00C61D08">
              <w:rPr>
                <w:rFonts w:ascii="Arial Narrow" w:hAnsi="Arial Narrow"/>
                <w:snapToGrid/>
                <w:sz w:val="20"/>
                <w:lang w:eastAsia="en-AU"/>
              </w:rPr>
              <w:fldChar w:fldCharType="begin">
                <w:ffData>
                  <w:name w:val=""/>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Optometrists</w:t>
            </w:r>
          </w:p>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5"/>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 xml:space="preserve">Midwives </w:t>
            </w:r>
          </w:p>
        </w:tc>
      </w:tr>
      <w:tr w:rsidR="00804CFF" w:rsidRPr="00C61D08" w:rsidTr="00251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rPr>
                <w:rFonts w:ascii="Arial Narrow" w:hAnsi="Arial Narrow"/>
                <w:b/>
                <w:snapToGrid/>
                <w:sz w:val="20"/>
                <w:lang w:eastAsia="en-AU"/>
              </w:rPr>
            </w:pPr>
            <w:r w:rsidRPr="00C61D08">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snapToGrid/>
                <w:sz w:val="20"/>
                <w:lang w:eastAsia="en-AU"/>
              </w:rPr>
              <w:t>Stimulation of follicular development</w:t>
            </w:r>
          </w:p>
        </w:tc>
      </w:tr>
      <w:tr w:rsidR="00804CFF" w:rsidRPr="00C61D08" w:rsidTr="00251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rPr>
                <w:rFonts w:ascii="Arial Narrow" w:hAnsi="Arial Narrow"/>
                <w:b/>
                <w:snapToGrid/>
                <w:sz w:val="20"/>
                <w:lang w:eastAsia="en-AU"/>
              </w:rPr>
            </w:pPr>
            <w:r w:rsidRPr="00C61D08">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snapToGrid/>
                <w:sz w:val="20"/>
                <w:lang w:eastAsia="en-AU"/>
              </w:rPr>
              <w:t>Stimulation of follicular development</w:t>
            </w:r>
          </w:p>
        </w:tc>
      </w:tr>
      <w:tr w:rsidR="00804CFF" w:rsidRPr="00C61D08" w:rsidTr="00251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rPr>
                <w:rFonts w:ascii="Arial Narrow" w:hAnsi="Arial Narrow"/>
                <w:b/>
                <w:snapToGrid/>
                <w:sz w:val="20"/>
                <w:lang w:eastAsia="en-AU"/>
              </w:rPr>
            </w:pPr>
            <w:r w:rsidRPr="00C61D08">
              <w:rPr>
                <w:rFonts w:ascii="Arial Narrow" w:hAnsi="Arial Narrow"/>
                <w:b/>
                <w:snapToGrid/>
                <w:sz w:val="20"/>
                <w:lang w:eastAsia="en-AU"/>
              </w:rPr>
              <w:t>Treatment phase:</w:t>
            </w:r>
          </w:p>
          <w:p w:rsidR="00804CFF" w:rsidRPr="00C61D08" w:rsidRDefault="00804CFF" w:rsidP="00251FD2">
            <w:pPr>
              <w:widowControl/>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jc w:val="left"/>
              <w:rPr>
                <w:rFonts w:ascii="Arial Narrow" w:hAnsi="Arial Narrow"/>
                <w:snapToGrid/>
                <w:sz w:val="20"/>
                <w:lang w:eastAsia="en-AU"/>
              </w:rPr>
            </w:pPr>
          </w:p>
        </w:tc>
      </w:tr>
      <w:tr w:rsidR="00804CFF" w:rsidRPr="00C61D08" w:rsidTr="00251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rPr>
                <w:rFonts w:ascii="Arial Narrow" w:hAnsi="Arial Narrow"/>
                <w:b/>
                <w:snapToGrid/>
                <w:sz w:val="20"/>
                <w:lang w:eastAsia="en-AU"/>
              </w:rPr>
            </w:pPr>
            <w:r w:rsidRPr="00C61D08">
              <w:rPr>
                <w:rFonts w:ascii="Arial Narrow" w:hAnsi="Arial Narrow"/>
                <w:b/>
                <w:snapToGrid/>
                <w:sz w:val="20"/>
                <w:lang w:eastAsia="en-AU"/>
              </w:rPr>
              <w:t>Restriction Level / Method:</w:t>
            </w:r>
          </w:p>
          <w:p w:rsidR="00804CFF" w:rsidRPr="00C61D08" w:rsidRDefault="00804CFF" w:rsidP="00251FD2">
            <w:pPr>
              <w:widowControl/>
              <w:jc w:val="left"/>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1"/>
                  <w:enabled/>
                  <w:calcOnExit w:val="0"/>
                  <w:checkBox>
                    <w:sizeAuto/>
                    <w:default w:val="1"/>
                  </w:checkBox>
                </w:ffData>
              </w:fldChar>
            </w:r>
            <w:bookmarkStart w:id="3" w:name="Check1"/>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bookmarkEnd w:id="3"/>
            <w:r w:rsidRPr="00C61D08">
              <w:rPr>
                <w:rFonts w:ascii="Arial Narrow" w:hAnsi="Arial Narrow"/>
                <w:snapToGrid/>
                <w:sz w:val="20"/>
                <w:lang w:eastAsia="en-AU"/>
              </w:rPr>
              <w:t>Restricted benefit (criteria for availability)</w:t>
            </w:r>
          </w:p>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Authority Required - In Writing</w:t>
            </w:r>
          </w:p>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3"/>
                  <w:enabled/>
                  <w:calcOnExit w:val="0"/>
                  <w:checkBox>
                    <w:sizeAuto/>
                    <w:default w:val="0"/>
                  </w:checkBox>
                </w:ffData>
              </w:fldChar>
            </w:r>
            <w:bookmarkStart w:id="4" w:name="Check3"/>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bookmarkEnd w:id="4"/>
            <w:r w:rsidRPr="00C61D08">
              <w:rPr>
                <w:rFonts w:ascii="Arial Narrow" w:hAnsi="Arial Narrow"/>
                <w:snapToGrid/>
                <w:sz w:val="20"/>
                <w:lang w:eastAsia="en-AU"/>
              </w:rPr>
              <w:t>Authority Required - Telephone</w:t>
            </w:r>
          </w:p>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Authority Required – Emergency</w:t>
            </w:r>
          </w:p>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5"/>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Authority Required - Electronic</w:t>
            </w:r>
          </w:p>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5"/>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 xml:space="preserve">Streamlined </w:t>
            </w:r>
          </w:p>
        </w:tc>
      </w:tr>
      <w:tr w:rsidR="00804CFF" w:rsidRPr="00C61D08" w:rsidTr="00251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rPr>
                <w:rFonts w:ascii="Arial Narrow" w:hAnsi="Arial Narrow"/>
                <w:b/>
                <w:snapToGrid/>
                <w:sz w:val="20"/>
                <w:lang w:eastAsia="en-AU"/>
              </w:rPr>
            </w:pPr>
            <w:r w:rsidRPr="00C61D08">
              <w:rPr>
                <w:rFonts w:ascii="Arial Narrow" w:hAnsi="Arial Narrow"/>
                <w:b/>
                <w:snapToGrid/>
                <w:sz w:val="20"/>
                <w:lang w:eastAsia="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jc w:val="left"/>
              <w:rPr>
                <w:rFonts w:ascii="Arial Narrow" w:hAnsi="Arial Narrow"/>
                <w:snapToGrid/>
                <w:sz w:val="20"/>
                <w:lang w:eastAsia="en-AU"/>
              </w:rPr>
            </w:pPr>
          </w:p>
          <w:p w:rsidR="00804CFF" w:rsidRPr="00C61D08" w:rsidRDefault="00804CFF" w:rsidP="00251FD2">
            <w:pPr>
              <w:widowControl/>
              <w:jc w:val="left"/>
              <w:rPr>
                <w:rFonts w:ascii="Arial Narrow" w:hAnsi="Arial Narrow"/>
                <w:i/>
                <w:snapToGrid/>
                <w:sz w:val="20"/>
                <w:lang w:eastAsia="en-AU"/>
              </w:rPr>
            </w:pPr>
            <w:r w:rsidRPr="00C61D08">
              <w:rPr>
                <w:rFonts w:ascii="Arial Narrow" w:hAnsi="Arial Narrow"/>
                <w:i/>
                <w:snapToGrid/>
                <w:sz w:val="20"/>
                <w:lang w:eastAsia="en-AU"/>
              </w:rPr>
              <w:t xml:space="preserve">Patient must have severe </w:t>
            </w:r>
            <w:r w:rsidR="001F0C5E">
              <w:rPr>
                <w:rFonts w:ascii="Arial Narrow" w:hAnsi="Arial Narrow"/>
                <w:i/>
                <w:snapToGrid/>
                <w:sz w:val="20"/>
                <w:lang w:eastAsia="en-AU"/>
              </w:rPr>
              <w:t>LH</w:t>
            </w:r>
            <w:r w:rsidRPr="00C61D08">
              <w:rPr>
                <w:rFonts w:ascii="Arial Narrow" w:hAnsi="Arial Narrow"/>
                <w:i/>
                <w:snapToGrid/>
                <w:sz w:val="20"/>
                <w:lang w:eastAsia="en-AU"/>
              </w:rPr>
              <w:t xml:space="preserve"> deficiency </w:t>
            </w:r>
          </w:p>
          <w:p w:rsidR="00804CFF" w:rsidRPr="00C61D08" w:rsidRDefault="00804CFF" w:rsidP="00251FD2">
            <w:pPr>
              <w:widowControl/>
              <w:jc w:val="left"/>
              <w:rPr>
                <w:rFonts w:ascii="Arial Narrow" w:hAnsi="Arial Narrow"/>
                <w:i/>
                <w:snapToGrid/>
                <w:sz w:val="20"/>
                <w:lang w:eastAsia="en-AU"/>
              </w:rPr>
            </w:pPr>
          </w:p>
          <w:p w:rsidR="00804CFF" w:rsidRPr="00C61D08" w:rsidRDefault="00804CFF" w:rsidP="00251FD2">
            <w:pPr>
              <w:widowControl/>
              <w:jc w:val="left"/>
              <w:rPr>
                <w:rFonts w:ascii="Arial Narrow" w:hAnsi="Arial Narrow"/>
                <w:i/>
                <w:snapToGrid/>
                <w:sz w:val="20"/>
                <w:lang w:eastAsia="en-AU"/>
              </w:rPr>
            </w:pPr>
            <w:r w:rsidRPr="00C61D08">
              <w:rPr>
                <w:rFonts w:ascii="Arial Narrow" w:hAnsi="Arial Narrow"/>
                <w:i/>
                <w:snapToGrid/>
                <w:sz w:val="20"/>
                <w:lang w:eastAsia="en-AU"/>
              </w:rPr>
              <w:t>AND</w:t>
            </w:r>
          </w:p>
          <w:p w:rsidR="00804CFF" w:rsidRPr="00C61D08" w:rsidRDefault="00804CFF" w:rsidP="00251FD2">
            <w:pPr>
              <w:widowControl/>
              <w:jc w:val="left"/>
              <w:rPr>
                <w:rFonts w:ascii="Arial Narrow" w:hAnsi="Arial Narrow"/>
                <w:i/>
                <w:snapToGrid/>
                <w:sz w:val="20"/>
                <w:lang w:eastAsia="en-AU"/>
              </w:rPr>
            </w:pPr>
          </w:p>
          <w:p w:rsidR="00804CFF" w:rsidRPr="00C61D08" w:rsidRDefault="00804CFF" w:rsidP="00251FD2">
            <w:pPr>
              <w:widowControl/>
              <w:jc w:val="left"/>
              <w:rPr>
                <w:rFonts w:ascii="Arial Narrow" w:hAnsi="Arial Narrow"/>
                <w:i/>
                <w:snapToGrid/>
                <w:sz w:val="20"/>
                <w:lang w:eastAsia="en-AU"/>
              </w:rPr>
            </w:pPr>
            <w:r w:rsidRPr="00C61D08">
              <w:rPr>
                <w:rFonts w:ascii="Arial Narrow" w:hAnsi="Arial Narrow"/>
                <w:i/>
                <w:snapToGrid/>
                <w:sz w:val="20"/>
                <w:lang w:eastAsia="en-AU"/>
              </w:rPr>
              <w:t>Patient must be receiving medical treatment as described in items 13200, 13201, 13202 or 13203 of the Medicare Benefits Schedule</w:t>
            </w:r>
          </w:p>
          <w:p w:rsidR="00804CFF" w:rsidRPr="00C61D08" w:rsidRDefault="00804CFF" w:rsidP="00251FD2">
            <w:pPr>
              <w:widowControl/>
              <w:rPr>
                <w:rFonts w:ascii="Arial Narrow" w:hAnsi="Arial Narrow"/>
                <w:snapToGrid/>
                <w:sz w:val="20"/>
                <w:lang w:eastAsia="en-AU"/>
              </w:rPr>
            </w:pPr>
          </w:p>
        </w:tc>
      </w:tr>
      <w:tr w:rsidR="00804CFF" w:rsidRPr="00C61D08" w:rsidTr="00251FD2">
        <w:trPr>
          <w:cantSplit/>
          <w:trHeight w:val="360"/>
        </w:trPr>
        <w:tc>
          <w:tcPr>
            <w:tcW w:w="2126" w:type="dxa"/>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rPr>
                <w:rFonts w:ascii="Arial Narrow" w:hAnsi="Arial Narrow"/>
                <w:b/>
                <w:snapToGrid/>
                <w:sz w:val="20"/>
                <w:lang w:eastAsia="en-AU"/>
              </w:rPr>
            </w:pPr>
            <w:r w:rsidRPr="00C61D08">
              <w:rPr>
                <w:rFonts w:ascii="Arial Narrow" w:hAnsi="Arial Narrow"/>
                <w:b/>
                <w:snapToGrid/>
                <w:sz w:val="20"/>
                <w:lang w:eastAsia="en-AU"/>
              </w:rPr>
              <w:t>Administrative Advice</w:t>
            </w:r>
          </w:p>
          <w:p w:rsidR="00804CFF" w:rsidRPr="00C61D08" w:rsidRDefault="00804CFF" w:rsidP="00251FD2">
            <w:pPr>
              <w:widowControl/>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804CFF" w:rsidRPr="00C61D08" w:rsidRDefault="00804CFF" w:rsidP="00251FD2">
            <w:pPr>
              <w:widowControl/>
              <w:jc w:val="left"/>
              <w:rPr>
                <w:rFonts w:ascii="Arial Narrow" w:hAnsi="Arial Narrow"/>
                <w:i/>
                <w:snapToGrid/>
                <w:sz w:val="20"/>
                <w:lang w:eastAsia="en-AU"/>
              </w:rPr>
            </w:pPr>
            <w:r w:rsidRPr="00C61D08">
              <w:rPr>
                <w:rFonts w:ascii="Arial Narrow" w:hAnsi="Arial Narrow"/>
                <w:i/>
                <w:snapToGrid/>
                <w:sz w:val="20"/>
                <w:lang w:eastAsia="en-AU"/>
              </w:rPr>
              <w:t>Supply of these items is through an accredited IVF/GIFT clinic.</w:t>
            </w:r>
          </w:p>
          <w:p w:rsidR="00804CFF" w:rsidRPr="00C61D08" w:rsidRDefault="00804CFF" w:rsidP="00251FD2">
            <w:pPr>
              <w:widowControl/>
              <w:jc w:val="left"/>
              <w:rPr>
                <w:rFonts w:ascii="Arial Narrow" w:hAnsi="Arial Narrow"/>
                <w:snapToGrid/>
                <w:sz w:val="20"/>
                <w:lang w:eastAsia="en-AU"/>
              </w:rPr>
            </w:pPr>
            <w:r w:rsidRPr="00C61D08">
              <w:rPr>
                <w:rFonts w:ascii="Arial Narrow" w:hAnsi="Arial Narrow"/>
                <w:i/>
                <w:snapToGrid/>
                <w:sz w:val="20"/>
                <w:lang w:eastAsia="en-AU"/>
              </w:rPr>
              <w:t>For enquiries relating to the IVF/GIFT program, medical practitioners should contact Medicare Australia on 1800 700 270</w:t>
            </w:r>
          </w:p>
        </w:tc>
      </w:tr>
    </w:tbl>
    <w:p w:rsidR="00B60939" w:rsidRPr="00CA62C2" w:rsidRDefault="00B60939" w:rsidP="004B1CB4"/>
    <w:p w:rsidR="002C2775" w:rsidRPr="00254649" w:rsidRDefault="00A8573B" w:rsidP="00A8573B">
      <w:pPr>
        <w:pStyle w:val="ListParagraph"/>
        <w:widowControl/>
        <w:numPr>
          <w:ilvl w:val="1"/>
          <w:numId w:val="5"/>
        </w:numPr>
        <w:spacing w:after="220"/>
        <w:contextualSpacing w:val="0"/>
      </w:pPr>
      <w:r>
        <w:lastRenderedPageBreak/>
        <w:t>The submission presented a c</w:t>
      </w:r>
      <w:r w:rsidR="00CA62C2" w:rsidRPr="00774711">
        <w:t xml:space="preserve">ost-effectiveness of lutropin alfa supplementation of </w:t>
      </w:r>
      <w:r w:rsidR="006B2751" w:rsidRPr="00254649">
        <w:t>recombinant follicle stimulating hormone (</w:t>
      </w:r>
      <w:r w:rsidR="00CA62C2" w:rsidRPr="00254649">
        <w:t>rFSH</w:t>
      </w:r>
      <w:r w:rsidR="006B2751" w:rsidRPr="00254649">
        <w:t>)</w:t>
      </w:r>
      <w:r w:rsidR="00CA62C2" w:rsidRPr="00254649">
        <w:t xml:space="preserve"> treatment, compared to rFSH alone</w:t>
      </w:r>
      <w:r w:rsidR="00B60939" w:rsidRPr="00254649">
        <w:t>.</w:t>
      </w:r>
      <w:r w:rsidR="0020385F" w:rsidRPr="00254649">
        <w:t xml:space="preserve"> </w:t>
      </w:r>
    </w:p>
    <w:p w:rsidR="00251FD2" w:rsidRDefault="00967122" w:rsidP="00967122">
      <w:pPr>
        <w:widowControl/>
        <w:spacing w:after="220"/>
        <w:ind w:firstLine="709"/>
        <w:rPr>
          <w:i/>
          <w:szCs w:val="22"/>
        </w:rPr>
      </w:pPr>
      <w:r w:rsidRPr="00254649">
        <w:rPr>
          <w:i/>
          <w:szCs w:val="22"/>
        </w:rPr>
        <w:t>For more detail on PBAC’s view, see section 7 “PBAC outcome</w:t>
      </w:r>
      <w:r w:rsidR="00AF0E6A">
        <w:rPr>
          <w:i/>
          <w:szCs w:val="22"/>
        </w:rPr>
        <w:t>”</w:t>
      </w:r>
      <w:r w:rsidR="003568CC">
        <w:rPr>
          <w:i/>
          <w:szCs w:val="22"/>
        </w:rPr>
        <w:t>.</w:t>
      </w:r>
    </w:p>
    <w:p w:rsidR="003568CC" w:rsidRDefault="003568CC" w:rsidP="003568CC">
      <w:pPr>
        <w:widowControl/>
        <w:ind w:firstLine="709"/>
      </w:pPr>
    </w:p>
    <w:p w:rsidR="00B50DB8" w:rsidRPr="00407F2D" w:rsidRDefault="00B50DB8" w:rsidP="00774711">
      <w:pPr>
        <w:pStyle w:val="PBACHeading1"/>
        <w:spacing w:after="220"/>
      </w:pPr>
      <w:bookmarkStart w:id="5" w:name="_Toc408922671"/>
      <w:r w:rsidRPr="00407F2D">
        <w:t>Background</w:t>
      </w:r>
      <w:bookmarkEnd w:id="5"/>
    </w:p>
    <w:p w:rsidR="00B60939" w:rsidRDefault="00B60939" w:rsidP="007F37E3">
      <w:pPr>
        <w:pStyle w:val="ListParagraph"/>
        <w:widowControl/>
        <w:numPr>
          <w:ilvl w:val="1"/>
          <w:numId w:val="5"/>
        </w:numPr>
        <w:spacing w:after="220"/>
        <w:contextualSpacing w:val="0"/>
      </w:pPr>
      <w:r w:rsidRPr="00967122">
        <w:t xml:space="preserve">TGA status: </w:t>
      </w:r>
      <w:r w:rsidR="00895AAA" w:rsidRPr="00967122">
        <w:t>Luveris</w:t>
      </w:r>
      <w:r w:rsidR="00895AAA" w:rsidRPr="00967122">
        <w:rPr>
          <w:vertAlign w:val="superscript"/>
        </w:rPr>
        <w:t>®</w:t>
      </w:r>
      <w:r w:rsidRPr="00967122">
        <w:t xml:space="preserve"> was TGA registered on </w:t>
      </w:r>
      <w:r w:rsidR="00895AAA" w:rsidRPr="00967122">
        <w:t>24 March 2003</w:t>
      </w:r>
      <w:r w:rsidR="00895AAA" w:rsidRPr="00774711">
        <w:t xml:space="preserve"> for use, in association with a </w:t>
      </w:r>
      <w:r w:rsidR="00C104E5" w:rsidRPr="00774711">
        <w:t>r</w:t>
      </w:r>
      <w:r w:rsidR="00895AAA" w:rsidRPr="00774711">
        <w:t>FSH preparation, for the stimulation of follicular development in women with severe luteinising hormone (LH) and FSH deficiency. In clinical trials, these patients were defined by an endogenous serum LH of less than 1.2 IU/L.</w:t>
      </w:r>
    </w:p>
    <w:p w:rsidR="00C66A3E" w:rsidRPr="00774711" w:rsidRDefault="00C66A3E" w:rsidP="007F37E3">
      <w:pPr>
        <w:pStyle w:val="ListParagraph"/>
        <w:widowControl/>
        <w:numPr>
          <w:ilvl w:val="1"/>
          <w:numId w:val="5"/>
        </w:numPr>
        <w:spacing w:after="220"/>
        <w:contextualSpacing w:val="0"/>
      </w:pPr>
      <w:r>
        <w:t>Lutropin alfa has not been considered previously for listing by the PBAC.</w:t>
      </w:r>
    </w:p>
    <w:p w:rsidR="002C2775" w:rsidRDefault="00895AAA" w:rsidP="007F37E3">
      <w:pPr>
        <w:pStyle w:val="ListParagraph"/>
        <w:widowControl/>
        <w:numPr>
          <w:ilvl w:val="1"/>
          <w:numId w:val="5"/>
        </w:numPr>
        <w:spacing w:after="220"/>
        <w:contextualSpacing w:val="0"/>
      </w:pPr>
      <w:r w:rsidRPr="00774711">
        <w:t>At the March 2014 meeting, the PBAC considered a submission for</w:t>
      </w:r>
      <w:r w:rsidR="00132BE3" w:rsidRPr="00774711">
        <w:t xml:space="preserve"> Section 100 listing (IVF/GIFT program) of</w:t>
      </w:r>
      <w:r w:rsidRPr="00774711">
        <w:t xml:space="preserve"> a fixed dose combination</w:t>
      </w:r>
      <w:r w:rsidR="0086344E" w:rsidRPr="00774711">
        <w:t xml:space="preserve"> (FDC)</w:t>
      </w:r>
      <w:r w:rsidRPr="00774711">
        <w:t xml:space="preserve"> of </w:t>
      </w:r>
      <w:r w:rsidR="00C104E5" w:rsidRPr="00774711">
        <w:t>rFSH</w:t>
      </w:r>
      <w:r w:rsidRPr="00774711">
        <w:t xml:space="preserve"> 150</w:t>
      </w:r>
      <w:r w:rsidR="0086344E" w:rsidRPr="00774711">
        <w:t>IU</w:t>
      </w:r>
      <w:r w:rsidRPr="00774711">
        <w:t xml:space="preserve"> and lutropin alfa 75</w:t>
      </w:r>
      <w:r w:rsidR="0086344E" w:rsidRPr="00774711">
        <w:t>IU</w:t>
      </w:r>
      <w:r w:rsidRPr="00774711">
        <w:t xml:space="preserve"> (Pergoveris</w:t>
      </w:r>
      <w:r w:rsidRPr="00774711">
        <w:rPr>
          <w:vertAlign w:val="superscript"/>
        </w:rPr>
        <w:t>®</w:t>
      </w:r>
      <w:r w:rsidRPr="00774711">
        <w:t>)</w:t>
      </w:r>
      <w:r w:rsidR="000A7AE6">
        <w:t>. T</w:t>
      </w:r>
      <w:r w:rsidR="00132BE3" w:rsidRPr="00774711">
        <w:t>he submission</w:t>
      </w:r>
      <w:r w:rsidR="000A7AE6">
        <w:t xml:space="preserve"> was rejected as it</w:t>
      </w:r>
      <w:r w:rsidR="00132BE3" w:rsidRPr="00774711">
        <w:t xml:space="preserve"> had not established the comparative effectiveness and safety of the FDC to either </w:t>
      </w:r>
      <w:r w:rsidR="0086344E" w:rsidRPr="00774711">
        <w:t>rFSH</w:t>
      </w:r>
      <w:r w:rsidR="00132BE3" w:rsidRPr="00774711">
        <w:t xml:space="preserve"> given alone or the components – </w:t>
      </w:r>
      <w:r w:rsidR="0086344E" w:rsidRPr="00774711">
        <w:t>rFSH</w:t>
      </w:r>
      <w:r w:rsidR="00132BE3" w:rsidRPr="00774711">
        <w:t xml:space="preserve"> and lutropin alfa – given separately or other products containing human menopausal gonadotropin. The PBAC considered that the absence of </w:t>
      </w:r>
      <w:r w:rsidR="0086344E" w:rsidRPr="00774711">
        <w:t xml:space="preserve">lutropin alfa </w:t>
      </w:r>
      <w:r w:rsidR="001D6BD6">
        <w:t>as</w:t>
      </w:r>
      <w:r w:rsidR="00132BE3" w:rsidRPr="00774711">
        <w:t xml:space="preserve"> a single-component product was a concern, noting that it would complicate dose titration in clinical practice</w:t>
      </w:r>
      <w:r w:rsidR="0039683B" w:rsidRPr="00774711">
        <w:t>.</w:t>
      </w:r>
    </w:p>
    <w:p w:rsidR="0026185C" w:rsidRDefault="0026185C" w:rsidP="007F37E3">
      <w:pPr>
        <w:pStyle w:val="ListParagraph"/>
        <w:widowControl/>
        <w:numPr>
          <w:ilvl w:val="1"/>
          <w:numId w:val="5"/>
        </w:numPr>
        <w:spacing w:after="220"/>
      </w:pPr>
      <w:r>
        <w:t>A minor submission for the FDC Pergoveris</w:t>
      </w:r>
      <w:r>
        <w:rPr>
          <w:vertAlign w:val="superscript"/>
        </w:rPr>
        <w:t>®</w:t>
      </w:r>
      <w:r w:rsidR="00BB7C94">
        <w:t xml:space="preserve"> was submitted for consideration by the PBAC at the March 2015 meeting.</w:t>
      </w:r>
    </w:p>
    <w:p w:rsidR="00E0078C" w:rsidRDefault="00E0078C" w:rsidP="00E0078C">
      <w:pPr>
        <w:pStyle w:val="ListParagraph"/>
        <w:widowControl/>
        <w:spacing w:after="220"/>
      </w:pPr>
    </w:p>
    <w:p w:rsidR="00251FD2" w:rsidRDefault="00251FD2" w:rsidP="00251FD2">
      <w:pPr>
        <w:pStyle w:val="ListParagraph"/>
      </w:pPr>
    </w:p>
    <w:p w:rsidR="007261DC" w:rsidRDefault="007261DC">
      <w:pPr>
        <w:widowControl/>
        <w:jc w:val="left"/>
        <w:rPr>
          <w:b/>
          <w:szCs w:val="22"/>
        </w:rPr>
      </w:pPr>
      <w:r>
        <w:br w:type="page"/>
      </w:r>
    </w:p>
    <w:p w:rsidR="00B50DB8" w:rsidRPr="00407F2D" w:rsidRDefault="00B50DB8" w:rsidP="00774711">
      <w:pPr>
        <w:pStyle w:val="PBACHeading1"/>
        <w:spacing w:after="220"/>
      </w:pPr>
      <w:bookmarkStart w:id="6" w:name="_Toc408922672"/>
      <w:r w:rsidRPr="00407F2D">
        <w:lastRenderedPageBreak/>
        <w:t>Clinical place for the proposed therapy</w:t>
      </w:r>
      <w:bookmarkEnd w:id="6"/>
    </w:p>
    <w:p w:rsidR="00C104E5" w:rsidRPr="00C104E5" w:rsidRDefault="00C104E5" w:rsidP="007F37E3">
      <w:pPr>
        <w:pStyle w:val="ListParagraph"/>
        <w:widowControl/>
        <w:numPr>
          <w:ilvl w:val="1"/>
          <w:numId w:val="5"/>
        </w:numPr>
        <w:spacing w:after="220"/>
        <w:contextualSpacing w:val="0"/>
        <w:rPr>
          <w:szCs w:val="22"/>
        </w:rPr>
      </w:pPr>
      <w:r>
        <w:t>Lutropin alfa is used</w:t>
      </w:r>
      <w:r w:rsidR="004E5BF5">
        <w:t xml:space="preserve"> in </w:t>
      </w:r>
      <w:r w:rsidR="00946624">
        <w:t>a</w:t>
      </w:r>
      <w:r w:rsidR="004E5BF5">
        <w:t xml:space="preserve">ssisted </w:t>
      </w:r>
      <w:r w:rsidR="00946624">
        <w:t>r</w:t>
      </w:r>
      <w:r w:rsidR="004E5BF5">
        <w:t xml:space="preserve">eproductive </w:t>
      </w:r>
      <w:r w:rsidR="00946624">
        <w:t>t</w:t>
      </w:r>
      <w:r w:rsidR="004E5BF5">
        <w:t>echnology, as supplementation to rFSH</w:t>
      </w:r>
      <w:r>
        <w:t xml:space="preserve"> in </w:t>
      </w:r>
      <w:r w:rsidRPr="00ED2F99">
        <w:t xml:space="preserve">controlled ovarian stimulation </w:t>
      </w:r>
      <w:r>
        <w:t xml:space="preserve">for women </w:t>
      </w:r>
      <w:r w:rsidR="004E5BF5">
        <w:t xml:space="preserve">with severe </w:t>
      </w:r>
      <w:r w:rsidR="00C26D22">
        <w:t>LH</w:t>
      </w:r>
      <w:r w:rsidR="004E5BF5">
        <w:t xml:space="preserve"> deficiency.</w:t>
      </w:r>
      <w:r w:rsidR="00774711">
        <w:t xml:space="preserve"> </w:t>
      </w:r>
    </w:p>
    <w:p w:rsidR="00774711" w:rsidRDefault="004E5BF5" w:rsidP="007F37E3">
      <w:pPr>
        <w:pStyle w:val="ListParagraph"/>
        <w:widowControl/>
        <w:numPr>
          <w:ilvl w:val="1"/>
          <w:numId w:val="5"/>
        </w:numPr>
        <w:contextualSpacing w:val="0"/>
        <w:rPr>
          <w:szCs w:val="22"/>
        </w:rPr>
      </w:pPr>
      <w:r>
        <w:rPr>
          <w:szCs w:val="22"/>
        </w:rPr>
        <w:t xml:space="preserve">In the majority of women for whom </w:t>
      </w:r>
      <w:r w:rsidR="00C66A3E">
        <w:rPr>
          <w:szCs w:val="22"/>
        </w:rPr>
        <w:t>r</w:t>
      </w:r>
      <w:r>
        <w:rPr>
          <w:szCs w:val="22"/>
        </w:rPr>
        <w:t xml:space="preserve">FSH therapy is indicated as part of a </w:t>
      </w:r>
      <w:r w:rsidR="00C66A3E">
        <w:rPr>
          <w:szCs w:val="22"/>
        </w:rPr>
        <w:t>controlled ovarian stimulation</w:t>
      </w:r>
      <w:r>
        <w:rPr>
          <w:szCs w:val="22"/>
        </w:rPr>
        <w:t xml:space="preserve"> regimen, no </w:t>
      </w:r>
      <w:r w:rsidR="00C66A3E">
        <w:rPr>
          <w:szCs w:val="22"/>
        </w:rPr>
        <w:t>lutropin alfa</w:t>
      </w:r>
      <w:r>
        <w:rPr>
          <w:szCs w:val="22"/>
        </w:rPr>
        <w:t xml:space="preserve"> is required. However, </w:t>
      </w:r>
      <w:r w:rsidR="00774711">
        <w:rPr>
          <w:szCs w:val="22"/>
        </w:rPr>
        <w:t>there are three subgroups of women who may not have sufficient endogenous LH to achieve optimal follicular development:</w:t>
      </w:r>
    </w:p>
    <w:p w:rsidR="00492015" w:rsidRDefault="004E5BF5" w:rsidP="007F37E3">
      <w:pPr>
        <w:pStyle w:val="ListParagraph"/>
        <w:widowControl/>
        <w:numPr>
          <w:ilvl w:val="2"/>
          <w:numId w:val="9"/>
        </w:numPr>
        <w:ind w:left="993" w:hanging="284"/>
        <w:contextualSpacing w:val="0"/>
        <w:rPr>
          <w:szCs w:val="22"/>
        </w:rPr>
      </w:pPr>
      <w:r>
        <w:rPr>
          <w:szCs w:val="22"/>
        </w:rPr>
        <w:t xml:space="preserve">women with hypogonadotropic hypogonadism </w:t>
      </w:r>
      <w:r w:rsidR="00C66A3E">
        <w:rPr>
          <w:szCs w:val="22"/>
        </w:rPr>
        <w:t>(a rare condition)</w:t>
      </w:r>
      <w:r w:rsidR="00492015">
        <w:rPr>
          <w:szCs w:val="22"/>
        </w:rPr>
        <w:t>;</w:t>
      </w:r>
    </w:p>
    <w:p w:rsidR="00492015" w:rsidRDefault="004E5BF5" w:rsidP="007F37E3">
      <w:pPr>
        <w:pStyle w:val="ListParagraph"/>
        <w:widowControl/>
        <w:numPr>
          <w:ilvl w:val="2"/>
          <w:numId w:val="9"/>
        </w:numPr>
        <w:ind w:left="993" w:hanging="284"/>
        <w:contextualSpacing w:val="0"/>
        <w:rPr>
          <w:szCs w:val="22"/>
        </w:rPr>
      </w:pPr>
      <w:r>
        <w:rPr>
          <w:szCs w:val="22"/>
        </w:rPr>
        <w:t xml:space="preserve">patients who experience profound pituitary down-regulation brought on by other </w:t>
      </w:r>
      <w:r w:rsidR="00C66A3E">
        <w:rPr>
          <w:szCs w:val="22"/>
        </w:rPr>
        <w:t>assisted reproductive technology</w:t>
      </w:r>
      <w:r>
        <w:rPr>
          <w:szCs w:val="22"/>
        </w:rPr>
        <w:t xml:space="preserve"> therapies</w:t>
      </w:r>
      <w:r w:rsidR="00492015">
        <w:rPr>
          <w:szCs w:val="22"/>
        </w:rPr>
        <w:t>;</w:t>
      </w:r>
      <w:r>
        <w:rPr>
          <w:szCs w:val="22"/>
        </w:rPr>
        <w:t xml:space="preserve"> and </w:t>
      </w:r>
    </w:p>
    <w:p w:rsidR="00492015" w:rsidRDefault="004E5BF5" w:rsidP="007F37E3">
      <w:pPr>
        <w:pStyle w:val="ListParagraph"/>
        <w:widowControl/>
        <w:numPr>
          <w:ilvl w:val="2"/>
          <w:numId w:val="9"/>
        </w:numPr>
        <w:ind w:left="993" w:hanging="284"/>
        <w:contextualSpacing w:val="0"/>
        <w:rPr>
          <w:szCs w:val="22"/>
        </w:rPr>
      </w:pPr>
      <w:r>
        <w:rPr>
          <w:szCs w:val="22"/>
        </w:rPr>
        <w:t xml:space="preserve">women of advanced reproductive age. </w:t>
      </w:r>
    </w:p>
    <w:p w:rsidR="00B60939" w:rsidRDefault="004E5BF5" w:rsidP="00251FD2">
      <w:pPr>
        <w:widowControl/>
        <w:ind w:left="709"/>
      </w:pPr>
      <w:r w:rsidRPr="00492015">
        <w:rPr>
          <w:szCs w:val="22"/>
        </w:rPr>
        <w:t>Lutropin alfa is intended for use in women who demonstrate a poor response to rFSH-only treatment.</w:t>
      </w:r>
      <w:r w:rsidR="008D39D1" w:rsidRPr="00492015">
        <w:rPr>
          <w:szCs w:val="22"/>
        </w:rPr>
        <w:t xml:space="preserve"> </w:t>
      </w:r>
      <w:r w:rsidR="008D39D1">
        <w:t>The submission suggests that lutropin alfa should be administered at the discretion of the treating clinician based on the patient’s individual clinical presentation and their response to ovarian stimulation, and states that there is little incentive to treat patients unnecessarily as excess LH levels may be detrimental to the achievement of a pregnancy.</w:t>
      </w:r>
    </w:p>
    <w:p w:rsidR="00251FD2" w:rsidRDefault="00251FD2" w:rsidP="00251FD2">
      <w:pPr>
        <w:widowControl/>
        <w:rPr>
          <w:szCs w:val="22"/>
        </w:rPr>
      </w:pPr>
    </w:p>
    <w:p w:rsidR="00251FD2" w:rsidRPr="00492015" w:rsidRDefault="00251FD2" w:rsidP="00251FD2">
      <w:pPr>
        <w:widowControl/>
        <w:rPr>
          <w:szCs w:val="22"/>
        </w:rPr>
      </w:pPr>
    </w:p>
    <w:p w:rsidR="00B50DB8" w:rsidRPr="00407F2D" w:rsidRDefault="00B50DB8" w:rsidP="007F37E3">
      <w:pPr>
        <w:pStyle w:val="Header"/>
        <w:widowControl/>
        <w:numPr>
          <w:ilvl w:val="0"/>
          <w:numId w:val="5"/>
        </w:numPr>
        <w:tabs>
          <w:tab w:val="clear" w:pos="4513"/>
          <w:tab w:val="clear" w:pos="9026"/>
        </w:tabs>
        <w:spacing w:after="220"/>
        <w:rPr>
          <w:b/>
          <w:szCs w:val="22"/>
        </w:rPr>
      </w:pPr>
      <w:r w:rsidRPr="00407F2D">
        <w:rPr>
          <w:b/>
          <w:szCs w:val="22"/>
        </w:rPr>
        <w:t>Comparator</w:t>
      </w:r>
    </w:p>
    <w:p w:rsidR="002C2775" w:rsidRPr="00C63214" w:rsidRDefault="00B15E58" w:rsidP="007F37E3">
      <w:pPr>
        <w:pStyle w:val="ListParagraph"/>
        <w:widowControl/>
        <w:numPr>
          <w:ilvl w:val="1"/>
          <w:numId w:val="5"/>
        </w:numPr>
        <w:spacing w:after="220"/>
        <w:contextualSpacing w:val="0"/>
        <w:rPr>
          <w:szCs w:val="22"/>
        </w:rPr>
      </w:pPr>
      <w:r w:rsidRPr="00B15E58">
        <w:t>rFSH alone (no supplementation with lutropin alfa</w:t>
      </w:r>
      <w:r w:rsidR="00C66A3E">
        <w:t>)</w:t>
      </w:r>
      <w:r w:rsidR="00F067A2" w:rsidRPr="00B15E58">
        <w:t xml:space="preserve">. </w:t>
      </w:r>
      <w:r w:rsidR="00254649" w:rsidRPr="00254649">
        <w:t>ESC considered this to be</w:t>
      </w:r>
      <w:r w:rsidR="00F067A2" w:rsidRPr="00254649">
        <w:t xml:space="preserve"> the appropriate comparator. </w:t>
      </w:r>
    </w:p>
    <w:p w:rsidR="00C63214" w:rsidRPr="00254649" w:rsidRDefault="00C63214" w:rsidP="00C63214">
      <w:pPr>
        <w:pStyle w:val="ListParagraph"/>
        <w:widowControl/>
        <w:contextualSpacing w:val="0"/>
        <w:rPr>
          <w:szCs w:val="22"/>
        </w:rPr>
      </w:pPr>
    </w:p>
    <w:p w:rsidR="00B50DB8" w:rsidRDefault="00BD6CF3" w:rsidP="00774711">
      <w:pPr>
        <w:pStyle w:val="PBACHeading1"/>
        <w:spacing w:after="220"/>
      </w:pPr>
      <w:bookmarkStart w:id="7" w:name="_Toc408922673"/>
      <w:r>
        <w:t>C</w:t>
      </w:r>
      <w:r w:rsidR="00B50DB8" w:rsidRPr="00407F2D">
        <w:t>onsideration of the evidence</w:t>
      </w:r>
      <w:bookmarkEnd w:id="7"/>
    </w:p>
    <w:p w:rsidR="00967122" w:rsidRPr="003568CC" w:rsidRDefault="00967122" w:rsidP="00967122">
      <w:pPr>
        <w:rPr>
          <w:b/>
          <w:szCs w:val="22"/>
        </w:rPr>
      </w:pPr>
      <w:r w:rsidRPr="003568CC">
        <w:rPr>
          <w:b/>
          <w:szCs w:val="22"/>
        </w:rPr>
        <w:t>Sponsor hearing</w:t>
      </w:r>
    </w:p>
    <w:p w:rsidR="00967122" w:rsidRPr="00882085" w:rsidRDefault="00967122" w:rsidP="00967122">
      <w:pPr>
        <w:ind w:left="709"/>
        <w:rPr>
          <w:b/>
          <w:szCs w:val="22"/>
        </w:rPr>
      </w:pPr>
    </w:p>
    <w:p w:rsidR="00967122" w:rsidRDefault="00967122" w:rsidP="00967122">
      <w:pPr>
        <w:pStyle w:val="ListParagraph"/>
        <w:widowControl/>
        <w:numPr>
          <w:ilvl w:val="1"/>
          <w:numId w:val="5"/>
        </w:numPr>
        <w:rPr>
          <w:szCs w:val="22"/>
        </w:rPr>
      </w:pPr>
      <w:r>
        <w:rPr>
          <w:szCs w:val="22"/>
        </w:rPr>
        <w:t>There was no hearing for this item.</w:t>
      </w:r>
    </w:p>
    <w:p w:rsidR="00967122" w:rsidRDefault="00967122" w:rsidP="00967122">
      <w:pPr>
        <w:pStyle w:val="ListParagraph"/>
        <w:ind w:left="709"/>
        <w:rPr>
          <w:szCs w:val="22"/>
        </w:rPr>
      </w:pPr>
    </w:p>
    <w:p w:rsidR="00967122" w:rsidRPr="004C2C83" w:rsidRDefault="00967122" w:rsidP="00967122">
      <w:pPr>
        <w:rPr>
          <w:b/>
          <w:szCs w:val="22"/>
        </w:rPr>
      </w:pPr>
      <w:r w:rsidRPr="004C2C83">
        <w:rPr>
          <w:b/>
          <w:szCs w:val="22"/>
        </w:rPr>
        <w:t>Consumer comments</w:t>
      </w:r>
    </w:p>
    <w:p w:rsidR="00967122" w:rsidRDefault="00967122" w:rsidP="00967122">
      <w:pPr>
        <w:pStyle w:val="ListParagraph"/>
        <w:ind w:left="709"/>
        <w:rPr>
          <w:szCs w:val="22"/>
        </w:rPr>
      </w:pPr>
    </w:p>
    <w:p w:rsidR="00EB635F" w:rsidRPr="00EB635F" w:rsidRDefault="00EB635F" w:rsidP="00967122">
      <w:pPr>
        <w:pStyle w:val="ListParagraph"/>
        <w:widowControl/>
        <w:numPr>
          <w:ilvl w:val="1"/>
          <w:numId w:val="5"/>
        </w:numPr>
        <w:rPr>
          <w:szCs w:val="22"/>
        </w:rPr>
      </w:pPr>
      <w:r w:rsidRPr="00EB635F">
        <w:rPr>
          <w:szCs w:val="22"/>
        </w:rPr>
        <w:t xml:space="preserve">The PBAC noted and welcomed the input from </w:t>
      </w:r>
      <w:r>
        <w:rPr>
          <w:szCs w:val="22"/>
        </w:rPr>
        <w:t>health care professionals (12</w:t>
      </w:r>
      <w:r w:rsidRPr="00EB635F">
        <w:rPr>
          <w:szCs w:val="22"/>
        </w:rPr>
        <w:t xml:space="preserve">) and organisations (1) via the Consumer Comments facility on the PBS website.  The comments described a range of benefits of treatment with </w:t>
      </w:r>
      <w:r>
        <w:rPr>
          <w:szCs w:val="22"/>
        </w:rPr>
        <w:t>lutropi</w:t>
      </w:r>
      <w:r w:rsidR="001E3BC1">
        <w:rPr>
          <w:szCs w:val="22"/>
        </w:rPr>
        <w:t>n</w:t>
      </w:r>
      <w:r>
        <w:rPr>
          <w:szCs w:val="22"/>
        </w:rPr>
        <w:t xml:space="preserve"> alfa </w:t>
      </w:r>
      <w:r w:rsidRPr="00EB635F">
        <w:rPr>
          <w:szCs w:val="22"/>
        </w:rPr>
        <w:t xml:space="preserve">including </w:t>
      </w:r>
      <w:r>
        <w:rPr>
          <w:szCs w:val="22"/>
        </w:rPr>
        <w:t>affordable access to more options in IVF treatment.</w:t>
      </w:r>
    </w:p>
    <w:p w:rsidR="00EB635F" w:rsidRPr="00EB635F" w:rsidRDefault="00EB635F" w:rsidP="00EB635F">
      <w:pPr>
        <w:pStyle w:val="ListParagraph"/>
        <w:widowControl/>
        <w:rPr>
          <w:szCs w:val="22"/>
        </w:rPr>
      </w:pPr>
    </w:p>
    <w:p w:rsidR="00967122" w:rsidRPr="00EB635F" w:rsidRDefault="00967122" w:rsidP="00967122">
      <w:pPr>
        <w:pStyle w:val="ListParagraph"/>
        <w:widowControl/>
        <w:numPr>
          <w:ilvl w:val="1"/>
          <w:numId w:val="5"/>
        </w:numPr>
        <w:rPr>
          <w:szCs w:val="22"/>
        </w:rPr>
      </w:pPr>
      <w:r w:rsidRPr="00EB635F">
        <w:rPr>
          <w:szCs w:val="22"/>
        </w:rPr>
        <w:t xml:space="preserve">The PBAC noted the advice received from </w:t>
      </w:r>
      <w:r w:rsidR="00EB635F" w:rsidRPr="001E3BC1">
        <w:rPr>
          <w:szCs w:val="22"/>
        </w:rPr>
        <w:t>ACCESS Australia’s National Infertility Network Ltd</w:t>
      </w:r>
      <w:r w:rsidR="00EB635F" w:rsidRPr="00EB635F" w:rsidDel="00EB635F">
        <w:rPr>
          <w:szCs w:val="22"/>
        </w:rPr>
        <w:t xml:space="preserve"> </w:t>
      </w:r>
      <w:r w:rsidRPr="00EB635F">
        <w:rPr>
          <w:szCs w:val="22"/>
        </w:rPr>
        <w:t xml:space="preserve">clarifying the likely use of </w:t>
      </w:r>
      <w:r w:rsidR="00EB635F">
        <w:rPr>
          <w:szCs w:val="22"/>
        </w:rPr>
        <w:t>lutropin alfa</w:t>
      </w:r>
      <w:r w:rsidRPr="00EB635F">
        <w:rPr>
          <w:szCs w:val="22"/>
        </w:rPr>
        <w:t xml:space="preserve"> in clinical practice.  The PBAC specifically noted the advice that the use of </w:t>
      </w:r>
      <w:r w:rsidR="00EB635F">
        <w:rPr>
          <w:szCs w:val="22"/>
        </w:rPr>
        <w:t>lutropin alfa</w:t>
      </w:r>
      <w:r w:rsidRPr="00EB635F">
        <w:rPr>
          <w:szCs w:val="22"/>
        </w:rPr>
        <w:t xml:space="preserve"> may </w:t>
      </w:r>
      <w:r w:rsidR="001E3BC1">
        <w:rPr>
          <w:szCs w:val="22"/>
        </w:rPr>
        <w:t xml:space="preserve">provide for </w:t>
      </w:r>
      <w:r w:rsidR="001E3BC1" w:rsidRPr="00EB635F">
        <w:rPr>
          <w:szCs w:val="22"/>
        </w:rPr>
        <w:t xml:space="preserve">a small group of women who have inadequate levels of LH </w:t>
      </w:r>
      <w:r w:rsidR="001E3BC1">
        <w:rPr>
          <w:szCs w:val="22"/>
        </w:rPr>
        <w:t xml:space="preserve">the </w:t>
      </w:r>
      <w:r w:rsidR="00EB635F">
        <w:rPr>
          <w:szCs w:val="22"/>
        </w:rPr>
        <w:t>possibility of achieving a pregnancy</w:t>
      </w:r>
      <w:r w:rsidRPr="00EB635F">
        <w:rPr>
          <w:szCs w:val="22"/>
        </w:rPr>
        <w:t xml:space="preserve">.  The PBAC noted that this advice was </w:t>
      </w:r>
      <w:r w:rsidR="001D6BD6">
        <w:rPr>
          <w:szCs w:val="22"/>
        </w:rPr>
        <w:t xml:space="preserve">consistent with </w:t>
      </w:r>
      <w:r w:rsidRPr="00EB635F">
        <w:rPr>
          <w:szCs w:val="22"/>
        </w:rPr>
        <w:t>the evidence provided in the submission.</w:t>
      </w:r>
    </w:p>
    <w:p w:rsidR="00967122" w:rsidRDefault="00967122" w:rsidP="00967122">
      <w:pPr>
        <w:rPr>
          <w:b/>
          <w:szCs w:val="22"/>
        </w:rPr>
      </w:pPr>
    </w:p>
    <w:p w:rsidR="00C63214" w:rsidRDefault="00C63214">
      <w:pPr>
        <w:widowControl/>
        <w:jc w:val="left"/>
        <w:rPr>
          <w:b/>
        </w:rPr>
      </w:pPr>
      <w:bookmarkStart w:id="8" w:name="_Toc408922674"/>
      <w:r>
        <w:br w:type="page"/>
      </w:r>
    </w:p>
    <w:p w:rsidR="007E55AD" w:rsidRPr="003568CC" w:rsidRDefault="00B60939" w:rsidP="007E55AD">
      <w:pPr>
        <w:pStyle w:val="Heading2"/>
        <w:spacing w:after="220"/>
      </w:pPr>
      <w:r w:rsidRPr="003568CC">
        <w:lastRenderedPageBreak/>
        <w:t>Clinical trial</w:t>
      </w:r>
      <w:bookmarkEnd w:id="8"/>
    </w:p>
    <w:p w:rsidR="007F1017" w:rsidRPr="00440208" w:rsidRDefault="00862502" w:rsidP="007F37E3">
      <w:pPr>
        <w:pStyle w:val="ListParagraph"/>
        <w:widowControl/>
        <w:numPr>
          <w:ilvl w:val="1"/>
          <w:numId w:val="5"/>
        </w:numPr>
        <w:spacing w:after="220"/>
        <w:contextualSpacing w:val="0"/>
        <w:rPr>
          <w:szCs w:val="22"/>
        </w:rPr>
      </w:pPr>
      <w:r w:rsidRPr="00440208">
        <w:t xml:space="preserve">The submission </w:t>
      </w:r>
      <w:r w:rsidR="0086344E" w:rsidRPr="00440208">
        <w:t>was</w:t>
      </w:r>
      <w:r w:rsidRPr="00440208">
        <w:t xml:space="preserve"> based on </w:t>
      </w:r>
      <w:r w:rsidR="001D6BD6">
        <w:t>a</w:t>
      </w:r>
      <w:r w:rsidRPr="00440208">
        <w:t xml:space="preserve"> </w:t>
      </w:r>
      <w:r w:rsidR="0086344E" w:rsidRPr="00440208">
        <w:t>published meta-analysis of 40 studies</w:t>
      </w:r>
      <w:r w:rsidRPr="00440208">
        <w:t xml:space="preserve"> comparing </w:t>
      </w:r>
      <w:r w:rsidR="0086344E" w:rsidRPr="00440208">
        <w:t>lutropin alfa + rFSH</w:t>
      </w:r>
      <w:r w:rsidRPr="00440208">
        <w:t xml:space="preserve"> to </w:t>
      </w:r>
      <w:r w:rsidR="0086344E" w:rsidRPr="00440208">
        <w:t>rFSH alone</w:t>
      </w:r>
      <w:r w:rsidR="00FD2B39" w:rsidRPr="00440208">
        <w:t xml:space="preserve"> (n=6</w:t>
      </w:r>
      <w:r w:rsidR="00C26C76" w:rsidRPr="00440208">
        <w:t>,</w:t>
      </w:r>
      <w:r w:rsidR="00FD2B39" w:rsidRPr="00440208">
        <w:t>443</w:t>
      </w:r>
      <w:r w:rsidRPr="00440208">
        <w:t>)</w:t>
      </w:r>
      <w:r w:rsidR="00F54E9C" w:rsidRPr="00440208">
        <w:t>, with a pre-specified sub-group analysis of ‘poor responders’ (14 studies; n=1</w:t>
      </w:r>
      <w:r w:rsidR="00C26C76" w:rsidRPr="00440208">
        <w:t>,</w:t>
      </w:r>
      <w:r w:rsidR="00F54E9C" w:rsidRPr="00440208">
        <w:t>179), used in the submission to represent the eligible PBS population.</w:t>
      </w:r>
      <w:r w:rsidR="00C3039B" w:rsidRPr="00440208">
        <w:t xml:space="preserve"> </w:t>
      </w:r>
      <w:r w:rsidR="007C7092" w:rsidRPr="00440208">
        <w:t>The submission also included an appendix summarising</w:t>
      </w:r>
      <w:r w:rsidR="00C26C76" w:rsidRPr="00440208">
        <w:t xml:space="preserve"> studies of patients with hypogonadotropic hypogonadism. Two of the trials, Study 21008 </w:t>
      </w:r>
      <w:r w:rsidR="007C7092" w:rsidRPr="00440208">
        <w:t xml:space="preserve">(RCT, n=39) </w:t>
      </w:r>
      <w:r w:rsidR="00C26C76" w:rsidRPr="00440208">
        <w:t>and Study 6253</w:t>
      </w:r>
      <w:r w:rsidR="007C7092" w:rsidRPr="00440208">
        <w:t xml:space="preserve"> (dose ranging study, n=38)</w:t>
      </w:r>
      <w:r w:rsidR="00C26C76" w:rsidRPr="00440208">
        <w:t xml:space="preserve">, </w:t>
      </w:r>
      <w:r w:rsidR="007C7092" w:rsidRPr="00440208">
        <w:t>included</w:t>
      </w:r>
      <w:r w:rsidR="00C26C76" w:rsidRPr="00440208">
        <w:t xml:space="preserve"> </w:t>
      </w:r>
      <w:r w:rsidR="00FE3913" w:rsidRPr="00440208">
        <w:t xml:space="preserve">relevant </w:t>
      </w:r>
      <w:r w:rsidR="00C26C76" w:rsidRPr="00440208">
        <w:t xml:space="preserve">comparisons of lutropin alfa + rFSH and rFSH alone </w:t>
      </w:r>
      <w:r w:rsidR="007C7092" w:rsidRPr="00440208">
        <w:t xml:space="preserve">and </w:t>
      </w:r>
      <w:r w:rsidR="00FE3913" w:rsidRPr="00440208">
        <w:t>were</w:t>
      </w:r>
      <w:r w:rsidR="007C7092" w:rsidRPr="00440208">
        <w:t xml:space="preserve"> previously considered in the submission for </w:t>
      </w:r>
      <w:r w:rsidR="00C26C76" w:rsidRPr="00440208">
        <w:t xml:space="preserve">the fixed dose combination </w:t>
      </w:r>
      <w:r w:rsidR="007C7092" w:rsidRPr="00440208">
        <w:t xml:space="preserve">of </w:t>
      </w:r>
      <w:r w:rsidR="00C26C76" w:rsidRPr="00440208">
        <w:t>lutropin alfa + rFSH at the March 2014 PBAC meeting</w:t>
      </w:r>
      <w:r w:rsidR="007C7092" w:rsidRPr="00440208">
        <w:t>.</w:t>
      </w:r>
    </w:p>
    <w:p w:rsidR="00C63214" w:rsidRDefault="00251FD2" w:rsidP="007F37E3">
      <w:pPr>
        <w:pStyle w:val="ListParagraph"/>
        <w:widowControl/>
        <w:numPr>
          <w:ilvl w:val="1"/>
          <w:numId w:val="5"/>
        </w:numPr>
        <w:spacing w:after="220"/>
        <w:contextualSpacing w:val="0"/>
        <w:rPr>
          <w:szCs w:val="22"/>
        </w:rPr>
      </w:pPr>
      <w:r w:rsidRPr="00D54BF5">
        <w:rPr>
          <w:szCs w:val="22"/>
        </w:rPr>
        <w:t>Details of the meta-analysis and trials presented in the submission are</w:t>
      </w:r>
      <w:r w:rsidR="00FD2B39" w:rsidRPr="00D54BF5">
        <w:rPr>
          <w:szCs w:val="22"/>
        </w:rPr>
        <w:t xml:space="preserve"> provided in the table below.</w:t>
      </w:r>
    </w:p>
    <w:p w:rsidR="008F120A" w:rsidRDefault="00FD2B39" w:rsidP="00036F96">
      <w:pPr>
        <w:keepNext/>
        <w:keepLines/>
        <w:ind w:firstLine="720"/>
        <w:rPr>
          <w:rStyle w:val="CommentReference"/>
        </w:rPr>
      </w:pPr>
      <w:r>
        <w:rPr>
          <w:rStyle w:val="CommentReference"/>
        </w:rPr>
        <w:lastRenderedPageBreak/>
        <w:t>Trials</w:t>
      </w:r>
      <w:r w:rsidR="008F120A" w:rsidRPr="000812CA">
        <w:rPr>
          <w:rStyle w:val="CommentReference"/>
        </w:rPr>
        <w:t xml:space="preserve">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Clinical trials and associated reports presented in the submission"/>
      </w:tblPr>
      <w:tblGrid>
        <w:gridCol w:w="1701"/>
        <w:gridCol w:w="4680"/>
        <w:gridCol w:w="1964"/>
      </w:tblGrid>
      <w:tr w:rsidR="008F120A" w:rsidRPr="00A8573B" w:rsidTr="00B51B47">
        <w:tc>
          <w:tcPr>
            <w:tcW w:w="1019" w:type="pct"/>
          </w:tcPr>
          <w:p w:rsidR="008F120A" w:rsidRPr="00A8573B" w:rsidRDefault="008F120A" w:rsidP="00036F96">
            <w:pPr>
              <w:keepNext/>
              <w:keepLines/>
              <w:jc w:val="left"/>
              <w:rPr>
                <w:rFonts w:ascii="Arial Narrow" w:hAnsi="Arial Narrow"/>
                <w:b/>
                <w:sz w:val="20"/>
              </w:rPr>
            </w:pPr>
            <w:r w:rsidRPr="00A8573B">
              <w:rPr>
                <w:rFonts w:ascii="Arial Narrow" w:hAnsi="Arial Narrow"/>
                <w:b/>
                <w:sz w:val="20"/>
              </w:rPr>
              <w:t>Trial ID</w:t>
            </w:r>
            <w:r w:rsidR="00E22A0D" w:rsidRPr="00A8573B">
              <w:rPr>
                <w:rFonts w:ascii="Arial Narrow" w:hAnsi="Arial Narrow"/>
                <w:b/>
                <w:sz w:val="20"/>
              </w:rPr>
              <w:t>/First Author</w:t>
            </w:r>
          </w:p>
        </w:tc>
        <w:tc>
          <w:tcPr>
            <w:tcW w:w="2804" w:type="pct"/>
          </w:tcPr>
          <w:p w:rsidR="008F120A" w:rsidRPr="00A8573B" w:rsidRDefault="008F120A" w:rsidP="00036F96">
            <w:pPr>
              <w:keepNext/>
              <w:keepLines/>
              <w:jc w:val="center"/>
              <w:rPr>
                <w:rFonts w:ascii="Arial Narrow" w:hAnsi="Arial Narrow"/>
                <w:b/>
                <w:sz w:val="20"/>
              </w:rPr>
            </w:pPr>
            <w:r w:rsidRPr="00A8573B">
              <w:rPr>
                <w:rFonts w:ascii="Arial Narrow" w:hAnsi="Arial Narrow"/>
                <w:b/>
                <w:sz w:val="20"/>
              </w:rPr>
              <w:t>Protocol title/ Publication title</w:t>
            </w:r>
          </w:p>
        </w:tc>
        <w:tc>
          <w:tcPr>
            <w:tcW w:w="1177" w:type="pct"/>
          </w:tcPr>
          <w:p w:rsidR="008F120A" w:rsidRPr="00A8573B" w:rsidRDefault="008F120A" w:rsidP="00036F96">
            <w:pPr>
              <w:keepNext/>
              <w:keepLines/>
              <w:jc w:val="center"/>
              <w:rPr>
                <w:rFonts w:ascii="Arial Narrow" w:hAnsi="Arial Narrow"/>
                <w:b/>
                <w:sz w:val="20"/>
              </w:rPr>
            </w:pPr>
            <w:r w:rsidRPr="00A8573B">
              <w:rPr>
                <w:rFonts w:ascii="Arial Narrow" w:hAnsi="Arial Narrow"/>
                <w:b/>
                <w:sz w:val="20"/>
              </w:rPr>
              <w:t>Publication citation</w:t>
            </w:r>
          </w:p>
        </w:tc>
      </w:tr>
      <w:tr w:rsidR="008F120A" w:rsidRPr="00A8573B" w:rsidTr="00B51B47">
        <w:tc>
          <w:tcPr>
            <w:tcW w:w="5000" w:type="pct"/>
            <w:gridSpan w:val="3"/>
          </w:tcPr>
          <w:p w:rsidR="008F120A" w:rsidRPr="00A8573B" w:rsidRDefault="008F120A" w:rsidP="00036F96">
            <w:pPr>
              <w:keepNext/>
              <w:keepLines/>
              <w:jc w:val="left"/>
              <w:rPr>
                <w:rFonts w:ascii="Arial Narrow" w:hAnsi="Arial Narrow"/>
                <w:b/>
                <w:sz w:val="20"/>
              </w:rPr>
            </w:pPr>
            <w:r w:rsidRPr="00A8573B">
              <w:rPr>
                <w:rFonts w:ascii="Arial Narrow" w:hAnsi="Arial Narrow"/>
                <w:b/>
                <w:sz w:val="20"/>
              </w:rPr>
              <w:t>Meta-analyses of randomised trials</w:t>
            </w:r>
          </w:p>
        </w:tc>
      </w:tr>
      <w:tr w:rsidR="00B84632" w:rsidRPr="00A8573B" w:rsidTr="00B51B47">
        <w:tc>
          <w:tcPr>
            <w:tcW w:w="1019" w:type="pct"/>
          </w:tcPr>
          <w:p w:rsidR="00B84632" w:rsidRPr="00A8573B" w:rsidRDefault="00B84632" w:rsidP="00036F96">
            <w:pPr>
              <w:keepNext/>
              <w:keepLines/>
              <w:jc w:val="left"/>
              <w:rPr>
                <w:rFonts w:ascii="Arial Narrow" w:hAnsi="Arial Narrow"/>
                <w:sz w:val="20"/>
              </w:rPr>
            </w:pPr>
            <w:r w:rsidRPr="00A8573B">
              <w:rPr>
                <w:rFonts w:ascii="Arial Narrow" w:hAnsi="Arial Narrow"/>
                <w:sz w:val="20"/>
              </w:rPr>
              <w:t>Lehert 2014</w:t>
            </w:r>
          </w:p>
        </w:tc>
        <w:tc>
          <w:tcPr>
            <w:tcW w:w="2804" w:type="pct"/>
          </w:tcPr>
          <w:p w:rsidR="00B84632" w:rsidRPr="00A8573B" w:rsidRDefault="00B84632" w:rsidP="00036F96">
            <w:pPr>
              <w:keepNext/>
              <w:keepLines/>
              <w:jc w:val="left"/>
              <w:rPr>
                <w:rFonts w:ascii="Arial Narrow" w:hAnsi="Arial Narrow"/>
                <w:sz w:val="20"/>
              </w:rPr>
            </w:pPr>
            <w:r w:rsidRPr="00A8573B">
              <w:rPr>
                <w:rFonts w:ascii="Arial Narrow" w:hAnsi="Arial Narrow"/>
                <w:sz w:val="20"/>
              </w:rPr>
              <w:t>Lehert P et al. Recombinant human follicle-stimulating hormone (r-hFSH) plus recombinant luteinizing hormone versus r-hFSH alone for ovarian stimulation during assisted reproductive technology: Systematic review and meta-analysis.</w:t>
            </w:r>
          </w:p>
          <w:p w:rsidR="00B84632" w:rsidRPr="00A8573B" w:rsidRDefault="00B84632" w:rsidP="00036F96">
            <w:pPr>
              <w:keepNext/>
              <w:keepLines/>
              <w:jc w:val="left"/>
              <w:rPr>
                <w:rFonts w:ascii="Arial Narrow" w:hAnsi="Arial Narrow"/>
                <w:sz w:val="20"/>
              </w:rPr>
            </w:pPr>
          </w:p>
          <w:p w:rsidR="00B84632" w:rsidRPr="00A8573B" w:rsidRDefault="00B84632" w:rsidP="00036F96">
            <w:pPr>
              <w:keepNext/>
              <w:keepLines/>
              <w:jc w:val="left"/>
              <w:rPr>
                <w:rFonts w:ascii="Arial Narrow" w:hAnsi="Arial Narrow"/>
                <w:b/>
                <w:sz w:val="20"/>
              </w:rPr>
            </w:pPr>
            <w:r w:rsidRPr="00A8573B">
              <w:rPr>
                <w:rFonts w:ascii="Arial Narrow" w:hAnsi="Arial Narrow"/>
                <w:sz w:val="20"/>
              </w:rPr>
              <w:t>r-hFSH Alone versus r-hFSH plus r-hLH in ART: A Meta-Analysis.</w:t>
            </w:r>
          </w:p>
        </w:tc>
        <w:tc>
          <w:tcPr>
            <w:tcW w:w="1177" w:type="pct"/>
          </w:tcPr>
          <w:p w:rsidR="00B84632" w:rsidRPr="00A8573B" w:rsidRDefault="00B84632" w:rsidP="00036F96">
            <w:pPr>
              <w:keepNext/>
              <w:keepLines/>
              <w:jc w:val="left"/>
              <w:rPr>
                <w:rFonts w:ascii="Arial Narrow" w:hAnsi="Arial Narrow"/>
                <w:sz w:val="20"/>
              </w:rPr>
            </w:pPr>
            <w:r w:rsidRPr="00A8573B">
              <w:rPr>
                <w:rFonts w:ascii="Arial Narrow" w:hAnsi="Arial Narrow"/>
                <w:sz w:val="20"/>
              </w:rPr>
              <w:t>Reproductive Biology and Endocrinology 2014; 12(1): Article 17.</w:t>
            </w:r>
          </w:p>
          <w:p w:rsidR="00B84632" w:rsidRPr="00A8573B" w:rsidRDefault="00B84632" w:rsidP="00036F96">
            <w:pPr>
              <w:keepNext/>
              <w:keepLines/>
              <w:jc w:val="left"/>
              <w:rPr>
                <w:rFonts w:ascii="Arial Narrow" w:hAnsi="Arial Narrow"/>
                <w:sz w:val="20"/>
              </w:rPr>
            </w:pPr>
          </w:p>
          <w:p w:rsidR="00B84632" w:rsidRPr="00A8573B" w:rsidRDefault="00B84632" w:rsidP="00036F96">
            <w:pPr>
              <w:keepNext/>
              <w:keepLines/>
              <w:jc w:val="left"/>
              <w:rPr>
                <w:rFonts w:ascii="Arial Narrow" w:hAnsi="Arial Narrow"/>
                <w:sz w:val="20"/>
              </w:rPr>
            </w:pPr>
          </w:p>
          <w:p w:rsidR="00B84632" w:rsidRPr="00A8573B" w:rsidRDefault="00B84632" w:rsidP="00036F96">
            <w:pPr>
              <w:keepNext/>
              <w:keepLines/>
              <w:jc w:val="left"/>
              <w:rPr>
                <w:rFonts w:ascii="Arial Narrow" w:hAnsi="Arial Narrow"/>
                <w:b/>
                <w:sz w:val="20"/>
              </w:rPr>
            </w:pPr>
            <w:r w:rsidRPr="00A8573B">
              <w:rPr>
                <w:rFonts w:ascii="Arial Narrow" w:hAnsi="Arial Narrow"/>
                <w:sz w:val="20"/>
              </w:rPr>
              <w:t>Internal Sponsor’s report of meta-analysis, 2012.</w:t>
            </w:r>
          </w:p>
        </w:tc>
      </w:tr>
      <w:tr w:rsidR="000D3090" w:rsidRPr="00A8573B" w:rsidTr="00B51B47">
        <w:tc>
          <w:tcPr>
            <w:tcW w:w="1019" w:type="pct"/>
          </w:tcPr>
          <w:p w:rsidR="000D3090" w:rsidRPr="00A8573B" w:rsidRDefault="000D3090" w:rsidP="00036F96">
            <w:pPr>
              <w:keepNext/>
              <w:keepLines/>
              <w:jc w:val="left"/>
              <w:rPr>
                <w:rFonts w:ascii="Arial Narrow" w:hAnsi="Arial Narrow"/>
                <w:sz w:val="20"/>
              </w:rPr>
            </w:pPr>
            <w:r w:rsidRPr="00A8573B">
              <w:rPr>
                <w:rFonts w:ascii="Arial Narrow" w:hAnsi="Arial Narrow"/>
                <w:sz w:val="20"/>
              </w:rPr>
              <w:t>Study 6253</w:t>
            </w:r>
          </w:p>
        </w:tc>
        <w:tc>
          <w:tcPr>
            <w:tcW w:w="2804" w:type="pct"/>
          </w:tcPr>
          <w:p w:rsidR="000D3090" w:rsidRPr="00A8573B" w:rsidRDefault="000D3090" w:rsidP="00036F96">
            <w:pPr>
              <w:keepNext/>
              <w:keepLines/>
              <w:jc w:val="left"/>
              <w:rPr>
                <w:rFonts w:ascii="Arial Narrow" w:hAnsi="Arial Narrow"/>
                <w:sz w:val="20"/>
              </w:rPr>
            </w:pPr>
            <w:r w:rsidRPr="00A8573B">
              <w:rPr>
                <w:rFonts w:ascii="Arial Narrow" w:hAnsi="Arial Narrow"/>
                <w:sz w:val="20"/>
              </w:rPr>
              <w:t>An open, randomised, dose-finding, multicentre, pivotal study to determine the minimal effective dose and assess the safety of recombinant human Luteinising Hormone (r-hLH) to support recombinant human Follicle Stimulating Hormone (r-hFSH)-induced follicular development in LH and FSH deficient anovulatory women (WHO Group I).</w:t>
            </w: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r w:rsidRPr="00A8573B">
              <w:rPr>
                <w:rFonts w:ascii="Arial Narrow" w:hAnsi="Arial Narrow"/>
                <w:sz w:val="20"/>
              </w:rPr>
              <w:t>The European Recombinant Human LH Study Group. Recombinant human Luteinizing Hormone (LH) to support recombinant human Follicle-Stimulating Hormone (FSH)-induced follicular development in LH- and FSH-deficient anovulatory women: A dose-finding study.</w:t>
            </w:r>
          </w:p>
        </w:tc>
        <w:tc>
          <w:tcPr>
            <w:tcW w:w="1177" w:type="pct"/>
          </w:tcPr>
          <w:p w:rsidR="000D3090" w:rsidRPr="00A8573B" w:rsidRDefault="000D3090" w:rsidP="00036F96">
            <w:pPr>
              <w:keepNext/>
              <w:keepLines/>
              <w:jc w:val="left"/>
              <w:rPr>
                <w:rFonts w:ascii="Arial Narrow" w:hAnsi="Arial Narrow"/>
                <w:sz w:val="20"/>
              </w:rPr>
            </w:pPr>
            <w:r w:rsidRPr="00A8573B">
              <w:rPr>
                <w:rFonts w:ascii="Arial Narrow" w:hAnsi="Arial Narrow"/>
                <w:sz w:val="20"/>
              </w:rPr>
              <w:t>Clinical Study Report (Synopsis only), 1997</w:t>
            </w: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r w:rsidRPr="00A8573B">
              <w:rPr>
                <w:rFonts w:ascii="Arial Narrow" w:hAnsi="Arial Narrow"/>
                <w:sz w:val="20"/>
              </w:rPr>
              <w:t>Journal of Clinical Endocrinology and Metabolism 1998; 83(5): 1507-1514</w:t>
            </w:r>
            <w:r w:rsidR="000A7AE6" w:rsidRPr="00A8573B">
              <w:rPr>
                <w:rFonts w:ascii="Arial Narrow" w:hAnsi="Arial Narrow"/>
                <w:sz w:val="20"/>
              </w:rPr>
              <w:t>.</w:t>
            </w:r>
          </w:p>
        </w:tc>
      </w:tr>
      <w:tr w:rsidR="000D3090" w:rsidRPr="00A8573B" w:rsidTr="00B51B47">
        <w:tc>
          <w:tcPr>
            <w:tcW w:w="1019" w:type="pct"/>
          </w:tcPr>
          <w:p w:rsidR="000D3090" w:rsidRPr="00A8573B" w:rsidRDefault="000D3090" w:rsidP="00036F96">
            <w:pPr>
              <w:keepNext/>
              <w:keepLines/>
              <w:jc w:val="left"/>
              <w:rPr>
                <w:rFonts w:ascii="Arial Narrow" w:hAnsi="Arial Narrow"/>
                <w:sz w:val="20"/>
              </w:rPr>
            </w:pPr>
            <w:r w:rsidRPr="00A8573B">
              <w:rPr>
                <w:rFonts w:ascii="Arial Narrow" w:hAnsi="Arial Narrow"/>
                <w:sz w:val="20"/>
              </w:rPr>
              <w:t>Study 21008</w:t>
            </w:r>
          </w:p>
        </w:tc>
        <w:tc>
          <w:tcPr>
            <w:tcW w:w="2804" w:type="pct"/>
          </w:tcPr>
          <w:p w:rsidR="000D3090" w:rsidRPr="00A8573B" w:rsidRDefault="000D3090" w:rsidP="00036F96">
            <w:pPr>
              <w:keepNext/>
              <w:keepLines/>
              <w:jc w:val="left"/>
              <w:rPr>
                <w:rFonts w:ascii="Arial Narrow" w:hAnsi="Arial Narrow"/>
                <w:sz w:val="20"/>
              </w:rPr>
            </w:pPr>
            <w:r w:rsidRPr="00A8573B">
              <w:rPr>
                <w:rFonts w:ascii="Arial Narrow" w:hAnsi="Arial Narrow"/>
                <w:sz w:val="20"/>
              </w:rPr>
              <w:t>A phase III, prospective, randomized, controlled, double-blind, multicenter study to confirm the efficacy and safety of recombinant human Luteinizing Hormone (r hLH), 75 IU, administered subcutaneously, to support recombinant human Follicle Stimulating Hormone (r hFSH)-induced follicular development in women with hypogonadotropic hypogonadism and severe LH deficiency who desire pregnancy.</w:t>
            </w: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r w:rsidRPr="00A8573B">
              <w:rPr>
                <w:rFonts w:ascii="Arial Narrow" w:hAnsi="Arial Narrow"/>
                <w:sz w:val="20"/>
              </w:rPr>
              <w:t>Shoham Z, Smith H, Yeko T, et al. Recombinant LH (lutropin alfa) for the treatment of hypogonadotrophic women with profound LH deficiency: a randomized, double-blind, placebo-controlled, proof-of-efficacy study.</w:t>
            </w: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r w:rsidRPr="00A8573B">
              <w:rPr>
                <w:rFonts w:ascii="Arial Narrow" w:hAnsi="Arial Narrow"/>
                <w:sz w:val="20"/>
              </w:rPr>
              <w:t>Kaufmann R, Dunn R, Vaughn T, et al. Recombinant human luteinizing hormone, lutropin alfa, for the induction of follicular development and pregnancy in profoundly gonadotrophin-deficient women.</w:t>
            </w:r>
          </w:p>
        </w:tc>
        <w:tc>
          <w:tcPr>
            <w:tcW w:w="1177" w:type="pct"/>
          </w:tcPr>
          <w:p w:rsidR="000D3090" w:rsidRPr="00A8573B" w:rsidRDefault="000D3090" w:rsidP="00036F96">
            <w:pPr>
              <w:keepNext/>
              <w:keepLines/>
              <w:jc w:val="left"/>
              <w:rPr>
                <w:rFonts w:ascii="Arial Narrow" w:hAnsi="Arial Narrow"/>
                <w:sz w:val="20"/>
              </w:rPr>
            </w:pPr>
            <w:r w:rsidRPr="00A8573B">
              <w:rPr>
                <w:rFonts w:ascii="Arial Narrow" w:hAnsi="Arial Narrow"/>
                <w:sz w:val="20"/>
              </w:rPr>
              <w:t>Clinical Study Report (Synopsis only), 2001</w:t>
            </w: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r w:rsidRPr="00A8573B">
              <w:rPr>
                <w:rFonts w:ascii="Arial Narrow" w:hAnsi="Arial Narrow"/>
                <w:sz w:val="20"/>
              </w:rPr>
              <w:t>Clinical Endocrinology 2008; 69:471-478.</w:t>
            </w: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p>
          <w:p w:rsidR="000D3090" w:rsidRPr="00A8573B" w:rsidRDefault="000D3090" w:rsidP="00036F96">
            <w:pPr>
              <w:keepNext/>
              <w:keepLines/>
              <w:jc w:val="left"/>
              <w:rPr>
                <w:rFonts w:ascii="Arial Narrow" w:hAnsi="Arial Narrow"/>
                <w:sz w:val="20"/>
              </w:rPr>
            </w:pPr>
            <w:r w:rsidRPr="00A8573B">
              <w:rPr>
                <w:rFonts w:ascii="Arial Narrow" w:hAnsi="Arial Narrow"/>
                <w:sz w:val="20"/>
              </w:rPr>
              <w:t>Clinical Endocrinology 2007; 67:563-569.</w:t>
            </w:r>
          </w:p>
        </w:tc>
      </w:tr>
    </w:tbl>
    <w:p w:rsidR="00862502" w:rsidRDefault="001D267B" w:rsidP="00036F96">
      <w:pPr>
        <w:pStyle w:val="TableFooter"/>
        <w:keepNext/>
        <w:keepLines/>
        <w:ind w:firstLine="720"/>
      </w:pPr>
      <w:r>
        <w:t xml:space="preserve">Source: </w:t>
      </w:r>
      <w:r w:rsidRPr="005F35A6">
        <w:t>Table B.2-2, p32 of the submission</w:t>
      </w:r>
    </w:p>
    <w:p w:rsidR="00C3039B" w:rsidRPr="008F120A" w:rsidRDefault="00C3039B" w:rsidP="008F120A">
      <w:pPr>
        <w:widowControl/>
        <w:rPr>
          <w:szCs w:val="22"/>
        </w:rPr>
      </w:pPr>
    </w:p>
    <w:p w:rsidR="00862502" w:rsidRPr="00D54BF5" w:rsidRDefault="008F120A" w:rsidP="00036F96">
      <w:pPr>
        <w:pStyle w:val="ListParagraph"/>
        <w:keepNext/>
        <w:keepLines/>
        <w:widowControl/>
        <w:numPr>
          <w:ilvl w:val="1"/>
          <w:numId w:val="5"/>
        </w:numPr>
        <w:rPr>
          <w:szCs w:val="22"/>
        </w:rPr>
      </w:pPr>
      <w:r w:rsidRPr="00B50DB8">
        <w:rPr>
          <w:szCs w:val="22"/>
        </w:rPr>
        <w:lastRenderedPageBreak/>
        <w:t xml:space="preserve">The key features of the </w:t>
      </w:r>
      <w:r w:rsidR="00207638">
        <w:rPr>
          <w:szCs w:val="22"/>
        </w:rPr>
        <w:t>evidence</w:t>
      </w:r>
      <w:r w:rsidRPr="00B50DB8">
        <w:rPr>
          <w:szCs w:val="22"/>
        </w:rPr>
        <w:t xml:space="preserve"> </w:t>
      </w:r>
      <w:r w:rsidR="001D6BD6">
        <w:rPr>
          <w:szCs w:val="22"/>
        </w:rPr>
        <w:t>i</w:t>
      </w:r>
      <w:r w:rsidR="003568CC">
        <w:rPr>
          <w:szCs w:val="22"/>
        </w:rPr>
        <w:t>n</w:t>
      </w:r>
      <w:r w:rsidR="001D6BD6">
        <w:rPr>
          <w:szCs w:val="22"/>
        </w:rPr>
        <w:t xml:space="preserve"> the submission </w:t>
      </w:r>
      <w:r w:rsidRPr="00B50DB8">
        <w:rPr>
          <w:szCs w:val="22"/>
        </w:rPr>
        <w:t xml:space="preserve">are </w:t>
      </w:r>
      <w:r w:rsidR="00207638" w:rsidRPr="00D54BF5">
        <w:rPr>
          <w:szCs w:val="22"/>
        </w:rPr>
        <w:t>summarised in the table below.</w:t>
      </w:r>
    </w:p>
    <w:p w:rsidR="007F1017" w:rsidRPr="00D54BF5" w:rsidRDefault="007F1017" w:rsidP="00036F96">
      <w:pPr>
        <w:keepNext/>
        <w:keepLines/>
        <w:widowControl/>
        <w:rPr>
          <w:szCs w:val="22"/>
        </w:rPr>
      </w:pPr>
    </w:p>
    <w:p w:rsidR="007F1017" w:rsidRPr="00D54BF5" w:rsidRDefault="007F1017" w:rsidP="00036F96">
      <w:pPr>
        <w:keepNext/>
        <w:keepLines/>
        <w:ind w:firstLine="720"/>
        <w:rPr>
          <w:rStyle w:val="CommentReference"/>
        </w:rPr>
      </w:pPr>
      <w:r w:rsidRPr="00D54BF5">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Key features of the included evidence presented in the submission"/>
      </w:tblPr>
      <w:tblGrid>
        <w:gridCol w:w="1133"/>
        <w:gridCol w:w="711"/>
        <w:gridCol w:w="1983"/>
        <w:gridCol w:w="851"/>
        <w:gridCol w:w="1417"/>
        <w:gridCol w:w="1133"/>
        <w:gridCol w:w="1117"/>
      </w:tblGrid>
      <w:tr w:rsidR="00E22A0D" w:rsidRPr="00D54BF5" w:rsidTr="00B51B47">
        <w:tc>
          <w:tcPr>
            <w:tcW w:w="679" w:type="pct"/>
            <w:shd w:val="clear" w:color="auto" w:fill="auto"/>
            <w:vAlign w:val="center"/>
          </w:tcPr>
          <w:p w:rsidR="007F1017" w:rsidRPr="00D54BF5" w:rsidRDefault="007F1017" w:rsidP="00036F96">
            <w:pPr>
              <w:keepNext/>
              <w:keepLines/>
              <w:jc w:val="left"/>
              <w:rPr>
                <w:rFonts w:ascii="Arial Narrow" w:hAnsi="Arial Narrow"/>
                <w:b/>
                <w:sz w:val="20"/>
                <w:lang w:val="en-US"/>
              </w:rPr>
            </w:pPr>
            <w:r w:rsidRPr="00D54BF5">
              <w:rPr>
                <w:rFonts w:ascii="Arial Narrow" w:hAnsi="Arial Narrow"/>
                <w:b/>
                <w:sz w:val="20"/>
                <w:lang w:val="en-US"/>
              </w:rPr>
              <w:t>Trial</w:t>
            </w:r>
          </w:p>
        </w:tc>
        <w:tc>
          <w:tcPr>
            <w:tcW w:w="426" w:type="pct"/>
            <w:shd w:val="clear" w:color="auto" w:fill="auto"/>
            <w:vAlign w:val="center"/>
          </w:tcPr>
          <w:p w:rsidR="007F1017" w:rsidRPr="00D54BF5" w:rsidRDefault="007F1017" w:rsidP="00036F96">
            <w:pPr>
              <w:keepNext/>
              <w:keepLines/>
              <w:jc w:val="center"/>
              <w:rPr>
                <w:rFonts w:ascii="Arial Narrow" w:hAnsi="Arial Narrow"/>
                <w:b/>
                <w:sz w:val="20"/>
                <w:lang w:val="en-US"/>
              </w:rPr>
            </w:pPr>
            <w:r w:rsidRPr="00D54BF5">
              <w:rPr>
                <w:rFonts w:ascii="Arial Narrow" w:hAnsi="Arial Narrow"/>
                <w:b/>
                <w:sz w:val="20"/>
                <w:lang w:val="en-US"/>
              </w:rPr>
              <w:t>N</w:t>
            </w:r>
          </w:p>
        </w:tc>
        <w:tc>
          <w:tcPr>
            <w:tcW w:w="1188" w:type="pct"/>
            <w:shd w:val="clear" w:color="auto" w:fill="auto"/>
            <w:vAlign w:val="center"/>
          </w:tcPr>
          <w:p w:rsidR="007F1017" w:rsidRPr="00D54BF5" w:rsidRDefault="007F1017" w:rsidP="00036F96">
            <w:pPr>
              <w:keepNext/>
              <w:keepLines/>
              <w:jc w:val="center"/>
              <w:rPr>
                <w:rFonts w:ascii="Arial Narrow" w:hAnsi="Arial Narrow"/>
                <w:b/>
                <w:sz w:val="20"/>
                <w:lang w:val="en-US"/>
              </w:rPr>
            </w:pPr>
            <w:r w:rsidRPr="00D54BF5">
              <w:rPr>
                <w:rFonts w:ascii="Arial Narrow" w:hAnsi="Arial Narrow"/>
                <w:b/>
                <w:sz w:val="20"/>
                <w:lang w:val="en-US"/>
              </w:rPr>
              <w:t>Design/ duration</w:t>
            </w:r>
          </w:p>
        </w:tc>
        <w:tc>
          <w:tcPr>
            <w:tcW w:w="510" w:type="pct"/>
            <w:shd w:val="clear" w:color="auto" w:fill="auto"/>
            <w:vAlign w:val="center"/>
          </w:tcPr>
          <w:p w:rsidR="007F1017" w:rsidRPr="00D54BF5" w:rsidRDefault="007F1017" w:rsidP="00036F96">
            <w:pPr>
              <w:keepNext/>
              <w:keepLines/>
              <w:jc w:val="center"/>
              <w:rPr>
                <w:rFonts w:ascii="Arial Narrow" w:hAnsi="Arial Narrow"/>
                <w:b/>
                <w:sz w:val="20"/>
                <w:lang w:val="en-US"/>
              </w:rPr>
            </w:pPr>
            <w:r w:rsidRPr="00D54BF5">
              <w:rPr>
                <w:rFonts w:ascii="Arial Narrow" w:hAnsi="Arial Narrow"/>
                <w:b/>
                <w:sz w:val="20"/>
                <w:lang w:val="en-US"/>
              </w:rPr>
              <w:t>Risk of bias</w:t>
            </w:r>
          </w:p>
        </w:tc>
        <w:tc>
          <w:tcPr>
            <w:tcW w:w="849" w:type="pct"/>
            <w:shd w:val="clear" w:color="auto" w:fill="auto"/>
            <w:vAlign w:val="center"/>
          </w:tcPr>
          <w:p w:rsidR="007F1017" w:rsidRPr="00D54BF5" w:rsidRDefault="007F1017" w:rsidP="00036F96">
            <w:pPr>
              <w:keepNext/>
              <w:keepLines/>
              <w:jc w:val="center"/>
              <w:rPr>
                <w:rFonts w:ascii="Arial Narrow" w:hAnsi="Arial Narrow"/>
                <w:b/>
                <w:sz w:val="20"/>
                <w:lang w:val="en-US"/>
              </w:rPr>
            </w:pPr>
            <w:r w:rsidRPr="00D54BF5">
              <w:rPr>
                <w:rFonts w:ascii="Arial Narrow" w:hAnsi="Arial Narrow"/>
                <w:b/>
                <w:sz w:val="20"/>
                <w:lang w:val="en-US"/>
              </w:rPr>
              <w:t>Patient population</w:t>
            </w:r>
          </w:p>
        </w:tc>
        <w:tc>
          <w:tcPr>
            <w:tcW w:w="679" w:type="pct"/>
            <w:shd w:val="clear" w:color="auto" w:fill="auto"/>
            <w:vAlign w:val="center"/>
          </w:tcPr>
          <w:p w:rsidR="007F1017" w:rsidRPr="00D54BF5" w:rsidRDefault="007F1017" w:rsidP="00036F96">
            <w:pPr>
              <w:keepNext/>
              <w:keepLines/>
              <w:jc w:val="center"/>
              <w:rPr>
                <w:rFonts w:ascii="Arial Narrow" w:hAnsi="Arial Narrow"/>
                <w:b/>
                <w:sz w:val="20"/>
                <w:lang w:val="en-US"/>
              </w:rPr>
            </w:pPr>
            <w:r w:rsidRPr="00D54BF5">
              <w:rPr>
                <w:rFonts w:ascii="Arial Narrow" w:hAnsi="Arial Narrow"/>
                <w:b/>
                <w:sz w:val="20"/>
                <w:lang w:val="en-US"/>
              </w:rPr>
              <w:t>Outcomes</w:t>
            </w:r>
          </w:p>
        </w:tc>
        <w:tc>
          <w:tcPr>
            <w:tcW w:w="669" w:type="pct"/>
            <w:shd w:val="clear" w:color="auto" w:fill="auto"/>
            <w:vAlign w:val="center"/>
          </w:tcPr>
          <w:p w:rsidR="007F1017" w:rsidRPr="00D54BF5" w:rsidRDefault="007F1017" w:rsidP="00036F96">
            <w:pPr>
              <w:keepNext/>
              <w:keepLines/>
              <w:jc w:val="center"/>
              <w:rPr>
                <w:rFonts w:ascii="Arial Narrow" w:hAnsi="Arial Narrow"/>
                <w:b/>
                <w:sz w:val="20"/>
                <w:lang w:val="en-US"/>
              </w:rPr>
            </w:pPr>
            <w:r w:rsidRPr="00D54BF5">
              <w:rPr>
                <w:rFonts w:ascii="Arial Narrow" w:hAnsi="Arial Narrow"/>
                <w:b/>
                <w:sz w:val="20"/>
                <w:lang w:val="en-US"/>
              </w:rPr>
              <w:t>Use in modelled evaluation</w:t>
            </w:r>
          </w:p>
        </w:tc>
      </w:tr>
      <w:tr w:rsidR="007F1017" w:rsidRPr="00D54BF5" w:rsidTr="00B51B47">
        <w:tc>
          <w:tcPr>
            <w:tcW w:w="5000" w:type="pct"/>
            <w:gridSpan w:val="7"/>
            <w:shd w:val="clear" w:color="auto" w:fill="auto"/>
            <w:vAlign w:val="center"/>
          </w:tcPr>
          <w:p w:rsidR="007F1017" w:rsidRPr="00D54BF5" w:rsidRDefault="00207638" w:rsidP="00036F96">
            <w:pPr>
              <w:keepNext/>
              <w:keepLines/>
              <w:jc w:val="left"/>
              <w:rPr>
                <w:rFonts w:ascii="Arial Narrow" w:hAnsi="Arial Narrow"/>
                <w:b/>
                <w:sz w:val="20"/>
                <w:lang w:val="en-US"/>
              </w:rPr>
            </w:pPr>
            <w:r w:rsidRPr="00D54BF5">
              <w:rPr>
                <w:rFonts w:ascii="Arial Narrow" w:hAnsi="Arial Narrow"/>
                <w:b/>
                <w:sz w:val="20"/>
                <w:lang w:val="en-US"/>
              </w:rPr>
              <w:t>Lutropin alfa + rFSH vs rFSH alone</w:t>
            </w:r>
          </w:p>
        </w:tc>
      </w:tr>
      <w:tr w:rsidR="000D3090" w:rsidRPr="00E2771E" w:rsidTr="00B51B47">
        <w:tc>
          <w:tcPr>
            <w:tcW w:w="679" w:type="pct"/>
            <w:shd w:val="clear" w:color="auto" w:fill="auto"/>
            <w:vAlign w:val="center"/>
          </w:tcPr>
          <w:p w:rsidR="000D3090" w:rsidRPr="00D54BF5" w:rsidRDefault="000D3090" w:rsidP="00036F96">
            <w:pPr>
              <w:keepNext/>
              <w:keepLines/>
              <w:jc w:val="left"/>
              <w:rPr>
                <w:rFonts w:ascii="Arial Narrow" w:hAnsi="Arial Narrow"/>
                <w:sz w:val="20"/>
                <w:lang w:val="en-US"/>
              </w:rPr>
            </w:pPr>
            <w:r w:rsidRPr="00D54BF5">
              <w:rPr>
                <w:rFonts w:ascii="Arial Narrow" w:hAnsi="Arial Narrow"/>
                <w:sz w:val="20"/>
                <w:lang w:val="en-US"/>
              </w:rPr>
              <w:t>Lehert 2014</w:t>
            </w:r>
          </w:p>
        </w:tc>
        <w:tc>
          <w:tcPr>
            <w:tcW w:w="426" w:type="pct"/>
            <w:shd w:val="clear" w:color="auto" w:fill="auto"/>
            <w:vAlign w:val="center"/>
          </w:tcPr>
          <w:p w:rsidR="000D3090" w:rsidRPr="00D54BF5" w:rsidRDefault="000D3090" w:rsidP="00036F96">
            <w:pPr>
              <w:keepNext/>
              <w:keepLines/>
              <w:jc w:val="center"/>
              <w:rPr>
                <w:rFonts w:ascii="Arial Narrow" w:hAnsi="Arial Narrow"/>
                <w:sz w:val="20"/>
                <w:lang w:val="en-US"/>
              </w:rPr>
            </w:pPr>
            <w:r w:rsidRPr="00D54BF5">
              <w:rPr>
                <w:rFonts w:ascii="Arial Narrow" w:hAnsi="Arial Narrow"/>
                <w:sz w:val="20"/>
                <w:lang w:val="en-US"/>
              </w:rPr>
              <w:t>6,443</w:t>
            </w:r>
          </w:p>
        </w:tc>
        <w:tc>
          <w:tcPr>
            <w:tcW w:w="3226" w:type="pct"/>
            <w:gridSpan w:val="4"/>
            <w:shd w:val="clear" w:color="auto" w:fill="auto"/>
            <w:vAlign w:val="center"/>
          </w:tcPr>
          <w:p w:rsidR="000D3090" w:rsidRPr="00D54BF5" w:rsidRDefault="000D3090" w:rsidP="00D54BF5">
            <w:pPr>
              <w:keepNext/>
              <w:keepLines/>
              <w:jc w:val="center"/>
              <w:rPr>
                <w:rFonts w:ascii="Arial Narrow" w:hAnsi="Arial Narrow"/>
                <w:sz w:val="20"/>
                <w:lang w:val="en-US"/>
              </w:rPr>
            </w:pPr>
            <w:r w:rsidRPr="00D54BF5">
              <w:rPr>
                <w:rFonts w:ascii="Arial Narrow" w:hAnsi="Arial Narrow"/>
                <w:sz w:val="20"/>
                <w:lang w:val="en-US"/>
              </w:rPr>
              <w:t>Included 40 studies (</w:t>
            </w:r>
            <w:r w:rsidRPr="00D54BF5">
              <w:rPr>
                <w:rFonts w:ascii="Arial Narrow" w:hAnsi="Arial Narrow"/>
                <w:i/>
                <w:sz w:val="20"/>
                <w:lang w:val="en-US"/>
              </w:rPr>
              <w:t xml:space="preserve">see Table </w:t>
            </w:r>
            <w:r w:rsidR="00D54BF5" w:rsidRPr="00D54BF5">
              <w:rPr>
                <w:rFonts w:ascii="Arial Narrow" w:hAnsi="Arial Narrow"/>
                <w:i/>
                <w:sz w:val="20"/>
                <w:lang w:val="en-US"/>
              </w:rPr>
              <w:t>in</w:t>
            </w:r>
            <w:r w:rsidRPr="00D54BF5">
              <w:rPr>
                <w:rFonts w:ascii="Arial Narrow" w:hAnsi="Arial Narrow"/>
                <w:i/>
                <w:sz w:val="20"/>
                <w:lang w:val="en-US"/>
              </w:rPr>
              <w:t xml:space="preserve"> Attachment </w:t>
            </w:r>
            <w:r w:rsidR="00D54BF5" w:rsidRPr="00D54BF5">
              <w:rPr>
                <w:rFonts w:ascii="Arial Narrow" w:hAnsi="Arial Narrow"/>
                <w:i/>
                <w:sz w:val="20"/>
                <w:lang w:val="en-US"/>
              </w:rPr>
              <w:t>1 below</w:t>
            </w:r>
            <w:r w:rsidRPr="00D54BF5">
              <w:rPr>
                <w:rFonts w:ascii="Arial Narrow" w:hAnsi="Arial Narrow"/>
                <w:sz w:val="20"/>
                <w:lang w:val="en-US"/>
              </w:rPr>
              <w:t>)</w:t>
            </w:r>
            <w:r w:rsidR="000A7AE6" w:rsidRPr="00D54BF5">
              <w:rPr>
                <w:rFonts w:ascii="Arial Narrow" w:hAnsi="Arial Narrow"/>
                <w:sz w:val="20"/>
                <w:lang w:val="en-US"/>
              </w:rPr>
              <w:t>, 5 of which were divided into separate sub-groups and considered as separate studies (total 45 ‘studies’)</w:t>
            </w:r>
            <w:r w:rsidRPr="00D54BF5">
              <w:rPr>
                <w:rFonts w:ascii="Arial Narrow" w:hAnsi="Arial Narrow"/>
                <w:sz w:val="20"/>
                <w:lang w:val="en-US"/>
              </w:rPr>
              <w:t xml:space="preserve">; sub-group analysis of </w:t>
            </w:r>
            <w:r w:rsidR="0043018D" w:rsidRPr="00D54BF5">
              <w:rPr>
                <w:rFonts w:ascii="Arial Narrow" w:hAnsi="Arial Narrow"/>
                <w:sz w:val="20"/>
                <w:lang w:val="en-US"/>
              </w:rPr>
              <w:t xml:space="preserve">14 </w:t>
            </w:r>
            <w:r w:rsidRPr="00D54BF5">
              <w:rPr>
                <w:rFonts w:ascii="Arial Narrow" w:hAnsi="Arial Narrow"/>
                <w:sz w:val="20"/>
                <w:lang w:val="en-US"/>
              </w:rPr>
              <w:t>‘</w:t>
            </w:r>
            <w:r w:rsidR="0043018D" w:rsidRPr="00D54BF5">
              <w:rPr>
                <w:rFonts w:ascii="Arial Narrow" w:hAnsi="Arial Narrow"/>
                <w:sz w:val="20"/>
                <w:lang w:val="en-US"/>
              </w:rPr>
              <w:t>poor responder</w:t>
            </w:r>
            <w:r w:rsidRPr="00D54BF5">
              <w:rPr>
                <w:rFonts w:ascii="Arial Narrow" w:hAnsi="Arial Narrow"/>
                <w:sz w:val="20"/>
                <w:lang w:val="en-US"/>
              </w:rPr>
              <w:t>’</w:t>
            </w:r>
            <w:r w:rsidR="00946624" w:rsidRPr="00D54BF5">
              <w:rPr>
                <w:rFonts w:ascii="Arial Narrow" w:hAnsi="Arial Narrow"/>
                <w:sz w:val="20"/>
                <w:lang w:val="en-US"/>
              </w:rPr>
              <w:t xml:space="preserve"> </w:t>
            </w:r>
            <w:r w:rsidR="0043018D" w:rsidRPr="00D54BF5">
              <w:rPr>
                <w:rFonts w:ascii="Arial Narrow" w:hAnsi="Arial Narrow"/>
                <w:sz w:val="20"/>
                <w:lang w:val="en-US"/>
              </w:rPr>
              <w:t>studies</w:t>
            </w:r>
            <w:r w:rsidRPr="00D54BF5">
              <w:rPr>
                <w:rFonts w:ascii="Arial Narrow" w:hAnsi="Arial Narrow"/>
                <w:sz w:val="20"/>
                <w:lang w:val="en-US"/>
              </w:rPr>
              <w:t>; assessed clinical pregnancy, live births and OHSS rate (safety)</w:t>
            </w:r>
            <w:r w:rsidR="00207638" w:rsidRPr="00D54BF5">
              <w:rPr>
                <w:rFonts w:ascii="Arial Narrow" w:hAnsi="Arial Narrow"/>
                <w:sz w:val="20"/>
                <w:lang w:val="en-US"/>
              </w:rPr>
              <w:t>. All trials were one cycle duration.</w:t>
            </w:r>
          </w:p>
        </w:tc>
        <w:tc>
          <w:tcPr>
            <w:tcW w:w="669" w:type="pct"/>
            <w:shd w:val="clear" w:color="auto" w:fill="auto"/>
            <w:vAlign w:val="center"/>
          </w:tcPr>
          <w:p w:rsidR="000D3090" w:rsidRPr="00207638" w:rsidRDefault="000D3090" w:rsidP="00036F96">
            <w:pPr>
              <w:keepNext/>
              <w:keepLines/>
              <w:jc w:val="center"/>
              <w:rPr>
                <w:rFonts w:ascii="Arial Narrow" w:hAnsi="Arial Narrow"/>
                <w:sz w:val="20"/>
                <w:lang w:val="en-US"/>
              </w:rPr>
            </w:pPr>
            <w:r w:rsidRPr="00D54BF5">
              <w:rPr>
                <w:rFonts w:ascii="Arial Narrow" w:hAnsi="Arial Narrow"/>
                <w:sz w:val="20"/>
                <w:lang w:val="en-US"/>
              </w:rPr>
              <w:t>Clinical pregnancy</w:t>
            </w:r>
          </w:p>
        </w:tc>
      </w:tr>
      <w:tr w:rsidR="00207638" w:rsidRPr="00E2771E" w:rsidTr="00B51B47">
        <w:tc>
          <w:tcPr>
            <w:tcW w:w="679" w:type="pct"/>
            <w:shd w:val="clear" w:color="auto" w:fill="auto"/>
            <w:vAlign w:val="center"/>
          </w:tcPr>
          <w:p w:rsidR="00207638" w:rsidRPr="00207638" w:rsidRDefault="00207638" w:rsidP="00036F96">
            <w:pPr>
              <w:keepNext/>
              <w:keepLines/>
              <w:jc w:val="left"/>
              <w:rPr>
                <w:rFonts w:ascii="Arial Narrow" w:hAnsi="Arial Narrow"/>
                <w:sz w:val="20"/>
                <w:lang w:val="en-US"/>
              </w:rPr>
            </w:pPr>
            <w:r w:rsidRPr="00207638">
              <w:rPr>
                <w:rFonts w:ascii="Arial Narrow" w:hAnsi="Arial Narrow"/>
                <w:sz w:val="20"/>
                <w:lang w:val="en-US"/>
              </w:rPr>
              <w:t>Study 21008</w:t>
            </w:r>
          </w:p>
        </w:tc>
        <w:tc>
          <w:tcPr>
            <w:tcW w:w="426" w:type="pct"/>
            <w:shd w:val="clear" w:color="auto" w:fill="auto"/>
            <w:vAlign w:val="center"/>
          </w:tcPr>
          <w:p w:rsidR="00207638" w:rsidRPr="00207638" w:rsidRDefault="00207638" w:rsidP="00036F96">
            <w:pPr>
              <w:keepNext/>
              <w:keepLines/>
              <w:jc w:val="center"/>
              <w:rPr>
                <w:rFonts w:ascii="Arial Narrow" w:hAnsi="Arial Narrow"/>
                <w:sz w:val="20"/>
                <w:lang w:val="en-US"/>
              </w:rPr>
            </w:pPr>
            <w:r w:rsidRPr="00207638">
              <w:rPr>
                <w:rFonts w:ascii="Arial Narrow" w:hAnsi="Arial Narrow"/>
                <w:sz w:val="20"/>
                <w:lang w:val="en-US"/>
              </w:rPr>
              <w:t>39</w:t>
            </w:r>
          </w:p>
        </w:tc>
        <w:tc>
          <w:tcPr>
            <w:tcW w:w="1188" w:type="pct"/>
            <w:shd w:val="clear" w:color="auto" w:fill="auto"/>
            <w:vAlign w:val="center"/>
          </w:tcPr>
          <w:p w:rsidR="00207638" w:rsidRPr="00207638" w:rsidRDefault="00207638" w:rsidP="00036F96">
            <w:pPr>
              <w:keepNext/>
              <w:keepLines/>
              <w:jc w:val="center"/>
              <w:rPr>
                <w:rFonts w:ascii="Arial Narrow" w:hAnsi="Arial Narrow"/>
                <w:sz w:val="20"/>
                <w:lang w:val="en-US"/>
              </w:rPr>
            </w:pPr>
            <w:r w:rsidRPr="00207638">
              <w:rPr>
                <w:rFonts w:ascii="Arial Narrow" w:hAnsi="Arial Narrow"/>
                <w:sz w:val="20"/>
                <w:lang w:val="en-US"/>
              </w:rPr>
              <w:t xml:space="preserve">R, DB, </w:t>
            </w:r>
            <w:r>
              <w:rPr>
                <w:rFonts w:ascii="Arial Narrow" w:hAnsi="Arial Narrow"/>
                <w:sz w:val="20"/>
                <w:lang w:val="en-US"/>
              </w:rPr>
              <w:t xml:space="preserve">PG, </w:t>
            </w:r>
            <w:r w:rsidRPr="00207638">
              <w:rPr>
                <w:rFonts w:ascii="Arial Narrow" w:hAnsi="Arial Narrow"/>
                <w:sz w:val="20"/>
                <w:lang w:val="en-US"/>
              </w:rPr>
              <w:t>placebo controlled</w:t>
            </w:r>
          </w:p>
          <w:p w:rsidR="00207638" w:rsidRPr="00207638" w:rsidRDefault="00207638" w:rsidP="00036F96">
            <w:pPr>
              <w:keepNext/>
              <w:keepLines/>
              <w:jc w:val="center"/>
              <w:rPr>
                <w:rFonts w:ascii="Arial Narrow" w:hAnsi="Arial Narrow"/>
                <w:sz w:val="20"/>
                <w:lang w:val="en-US"/>
              </w:rPr>
            </w:pPr>
            <w:r w:rsidRPr="00207638">
              <w:rPr>
                <w:rFonts w:ascii="Arial Narrow" w:hAnsi="Arial Narrow"/>
                <w:sz w:val="20"/>
                <w:lang w:val="en-US"/>
              </w:rPr>
              <w:t>1 cycle</w:t>
            </w:r>
          </w:p>
        </w:tc>
        <w:tc>
          <w:tcPr>
            <w:tcW w:w="510" w:type="pct"/>
            <w:shd w:val="clear" w:color="auto" w:fill="auto"/>
            <w:vAlign w:val="center"/>
          </w:tcPr>
          <w:p w:rsidR="00207638" w:rsidRPr="00207638" w:rsidRDefault="00207638" w:rsidP="00036F96">
            <w:pPr>
              <w:keepNext/>
              <w:keepLines/>
              <w:jc w:val="center"/>
              <w:rPr>
                <w:rFonts w:ascii="Arial Narrow" w:hAnsi="Arial Narrow"/>
                <w:sz w:val="20"/>
                <w:lang w:val="en-US"/>
              </w:rPr>
            </w:pPr>
            <w:r>
              <w:rPr>
                <w:rFonts w:ascii="Arial Narrow" w:hAnsi="Arial Narrow"/>
                <w:sz w:val="20"/>
                <w:lang w:val="en-US"/>
              </w:rPr>
              <w:t>Low</w:t>
            </w:r>
          </w:p>
        </w:tc>
        <w:tc>
          <w:tcPr>
            <w:tcW w:w="849" w:type="pct"/>
            <w:vMerge w:val="restart"/>
            <w:shd w:val="clear" w:color="auto" w:fill="auto"/>
            <w:vAlign w:val="center"/>
          </w:tcPr>
          <w:p w:rsidR="00207638" w:rsidRPr="00207638" w:rsidRDefault="00207638" w:rsidP="00036F96">
            <w:pPr>
              <w:keepNext/>
              <w:keepLines/>
              <w:jc w:val="center"/>
              <w:rPr>
                <w:rFonts w:ascii="Arial Narrow" w:hAnsi="Arial Narrow"/>
                <w:sz w:val="20"/>
                <w:lang w:val="en-US"/>
              </w:rPr>
            </w:pPr>
            <w:r>
              <w:rPr>
                <w:rFonts w:ascii="Arial Narrow" w:hAnsi="Arial Narrow"/>
                <w:sz w:val="20"/>
                <w:lang w:val="en-US"/>
              </w:rPr>
              <w:t>Patients with hypogonadotropic hypogonadism</w:t>
            </w:r>
          </w:p>
        </w:tc>
        <w:tc>
          <w:tcPr>
            <w:tcW w:w="679" w:type="pct"/>
            <w:vMerge w:val="restart"/>
            <w:shd w:val="clear" w:color="auto" w:fill="auto"/>
            <w:vAlign w:val="center"/>
          </w:tcPr>
          <w:p w:rsidR="00207638" w:rsidRPr="00207638" w:rsidRDefault="00207638" w:rsidP="00036F96">
            <w:pPr>
              <w:keepNext/>
              <w:keepLines/>
              <w:jc w:val="center"/>
              <w:rPr>
                <w:rFonts w:ascii="Arial Narrow" w:hAnsi="Arial Narrow"/>
                <w:sz w:val="20"/>
                <w:lang w:val="en-US"/>
              </w:rPr>
            </w:pPr>
            <w:r>
              <w:rPr>
                <w:rFonts w:ascii="Arial Narrow" w:hAnsi="Arial Narrow"/>
                <w:sz w:val="20"/>
                <w:lang w:val="en-US"/>
              </w:rPr>
              <w:t>Clinical pregnancy, OHSS</w:t>
            </w:r>
          </w:p>
        </w:tc>
        <w:tc>
          <w:tcPr>
            <w:tcW w:w="669" w:type="pct"/>
            <w:vMerge w:val="restart"/>
            <w:shd w:val="clear" w:color="auto" w:fill="auto"/>
            <w:vAlign w:val="center"/>
          </w:tcPr>
          <w:p w:rsidR="00207638" w:rsidRPr="00207638" w:rsidRDefault="00207638" w:rsidP="00036F96">
            <w:pPr>
              <w:keepNext/>
              <w:keepLines/>
              <w:jc w:val="center"/>
              <w:rPr>
                <w:rFonts w:ascii="Arial Narrow" w:hAnsi="Arial Narrow"/>
                <w:sz w:val="20"/>
                <w:lang w:val="en-US"/>
              </w:rPr>
            </w:pPr>
            <w:r w:rsidRPr="00207638">
              <w:rPr>
                <w:rFonts w:ascii="Arial Narrow" w:hAnsi="Arial Narrow"/>
                <w:sz w:val="20"/>
                <w:lang w:val="en-US"/>
              </w:rPr>
              <w:t>Not used</w:t>
            </w:r>
          </w:p>
        </w:tc>
      </w:tr>
      <w:tr w:rsidR="00207638" w:rsidRPr="00E2771E" w:rsidTr="00B51B47">
        <w:tc>
          <w:tcPr>
            <w:tcW w:w="679" w:type="pct"/>
            <w:shd w:val="clear" w:color="auto" w:fill="auto"/>
            <w:vAlign w:val="center"/>
          </w:tcPr>
          <w:p w:rsidR="00207638" w:rsidRPr="00207638" w:rsidRDefault="00207638" w:rsidP="00036F96">
            <w:pPr>
              <w:keepNext/>
              <w:keepLines/>
              <w:jc w:val="left"/>
              <w:rPr>
                <w:rFonts w:ascii="Arial Narrow" w:hAnsi="Arial Narrow"/>
                <w:sz w:val="20"/>
                <w:lang w:val="en-US"/>
              </w:rPr>
            </w:pPr>
            <w:r w:rsidRPr="00207638">
              <w:rPr>
                <w:rFonts w:ascii="Arial Narrow" w:hAnsi="Arial Narrow"/>
                <w:sz w:val="20"/>
                <w:lang w:val="en-US"/>
              </w:rPr>
              <w:t>Study 6253</w:t>
            </w:r>
          </w:p>
        </w:tc>
        <w:tc>
          <w:tcPr>
            <w:tcW w:w="426" w:type="pct"/>
            <w:shd w:val="clear" w:color="auto" w:fill="auto"/>
            <w:vAlign w:val="center"/>
          </w:tcPr>
          <w:p w:rsidR="00207638" w:rsidRPr="00207638" w:rsidRDefault="00207638" w:rsidP="00036F96">
            <w:pPr>
              <w:keepNext/>
              <w:keepLines/>
              <w:jc w:val="center"/>
              <w:rPr>
                <w:rFonts w:ascii="Arial Narrow" w:hAnsi="Arial Narrow"/>
                <w:sz w:val="20"/>
                <w:lang w:val="en-US"/>
              </w:rPr>
            </w:pPr>
            <w:r w:rsidRPr="00207638">
              <w:rPr>
                <w:rFonts w:ascii="Arial Narrow" w:hAnsi="Arial Narrow"/>
                <w:sz w:val="20"/>
                <w:lang w:val="en-US"/>
              </w:rPr>
              <w:t>38</w:t>
            </w:r>
          </w:p>
        </w:tc>
        <w:tc>
          <w:tcPr>
            <w:tcW w:w="1188" w:type="pct"/>
            <w:shd w:val="clear" w:color="auto" w:fill="auto"/>
            <w:vAlign w:val="center"/>
          </w:tcPr>
          <w:p w:rsidR="00207638" w:rsidRDefault="00207638" w:rsidP="00036F96">
            <w:pPr>
              <w:keepNext/>
              <w:keepLines/>
              <w:jc w:val="center"/>
              <w:rPr>
                <w:rFonts w:ascii="Arial Narrow" w:hAnsi="Arial Narrow"/>
                <w:sz w:val="20"/>
                <w:lang w:val="en-US"/>
              </w:rPr>
            </w:pPr>
            <w:r w:rsidRPr="00207638">
              <w:rPr>
                <w:rFonts w:ascii="Arial Narrow" w:hAnsi="Arial Narrow"/>
                <w:sz w:val="20"/>
                <w:lang w:val="en-US"/>
              </w:rPr>
              <w:t>R, OL, PG, dose finding</w:t>
            </w:r>
          </w:p>
          <w:p w:rsidR="00207638" w:rsidRPr="00207638" w:rsidRDefault="00207638" w:rsidP="00036F96">
            <w:pPr>
              <w:keepNext/>
              <w:keepLines/>
              <w:jc w:val="center"/>
              <w:rPr>
                <w:rFonts w:ascii="Arial Narrow" w:hAnsi="Arial Narrow"/>
                <w:sz w:val="20"/>
                <w:lang w:val="en-US"/>
              </w:rPr>
            </w:pPr>
            <w:r>
              <w:rPr>
                <w:rFonts w:ascii="Arial Narrow" w:hAnsi="Arial Narrow"/>
                <w:sz w:val="20"/>
                <w:lang w:val="en-US"/>
              </w:rPr>
              <w:t>1 cycle + up to 2 additional optional cycles</w:t>
            </w:r>
          </w:p>
        </w:tc>
        <w:tc>
          <w:tcPr>
            <w:tcW w:w="510" w:type="pct"/>
            <w:shd w:val="clear" w:color="auto" w:fill="auto"/>
            <w:vAlign w:val="center"/>
          </w:tcPr>
          <w:p w:rsidR="00207638" w:rsidRPr="00C3039B" w:rsidRDefault="00207638" w:rsidP="00036F96">
            <w:pPr>
              <w:keepNext/>
              <w:keepLines/>
              <w:jc w:val="center"/>
              <w:rPr>
                <w:rFonts w:ascii="Arial Narrow" w:hAnsi="Arial Narrow"/>
                <w:sz w:val="20"/>
                <w:highlight w:val="yellow"/>
                <w:lang w:val="en-US"/>
              </w:rPr>
            </w:pPr>
            <w:r w:rsidRPr="00207638">
              <w:rPr>
                <w:rFonts w:ascii="Arial Narrow" w:hAnsi="Arial Narrow"/>
                <w:sz w:val="20"/>
                <w:lang w:val="en-US"/>
              </w:rPr>
              <w:t>High</w:t>
            </w:r>
          </w:p>
        </w:tc>
        <w:tc>
          <w:tcPr>
            <w:tcW w:w="849" w:type="pct"/>
            <w:vMerge/>
            <w:shd w:val="clear" w:color="auto" w:fill="auto"/>
            <w:vAlign w:val="center"/>
          </w:tcPr>
          <w:p w:rsidR="00207638" w:rsidRPr="00C3039B" w:rsidRDefault="00207638" w:rsidP="00036F96">
            <w:pPr>
              <w:keepNext/>
              <w:keepLines/>
              <w:jc w:val="center"/>
              <w:rPr>
                <w:rFonts w:ascii="Arial Narrow" w:hAnsi="Arial Narrow"/>
                <w:sz w:val="20"/>
                <w:highlight w:val="yellow"/>
                <w:lang w:val="en-US"/>
              </w:rPr>
            </w:pPr>
          </w:p>
        </w:tc>
        <w:tc>
          <w:tcPr>
            <w:tcW w:w="679" w:type="pct"/>
            <w:vMerge/>
            <w:shd w:val="clear" w:color="auto" w:fill="auto"/>
            <w:vAlign w:val="center"/>
          </w:tcPr>
          <w:p w:rsidR="00207638" w:rsidRPr="00C3039B" w:rsidRDefault="00207638" w:rsidP="00036F96">
            <w:pPr>
              <w:keepNext/>
              <w:keepLines/>
              <w:jc w:val="center"/>
              <w:rPr>
                <w:rFonts w:ascii="Arial Narrow" w:hAnsi="Arial Narrow"/>
                <w:sz w:val="20"/>
                <w:highlight w:val="yellow"/>
                <w:lang w:val="en-US"/>
              </w:rPr>
            </w:pPr>
          </w:p>
        </w:tc>
        <w:tc>
          <w:tcPr>
            <w:tcW w:w="669" w:type="pct"/>
            <w:vMerge/>
            <w:shd w:val="clear" w:color="auto" w:fill="auto"/>
            <w:vAlign w:val="center"/>
          </w:tcPr>
          <w:p w:rsidR="00207638" w:rsidRPr="00207638" w:rsidRDefault="00207638" w:rsidP="00036F96">
            <w:pPr>
              <w:keepNext/>
              <w:keepLines/>
              <w:jc w:val="center"/>
              <w:rPr>
                <w:rFonts w:ascii="Arial Narrow" w:hAnsi="Arial Narrow"/>
                <w:sz w:val="20"/>
                <w:lang w:val="en-US"/>
              </w:rPr>
            </w:pPr>
          </w:p>
        </w:tc>
      </w:tr>
    </w:tbl>
    <w:p w:rsidR="007F1017" w:rsidRPr="0072416F" w:rsidRDefault="000D3090" w:rsidP="00036F96">
      <w:pPr>
        <w:pStyle w:val="TableFooter"/>
        <w:keepNext/>
        <w:keepLines/>
        <w:ind w:left="709" w:firstLine="11"/>
      </w:pPr>
      <w:r>
        <w:t xml:space="preserve">Abbreviations: </w:t>
      </w:r>
      <w:r w:rsidR="007F1017" w:rsidRPr="0072416F">
        <w:t>DB</w:t>
      </w:r>
      <w:r>
        <w:t>, d</w:t>
      </w:r>
      <w:r w:rsidR="007F1017" w:rsidRPr="0072416F">
        <w:t>ouble blind</w:t>
      </w:r>
      <w:r>
        <w:t xml:space="preserve">; OHSS, ovarian hyperstimulation syndrome; OL, </w:t>
      </w:r>
      <w:r w:rsidR="007F1017" w:rsidRPr="0072416F">
        <w:t xml:space="preserve">open label; </w:t>
      </w:r>
      <w:r w:rsidR="00207638">
        <w:t xml:space="preserve">PG, parallel group; </w:t>
      </w:r>
      <w:r w:rsidR="007F1017" w:rsidRPr="0072416F">
        <w:t>R</w:t>
      </w:r>
      <w:r>
        <w:t xml:space="preserve">, </w:t>
      </w:r>
      <w:r w:rsidR="007F1017" w:rsidRPr="0072416F">
        <w:t>randomised.</w:t>
      </w:r>
    </w:p>
    <w:p w:rsidR="007F1017" w:rsidRPr="0072416F" w:rsidRDefault="007F1017" w:rsidP="00036F96">
      <w:pPr>
        <w:pStyle w:val="TableFooter"/>
        <w:keepNext/>
        <w:keepLines/>
        <w:ind w:firstLine="720"/>
      </w:pPr>
      <w:r w:rsidRPr="0072416F">
        <w:t>Source: compiled during the evaluation</w:t>
      </w:r>
    </w:p>
    <w:p w:rsidR="00B60939" w:rsidRDefault="00B60939" w:rsidP="00B60939">
      <w:pPr>
        <w:rPr>
          <w:szCs w:val="22"/>
        </w:rPr>
      </w:pPr>
    </w:p>
    <w:p w:rsidR="00D54BF5" w:rsidRPr="00327999" w:rsidRDefault="00D54BF5" w:rsidP="00251FD2">
      <w:pPr>
        <w:pStyle w:val="ListParagraph"/>
        <w:widowControl/>
        <w:numPr>
          <w:ilvl w:val="1"/>
          <w:numId w:val="5"/>
        </w:numPr>
      </w:pPr>
      <w:r w:rsidRPr="00327999">
        <w:t>The studies included in the meta-analysis, which was commission</w:t>
      </w:r>
      <w:r w:rsidR="004526BD" w:rsidRPr="00327999">
        <w:t>ed</w:t>
      </w:r>
      <w:r w:rsidRPr="00327999">
        <w:t xml:space="preserve"> by the sponsor, are at unclear or high risk of bias. Thus, the effect size for clinical pregnancy and live birth </w:t>
      </w:r>
      <w:r w:rsidR="001D6BD6">
        <w:t>may</w:t>
      </w:r>
      <w:r w:rsidRPr="00327999">
        <w:t xml:space="preserve"> be overestimated.</w:t>
      </w:r>
    </w:p>
    <w:p w:rsidR="00D54BF5" w:rsidRPr="00882085" w:rsidRDefault="00D54BF5" w:rsidP="00251FD2">
      <w:pPr>
        <w:rPr>
          <w:szCs w:val="22"/>
        </w:rPr>
      </w:pPr>
    </w:p>
    <w:p w:rsidR="00B60939" w:rsidRPr="003568CC" w:rsidRDefault="00B60939" w:rsidP="00251FD2">
      <w:pPr>
        <w:pStyle w:val="Heading2"/>
      </w:pPr>
      <w:bookmarkStart w:id="9" w:name="_Toc408922675"/>
      <w:r w:rsidRPr="003568CC">
        <w:t>Comparative effectiveness</w:t>
      </w:r>
      <w:bookmarkEnd w:id="9"/>
    </w:p>
    <w:p w:rsidR="00251FD2" w:rsidRPr="00251FD2" w:rsidRDefault="00251FD2" w:rsidP="00251FD2"/>
    <w:p w:rsidR="002C2775" w:rsidRPr="00B50DB8" w:rsidRDefault="00207638" w:rsidP="007F37E3">
      <w:pPr>
        <w:pStyle w:val="ListParagraph"/>
        <w:widowControl/>
        <w:numPr>
          <w:ilvl w:val="1"/>
          <w:numId w:val="5"/>
        </w:numPr>
        <w:spacing w:after="220"/>
        <w:rPr>
          <w:szCs w:val="22"/>
        </w:rPr>
      </w:pPr>
      <w:r>
        <w:rPr>
          <w:szCs w:val="22"/>
        </w:rPr>
        <w:t>The meta-analysis compared rates of clinical pregnancy and live births for all studies, and for separate sub-groups of normal responders and poor responders. Poor responders were used in the submission to represent the eligible PBS population.</w:t>
      </w:r>
      <w:r w:rsidR="00E626C2">
        <w:rPr>
          <w:szCs w:val="22"/>
        </w:rPr>
        <w:t xml:space="preserve"> Missing data for clinical pregnancy and live births were imputed where possible. </w:t>
      </w:r>
      <w:r>
        <w:rPr>
          <w:szCs w:val="22"/>
        </w:rPr>
        <w:t xml:space="preserve"> </w:t>
      </w:r>
    </w:p>
    <w:p w:rsidR="007F1017" w:rsidRDefault="007F1017" w:rsidP="00E22A0D">
      <w:pPr>
        <w:ind w:firstLine="720"/>
        <w:rPr>
          <w:rStyle w:val="CommentReference"/>
        </w:rPr>
      </w:pPr>
      <w:r w:rsidRPr="009628E2">
        <w:rPr>
          <w:rStyle w:val="CommentReference"/>
        </w:rPr>
        <w:t xml:space="preserve">Results of </w:t>
      </w:r>
      <w:r w:rsidR="00E626C2" w:rsidRPr="009628E2">
        <w:rPr>
          <w:rStyle w:val="CommentReference"/>
        </w:rPr>
        <w:t xml:space="preserve">comparative efficacy for </w:t>
      </w:r>
      <w:r w:rsidR="00A42BF6" w:rsidRPr="009628E2">
        <w:rPr>
          <w:rStyle w:val="CommentReference"/>
        </w:rPr>
        <w:t>clinical pregnancies and live births</w:t>
      </w:r>
    </w:p>
    <w:tbl>
      <w:tblPr>
        <w:tblStyle w:val="TableGrid"/>
        <w:tblW w:w="0" w:type="auto"/>
        <w:tblInd w:w="817" w:type="dxa"/>
        <w:tblLook w:val="0620" w:firstRow="1" w:lastRow="0" w:firstColumn="0" w:lastColumn="0" w:noHBand="1" w:noVBand="1"/>
        <w:tblCaption w:val="Comparative effectiveness"/>
        <w:tblDescription w:val="Results of meta-analysis"/>
      </w:tblPr>
      <w:tblGrid>
        <w:gridCol w:w="1985"/>
        <w:gridCol w:w="1610"/>
        <w:gridCol w:w="1610"/>
        <w:gridCol w:w="1610"/>
        <w:gridCol w:w="1610"/>
      </w:tblGrid>
      <w:tr w:rsidR="001E2613" w:rsidRPr="00AB7A7B" w:rsidTr="00E648AE">
        <w:trPr>
          <w:tblHeader/>
        </w:trPr>
        <w:tc>
          <w:tcPr>
            <w:tcW w:w="1985" w:type="dxa"/>
            <w:vAlign w:val="center"/>
          </w:tcPr>
          <w:p w:rsidR="001E2613" w:rsidRPr="00AB7A7B" w:rsidRDefault="009628E2" w:rsidP="00F77A64">
            <w:pPr>
              <w:jc w:val="left"/>
              <w:rPr>
                <w:rFonts w:ascii="Arial Narrow" w:hAnsi="Arial Narrow"/>
                <w:sz w:val="20"/>
              </w:rPr>
            </w:pPr>
            <w:r w:rsidRPr="00AB7A7B">
              <w:rPr>
                <w:rFonts w:ascii="Arial Narrow" w:hAnsi="Arial Narrow"/>
                <w:sz w:val="20"/>
              </w:rPr>
              <w:t>Trial ID</w:t>
            </w:r>
          </w:p>
        </w:tc>
        <w:tc>
          <w:tcPr>
            <w:tcW w:w="1610" w:type="dxa"/>
            <w:vAlign w:val="center"/>
          </w:tcPr>
          <w:p w:rsidR="001E2613" w:rsidRPr="00AB7A7B" w:rsidRDefault="001E2613" w:rsidP="00F77A64">
            <w:pPr>
              <w:jc w:val="center"/>
              <w:rPr>
                <w:rFonts w:ascii="Arial Narrow" w:hAnsi="Arial Narrow"/>
                <w:b/>
                <w:sz w:val="20"/>
              </w:rPr>
            </w:pPr>
            <w:r w:rsidRPr="00AB7A7B">
              <w:rPr>
                <w:rFonts w:ascii="Arial Narrow" w:hAnsi="Arial Narrow"/>
                <w:b/>
                <w:sz w:val="20"/>
              </w:rPr>
              <w:t>rFSH + lutropin alfa</w:t>
            </w:r>
          </w:p>
          <w:p w:rsidR="001E2613" w:rsidRPr="00AB7A7B" w:rsidRDefault="001E2613" w:rsidP="00F77A64">
            <w:pPr>
              <w:jc w:val="center"/>
              <w:rPr>
                <w:rFonts w:ascii="Arial Narrow" w:hAnsi="Arial Narrow"/>
                <w:b/>
                <w:sz w:val="20"/>
              </w:rPr>
            </w:pPr>
            <w:r w:rsidRPr="00AB7A7B">
              <w:rPr>
                <w:rFonts w:ascii="Arial Narrow" w:hAnsi="Arial Narrow"/>
                <w:b/>
                <w:sz w:val="20"/>
              </w:rPr>
              <w:t>n/N (%)</w:t>
            </w:r>
          </w:p>
        </w:tc>
        <w:tc>
          <w:tcPr>
            <w:tcW w:w="1610" w:type="dxa"/>
            <w:vAlign w:val="center"/>
          </w:tcPr>
          <w:p w:rsidR="001E2613" w:rsidRPr="00AB7A7B" w:rsidRDefault="001E2613" w:rsidP="00F77A64">
            <w:pPr>
              <w:jc w:val="center"/>
              <w:rPr>
                <w:rFonts w:ascii="Arial Narrow" w:hAnsi="Arial Narrow"/>
                <w:b/>
                <w:sz w:val="20"/>
              </w:rPr>
            </w:pPr>
            <w:r w:rsidRPr="00AB7A7B">
              <w:rPr>
                <w:rFonts w:ascii="Arial Narrow" w:hAnsi="Arial Narrow"/>
                <w:b/>
                <w:sz w:val="20"/>
              </w:rPr>
              <w:t>rFSH</w:t>
            </w:r>
          </w:p>
          <w:p w:rsidR="001E2613" w:rsidRPr="00AB7A7B" w:rsidRDefault="001E2613" w:rsidP="00F77A64">
            <w:pPr>
              <w:jc w:val="center"/>
              <w:rPr>
                <w:rFonts w:ascii="Arial Narrow" w:hAnsi="Arial Narrow"/>
                <w:b/>
                <w:sz w:val="20"/>
              </w:rPr>
            </w:pPr>
            <w:r w:rsidRPr="00AB7A7B">
              <w:rPr>
                <w:rFonts w:ascii="Arial Narrow" w:hAnsi="Arial Narrow"/>
                <w:b/>
                <w:sz w:val="20"/>
              </w:rPr>
              <w:t>n/N (%)</w:t>
            </w:r>
          </w:p>
        </w:tc>
        <w:tc>
          <w:tcPr>
            <w:tcW w:w="1610" w:type="dxa"/>
            <w:vAlign w:val="center"/>
          </w:tcPr>
          <w:p w:rsidR="001E2613" w:rsidRPr="00AB7A7B" w:rsidRDefault="001E2613" w:rsidP="00F77A64">
            <w:pPr>
              <w:jc w:val="center"/>
              <w:rPr>
                <w:rFonts w:ascii="Arial Narrow" w:hAnsi="Arial Narrow"/>
                <w:b/>
                <w:sz w:val="20"/>
              </w:rPr>
            </w:pPr>
            <w:r w:rsidRPr="00AB7A7B">
              <w:rPr>
                <w:rFonts w:ascii="Arial Narrow" w:hAnsi="Arial Narrow"/>
                <w:b/>
                <w:sz w:val="20"/>
              </w:rPr>
              <w:t>RR</w:t>
            </w:r>
          </w:p>
          <w:p w:rsidR="001E2613" w:rsidRPr="00AB7A7B" w:rsidRDefault="001E2613" w:rsidP="00F77A64">
            <w:pPr>
              <w:jc w:val="center"/>
              <w:rPr>
                <w:rFonts w:ascii="Arial Narrow" w:hAnsi="Arial Narrow"/>
                <w:b/>
                <w:sz w:val="20"/>
              </w:rPr>
            </w:pPr>
            <w:r w:rsidRPr="00AB7A7B">
              <w:rPr>
                <w:rFonts w:ascii="Arial Narrow" w:hAnsi="Arial Narrow"/>
                <w:b/>
                <w:sz w:val="20"/>
              </w:rPr>
              <w:t>[95% CI]</w:t>
            </w:r>
          </w:p>
        </w:tc>
        <w:tc>
          <w:tcPr>
            <w:tcW w:w="1610" w:type="dxa"/>
            <w:vAlign w:val="center"/>
          </w:tcPr>
          <w:p w:rsidR="001E2613" w:rsidRPr="00AB7A7B" w:rsidRDefault="001E2613" w:rsidP="00F77A64">
            <w:pPr>
              <w:jc w:val="center"/>
              <w:rPr>
                <w:rFonts w:ascii="Arial Narrow" w:hAnsi="Arial Narrow"/>
                <w:b/>
                <w:sz w:val="20"/>
              </w:rPr>
            </w:pPr>
            <w:r w:rsidRPr="00AB7A7B">
              <w:rPr>
                <w:rFonts w:ascii="Arial Narrow" w:hAnsi="Arial Narrow"/>
                <w:b/>
                <w:sz w:val="20"/>
              </w:rPr>
              <w:t>OR</w:t>
            </w:r>
          </w:p>
          <w:p w:rsidR="001E2613" w:rsidRPr="00AB7A7B" w:rsidRDefault="001E2613" w:rsidP="00F77A64">
            <w:pPr>
              <w:jc w:val="center"/>
              <w:rPr>
                <w:rFonts w:ascii="Arial Narrow" w:hAnsi="Arial Narrow"/>
                <w:b/>
                <w:sz w:val="20"/>
              </w:rPr>
            </w:pPr>
            <w:r w:rsidRPr="00AB7A7B">
              <w:rPr>
                <w:rFonts w:ascii="Arial Narrow" w:hAnsi="Arial Narrow"/>
                <w:b/>
                <w:sz w:val="20"/>
              </w:rPr>
              <w:t>[95% CI]</w:t>
            </w:r>
          </w:p>
        </w:tc>
      </w:tr>
      <w:tr w:rsidR="001E2613" w:rsidRPr="00AB7A7B" w:rsidTr="00E648AE">
        <w:tc>
          <w:tcPr>
            <w:tcW w:w="8425" w:type="dxa"/>
            <w:gridSpan w:val="5"/>
            <w:vAlign w:val="center"/>
          </w:tcPr>
          <w:p w:rsidR="001E2613" w:rsidRPr="00AB7A7B" w:rsidRDefault="001E2613" w:rsidP="00F77A64">
            <w:pPr>
              <w:jc w:val="left"/>
              <w:rPr>
                <w:rFonts w:ascii="Arial Narrow" w:hAnsi="Arial Narrow"/>
                <w:b/>
                <w:sz w:val="20"/>
              </w:rPr>
            </w:pPr>
            <w:r w:rsidRPr="00AB7A7B">
              <w:rPr>
                <w:rFonts w:ascii="Arial Narrow" w:hAnsi="Arial Narrow"/>
                <w:b/>
                <w:sz w:val="20"/>
              </w:rPr>
              <w:t>Clinical pregnancy</w:t>
            </w:r>
          </w:p>
        </w:tc>
      </w:tr>
      <w:tr w:rsidR="001E2613" w:rsidRPr="00AB7A7B" w:rsidTr="00E648AE">
        <w:tc>
          <w:tcPr>
            <w:tcW w:w="1985" w:type="dxa"/>
            <w:vAlign w:val="center"/>
          </w:tcPr>
          <w:p w:rsidR="001E2613" w:rsidRPr="00AB7A7B" w:rsidRDefault="009628E2" w:rsidP="00F77A64">
            <w:pPr>
              <w:ind w:left="142"/>
              <w:jc w:val="left"/>
              <w:rPr>
                <w:rFonts w:ascii="Arial Narrow" w:hAnsi="Arial Narrow"/>
                <w:sz w:val="20"/>
              </w:rPr>
            </w:pPr>
            <w:r w:rsidRPr="00AB7A7B">
              <w:rPr>
                <w:rFonts w:ascii="Arial Narrow" w:hAnsi="Arial Narrow"/>
                <w:sz w:val="20"/>
              </w:rPr>
              <w:t>Lehert 2014</w:t>
            </w:r>
            <w:r w:rsidR="00946624" w:rsidRPr="00AB7A7B">
              <w:rPr>
                <w:rFonts w:ascii="Arial Narrow" w:hAnsi="Arial Narrow"/>
                <w:sz w:val="20"/>
              </w:rPr>
              <w:t xml:space="preserve"> - </w:t>
            </w:r>
            <w:r w:rsidR="001E2613" w:rsidRPr="00AB7A7B">
              <w:rPr>
                <w:rFonts w:ascii="Arial Narrow" w:hAnsi="Arial Narrow"/>
                <w:sz w:val="20"/>
              </w:rPr>
              <w:t>Overall</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891/3139 (28.4%)</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818/3254 (25.1%)</w:t>
            </w:r>
          </w:p>
        </w:tc>
        <w:tc>
          <w:tcPr>
            <w:tcW w:w="1610" w:type="dxa"/>
            <w:vAlign w:val="center"/>
          </w:tcPr>
          <w:p w:rsidR="001E2613" w:rsidRPr="00AB7A7B" w:rsidRDefault="001E2613" w:rsidP="00F77A64">
            <w:pPr>
              <w:pStyle w:val="PBACTable"/>
              <w:spacing w:line="240" w:lineRule="auto"/>
              <w:jc w:val="center"/>
            </w:pPr>
            <w:r w:rsidRPr="00AB7A7B">
              <w:t>1.09</w:t>
            </w:r>
          </w:p>
          <w:p w:rsidR="001E2613" w:rsidRPr="00AB7A7B" w:rsidRDefault="001E2613" w:rsidP="00F77A64">
            <w:pPr>
              <w:jc w:val="center"/>
              <w:rPr>
                <w:rFonts w:ascii="Arial Narrow" w:hAnsi="Arial Narrow"/>
                <w:sz w:val="20"/>
              </w:rPr>
            </w:pPr>
            <w:r w:rsidRPr="00AB7A7B">
              <w:rPr>
                <w:rFonts w:ascii="Arial Narrow" w:hAnsi="Arial Narrow"/>
                <w:sz w:val="20"/>
              </w:rPr>
              <w:t>[1.01, 1.18]</w:t>
            </w:r>
          </w:p>
        </w:tc>
        <w:tc>
          <w:tcPr>
            <w:tcW w:w="1610" w:type="dxa"/>
            <w:vAlign w:val="center"/>
          </w:tcPr>
          <w:p w:rsidR="001E2613" w:rsidRPr="00AB7A7B" w:rsidRDefault="001E2613" w:rsidP="00F77A64">
            <w:pPr>
              <w:pStyle w:val="PBACTable"/>
              <w:spacing w:line="240" w:lineRule="auto"/>
              <w:jc w:val="center"/>
            </w:pPr>
            <w:r w:rsidRPr="00AB7A7B">
              <w:t>1.18</w:t>
            </w:r>
          </w:p>
          <w:p w:rsidR="001E2613" w:rsidRPr="00AB7A7B" w:rsidRDefault="001E2613" w:rsidP="00F77A64">
            <w:pPr>
              <w:jc w:val="center"/>
              <w:rPr>
                <w:rFonts w:ascii="Arial Narrow" w:hAnsi="Arial Narrow"/>
                <w:sz w:val="20"/>
              </w:rPr>
            </w:pPr>
            <w:r w:rsidRPr="00AB7A7B">
              <w:rPr>
                <w:rFonts w:ascii="Arial Narrow" w:hAnsi="Arial Narrow"/>
                <w:sz w:val="20"/>
              </w:rPr>
              <w:t>[1.05, 1.32]</w:t>
            </w:r>
          </w:p>
        </w:tc>
      </w:tr>
      <w:tr w:rsidR="009628E2" w:rsidRPr="00AB7A7B" w:rsidTr="00E648AE">
        <w:tc>
          <w:tcPr>
            <w:tcW w:w="8425" w:type="dxa"/>
            <w:gridSpan w:val="5"/>
            <w:vAlign w:val="center"/>
          </w:tcPr>
          <w:p w:rsidR="009628E2" w:rsidRPr="00AB7A7B" w:rsidRDefault="009628E2" w:rsidP="00F77A64">
            <w:pPr>
              <w:jc w:val="left"/>
              <w:rPr>
                <w:rFonts w:ascii="Arial Narrow" w:hAnsi="Arial Narrow"/>
                <w:sz w:val="20"/>
                <w:lang w:val="en-US"/>
              </w:rPr>
            </w:pPr>
            <w:r w:rsidRPr="00AB7A7B">
              <w:rPr>
                <w:rFonts w:ascii="Arial Narrow" w:hAnsi="Arial Narrow"/>
                <w:sz w:val="20"/>
                <w:lang w:val="en-US"/>
              </w:rPr>
              <w:t>Cochran Q test for heterogeneity (for RR): Q(df=42)=42.8, p=0.4370</w:t>
            </w:r>
          </w:p>
        </w:tc>
      </w:tr>
      <w:tr w:rsidR="001E2613" w:rsidRPr="00AB7A7B" w:rsidTr="00E648AE">
        <w:tc>
          <w:tcPr>
            <w:tcW w:w="1985" w:type="dxa"/>
            <w:vAlign w:val="center"/>
          </w:tcPr>
          <w:p w:rsidR="001E2613" w:rsidRPr="00AB7A7B" w:rsidRDefault="009628E2" w:rsidP="00F77A64">
            <w:pPr>
              <w:ind w:left="142"/>
              <w:jc w:val="left"/>
              <w:rPr>
                <w:rFonts w:ascii="Arial Narrow" w:hAnsi="Arial Narrow"/>
                <w:sz w:val="20"/>
              </w:rPr>
            </w:pPr>
            <w:r w:rsidRPr="00AB7A7B">
              <w:rPr>
                <w:rFonts w:ascii="Arial Narrow" w:hAnsi="Arial Narrow"/>
                <w:sz w:val="20"/>
              </w:rPr>
              <w:t>Lehert 2014</w:t>
            </w:r>
            <w:r w:rsidR="00946624" w:rsidRPr="00AB7A7B">
              <w:rPr>
                <w:rFonts w:ascii="Arial Narrow" w:hAnsi="Arial Narrow"/>
                <w:sz w:val="20"/>
              </w:rPr>
              <w:t xml:space="preserve"> - </w:t>
            </w:r>
            <w:r w:rsidR="001E2613" w:rsidRPr="00AB7A7B">
              <w:rPr>
                <w:rFonts w:ascii="Arial Narrow" w:hAnsi="Arial Narrow"/>
                <w:sz w:val="20"/>
              </w:rPr>
              <w:t>Normal responders</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741/2547 (29.1%)</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704/2667 (26.4%)</w:t>
            </w:r>
          </w:p>
        </w:tc>
        <w:tc>
          <w:tcPr>
            <w:tcW w:w="1610" w:type="dxa"/>
            <w:vAlign w:val="center"/>
          </w:tcPr>
          <w:p w:rsidR="001E2613" w:rsidRPr="00AB7A7B" w:rsidRDefault="001E2613" w:rsidP="00F77A64">
            <w:pPr>
              <w:pStyle w:val="PBACTable"/>
              <w:spacing w:line="240" w:lineRule="auto"/>
              <w:jc w:val="center"/>
            </w:pPr>
            <w:r w:rsidRPr="00AB7A7B">
              <w:t>1.09</w:t>
            </w:r>
          </w:p>
          <w:p w:rsidR="001E2613" w:rsidRPr="00AB7A7B" w:rsidRDefault="001E2613" w:rsidP="00F77A64">
            <w:pPr>
              <w:jc w:val="center"/>
              <w:rPr>
                <w:rFonts w:ascii="Arial Narrow" w:hAnsi="Arial Narrow"/>
                <w:sz w:val="20"/>
              </w:rPr>
            </w:pPr>
            <w:r w:rsidRPr="00AB7A7B">
              <w:rPr>
                <w:rFonts w:ascii="Arial Narrow" w:hAnsi="Arial Narrow"/>
                <w:sz w:val="20"/>
              </w:rPr>
              <w:t>[0.95, 1.24]</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NR</w:t>
            </w:r>
          </w:p>
        </w:tc>
      </w:tr>
      <w:tr w:rsidR="001E2613" w:rsidRPr="00AB7A7B" w:rsidTr="00E648AE">
        <w:tc>
          <w:tcPr>
            <w:tcW w:w="1985" w:type="dxa"/>
            <w:vAlign w:val="center"/>
          </w:tcPr>
          <w:p w:rsidR="001E2613" w:rsidRPr="00AB7A7B" w:rsidRDefault="009628E2" w:rsidP="00F77A64">
            <w:pPr>
              <w:ind w:left="142"/>
              <w:jc w:val="left"/>
              <w:rPr>
                <w:rFonts w:ascii="Arial Narrow" w:hAnsi="Arial Narrow"/>
                <w:sz w:val="20"/>
              </w:rPr>
            </w:pPr>
            <w:r w:rsidRPr="00AB7A7B">
              <w:rPr>
                <w:rFonts w:ascii="Arial Narrow" w:hAnsi="Arial Narrow"/>
                <w:sz w:val="20"/>
              </w:rPr>
              <w:t>Lehert 2014</w:t>
            </w:r>
            <w:r w:rsidR="00946624" w:rsidRPr="00AB7A7B">
              <w:rPr>
                <w:rFonts w:ascii="Arial Narrow" w:hAnsi="Arial Narrow"/>
                <w:sz w:val="20"/>
              </w:rPr>
              <w:t xml:space="preserve"> - </w:t>
            </w:r>
            <w:r w:rsidR="001E2613" w:rsidRPr="00AB7A7B">
              <w:rPr>
                <w:rFonts w:ascii="Arial Narrow" w:hAnsi="Arial Narrow"/>
                <w:sz w:val="20"/>
              </w:rPr>
              <w:t>Poor responders</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150/592 (25.3%)</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114/587 (19.4%)</w:t>
            </w:r>
          </w:p>
        </w:tc>
        <w:tc>
          <w:tcPr>
            <w:tcW w:w="1610" w:type="dxa"/>
            <w:vAlign w:val="center"/>
          </w:tcPr>
          <w:p w:rsidR="001E2613" w:rsidRPr="00AB7A7B" w:rsidRDefault="001E2613" w:rsidP="00F77A64">
            <w:pPr>
              <w:pStyle w:val="PBACTable"/>
              <w:spacing w:line="240" w:lineRule="auto"/>
              <w:jc w:val="center"/>
            </w:pPr>
            <w:r w:rsidRPr="00AB7A7B">
              <w:t>1.30</w:t>
            </w:r>
          </w:p>
          <w:p w:rsidR="001E2613" w:rsidRPr="00AB7A7B" w:rsidRDefault="001E2613" w:rsidP="00F77A64">
            <w:pPr>
              <w:jc w:val="center"/>
              <w:rPr>
                <w:rFonts w:ascii="Arial Narrow" w:hAnsi="Arial Narrow"/>
                <w:sz w:val="20"/>
              </w:rPr>
            </w:pPr>
            <w:r w:rsidRPr="00AB7A7B">
              <w:rPr>
                <w:rFonts w:ascii="Arial Narrow" w:hAnsi="Arial Narrow"/>
                <w:sz w:val="20"/>
              </w:rPr>
              <w:t>[1.01, 1.67]</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NR</w:t>
            </w:r>
          </w:p>
        </w:tc>
      </w:tr>
      <w:tr w:rsidR="009628E2" w:rsidRPr="00AB7A7B" w:rsidTr="00E648AE">
        <w:tc>
          <w:tcPr>
            <w:tcW w:w="1985" w:type="dxa"/>
            <w:vAlign w:val="center"/>
          </w:tcPr>
          <w:p w:rsidR="009628E2" w:rsidRPr="00AB7A7B" w:rsidRDefault="009628E2" w:rsidP="00F77A64">
            <w:pPr>
              <w:ind w:left="142"/>
              <w:jc w:val="left"/>
              <w:rPr>
                <w:rFonts w:ascii="Arial Narrow" w:hAnsi="Arial Narrow"/>
                <w:sz w:val="20"/>
              </w:rPr>
            </w:pPr>
            <w:r w:rsidRPr="00AB7A7B">
              <w:rPr>
                <w:rFonts w:ascii="Arial Narrow" w:hAnsi="Arial Narrow"/>
                <w:sz w:val="20"/>
              </w:rPr>
              <w:t>Study 21008</w:t>
            </w:r>
          </w:p>
        </w:tc>
        <w:tc>
          <w:tcPr>
            <w:tcW w:w="1610" w:type="dxa"/>
            <w:vAlign w:val="center"/>
          </w:tcPr>
          <w:p w:rsidR="009628E2" w:rsidRPr="00AB7A7B" w:rsidRDefault="009628E2" w:rsidP="00F77A64">
            <w:pPr>
              <w:jc w:val="center"/>
              <w:rPr>
                <w:rFonts w:ascii="Arial Narrow" w:hAnsi="Arial Narrow"/>
                <w:sz w:val="20"/>
              </w:rPr>
            </w:pPr>
            <w:r w:rsidRPr="00AB7A7B">
              <w:rPr>
                <w:rFonts w:ascii="Arial Narrow" w:hAnsi="Arial Narrow"/>
                <w:sz w:val="20"/>
              </w:rPr>
              <w:t>1/26 (3.8%)</w:t>
            </w:r>
          </w:p>
        </w:tc>
        <w:tc>
          <w:tcPr>
            <w:tcW w:w="1610" w:type="dxa"/>
            <w:vAlign w:val="center"/>
          </w:tcPr>
          <w:p w:rsidR="009628E2" w:rsidRPr="00AB7A7B" w:rsidRDefault="009628E2" w:rsidP="00F77A64">
            <w:pPr>
              <w:jc w:val="center"/>
              <w:rPr>
                <w:rFonts w:ascii="Arial Narrow" w:hAnsi="Arial Narrow"/>
                <w:sz w:val="20"/>
              </w:rPr>
            </w:pPr>
            <w:r w:rsidRPr="00AB7A7B">
              <w:rPr>
                <w:rFonts w:ascii="Arial Narrow" w:hAnsi="Arial Narrow"/>
                <w:sz w:val="20"/>
              </w:rPr>
              <w:t>1/13 (7.7%)</w:t>
            </w:r>
          </w:p>
        </w:tc>
        <w:tc>
          <w:tcPr>
            <w:tcW w:w="1610" w:type="dxa"/>
            <w:vAlign w:val="center"/>
          </w:tcPr>
          <w:p w:rsidR="009628E2" w:rsidRPr="00AB7A7B" w:rsidRDefault="00946624" w:rsidP="00F77A64">
            <w:pPr>
              <w:pStyle w:val="PBACTable"/>
              <w:spacing w:line="240" w:lineRule="auto"/>
              <w:jc w:val="center"/>
              <w:rPr>
                <w:highlight w:val="yellow"/>
              </w:rPr>
            </w:pPr>
            <w:r w:rsidRPr="00AB7A7B">
              <w:t>NR</w:t>
            </w:r>
          </w:p>
        </w:tc>
        <w:tc>
          <w:tcPr>
            <w:tcW w:w="1610" w:type="dxa"/>
            <w:vAlign w:val="center"/>
          </w:tcPr>
          <w:p w:rsidR="009628E2" w:rsidRPr="00AB7A7B" w:rsidRDefault="009628E2" w:rsidP="00F77A64">
            <w:pPr>
              <w:jc w:val="center"/>
              <w:rPr>
                <w:rFonts w:ascii="Arial Narrow" w:hAnsi="Arial Narrow"/>
                <w:sz w:val="20"/>
              </w:rPr>
            </w:pPr>
            <w:r w:rsidRPr="00AB7A7B">
              <w:rPr>
                <w:rFonts w:ascii="Arial Narrow" w:hAnsi="Arial Narrow"/>
                <w:sz w:val="20"/>
              </w:rPr>
              <w:t>NR</w:t>
            </w:r>
          </w:p>
        </w:tc>
      </w:tr>
      <w:tr w:rsidR="009628E2" w:rsidRPr="00AB7A7B" w:rsidTr="00E648AE">
        <w:tc>
          <w:tcPr>
            <w:tcW w:w="1985" w:type="dxa"/>
            <w:vAlign w:val="center"/>
          </w:tcPr>
          <w:p w:rsidR="009628E2" w:rsidRPr="00AB7A7B" w:rsidRDefault="009628E2" w:rsidP="00F77A64">
            <w:pPr>
              <w:ind w:left="142"/>
              <w:jc w:val="left"/>
              <w:rPr>
                <w:rFonts w:ascii="Arial Narrow" w:hAnsi="Arial Narrow"/>
                <w:sz w:val="20"/>
                <w:highlight w:val="yellow"/>
              </w:rPr>
            </w:pPr>
            <w:r w:rsidRPr="00AB7A7B">
              <w:rPr>
                <w:rFonts w:ascii="Arial Narrow" w:hAnsi="Arial Narrow"/>
                <w:sz w:val="20"/>
              </w:rPr>
              <w:t>Study 6253</w:t>
            </w:r>
          </w:p>
        </w:tc>
        <w:tc>
          <w:tcPr>
            <w:tcW w:w="1610" w:type="dxa"/>
            <w:vAlign w:val="center"/>
          </w:tcPr>
          <w:p w:rsidR="009628E2" w:rsidRPr="00AB7A7B" w:rsidRDefault="00FD790E" w:rsidP="00F77A64">
            <w:pPr>
              <w:jc w:val="center"/>
              <w:rPr>
                <w:rFonts w:ascii="Arial Narrow" w:hAnsi="Arial Narrow"/>
                <w:sz w:val="20"/>
                <w:highlight w:val="yellow"/>
                <w:vertAlign w:val="superscript"/>
              </w:rPr>
            </w:pPr>
            <w:r w:rsidRPr="00AB7A7B">
              <w:rPr>
                <w:rFonts w:ascii="Arial Narrow" w:hAnsi="Arial Narrow"/>
                <w:sz w:val="20"/>
              </w:rPr>
              <w:t>3/18 (16.6%)</w:t>
            </w:r>
            <w:r w:rsidRPr="00AB7A7B">
              <w:rPr>
                <w:rFonts w:ascii="Arial Narrow" w:hAnsi="Arial Narrow"/>
                <w:sz w:val="20"/>
                <w:vertAlign w:val="superscript"/>
              </w:rPr>
              <w:t>a</w:t>
            </w:r>
          </w:p>
        </w:tc>
        <w:tc>
          <w:tcPr>
            <w:tcW w:w="1610" w:type="dxa"/>
            <w:vAlign w:val="center"/>
          </w:tcPr>
          <w:p w:rsidR="009628E2" w:rsidRPr="00AB7A7B" w:rsidRDefault="00FD790E" w:rsidP="00F77A64">
            <w:pPr>
              <w:jc w:val="center"/>
              <w:rPr>
                <w:rFonts w:ascii="Arial Narrow" w:hAnsi="Arial Narrow"/>
                <w:sz w:val="20"/>
              </w:rPr>
            </w:pPr>
            <w:r w:rsidRPr="00AB7A7B">
              <w:rPr>
                <w:rFonts w:ascii="Arial Narrow" w:hAnsi="Arial Narrow"/>
                <w:sz w:val="20"/>
              </w:rPr>
              <w:t>0/8 (0.0%)</w:t>
            </w:r>
          </w:p>
        </w:tc>
        <w:tc>
          <w:tcPr>
            <w:tcW w:w="1610" w:type="dxa"/>
            <w:vAlign w:val="center"/>
          </w:tcPr>
          <w:p w:rsidR="009628E2" w:rsidRPr="00AB7A7B" w:rsidRDefault="00FD790E" w:rsidP="00F77A64">
            <w:pPr>
              <w:pStyle w:val="PBACTable"/>
              <w:spacing w:line="240" w:lineRule="auto"/>
              <w:jc w:val="center"/>
            </w:pPr>
            <w:r w:rsidRPr="00AB7A7B">
              <w:t>Not calculable</w:t>
            </w:r>
          </w:p>
        </w:tc>
        <w:tc>
          <w:tcPr>
            <w:tcW w:w="1610" w:type="dxa"/>
            <w:vAlign w:val="center"/>
          </w:tcPr>
          <w:p w:rsidR="009628E2" w:rsidRPr="00AB7A7B" w:rsidRDefault="009628E2" w:rsidP="00F77A64">
            <w:pPr>
              <w:jc w:val="center"/>
              <w:rPr>
                <w:rFonts w:ascii="Arial Narrow" w:hAnsi="Arial Narrow"/>
                <w:sz w:val="20"/>
              </w:rPr>
            </w:pPr>
            <w:r w:rsidRPr="00AB7A7B">
              <w:rPr>
                <w:rFonts w:ascii="Arial Narrow" w:hAnsi="Arial Narrow"/>
                <w:sz w:val="20"/>
              </w:rPr>
              <w:t>NR</w:t>
            </w:r>
          </w:p>
        </w:tc>
      </w:tr>
      <w:tr w:rsidR="001E2613" w:rsidRPr="00AB7A7B" w:rsidTr="00E648AE">
        <w:tc>
          <w:tcPr>
            <w:tcW w:w="8425" w:type="dxa"/>
            <w:gridSpan w:val="5"/>
            <w:vAlign w:val="center"/>
          </w:tcPr>
          <w:p w:rsidR="001E2613" w:rsidRPr="00AB7A7B" w:rsidRDefault="001E2613" w:rsidP="00F77A64">
            <w:pPr>
              <w:jc w:val="left"/>
              <w:rPr>
                <w:rFonts w:ascii="Arial Narrow" w:hAnsi="Arial Narrow"/>
                <w:b/>
                <w:sz w:val="20"/>
              </w:rPr>
            </w:pPr>
            <w:r w:rsidRPr="00AB7A7B">
              <w:rPr>
                <w:rFonts w:ascii="Arial Narrow" w:hAnsi="Arial Narrow"/>
                <w:b/>
                <w:sz w:val="20"/>
              </w:rPr>
              <w:t>Live births</w:t>
            </w:r>
          </w:p>
        </w:tc>
      </w:tr>
      <w:tr w:rsidR="001E2613" w:rsidRPr="00AB7A7B" w:rsidTr="00E648AE">
        <w:tc>
          <w:tcPr>
            <w:tcW w:w="1985" w:type="dxa"/>
            <w:vAlign w:val="center"/>
          </w:tcPr>
          <w:p w:rsidR="001E2613" w:rsidRPr="00AB7A7B" w:rsidRDefault="009628E2" w:rsidP="00F77A64">
            <w:pPr>
              <w:ind w:left="142"/>
              <w:jc w:val="left"/>
              <w:rPr>
                <w:rFonts w:ascii="Arial Narrow" w:hAnsi="Arial Narrow"/>
                <w:sz w:val="20"/>
              </w:rPr>
            </w:pPr>
            <w:r w:rsidRPr="00AB7A7B">
              <w:rPr>
                <w:rFonts w:ascii="Arial Narrow" w:hAnsi="Arial Narrow"/>
                <w:sz w:val="20"/>
              </w:rPr>
              <w:t>Lehert 2014</w:t>
            </w:r>
            <w:r w:rsidR="00946624" w:rsidRPr="00AB7A7B">
              <w:rPr>
                <w:rFonts w:ascii="Arial Narrow" w:hAnsi="Arial Narrow"/>
                <w:sz w:val="20"/>
              </w:rPr>
              <w:t xml:space="preserve"> - </w:t>
            </w:r>
            <w:r w:rsidR="001E2613" w:rsidRPr="00AB7A7B">
              <w:rPr>
                <w:rFonts w:ascii="Arial Narrow" w:hAnsi="Arial Narrow"/>
                <w:sz w:val="20"/>
              </w:rPr>
              <w:t>Overall</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732/3065 (23.9%)</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671/3172 (21.2%)</w:t>
            </w:r>
          </w:p>
        </w:tc>
        <w:tc>
          <w:tcPr>
            <w:tcW w:w="1610" w:type="dxa"/>
          </w:tcPr>
          <w:p w:rsidR="001E2613" w:rsidRPr="00AB7A7B" w:rsidRDefault="001E2613" w:rsidP="00F77A64">
            <w:pPr>
              <w:pStyle w:val="PBACTable"/>
              <w:spacing w:line="240" w:lineRule="auto"/>
              <w:jc w:val="center"/>
            </w:pPr>
            <w:r w:rsidRPr="00AB7A7B">
              <w:t>1.11</w:t>
            </w:r>
          </w:p>
          <w:p w:rsidR="001E2613" w:rsidRPr="00AB7A7B" w:rsidRDefault="001E2613" w:rsidP="00F77A64">
            <w:pPr>
              <w:jc w:val="center"/>
              <w:rPr>
                <w:rFonts w:ascii="Arial Narrow" w:hAnsi="Arial Narrow"/>
                <w:sz w:val="20"/>
              </w:rPr>
            </w:pPr>
            <w:r w:rsidRPr="00AB7A7B">
              <w:rPr>
                <w:rFonts w:ascii="Arial Narrow" w:hAnsi="Arial Narrow"/>
                <w:sz w:val="20"/>
              </w:rPr>
              <w:t>[1.01, 1.21]</w:t>
            </w:r>
          </w:p>
        </w:tc>
        <w:tc>
          <w:tcPr>
            <w:tcW w:w="1610" w:type="dxa"/>
          </w:tcPr>
          <w:p w:rsidR="001E2613" w:rsidRPr="00AB7A7B" w:rsidRDefault="001E2613" w:rsidP="00F77A64">
            <w:pPr>
              <w:pStyle w:val="PBACTable"/>
              <w:spacing w:line="240" w:lineRule="auto"/>
              <w:jc w:val="center"/>
            </w:pPr>
            <w:r w:rsidRPr="00AB7A7B">
              <w:t>1.18</w:t>
            </w:r>
          </w:p>
          <w:p w:rsidR="001E2613" w:rsidRPr="00AB7A7B" w:rsidRDefault="001E2613" w:rsidP="00F77A64">
            <w:pPr>
              <w:jc w:val="center"/>
              <w:rPr>
                <w:rFonts w:ascii="Arial Narrow" w:hAnsi="Arial Narrow"/>
                <w:sz w:val="20"/>
              </w:rPr>
            </w:pPr>
            <w:r w:rsidRPr="00AB7A7B">
              <w:rPr>
                <w:rFonts w:ascii="Arial Narrow" w:hAnsi="Arial Narrow"/>
                <w:sz w:val="20"/>
              </w:rPr>
              <w:t>[1.04, 1.34]</w:t>
            </w:r>
          </w:p>
        </w:tc>
      </w:tr>
      <w:tr w:rsidR="009628E2" w:rsidRPr="00AB7A7B" w:rsidTr="00E648AE">
        <w:tc>
          <w:tcPr>
            <w:tcW w:w="8425" w:type="dxa"/>
            <w:gridSpan w:val="5"/>
            <w:vAlign w:val="center"/>
          </w:tcPr>
          <w:p w:rsidR="009628E2" w:rsidRPr="00AB7A7B" w:rsidRDefault="009628E2" w:rsidP="00F77A64">
            <w:pPr>
              <w:jc w:val="left"/>
              <w:rPr>
                <w:rFonts w:ascii="Arial Narrow" w:hAnsi="Arial Narrow"/>
                <w:sz w:val="20"/>
              </w:rPr>
            </w:pPr>
            <w:r w:rsidRPr="00AB7A7B">
              <w:rPr>
                <w:rFonts w:ascii="Arial Narrow" w:hAnsi="Arial Narrow"/>
                <w:sz w:val="20"/>
                <w:lang w:val="en-US"/>
              </w:rPr>
              <w:t>Cochran Q test for heterogeneity (for RR): Q(df=38)=35.8, p=0.5679</w:t>
            </w:r>
          </w:p>
        </w:tc>
      </w:tr>
      <w:tr w:rsidR="00946624" w:rsidRPr="00AB7A7B" w:rsidTr="00E648AE">
        <w:tc>
          <w:tcPr>
            <w:tcW w:w="1985" w:type="dxa"/>
            <w:vAlign w:val="center"/>
          </w:tcPr>
          <w:p w:rsidR="00946624" w:rsidRPr="00AB7A7B" w:rsidRDefault="00946624" w:rsidP="00F77A64">
            <w:pPr>
              <w:ind w:left="142"/>
              <w:jc w:val="left"/>
              <w:rPr>
                <w:rFonts w:ascii="Arial Narrow" w:hAnsi="Arial Narrow"/>
                <w:sz w:val="20"/>
              </w:rPr>
            </w:pPr>
            <w:r w:rsidRPr="00AB7A7B">
              <w:rPr>
                <w:rFonts w:ascii="Arial Narrow" w:hAnsi="Arial Narrow"/>
                <w:sz w:val="20"/>
              </w:rPr>
              <w:t xml:space="preserve">Lehert 2014 - Normal </w:t>
            </w:r>
            <w:r w:rsidRPr="00AB7A7B">
              <w:rPr>
                <w:rFonts w:ascii="Arial Narrow" w:hAnsi="Arial Narrow"/>
                <w:sz w:val="20"/>
              </w:rPr>
              <w:lastRenderedPageBreak/>
              <w:t>responders</w:t>
            </w:r>
          </w:p>
        </w:tc>
        <w:tc>
          <w:tcPr>
            <w:tcW w:w="1610" w:type="dxa"/>
            <w:vAlign w:val="center"/>
          </w:tcPr>
          <w:p w:rsidR="00946624" w:rsidRPr="00AB7A7B" w:rsidRDefault="00946624" w:rsidP="00F77A64">
            <w:pPr>
              <w:jc w:val="center"/>
              <w:rPr>
                <w:rFonts w:ascii="Arial Narrow" w:hAnsi="Arial Narrow"/>
                <w:sz w:val="20"/>
              </w:rPr>
            </w:pPr>
            <w:r w:rsidRPr="00AB7A7B">
              <w:rPr>
                <w:rFonts w:ascii="Arial Narrow" w:hAnsi="Arial Narrow"/>
                <w:sz w:val="20"/>
              </w:rPr>
              <w:lastRenderedPageBreak/>
              <w:t>622/2540 (24.5%)</w:t>
            </w:r>
          </w:p>
        </w:tc>
        <w:tc>
          <w:tcPr>
            <w:tcW w:w="1610" w:type="dxa"/>
            <w:vAlign w:val="center"/>
          </w:tcPr>
          <w:p w:rsidR="00946624" w:rsidRPr="00AB7A7B" w:rsidRDefault="00946624" w:rsidP="00F77A64">
            <w:pPr>
              <w:jc w:val="center"/>
              <w:rPr>
                <w:rFonts w:ascii="Arial Narrow" w:hAnsi="Arial Narrow"/>
                <w:sz w:val="20"/>
              </w:rPr>
            </w:pPr>
            <w:r w:rsidRPr="00AB7A7B">
              <w:rPr>
                <w:rFonts w:ascii="Arial Narrow" w:hAnsi="Arial Narrow"/>
                <w:sz w:val="20"/>
              </w:rPr>
              <w:t>588/2654 (22.2%)</w:t>
            </w:r>
          </w:p>
        </w:tc>
        <w:tc>
          <w:tcPr>
            <w:tcW w:w="1610" w:type="dxa"/>
            <w:vAlign w:val="center"/>
          </w:tcPr>
          <w:p w:rsidR="00946624" w:rsidRPr="00AB7A7B" w:rsidRDefault="00946624" w:rsidP="00F77A64">
            <w:pPr>
              <w:pStyle w:val="PBACTable"/>
              <w:spacing w:line="240" w:lineRule="auto"/>
              <w:jc w:val="center"/>
            </w:pPr>
            <w:r w:rsidRPr="00AB7A7B">
              <w:t>1.10</w:t>
            </w:r>
          </w:p>
          <w:p w:rsidR="00946624" w:rsidRPr="00AB7A7B" w:rsidRDefault="00946624" w:rsidP="00F77A64">
            <w:pPr>
              <w:jc w:val="center"/>
              <w:rPr>
                <w:rFonts w:ascii="Arial Narrow" w:hAnsi="Arial Narrow"/>
                <w:sz w:val="20"/>
              </w:rPr>
            </w:pPr>
            <w:r w:rsidRPr="00AB7A7B">
              <w:rPr>
                <w:rFonts w:ascii="Arial Narrow" w:hAnsi="Arial Narrow"/>
                <w:sz w:val="20"/>
              </w:rPr>
              <w:lastRenderedPageBreak/>
              <w:t>[0.94, 1.29]</w:t>
            </w:r>
          </w:p>
        </w:tc>
        <w:tc>
          <w:tcPr>
            <w:tcW w:w="1610" w:type="dxa"/>
            <w:vAlign w:val="center"/>
          </w:tcPr>
          <w:p w:rsidR="00946624" w:rsidRPr="00AB7A7B" w:rsidRDefault="00946624" w:rsidP="00F77A64">
            <w:pPr>
              <w:jc w:val="center"/>
              <w:rPr>
                <w:rFonts w:ascii="Arial Narrow" w:hAnsi="Arial Narrow"/>
                <w:sz w:val="20"/>
              </w:rPr>
            </w:pPr>
            <w:r w:rsidRPr="00AB7A7B">
              <w:rPr>
                <w:rFonts w:ascii="Arial Narrow" w:hAnsi="Arial Narrow"/>
                <w:sz w:val="20"/>
              </w:rPr>
              <w:lastRenderedPageBreak/>
              <w:t>NR</w:t>
            </w:r>
          </w:p>
        </w:tc>
      </w:tr>
      <w:tr w:rsidR="00946624" w:rsidRPr="00AB7A7B" w:rsidTr="00E648AE">
        <w:tc>
          <w:tcPr>
            <w:tcW w:w="1985" w:type="dxa"/>
            <w:vAlign w:val="center"/>
          </w:tcPr>
          <w:p w:rsidR="00946624" w:rsidRPr="00AB7A7B" w:rsidRDefault="00946624" w:rsidP="00F77A64">
            <w:pPr>
              <w:ind w:left="142"/>
              <w:jc w:val="left"/>
              <w:rPr>
                <w:rFonts w:ascii="Arial Narrow" w:hAnsi="Arial Narrow"/>
                <w:sz w:val="20"/>
              </w:rPr>
            </w:pPr>
            <w:r w:rsidRPr="00AB7A7B">
              <w:rPr>
                <w:rFonts w:ascii="Arial Narrow" w:hAnsi="Arial Narrow"/>
                <w:sz w:val="20"/>
              </w:rPr>
              <w:lastRenderedPageBreak/>
              <w:t>Lehert 2014 - Poor responders</w:t>
            </w:r>
          </w:p>
        </w:tc>
        <w:tc>
          <w:tcPr>
            <w:tcW w:w="1610" w:type="dxa"/>
            <w:vAlign w:val="center"/>
          </w:tcPr>
          <w:p w:rsidR="00946624" w:rsidRPr="00AB7A7B" w:rsidRDefault="00946624" w:rsidP="00F77A64">
            <w:pPr>
              <w:jc w:val="center"/>
              <w:rPr>
                <w:rFonts w:ascii="Arial Narrow" w:hAnsi="Arial Narrow"/>
                <w:sz w:val="20"/>
              </w:rPr>
            </w:pPr>
            <w:r w:rsidRPr="00AB7A7B">
              <w:rPr>
                <w:rFonts w:ascii="Arial Narrow" w:hAnsi="Arial Narrow"/>
                <w:sz w:val="20"/>
              </w:rPr>
              <w:t>110/525 (21.0%)</w:t>
            </w:r>
          </w:p>
        </w:tc>
        <w:tc>
          <w:tcPr>
            <w:tcW w:w="1610" w:type="dxa"/>
            <w:vAlign w:val="center"/>
          </w:tcPr>
          <w:p w:rsidR="00946624" w:rsidRPr="00AB7A7B" w:rsidRDefault="00946624" w:rsidP="00F77A64">
            <w:pPr>
              <w:jc w:val="center"/>
              <w:rPr>
                <w:rFonts w:ascii="Arial Narrow" w:hAnsi="Arial Narrow"/>
                <w:sz w:val="20"/>
              </w:rPr>
            </w:pPr>
            <w:r w:rsidRPr="00AB7A7B">
              <w:rPr>
                <w:rFonts w:ascii="Arial Narrow" w:hAnsi="Arial Narrow"/>
                <w:sz w:val="20"/>
              </w:rPr>
              <w:t>83/518 (16.0%)</w:t>
            </w:r>
          </w:p>
        </w:tc>
        <w:tc>
          <w:tcPr>
            <w:tcW w:w="1610" w:type="dxa"/>
            <w:vAlign w:val="center"/>
          </w:tcPr>
          <w:p w:rsidR="00946624" w:rsidRPr="00AB7A7B" w:rsidRDefault="00946624" w:rsidP="00F77A64">
            <w:pPr>
              <w:pStyle w:val="PBACTable"/>
              <w:spacing w:line="240" w:lineRule="auto"/>
              <w:jc w:val="center"/>
            </w:pPr>
            <w:r w:rsidRPr="00AB7A7B">
              <w:t>1.30</w:t>
            </w:r>
          </w:p>
          <w:p w:rsidR="00946624" w:rsidRPr="00AB7A7B" w:rsidRDefault="00946624" w:rsidP="00F77A64">
            <w:pPr>
              <w:jc w:val="center"/>
              <w:rPr>
                <w:rFonts w:ascii="Arial Narrow" w:hAnsi="Arial Narrow"/>
                <w:sz w:val="20"/>
              </w:rPr>
            </w:pPr>
            <w:r w:rsidRPr="00AB7A7B">
              <w:rPr>
                <w:rFonts w:ascii="Arial Narrow" w:hAnsi="Arial Narrow"/>
                <w:sz w:val="20"/>
              </w:rPr>
              <w:t>[0.95, 1.78]</w:t>
            </w:r>
          </w:p>
        </w:tc>
        <w:tc>
          <w:tcPr>
            <w:tcW w:w="1610" w:type="dxa"/>
            <w:vAlign w:val="center"/>
          </w:tcPr>
          <w:p w:rsidR="00946624" w:rsidRPr="00AB7A7B" w:rsidRDefault="00946624" w:rsidP="00F77A64">
            <w:pPr>
              <w:jc w:val="center"/>
              <w:rPr>
                <w:rFonts w:ascii="Arial Narrow" w:hAnsi="Arial Narrow"/>
                <w:sz w:val="20"/>
              </w:rPr>
            </w:pPr>
            <w:r w:rsidRPr="00AB7A7B">
              <w:rPr>
                <w:rFonts w:ascii="Arial Narrow" w:hAnsi="Arial Narrow"/>
                <w:sz w:val="20"/>
              </w:rPr>
              <w:t>NR</w:t>
            </w:r>
          </w:p>
        </w:tc>
      </w:tr>
      <w:tr w:rsidR="009628E2" w:rsidRPr="00AB7A7B" w:rsidTr="00E648AE">
        <w:tc>
          <w:tcPr>
            <w:tcW w:w="1985" w:type="dxa"/>
          </w:tcPr>
          <w:p w:rsidR="009628E2" w:rsidRPr="00AB7A7B" w:rsidRDefault="009628E2" w:rsidP="00F77A64">
            <w:pPr>
              <w:ind w:left="142"/>
              <w:jc w:val="left"/>
              <w:rPr>
                <w:rFonts w:ascii="Arial Narrow" w:hAnsi="Arial Narrow"/>
                <w:sz w:val="20"/>
              </w:rPr>
            </w:pPr>
            <w:r w:rsidRPr="00AB7A7B">
              <w:rPr>
                <w:rFonts w:ascii="Arial Narrow" w:hAnsi="Arial Narrow"/>
                <w:sz w:val="20"/>
              </w:rPr>
              <w:t>Study 21008</w:t>
            </w:r>
          </w:p>
        </w:tc>
        <w:tc>
          <w:tcPr>
            <w:tcW w:w="1610" w:type="dxa"/>
            <w:vAlign w:val="center"/>
          </w:tcPr>
          <w:p w:rsidR="009628E2" w:rsidRPr="00AB7A7B" w:rsidRDefault="009628E2" w:rsidP="00F77A64">
            <w:pPr>
              <w:jc w:val="center"/>
              <w:rPr>
                <w:rFonts w:ascii="Arial Narrow" w:hAnsi="Arial Narrow"/>
                <w:sz w:val="20"/>
              </w:rPr>
            </w:pPr>
            <w:r w:rsidRPr="00AB7A7B">
              <w:rPr>
                <w:rFonts w:ascii="Arial Narrow" w:hAnsi="Arial Narrow"/>
                <w:sz w:val="20"/>
              </w:rPr>
              <w:t>1/26 (3.8%)</w:t>
            </w:r>
          </w:p>
        </w:tc>
        <w:tc>
          <w:tcPr>
            <w:tcW w:w="1610" w:type="dxa"/>
            <w:vAlign w:val="center"/>
          </w:tcPr>
          <w:p w:rsidR="009628E2" w:rsidRPr="00AB7A7B" w:rsidRDefault="009628E2" w:rsidP="00F77A64">
            <w:pPr>
              <w:jc w:val="center"/>
              <w:rPr>
                <w:rFonts w:ascii="Arial Narrow" w:hAnsi="Arial Narrow"/>
                <w:sz w:val="20"/>
              </w:rPr>
            </w:pPr>
            <w:r w:rsidRPr="00AB7A7B">
              <w:rPr>
                <w:rFonts w:ascii="Arial Narrow" w:hAnsi="Arial Narrow"/>
                <w:sz w:val="20"/>
              </w:rPr>
              <w:t>1/13 (7.7%)</w:t>
            </w:r>
          </w:p>
        </w:tc>
        <w:tc>
          <w:tcPr>
            <w:tcW w:w="1610" w:type="dxa"/>
          </w:tcPr>
          <w:p w:rsidR="009628E2" w:rsidRPr="00AB7A7B" w:rsidRDefault="009628E2" w:rsidP="00F77A64">
            <w:pPr>
              <w:pStyle w:val="PBACTable"/>
              <w:spacing w:line="240" w:lineRule="auto"/>
              <w:jc w:val="center"/>
            </w:pPr>
            <w:r w:rsidRPr="00AB7A7B">
              <w:t>NR</w:t>
            </w:r>
          </w:p>
        </w:tc>
        <w:tc>
          <w:tcPr>
            <w:tcW w:w="1610" w:type="dxa"/>
          </w:tcPr>
          <w:p w:rsidR="009628E2" w:rsidRPr="00AB7A7B" w:rsidRDefault="009628E2" w:rsidP="00F77A64">
            <w:pPr>
              <w:jc w:val="center"/>
              <w:rPr>
                <w:rFonts w:ascii="Arial Narrow" w:hAnsi="Arial Narrow"/>
                <w:sz w:val="20"/>
              </w:rPr>
            </w:pPr>
            <w:r w:rsidRPr="00AB7A7B">
              <w:rPr>
                <w:rFonts w:ascii="Arial Narrow" w:hAnsi="Arial Narrow"/>
                <w:sz w:val="20"/>
              </w:rPr>
              <w:t>NR</w:t>
            </w:r>
          </w:p>
        </w:tc>
      </w:tr>
      <w:tr w:rsidR="009628E2" w:rsidRPr="00AB7A7B" w:rsidTr="00E648AE">
        <w:tc>
          <w:tcPr>
            <w:tcW w:w="1985" w:type="dxa"/>
          </w:tcPr>
          <w:p w:rsidR="009628E2" w:rsidRPr="00AB7A7B" w:rsidRDefault="009628E2" w:rsidP="00F77A64">
            <w:pPr>
              <w:ind w:left="142"/>
              <w:jc w:val="left"/>
              <w:rPr>
                <w:rFonts w:ascii="Arial Narrow" w:hAnsi="Arial Narrow"/>
                <w:sz w:val="20"/>
              </w:rPr>
            </w:pPr>
            <w:r w:rsidRPr="00AB7A7B">
              <w:rPr>
                <w:rFonts w:ascii="Arial Narrow" w:hAnsi="Arial Narrow"/>
                <w:sz w:val="20"/>
              </w:rPr>
              <w:t>Study 6253</w:t>
            </w:r>
          </w:p>
        </w:tc>
        <w:tc>
          <w:tcPr>
            <w:tcW w:w="1610" w:type="dxa"/>
          </w:tcPr>
          <w:p w:rsidR="009628E2" w:rsidRPr="00AB7A7B" w:rsidRDefault="009628E2" w:rsidP="00F77A64">
            <w:pPr>
              <w:jc w:val="center"/>
              <w:rPr>
                <w:rFonts w:ascii="Arial Narrow" w:hAnsi="Arial Narrow"/>
                <w:sz w:val="20"/>
              </w:rPr>
            </w:pPr>
            <w:r w:rsidRPr="00AB7A7B">
              <w:rPr>
                <w:rFonts w:ascii="Arial Narrow" w:hAnsi="Arial Narrow"/>
                <w:sz w:val="20"/>
              </w:rPr>
              <w:t>NR</w:t>
            </w:r>
          </w:p>
        </w:tc>
        <w:tc>
          <w:tcPr>
            <w:tcW w:w="1610" w:type="dxa"/>
          </w:tcPr>
          <w:p w:rsidR="009628E2" w:rsidRPr="00AB7A7B" w:rsidRDefault="009628E2" w:rsidP="00F77A64">
            <w:pPr>
              <w:jc w:val="center"/>
              <w:rPr>
                <w:rFonts w:ascii="Arial Narrow" w:hAnsi="Arial Narrow"/>
                <w:sz w:val="20"/>
              </w:rPr>
            </w:pPr>
            <w:r w:rsidRPr="00AB7A7B">
              <w:rPr>
                <w:rFonts w:ascii="Arial Narrow" w:hAnsi="Arial Narrow"/>
                <w:sz w:val="20"/>
              </w:rPr>
              <w:t>NR</w:t>
            </w:r>
          </w:p>
        </w:tc>
        <w:tc>
          <w:tcPr>
            <w:tcW w:w="1610" w:type="dxa"/>
          </w:tcPr>
          <w:p w:rsidR="009628E2" w:rsidRPr="00AB7A7B" w:rsidRDefault="009628E2" w:rsidP="00F77A64">
            <w:pPr>
              <w:pStyle w:val="PBACTable"/>
              <w:spacing w:line="240" w:lineRule="auto"/>
              <w:jc w:val="center"/>
            </w:pPr>
            <w:r w:rsidRPr="00AB7A7B">
              <w:t>NR</w:t>
            </w:r>
          </w:p>
        </w:tc>
        <w:tc>
          <w:tcPr>
            <w:tcW w:w="1610" w:type="dxa"/>
          </w:tcPr>
          <w:p w:rsidR="009628E2" w:rsidRPr="00AB7A7B" w:rsidRDefault="009628E2" w:rsidP="00F77A64">
            <w:pPr>
              <w:jc w:val="center"/>
              <w:rPr>
                <w:rFonts w:ascii="Arial Narrow" w:hAnsi="Arial Narrow"/>
                <w:sz w:val="20"/>
              </w:rPr>
            </w:pPr>
            <w:r w:rsidRPr="00AB7A7B">
              <w:rPr>
                <w:rFonts w:ascii="Arial Narrow" w:hAnsi="Arial Narrow"/>
                <w:sz w:val="20"/>
              </w:rPr>
              <w:t>NR</w:t>
            </w:r>
          </w:p>
        </w:tc>
      </w:tr>
    </w:tbl>
    <w:p w:rsidR="00FD790E" w:rsidRPr="00FD790E" w:rsidRDefault="00FD790E" w:rsidP="009628E2">
      <w:pPr>
        <w:ind w:left="709"/>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xml:space="preserve"> Lutropin alfa 75IU and 225IU arms only. Lutropin alfa 25IU arm not included.</w:t>
      </w:r>
    </w:p>
    <w:p w:rsidR="009628E2" w:rsidRPr="00B8115A" w:rsidRDefault="009628E2" w:rsidP="009628E2">
      <w:pPr>
        <w:ind w:left="709"/>
        <w:rPr>
          <w:rFonts w:ascii="Arial Narrow" w:hAnsi="Arial Narrow"/>
          <w:sz w:val="18"/>
          <w:szCs w:val="18"/>
        </w:rPr>
      </w:pPr>
      <w:r w:rsidRPr="00B8115A">
        <w:rPr>
          <w:rFonts w:ascii="Arial Narrow" w:hAnsi="Arial Narrow"/>
          <w:sz w:val="18"/>
          <w:szCs w:val="18"/>
        </w:rPr>
        <w:t>Source</w:t>
      </w:r>
      <w:r w:rsidRPr="005F35A6">
        <w:rPr>
          <w:rFonts w:ascii="Arial Narrow" w:hAnsi="Arial Narrow"/>
          <w:sz w:val="18"/>
          <w:szCs w:val="18"/>
        </w:rPr>
        <w:t>: Table B.6-1, p69 of the submission</w:t>
      </w:r>
      <w:r w:rsidR="00A167C9">
        <w:rPr>
          <w:rFonts w:ascii="Arial Narrow" w:hAnsi="Arial Narrow"/>
          <w:sz w:val="18"/>
          <w:szCs w:val="18"/>
        </w:rPr>
        <w:t xml:space="preserve">; </w:t>
      </w:r>
      <w:r w:rsidR="00A167C9">
        <w:rPr>
          <w:rFonts w:ascii="Arial Narrow" w:hAnsi="Arial Narrow"/>
          <w:i/>
          <w:sz w:val="18"/>
          <w:szCs w:val="18"/>
        </w:rPr>
        <w:t>compiled during the evaluation</w:t>
      </w:r>
      <w:r w:rsidRPr="00B8115A">
        <w:rPr>
          <w:rFonts w:ascii="Arial Narrow" w:hAnsi="Arial Narrow"/>
          <w:sz w:val="18"/>
          <w:szCs w:val="18"/>
        </w:rPr>
        <w:t>.</w:t>
      </w:r>
    </w:p>
    <w:p w:rsidR="001E2613" w:rsidRDefault="001E2613" w:rsidP="00E22A0D">
      <w:pPr>
        <w:ind w:firstLine="720"/>
        <w:rPr>
          <w:rStyle w:val="CommentReference"/>
        </w:rPr>
      </w:pPr>
    </w:p>
    <w:p w:rsidR="00877B91" w:rsidRPr="000076C9" w:rsidRDefault="00877B91" w:rsidP="007F37E3">
      <w:pPr>
        <w:pStyle w:val="ListParagraph"/>
        <w:widowControl/>
        <w:numPr>
          <w:ilvl w:val="1"/>
          <w:numId w:val="5"/>
        </w:numPr>
        <w:spacing w:after="220"/>
        <w:contextualSpacing w:val="0"/>
        <w:rPr>
          <w:szCs w:val="22"/>
        </w:rPr>
      </w:pPr>
      <w:r>
        <w:rPr>
          <w:szCs w:val="22"/>
        </w:rPr>
        <w:t xml:space="preserve">For </w:t>
      </w:r>
      <w:r w:rsidR="004526BD">
        <w:rPr>
          <w:szCs w:val="22"/>
        </w:rPr>
        <w:t xml:space="preserve">the </w:t>
      </w:r>
      <w:r w:rsidR="00996E59">
        <w:rPr>
          <w:szCs w:val="22"/>
        </w:rPr>
        <w:t>poor responder</w:t>
      </w:r>
      <w:r>
        <w:rPr>
          <w:szCs w:val="22"/>
        </w:rPr>
        <w:t xml:space="preserve"> population in the Lehert 2014 meta-analysis, there were statistically significantly greater numbers of clinical pregnancies in </w:t>
      </w:r>
      <w:r w:rsidRPr="00A8573B">
        <w:rPr>
          <w:szCs w:val="22"/>
        </w:rPr>
        <w:t xml:space="preserve">the lutropin alfa + rFSH treatment arm compared to the rFSH only treatment arm. </w:t>
      </w:r>
      <w:r w:rsidR="00BA0E13" w:rsidRPr="00AB7A7B">
        <w:t>The point estimate showed</w:t>
      </w:r>
      <w:r w:rsidRPr="00BA0E13">
        <w:rPr>
          <w:i/>
          <w:szCs w:val="22"/>
        </w:rPr>
        <w:t xml:space="preserve"> </w:t>
      </w:r>
      <w:r w:rsidRPr="00A8573B">
        <w:rPr>
          <w:szCs w:val="22"/>
        </w:rPr>
        <w:t>a higher number of live births in the lutropin alfa + rFSH treatment arm than in rFSH only arm, but this difference was not statistically significant</w:t>
      </w:r>
      <w:r w:rsidRPr="00A8573B">
        <w:rPr>
          <w:i/>
          <w:szCs w:val="22"/>
        </w:rPr>
        <w:t xml:space="preserve">. </w:t>
      </w:r>
      <w:r w:rsidR="004A52E0" w:rsidRPr="00A8573B">
        <w:rPr>
          <w:szCs w:val="22"/>
        </w:rPr>
        <w:t xml:space="preserve">There was substantial imputation of data for the live birth outcome. </w:t>
      </w:r>
      <w:r w:rsidRPr="00A8573B">
        <w:rPr>
          <w:szCs w:val="22"/>
        </w:rPr>
        <w:t>In the poor responder</w:t>
      </w:r>
      <w:r w:rsidRPr="000076C9">
        <w:rPr>
          <w:szCs w:val="22"/>
        </w:rPr>
        <w:t xml:space="preserve"> subgroup, </w:t>
      </w:r>
      <w:r w:rsidR="009626DA">
        <w:rPr>
          <w:noProof/>
          <w:color w:val="000000"/>
          <w:szCs w:val="22"/>
          <w:highlight w:val="black"/>
        </w:rPr>
        <w:t>'''</w:t>
      </w:r>
      <w:r w:rsidR="004A52E0" w:rsidRPr="000076C9">
        <w:rPr>
          <w:szCs w:val="22"/>
        </w:rPr>
        <w:t xml:space="preserve"> of the </w:t>
      </w:r>
      <w:r w:rsidR="009626DA">
        <w:rPr>
          <w:noProof/>
          <w:color w:val="000000"/>
          <w:szCs w:val="22"/>
          <w:highlight w:val="black"/>
        </w:rPr>
        <w:t>''''''</w:t>
      </w:r>
      <w:r w:rsidR="004A52E0" w:rsidRPr="000076C9">
        <w:rPr>
          <w:szCs w:val="22"/>
        </w:rPr>
        <w:t xml:space="preserve"> studies (</w:t>
      </w:r>
      <w:r w:rsidR="009626DA">
        <w:rPr>
          <w:noProof/>
          <w:color w:val="000000"/>
          <w:szCs w:val="22"/>
          <w:highlight w:val="black"/>
        </w:rPr>
        <w:t>''''''''''''''''</w:t>
      </w:r>
      <w:r w:rsidR="004A52E0" w:rsidRPr="000076C9">
        <w:rPr>
          <w:szCs w:val="22"/>
        </w:rPr>
        <w:t>) included in the live birth outcome measure used imputed data</w:t>
      </w:r>
      <w:r w:rsidR="00946624" w:rsidRPr="000076C9">
        <w:rPr>
          <w:szCs w:val="22"/>
        </w:rPr>
        <w:t>.</w:t>
      </w:r>
    </w:p>
    <w:p w:rsidR="00877B91" w:rsidRPr="00B50DB8" w:rsidRDefault="00877B91" w:rsidP="007F37E3">
      <w:pPr>
        <w:pStyle w:val="ListParagraph"/>
        <w:widowControl/>
        <w:numPr>
          <w:ilvl w:val="1"/>
          <w:numId w:val="5"/>
        </w:numPr>
        <w:spacing w:after="220"/>
        <w:contextualSpacing w:val="0"/>
        <w:rPr>
          <w:szCs w:val="22"/>
        </w:rPr>
      </w:pPr>
      <w:r>
        <w:rPr>
          <w:szCs w:val="22"/>
        </w:rPr>
        <w:t>Results from the hypogonadotropic hypogonadism Studies 21008 and 6253 were not informative due to low patient numbers and limited reporting of patient-relevant outcome measures of clinical pregnancy and live births.</w:t>
      </w:r>
    </w:p>
    <w:p w:rsidR="00B60939" w:rsidRPr="003568CC" w:rsidRDefault="00B60939" w:rsidP="002C2775">
      <w:pPr>
        <w:pStyle w:val="Heading2"/>
      </w:pPr>
      <w:bookmarkStart w:id="10" w:name="_Toc408922676"/>
      <w:r w:rsidRPr="003568CC">
        <w:t>Comparative harms</w:t>
      </w:r>
      <w:bookmarkEnd w:id="10"/>
    </w:p>
    <w:p w:rsidR="00B60939" w:rsidRPr="00882085" w:rsidRDefault="00B60939" w:rsidP="00B60939">
      <w:pPr>
        <w:ind w:left="720" w:hanging="720"/>
        <w:rPr>
          <w:szCs w:val="22"/>
        </w:rPr>
      </w:pPr>
    </w:p>
    <w:p w:rsidR="00B60939" w:rsidRPr="009628E2" w:rsidRDefault="001E2613" w:rsidP="007F37E3">
      <w:pPr>
        <w:pStyle w:val="ListParagraph"/>
        <w:widowControl/>
        <w:numPr>
          <w:ilvl w:val="1"/>
          <w:numId w:val="5"/>
        </w:numPr>
        <w:rPr>
          <w:szCs w:val="22"/>
        </w:rPr>
      </w:pPr>
      <w:r w:rsidRPr="009628E2">
        <w:t>The key safety concern for treatments during controlled ovarian stimulation is ovarian hyperstimulation syndrome (OHSS).</w:t>
      </w:r>
      <w:r w:rsidR="009122F6">
        <w:t xml:space="preserve"> OHSS rates were only reported in 11 of the meta-analysed trials; all 11 trials were from the ‘normal responder’ subgroup.</w:t>
      </w:r>
    </w:p>
    <w:p w:rsidR="001E2613" w:rsidRDefault="001E2613" w:rsidP="001E2613">
      <w:pPr>
        <w:pStyle w:val="PBACHeading1"/>
        <w:numPr>
          <w:ilvl w:val="0"/>
          <w:numId w:val="0"/>
        </w:numPr>
        <w:ind w:left="720" w:hanging="720"/>
      </w:pPr>
    </w:p>
    <w:p w:rsidR="001E2613" w:rsidRDefault="001E2613" w:rsidP="001E2613">
      <w:pPr>
        <w:ind w:firstLine="720"/>
        <w:rPr>
          <w:rStyle w:val="CommentReference"/>
        </w:rPr>
      </w:pPr>
      <w:r w:rsidRPr="001F7361">
        <w:rPr>
          <w:rStyle w:val="CommentReference"/>
        </w:rPr>
        <w:t xml:space="preserve">Results of </w:t>
      </w:r>
      <w:r>
        <w:rPr>
          <w:rStyle w:val="CommentReference"/>
        </w:rPr>
        <w:t>comparative efficacy for clinical pregnancies and live births</w:t>
      </w:r>
    </w:p>
    <w:tbl>
      <w:tblPr>
        <w:tblStyle w:val="TableGrid"/>
        <w:tblW w:w="0" w:type="auto"/>
        <w:tblInd w:w="817" w:type="dxa"/>
        <w:tblLook w:val="04A0" w:firstRow="1" w:lastRow="0" w:firstColumn="1" w:lastColumn="0" w:noHBand="0" w:noVBand="1"/>
      </w:tblPr>
      <w:tblGrid>
        <w:gridCol w:w="1985"/>
        <w:gridCol w:w="1610"/>
        <w:gridCol w:w="1610"/>
        <w:gridCol w:w="1610"/>
        <w:gridCol w:w="1610"/>
      </w:tblGrid>
      <w:tr w:rsidR="001E2613" w:rsidRPr="00AB7A7B" w:rsidTr="001E2613">
        <w:tc>
          <w:tcPr>
            <w:tcW w:w="1985" w:type="dxa"/>
            <w:vAlign w:val="center"/>
          </w:tcPr>
          <w:p w:rsidR="001E2613" w:rsidRPr="00AB7A7B" w:rsidRDefault="001E2613" w:rsidP="00F77A64">
            <w:pPr>
              <w:jc w:val="left"/>
              <w:rPr>
                <w:rFonts w:ascii="Arial Narrow" w:hAnsi="Arial Narrow"/>
                <w:b/>
                <w:sz w:val="20"/>
              </w:rPr>
            </w:pPr>
            <w:r w:rsidRPr="00AB7A7B">
              <w:rPr>
                <w:rFonts w:ascii="Arial Narrow" w:hAnsi="Arial Narrow"/>
                <w:b/>
                <w:sz w:val="20"/>
              </w:rPr>
              <w:t>Trial ID</w:t>
            </w:r>
          </w:p>
        </w:tc>
        <w:tc>
          <w:tcPr>
            <w:tcW w:w="1610" w:type="dxa"/>
            <w:vAlign w:val="center"/>
          </w:tcPr>
          <w:p w:rsidR="001E2613" w:rsidRPr="00AB7A7B" w:rsidRDefault="001E2613" w:rsidP="00F77A64">
            <w:pPr>
              <w:jc w:val="center"/>
              <w:rPr>
                <w:rFonts w:ascii="Arial Narrow" w:hAnsi="Arial Narrow"/>
                <w:b/>
                <w:sz w:val="20"/>
              </w:rPr>
            </w:pPr>
            <w:r w:rsidRPr="00AB7A7B">
              <w:rPr>
                <w:rFonts w:ascii="Arial Narrow" w:hAnsi="Arial Narrow"/>
                <w:b/>
                <w:sz w:val="20"/>
              </w:rPr>
              <w:t>rFSH + lutropin alfa</w:t>
            </w:r>
          </w:p>
          <w:p w:rsidR="001E2613" w:rsidRPr="00AB7A7B" w:rsidRDefault="001E2613" w:rsidP="00F77A64">
            <w:pPr>
              <w:jc w:val="center"/>
              <w:rPr>
                <w:rFonts w:ascii="Arial Narrow" w:hAnsi="Arial Narrow"/>
                <w:b/>
                <w:sz w:val="20"/>
              </w:rPr>
            </w:pPr>
            <w:r w:rsidRPr="00AB7A7B">
              <w:rPr>
                <w:rFonts w:ascii="Arial Narrow" w:hAnsi="Arial Narrow"/>
                <w:b/>
                <w:sz w:val="20"/>
              </w:rPr>
              <w:t>n/N (%)</w:t>
            </w:r>
          </w:p>
        </w:tc>
        <w:tc>
          <w:tcPr>
            <w:tcW w:w="1610" w:type="dxa"/>
            <w:vAlign w:val="center"/>
          </w:tcPr>
          <w:p w:rsidR="001E2613" w:rsidRPr="00AB7A7B" w:rsidRDefault="001E2613" w:rsidP="00F77A64">
            <w:pPr>
              <w:jc w:val="center"/>
              <w:rPr>
                <w:rFonts w:ascii="Arial Narrow" w:hAnsi="Arial Narrow"/>
                <w:b/>
                <w:sz w:val="20"/>
              </w:rPr>
            </w:pPr>
            <w:r w:rsidRPr="00AB7A7B">
              <w:rPr>
                <w:rFonts w:ascii="Arial Narrow" w:hAnsi="Arial Narrow"/>
                <w:b/>
                <w:sz w:val="20"/>
              </w:rPr>
              <w:t>rFSH</w:t>
            </w:r>
          </w:p>
          <w:p w:rsidR="001E2613" w:rsidRPr="00AB7A7B" w:rsidRDefault="001E2613" w:rsidP="00F77A64">
            <w:pPr>
              <w:jc w:val="center"/>
              <w:rPr>
                <w:rFonts w:ascii="Arial Narrow" w:hAnsi="Arial Narrow"/>
                <w:b/>
                <w:sz w:val="20"/>
              </w:rPr>
            </w:pPr>
            <w:r w:rsidRPr="00AB7A7B">
              <w:rPr>
                <w:rFonts w:ascii="Arial Narrow" w:hAnsi="Arial Narrow"/>
                <w:b/>
                <w:sz w:val="20"/>
              </w:rPr>
              <w:t>n/N (%)</w:t>
            </w:r>
          </w:p>
        </w:tc>
        <w:tc>
          <w:tcPr>
            <w:tcW w:w="1610" w:type="dxa"/>
            <w:vAlign w:val="center"/>
          </w:tcPr>
          <w:p w:rsidR="001E2613" w:rsidRPr="00AB7A7B" w:rsidRDefault="001E2613" w:rsidP="00F77A64">
            <w:pPr>
              <w:jc w:val="center"/>
              <w:rPr>
                <w:rFonts w:ascii="Arial Narrow" w:hAnsi="Arial Narrow"/>
                <w:b/>
                <w:sz w:val="20"/>
              </w:rPr>
            </w:pPr>
            <w:r w:rsidRPr="00AB7A7B">
              <w:rPr>
                <w:rFonts w:ascii="Arial Narrow" w:hAnsi="Arial Narrow"/>
                <w:b/>
                <w:sz w:val="20"/>
              </w:rPr>
              <w:t>RR</w:t>
            </w:r>
          </w:p>
          <w:p w:rsidR="001E2613" w:rsidRPr="00AB7A7B" w:rsidRDefault="001E2613" w:rsidP="00F77A64">
            <w:pPr>
              <w:jc w:val="center"/>
              <w:rPr>
                <w:rFonts w:ascii="Arial Narrow" w:hAnsi="Arial Narrow"/>
                <w:b/>
                <w:sz w:val="20"/>
              </w:rPr>
            </w:pPr>
            <w:r w:rsidRPr="00AB7A7B">
              <w:rPr>
                <w:rFonts w:ascii="Arial Narrow" w:hAnsi="Arial Narrow"/>
                <w:b/>
                <w:sz w:val="20"/>
              </w:rPr>
              <w:t>[95% CI]</w:t>
            </w:r>
          </w:p>
        </w:tc>
        <w:tc>
          <w:tcPr>
            <w:tcW w:w="1610" w:type="dxa"/>
            <w:vAlign w:val="center"/>
          </w:tcPr>
          <w:p w:rsidR="001E2613" w:rsidRPr="00AB7A7B" w:rsidRDefault="001E2613" w:rsidP="00F77A64">
            <w:pPr>
              <w:jc w:val="center"/>
              <w:rPr>
                <w:rFonts w:ascii="Arial Narrow" w:hAnsi="Arial Narrow"/>
                <w:b/>
                <w:sz w:val="20"/>
              </w:rPr>
            </w:pPr>
            <w:r w:rsidRPr="00AB7A7B">
              <w:rPr>
                <w:rFonts w:ascii="Arial Narrow" w:hAnsi="Arial Narrow"/>
                <w:b/>
                <w:sz w:val="20"/>
              </w:rPr>
              <w:t>OR</w:t>
            </w:r>
          </w:p>
          <w:p w:rsidR="001E2613" w:rsidRPr="00AB7A7B" w:rsidRDefault="001E2613" w:rsidP="00F77A64">
            <w:pPr>
              <w:jc w:val="center"/>
              <w:rPr>
                <w:rFonts w:ascii="Arial Narrow" w:hAnsi="Arial Narrow"/>
                <w:b/>
                <w:sz w:val="20"/>
              </w:rPr>
            </w:pPr>
            <w:r w:rsidRPr="00AB7A7B">
              <w:rPr>
                <w:rFonts w:ascii="Arial Narrow" w:hAnsi="Arial Narrow"/>
                <w:b/>
                <w:sz w:val="20"/>
              </w:rPr>
              <w:t>[95% CI]</w:t>
            </w:r>
          </w:p>
        </w:tc>
      </w:tr>
      <w:tr w:rsidR="001E2613" w:rsidRPr="00AB7A7B" w:rsidTr="002A112F">
        <w:tc>
          <w:tcPr>
            <w:tcW w:w="8425" w:type="dxa"/>
            <w:gridSpan w:val="5"/>
            <w:vAlign w:val="center"/>
          </w:tcPr>
          <w:p w:rsidR="001E2613" w:rsidRPr="00AB7A7B" w:rsidRDefault="001E2613" w:rsidP="00F77A64">
            <w:pPr>
              <w:jc w:val="left"/>
              <w:rPr>
                <w:rFonts w:ascii="Arial Narrow" w:hAnsi="Arial Narrow"/>
                <w:b/>
                <w:sz w:val="20"/>
              </w:rPr>
            </w:pPr>
            <w:r w:rsidRPr="00AB7A7B">
              <w:rPr>
                <w:rFonts w:ascii="Arial Narrow" w:hAnsi="Arial Narrow"/>
                <w:b/>
                <w:sz w:val="20"/>
              </w:rPr>
              <w:t>OHSS rates</w:t>
            </w:r>
          </w:p>
        </w:tc>
      </w:tr>
      <w:tr w:rsidR="001E2613" w:rsidRPr="00AB7A7B" w:rsidTr="002A112F">
        <w:tc>
          <w:tcPr>
            <w:tcW w:w="1985" w:type="dxa"/>
            <w:vAlign w:val="center"/>
          </w:tcPr>
          <w:p w:rsidR="001E2613" w:rsidRPr="00AB7A7B" w:rsidRDefault="001E2613" w:rsidP="00F77A64">
            <w:pPr>
              <w:ind w:left="142"/>
              <w:jc w:val="left"/>
              <w:rPr>
                <w:rFonts w:ascii="Arial Narrow" w:hAnsi="Arial Narrow"/>
                <w:sz w:val="20"/>
              </w:rPr>
            </w:pPr>
            <w:r w:rsidRPr="00AB7A7B">
              <w:rPr>
                <w:rFonts w:ascii="Arial Narrow" w:hAnsi="Arial Narrow"/>
                <w:sz w:val="20"/>
              </w:rPr>
              <w:t>Leher</w:t>
            </w:r>
            <w:r w:rsidR="00394029" w:rsidRPr="00AB7A7B">
              <w:rPr>
                <w:rFonts w:ascii="Arial Narrow" w:hAnsi="Arial Narrow"/>
                <w:sz w:val="20"/>
              </w:rPr>
              <w:t>t 2014 (Overall population, n=</w:t>
            </w:r>
            <w:r w:rsidRPr="00AB7A7B">
              <w:rPr>
                <w:rFonts w:ascii="Arial Narrow" w:hAnsi="Arial Narrow"/>
                <w:sz w:val="20"/>
              </w:rPr>
              <w:t>11 trials)</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15/1297 (1.2%)</w:t>
            </w:r>
          </w:p>
        </w:tc>
        <w:tc>
          <w:tcPr>
            <w:tcW w:w="1610" w:type="dxa"/>
            <w:vAlign w:val="center"/>
          </w:tcPr>
          <w:p w:rsidR="001E2613" w:rsidRPr="00AB7A7B" w:rsidRDefault="001E2613" w:rsidP="00F77A64">
            <w:pPr>
              <w:jc w:val="center"/>
              <w:rPr>
                <w:rFonts w:ascii="Arial Narrow" w:hAnsi="Arial Narrow"/>
                <w:sz w:val="20"/>
              </w:rPr>
            </w:pPr>
            <w:r w:rsidRPr="00AB7A7B">
              <w:rPr>
                <w:rFonts w:ascii="Arial Narrow" w:hAnsi="Arial Narrow"/>
                <w:sz w:val="20"/>
              </w:rPr>
              <w:t>29/1224 (2.4%)</w:t>
            </w:r>
          </w:p>
        </w:tc>
        <w:tc>
          <w:tcPr>
            <w:tcW w:w="1610" w:type="dxa"/>
          </w:tcPr>
          <w:p w:rsidR="001E2613" w:rsidRPr="00AB7A7B" w:rsidRDefault="001E2613" w:rsidP="00F77A64">
            <w:pPr>
              <w:pStyle w:val="PBACTable"/>
              <w:spacing w:line="240" w:lineRule="auto"/>
              <w:jc w:val="center"/>
            </w:pPr>
            <w:r w:rsidRPr="00AB7A7B">
              <w:t>0.61</w:t>
            </w:r>
          </w:p>
          <w:p w:rsidR="001E2613" w:rsidRPr="00AB7A7B" w:rsidRDefault="001E2613" w:rsidP="00F77A64">
            <w:pPr>
              <w:jc w:val="center"/>
              <w:rPr>
                <w:rFonts w:ascii="Arial Narrow" w:hAnsi="Arial Narrow"/>
                <w:sz w:val="20"/>
              </w:rPr>
            </w:pPr>
            <w:r w:rsidRPr="00AB7A7B">
              <w:rPr>
                <w:rFonts w:ascii="Arial Narrow" w:hAnsi="Arial Narrow"/>
                <w:sz w:val="20"/>
              </w:rPr>
              <w:t>[0.32, 1.13]</w:t>
            </w:r>
          </w:p>
        </w:tc>
        <w:tc>
          <w:tcPr>
            <w:tcW w:w="1610" w:type="dxa"/>
          </w:tcPr>
          <w:p w:rsidR="001E2613" w:rsidRPr="00AB7A7B" w:rsidRDefault="001E2613" w:rsidP="00F77A64">
            <w:pPr>
              <w:pStyle w:val="PBACTable"/>
              <w:spacing w:line="240" w:lineRule="auto"/>
              <w:jc w:val="center"/>
            </w:pPr>
            <w:r w:rsidRPr="00AB7A7B">
              <w:t>0.59</w:t>
            </w:r>
          </w:p>
          <w:p w:rsidR="001E2613" w:rsidRPr="00AB7A7B" w:rsidRDefault="001E2613" w:rsidP="00F77A64">
            <w:pPr>
              <w:jc w:val="center"/>
              <w:rPr>
                <w:rFonts w:ascii="Arial Narrow" w:hAnsi="Arial Narrow"/>
                <w:sz w:val="20"/>
              </w:rPr>
            </w:pPr>
            <w:r w:rsidRPr="00AB7A7B">
              <w:rPr>
                <w:rFonts w:ascii="Arial Narrow" w:hAnsi="Arial Narrow"/>
                <w:sz w:val="20"/>
              </w:rPr>
              <w:t>[0.31, 1.12]</w:t>
            </w:r>
          </w:p>
        </w:tc>
      </w:tr>
      <w:tr w:rsidR="009122F6" w:rsidRPr="00AB7A7B" w:rsidTr="002A112F">
        <w:tc>
          <w:tcPr>
            <w:tcW w:w="1985" w:type="dxa"/>
            <w:vAlign w:val="center"/>
          </w:tcPr>
          <w:p w:rsidR="009122F6" w:rsidRPr="00AB7A7B" w:rsidRDefault="009122F6" w:rsidP="00F77A64">
            <w:pPr>
              <w:ind w:left="142"/>
              <w:jc w:val="left"/>
              <w:rPr>
                <w:rFonts w:ascii="Arial Narrow" w:hAnsi="Arial Narrow"/>
                <w:sz w:val="20"/>
              </w:rPr>
            </w:pPr>
            <w:r w:rsidRPr="00AB7A7B">
              <w:rPr>
                <w:rFonts w:ascii="Arial Narrow" w:hAnsi="Arial Narrow"/>
                <w:sz w:val="20"/>
              </w:rPr>
              <w:t>Study 21008</w:t>
            </w:r>
          </w:p>
        </w:tc>
        <w:tc>
          <w:tcPr>
            <w:tcW w:w="1610" w:type="dxa"/>
            <w:vAlign w:val="center"/>
          </w:tcPr>
          <w:p w:rsidR="009122F6" w:rsidRPr="00AB7A7B" w:rsidRDefault="00A167C9" w:rsidP="00F77A64">
            <w:pPr>
              <w:jc w:val="center"/>
              <w:rPr>
                <w:rFonts w:ascii="Arial Narrow" w:hAnsi="Arial Narrow"/>
                <w:sz w:val="20"/>
              </w:rPr>
            </w:pPr>
            <w:r w:rsidRPr="00AB7A7B">
              <w:rPr>
                <w:rFonts w:ascii="Arial Narrow" w:hAnsi="Arial Narrow"/>
                <w:sz w:val="20"/>
              </w:rPr>
              <w:t>0/27 (0.0%)</w:t>
            </w:r>
          </w:p>
        </w:tc>
        <w:tc>
          <w:tcPr>
            <w:tcW w:w="1610" w:type="dxa"/>
            <w:vAlign w:val="center"/>
          </w:tcPr>
          <w:p w:rsidR="009122F6" w:rsidRPr="00AB7A7B" w:rsidRDefault="00A167C9" w:rsidP="00F77A64">
            <w:pPr>
              <w:jc w:val="center"/>
              <w:rPr>
                <w:rFonts w:ascii="Arial Narrow" w:hAnsi="Arial Narrow"/>
                <w:sz w:val="20"/>
              </w:rPr>
            </w:pPr>
            <w:r w:rsidRPr="00AB7A7B">
              <w:rPr>
                <w:rFonts w:ascii="Arial Narrow" w:hAnsi="Arial Narrow"/>
                <w:sz w:val="20"/>
              </w:rPr>
              <w:t>1/12 (8.3%)</w:t>
            </w:r>
          </w:p>
        </w:tc>
        <w:tc>
          <w:tcPr>
            <w:tcW w:w="1610" w:type="dxa"/>
          </w:tcPr>
          <w:p w:rsidR="009122F6" w:rsidRPr="00AB7A7B" w:rsidRDefault="00A167C9" w:rsidP="00F77A64">
            <w:pPr>
              <w:pStyle w:val="PBACTable"/>
              <w:spacing w:line="240" w:lineRule="auto"/>
              <w:jc w:val="center"/>
            </w:pPr>
            <w:r w:rsidRPr="00AB7A7B">
              <w:t>NR</w:t>
            </w:r>
          </w:p>
        </w:tc>
        <w:tc>
          <w:tcPr>
            <w:tcW w:w="1610" w:type="dxa"/>
          </w:tcPr>
          <w:p w:rsidR="009122F6" w:rsidRPr="00AB7A7B" w:rsidRDefault="00A167C9" w:rsidP="00F77A64">
            <w:pPr>
              <w:pStyle w:val="PBACTable"/>
              <w:spacing w:line="240" w:lineRule="auto"/>
              <w:jc w:val="center"/>
            </w:pPr>
            <w:r w:rsidRPr="00AB7A7B">
              <w:t>NR</w:t>
            </w:r>
          </w:p>
        </w:tc>
      </w:tr>
      <w:tr w:rsidR="009122F6" w:rsidRPr="00AB7A7B" w:rsidTr="002A112F">
        <w:tc>
          <w:tcPr>
            <w:tcW w:w="1985" w:type="dxa"/>
            <w:vAlign w:val="center"/>
          </w:tcPr>
          <w:p w:rsidR="009122F6" w:rsidRPr="00AB7A7B" w:rsidRDefault="009122F6" w:rsidP="00F77A64">
            <w:pPr>
              <w:ind w:left="142"/>
              <w:jc w:val="left"/>
              <w:rPr>
                <w:rFonts w:ascii="Arial Narrow" w:hAnsi="Arial Narrow"/>
                <w:sz w:val="20"/>
              </w:rPr>
            </w:pPr>
            <w:r w:rsidRPr="00AB7A7B">
              <w:rPr>
                <w:rFonts w:ascii="Arial Narrow" w:hAnsi="Arial Narrow"/>
                <w:sz w:val="20"/>
              </w:rPr>
              <w:t>Study 6253</w:t>
            </w:r>
          </w:p>
        </w:tc>
        <w:tc>
          <w:tcPr>
            <w:tcW w:w="1610" w:type="dxa"/>
            <w:vAlign w:val="center"/>
          </w:tcPr>
          <w:p w:rsidR="009122F6" w:rsidRPr="00AB7A7B" w:rsidRDefault="00A167C9" w:rsidP="00F77A64">
            <w:pPr>
              <w:jc w:val="center"/>
              <w:rPr>
                <w:rFonts w:ascii="Arial Narrow" w:hAnsi="Arial Narrow"/>
                <w:sz w:val="20"/>
              </w:rPr>
            </w:pPr>
            <w:r w:rsidRPr="00AB7A7B">
              <w:rPr>
                <w:rFonts w:ascii="Arial Narrow" w:hAnsi="Arial Narrow"/>
                <w:sz w:val="20"/>
              </w:rPr>
              <w:t>2/53 (3.8%)</w:t>
            </w:r>
          </w:p>
        </w:tc>
        <w:tc>
          <w:tcPr>
            <w:tcW w:w="1610" w:type="dxa"/>
            <w:vAlign w:val="center"/>
          </w:tcPr>
          <w:p w:rsidR="009122F6" w:rsidRPr="00AB7A7B" w:rsidRDefault="00A167C9" w:rsidP="00F77A64">
            <w:pPr>
              <w:jc w:val="center"/>
              <w:rPr>
                <w:rFonts w:ascii="Arial Narrow" w:hAnsi="Arial Narrow"/>
                <w:sz w:val="20"/>
              </w:rPr>
            </w:pPr>
            <w:r w:rsidRPr="00AB7A7B">
              <w:rPr>
                <w:rFonts w:ascii="Arial Narrow" w:hAnsi="Arial Narrow"/>
                <w:sz w:val="20"/>
              </w:rPr>
              <w:t>0/11 (0.0%)</w:t>
            </w:r>
          </w:p>
        </w:tc>
        <w:tc>
          <w:tcPr>
            <w:tcW w:w="1610" w:type="dxa"/>
          </w:tcPr>
          <w:p w:rsidR="009122F6" w:rsidRPr="00AB7A7B" w:rsidRDefault="00A167C9" w:rsidP="00F77A64">
            <w:pPr>
              <w:pStyle w:val="PBACTable"/>
              <w:spacing w:line="240" w:lineRule="auto"/>
              <w:jc w:val="center"/>
            </w:pPr>
            <w:r w:rsidRPr="00AB7A7B">
              <w:t>NR</w:t>
            </w:r>
          </w:p>
        </w:tc>
        <w:tc>
          <w:tcPr>
            <w:tcW w:w="1610" w:type="dxa"/>
          </w:tcPr>
          <w:p w:rsidR="009122F6" w:rsidRPr="00AB7A7B" w:rsidRDefault="00A167C9" w:rsidP="00F77A64">
            <w:pPr>
              <w:pStyle w:val="PBACTable"/>
              <w:spacing w:line="240" w:lineRule="auto"/>
              <w:jc w:val="center"/>
            </w:pPr>
            <w:r w:rsidRPr="00AB7A7B">
              <w:t>NR</w:t>
            </w:r>
          </w:p>
        </w:tc>
      </w:tr>
    </w:tbl>
    <w:p w:rsidR="00A167C9" w:rsidRPr="00B8115A" w:rsidRDefault="00A167C9" w:rsidP="00A167C9">
      <w:pPr>
        <w:ind w:left="709"/>
        <w:rPr>
          <w:rFonts w:ascii="Arial Narrow" w:hAnsi="Arial Narrow"/>
          <w:sz w:val="18"/>
          <w:szCs w:val="18"/>
        </w:rPr>
      </w:pPr>
      <w:r w:rsidRPr="00B8115A">
        <w:rPr>
          <w:rFonts w:ascii="Arial Narrow" w:hAnsi="Arial Narrow"/>
          <w:sz w:val="18"/>
          <w:szCs w:val="18"/>
        </w:rPr>
        <w:t>Source</w:t>
      </w:r>
      <w:r w:rsidRPr="005F35A6">
        <w:rPr>
          <w:rFonts w:ascii="Arial Narrow" w:hAnsi="Arial Narrow"/>
          <w:sz w:val="18"/>
          <w:szCs w:val="18"/>
        </w:rPr>
        <w:t>: Table B.6-1, p69 of the submission</w:t>
      </w:r>
      <w:r>
        <w:rPr>
          <w:rFonts w:ascii="Arial Narrow" w:hAnsi="Arial Narrow"/>
          <w:sz w:val="18"/>
          <w:szCs w:val="18"/>
        </w:rPr>
        <w:t xml:space="preserve">; </w:t>
      </w:r>
      <w:r w:rsidRPr="00440208">
        <w:rPr>
          <w:rFonts w:ascii="Arial Narrow" w:hAnsi="Arial Narrow"/>
          <w:sz w:val="18"/>
          <w:szCs w:val="18"/>
        </w:rPr>
        <w:t>compiled during the evaluation</w:t>
      </w:r>
      <w:r w:rsidRPr="00B8115A">
        <w:rPr>
          <w:rFonts w:ascii="Arial Narrow" w:hAnsi="Arial Narrow"/>
          <w:sz w:val="18"/>
          <w:szCs w:val="18"/>
        </w:rPr>
        <w:t>.</w:t>
      </w:r>
    </w:p>
    <w:p w:rsidR="00B60939" w:rsidRDefault="00B60939" w:rsidP="007F1017">
      <w:pPr>
        <w:pStyle w:val="ListParagraph"/>
        <w:ind w:left="0"/>
        <w:rPr>
          <w:szCs w:val="22"/>
        </w:rPr>
      </w:pPr>
    </w:p>
    <w:p w:rsidR="007F1017" w:rsidRPr="003568CC" w:rsidRDefault="007F1017" w:rsidP="002C2775">
      <w:pPr>
        <w:pStyle w:val="Heading2"/>
        <w:rPr>
          <w:szCs w:val="22"/>
        </w:rPr>
      </w:pPr>
      <w:bookmarkStart w:id="11" w:name="_Toc408922677"/>
      <w:r w:rsidRPr="003568CC">
        <w:t>Benefits/harms</w:t>
      </w:r>
      <w:bookmarkEnd w:id="11"/>
    </w:p>
    <w:p w:rsidR="007F1017" w:rsidRDefault="007F1017" w:rsidP="004B1CB4"/>
    <w:p w:rsidR="00A43EAB" w:rsidRPr="00D54BF5" w:rsidRDefault="00A43EAB" w:rsidP="007F37E3">
      <w:pPr>
        <w:pStyle w:val="ListParagraph"/>
        <w:widowControl/>
        <w:numPr>
          <w:ilvl w:val="1"/>
          <w:numId w:val="5"/>
        </w:numPr>
        <w:spacing w:after="220"/>
        <w:rPr>
          <w:szCs w:val="22"/>
        </w:rPr>
      </w:pPr>
      <w:r w:rsidRPr="00D54BF5">
        <w:rPr>
          <w:szCs w:val="22"/>
        </w:rPr>
        <w:t xml:space="preserve">A summary of the comparative benefits and harms for lutropin alfa + rFSH versus rFSH alone is presented in the table below. </w:t>
      </w:r>
    </w:p>
    <w:p w:rsidR="00A43EAB" w:rsidRPr="00A578DC" w:rsidRDefault="00A43EAB" w:rsidP="00036F96">
      <w:pPr>
        <w:keepNext/>
        <w:keepLines/>
        <w:ind w:left="709" w:firstLine="11"/>
        <w:rPr>
          <w:rStyle w:val="CommentReference"/>
        </w:rPr>
      </w:pPr>
      <w:r w:rsidRPr="00A578DC">
        <w:rPr>
          <w:rStyle w:val="CommentReference"/>
        </w:rPr>
        <w:lastRenderedPageBreak/>
        <w:t xml:space="preserve">Summary of comparative benefits and harms for </w:t>
      </w:r>
      <w:r>
        <w:rPr>
          <w:rStyle w:val="CommentReference"/>
        </w:rPr>
        <w:t>lutropin alfa + rFSH and rFSH alone</w:t>
      </w:r>
    </w:p>
    <w:tbl>
      <w:tblPr>
        <w:tblStyle w:val="TableGrid"/>
        <w:tblW w:w="4700" w:type="pct"/>
        <w:tblInd w:w="698" w:type="dxa"/>
        <w:tblLayout w:type="fixed"/>
        <w:tblCellMar>
          <w:left w:w="28" w:type="dxa"/>
          <w:right w:w="28" w:type="dxa"/>
        </w:tblCellMar>
        <w:tblLook w:val="04A0" w:firstRow="1" w:lastRow="0" w:firstColumn="1" w:lastColumn="0" w:noHBand="0" w:noVBand="1"/>
        <w:tblCaption w:val="Comparative benefits and harms"/>
      </w:tblPr>
      <w:tblGrid>
        <w:gridCol w:w="1317"/>
        <w:gridCol w:w="140"/>
        <w:gridCol w:w="1275"/>
        <w:gridCol w:w="1134"/>
        <w:gridCol w:w="1308"/>
        <w:gridCol w:w="1084"/>
        <w:gridCol w:w="56"/>
        <w:gridCol w:w="1021"/>
        <w:gridCol w:w="61"/>
        <w:gridCol w:w="1141"/>
      </w:tblGrid>
      <w:tr w:rsidR="00A43EAB" w:rsidRPr="00E2771E" w:rsidTr="00F77A64">
        <w:tc>
          <w:tcPr>
            <w:tcW w:w="853" w:type="pct"/>
            <w:gridSpan w:val="2"/>
            <w:vMerge w:val="restart"/>
            <w:shd w:val="clear" w:color="auto" w:fill="auto"/>
            <w:vAlign w:val="center"/>
          </w:tcPr>
          <w:p w:rsidR="00A43EAB" w:rsidRPr="00E2771E" w:rsidRDefault="00A43EAB" w:rsidP="00036F96">
            <w:pPr>
              <w:keepNext/>
              <w:keepLines/>
              <w:rPr>
                <w:rFonts w:ascii="Arial Narrow" w:hAnsi="Arial Narrow"/>
                <w:b/>
                <w:color w:val="000000"/>
                <w:sz w:val="20"/>
                <w:szCs w:val="18"/>
              </w:rPr>
            </w:pPr>
            <w:r w:rsidRPr="00E2771E">
              <w:rPr>
                <w:rFonts w:ascii="Arial Narrow" w:hAnsi="Arial Narrow"/>
                <w:b/>
                <w:color w:val="000000"/>
                <w:sz w:val="20"/>
                <w:szCs w:val="18"/>
              </w:rPr>
              <w:t>Trial</w:t>
            </w:r>
          </w:p>
        </w:tc>
        <w:tc>
          <w:tcPr>
            <w:tcW w:w="747" w:type="pct"/>
            <w:vMerge w:val="restart"/>
            <w:vAlign w:val="center"/>
          </w:tcPr>
          <w:p w:rsidR="00A43EAB" w:rsidRPr="00E2771E" w:rsidRDefault="00A43EAB" w:rsidP="00036F96">
            <w:pPr>
              <w:keepNext/>
              <w:keepLines/>
              <w:jc w:val="center"/>
              <w:rPr>
                <w:rFonts w:ascii="Arial Narrow" w:hAnsi="Arial Narrow"/>
                <w:b/>
                <w:color w:val="000000"/>
                <w:sz w:val="20"/>
                <w:szCs w:val="18"/>
              </w:rPr>
            </w:pPr>
            <w:r>
              <w:rPr>
                <w:rFonts w:ascii="Arial Narrow" w:hAnsi="Arial Narrow"/>
                <w:b/>
                <w:color w:val="000000"/>
                <w:sz w:val="20"/>
                <w:szCs w:val="18"/>
              </w:rPr>
              <w:t>Lutropin alfa + rFSH</w:t>
            </w:r>
          </w:p>
        </w:tc>
        <w:tc>
          <w:tcPr>
            <w:tcW w:w="664" w:type="pct"/>
            <w:vMerge w:val="restart"/>
            <w:vAlign w:val="center"/>
          </w:tcPr>
          <w:p w:rsidR="00A43EAB" w:rsidRPr="00E2771E" w:rsidRDefault="00A43EAB" w:rsidP="00036F96">
            <w:pPr>
              <w:keepNext/>
              <w:keepLines/>
              <w:jc w:val="center"/>
              <w:rPr>
                <w:rFonts w:ascii="Arial Narrow" w:hAnsi="Arial Narrow"/>
                <w:b/>
                <w:color w:val="000000"/>
                <w:sz w:val="20"/>
                <w:szCs w:val="18"/>
              </w:rPr>
            </w:pPr>
            <w:r>
              <w:rPr>
                <w:rFonts w:ascii="Arial Narrow" w:hAnsi="Arial Narrow"/>
                <w:b/>
                <w:color w:val="000000"/>
                <w:sz w:val="20"/>
                <w:szCs w:val="18"/>
              </w:rPr>
              <w:t>rFSH alone</w:t>
            </w:r>
          </w:p>
        </w:tc>
        <w:tc>
          <w:tcPr>
            <w:tcW w:w="766" w:type="pct"/>
            <w:vMerge w:val="restart"/>
            <w:vAlign w:val="center"/>
          </w:tcPr>
          <w:p w:rsidR="00A43EAB" w:rsidRPr="00E2771E" w:rsidRDefault="00A43EAB" w:rsidP="00036F96">
            <w:pPr>
              <w:keepNext/>
              <w:keepLines/>
              <w:jc w:val="center"/>
              <w:rPr>
                <w:rFonts w:ascii="Arial Narrow" w:hAnsi="Arial Narrow"/>
                <w:b/>
                <w:color w:val="000000"/>
                <w:sz w:val="20"/>
                <w:szCs w:val="18"/>
              </w:rPr>
            </w:pPr>
            <w:r w:rsidRPr="00E2771E">
              <w:rPr>
                <w:rFonts w:ascii="Arial Narrow" w:hAnsi="Arial Narrow"/>
                <w:b/>
                <w:color w:val="000000"/>
                <w:sz w:val="20"/>
                <w:szCs w:val="18"/>
              </w:rPr>
              <w:t>RR</w:t>
            </w:r>
          </w:p>
          <w:p w:rsidR="00A43EAB" w:rsidRPr="00E2771E" w:rsidRDefault="00A43EAB" w:rsidP="00036F96">
            <w:pPr>
              <w:keepNext/>
              <w:keepLines/>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266" w:type="pct"/>
            <w:gridSpan w:val="3"/>
            <w:vAlign w:val="center"/>
          </w:tcPr>
          <w:p w:rsidR="00A43EAB" w:rsidRPr="00E2771E" w:rsidRDefault="00A43EAB" w:rsidP="00036F96">
            <w:pPr>
              <w:keepNext/>
              <w:keepLines/>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704" w:type="pct"/>
            <w:gridSpan w:val="2"/>
            <w:vMerge w:val="restart"/>
            <w:vAlign w:val="center"/>
          </w:tcPr>
          <w:p w:rsidR="00A43EAB" w:rsidRPr="00E2771E" w:rsidRDefault="00A43EAB" w:rsidP="00036F96">
            <w:pPr>
              <w:keepNext/>
              <w:keepLines/>
              <w:jc w:val="center"/>
              <w:rPr>
                <w:rFonts w:ascii="Arial Narrow" w:hAnsi="Arial Narrow"/>
                <w:b/>
                <w:color w:val="000000"/>
                <w:sz w:val="20"/>
                <w:szCs w:val="18"/>
              </w:rPr>
            </w:pPr>
            <w:r>
              <w:rPr>
                <w:rFonts w:ascii="Arial Narrow" w:hAnsi="Arial Narrow"/>
                <w:b/>
                <w:color w:val="000000"/>
                <w:sz w:val="20"/>
                <w:szCs w:val="18"/>
              </w:rPr>
              <w:t>OR</w:t>
            </w:r>
          </w:p>
          <w:p w:rsidR="00A43EAB" w:rsidRPr="00E2771E" w:rsidRDefault="00A43EAB" w:rsidP="00036F96">
            <w:pPr>
              <w:keepNext/>
              <w:keepLines/>
              <w:jc w:val="center"/>
              <w:rPr>
                <w:rFonts w:ascii="Arial Narrow" w:hAnsi="Arial Narrow"/>
                <w:b/>
                <w:color w:val="000000"/>
                <w:sz w:val="20"/>
                <w:szCs w:val="18"/>
              </w:rPr>
            </w:pPr>
            <w:r w:rsidRPr="00E2771E">
              <w:rPr>
                <w:rFonts w:ascii="Arial Narrow" w:hAnsi="Arial Narrow"/>
                <w:b/>
                <w:color w:val="000000"/>
                <w:sz w:val="20"/>
                <w:szCs w:val="18"/>
              </w:rPr>
              <w:t>(95% CI)</w:t>
            </w:r>
          </w:p>
        </w:tc>
      </w:tr>
      <w:tr w:rsidR="00A43EAB" w:rsidRPr="00E2771E" w:rsidTr="00F77A64">
        <w:tc>
          <w:tcPr>
            <w:tcW w:w="853" w:type="pct"/>
            <w:gridSpan w:val="2"/>
            <w:vMerge/>
            <w:shd w:val="clear" w:color="auto" w:fill="auto"/>
            <w:vAlign w:val="center"/>
          </w:tcPr>
          <w:p w:rsidR="00A43EAB" w:rsidRPr="00E2771E" w:rsidRDefault="00A43EAB" w:rsidP="00036F96">
            <w:pPr>
              <w:keepNext/>
              <w:keepLines/>
              <w:rPr>
                <w:rFonts w:ascii="Arial Narrow" w:hAnsi="Arial Narrow"/>
                <w:b/>
                <w:color w:val="000000"/>
                <w:sz w:val="20"/>
                <w:szCs w:val="18"/>
              </w:rPr>
            </w:pPr>
          </w:p>
        </w:tc>
        <w:tc>
          <w:tcPr>
            <w:tcW w:w="747" w:type="pct"/>
            <w:vMerge/>
            <w:vAlign w:val="center"/>
          </w:tcPr>
          <w:p w:rsidR="00A43EAB" w:rsidRPr="00E2771E" w:rsidRDefault="00A43EAB" w:rsidP="00036F96">
            <w:pPr>
              <w:keepNext/>
              <w:keepLines/>
              <w:jc w:val="center"/>
              <w:rPr>
                <w:rFonts w:ascii="Arial Narrow" w:hAnsi="Arial Narrow"/>
                <w:b/>
                <w:color w:val="000000"/>
                <w:sz w:val="20"/>
                <w:szCs w:val="18"/>
              </w:rPr>
            </w:pPr>
          </w:p>
        </w:tc>
        <w:tc>
          <w:tcPr>
            <w:tcW w:w="664" w:type="pct"/>
            <w:vMerge/>
            <w:vAlign w:val="center"/>
          </w:tcPr>
          <w:p w:rsidR="00A43EAB" w:rsidRPr="00E2771E" w:rsidRDefault="00A43EAB" w:rsidP="00036F96">
            <w:pPr>
              <w:keepNext/>
              <w:keepLines/>
              <w:jc w:val="center"/>
              <w:rPr>
                <w:rFonts w:ascii="Arial Narrow" w:hAnsi="Arial Narrow"/>
                <w:b/>
                <w:color w:val="000000"/>
                <w:sz w:val="20"/>
                <w:szCs w:val="18"/>
              </w:rPr>
            </w:pPr>
          </w:p>
        </w:tc>
        <w:tc>
          <w:tcPr>
            <w:tcW w:w="766" w:type="pct"/>
            <w:vMerge/>
            <w:vAlign w:val="center"/>
          </w:tcPr>
          <w:p w:rsidR="00A43EAB" w:rsidRPr="00E2771E" w:rsidRDefault="00A43EAB" w:rsidP="00036F96">
            <w:pPr>
              <w:keepNext/>
              <w:keepLines/>
              <w:jc w:val="center"/>
              <w:rPr>
                <w:rFonts w:ascii="Arial Narrow" w:hAnsi="Arial Narrow"/>
                <w:b/>
                <w:color w:val="000000"/>
                <w:sz w:val="20"/>
                <w:szCs w:val="18"/>
              </w:rPr>
            </w:pPr>
          </w:p>
        </w:tc>
        <w:tc>
          <w:tcPr>
            <w:tcW w:w="635" w:type="pct"/>
            <w:vAlign w:val="center"/>
          </w:tcPr>
          <w:p w:rsidR="00A43EAB" w:rsidRPr="00E2771E" w:rsidRDefault="00A43EAB" w:rsidP="00036F96">
            <w:pPr>
              <w:keepNext/>
              <w:keepLines/>
              <w:jc w:val="center"/>
              <w:rPr>
                <w:rFonts w:ascii="Arial Narrow" w:hAnsi="Arial Narrow"/>
                <w:b/>
                <w:color w:val="000000"/>
                <w:sz w:val="20"/>
                <w:szCs w:val="18"/>
              </w:rPr>
            </w:pPr>
            <w:r>
              <w:rPr>
                <w:rFonts w:ascii="Arial Narrow" w:hAnsi="Arial Narrow"/>
                <w:b/>
                <w:color w:val="000000"/>
                <w:sz w:val="20"/>
                <w:szCs w:val="18"/>
              </w:rPr>
              <w:t>Lutropin alfa + rFSH</w:t>
            </w:r>
          </w:p>
        </w:tc>
        <w:tc>
          <w:tcPr>
            <w:tcW w:w="631" w:type="pct"/>
            <w:gridSpan w:val="2"/>
            <w:vAlign w:val="center"/>
          </w:tcPr>
          <w:p w:rsidR="00A43EAB" w:rsidRPr="00E2771E" w:rsidRDefault="00A43EAB" w:rsidP="00036F96">
            <w:pPr>
              <w:keepNext/>
              <w:keepLines/>
              <w:jc w:val="center"/>
              <w:rPr>
                <w:rFonts w:ascii="Arial Narrow" w:hAnsi="Arial Narrow"/>
                <w:b/>
                <w:color w:val="000000"/>
                <w:sz w:val="20"/>
                <w:szCs w:val="18"/>
              </w:rPr>
            </w:pPr>
            <w:r>
              <w:rPr>
                <w:rFonts w:ascii="Arial Narrow" w:hAnsi="Arial Narrow"/>
                <w:b/>
                <w:color w:val="000000"/>
                <w:sz w:val="20"/>
                <w:szCs w:val="18"/>
              </w:rPr>
              <w:t>rFSH alone</w:t>
            </w:r>
          </w:p>
        </w:tc>
        <w:tc>
          <w:tcPr>
            <w:tcW w:w="704" w:type="pct"/>
            <w:gridSpan w:val="2"/>
            <w:vMerge/>
            <w:vAlign w:val="center"/>
          </w:tcPr>
          <w:p w:rsidR="00A43EAB" w:rsidRPr="00E2771E" w:rsidRDefault="00A43EAB" w:rsidP="00036F96">
            <w:pPr>
              <w:keepNext/>
              <w:keepLines/>
              <w:jc w:val="center"/>
              <w:rPr>
                <w:rFonts w:ascii="Arial Narrow" w:hAnsi="Arial Narrow"/>
                <w:b/>
                <w:color w:val="000000"/>
                <w:sz w:val="20"/>
                <w:szCs w:val="18"/>
              </w:rPr>
            </w:pPr>
          </w:p>
        </w:tc>
      </w:tr>
      <w:tr w:rsidR="00A43EAB" w:rsidRPr="00E2771E" w:rsidTr="00F77A64">
        <w:tc>
          <w:tcPr>
            <w:tcW w:w="5000" w:type="pct"/>
            <w:gridSpan w:val="10"/>
            <w:shd w:val="clear" w:color="auto" w:fill="auto"/>
            <w:vAlign w:val="center"/>
          </w:tcPr>
          <w:p w:rsidR="00A43EAB" w:rsidRPr="00E2771E" w:rsidRDefault="00A43EAB" w:rsidP="00036F96">
            <w:pPr>
              <w:keepNext/>
              <w:keepLines/>
              <w:rPr>
                <w:rFonts w:ascii="Arial Narrow" w:hAnsi="Arial Narrow"/>
                <w:b/>
                <w:color w:val="000000"/>
                <w:sz w:val="20"/>
                <w:szCs w:val="18"/>
              </w:rPr>
            </w:pPr>
            <w:r w:rsidRPr="00E2771E">
              <w:rPr>
                <w:rFonts w:ascii="Arial Narrow" w:hAnsi="Arial Narrow"/>
                <w:b/>
                <w:color w:val="000000"/>
                <w:sz w:val="20"/>
                <w:szCs w:val="18"/>
              </w:rPr>
              <w:t>Benefits</w:t>
            </w:r>
          </w:p>
        </w:tc>
      </w:tr>
      <w:tr w:rsidR="00A43EAB" w:rsidRPr="00E2771E" w:rsidTr="00F77A64">
        <w:tc>
          <w:tcPr>
            <w:tcW w:w="5000" w:type="pct"/>
            <w:gridSpan w:val="10"/>
            <w:shd w:val="clear" w:color="auto" w:fill="auto"/>
            <w:vAlign w:val="center"/>
          </w:tcPr>
          <w:p w:rsidR="00A43EAB" w:rsidRPr="00E2771E" w:rsidRDefault="00A43EAB" w:rsidP="00036F96">
            <w:pPr>
              <w:keepNext/>
              <w:keepLines/>
              <w:rPr>
                <w:rFonts w:ascii="Arial Narrow" w:hAnsi="Arial Narrow"/>
                <w:b/>
                <w:color w:val="000000"/>
                <w:sz w:val="20"/>
                <w:szCs w:val="18"/>
              </w:rPr>
            </w:pPr>
            <w:r>
              <w:rPr>
                <w:rFonts w:ascii="Arial Narrow" w:hAnsi="Arial Narrow"/>
                <w:b/>
                <w:color w:val="000000"/>
                <w:sz w:val="20"/>
                <w:szCs w:val="18"/>
              </w:rPr>
              <w:t>Clinical pregnancy</w:t>
            </w:r>
          </w:p>
        </w:tc>
      </w:tr>
      <w:tr w:rsidR="00A43EAB" w:rsidRPr="00E2771E" w:rsidTr="00F77A64">
        <w:tc>
          <w:tcPr>
            <w:tcW w:w="853" w:type="pct"/>
            <w:gridSpan w:val="2"/>
            <w:shd w:val="clear" w:color="auto" w:fill="auto"/>
            <w:vAlign w:val="center"/>
          </w:tcPr>
          <w:p w:rsidR="00A43EAB" w:rsidRPr="00E2771E" w:rsidRDefault="00A43EAB" w:rsidP="00036F96">
            <w:pPr>
              <w:keepNext/>
              <w:keepLines/>
              <w:rPr>
                <w:rFonts w:ascii="Arial Narrow" w:hAnsi="Arial Narrow"/>
                <w:color w:val="000000"/>
                <w:sz w:val="20"/>
                <w:szCs w:val="18"/>
              </w:rPr>
            </w:pPr>
            <w:r>
              <w:rPr>
                <w:rFonts w:ascii="Arial Narrow" w:hAnsi="Arial Narrow"/>
                <w:color w:val="000000"/>
                <w:sz w:val="20"/>
                <w:szCs w:val="18"/>
              </w:rPr>
              <w:t>Overall</w:t>
            </w:r>
          </w:p>
        </w:tc>
        <w:tc>
          <w:tcPr>
            <w:tcW w:w="747" w:type="pct"/>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sz w:val="20"/>
              </w:rPr>
              <w:t>891/3139</w:t>
            </w:r>
          </w:p>
        </w:tc>
        <w:tc>
          <w:tcPr>
            <w:tcW w:w="664" w:type="pct"/>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sz w:val="20"/>
              </w:rPr>
              <w:t>818/3254</w:t>
            </w:r>
          </w:p>
        </w:tc>
        <w:tc>
          <w:tcPr>
            <w:tcW w:w="766" w:type="pct"/>
            <w:vAlign w:val="center"/>
          </w:tcPr>
          <w:p w:rsidR="00A43EAB" w:rsidRPr="00053A7B" w:rsidRDefault="00A43EAB" w:rsidP="00036F96">
            <w:pPr>
              <w:pStyle w:val="PBACTable"/>
              <w:keepNext/>
              <w:keepLines/>
              <w:spacing w:line="240" w:lineRule="auto"/>
              <w:jc w:val="center"/>
            </w:pPr>
            <w:r w:rsidRPr="00053A7B">
              <w:t>1.09</w:t>
            </w:r>
          </w:p>
          <w:p w:rsidR="00A43EAB" w:rsidRPr="00E2771E" w:rsidRDefault="00A43EAB" w:rsidP="00036F96">
            <w:pPr>
              <w:keepNext/>
              <w:keepLines/>
              <w:jc w:val="center"/>
              <w:rPr>
                <w:rFonts w:ascii="Arial Narrow" w:hAnsi="Arial Narrow"/>
                <w:color w:val="000000"/>
                <w:sz w:val="20"/>
                <w:szCs w:val="18"/>
              </w:rPr>
            </w:pPr>
            <w:r w:rsidRPr="00053A7B">
              <w:rPr>
                <w:rFonts w:ascii="Arial Narrow" w:hAnsi="Arial Narrow"/>
                <w:sz w:val="20"/>
              </w:rPr>
              <w:t>[1.01, 1.18]</w:t>
            </w:r>
          </w:p>
        </w:tc>
        <w:tc>
          <w:tcPr>
            <w:tcW w:w="635" w:type="pct"/>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28.4</w:t>
            </w:r>
          </w:p>
        </w:tc>
        <w:tc>
          <w:tcPr>
            <w:tcW w:w="631" w:type="pct"/>
            <w:gridSpan w:val="2"/>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25.1</w:t>
            </w:r>
          </w:p>
        </w:tc>
        <w:tc>
          <w:tcPr>
            <w:tcW w:w="704" w:type="pct"/>
            <w:gridSpan w:val="2"/>
            <w:vAlign w:val="center"/>
          </w:tcPr>
          <w:p w:rsidR="00A43EAB" w:rsidRPr="00053A7B" w:rsidRDefault="00A43EAB" w:rsidP="00036F96">
            <w:pPr>
              <w:pStyle w:val="PBACTable"/>
              <w:keepNext/>
              <w:keepLines/>
              <w:spacing w:line="240" w:lineRule="auto"/>
              <w:jc w:val="center"/>
            </w:pPr>
            <w:r w:rsidRPr="00053A7B">
              <w:t>1.18</w:t>
            </w:r>
          </w:p>
          <w:p w:rsidR="00A43EAB" w:rsidRPr="00E2771E" w:rsidRDefault="00A43EAB" w:rsidP="00036F96">
            <w:pPr>
              <w:keepNext/>
              <w:keepLines/>
              <w:jc w:val="center"/>
              <w:rPr>
                <w:rFonts w:ascii="Arial Narrow" w:hAnsi="Arial Narrow"/>
                <w:color w:val="000000"/>
                <w:sz w:val="20"/>
                <w:szCs w:val="18"/>
              </w:rPr>
            </w:pPr>
            <w:r w:rsidRPr="00053A7B">
              <w:rPr>
                <w:rFonts w:ascii="Arial Narrow" w:hAnsi="Arial Narrow"/>
                <w:sz w:val="20"/>
              </w:rPr>
              <w:t>[1.05, 1.32]</w:t>
            </w:r>
          </w:p>
        </w:tc>
      </w:tr>
      <w:tr w:rsidR="00A43EAB" w:rsidRPr="00E2771E" w:rsidTr="00F77A64">
        <w:tc>
          <w:tcPr>
            <w:tcW w:w="853" w:type="pct"/>
            <w:gridSpan w:val="2"/>
            <w:shd w:val="clear" w:color="auto" w:fill="auto"/>
            <w:vAlign w:val="center"/>
          </w:tcPr>
          <w:p w:rsidR="00A43EAB" w:rsidRDefault="00A43EAB" w:rsidP="00036F96">
            <w:pPr>
              <w:keepNext/>
              <w:keepLines/>
              <w:rPr>
                <w:rFonts w:ascii="Arial Narrow" w:hAnsi="Arial Narrow"/>
                <w:color w:val="000000"/>
                <w:sz w:val="20"/>
                <w:szCs w:val="18"/>
              </w:rPr>
            </w:pPr>
            <w:r>
              <w:rPr>
                <w:rFonts w:ascii="Arial Narrow" w:hAnsi="Arial Narrow"/>
                <w:color w:val="000000"/>
                <w:sz w:val="20"/>
                <w:szCs w:val="18"/>
              </w:rPr>
              <w:t>Normal responders</w:t>
            </w:r>
          </w:p>
        </w:tc>
        <w:tc>
          <w:tcPr>
            <w:tcW w:w="747"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sz w:val="20"/>
              </w:rPr>
              <w:t>741/2547</w:t>
            </w:r>
          </w:p>
        </w:tc>
        <w:tc>
          <w:tcPr>
            <w:tcW w:w="664"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sz w:val="20"/>
              </w:rPr>
              <w:t>704/2667</w:t>
            </w:r>
          </w:p>
        </w:tc>
        <w:tc>
          <w:tcPr>
            <w:tcW w:w="766" w:type="pct"/>
            <w:vAlign w:val="center"/>
          </w:tcPr>
          <w:p w:rsidR="00A43EAB" w:rsidRPr="00544936" w:rsidRDefault="00A43EAB" w:rsidP="00036F96">
            <w:pPr>
              <w:pStyle w:val="PBACTable"/>
              <w:keepNext/>
              <w:keepLines/>
              <w:spacing w:line="240" w:lineRule="auto"/>
              <w:jc w:val="center"/>
            </w:pPr>
            <w:r w:rsidRPr="00544936">
              <w:t>1.09</w:t>
            </w:r>
          </w:p>
          <w:p w:rsidR="00A43EAB" w:rsidRDefault="00A43EAB" w:rsidP="00036F96">
            <w:pPr>
              <w:keepNext/>
              <w:keepLines/>
              <w:jc w:val="center"/>
              <w:rPr>
                <w:rFonts w:ascii="Arial Narrow" w:hAnsi="Arial Narrow"/>
                <w:color w:val="000000"/>
                <w:sz w:val="20"/>
                <w:szCs w:val="18"/>
              </w:rPr>
            </w:pPr>
            <w:r w:rsidRPr="00544936">
              <w:rPr>
                <w:rFonts w:ascii="Arial Narrow" w:hAnsi="Arial Narrow"/>
                <w:sz w:val="20"/>
              </w:rPr>
              <w:t>[0.95, 1.24]</w:t>
            </w:r>
          </w:p>
        </w:tc>
        <w:tc>
          <w:tcPr>
            <w:tcW w:w="635"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29.1</w:t>
            </w:r>
          </w:p>
        </w:tc>
        <w:tc>
          <w:tcPr>
            <w:tcW w:w="631" w:type="pct"/>
            <w:gridSpan w:val="2"/>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26.4</w:t>
            </w:r>
          </w:p>
        </w:tc>
        <w:tc>
          <w:tcPr>
            <w:tcW w:w="704" w:type="pct"/>
            <w:gridSpan w:val="2"/>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sz w:val="20"/>
              </w:rPr>
              <w:t>NR</w:t>
            </w:r>
          </w:p>
        </w:tc>
      </w:tr>
      <w:tr w:rsidR="00A43EAB" w:rsidRPr="00E2771E" w:rsidTr="00F77A64">
        <w:tc>
          <w:tcPr>
            <w:tcW w:w="853" w:type="pct"/>
            <w:gridSpan w:val="2"/>
            <w:shd w:val="clear" w:color="auto" w:fill="auto"/>
            <w:vAlign w:val="center"/>
          </w:tcPr>
          <w:p w:rsidR="00A43EAB" w:rsidRDefault="00A43EAB" w:rsidP="00036F96">
            <w:pPr>
              <w:keepNext/>
              <w:keepLines/>
              <w:rPr>
                <w:rFonts w:ascii="Arial Narrow" w:hAnsi="Arial Narrow"/>
                <w:color w:val="000000"/>
                <w:sz w:val="20"/>
                <w:szCs w:val="18"/>
              </w:rPr>
            </w:pPr>
            <w:r>
              <w:rPr>
                <w:rFonts w:ascii="Arial Narrow" w:hAnsi="Arial Narrow"/>
                <w:color w:val="000000"/>
                <w:sz w:val="20"/>
                <w:szCs w:val="18"/>
              </w:rPr>
              <w:t>Poor responders</w:t>
            </w:r>
          </w:p>
        </w:tc>
        <w:tc>
          <w:tcPr>
            <w:tcW w:w="747"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sz w:val="20"/>
              </w:rPr>
              <w:t>150/592</w:t>
            </w:r>
          </w:p>
        </w:tc>
        <w:tc>
          <w:tcPr>
            <w:tcW w:w="664"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sz w:val="20"/>
              </w:rPr>
              <w:t>114/587</w:t>
            </w:r>
          </w:p>
        </w:tc>
        <w:tc>
          <w:tcPr>
            <w:tcW w:w="766" w:type="pct"/>
            <w:vAlign w:val="center"/>
          </w:tcPr>
          <w:p w:rsidR="00A43EAB" w:rsidRPr="00544936" w:rsidRDefault="00A43EAB" w:rsidP="00036F96">
            <w:pPr>
              <w:pStyle w:val="PBACTable"/>
              <w:keepNext/>
              <w:keepLines/>
              <w:spacing w:line="240" w:lineRule="auto"/>
              <w:jc w:val="center"/>
            </w:pPr>
            <w:r w:rsidRPr="00544936">
              <w:t>1.30</w:t>
            </w:r>
          </w:p>
          <w:p w:rsidR="00A43EAB" w:rsidRDefault="00A43EAB" w:rsidP="00036F96">
            <w:pPr>
              <w:keepNext/>
              <w:keepLines/>
              <w:jc w:val="center"/>
              <w:rPr>
                <w:rFonts w:ascii="Arial Narrow" w:hAnsi="Arial Narrow"/>
                <w:color w:val="000000"/>
                <w:sz w:val="20"/>
                <w:szCs w:val="18"/>
              </w:rPr>
            </w:pPr>
            <w:r w:rsidRPr="00544936">
              <w:rPr>
                <w:rFonts w:ascii="Arial Narrow" w:hAnsi="Arial Narrow"/>
                <w:sz w:val="20"/>
              </w:rPr>
              <w:t>[1.01, 1.67]</w:t>
            </w:r>
          </w:p>
        </w:tc>
        <w:tc>
          <w:tcPr>
            <w:tcW w:w="635"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25.3</w:t>
            </w:r>
          </w:p>
        </w:tc>
        <w:tc>
          <w:tcPr>
            <w:tcW w:w="631" w:type="pct"/>
            <w:gridSpan w:val="2"/>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19.4</w:t>
            </w:r>
          </w:p>
        </w:tc>
        <w:tc>
          <w:tcPr>
            <w:tcW w:w="704" w:type="pct"/>
            <w:gridSpan w:val="2"/>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sz w:val="20"/>
              </w:rPr>
              <w:t>NR</w:t>
            </w:r>
          </w:p>
        </w:tc>
      </w:tr>
      <w:tr w:rsidR="00A43EAB" w:rsidRPr="00E2771E" w:rsidTr="00F77A64">
        <w:tc>
          <w:tcPr>
            <w:tcW w:w="5000" w:type="pct"/>
            <w:gridSpan w:val="10"/>
            <w:shd w:val="clear" w:color="auto" w:fill="auto"/>
            <w:vAlign w:val="center"/>
          </w:tcPr>
          <w:p w:rsidR="00A43EAB" w:rsidRPr="00E2771E" w:rsidRDefault="00A43EAB" w:rsidP="00036F96">
            <w:pPr>
              <w:keepNext/>
              <w:keepLines/>
              <w:rPr>
                <w:rFonts w:ascii="Arial Narrow" w:hAnsi="Arial Narrow"/>
                <w:b/>
                <w:color w:val="000000"/>
                <w:sz w:val="20"/>
                <w:szCs w:val="18"/>
              </w:rPr>
            </w:pPr>
            <w:r>
              <w:rPr>
                <w:rFonts w:ascii="Arial Narrow" w:hAnsi="Arial Narrow"/>
                <w:b/>
                <w:color w:val="000000"/>
                <w:sz w:val="20"/>
                <w:szCs w:val="18"/>
              </w:rPr>
              <w:t>Live births</w:t>
            </w:r>
          </w:p>
        </w:tc>
      </w:tr>
      <w:tr w:rsidR="00A43EAB" w:rsidRPr="00E2771E" w:rsidTr="00F77A64">
        <w:tc>
          <w:tcPr>
            <w:tcW w:w="853" w:type="pct"/>
            <w:gridSpan w:val="2"/>
            <w:shd w:val="clear" w:color="auto" w:fill="auto"/>
            <w:vAlign w:val="center"/>
          </w:tcPr>
          <w:p w:rsidR="00A43EAB" w:rsidRPr="00E2771E" w:rsidRDefault="00A43EAB" w:rsidP="00036F96">
            <w:pPr>
              <w:keepNext/>
              <w:keepLines/>
              <w:rPr>
                <w:rFonts w:ascii="Arial Narrow" w:hAnsi="Arial Narrow"/>
                <w:color w:val="000000"/>
                <w:sz w:val="20"/>
                <w:szCs w:val="18"/>
              </w:rPr>
            </w:pPr>
            <w:r>
              <w:rPr>
                <w:rFonts w:ascii="Arial Narrow" w:hAnsi="Arial Narrow"/>
                <w:color w:val="000000"/>
                <w:sz w:val="20"/>
                <w:szCs w:val="18"/>
              </w:rPr>
              <w:t>Overall</w:t>
            </w:r>
          </w:p>
        </w:tc>
        <w:tc>
          <w:tcPr>
            <w:tcW w:w="747" w:type="pct"/>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sz w:val="20"/>
              </w:rPr>
              <w:t>732/3065</w:t>
            </w:r>
          </w:p>
        </w:tc>
        <w:tc>
          <w:tcPr>
            <w:tcW w:w="664" w:type="pct"/>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sz w:val="20"/>
              </w:rPr>
              <w:t>671/3172</w:t>
            </w:r>
          </w:p>
        </w:tc>
        <w:tc>
          <w:tcPr>
            <w:tcW w:w="766" w:type="pct"/>
          </w:tcPr>
          <w:p w:rsidR="00A43EAB" w:rsidRPr="00053A7B" w:rsidRDefault="00A43EAB" w:rsidP="00036F96">
            <w:pPr>
              <w:pStyle w:val="PBACTable"/>
              <w:keepNext/>
              <w:keepLines/>
              <w:spacing w:line="240" w:lineRule="auto"/>
              <w:jc w:val="center"/>
            </w:pPr>
            <w:r w:rsidRPr="00053A7B">
              <w:t>1.11</w:t>
            </w:r>
          </w:p>
          <w:p w:rsidR="00A43EAB" w:rsidRPr="00E2771E" w:rsidRDefault="00A43EAB" w:rsidP="00036F96">
            <w:pPr>
              <w:keepNext/>
              <w:keepLines/>
              <w:jc w:val="center"/>
              <w:rPr>
                <w:rFonts w:ascii="Arial Narrow" w:hAnsi="Arial Narrow"/>
                <w:color w:val="000000"/>
                <w:sz w:val="20"/>
                <w:szCs w:val="18"/>
              </w:rPr>
            </w:pPr>
            <w:r w:rsidRPr="00053A7B">
              <w:rPr>
                <w:rFonts w:ascii="Arial Narrow" w:hAnsi="Arial Narrow"/>
                <w:sz w:val="20"/>
              </w:rPr>
              <w:t>[1.01, 1.21]</w:t>
            </w:r>
          </w:p>
        </w:tc>
        <w:tc>
          <w:tcPr>
            <w:tcW w:w="635" w:type="pct"/>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23.9</w:t>
            </w:r>
          </w:p>
        </w:tc>
        <w:tc>
          <w:tcPr>
            <w:tcW w:w="631" w:type="pct"/>
            <w:gridSpan w:val="2"/>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21.2</w:t>
            </w:r>
          </w:p>
        </w:tc>
        <w:tc>
          <w:tcPr>
            <w:tcW w:w="704" w:type="pct"/>
            <w:gridSpan w:val="2"/>
          </w:tcPr>
          <w:p w:rsidR="00A43EAB" w:rsidRPr="00053A7B" w:rsidRDefault="00A43EAB" w:rsidP="00036F96">
            <w:pPr>
              <w:pStyle w:val="PBACTable"/>
              <w:keepNext/>
              <w:keepLines/>
              <w:spacing w:line="240" w:lineRule="auto"/>
              <w:jc w:val="center"/>
            </w:pPr>
            <w:r w:rsidRPr="00053A7B">
              <w:t>1.18</w:t>
            </w:r>
          </w:p>
          <w:p w:rsidR="00A43EAB" w:rsidRPr="00E2771E" w:rsidRDefault="00A43EAB" w:rsidP="00036F96">
            <w:pPr>
              <w:keepNext/>
              <w:keepLines/>
              <w:jc w:val="center"/>
              <w:rPr>
                <w:rFonts w:ascii="Arial Narrow" w:hAnsi="Arial Narrow"/>
                <w:color w:val="000000"/>
                <w:sz w:val="20"/>
                <w:szCs w:val="18"/>
              </w:rPr>
            </w:pPr>
            <w:r w:rsidRPr="00053A7B">
              <w:rPr>
                <w:rFonts w:ascii="Arial Narrow" w:hAnsi="Arial Narrow"/>
                <w:sz w:val="20"/>
              </w:rPr>
              <w:t>[1.04, 1.34]</w:t>
            </w:r>
          </w:p>
        </w:tc>
      </w:tr>
      <w:tr w:rsidR="00A43EAB" w:rsidRPr="00E2771E" w:rsidTr="00F77A64">
        <w:tc>
          <w:tcPr>
            <w:tcW w:w="853" w:type="pct"/>
            <w:gridSpan w:val="2"/>
            <w:shd w:val="clear" w:color="auto" w:fill="auto"/>
            <w:vAlign w:val="center"/>
          </w:tcPr>
          <w:p w:rsidR="00A43EAB" w:rsidRDefault="00A43EAB" w:rsidP="00036F96">
            <w:pPr>
              <w:keepNext/>
              <w:keepLines/>
              <w:rPr>
                <w:rFonts w:ascii="Arial Narrow" w:hAnsi="Arial Narrow"/>
                <w:color w:val="000000"/>
                <w:sz w:val="20"/>
                <w:szCs w:val="18"/>
              </w:rPr>
            </w:pPr>
            <w:r>
              <w:rPr>
                <w:rFonts w:ascii="Arial Narrow" w:hAnsi="Arial Narrow"/>
                <w:color w:val="000000"/>
                <w:sz w:val="20"/>
                <w:szCs w:val="18"/>
              </w:rPr>
              <w:t>Normal responders</w:t>
            </w:r>
          </w:p>
        </w:tc>
        <w:tc>
          <w:tcPr>
            <w:tcW w:w="747"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sz w:val="20"/>
              </w:rPr>
              <w:t>622/2540</w:t>
            </w:r>
          </w:p>
        </w:tc>
        <w:tc>
          <w:tcPr>
            <w:tcW w:w="664"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sz w:val="20"/>
              </w:rPr>
              <w:t>588/2654</w:t>
            </w:r>
          </w:p>
        </w:tc>
        <w:tc>
          <w:tcPr>
            <w:tcW w:w="766" w:type="pct"/>
            <w:vAlign w:val="center"/>
          </w:tcPr>
          <w:p w:rsidR="00A43EAB" w:rsidRPr="00544936" w:rsidRDefault="00A43EAB" w:rsidP="00036F96">
            <w:pPr>
              <w:pStyle w:val="PBACTable"/>
              <w:keepNext/>
              <w:keepLines/>
              <w:spacing w:line="240" w:lineRule="auto"/>
              <w:jc w:val="center"/>
            </w:pPr>
            <w:r w:rsidRPr="00544936">
              <w:t>1.10</w:t>
            </w:r>
          </w:p>
          <w:p w:rsidR="00A43EAB" w:rsidRDefault="00A43EAB" w:rsidP="00036F96">
            <w:pPr>
              <w:keepNext/>
              <w:keepLines/>
              <w:jc w:val="center"/>
              <w:rPr>
                <w:rFonts w:ascii="Arial Narrow" w:hAnsi="Arial Narrow"/>
                <w:color w:val="000000"/>
                <w:sz w:val="20"/>
                <w:szCs w:val="18"/>
              </w:rPr>
            </w:pPr>
            <w:r w:rsidRPr="00544936">
              <w:rPr>
                <w:rFonts w:ascii="Arial Narrow" w:hAnsi="Arial Narrow"/>
                <w:sz w:val="20"/>
              </w:rPr>
              <w:t>[0.94, 1.29]</w:t>
            </w:r>
          </w:p>
        </w:tc>
        <w:tc>
          <w:tcPr>
            <w:tcW w:w="635"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24.5</w:t>
            </w:r>
          </w:p>
        </w:tc>
        <w:tc>
          <w:tcPr>
            <w:tcW w:w="631" w:type="pct"/>
            <w:gridSpan w:val="2"/>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22.2</w:t>
            </w:r>
          </w:p>
        </w:tc>
        <w:tc>
          <w:tcPr>
            <w:tcW w:w="704" w:type="pct"/>
            <w:gridSpan w:val="2"/>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sz w:val="20"/>
              </w:rPr>
              <w:t>NR</w:t>
            </w:r>
          </w:p>
        </w:tc>
      </w:tr>
      <w:tr w:rsidR="00A43EAB" w:rsidRPr="00E2771E" w:rsidTr="00F77A64">
        <w:tc>
          <w:tcPr>
            <w:tcW w:w="853" w:type="pct"/>
            <w:gridSpan w:val="2"/>
            <w:shd w:val="clear" w:color="auto" w:fill="auto"/>
            <w:vAlign w:val="center"/>
          </w:tcPr>
          <w:p w:rsidR="00A43EAB" w:rsidRDefault="00A43EAB" w:rsidP="00036F96">
            <w:pPr>
              <w:keepNext/>
              <w:keepLines/>
              <w:rPr>
                <w:rFonts w:ascii="Arial Narrow" w:hAnsi="Arial Narrow"/>
                <w:color w:val="000000"/>
                <w:sz w:val="20"/>
                <w:szCs w:val="18"/>
              </w:rPr>
            </w:pPr>
            <w:r>
              <w:rPr>
                <w:rFonts w:ascii="Arial Narrow" w:hAnsi="Arial Narrow"/>
                <w:color w:val="000000"/>
                <w:sz w:val="20"/>
                <w:szCs w:val="18"/>
              </w:rPr>
              <w:t>Poor responders</w:t>
            </w:r>
          </w:p>
        </w:tc>
        <w:tc>
          <w:tcPr>
            <w:tcW w:w="747"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sz w:val="20"/>
              </w:rPr>
              <w:t>110/525</w:t>
            </w:r>
          </w:p>
        </w:tc>
        <w:tc>
          <w:tcPr>
            <w:tcW w:w="664"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sz w:val="20"/>
              </w:rPr>
              <w:t>83/518</w:t>
            </w:r>
          </w:p>
        </w:tc>
        <w:tc>
          <w:tcPr>
            <w:tcW w:w="766" w:type="pct"/>
            <w:vAlign w:val="center"/>
          </w:tcPr>
          <w:p w:rsidR="00A43EAB" w:rsidRPr="00544936" w:rsidRDefault="00A43EAB" w:rsidP="00036F96">
            <w:pPr>
              <w:pStyle w:val="PBACTable"/>
              <w:keepNext/>
              <w:keepLines/>
              <w:spacing w:line="240" w:lineRule="auto"/>
              <w:jc w:val="center"/>
            </w:pPr>
            <w:r w:rsidRPr="00544936">
              <w:t>1.30</w:t>
            </w:r>
          </w:p>
          <w:p w:rsidR="00A43EAB" w:rsidRDefault="00A43EAB" w:rsidP="00036F96">
            <w:pPr>
              <w:keepNext/>
              <w:keepLines/>
              <w:jc w:val="center"/>
              <w:rPr>
                <w:rFonts w:ascii="Arial Narrow" w:hAnsi="Arial Narrow"/>
                <w:color w:val="000000"/>
                <w:sz w:val="20"/>
                <w:szCs w:val="18"/>
              </w:rPr>
            </w:pPr>
            <w:r w:rsidRPr="00544936">
              <w:rPr>
                <w:rFonts w:ascii="Arial Narrow" w:hAnsi="Arial Narrow"/>
                <w:sz w:val="20"/>
              </w:rPr>
              <w:t>[0.95, 1.78]</w:t>
            </w:r>
          </w:p>
        </w:tc>
        <w:tc>
          <w:tcPr>
            <w:tcW w:w="635" w:type="pct"/>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21.0</w:t>
            </w:r>
          </w:p>
        </w:tc>
        <w:tc>
          <w:tcPr>
            <w:tcW w:w="631" w:type="pct"/>
            <w:gridSpan w:val="2"/>
            <w:vAlign w:val="center"/>
          </w:tcPr>
          <w:p w:rsidR="00A43EAB"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16.0</w:t>
            </w:r>
          </w:p>
        </w:tc>
        <w:tc>
          <w:tcPr>
            <w:tcW w:w="704" w:type="pct"/>
            <w:gridSpan w:val="2"/>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sz w:val="20"/>
              </w:rPr>
              <w:t>NR</w:t>
            </w:r>
          </w:p>
        </w:tc>
      </w:tr>
      <w:tr w:rsidR="00A43EAB" w:rsidRPr="00E2771E" w:rsidTr="00F77A64">
        <w:tc>
          <w:tcPr>
            <w:tcW w:w="5000" w:type="pct"/>
            <w:gridSpan w:val="10"/>
            <w:tcBorders>
              <w:top w:val="double" w:sz="4" w:space="0" w:color="auto"/>
            </w:tcBorders>
            <w:shd w:val="clear" w:color="auto" w:fill="auto"/>
            <w:vAlign w:val="center"/>
          </w:tcPr>
          <w:p w:rsidR="00A43EAB" w:rsidRPr="00E2771E" w:rsidRDefault="00A43EAB" w:rsidP="00036F96">
            <w:pPr>
              <w:keepNext/>
              <w:keepLines/>
              <w:rPr>
                <w:rFonts w:ascii="Arial Narrow" w:hAnsi="Arial Narrow"/>
                <w:b/>
                <w:color w:val="000000"/>
                <w:sz w:val="20"/>
                <w:szCs w:val="18"/>
              </w:rPr>
            </w:pPr>
            <w:r w:rsidRPr="00E2771E">
              <w:rPr>
                <w:rFonts w:ascii="Arial Narrow" w:hAnsi="Arial Narrow"/>
                <w:b/>
                <w:color w:val="000000"/>
                <w:sz w:val="20"/>
                <w:szCs w:val="18"/>
              </w:rPr>
              <w:t>Harms</w:t>
            </w:r>
          </w:p>
        </w:tc>
      </w:tr>
      <w:tr w:rsidR="00A43EAB" w:rsidRPr="00E2771E" w:rsidTr="00F77A64">
        <w:tc>
          <w:tcPr>
            <w:tcW w:w="771" w:type="pct"/>
            <w:vMerge w:val="restart"/>
            <w:shd w:val="clear" w:color="auto" w:fill="auto"/>
            <w:vAlign w:val="center"/>
          </w:tcPr>
          <w:p w:rsidR="00A43EAB" w:rsidRPr="00E2771E" w:rsidRDefault="00A43EAB" w:rsidP="00036F96">
            <w:pPr>
              <w:keepNext/>
              <w:keepLines/>
              <w:rPr>
                <w:rFonts w:ascii="Arial Narrow" w:hAnsi="Arial Narrow"/>
                <w:b/>
                <w:color w:val="000000"/>
                <w:sz w:val="20"/>
                <w:szCs w:val="18"/>
              </w:rPr>
            </w:pPr>
          </w:p>
        </w:tc>
        <w:tc>
          <w:tcPr>
            <w:tcW w:w="829" w:type="pct"/>
            <w:gridSpan w:val="2"/>
            <w:vMerge w:val="restart"/>
            <w:vAlign w:val="center"/>
          </w:tcPr>
          <w:p w:rsidR="00A43EAB" w:rsidRPr="00E2771E" w:rsidRDefault="00A43EAB" w:rsidP="00036F96">
            <w:pPr>
              <w:keepNext/>
              <w:keepLines/>
              <w:jc w:val="center"/>
              <w:rPr>
                <w:rFonts w:ascii="Arial Narrow" w:hAnsi="Arial Narrow"/>
                <w:b/>
                <w:color w:val="000000"/>
                <w:sz w:val="20"/>
                <w:szCs w:val="18"/>
              </w:rPr>
            </w:pPr>
            <w:r>
              <w:rPr>
                <w:rFonts w:ascii="Arial Narrow" w:hAnsi="Arial Narrow"/>
                <w:b/>
                <w:color w:val="000000"/>
                <w:sz w:val="20"/>
                <w:szCs w:val="18"/>
              </w:rPr>
              <w:t>Lutropin alfa + rFSH</w:t>
            </w:r>
          </w:p>
        </w:tc>
        <w:tc>
          <w:tcPr>
            <w:tcW w:w="664" w:type="pct"/>
            <w:vMerge w:val="restart"/>
            <w:vAlign w:val="center"/>
          </w:tcPr>
          <w:p w:rsidR="00A43EAB" w:rsidRPr="00E2771E" w:rsidRDefault="00A43EAB" w:rsidP="00036F96">
            <w:pPr>
              <w:keepNext/>
              <w:keepLines/>
              <w:jc w:val="center"/>
              <w:rPr>
                <w:rFonts w:ascii="Arial Narrow" w:hAnsi="Arial Narrow"/>
                <w:b/>
                <w:color w:val="000000"/>
                <w:sz w:val="20"/>
                <w:szCs w:val="18"/>
              </w:rPr>
            </w:pPr>
            <w:r>
              <w:rPr>
                <w:rFonts w:ascii="Arial Narrow" w:hAnsi="Arial Narrow"/>
                <w:b/>
                <w:color w:val="000000"/>
                <w:sz w:val="20"/>
                <w:szCs w:val="18"/>
              </w:rPr>
              <w:t>rFSH alone</w:t>
            </w:r>
          </w:p>
        </w:tc>
        <w:tc>
          <w:tcPr>
            <w:tcW w:w="766" w:type="pct"/>
            <w:vMerge w:val="restart"/>
            <w:vAlign w:val="center"/>
          </w:tcPr>
          <w:p w:rsidR="00A43EAB" w:rsidRPr="00E2771E" w:rsidRDefault="00A43EAB" w:rsidP="00036F96">
            <w:pPr>
              <w:keepNext/>
              <w:keepLines/>
              <w:jc w:val="center"/>
              <w:rPr>
                <w:rFonts w:ascii="Arial Narrow" w:hAnsi="Arial Narrow"/>
                <w:b/>
                <w:color w:val="000000"/>
                <w:sz w:val="20"/>
                <w:szCs w:val="18"/>
              </w:rPr>
            </w:pPr>
            <w:r w:rsidRPr="00E2771E">
              <w:rPr>
                <w:rFonts w:ascii="Arial Narrow" w:hAnsi="Arial Narrow"/>
                <w:b/>
                <w:color w:val="000000"/>
                <w:sz w:val="20"/>
                <w:szCs w:val="18"/>
              </w:rPr>
              <w:t>RR</w:t>
            </w:r>
          </w:p>
          <w:p w:rsidR="00A43EAB" w:rsidRPr="00E2771E" w:rsidRDefault="00A43EAB" w:rsidP="00036F96">
            <w:pPr>
              <w:keepNext/>
              <w:keepLines/>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301" w:type="pct"/>
            <w:gridSpan w:val="4"/>
            <w:vAlign w:val="center"/>
          </w:tcPr>
          <w:p w:rsidR="00A43EAB" w:rsidRPr="00E2771E" w:rsidRDefault="00A43EAB" w:rsidP="00036F96">
            <w:pPr>
              <w:keepNext/>
              <w:keepLines/>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668" w:type="pct"/>
            <w:vMerge w:val="restart"/>
            <w:vAlign w:val="center"/>
          </w:tcPr>
          <w:p w:rsidR="00A43EAB" w:rsidRPr="00E2771E" w:rsidRDefault="00A43EAB" w:rsidP="00036F96">
            <w:pPr>
              <w:keepNext/>
              <w:keepLines/>
              <w:jc w:val="center"/>
              <w:rPr>
                <w:rFonts w:ascii="Arial Narrow" w:hAnsi="Arial Narrow"/>
                <w:b/>
                <w:color w:val="000000"/>
                <w:sz w:val="20"/>
                <w:szCs w:val="18"/>
              </w:rPr>
            </w:pPr>
            <w:r>
              <w:rPr>
                <w:rFonts w:ascii="Arial Narrow" w:hAnsi="Arial Narrow"/>
                <w:b/>
                <w:color w:val="000000"/>
                <w:sz w:val="20"/>
                <w:szCs w:val="18"/>
              </w:rPr>
              <w:t>OR</w:t>
            </w:r>
          </w:p>
          <w:p w:rsidR="00A43EAB" w:rsidRPr="00E2771E" w:rsidRDefault="00A43EAB" w:rsidP="00036F96">
            <w:pPr>
              <w:keepNext/>
              <w:keepLines/>
              <w:jc w:val="center"/>
              <w:rPr>
                <w:rFonts w:ascii="Arial Narrow" w:hAnsi="Arial Narrow"/>
                <w:b/>
                <w:color w:val="000000"/>
                <w:sz w:val="20"/>
                <w:szCs w:val="18"/>
              </w:rPr>
            </w:pPr>
            <w:r w:rsidRPr="00E2771E">
              <w:rPr>
                <w:rFonts w:ascii="Arial Narrow" w:hAnsi="Arial Narrow"/>
                <w:b/>
                <w:color w:val="000000"/>
                <w:sz w:val="20"/>
                <w:szCs w:val="18"/>
              </w:rPr>
              <w:t>(95% CI)</w:t>
            </w:r>
          </w:p>
        </w:tc>
      </w:tr>
      <w:tr w:rsidR="00A43EAB" w:rsidRPr="00E2771E" w:rsidTr="00F77A64">
        <w:tc>
          <w:tcPr>
            <w:tcW w:w="771" w:type="pct"/>
            <w:vMerge/>
            <w:shd w:val="clear" w:color="auto" w:fill="auto"/>
            <w:vAlign w:val="center"/>
          </w:tcPr>
          <w:p w:rsidR="00A43EAB" w:rsidRPr="00E2771E" w:rsidRDefault="00A43EAB" w:rsidP="00036F96">
            <w:pPr>
              <w:keepNext/>
              <w:keepLines/>
              <w:rPr>
                <w:rFonts w:ascii="Arial Narrow" w:hAnsi="Arial Narrow"/>
                <w:b/>
                <w:color w:val="000000"/>
                <w:sz w:val="20"/>
                <w:szCs w:val="18"/>
              </w:rPr>
            </w:pPr>
          </w:p>
        </w:tc>
        <w:tc>
          <w:tcPr>
            <w:tcW w:w="829" w:type="pct"/>
            <w:gridSpan w:val="2"/>
            <w:vMerge/>
            <w:vAlign w:val="center"/>
          </w:tcPr>
          <w:p w:rsidR="00A43EAB" w:rsidRPr="00E2771E" w:rsidRDefault="00A43EAB" w:rsidP="00036F96">
            <w:pPr>
              <w:keepNext/>
              <w:keepLines/>
              <w:jc w:val="center"/>
              <w:rPr>
                <w:rFonts w:ascii="Arial Narrow" w:hAnsi="Arial Narrow"/>
                <w:b/>
                <w:color w:val="000000"/>
                <w:sz w:val="20"/>
                <w:szCs w:val="18"/>
              </w:rPr>
            </w:pPr>
          </w:p>
        </w:tc>
        <w:tc>
          <w:tcPr>
            <w:tcW w:w="664" w:type="pct"/>
            <w:vMerge/>
            <w:vAlign w:val="center"/>
          </w:tcPr>
          <w:p w:rsidR="00A43EAB" w:rsidRPr="00E2771E" w:rsidRDefault="00A43EAB" w:rsidP="00036F96">
            <w:pPr>
              <w:keepNext/>
              <w:keepLines/>
              <w:jc w:val="center"/>
              <w:rPr>
                <w:rFonts w:ascii="Arial Narrow" w:hAnsi="Arial Narrow"/>
                <w:b/>
                <w:color w:val="000000"/>
                <w:sz w:val="20"/>
                <w:szCs w:val="18"/>
              </w:rPr>
            </w:pPr>
          </w:p>
        </w:tc>
        <w:tc>
          <w:tcPr>
            <w:tcW w:w="766" w:type="pct"/>
            <w:vMerge/>
            <w:vAlign w:val="center"/>
          </w:tcPr>
          <w:p w:rsidR="00A43EAB" w:rsidRPr="00E2771E" w:rsidRDefault="00A43EAB" w:rsidP="00036F96">
            <w:pPr>
              <w:keepNext/>
              <w:keepLines/>
              <w:jc w:val="center"/>
              <w:rPr>
                <w:rFonts w:ascii="Arial Narrow" w:hAnsi="Arial Narrow"/>
                <w:b/>
                <w:color w:val="000000"/>
                <w:sz w:val="20"/>
                <w:szCs w:val="18"/>
              </w:rPr>
            </w:pPr>
          </w:p>
        </w:tc>
        <w:tc>
          <w:tcPr>
            <w:tcW w:w="668" w:type="pct"/>
            <w:gridSpan w:val="2"/>
            <w:vAlign w:val="center"/>
          </w:tcPr>
          <w:p w:rsidR="00A43EAB" w:rsidRPr="00E2771E" w:rsidRDefault="00A43EAB" w:rsidP="00036F96">
            <w:pPr>
              <w:keepNext/>
              <w:keepLines/>
              <w:jc w:val="center"/>
              <w:rPr>
                <w:rFonts w:ascii="Arial Narrow" w:hAnsi="Arial Narrow"/>
                <w:b/>
                <w:color w:val="000000"/>
                <w:sz w:val="20"/>
                <w:szCs w:val="18"/>
              </w:rPr>
            </w:pPr>
            <w:r>
              <w:rPr>
                <w:rFonts w:ascii="Arial Narrow" w:hAnsi="Arial Narrow"/>
                <w:b/>
                <w:color w:val="000000"/>
                <w:sz w:val="20"/>
                <w:szCs w:val="18"/>
              </w:rPr>
              <w:t>Lutropin alfa + rFSH</w:t>
            </w:r>
          </w:p>
        </w:tc>
        <w:tc>
          <w:tcPr>
            <w:tcW w:w="634" w:type="pct"/>
            <w:gridSpan w:val="2"/>
            <w:vAlign w:val="center"/>
          </w:tcPr>
          <w:p w:rsidR="00A43EAB" w:rsidRPr="00E2771E" w:rsidRDefault="00A43EAB" w:rsidP="00036F96">
            <w:pPr>
              <w:keepNext/>
              <w:keepLines/>
              <w:jc w:val="center"/>
              <w:rPr>
                <w:rFonts w:ascii="Arial Narrow" w:hAnsi="Arial Narrow"/>
                <w:b/>
                <w:color w:val="000000"/>
                <w:sz w:val="20"/>
                <w:szCs w:val="18"/>
              </w:rPr>
            </w:pPr>
            <w:r>
              <w:rPr>
                <w:rFonts w:ascii="Arial Narrow" w:hAnsi="Arial Narrow"/>
                <w:b/>
                <w:color w:val="000000"/>
                <w:sz w:val="20"/>
                <w:szCs w:val="18"/>
              </w:rPr>
              <w:t>rFSH alone</w:t>
            </w:r>
          </w:p>
        </w:tc>
        <w:tc>
          <w:tcPr>
            <w:tcW w:w="668" w:type="pct"/>
            <w:vMerge/>
            <w:vAlign w:val="center"/>
          </w:tcPr>
          <w:p w:rsidR="00A43EAB" w:rsidRPr="00E2771E" w:rsidRDefault="00A43EAB" w:rsidP="00036F96">
            <w:pPr>
              <w:keepNext/>
              <w:keepLines/>
              <w:jc w:val="center"/>
              <w:rPr>
                <w:rFonts w:ascii="Arial Narrow" w:hAnsi="Arial Narrow"/>
                <w:b/>
                <w:color w:val="000000"/>
                <w:sz w:val="20"/>
                <w:szCs w:val="18"/>
              </w:rPr>
            </w:pPr>
          </w:p>
        </w:tc>
      </w:tr>
      <w:tr w:rsidR="00A43EAB" w:rsidRPr="00E2771E" w:rsidTr="00F77A64">
        <w:tc>
          <w:tcPr>
            <w:tcW w:w="5000" w:type="pct"/>
            <w:gridSpan w:val="10"/>
            <w:shd w:val="clear" w:color="auto" w:fill="auto"/>
            <w:vAlign w:val="center"/>
          </w:tcPr>
          <w:p w:rsidR="00A43EAB" w:rsidRPr="00E2771E" w:rsidRDefault="00C3039B" w:rsidP="00036F96">
            <w:pPr>
              <w:keepNext/>
              <w:keepLines/>
              <w:rPr>
                <w:rFonts w:ascii="Arial Narrow" w:hAnsi="Arial Narrow"/>
                <w:b/>
                <w:color w:val="000000"/>
                <w:sz w:val="20"/>
                <w:szCs w:val="18"/>
              </w:rPr>
            </w:pPr>
            <w:r>
              <w:rPr>
                <w:rFonts w:ascii="Arial Narrow" w:hAnsi="Arial Narrow"/>
                <w:b/>
                <w:color w:val="000000"/>
                <w:sz w:val="20"/>
                <w:szCs w:val="18"/>
              </w:rPr>
              <w:t>Ovarian H</w:t>
            </w:r>
            <w:r w:rsidR="00A43EAB">
              <w:rPr>
                <w:rFonts w:ascii="Arial Narrow" w:hAnsi="Arial Narrow"/>
                <w:b/>
                <w:color w:val="000000"/>
                <w:sz w:val="20"/>
                <w:szCs w:val="18"/>
              </w:rPr>
              <w:t>yperstimulation Syndrome</w:t>
            </w:r>
          </w:p>
        </w:tc>
      </w:tr>
      <w:tr w:rsidR="00A43EAB" w:rsidRPr="00E2771E" w:rsidTr="00F77A64">
        <w:tc>
          <w:tcPr>
            <w:tcW w:w="771" w:type="pct"/>
            <w:shd w:val="clear" w:color="auto" w:fill="auto"/>
            <w:vAlign w:val="center"/>
          </w:tcPr>
          <w:p w:rsidR="00A43EAB" w:rsidRDefault="00A43EAB" w:rsidP="00036F96">
            <w:pPr>
              <w:keepNext/>
              <w:keepLines/>
              <w:rPr>
                <w:rFonts w:ascii="Arial Narrow" w:hAnsi="Arial Narrow"/>
                <w:color w:val="000000"/>
                <w:sz w:val="20"/>
                <w:szCs w:val="18"/>
              </w:rPr>
            </w:pPr>
            <w:r>
              <w:rPr>
                <w:rFonts w:ascii="Arial Narrow" w:hAnsi="Arial Narrow"/>
                <w:color w:val="000000"/>
                <w:sz w:val="20"/>
                <w:szCs w:val="18"/>
              </w:rPr>
              <w:t>ITT population</w:t>
            </w:r>
          </w:p>
          <w:p w:rsidR="00A43EAB" w:rsidRPr="00E2771E" w:rsidRDefault="00A43EAB" w:rsidP="00036F96">
            <w:pPr>
              <w:keepNext/>
              <w:keepLines/>
              <w:rPr>
                <w:rFonts w:ascii="Arial Narrow" w:hAnsi="Arial Narrow"/>
                <w:color w:val="000000"/>
                <w:sz w:val="20"/>
                <w:szCs w:val="18"/>
              </w:rPr>
            </w:pPr>
            <w:r>
              <w:rPr>
                <w:rFonts w:ascii="Arial Narrow" w:hAnsi="Arial Narrow"/>
                <w:color w:val="000000"/>
                <w:sz w:val="20"/>
                <w:szCs w:val="18"/>
              </w:rPr>
              <w:t>(N=11 studies)</w:t>
            </w:r>
          </w:p>
        </w:tc>
        <w:tc>
          <w:tcPr>
            <w:tcW w:w="829" w:type="pct"/>
            <w:gridSpan w:val="2"/>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15/1297</w:t>
            </w:r>
          </w:p>
        </w:tc>
        <w:tc>
          <w:tcPr>
            <w:tcW w:w="664" w:type="pct"/>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29/1224</w:t>
            </w:r>
          </w:p>
        </w:tc>
        <w:tc>
          <w:tcPr>
            <w:tcW w:w="766" w:type="pct"/>
            <w:vAlign w:val="center"/>
          </w:tcPr>
          <w:p w:rsidR="00A43EAB" w:rsidRPr="00544936" w:rsidRDefault="00A43EAB" w:rsidP="00036F96">
            <w:pPr>
              <w:pStyle w:val="PBACTable"/>
              <w:keepNext/>
              <w:keepLines/>
              <w:spacing w:line="240" w:lineRule="auto"/>
              <w:jc w:val="center"/>
            </w:pPr>
            <w:r w:rsidRPr="00544936">
              <w:t>0.61</w:t>
            </w:r>
          </w:p>
          <w:p w:rsidR="00A43EAB" w:rsidRPr="00E2771E" w:rsidRDefault="00A43EAB" w:rsidP="00036F96">
            <w:pPr>
              <w:keepNext/>
              <w:keepLines/>
              <w:jc w:val="center"/>
              <w:rPr>
                <w:rFonts w:ascii="Arial Narrow" w:hAnsi="Arial Narrow"/>
                <w:color w:val="000000"/>
                <w:sz w:val="20"/>
                <w:szCs w:val="18"/>
              </w:rPr>
            </w:pPr>
            <w:r w:rsidRPr="00544936">
              <w:rPr>
                <w:rFonts w:ascii="Arial Narrow" w:hAnsi="Arial Narrow"/>
                <w:sz w:val="20"/>
              </w:rPr>
              <w:t>[0.32, 1.13]</w:t>
            </w:r>
          </w:p>
        </w:tc>
        <w:tc>
          <w:tcPr>
            <w:tcW w:w="668" w:type="pct"/>
            <w:gridSpan w:val="2"/>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1.2</w:t>
            </w:r>
          </w:p>
        </w:tc>
        <w:tc>
          <w:tcPr>
            <w:tcW w:w="634" w:type="pct"/>
            <w:gridSpan w:val="2"/>
            <w:vAlign w:val="center"/>
          </w:tcPr>
          <w:p w:rsidR="00A43EAB" w:rsidRPr="00E2771E" w:rsidRDefault="00A43EAB" w:rsidP="00036F96">
            <w:pPr>
              <w:keepNext/>
              <w:keepLines/>
              <w:jc w:val="center"/>
              <w:rPr>
                <w:rFonts w:ascii="Arial Narrow" w:hAnsi="Arial Narrow"/>
                <w:color w:val="000000"/>
                <w:sz w:val="20"/>
                <w:szCs w:val="18"/>
              </w:rPr>
            </w:pPr>
            <w:r>
              <w:rPr>
                <w:rFonts w:ascii="Arial Narrow" w:hAnsi="Arial Narrow"/>
                <w:color w:val="000000"/>
                <w:sz w:val="20"/>
                <w:szCs w:val="18"/>
              </w:rPr>
              <w:t>2.4</w:t>
            </w:r>
          </w:p>
        </w:tc>
        <w:tc>
          <w:tcPr>
            <w:tcW w:w="668" w:type="pct"/>
            <w:vAlign w:val="center"/>
          </w:tcPr>
          <w:p w:rsidR="00A43EAB" w:rsidRPr="00544936" w:rsidRDefault="00A43EAB" w:rsidP="00036F96">
            <w:pPr>
              <w:pStyle w:val="PBACTable"/>
              <w:keepNext/>
              <w:keepLines/>
              <w:spacing w:line="240" w:lineRule="auto"/>
              <w:jc w:val="center"/>
            </w:pPr>
            <w:r w:rsidRPr="00544936">
              <w:t>0.59</w:t>
            </w:r>
          </w:p>
          <w:p w:rsidR="00A43EAB" w:rsidRPr="00E2771E" w:rsidRDefault="00A43EAB" w:rsidP="00036F96">
            <w:pPr>
              <w:keepNext/>
              <w:keepLines/>
              <w:jc w:val="center"/>
              <w:rPr>
                <w:rFonts w:ascii="Arial Narrow" w:hAnsi="Arial Narrow"/>
                <w:color w:val="000000"/>
                <w:sz w:val="20"/>
                <w:szCs w:val="18"/>
              </w:rPr>
            </w:pPr>
            <w:r w:rsidRPr="00544936">
              <w:rPr>
                <w:rFonts w:ascii="Arial Narrow" w:hAnsi="Arial Narrow"/>
                <w:sz w:val="20"/>
              </w:rPr>
              <w:t>[0.31, 1.12]</w:t>
            </w:r>
          </w:p>
        </w:tc>
      </w:tr>
    </w:tbl>
    <w:p w:rsidR="00A43EAB" w:rsidRPr="0072416F" w:rsidRDefault="00A43EAB" w:rsidP="00036F96">
      <w:pPr>
        <w:pStyle w:val="TableFooter"/>
        <w:keepNext/>
        <w:keepLines/>
        <w:ind w:left="720"/>
      </w:pPr>
      <w:r w:rsidRPr="0072416F">
        <w:t xml:space="preserve">* </w:t>
      </w:r>
      <w:r>
        <w:t>D</w:t>
      </w:r>
      <w:r w:rsidRPr="0072416F">
        <w:t xml:space="preserve">uration of exposure: </w:t>
      </w:r>
      <w:r>
        <w:t>one cycle</w:t>
      </w:r>
    </w:p>
    <w:p w:rsidR="00A43EAB" w:rsidRPr="0072416F" w:rsidRDefault="00A43EAB" w:rsidP="00036F96">
      <w:pPr>
        <w:pStyle w:val="TableFooter"/>
        <w:keepNext/>
        <w:keepLines/>
        <w:ind w:firstLine="720"/>
      </w:pPr>
      <w:r w:rsidRPr="0072416F">
        <w:t>Abbreviations:</w:t>
      </w:r>
      <w:r>
        <w:t xml:space="preserve"> rFSH, recombinant follicle stimulating hormone; </w:t>
      </w:r>
      <w:r w:rsidR="007D5AE9">
        <w:t xml:space="preserve">ITT, intention to treat; </w:t>
      </w:r>
      <w:r>
        <w:t>OR, odds ratio</w:t>
      </w:r>
      <w:r w:rsidRPr="0072416F">
        <w:t>; RR</w:t>
      </w:r>
      <w:r>
        <w:t xml:space="preserve">, </w:t>
      </w:r>
      <w:r w:rsidRPr="0072416F">
        <w:t>risk ratio</w:t>
      </w:r>
    </w:p>
    <w:p w:rsidR="00A43EAB" w:rsidRPr="0072416F" w:rsidRDefault="00A43EAB" w:rsidP="00036F96">
      <w:pPr>
        <w:pStyle w:val="TableFooter"/>
        <w:keepNext/>
        <w:keepLines/>
        <w:ind w:firstLine="720"/>
      </w:pPr>
      <w:r w:rsidRPr="0072416F">
        <w:t>Source: Compil</w:t>
      </w:r>
      <w:r>
        <w:t>ed during the evaluation</w:t>
      </w:r>
    </w:p>
    <w:p w:rsidR="00A43EAB" w:rsidRDefault="00A43EAB" w:rsidP="00A43EAB"/>
    <w:p w:rsidR="00A43EAB" w:rsidRPr="00B50DB8" w:rsidRDefault="00A43EAB" w:rsidP="007F37E3">
      <w:pPr>
        <w:pStyle w:val="ListParagraph"/>
        <w:widowControl/>
        <w:numPr>
          <w:ilvl w:val="1"/>
          <w:numId w:val="5"/>
        </w:numPr>
        <w:rPr>
          <w:szCs w:val="22"/>
        </w:rPr>
      </w:pPr>
      <w:r w:rsidRPr="00CF6EE4">
        <w:t xml:space="preserve">On the basis of </w:t>
      </w:r>
      <w:r>
        <w:t>meta-analysis</w:t>
      </w:r>
      <w:r w:rsidRPr="00CF6EE4">
        <w:t xml:space="preserve"> evidence</w:t>
      </w:r>
      <w:r>
        <w:t xml:space="preserve"> of poor responders (the relevant PBS population)</w:t>
      </w:r>
      <w:r w:rsidRPr="00CF6EE4">
        <w:t xml:space="preserve"> presented </w:t>
      </w:r>
      <w:r w:rsidR="007D5AE9">
        <w:t>in</w:t>
      </w:r>
      <w:r w:rsidRPr="00CF6EE4">
        <w:t xml:space="preserve"> the submission, for every 100 patients treated with </w:t>
      </w:r>
      <w:r>
        <w:t>lutropin alfa + rFSH</w:t>
      </w:r>
      <w:r w:rsidRPr="00CF6EE4">
        <w:t xml:space="preserve"> in comparison to </w:t>
      </w:r>
      <w:r>
        <w:t>rFSH alone</w:t>
      </w:r>
      <w:r w:rsidRPr="00CF6EE4">
        <w:t>;</w:t>
      </w:r>
    </w:p>
    <w:p w:rsidR="00A43EAB" w:rsidRPr="00CF6EE4" w:rsidRDefault="00A43EAB" w:rsidP="007F37E3">
      <w:pPr>
        <w:pStyle w:val="ListParagraph"/>
        <w:widowControl/>
        <w:numPr>
          <w:ilvl w:val="0"/>
          <w:numId w:val="4"/>
        </w:numPr>
        <w:ind w:left="993" w:hanging="284"/>
      </w:pPr>
      <w:r w:rsidRPr="00CF6EE4">
        <w:t xml:space="preserve">Approximately </w:t>
      </w:r>
      <w:r>
        <w:t>5.9</w:t>
      </w:r>
      <w:r w:rsidRPr="00CF6EE4">
        <w:t xml:space="preserve"> additional patients would </w:t>
      </w:r>
      <w:r>
        <w:t>achieve clinical pregnancy</w:t>
      </w:r>
      <w:r w:rsidRPr="00CF6EE4">
        <w:t xml:space="preserve"> over a duration of exposure of </w:t>
      </w:r>
      <w:r>
        <w:t>one treatment cycle.</w:t>
      </w:r>
    </w:p>
    <w:p w:rsidR="004526BD" w:rsidRPr="00327999" w:rsidRDefault="004526BD" w:rsidP="004526BD">
      <w:pPr>
        <w:pStyle w:val="ListParagraph"/>
        <w:widowControl/>
        <w:numPr>
          <w:ilvl w:val="0"/>
          <w:numId w:val="4"/>
        </w:numPr>
        <w:ind w:left="993" w:hanging="284"/>
      </w:pPr>
      <w:r w:rsidRPr="00327999">
        <w:t>There was no significant difference in the number of live births.</w:t>
      </w:r>
    </w:p>
    <w:p w:rsidR="004526BD" w:rsidRPr="00327999" w:rsidRDefault="004526BD" w:rsidP="004526BD">
      <w:pPr>
        <w:pStyle w:val="ListParagraph"/>
        <w:widowControl/>
        <w:numPr>
          <w:ilvl w:val="0"/>
          <w:numId w:val="4"/>
        </w:numPr>
        <w:ind w:left="993" w:hanging="284"/>
      </w:pPr>
      <w:r w:rsidRPr="00327999">
        <w:t>There was no significant difference in the frequency of ovarian h</w:t>
      </w:r>
      <w:r w:rsidR="00AB7A7B">
        <w:t>yperstimulation syndrome over</w:t>
      </w:r>
      <w:r w:rsidR="001D6BD6">
        <w:t xml:space="preserve"> </w:t>
      </w:r>
      <w:r w:rsidRPr="00327999">
        <w:t>one treatment cycle (these adverse event data were for ‘normal responders’ only).</w:t>
      </w:r>
    </w:p>
    <w:p w:rsidR="00B60939" w:rsidRPr="00882085" w:rsidRDefault="00B60939" w:rsidP="00FC1884"/>
    <w:p w:rsidR="00B60939" w:rsidRPr="003568CC" w:rsidRDefault="00B60939" w:rsidP="0047538C">
      <w:pPr>
        <w:pStyle w:val="Heading2"/>
        <w:spacing w:after="220"/>
      </w:pPr>
      <w:bookmarkStart w:id="12" w:name="_Toc408922678"/>
      <w:r w:rsidRPr="003568CC">
        <w:t>Clinical claim</w:t>
      </w:r>
      <w:bookmarkEnd w:id="12"/>
    </w:p>
    <w:p w:rsidR="00B60939" w:rsidRPr="00AB7A7B" w:rsidRDefault="0047538C" w:rsidP="000076C9">
      <w:pPr>
        <w:pStyle w:val="ListParagraph"/>
        <w:widowControl/>
        <w:numPr>
          <w:ilvl w:val="1"/>
          <w:numId w:val="5"/>
        </w:numPr>
      </w:pPr>
      <w:r w:rsidRPr="00625597">
        <w:t>The submission describe</w:t>
      </w:r>
      <w:r w:rsidR="007D5AE9">
        <w:t>d</w:t>
      </w:r>
      <w:r w:rsidRPr="00625597">
        <w:t xml:space="preserve"> lutropin alfa (supplementary to rFSH therapy) as superior in terms of comparative effectiveness and superior in terms of comparative safety over rFSH alone, in poor </w:t>
      </w:r>
      <w:r w:rsidRPr="00AB7A7B">
        <w:t>responders.</w:t>
      </w:r>
      <w:r w:rsidR="007D5AE9" w:rsidRPr="00AB7A7B">
        <w:t xml:space="preserve"> This may be reasonable </w:t>
      </w:r>
      <w:r w:rsidR="004526BD" w:rsidRPr="00AB7A7B">
        <w:t>for</w:t>
      </w:r>
      <w:r w:rsidR="007D5AE9" w:rsidRPr="00AB7A7B">
        <w:t xml:space="preserve"> clinical pre</w:t>
      </w:r>
      <w:r w:rsidR="00F371CE" w:rsidRPr="00AB7A7B">
        <w:t>gnancy, but not for live births, given</w:t>
      </w:r>
      <w:r w:rsidR="007D5AE9" w:rsidRPr="00AB7A7B">
        <w:t xml:space="preserve"> </w:t>
      </w:r>
      <w:r w:rsidR="00F371CE" w:rsidRPr="00AB7A7B">
        <w:t>t</w:t>
      </w:r>
      <w:r w:rsidR="007D5AE9" w:rsidRPr="00AB7A7B">
        <w:t xml:space="preserve">he non-statistically significant difference between treatment arms for live births, and the imputation of the </w:t>
      </w:r>
      <w:r w:rsidR="00F371CE" w:rsidRPr="00AB7A7B">
        <w:t xml:space="preserve">data in the </w:t>
      </w:r>
      <w:r w:rsidR="007D5AE9" w:rsidRPr="00AB7A7B">
        <w:t>majority of the trial</w:t>
      </w:r>
      <w:r w:rsidR="00F371CE" w:rsidRPr="00AB7A7B">
        <w:t xml:space="preserve">s for poor responders. </w:t>
      </w:r>
      <w:r w:rsidR="00BA0E13" w:rsidRPr="00AB7A7B">
        <w:t xml:space="preserve">The treatment effect size </w:t>
      </w:r>
      <w:r w:rsidR="001D6BD6">
        <w:t>may be</w:t>
      </w:r>
      <w:r w:rsidR="00BA0E13" w:rsidRPr="00AB7A7B">
        <w:t xml:space="preserve"> overestimated due to the risk of bias in the studies included in the meta-analysis</w:t>
      </w:r>
      <w:r w:rsidR="008A72FF" w:rsidRPr="00AB7A7B">
        <w:t xml:space="preserve">. </w:t>
      </w:r>
      <w:r w:rsidR="000076C9" w:rsidRPr="00AB7A7B">
        <w:t>The ESC noted the Pre-Sub-Committee Response (</w:t>
      </w:r>
      <w:r w:rsidR="00804CFF" w:rsidRPr="00AB7A7B">
        <w:t xml:space="preserve">PSCR, </w:t>
      </w:r>
      <w:r w:rsidR="000076C9" w:rsidRPr="00AB7A7B">
        <w:t>p1) explanation that in poor responders, it is not</w:t>
      </w:r>
      <w:r w:rsidR="000076C9" w:rsidRPr="00327999">
        <w:t xml:space="preserve"> unexpected that the improvement in live birth rate did not quite reach statistical significance due to the additional</w:t>
      </w:r>
      <w:r w:rsidR="001D6BD6">
        <w:t xml:space="preserve"> sample size</w:t>
      </w:r>
      <w:r w:rsidR="000076C9" w:rsidRPr="00327999">
        <w:t xml:space="preserve"> required for this outcome. Since the </w:t>
      </w:r>
      <w:r w:rsidR="000076C9" w:rsidRPr="00327999">
        <w:lastRenderedPageBreak/>
        <w:t xml:space="preserve">improvement in live birth rate reached statistical significance in the overall population, and since clinical and ongoing pregnancy rates were higher in the poor responder population than in the overall population, it is likely that the 30% difference in live birth rate observed in the poor responder population did not reach statistical significance </w:t>
      </w:r>
      <w:r w:rsidR="00804CFF" w:rsidRPr="00327999">
        <w:t>because it was underpowered</w:t>
      </w:r>
      <w:r w:rsidR="000076C9" w:rsidRPr="00327999">
        <w:t>.</w:t>
      </w:r>
      <w:r w:rsidR="000076C9">
        <w:rPr>
          <w:i/>
        </w:rPr>
        <w:t xml:space="preserve"> </w:t>
      </w:r>
      <w:r w:rsidR="00F371CE" w:rsidRPr="00440208">
        <w:t xml:space="preserve">The claim of superior safety was also </w:t>
      </w:r>
      <w:r w:rsidR="00F371CE" w:rsidRPr="00AB7A7B">
        <w:t>based on a non-statistically significant difference between treatment arms, and no data from the poor responder population.</w:t>
      </w:r>
    </w:p>
    <w:p w:rsidR="00AB7A7B" w:rsidRPr="00AB7A7B" w:rsidRDefault="00AB7A7B" w:rsidP="00AB7A7B">
      <w:pPr>
        <w:pStyle w:val="ListParagraph"/>
        <w:widowControl/>
      </w:pPr>
    </w:p>
    <w:p w:rsidR="00AB7A7B" w:rsidRPr="001C1414" w:rsidRDefault="00AB7A7B" w:rsidP="00AB7A7B">
      <w:pPr>
        <w:pStyle w:val="ListParagraph"/>
        <w:widowControl/>
        <w:numPr>
          <w:ilvl w:val="1"/>
          <w:numId w:val="5"/>
        </w:numPr>
        <w:jc w:val="left"/>
        <w:rPr>
          <w:bCs/>
          <w:szCs w:val="22"/>
        </w:rPr>
      </w:pPr>
      <w:r w:rsidRPr="00AB7A7B">
        <w:rPr>
          <w:bCs/>
          <w:szCs w:val="22"/>
        </w:rPr>
        <w:t xml:space="preserve">The </w:t>
      </w:r>
      <w:r w:rsidRPr="001C1414">
        <w:rPr>
          <w:bCs/>
          <w:szCs w:val="22"/>
        </w:rPr>
        <w:t>PBAC considered that the claim of superior comparative effectiveness was reasonable for clinical pregnancy but less certain for live birth.</w:t>
      </w:r>
    </w:p>
    <w:p w:rsidR="00AB7A7B" w:rsidRPr="001C1414" w:rsidRDefault="00AB7A7B" w:rsidP="00AB7A7B">
      <w:pPr>
        <w:pStyle w:val="ListParagraph"/>
        <w:widowControl/>
        <w:jc w:val="left"/>
        <w:rPr>
          <w:bCs/>
          <w:szCs w:val="22"/>
        </w:rPr>
      </w:pPr>
    </w:p>
    <w:p w:rsidR="00EE4EBB" w:rsidRPr="00600377" w:rsidRDefault="00EE4EBB" w:rsidP="00EE4EBB">
      <w:pPr>
        <w:pStyle w:val="ListParagraph"/>
        <w:widowControl/>
        <w:numPr>
          <w:ilvl w:val="1"/>
          <w:numId w:val="5"/>
        </w:numPr>
        <w:rPr>
          <w:szCs w:val="22"/>
        </w:rPr>
      </w:pPr>
      <w:r w:rsidRPr="00600377">
        <w:rPr>
          <w:szCs w:val="22"/>
        </w:rPr>
        <w:t>The PBAC considered that the claim of superior comparative safety was not adequately supported by the data</w:t>
      </w:r>
      <w:r w:rsidR="001D6BD6">
        <w:rPr>
          <w:szCs w:val="22"/>
        </w:rPr>
        <w:t xml:space="preserve"> but</w:t>
      </w:r>
      <w:r w:rsidRPr="00600377">
        <w:rPr>
          <w:szCs w:val="22"/>
        </w:rPr>
        <w:t xml:space="preserve"> that there was </w:t>
      </w:r>
      <w:r>
        <w:rPr>
          <w:szCs w:val="22"/>
        </w:rPr>
        <w:t>no increase in</w:t>
      </w:r>
      <w:r w:rsidRPr="00600377">
        <w:rPr>
          <w:szCs w:val="22"/>
        </w:rPr>
        <w:t xml:space="preserve"> OHSS in the overall population.</w:t>
      </w:r>
    </w:p>
    <w:p w:rsidR="00D43467" w:rsidRPr="001C1414" w:rsidRDefault="00D43467" w:rsidP="00D43467">
      <w:pPr>
        <w:pStyle w:val="ListParagraph"/>
        <w:widowControl/>
        <w:rPr>
          <w:i/>
          <w:szCs w:val="22"/>
        </w:rPr>
      </w:pPr>
    </w:p>
    <w:p w:rsidR="00D43467" w:rsidRPr="00440208" w:rsidRDefault="00D43467" w:rsidP="00D43467">
      <w:pPr>
        <w:pStyle w:val="ListParagraph"/>
        <w:widowControl/>
      </w:pPr>
      <w:r w:rsidRPr="001C1414">
        <w:rPr>
          <w:i/>
          <w:szCs w:val="22"/>
        </w:rPr>
        <w:t>For more detail on PBAC’s view, see section 7 “PBAC outcome”</w:t>
      </w:r>
      <w:r w:rsidR="00545F03">
        <w:rPr>
          <w:i/>
          <w:szCs w:val="22"/>
        </w:rPr>
        <w:t>.</w:t>
      </w:r>
    </w:p>
    <w:p w:rsidR="00625597" w:rsidRPr="00440208" w:rsidRDefault="00625597" w:rsidP="00625597">
      <w:pPr>
        <w:widowControl/>
      </w:pPr>
    </w:p>
    <w:p w:rsidR="00B60939" w:rsidRPr="003568CC" w:rsidRDefault="00B60939" w:rsidP="00036F96">
      <w:pPr>
        <w:pStyle w:val="Heading2"/>
        <w:keepNext/>
        <w:keepLines/>
        <w:spacing w:after="220"/>
      </w:pPr>
      <w:bookmarkStart w:id="13" w:name="_Toc408922679"/>
      <w:r w:rsidRPr="003568CC">
        <w:t>Economic analysis</w:t>
      </w:r>
      <w:bookmarkEnd w:id="13"/>
      <w:r w:rsidR="00491B3A" w:rsidRPr="003568CC">
        <w:t xml:space="preserve"> </w:t>
      </w:r>
    </w:p>
    <w:p w:rsidR="00F63144" w:rsidRPr="0042657B" w:rsidRDefault="00F371CE" w:rsidP="00F63144">
      <w:pPr>
        <w:pStyle w:val="ListParagraph"/>
        <w:keepNext/>
        <w:keepLines/>
        <w:widowControl/>
        <w:numPr>
          <w:ilvl w:val="1"/>
          <w:numId w:val="5"/>
        </w:numPr>
        <w:rPr>
          <w:szCs w:val="22"/>
        </w:rPr>
      </w:pPr>
      <w:r>
        <w:t>A s</w:t>
      </w:r>
      <w:r w:rsidR="00F63144" w:rsidRPr="00D13A3E">
        <w:t>tepped economic evaluation</w:t>
      </w:r>
      <w:r>
        <w:t xml:space="preserve"> was presented in the submission</w:t>
      </w:r>
      <w:r w:rsidR="001D6BD6">
        <w:t>. This was</w:t>
      </w:r>
      <w:r w:rsidR="00F63144" w:rsidRPr="00D13A3E">
        <w:t xml:space="preserve"> based </w:t>
      </w:r>
      <w:r w:rsidR="00F63144">
        <w:t>on the Lehert 2014 meta-analysi</w:t>
      </w:r>
      <w:r w:rsidR="001D6BD6">
        <w:t>s, with</w:t>
      </w:r>
      <w:r w:rsidR="00F63144" w:rsidRPr="00D13A3E">
        <w:t xml:space="preserve"> a modelled evaluation</w:t>
      </w:r>
      <w:r w:rsidR="00F63144">
        <w:t xml:space="preserve"> of cost-effectiveness </w:t>
      </w:r>
      <w:r w:rsidR="001D6BD6">
        <w:t xml:space="preserve">using </w:t>
      </w:r>
      <w:r>
        <w:t>clinical pregnancy</w:t>
      </w:r>
      <w:r w:rsidR="00F63144">
        <w:t xml:space="preserve"> as the outcome</w:t>
      </w:r>
      <w:r>
        <w:t>, and live births as a supplementary outcome</w:t>
      </w:r>
      <w:r w:rsidR="00F63144">
        <w:t>.</w:t>
      </w:r>
      <w:r w:rsidR="008A72FF">
        <w:t xml:space="preserve"> </w:t>
      </w:r>
      <w:r w:rsidR="008A72FF" w:rsidRPr="00327999">
        <w:t xml:space="preserve">The ESC agreed that a cost-effectiveness analysis rather than a cost utility analysis was appropriate but considered live births to be the most relevant outcome. </w:t>
      </w:r>
    </w:p>
    <w:p w:rsidR="0042657B" w:rsidRPr="0042657B" w:rsidRDefault="0042657B" w:rsidP="0042657B">
      <w:pPr>
        <w:pStyle w:val="ListParagraph"/>
        <w:keepNext/>
        <w:keepLines/>
        <w:widowControl/>
        <w:rPr>
          <w:szCs w:val="22"/>
        </w:rPr>
      </w:pPr>
    </w:p>
    <w:p w:rsidR="00F63144" w:rsidRDefault="00F63144" w:rsidP="00F63144">
      <w:pPr>
        <w:ind w:firstLine="720"/>
        <w:rPr>
          <w:rStyle w:val="CommentReference"/>
        </w:rPr>
      </w:pPr>
      <w:r w:rsidRPr="00A56B6A">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the economic model structure"/>
      </w:tblPr>
      <w:tblGrid>
        <w:gridCol w:w="2552"/>
        <w:gridCol w:w="5793"/>
      </w:tblGrid>
      <w:tr w:rsidR="00F63144" w:rsidRPr="00E2771E" w:rsidTr="00993811">
        <w:trPr>
          <w:tblHeader/>
        </w:trPr>
        <w:tc>
          <w:tcPr>
            <w:tcW w:w="1529" w:type="pct"/>
            <w:shd w:val="clear" w:color="auto" w:fill="auto"/>
            <w:vAlign w:val="center"/>
          </w:tcPr>
          <w:p w:rsidR="00F63144" w:rsidRPr="00E2771E" w:rsidRDefault="00F63144" w:rsidP="00993811">
            <w:pPr>
              <w:jc w:val="left"/>
              <w:rPr>
                <w:rFonts w:ascii="Arial Narrow" w:hAnsi="Arial Narrow"/>
                <w:b/>
                <w:sz w:val="20"/>
              </w:rPr>
            </w:pPr>
            <w:r w:rsidRPr="00E2771E">
              <w:rPr>
                <w:rFonts w:ascii="Arial Narrow" w:hAnsi="Arial Narrow"/>
                <w:b/>
                <w:sz w:val="20"/>
              </w:rPr>
              <w:t>Component</w:t>
            </w:r>
          </w:p>
        </w:tc>
        <w:tc>
          <w:tcPr>
            <w:tcW w:w="3471" w:type="pct"/>
            <w:shd w:val="clear" w:color="auto" w:fill="auto"/>
            <w:vAlign w:val="center"/>
          </w:tcPr>
          <w:p w:rsidR="00F63144" w:rsidRPr="00E2771E" w:rsidRDefault="00F63144" w:rsidP="00993811">
            <w:pPr>
              <w:jc w:val="center"/>
              <w:rPr>
                <w:rFonts w:ascii="Arial Narrow" w:hAnsi="Arial Narrow"/>
                <w:b/>
                <w:sz w:val="20"/>
              </w:rPr>
            </w:pPr>
            <w:r w:rsidRPr="00E2771E">
              <w:rPr>
                <w:rFonts w:ascii="Arial Narrow" w:hAnsi="Arial Narrow"/>
                <w:b/>
                <w:sz w:val="20"/>
              </w:rPr>
              <w:t>Summary</w:t>
            </w:r>
          </w:p>
        </w:tc>
      </w:tr>
      <w:tr w:rsidR="00F63144" w:rsidRPr="00E2771E" w:rsidTr="00993811">
        <w:tc>
          <w:tcPr>
            <w:tcW w:w="1529" w:type="pct"/>
            <w:shd w:val="clear" w:color="auto" w:fill="auto"/>
            <w:vAlign w:val="center"/>
          </w:tcPr>
          <w:p w:rsidR="00F63144" w:rsidRPr="00E2771E" w:rsidRDefault="00F63144" w:rsidP="00993811">
            <w:pPr>
              <w:jc w:val="left"/>
              <w:rPr>
                <w:rFonts w:ascii="Arial Narrow" w:hAnsi="Arial Narrow"/>
                <w:sz w:val="20"/>
              </w:rPr>
            </w:pPr>
            <w:r w:rsidRPr="00E2771E">
              <w:rPr>
                <w:rFonts w:ascii="Arial Narrow" w:hAnsi="Arial Narrow"/>
                <w:sz w:val="20"/>
              </w:rPr>
              <w:t>Time horizon</w:t>
            </w:r>
          </w:p>
        </w:tc>
        <w:tc>
          <w:tcPr>
            <w:tcW w:w="3471" w:type="pct"/>
            <w:shd w:val="clear" w:color="auto" w:fill="auto"/>
            <w:vAlign w:val="center"/>
          </w:tcPr>
          <w:p w:rsidR="00F63144" w:rsidRPr="00E2771E" w:rsidRDefault="00F63144" w:rsidP="00993811">
            <w:pPr>
              <w:jc w:val="left"/>
              <w:rPr>
                <w:rFonts w:ascii="Arial Narrow" w:hAnsi="Arial Narrow"/>
                <w:sz w:val="20"/>
              </w:rPr>
            </w:pPr>
            <w:r>
              <w:rPr>
                <w:rFonts w:ascii="Arial Narrow" w:hAnsi="Arial Narrow"/>
                <w:sz w:val="20"/>
              </w:rPr>
              <w:t xml:space="preserve">Up to </w:t>
            </w:r>
            <w:r w:rsidR="00C540E7">
              <w:rPr>
                <w:rFonts w:ascii="Arial Narrow" w:hAnsi="Arial Narrow"/>
                <w:noProof/>
                <w:color w:val="000000"/>
                <w:sz w:val="20"/>
                <w:highlight w:val="black"/>
              </w:rPr>
              <w:t xml:space="preserve">'''' </w:t>
            </w:r>
            <w:r>
              <w:rPr>
                <w:rFonts w:ascii="Arial Narrow" w:hAnsi="Arial Narrow"/>
                <w:sz w:val="20"/>
              </w:rPr>
              <w:t xml:space="preserve">treatment cycles </w:t>
            </w:r>
            <w:r w:rsidRPr="00E2771E">
              <w:rPr>
                <w:rFonts w:ascii="Arial Narrow" w:hAnsi="Arial Narrow"/>
                <w:sz w:val="20"/>
              </w:rPr>
              <w:t xml:space="preserve">in the model base case versus </w:t>
            </w:r>
            <w:r>
              <w:rPr>
                <w:rFonts w:ascii="Arial Narrow" w:hAnsi="Arial Narrow"/>
                <w:sz w:val="20"/>
              </w:rPr>
              <w:t>one cycle in meta-analysis</w:t>
            </w:r>
          </w:p>
        </w:tc>
      </w:tr>
      <w:tr w:rsidR="00F63144" w:rsidRPr="00E2771E" w:rsidTr="00993811">
        <w:tc>
          <w:tcPr>
            <w:tcW w:w="1529" w:type="pct"/>
            <w:shd w:val="clear" w:color="auto" w:fill="auto"/>
            <w:vAlign w:val="center"/>
          </w:tcPr>
          <w:p w:rsidR="00F63144" w:rsidRPr="00E2771E" w:rsidRDefault="00F63144" w:rsidP="00993811">
            <w:pPr>
              <w:jc w:val="left"/>
              <w:rPr>
                <w:rFonts w:ascii="Arial Narrow" w:hAnsi="Arial Narrow"/>
                <w:sz w:val="20"/>
              </w:rPr>
            </w:pPr>
            <w:r w:rsidRPr="00E2771E">
              <w:rPr>
                <w:rFonts w:ascii="Arial Narrow" w:hAnsi="Arial Narrow"/>
                <w:sz w:val="20"/>
              </w:rPr>
              <w:t>Outcomes</w:t>
            </w:r>
          </w:p>
        </w:tc>
        <w:tc>
          <w:tcPr>
            <w:tcW w:w="3471" w:type="pct"/>
            <w:shd w:val="clear" w:color="auto" w:fill="auto"/>
            <w:vAlign w:val="center"/>
          </w:tcPr>
          <w:p w:rsidR="00F63144" w:rsidRPr="00E2771E" w:rsidRDefault="00F63144" w:rsidP="00993811">
            <w:pPr>
              <w:jc w:val="left"/>
              <w:rPr>
                <w:rFonts w:ascii="Arial Narrow" w:hAnsi="Arial Narrow"/>
                <w:sz w:val="20"/>
              </w:rPr>
            </w:pPr>
            <w:r>
              <w:rPr>
                <w:rFonts w:ascii="Arial Narrow" w:hAnsi="Arial Narrow"/>
                <w:sz w:val="20"/>
              </w:rPr>
              <w:t>Clinical pregnancies, live births</w:t>
            </w:r>
          </w:p>
        </w:tc>
      </w:tr>
      <w:tr w:rsidR="00F63144" w:rsidRPr="00E2771E" w:rsidTr="00993811">
        <w:tc>
          <w:tcPr>
            <w:tcW w:w="1529" w:type="pct"/>
            <w:shd w:val="clear" w:color="auto" w:fill="auto"/>
            <w:vAlign w:val="center"/>
          </w:tcPr>
          <w:p w:rsidR="00F63144" w:rsidRPr="00E2771E" w:rsidRDefault="00F63144" w:rsidP="00993811">
            <w:pPr>
              <w:jc w:val="left"/>
              <w:rPr>
                <w:rFonts w:ascii="Arial Narrow" w:hAnsi="Arial Narrow"/>
                <w:sz w:val="20"/>
              </w:rPr>
            </w:pPr>
            <w:r w:rsidRPr="00E2771E">
              <w:rPr>
                <w:rFonts w:ascii="Arial Narrow" w:hAnsi="Arial Narrow"/>
                <w:sz w:val="20"/>
              </w:rPr>
              <w:t>Methods used to generate results</w:t>
            </w:r>
          </w:p>
        </w:tc>
        <w:tc>
          <w:tcPr>
            <w:tcW w:w="3471" w:type="pct"/>
            <w:shd w:val="clear" w:color="auto" w:fill="auto"/>
            <w:vAlign w:val="center"/>
          </w:tcPr>
          <w:p w:rsidR="00F63144" w:rsidRPr="00E2771E" w:rsidRDefault="00F63144" w:rsidP="00993811">
            <w:pPr>
              <w:jc w:val="left"/>
              <w:rPr>
                <w:rFonts w:ascii="Arial Narrow" w:hAnsi="Arial Narrow"/>
                <w:sz w:val="20"/>
              </w:rPr>
            </w:pPr>
            <w:r>
              <w:rPr>
                <w:rFonts w:ascii="Arial Narrow" w:hAnsi="Arial Narrow"/>
                <w:sz w:val="20"/>
              </w:rPr>
              <w:t>Markov cohort expected value analysis</w:t>
            </w:r>
          </w:p>
        </w:tc>
      </w:tr>
      <w:tr w:rsidR="00F63144" w:rsidRPr="00E2771E" w:rsidTr="00993811">
        <w:tc>
          <w:tcPr>
            <w:tcW w:w="1529" w:type="pct"/>
            <w:shd w:val="clear" w:color="auto" w:fill="auto"/>
            <w:vAlign w:val="center"/>
          </w:tcPr>
          <w:p w:rsidR="00F63144" w:rsidRPr="00E2771E" w:rsidRDefault="00F63144" w:rsidP="00993811">
            <w:pPr>
              <w:jc w:val="left"/>
              <w:rPr>
                <w:rFonts w:ascii="Arial Narrow" w:hAnsi="Arial Narrow"/>
                <w:sz w:val="20"/>
              </w:rPr>
            </w:pPr>
            <w:r w:rsidRPr="00E2771E">
              <w:rPr>
                <w:rFonts w:ascii="Arial Narrow" w:hAnsi="Arial Narrow"/>
                <w:sz w:val="20"/>
              </w:rPr>
              <w:t>Health states</w:t>
            </w:r>
          </w:p>
        </w:tc>
        <w:tc>
          <w:tcPr>
            <w:tcW w:w="3471" w:type="pct"/>
            <w:shd w:val="clear" w:color="auto" w:fill="auto"/>
            <w:vAlign w:val="center"/>
          </w:tcPr>
          <w:p w:rsidR="00F63144" w:rsidRPr="00E2771E" w:rsidRDefault="00A9437F" w:rsidP="00993811">
            <w:pPr>
              <w:jc w:val="left"/>
              <w:rPr>
                <w:rFonts w:ascii="Arial Narrow" w:hAnsi="Arial Narrow"/>
                <w:sz w:val="20"/>
              </w:rPr>
            </w:pPr>
            <w:r>
              <w:rPr>
                <w:rFonts w:ascii="Arial Narrow" w:hAnsi="Arial Narrow"/>
                <w:sz w:val="20"/>
              </w:rPr>
              <w:t>Start fresh cycle, live birth, discontinue IVF</w:t>
            </w:r>
          </w:p>
        </w:tc>
      </w:tr>
      <w:tr w:rsidR="00F63144" w:rsidRPr="00E2771E" w:rsidTr="00993811">
        <w:tc>
          <w:tcPr>
            <w:tcW w:w="1529" w:type="pct"/>
            <w:shd w:val="clear" w:color="auto" w:fill="auto"/>
            <w:vAlign w:val="center"/>
          </w:tcPr>
          <w:p w:rsidR="00F63144" w:rsidRPr="00E2771E" w:rsidRDefault="00F63144" w:rsidP="00993811">
            <w:pPr>
              <w:jc w:val="left"/>
              <w:rPr>
                <w:rFonts w:ascii="Arial Narrow" w:hAnsi="Arial Narrow"/>
                <w:sz w:val="20"/>
              </w:rPr>
            </w:pPr>
            <w:r w:rsidRPr="00E2771E">
              <w:rPr>
                <w:rFonts w:ascii="Arial Narrow" w:hAnsi="Arial Narrow"/>
                <w:sz w:val="20"/>
              </w:rPr>
              <w:t>Cycle length</w:t>
            </w:r>
          </w:p>
        </w:tc>
        <w:tc>
          <w:tcPr>
            <w:tcW w:w="3471" w:type="pct"/>
            <w:shd w:val="clear" w:color="auto" w:fill="auto"/>
            <w:vAlign w:val="center"/>
          </w:tcPr>
          <w:p w:rsidR="00F63144" w:rsidRPr="00E2771E" w:rsidRDefault="00F63144" w:rsidP="00993811">
            <w:pPr>
              <w:jc w:val="left"/>
              <w:rPr>
                <w:rFonts w:ascii="Arial Narrow" w:hAnsi="Arial Narrow"/>
                <w:sz w:val="20"/>
              </w:rPr>
            </w:pPr>
            <w:r>
              <w:rPr>
                <w:rFonts w:ascii="Arial Narrow" w:hAnsi="Arial Narrow"/>
                <w:sz w:val="20"/>
              </w:rPr>
              <w:t>Unspecified and variable</w:t>
            </w:r>
          </w:p>
        </w:tc>
      </w:tr>
      <w:tr w:rsidR="00F63144" w:rsidRPr="00E2771E" w:rsidTr="00993811">
        <w:tc>
          <w:tcPr>
            <w:tcW w:w="1529" w:type="pct"/>
            <w:shd w:val="clear" w:color="auto" w:fill="auto"/>
            <w:vAlign w:val="center"/>
          </w:tcPr>
          <w:p w:rsidR="00F63144" w:rsidRPr="00E2771E" w:rsidRDefault="00F63144" w:rsidP="00993811">
            <w:pPr>
              <w:jc w:val="left"/>
              <w:rPr>
                <w:rFonts w:ascii="Arial Narrow" w:hAnsi="Arial Narrow"/>
                <w:sz w:val="20"/>
              </w:rPr>
            </w:pPr>
            <w:r w:rsidRPr="00E2771E">
              <w:rPr>
                <w:rFonts w:ascii="Arial Narrow" w:hAnsi="Arial Narrow"/>
                <w:sz w:val="20"/>
              </w:rPr>
              <w:t>Transition probabilities</w:t>
            </w:r>
          </w:p>
        </w:tc>
        <w:tc>
          <w:tcPr>
            <w:tcW w:w="3471" w:type="pct"/>
            <w:shd w:val="clear" w:color="auto" w:fill="auto"/>
            <w:vAlign w:val="center"/>
          </w:tcPr>
          <w:p w:rsidR="00F63144" w:rsidRPr="00E2771E" w:rsidRDefault="00F63144" w:rsidP="008A72FF">
            <w:pPr>
              <w:jc w:val="left"/>
              <w:rPr>
                <w:rFonts w:ascii="Arial Narrow" w:hAnsi="Arial Narrow"/>
                <w:sz w:val="20"/>
              </w:rPr>
            </w:pPr>
            <w:r>
              <w:rPr>
                <w:rFonts w:ascii="Arial Narrow" w:hAnsi="Arial Narrow"/>
                <w:sz w:val="20"/>
              </w:rPr>
              <w:t xml:space="preserve">Probability of OHSS, clinical pregnancy, live birth, miscarriage, discontinuation of IVF for non-medical reasons </w:t>
            </w:r>
          </w:p>
        </w:tc>
      </w:tr>
    </w:tbl>
    <w:p w:rsidR="00F63144" w:rsidRPr="00275C5A" w:rsidRDefault="00F63144" w:rsidP="00F63144">
      <w:pPr>
        <w:pStyle w:val="TableFooter"/>
        <w:ind w:firstLine="720"/>
      </w:pPr>
      <w:r w:rsidRPr="00275C5A">
        <w:t>Source: compiled during the evaluation</w:t>
      </w:r>
    </w:p>
    <w:p w:rsidR="00275C5A" w:rsidRPr="00275C5A" w:rsidRDefault="00275C5A" w:rsidP="00275C5A">
      <w:pPr>
        <w:widowControl/>
        <w:rPr>
          <w:szCs w:val="22"/>
        </w:rPr>
      </w:pPr>
    </w:p>
    <w:p w:rsidR="00275C5A" w:rsidRPr="003C50BB" w:rsidRDefault="00F371CE" w:rsidP="007F37E3">
      <w:pPr>
        <w:pStyle w:val="ListParagraph"/>
        <w:widowControl/>
        <w:numPr>
          <w:ilvl w:val="1"/>
          <w:numId w:val="5"/>
        </w:numPr>
        <w:rPr>
          <w:szCs w:val="22"/>
        </w:rPr>
      </w:pPr>
      <w:r w:rsidRPr="003C50BB">
        <w:t xml:space="preserve">The model was most sensitive to </w:t>
      </w:r>
      <w:r w:rsidR="003C50BB" w:rsidRPr="003C50BB">
        <w:t>the duration of lutropin alfa treatment in each cycle.</w:t>
      </w:r>
    </w:p>
    <w:p w:rsidR="00251FD2" w:rsidRDefault="00251FD2">
      <w:pPr>
        <w:widowControl/>
        <w:jc w:val="left"/>
        <w:rPr>
          <w:rStyle w:val="CommentReference"/>
        </w:rPr>
      </w:pPr>
    </w:p>
    <w:p w:rsidR="00F63144" w:rsidRDefault="00F63144" w:rsidP="00F63144">
      <w:pPr>
        <w:ind w:firstLine="720"/>
        <w:rPr>
          <w:rStyle w:val="CommentReference"/>
        </w:rPr>
      </w:pPr>
      <w:r w:rsidRPr="001222FC">
        <w:rPr>
          <w:rStyle w:val="CommentReference"/>
        </w:rPr>
        <w:t>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2552"/>
        <w:gridCol w:w="2268"/>
        <w:gridCol w:w="2126"/>
        <w:gridCol w:w="1399"/>
      </w:tblGrid>
      <w:tr w:rsidR="00F63144" w:rsidRPr="004E2ADC" w:rsidTr="00C63214">
        <w:trPr>
          <w:tblHeader/>
        </w:trPr>
        <w:tc>
          <w:tcPr>
            <w:tcW w:w="1529" w:type="pct"/>
            <w:vAlign w:val="center"/>
          </w:tcPr>
          <w:p w:rsidR="00F63144" w:rsidRPr="004E2ADC" w:rsidRDefault="00F63144" w:rsidP="00993811">
            <w:pPr>
              <w:jc w:val="left"/>
              <w:rPr>
                <w:rFonts w:ascii="Arial Narrow" w:hAnsi="Arial Narrow" w:cs="Times New Roman"/>
                <w:b/>
                <w:sz w:val="20"/>
              </w:rPr>
            </w:pPr>
            <w:r w:rsidRPr="004E2ADC">
              <w:rPr>
                <w:rFonts w:ascii="Arial Narrow" w:hAnsi="Arial Narrow" w:cs="Times New Roman"/>
                <w:b/>
                <w:sz w:val="20"/>
              </w:rPr>
              <w:t>Step and component</w:t>
            </w:r>
          </w:p>
        </w:tc>
        <w:tc>
          <w:tcPr>
            <w:tcW w:w="1359" w:type="pct"/>
          </w:tcPr>
          <w:p w:rsidR="00F63144" w:rsidRPr="004E2ADC" w:rsidRDefault="00F63144" w:rsidP="00993811">
            <w:pPr>
              <w:jc w:val="center"/>
              <w:rPr>
                <w:rFonts w:ascii="Arial Narrow" w:hAnsi="Arial Narrow" w:cs="Times New Roman"/>
                <w:b/>
                <w:sz w:val="20"/>
              </w:rPr>
            </w:pPr>
            <w:r>
              <w:rPr>
                <w:rFonts w:ascii="Arial Narrow" w:hAnsi="Arial Narrow" w:cs="Times New Roman"/>
                <w:b/>
                <w:sz w:val="20"/>
              </w:rPr>
              <w:t>Lutropin alfa + rFSH</w:t>
            </w:r>
          </w:p>
        </w:tc>
        <w:tc>
          <w:tcPr>
            <w:tcW w:w="1274" w:type="pct"/>
            <w:vAlign w:val="center"/>
          </w:tcPr>
          <w:p w:rsidR="00F63144" w:rsidRPr="004E2ADC" w:rsidRDefault="00F63144" w:rsidP="00993811">
            <w:pPr>
              <w:jc w:val="center"/>
              <w:rPr>
                <w:rFonts w:ascii="Arial Narrow" w:hAnsi="Arial Narrow" w:cs="Times New Roman"/>
                <w:b/>
                <w:sz w:val="20"/>
              </w:rPr>
            </w:pPr>
            <w:r>
              <w:rPr>
                <w:rFonts w:ascii="Arial Narrow" w:hAnsi="Arial Narrow" w:cs="Times New Roman"/>
                <w:b/>
                <w:sz w:val="20"/>
              </w:rPr>
              <w:t>rFSH</w:t>
            </w:r>
          </w:p>
        </w:tc>
        <w:tc>
          <w:tcPr>
            <w:tcW w:w="838" w:type="pct"/>
          </w:tcPr>
          <w:p w:rsidR="00F63144" w:rsidRPr="004E2ADC" w:rsidRDefault="00F63144" w:rsidP="00993811">
            <w:pPr>
              <w:jc w:val="center"/>
              <w:rPr>
                <w:rFonts w:ascii="Arial Narrow" w:hAnsi="Arial Narrow" w:cs="Times New Roman"/>
                <w:b/>
                <w:sz w:val="20"/>
              </w:rPr>
            </w:pPr>
            <w:r w:rsidRPr="004E2ADC">
              <w:rPr>
                <w:rFonts w:ascii="Arial Narrow" w:hAnsi="Arial Narrow" w:cs="Times New Roman"/>
                <w:b/>
                <w:sz w:val="20"/>
              </w:rPr>
              <w:t>Increment</w:t>
            </w:r>
          </w:p>
        </w:tc>
      </w:tr>
      <w:tr w:rsidR="00F63144" w:rsidRPr="004E2ADC" w:rsidTr="00993811">
        <w:tc>
          <w:tcPr>
            <w:tcW w:w="5000" w:type="pct"/>
            <w:gridSpan w:val="4"/>
            <w:vAlign w:val="center"/>
          </w:tcPr>
          <w:p w:rsidR="00F63144" w:rsidRPr="004E2ADC" w:rsidRDefault="00F63144" w:rsidP="00993811">
            <w:pPr>
              <w:keepNext/>
              <w:jc w:val="left"/>
              <w:rPr>
                <w:rFonts w:ascii="Arial Narrow" w:hAnsi="Arial Narrow" w:cs="Arial Narrow"/>
                <w:b/>
                <w:bCs/>
                <w:sz w:val="20"/>
              </w:rPr>
            </w:pPr>
            <w:r w:rsidRPr="004E2ADC">
              <w:rPr>
                <w:rFonts w:ascii="Arial Narrow" w:hAnsi="Arial Narrow" w:cs="Arial Narrow"/>
                <w:b/>
                <w:bCs/>
                <w:sz w:val="20"/>
              </w:rPr>
              <w:t>Step 1: trial-based costs and outcomes</w:t>
            </w:r>
            <w:r>
              <w:rPr>
                <w:rFonts w:ascii="Arial Narrow" w:hAnsi="Arial Narrow" w:cs="Arial Narrow"/>
                <w:b/>
                <w:bCs/>
                <w:sz w:val="20"/>
              </w:rPr>
              <w:t xml:space="preserve"> (1 cycle)</w:t>
            </w:r>
          </w:p>
        </w:tc>
      </w:tr>
      <w:tr w:rsidR="00F63144" w:rsidRPr="004E2ADC" w:rsidTr="00993811">
        <w:tc>
          <w:tcPr>
            <w:tcW w:w="1529" w:type="pct"/>
            <w:vAlign w:val="center"/>
          </w:tcPr>
          <w:p w:rsidR="00F63144" w:rsidRPr="004E2ADC" w:rsidRDefault="00F63144" w:rsidP="00993811">
            <w:pPr>
              <w:jc w:val="left"/>
              <w:rPr>
                <w:rFonts w:ascii="Arial Narrow" w:hAnsi="Arial Narrow" w:cs="Times New Roman"/>
                <w:sz w:val="20"/>
              </w:rPr>
            </w:pPr>
            <w:r w:rsidRPr="004E2ADC">
              <w:rPr>
                <w:rFonts w:ascii="Arial Narrow" w:hAnsi="Arial Narrow" w:cs="Times New Roman"/>
                <w:sz w:val="20"/>
              </w:rPr>
              <w:t>Costs</w:t>
            </w:r>
          </w:p>
        </w:tc>
        <w:tc>
          <w:tcPr>
            <w:tcW w:w="1359" w:type="pct"/>
          </w:tcPr>
          <w:p w:rsidR="00F63144" w:rsidRPr="004E2ADC" w:rsidRDefault="00F63144" w:rsidP="00993811">
            <w:pPr>
              <w:jc w:val="center"/>
              <w:rPr>
                <w:rFonts w:ascii="Arial Narrow" w:hAnsi="Arial Narrow" w:cs="Times New Roman"/>
                <w:sz w:val="20"/>
              </w:rPr>
            </w:pPr>
            <w:r w:rsidRPr="004E2ADC">
              <w:rPr>
                <w:rFonts w:ascii="Arial Narrow" w:hAnsi="Arial Narrow" w:cs="Times New Roman"/>
                <w:sz w:val="20"/>
              </w:rPr>
              <w:t>$</w:t>
            </w:r>
            <w:r w:rsidR="00C540E7">
              <w:rPr>
                <w:rFonts w:ascii="Arial Narrow" w:hAnsi="Arial Narrow" w:cs="Times New Roman"/>
                <w:noProof/>
                <w:color w:val="000000"/>
                <w:sz w:val="20"/>
                <w:highlight w:val="black"/>
              </w:rPr>
              <w:t>'''''''''''''''''''</w:t>
            </w:r>
          </w:p>
        </w:tc>
        <w:tc>
          <w:tcPr>
            <w:tcW w:w="1274" w:type="pct"/>
            <w:vAlign w:val="center"/>
          </w:tcPr>
          <w:p w:rsidR="00F63144" w:rsidRPr="004E2ADC" w:rsidRDefault="00F63144" w:rsidP="00993811">
            <w:pPr>
              <w:jc w:val="center"/>
              <w:rPr>
                <w:rFonts w:ascii="Arial Narrow" w:hAnsi="Arial Narrow" w:cs="Times New Roman"/>
                <w:sz w:val="20"/>
              </w:rPr>
            </w:pPr>
            <w:r w:rsidRPr="004E2ADC">
              <w:rPr>
                <w:rFonts w:ascii="Arial Narrow" w:hAnsi="Arial Narrow" w:cs="Times New Roman"/>
                <w:sz w:val="20"/>
              </w:rPr>
              <w:t>$</w:t>
            </w:r>
            <w:r w:rsidR="00C540E7">
              <w:rPr>
                <w:rFonts w:ascii="Arial Narrow" w:hAnsi="Arial Narrow" w:cs="Times New Roman"/>
                <w:noProof/>
                <w:color w:val="000000"/>
                <w:sz w:val="20"/>
                <w:highlight w:val="black"/>
              </w:rPr>
              <w:t>''''''''''''''''''''</w:t>
            </w:r>
          </w:p>
        </w:tc>
        <w:tc>
          <w:tcPr>
            <w:tcW w:w="838" w:type="pct"/>
            <w:vAlign w:val="center"/>
          </w:tcPr>
          <w:p w:rsidR="00F63144" w:rsidRPr="004E2ADC" w:rsidRDefault="00F63144" w:rsidP="00993811">
            <w:pPr>
              <w:jc w:val="center"/>
              <w:rPr>
                <w:rFonts w:ascii="Arial Narrow" w:hAnsi="Arial Narrow" w:cs="Times New Roman"/>
                <w:sz w:val="20"/>
              </w:rPr>
            </w:pPr>
            <w:r w:rsidRPr="004E2ADC">
              <w:rPr>
                <w:rFonts w:ascii="Arial Narrow" w:hAnsi="Arial Narrow" w:cs="Times New Roman"/>
                <w:sz w:val="20"/>
              </w:rPr>
              <w:t>$</w:t>
            </w:r>
            <w:r w:rsidR="00C540E7">
              <w:rPr>
                <w:rFonts w:ascii="Arial Narrow" w:hAnsi="Arial Narrow" w:cs="Times New Roman"/>
                <w:noProof/>
                <w:color w:val="000000"/>
                <w:sz w:val="20"/>
                <w:highlight w:val="black"/>
              </w:rPr>
              <w:t>''''''''''''''''</w:t>
            </w:r>
          </w:p>
        </w:tc>
      </w:tr>
      <w:tr w:rsidR="00F63144" w:rsidRPr="004E2ADC" w:rsidTr="00993811">
        <w:tc>
          <w:tcPr>
            <w:tcW w:w="1529" w:type="pct"/>
            <w:vAlign w:val="center"/>
          </w:tcPr>
          <w:p w:rsidR="00F63144" w:rsidRPr="004E2ADC" w:rsidRDefault="00F63144" w:rsidP="00993811">
            <w:pPr>
              <w:jc w:val="left"/>
              <w:rPr>
                <w:rFonts w:ascii="Arial Narrow" w:hAnsi="Arial Narrow" w:cs="Times New Roman"/>
                <w:sz w:val="20"/>
              </w:rPr>
            </w:pPr>
            <w:r>
              <w:rPr>
                <w:rFonts w:ascii="Arial Narrow" w:hAnsi="Arial Narrow" w:cs="Times New Roman"/>
                <w:sz w:val="20"/>
              </w:rPr>
              <w:t>Clinical pregnancy</w:t>
            </w:r>
          </w:p>
        </w:tc>
        <w:tc>
          <w:tcPr>
            <w:tcW w:w="1359" w:type="pct"/>
          </w:tcPr>
          <w:p w:rsidR="00F63144" w:rsidRPr="004E2ADC" w:rsidRDefault="00F63144" w:rsidP="00993811">
            <w:pPr>
              <w:jc w:val="center"/>
              <w:rPr>
                <w:rFonts w:ascii="Arial Narrow" w:hAnsi="Arial Narrow" w:cs="Times New Roman"/>
                <w:sz w:val="20"/>
              </w:rPr>
            </w:pPr>
            <w:r>
              <w:rPr>
                <w:rFonts w:ascii="Arial Narrow" w:hAnsi="Arial Narrow" w:cs="Times New Roman"/>
                <w:sz w:val="20"/>
              </w:rPr>
              <w:t>0.253</w:t>
            </w:r>
          </w:p>
        </w:tc>
        <w:tc>
          <w:tcPr>
            <w:tcW w:w="1274" w:type="pct"/>
            <w:vAlign w:val="center"/>
          </w:tcPr>
          <w:p w:rsidR="00F63144" w:rsidRPr="004E2ADC" w:rsidRDefault="00F63144" w:rsidP="00993811">
            <w:pPr>
              <w:jc w:val="center"/>
              <w:rPr>
                <w:rFonts w:ascii="Arial Narrow" w:hAnsi="Arial Narrow" w:cs="Times New Roman"/>
                <w:sz w:val="20"/>
              </w:rPr>
            </w:pPr>
            <w:r>
              <w:rPr>
                <w:rFonts w:ascii="Arial Narrow" w:hAnsi="Arial Narrow" w:cs="Times New Roman"/>
                <w:sz w:val="20"/>
              </w:rPr>
              <w:t>0.193</w:t>
            </w:r>
          </w:p>
        </w:tc>
        <w:tc>
          <w:tcPr>
            <w:tcW w:w="838" w:type="pct"/>
            <w:vAlign w:val="center"/>
          </w:tcPr>
          <w:p w:rsidR="00F63144" w:rsidRPr="004E2ADC" w:rsidRDefault="00F63144" w:rsidP="00993811">
            <w:pPr>
              <w:jc w:val="center"/>
              <w:rPr>
                <w:rFonts w:ascii="Arial Narrow" w:hAnsi="Arial Narrow" w:cs="Times New Roman"/>
                <w:sz w:val="20"/>
              </w:rPr>
            </w:pPr>
            <w:r>
              <w:rPr>
                <w:rFonts w:ascii="Arial Narrow" w:hAnsi="Arial Narrow" w:cs="Times New Roman"/>
                <w:sz w:val="20"/>
              </w:rPr>
              <w:t>0.060</w:t>
            </w:r>
          </w:p>
        </w:tc>
      </w:tr>
      <w:tr w:rsidR="00F63144" w:rsidRPr="004E2ADC" w:rsidTr="00993811">
        <w:tc>
          <w:tcPr>
            <w:tcW w:w="4162" w:type="pct"/>
            <w:gridSpan w:val="3"/>
            <w:vAlign w:val="center"/>
          </w:tcPr>
          <w:p w:rsidR="00F63144" w:rsidRPr="004E2ADC" w:rsidRDefault="00F63144" w:rsidP="00993811">
            <w:pPr>
              <w:jc w:val="left"/>
              <w:rPr>
                <w:rFonts w:ascii="Arial Narrow" w:hAnsi="Arial Narrow" w:cs="Times New Roman"/>
                <w:sz w:val="20"/>
              </w:rPr>
            </w:pPr>
            <w:r w:rsidRPr="004E2ADC">
              <w:rPr>
                <w:rFonts w:ascii="Arial Narrow" w:hAnsi="Arial Narrow" w:cs="Times New Roman"/>
                <w:b/>
                <w:snapToGrid/>
                <w:sz w:val="20"/>
              </w:rPr>
              <w:t xml:space="preserve">Incremental cost/extra </w:t>
            </w:r>
            <w:r>
              <w:rPr>
                <w:rFonts w:ascii="Arial Narrow" w:hAnsi="Arial Narrow" w:cs="Times New Roman"/>
                <w:b/>
                <w:snapToGrid/>
                <w:sz w:val="20"/>
              </w:rPr>
              <w:t>clinical pregnancy</w:t>
            </w:r>
            <w:r w:rsidRPr="004E2ADC">
              <w:rPr>
                <w:rFonts w:ascii="Arial Narrow" w:hAnsi="Arial Narrow" w:cs="Times New Roman"/>
                <w:b/>
                <w:snapToGrid/>
                <w:sz w:val="20"/>
              </w:rPr>
              <w:t xml:space="preserve"> gained</w:t>
            </w:r>
            <w:r>
              <w:rPr>
                <w:rFonts w:ascii="Arial Narrow" w:hAnsi="Arial Narrow" w:cs="Times New Roman"/>
                <w:b/>
                <w:snapToGrid/>
                <w:sz w:val="20"/>
              </w:rPr>
              <w:t xml:space="preserve"> after 1 cycle</w:t>
            </w:r>
          </w:p>
        </w:tc>
        <w:tc>
          <w:tcPr>
            <w:tcW w:w="838" w:type="pct"/>
          </w:tcPr>
          <w:p w:rsidR="00F63144" w:rsidRPr="004E2ADC" w:rsidRDefault="00F63144" w:rsidP="00993811">
            <w:pPr>
              <w:jc w:val="center"/>
              <w:rPr>
                <w:rFonts w:ascii="Arial Narrow" w:hAnsi="Arial Narrow" w:cs="Times New Roman"/>
                <w:sz w:val="20"/>
              </w:rPr>
            </w:pPr>
            <w:r w:rsidRPr="004E2ADC">
              <w:rPr>
                <w:rFonts w:ascii="Arial Narrow" w:hAnsi="Arial Narrow" w:cs="Times New Roman"/>
                <w:b/>
                <w:sz w:val="20"/>
              </w:rPr>
              <w:t>$</w:t>
            </w:r>
            <w:r w:rsidR="00C540E7">
              <w:rPr>
                <w:rFonts w:ascii="Arial Narrow" w:hAnsi="Arial Narrow" w:cs="Times New Roman"/>
                <w:b/>
                <w:noProof/>
                <w:color w:val="000000"/>
                <w:sz w:val="20"/>
                <w:highlight w:val="black"/>
              </w:rPr>
              <w:t>''''''''''''''''''</w:t>
            </w:r>
          </w:p>
        </w:tc>
      </w:tr>
      <w:tr w:rsidR="00F63144" w:rsidRPr="004E2ADC" w:rsidTr="00993811">
        <w:tc>
          <w:tcPr>
            <w:tcW w:w="5000" w:type="pct"/>
            <w:gridSpan w:val="4"/>
            <w:vAlign w:val="center"/>
          </w:tcPr>
          <w:p w:rsidR="00F63144" w:rsidRPr="004E2ADC" w:rsidRDefault="00F63144" w:rsidP="00993811">
            <w:pPr>
              <w:keepNext/>
              <w:jc w:val="left"/>
              <w:rPr>
                <w:rFonts w:ascii="Arial Narrow" w:hAnsi="Arial Narrow" w:cs="Arial Narrow"/>
                <w:b/>
                <w:bCs/>
                <w:sz w:val="20"/>
              </w:rPr>
            </w:pPr>
            <w:r w:rsidRPr="004E2ADC">
              <w:rPr>
                <w:rFonts w:ascii="Arial Narrow" w:hAnsi="Arial Narrow" w:cs="Arial Narrow"/>
                <w:b/>
                <w:bCs/>
                <w:sz w:val="20"/>
              </w:rPr>
              <w:t xml:space="preserve">Step 2: </w:t>
            </w:r>
            <w:r>
              <w:rPr>
                <w:rFonts w:ascii="Arial Narrow" w:hAnsi="Arial Narrow" w:cs="Arial Narrow"/>
                <w:b/>
                <w:bCs/>
                <w:sz w:val="20"/>
              </w:rPr>
              <w:t xml:space="preserve">base-case modelled evaluation (maximum of </w:t>
            </w:r>
            <w:r w:rsidR="00C540E7">
              <w:rPr>
                <w:rFonts w:ascii="Arial Narrow" w:hAnsi="Arial Narrow" w:cs="Arial Narrow"/>
                <w:b/>
                <w:bCs/>
                <w:noProof/>
                <w:color w:val="000000"/>
                <w:sz w:val="20"/>
                <w:highlight w:val="black"/>
              </w:rPr>
              <w:t>''</w:t>
            </w:r>
            <w:r>
              <w:rPr>
                <w:rFonts w:ascii="Arial Narrow" w:hAnsi="Arial Narrow" w:cs="Arial Narrow"/>
                <w:b/>
                <w:bCs/>
                <w:sz w:val="20"/>
              </w:rPr>
              <w:t xml:space="preserve"> cycles)</w:t>
            </w:r>
          </w:p>
        </w:tc>
      </w:tr>
      <w:tr w:rsidR="00F63144" w:rsidRPr="004E2ADC" w:rsidTr="00993811">
        <w:tc>
          <w:tcPr>
            <w:tcW w:w="1529" w:type="pct"/>
            <w:vAlign w:val="center"/>
          </w:tcPr>
          <w:p w:rsidR="00F63144" w:rsidRPr="004E2ADC" w:rsidRDefault="00F63144" w:rsidP="00993811">
            <w:pPr>
              <w:jc w:val="left"/>
              <w:rPr>
                <w:rFonts w:ascii="Arial Narrow" w:hAnsi="Arial Narrow" w:cs="Times New Roman"/>
                <w:sz w:val="20"/>
              </w:rPr>
            </w:pPr>
            <w:r w:rsidRPr="004E2ADC">
              <w:rPr>
                <w:rFonts w:ascii="Arial Narrow" w:hAnsi="Arial Narrow" w:cs="Times New Roman"/>
                <w:sz w:val="20"/>
              </w:rPr>
              <w:t>Costs</w:t>
            </w:r>
          </w:p>
        </w:tc>
        <w:tc>
          <w:tcPr>
            <w:tcW w:w="1359" w:type="pct"/>
          </w:tcPr>
          <w:p w:rsidR="00F63144" w:rsidRPr="004E2ADC" w:rsidRDefault="00F63144" w:rsidP="00993811">
            <w:pPr>
              <w:jc w:val="center"/>
              <w:rPr>
                <w:rFonts w:ascii="Arial Narrow" w:hAnsi="Arial Narrow" w:cs="Times New Roman"/>
                <w:sz w:val="20"/>
              </w:rPr>
            </w:pPr>
            <w:r w:rsidRPr="004E2ADC">
              <w:rPr>
                <w:rFonts w:ascii="Arial Narrow" w:hAnsi="Arial Narrow" w:cs="Times New Roman"/>
                <w:sz w:val="20"/>
              </w:rPr>
              <w:t>$</w:t>
            </w:r>
            <w:r w:rsidR="00C540E7">
              <w:rPr>
                <w:rFonts w:ascii="Arial Narrow" w:hAnsi="Arial Narrow" w:cs="Times New Roman"/>
                <w:noProof/>
                <w:color w:val="000000"/>
                <w:sz w:val="20"/>
                <w:highlight w:val="black"/>
              </w:rPr>
              <w:t>'''''''''''''''''''''''''</w:t>
            </w:r>
          </w:p>
        </w:tc>
        <w:tc>
          <w:tcPr>
            <w:tcW w:w="1274" w:type="pct"/>
            <w:vAlign w:val="center"/>
          </w:tcPr>
          <w:p w:rsidR="00F63144" w:rsidRPr="004E2ADC" w:rsidRDefault="00F63144" w:rsidP="00993811">
            <w:pPr>
              <w:jc w:val="center"/>
              <w:rPr>
                <w:rFonts w:ascii="Arial Narrow" w:hAnsi="Arial Narrow" w:cs="Times New Roman"/>
                <w:sz w:val="20"/>
              </w:rPr>
            </w:pPr>
            <w:r w:rsidRPr="004E2ADC">
              <w:rPr>
                <w:rFonts w:ascii="Arial Narrow" w:hAnsi="Arial Narrow" w:cs="Times New Roman"/>
                <w:sz w:val="20"/>
              </w:rPr>
              <w:t>$</w:t>
            </w:r>
            <w:r w:rsidR="00C540E7">
              <w:rPr>
                <w:rFonts w:ascii="Arial Narrow" w:hAnsi="Arial Narrow" w:cs="Times New Roman"/>
                <w:noProof/>
                <w:color w:val="000000"/>
                <w:sz w:val="20"/>
                <w:highlight w:val="black"/>
              </w:rPr>
              <w:t>'''''''''''''''''''''''</w:t>
            </w:r>
          </w:p>
        </w:tc>
        <w:tc>
          <w:tcPr>
            <w:tcW w:w="838" w:type="pct"/>
          </w:tcPr>
          <w:p w:rsidR="00F63144" w:rsidRPr="004E2ADC" w:rsidRDefault="00C540E7" w:rsidP="00993811">
            <w:pPr>
              <w:jc w:val="center"/>
              <w:rPr>
                <w:rFonts w:ascii="Arial Narrow" w:hAnsi="Arial Narrow" w:cs="Times New Roman"/>
                <w:sz w:val="20"/>
              </w:rPr>
            </w:pPr>
            <w:r>
              <w:rPr>
                <w:rFonts w:ascii="Arial Narrow" w:hAnsi="Arial Narrow" w:cs="Times New Roman"/>
                <w:noProof/>
                <w:color w:val="000000"/>
                <w:sz w:val="20"/>
                <w:highlight w:val="black"/>
              </w:rPr>
              <w:t>''</w:t>
            </w:r>
            <w:r w:rsidR="00F63144" w:rsidRPr="004E2ADC">
              <w:rPr>
                <w:rFonts w:ascii="Arial Narrow" w:hAnsi="Arial Narrow" w:cs="Times New Roman"/>
                <w:sz w:val="20"/>
              </w:rPr>
              <w:t>$</w:t>
            </w:r>
            <w:r>
              <w:rPr>
                <w:rFonts w:ascii="Arial Narrow" w:hAnsi="Arial Narrow" w:cs="Times New Roman"/>
                <w:noProof/>
                <w:color w:val="000000"/>
                <w:sz w:val="20"/>
                <w:highlight w:val="black"/>
              </w:rPr>
              <w:t>'''''''''''</w:t>
            </w:r>
          </w:p>
        </w:tc>
      </w:tr>
      <w:tr w:rsidR="00F63144" w:rsidRPr="004E2ADC" w:rsidTr="00993811">
        <w:tc>
          <w:tcPr>
            <w:tcW w:w="1529" w:type="pct"/>
            <w:vAlign w:val="center"/>
          </w:tcPr>
          <w:p w:rsidR="00F63144" w:rsidRPr="004E2ADC" w:rsidRDefault="00F63144" w:rsidP="00993811">
            <w:pPr>
              <w:jc w:val="left"/>
              <w:rPr>
                <w:rFonts w:ascii="Arial Narrow" w:hAnsi="Arial Narrow" w:cs="Times New Roman"/>
                <w:sz w:val="20"/>
              </w:rPr>
            </w:pPr>
            <w:r>
              <w:rPr>
                <w:rFonts w:ascii="Arial Narrow" w:hAnsi="Arial Narrow" w:cs="Times New Roman"/>
                <w:sz w:val="20"/>
              </w:rPr>
              <w:t>Clinical pregnancy</w:t>
            </w:r>
          </w:p>
        </w:tc>
        <w:tc>
          <w:tcPr>
            <w:tcW w:w="1359" w:type="pct"/>
          </w:tcPr>
          <w:p w:rsidR="00F63144" w:rsidRPr="004E2ADC" w:rsidRDefault="00F63144" w:rsidP="00993811">
            <w:pPr>
              <w:jc w:val="center"/>
              <w:rPr>
                <w:rFonts w:ascii="Arial Narrow" w:hAnsi="Arial Narrow" w:cs="Times New Roman"/>
                <w:sz w:val="20"/>
              </w:rPr>
            </w:pPr>
            <w:r>
              <w:rPr>
                <w:rFonts w:ascii="Arial Narrow" w:hAnsi="Arial Narrow" w:cs="Times New Roman"/>
                <w:sz w:val="20"/>
              </w:rPr>
              <w:t>0.501</w:t>
            </w:r>
          </w:p>
        </w:tc>
        <w:tc>
          <w:tcPr>
            <w:tcW w:w="1274" w:type="pct"/>
            <w:vAlign w:val="center"/>
          </w:tcPr>
          <w:p w:rsidR="00F63144" w:rsidRPr="004E2ADC" w:rsidRDefault="00F63144" w:rsidP="00993811">
            <w:pPr>
              <w:jc w:val="center"/>
              <w:rPr>
                <w:rFonts w:ascii="Arial Narrow" w:hAnsi="Arial Narrow" w:cs="Times New Roman"/>
                <w:sz w:val="20"/>
              </w:rPr>
            </w:pPr>
            <w:r>
              <w:rPr>
                <w:rFonts w:ascii="Arial Narrow" w:hAnsi="Arial Narrow" w:cs="Times New Roman"/>
                <w:sz w:val="20"/>
              </w:rPr>
              <w:t>0.413</w:t>
            </w:r>
          </w:p>
        </w:tc>
        <w:tc>
          <w:tcPr>
            <w:tcW w:w="838" w:type="pct"/>
          </w:tcPr>
          <w:p w:rsidR="00F63144" w:rsidRPr="004E2ADC" w:rsidRDefault="00F63144" w:rsidP="00993811">
            <w:pPr>
              <w:jc w:val="center"/>
              <w:rPr>
                <w:rFonts w:ascii="Arial Narrow" w:hAnsi="Arial Narrow" w:cs="Times New Roman"/>
                <w:sz w:val="20"/>
              </w:rPr>
            </w:pPr>
            <w:r>
              <w:rPr>
                <w:rFonts w:ascii="Arial Narrow" w:hAnsi="Arial Narrow" w:cs="Times New Roman"/>
                <w:sz w:val="20"/>
              </w:rPr>
              <w:t>0.089</w:t>
            </w:r>
          </w:p>
        </w:tc>
      </w:tr>
      <w:tr w:rsidR="00F63144" w:rsidRPr="004E2ADC" w:rsidTr="00993811">
        <w:trPr>
          <w:trHeight w:val="70"/>
        </w:trPr>
        <w:tc>
          <w:tcPr>
            <w:tcW w:w="4162" w:type="pct"/>
            <w:gridSpan w:val="3"/>
            <w:vAlign w:val="center"/>
          </w:tcPr>
          <w:p w:rsidR="00F63144" w:rsidRPr="004E2ADC" w:rsidRDefault="00F63144" w:rsidP="00993811">
            <w:pPr>
              <w:jc w:val="left"/>
              <w:rPr>
                <w:rFonts w:ascii="Arial Narrow" w:hAnsi="Arial Narrow" w:cs="Times New Roman"/>
                <w:sz w:val="20"/>
              </w:rPr>
            </w:pPr>
            <w:r w:rsidRPr="004E2ADC">
              <w:rPr>
                <w:rFonts w:ascii="Arial Narrow" w:hAnsi="Arial Narrow" w:cs="Times New Roman"/>
                <w:b/>
                <w:snapToGrid/>
                <w:sz w:val="20"/>
              </w:rPr>
              <w:t xml:space="preserve">Incremental cost/extra </w:t>
            </w:r>
            <w:r>
              <w:rPr>
                <w:rFonts w:ascii="Arial Narrow" w:hAnsi="Arial Narrow" w:cs="Times New Roman"/>
                <w:b/>
                <w:snapToGrid/>
                <w:sz w:val="20"/>
              </w:rPr>
              <w:t>clinical pregnancy</w:t>
            </w:r>
            <w:r w:rsidRPr="004E2ADC">
              <w:rPr>
                <w:rFonts w:ascii="Arial Narrow" w:hAnsi="Arial Narrow" w:cs="Times New Roman"/>
                <w:b/>
                <w:snapToGrid/>
                <w:sz w:val="20"/>
              </w:rPr>
              <w:t xml:space="preserve"> gained</w:t>
            </w:r>
            <w:r>
              <w:rPr>
                <w:rFonts w:ascii="Arial Narrow" w:hAnsi="Arial Narrow" w:cs="Times New Roman"/>
                <w:b/>
                <w:snapToGrid/>
                <w:sz w:val="20"/>
              </w:rPr>
              <w:t xml:space="preserve"> after maximum of </w:t>
            </w:r>
            <w:r w:rsidR="00C540E7">
              <w:rPr>
                <w:rFonts w:ascii="Arial Narrow" w:hAnsi="Arial Narrow" w:cs="Times New Roman"/>
                <w:b/>
                <w:noProof/>
                <w:snapToGrid/>
                <w:color w:val="000000"/>
                <w:sz w:val="20"/>
                <w:highlight w:val="black"/>
              </w:rPr>
              <w:t>'''</w:t>
            </w:r>
            <w:r>
              <w:rPr>
                <w:rFonts w:ascii="Arial Narrow" w:hAnsi="Arial Narrow" w:cs="Times New Roman"/>
                <w:b/>
                <w:snapToGrid/>
                <w:sz w:val="20"/>
              </w:rPr>
              <w:t xml:space="preserve"> cycles</w:t>
            </w:r>
            <w:r w:rsidR="008021A6">
              <w:rPr>
                <w:rFonts w:ascii="Arial Narrow" w:hAnsi="Arial Narrow" w:cs="Times New Roman"/>
                <w:b/>
                <w:snapToGrid/>
                <w:sz w:val="20"/>
              </w:rPr>
              <w:t>*</w:t>
            </w:r>
          </w:p>
        </w:tc>
        <w:tc>
          <w:tcPr>
            <w:tcW w:w="838" w:type="pct"/>
          </w:tcPr>
          <w:p w:rsidR="00F63144" w:rsidRPr="004E2ADC" w:rsidRDefault="00F77A64" w:rsidP="00993811">
            <w:pPr>
              <w:jc w:val="center"/>
              <w:rPr>
                <w:rFonts w:ascii="Arial Narrow" w:hAnsi="Arial Narrow" w:cs="Times New Roman"/>
                <w:sz w:val="20"/>
              </w:rPr>
            </w:pPr>
            <w:r>
              <w:rPr>
                <w:rFonts w:ascii="Arial Narrow" w:hAnsi="Arial Narrow" w:cs="Times New Roman"/>
                <w:b/>
                <w:sz w:val="20"/>
              </w:rPr>
              <w:t>D</w:t>
            </w:r>
            <w:r w:rsidR="00F63144">
              <w:rPr>
                <w:rFonts w:ascii="Arial Narrow" w:hAnsi="Arial Narrow" w:cs="Times New Roman"/>
                <w:b/>
                <w:sz w:val="20"/>
              </w:rPr>
              <w:t>ominates</w:t>
            </w:r>
          </w:p>
        </w:tc>
      </w:tr>
      <w:tr w:rsidR="00F63144" w:rsidRPr="004E2ADC" w:rsidTr="00993811">
        <w:tc>
          <w:tcPr>
            <w:tcW w:w="5000" w:type="pct"/>
            <w:gridSpan w:val="4"/>
            <w:vAlign w:val="center"/>
          </w:tcPr>
          <w:p w:rsidR="00F63144" w:rsidRPr="004E2ADC" w:rsidRDefault="00F63144" w:rsidP="00993811">
            <w:pPr>
              <w:keepNext/>
              <w:jc w:val="left"/>
              <w:rPr>
                <w:rFonts w:ascii="Arial Narrow" w:hAnsi="Arial Narrow" w:cs="Arial Narrow"/>
                <w:b/>
                <w:bCs/>
                <w:sz w:val="20"/>
              </w:rPr>
            </w:pPr>
            <w:r w:rsidRPr="004E2ADC">
              <w:rPr>
                <w:rFonts w:ascii="Arial Narrow" w:hAnsi="Arial Narrow" w:cs="Arial Narrow"/>
                <w:b/>
                <w:bCs/>
                <w:sz w:val="20"/>
              </w:rPr>
              <w:t xml:space="preserve">Step 3: </w:t>
            </w:r>
            <w:r>
              <w:rPr>
                <w:rFonts w:ascii="Arial Narrow" w:hAnsi="Arial Narrow" w:cs="Arial Narrow"/>
                <w:b/>
                <w:bCs/>
                <w:sz w:val="20"/>
              </w:rPr>
              <w:t xml:space="preserve">supplementary </w:t>
            </w:r>
            <w:r w:rsidRPr="004E2ADC">
              <w:rPr>
                <w:rFonts w:ascii="Arial Narrow" w:hAnsi="Arial Narrow" w:cs="Arial Narrow"/>
                <w:b/>
                <w:bCs/>
                <w:sz w:val="20"/>
              </w:rPr>
              <w:t>modelled evaluation (</w:t>
            </w:r>
            <w:r>
              <w:rPr>
                <w:rFonts w:ascii="Arial Narrow" w:hAnsi="Arial Narrow" w:cs="Arial Narrow"/>
                <w:b/>
                <w:bCs/>
                <w:sz w:val="20"/>
              </w:rPr>
              <w:t xml:space="preserve">live births, maximum of </w:t>
            </w:r>
            <w:r w:rsidR="00C540E7">
              <w:rPr>
                <w:rFonts w:ascii="Arial Narrow" w:hAnsi="Arial Narrow" w:cs="Arial Narrow"/>
                <w:b/>
                <w:bCs/>
                <w:noProof/>
                <w:color w:val="000000"/>
                <w:sz w:val="20"/>
                <w:highlight w:val="black"/>
              </w:rPr>
              <w:t>'''</w:t>
            </w:r>
            <w:r>
              <w:rPr>
                <w:rFonts w:ascii="Arial Narrow" w:hAnsi="Arial Narrow" w:cs="Arial Narrow"/>
                <w:b/>
                <w:bCs/>
                <w:sz w:val="20"/>
              </w:rPr>
              <w:t xml:space="preserve"> cycles</w:t>
            </w:r>
            <w:r w:rsidRPr="004E2ADC">
              <w:rPr>
                <w:rFonts w:ascii="Arial Narrow" w:hAnsi="Arial Narrow" w:cs="Arial Narrow"/>
                <w:b/>
                <w:bCs/>
                <w:sz w:val="20"/>
              </w:rPr>
              <w:t>)</w:t>
            </w:r>
          </w:p>
        </w:tc>
      </w:tr>
      <w:tr w:rsidR="00F63144" w:rsidRPr="004E2ADC" w:rsidTr="00993811">
        <w:tc>
          <w:tcPr>
            <w:tcW w:w="1529" w:type="pct"/>
            <w:vAlign w:val="center"/>
          </w:tcPr>
          <w:p w:rsidR="00F63144" w:rsidRPr="004E2ADC" w:rsidRDefault="00F63144" w:rsidP="00993811">
            <w:pPr>
              <w:jc w:val="left"/>
              <w:rPr>
                <w:rFonts w:ascii="Arial Narrow" w:hAnsi="Arial Narrow" w:cs="Times New Roman"/>
                <w:sz w:val="20"/>
              </w:rPr>
            </w:pPr>
            <w:r w:rsidRPr="004E2ADC">
              <w:rPr>
                <w:rFonts w:ascii="Arial Narrow" w:hAnsi="Arial Narrow" w:cs="Times New Roman"/>
                <w:sz w:val="20"/>
              </w:rPr>
              <w:t>Costs</w:t>
            </w:r>
          </w:p>
        </w:tc>
        <w:tc>
          <w:tcPr>
            <w:tcW w:w="1359" w:type="pct"/>
          </w:tcPr>
          <w:p w:rsidR="00F63144" w:rsidRPr="004E2ADC" w:rsidRDefault="00F63144" w:rsidP="00993811">
            <w:pPr>
              <w:jc w:val="center"/>
              <w:rPr>
                <w:rFonts w:ascii="Arial Narrow" w:hAnsi="Arial Narrow" w:cs="Times New Roman"/>
                <w:sz w:val="20"/>
              </w:rPr>
            </w:pPr>
            <w:r w:rsidRPr="004E2ADC">
              <w:rPr>
                <w:rFonts w:ascii="Arial Narrow" w:hAnsi="Arial Narrow" w:cs="Times New Roman"/>
                <w:sz w:val="20"/>
              </w:rPr>
              <w:t>$</w:t>
            </w:r>
            <w:r w:rsidR="00C540E7">
              <w:rPr>
                <w:rFonts w:ascii="Arial Narrow" w:hAnsi="Arial Narrow" w:cs="Times New Roman"/>
                <w:noProof/>
                <w:color w:val="000000"/>
                <w:sz w:val="20"/>
                <w:highlight w:val="black"/>
              </w:rPr>
              <w:t>''''''''''''''''''''''</w:t>
            </w:r>
          </w:p>
        </w:tc>
        <w:tc>
          <w:tcPr>
            <w:tcW w:w="1274" w:type="pct"/>
            <w:vAlign w:val="center"/>
          </w:tcPr>
          <w:p w:rsidR="00F63144" w:rsidRPr="004E2ADC" w:rsidRDefault="00F63144" w:rsidP="00993811">
            <w:pPr>
              <w:jc w:val="center"/>
              <w:rPr>
                <w:rFonts w:ascii="Arial Narrow" w:hAnsi="Arial Narrow" w:cs="Times New Roman"/>
                <w:sz w:val="20"/>
              </w:rPr>
            </w:pPr>
            <w:r w:rsidRPr="004E2ADC">
              <w:rPr>
                <w:rFonts w:ascii="Arial Narrow" w:hAnsi="Arial Narrow" w:cs="Times New Roman"/>
                <w:sz w:val="20"/>
              </w:rPr>
              <w:t>$</w:t>
            </w:r>
            <w:r w:rsidR="00C540E7">
              <w:rPr>
                <w:rFonts w:ascii="Arial Narrow" w:hAnsi="Arial Narrow" w:cs="Times New Roman"/>
                <w:noProof/>
                <w:color w:val="000000"/>
                <w:sz w:val="20"/>
                <w:highlight w:val="black"/>
              </w:rPr>
              <w:t>'''''''''''''''''''''</w:t>
            </w:r>
          </w:p>
        </w:tc>
        <w:tc>
          <w:tcPr>
            <w:tcW w:w="838" w:type="pct"/>
          </w:tcPr>
          <w:p w:rsidR="00F63144" w:rsidRPr="004E2ADC" w:rsidRDefault="00F63144" w:rsidP="00993811">
            <w:pPr>
              <w:jc w:val="center"/>
              <w:rPr>
                <w:rFonts w:ascii="Arial Narrow" w:hAnsi="Arial Narrow" w:cs="Times New Roman"/>
                <w:sz w:val="20"/>
              </w:rPr>
            </w:pPr>
            <w:r w:rsidRPr="004E2ADC">
              <w:rPr>
                <w:rFonts w:ascii="Arial Narrow" w:hAnsi="Arial Narrow" w:cs="Times New Roman"/>
                <w:sz w:val="20"/>
              </w:rPr>
              <w:t>$</w:t>
            </w:r>
            <w:r w:rsidR="00C540E7">
              <w:rPr>
                <w:rFonts w:ascii="Arial Narrow" w:hAnsi="Arial Narrow" w:cs="Times New Roman"/>
                <w:noProof/>
                <w:color w:val="000000"/>
                <w:sz w:val="20"/>
                <w:highlight w:val="black"/>
              </w:rPr>
              <w:t>''''''''''''''''</w:t>
            </w:r>
          </w:p>
        </w:tc>
      </w:tr>
      <w:tr w:rsidR="00F63144" w:rsidRPr="004E2ADC" w:rsidTr="00993811">
        <w:tc>
          <w:tcPr>
            <w:tcW w:w="1529" w:type="pct"/>
            <w:vAlign w:val="center"/>
          </w:tcPr>
          <w:p w:rsidR="00F63144" w:rsidRPr="004E2ADC" w:rsidRDefault="00F63144" w:rsidP="00993811">
            <w:pPr>
              <w:jc w:val="left"/>
              <w:rPr>
                <w:rFonts w:ascii="Arial Narrow" w:hAnsi="Arial Narrow" w:cs="Times New Roman"/>
                <w:sz w:val="20"/>
              </w:rPr>
            </w:pPr>
            <w:r>
              <w:rPr>
                <w:rFonts w:ascii="Arial Narrow" w:hAnsi="Arial Narrow" w:cs="Times New Roman"/>
                <w:sz w:val="20"/>
              </w:rPr>
              <w:lastRenderedPageBreak/>
              <w:t>Live births</w:t>
            </w:r>
            <w:r w:rsidR="003D4952">
              <w:rPr>
                <w:rFonts w:ascii="Arial Narrow" w:hAnsi="Arial Narrow" w:cs="Times New Roman"/>
                <w:sz w:val="20"/>
              </w:rPr>
              <w:t>**</w:t>
            </w:r>
          </w:p>
        </w:tc>
        <w:tc>
          <w:tcPr>
            <w:tcW w:w="1359" w:type="pct"/>
          </w:tcPr>
          <w:p w:rsidR="00F63144" w:rsidRPr="004E2ADC" w:rsidRDefault="00F63144" w:rsidP="00993811">
            <w:pPr>
              <w:jc w:val="center"/>
              <w:rPr>
                <w:rFonts w:ascii="Arial Narrow" w:hAnsi="Arial Narrow" w:cs="Times New Roman"/>
                <w:sz w:val="20"/>
              </w:rPr>
            </w:pPr>
            <w:r>
              <w:rPr>
                <w:rFonts w:ascii="Arial Narrow" w:hAnsi="Arial Narrow" w:cs="Times New Roman"/>
                <w:sz w:val="20"/>
              </w:rPr>
              <w:t>0.413</w:t>
            </w:r>
          </w:p>
        </w:tc>
        <w:tc>
          <w:tcPr>
            <w:tcW w:w="1274" w:type="pct"/>
            <w:vAlign w:val="center"/>
          </w:tcPr>
          <w:p w:rsidR="00F63144" w:rsidRPr="004E2ADC" w:rsidRDefault="00F63144" w:rsidP="00993811">
            <w:pPr>
              <w:jc w:val="center"/>
              <w:rPr>
                <w:rFonts w:ascii="Arial Narrow" w:hAnsi="Arial Narrow" w:cs="Times New Roman"/>
                <w:sz w:val="20"/>
              </w:rPr>
            </w:pPr>
            <w:r>
              <w:rPr>
                <w:rFonts w:ascii="Arial Narrow" w:hAnsi="Arial Narrow" w:cs="Times New Roman"/>
                <w:sz w:val="20"/>
              </w:rPr>
              <w:t>0.33</w:t>
            </w:r>
            <w:r w:rsidR="002432AF">
              <w:rPr>
                <w:rFonts w:ascii="Arial Narrow" w:hAnsi="Arial Narrow" w:cs="Times New Roman"/>
                <w:sz w:val="20"/>
              </w:rPr>
              <w:t>6</w:t>
            </w:r>
          </w:p>
        </w:tc>
        <w:tc>
          <w:tcPr>
            <w:tcW w:w="838" w:type="pct"/>
          </w:tcPr>
          <w:p w:rsidR="00F63144" w:rsidRPr="004E2ADC" w:rsidRDefault="00F63144" w:rsidP="00993811">
            <w:pPr>
              <w:jc w:val="center"/>
              <w:rPr>
                <w:rFonts w:ascii="Arial Narrow" w:hAnsi="Arial Narrow" w:cs="Times New Roman"/>
                <w:sz w:val="20"/>
              </w:rPr>
            </w:pPr>
            <w:r>
              <w:rPr>
                <w:rFonts w:ascii="Arial Narrow" w:hAnsi="Arial Narrow" w:cs="Times New Roman"/>
                <w:sz w:val="20"/>
              </w:rPr>
              <w:t>0.078</w:t>
            </w:r>
          </w:p>
        </w:tc>
      </w:tr>
      <w:tr w:rsidR="00F63144" w:rsidRPr="004E2ADC" w:rsidTr="00993811">
        <w:tc>
          <w:tcPr>
            <w:tcW w:w="4162" w:type="pct"/>
            <w:gridSpan w:val="3"/>
            <w:vAlign w:val="center"/>
          </w:tcPr>
          <w:p w:rsidR="00F63144" w:rsidRPr="004E2ADC" w:rsidRDefault="00F63144" w:rsidP="00993811">
            <w:pPr>
              <w:jc w:val="left"/>
              <w:rPr>
                <w:rFonts w:ascii="Arial Narrow" w:hAnsi="Arial Narrow" w:cs="Times New Roman"/>
                <w:b/>
                <w:sz w:val="20"/>
              </w:rPr>
            </w:pPr>
            <w:r w:rsidRPr="004E2ADC">
              <w:rPr>
                <w:rFonts w:ascii="Arial Narrow" w:hAnsi="Arial Narrow" w:cs="Times New Roman"/>
                <w:b/>
                <w:sz w:val="20"/>
              </w:rPr>
              <w:t xml:space="preserve">Incremental cost/extra </w:t>
            </w:r>
            <w:r>
              <w:rPr>
                <w:rFonts w:ascii="Arial Narrow" w:hAnsi="Arial Narrow" w:cs="Times New Roman"/>
                <w:b/>
                <w:sz w:val="20"/>
              </w:rPr>
              <w:t>live birth</w:t>
            </w:r>
            <w:r w:rsidRPr="004E2ADC">
              <w:rPr>
                <w:rFonts w:ascii="Arial Narrow" w:hAnsi="Arial Narrow" w:cs="Times New Roman"/>
                <w:b/>
                <w:sz w:val="20"/>
              </w:rPr>
              <w:t xml:space="preserve"> gained</w:t>
            </w:r>
            <w:r>
              <w:rPr>
                <w:rFonts w:ascii="Arial Narrow" w:hAnsi="Arial Narrow" w:cs="Times New Roman"/>
                <w:b/>
                <w:sz w:val="20"/>
              </w:rPr>
              <w:t xml:space="preserve"> after maximum of </w:t>
            </w:r>
            <w:r w:rsidR="00C540E7">
              <w:rPr>
                <w:rFonts w:ascii="Arial Narrow" w:hAnsi="Arial Narrow" w:cs="Times New Roman"/>
                <w:b/>
                <w:noProof/>
                <w:color w:val="000000"/>
                <w:sz w:val="20"/>
                <w:highlight w:val="black"/>
              </w:rPr>
              <w:t xml:space="preserve">''' </w:t>
            </w:r>
            <w:r>
              <w:rPr>
                <w:rFonts w:ascii="Arial Narrow" w:hAnsi="Arial Narrow" w:cs="Times New Roman"/>
                <w:b/>
                <w:sz w:val="20"/>
              </w:rPr>
              <w:t>cycles</w:t>
            </w:r>
            <w:r w:rsidR="008021A6">
              <w:rPr>
                <w:rFonts w:ascii="Arial Narrow" w:hAnsi="Arial Narrow" w:cs="Times New Roman"/>
                <w:b/>
                <w:sz w:val="20"/>
              </w:rPr>
              <w:t>*</w:t>
            </w:r>
          </w:p>
        </w:tc>
        <w:tc>
          <w:tcPr>
            <w:tcW w:w="838" w:type="pct"/>
          </w:tcPr>
          <w:p w:rsidR="00F63144" w:rsidRPr="004E2ADC" w:rsidRDefault="00F63144" w:rsidP="00993811">
            <w:pPr>
              <w:jc w:val="center"/>
              <w:rPr>
                <w:rFonts w:ascii="Arial Narrow" w:hAnsi="Arial Narrow" w:cs="Times New Roman"/>
                <w:b/>
                <w:sz w:val="20"/>
              </w:rPr>
            </w:pPr>
            <w:r w:rsidRPr="00A2637A">
              <w:rPr>
                <w:rFonts w:ascii="Arial Narrow" w:hAnsi="Arial Narrow" w:cs="Times New Roman"/>
                <w:b/>
                <w:sz w:val="20"/>
              </w:rPr>
              <w:t>$</w:t>
            </w:r>
            <w:r w:rsidR="00C540E7">
              <w:rPr>
                <w:rFonts w:ascii="Arial Narrow" w:hAnsi="Arial Narrow" w:cs="Times New Roman"/>
                <w:b/>
                <w:noProof/>
                <w:color w:val="000000"/>
                <w:sz w:val="20"/>
                <w:highlight w:val="black"/>
              </w:rPr>
              <w:t>''''''''''''''''''</w:t>
            </w:r>
          </w:p>
        </w:tc>
      </w:tr>
    </w:tbl>
    <w:p w:rsidR="00F63144" w:rsidRPr="0042657B" w:rsidRDefault="00F63144" w:rsidP="00F63144">
      <w:pPr>
        <w:pStyle w:val="TableFooter"/>
        <w:ind w:left="709"/>
      </w:pPr>
      <w:r w:rsidRPr="0042657B">
        <w:t>Source: Table D.5.1, p93; Table D.5.2, Table D.5.3, Table D.5.4, p94 of the submission</w:t>
      </w:r>
    </w:p>
    <w:p w:rsidR="008021A6" w:rsidRPr="0042657B" w:rsidRDefault="008021A6" w:rsidP="00F63144">
      <w:pPr>
        <w:pStyle w:val="TableFooter"/>
        <w:ind w:left="709"/>
      </w:pPr>
      <w:r w:rsidRPr="0042657B">
        <w:t xml:space="preserve">* The modelled evaluation of clinical pregnancies and live births uses a maximum of </w:t>
      </w:r>
      <w:r w:rsidR="00C540E7">
        <w:rPr>
          <w:noProof/>
          <w:color w:val="000000"/>
          <w:highlight w:val="black"/>
        </w:rPr>
        <w:t>'''''''''''''</w:t>
      </w:r>
      <w:r w:rsidRPr="007B4A53">
        <w:t xml:space="preserve"> IVF</w:t>
      </w:r>
      <w:r w:rsidRPr="0042657B">
        <w:t xml:space="preserve"> cycles, but with patient dropouts the number of cycles averages 2.32 for the lutropin alfa + rFSH group and 2.53 for the rFSH only group in the base case modelled evaluation (clinical pregnancy outcome). The Australian average number of cycles is 2.55 per patient, from the UNSW ART in ANZ 2011 report.</w:t>
      </w:r>
    </w:p>
    <w:p w:rsidR="003D4952" w:rsidRPr="0042657B" w:rsidRDefault="003D4952" w:rsidP="00F63144">
      <w:pPr>
        <w:pStyle w:val="TableFooter"/>
        <w:ind w:left="709"/>
      </w:pPr>
      <w:r w:rsidRPr="0042657B">
        <w:t xml:space="preserve">** The model assumes that the probability of converting from clinical pregnancy to live birth is the same in both treatment arms </w:t>
      </w:r>
      <w:r w:rsidRPr="005D0B2D">
        <w:t>(</w:t>
      </w:r>
      <w:r w:rsidR="00C540E7">
        <w:rPr>
          <w:noProof/>
          <w:color w:val="000000"/>
          <w:highlight w:val="black"/>
        </w:rPr>
        <w:t>''''''''''</w:t>
      </w:r>
      <w:r w:rsidRPr="0042657B">
        <w:t>%). This may be a conservative assumption given the (non-statistically significant) 30% increase in live birth rate reported for rLH. (PSCR, p3).</w:t>
      </w:r>
    </w:p>
    <w:p w:rsidR="00F63144" w:rsidRDefault="00F63144" w:rsidP="00F63144">
      <w:pPr>
        <w:widowControl/>
        <w:rPr>
          <w:szCs w:val="22"/>
        </w:rPr>
      </w:pPr>
    </w:p>
    <w:p w:rsidR="003D4952" w:rsidRPr="00327999" w:rsidRDefault="003D4952" w:rsidP="007F37E3">
      <w:pPr>
        <w:pStyle w:val="ListParagraph"/>
        <w:widowControl/>
        <w:numPr>
          <w:ilvl w:val="1"/>
          <w:numId w:val="5"/>
        </w:numPr>
        <w:rPr>
          <w:szCs w:val="22"/>
        </w:rPr>
      </w:pPr>
      <w:r w:rsidRPr="00327999">
        <w:rPr>
          <w:szCs w:val="22"/>
        </w:rPr>
        <w:t xml:space="preserve">The ESC noted the </w:t>
      </w:r>
      <w:r w:rsidRPr="00327999">
        <w:t>additional estimates for the ICERs provided in the P</w:t>
      </w:r>
      <w:r w:rsidR="0042657B">
        <w:t xml:space="preserve">re </w:t>
      </w:r>
      <w:r w:rsidRPr="00327999">
        <w:t>S</w:t>
      </w:r>
      <w:r w:rsidR="0042657B">
        <w:t>ub-</w:t>
      </w:r>
      <w:r w:rsidRPr="00327999">
        <w:t>C</w:t>
      </w:r>
      <w:r w:rsidR="0042657B">
        <w:t xml:space="preserve">ommittee </w:t>
      </w:r>
      <w:r w:rsidRPr="00327999">
        <w:t>R</w:t>
      </w:r>
      <w:r w:rsidR="0042657B">
        <w:t>esponse</w:t>
      </w:r>
      <w:r w:rsidR="00795B63" w:rsidRPr="00327999">
        <w:t xml:space="preserve"> </w:t>
      </w:r>
      <w:r w:rsidR="001D6BD6">
        <w:t>were</w:t>
      </w:r>
      <w:r w:rsidRPr="00327999">
        <w:t xml:space="preserve"> not materially different</w:t>
      </w:r>
      <w:r w:rsidR="001D6BD6">
        <w:t xml:space="preserve"> to those in the submission</w:t>
      </w:r>
      <w:r w:rsidRPr="00327999">
        <w:t>.</w:t>
      </w:r>
    </w:p>
    <w:p w:rsidR="00F63144" w:rsidRPr="00A86E8B" w:rsidRDefault="00F63144" w:rsidP="00F63144">
      <w:pPr>
        <w:widowControl/>
        <w:rPr>
          <w:szCs w:val="22"/>
        </w:rPr>
      </w:pPr>
    </w:p>
    <w:p w:rsidR="00F63144" w:rsidRPr="002C2775" w:rsidRDefault="00F63144" w:rsidP="00F63144">
      <w:pPr>
        <w:pStyle w:val="Heading2"/>
        <w:rPr>
          <w:i/>
          <w:szCs w:val="22"/>
        </w:rPr>
      </w:pPr>
      <w:bookmarkStart w:id="14" w:name="_Toc408213177"/>
      <w:bookmarkStart w:id="15" w:name="_Toc408922680"/>
      <w:r w:rsidRPr="00160144">
        <w:t>Drug cost/patient/cycle:</w:t>
      </w:r>
      <w:r>
        <w:rPr>
          <w:i/>
        </w:rPr>
        <w:t xml:space="preserve"> </w:t>
      </w:r>
      <w:r w:rsidRPr="00850923">
        <w:rPr>
          <w:b w:val="0"/>
          <w:szCs w:val="22"/>
        </w:rPr>
        <w:t>approximately $</w:t>
      </w:r>
      <w:r w:rsidR="00C540E7">
        <w:rPr>
          <w:b w:val="0"/>
          <w:noProof/>
          <w:color w:val="000000"/>
          <w:szCs w:val="22"/>
          <w:highlight w:val="black"/>
        </w:rPr>
        <w:t>''''''''''''''''''</w:t>
      </w:r>
      <w:r w:rsidRPr="00850923">
        <w:rPr>
          <w:b w:val="0"/>
          <w:szCs w:val="22"/>
        </w:rPr>
        <w:t xml:space="preserve"> (75IU/day x </w:t>
      </w:r>
      <w:r w:rsidR="00C540E7">
        <w:rPr>
          <w:b w:val="0"/>
          <w:noProof/>
          <w:color w:val="000000"/>
          <w:szCs w:val="22"/>
          <w:highlight w:val="black"/>
        </w:rPr>
        <w:t>''''</w:t>
      </w:r>
      <w:r w:rsidRPr="00850923">
        <w:rPr>
          <w:b w:val="0"/>
          <w:szCs w:val="22"/>
        </w:rPr>
        <w:t xml:space="preserve"> days)</w:t>
      </w:r>
      <w:bookmarkEnd w:id="14"/>
      <w:bookmarkEnd w:id="15"/>
    </w:p>
    <w:p w:rsidR="00F63144" w:rsidRPr="00C25D9C" w:rsidRDefault="00F63144" w:rsidP="00F63144">
      <w:pPr>
        <w:widowControl/>
        <w:rPr>
          <w:szCs w:val="22"/>
        </w:rPr>
      </w:pPr>
    </w:p>
    <w:p w:rsidR="00FD3309" w:rsidRDefault="00F63144" w:rsidP="00FD3309">
      <w:pPr>
        <w:pStyle w:val="ListParagraph"/>
        <w:numPr>
          <w:ilvl w:val="1"/>
          <w:numId w:val="5"/>
        </w:numPr>
        <w:rPr>
          <w:i/>
          <w:szCs w:val="22"/>
        </w:rPr>
      </w:pPr>
      <w:r w:rsidRPr="00FD3309">
        <w:rPr>
          <w:szCs w:val="22"/>
        </w:rPr>
        <w:t xml:space="preserve">The dose and duration of treatment with lutropin alfa is </w:t>
      </w:r>
      <w:r w:rsidR="001D6BD6">
        <w:rPr>
          <w:szCs w:val="22"/>
        </w:rPr>
        <w:t xml:space="preserve">individualised. </w:t>
      </w:r>
      <w:r w:rsidR="009D7681">
        <w:rPr>
          <w:szCs w:val="22"/>
        </w:rPr>
        <w:t>The t</w:t>
      </w:r>
      <w:r w:rsidRPr="00FD3309">
        <w:rPr>
          <w:szCs w:val="22"/>
        </w:rPr>
        <w:t xml:space="preserve">reatment duration in </w:t>
      </w:r>
      <w:r w:rsidR="002807A7" w:rsidRPr="00FD3309">
        <w:rPr>
          <w:szCs w:val="22"/>
        </w:rPr>
        <w:t xml:space="preserve">the Lehert 2014 meta-analysis averaged </w:t>
      </w:r>
      <w:r w:rsidR="00C540E7">
        <w:rPr>
          <w:noProof/>
          <w:color w:val="000000"/>
          <w:szCs w:val="22"/>
          <w:highlight w:val="black"/>
        </w:rPr>
        <w:t>'''</w:t>
      </w:r>
      <w:r w:rsidR="002807A7" w:rsidRPr="00FD3309">
        <w:rPr>
          <w:szCs w:val="22"/>
        </w:rPr>
        <w:t xml:space="preserve"> days.</w:t>
      </w:r>
      <w:r w:rsidRPr="00FD3309">
        <w:rPr>
          <w:szCs w:val="22"/>
        </w:rPr>
        <w:t xml:space="preserve"> </w:t>
      </w:r>
      <w:r w:rsidR="002807A7" w:rsidRPr="00FD3309">
        <w:rPr>
          <w:szCs w:val="22"/>
        </w:rPr>
        <w:t>T</w:t>
      </w:r>
      <w:r w:rsidRPr="00FD3309">
        <w:rPr>
          <w:szCs w:val="22"/>
        </w:rPr>
        <w:t>he daily dose may</w:t>
      </w:r>
      <w:r w:rsidR="002807A7" w:rsidRPr="00FD3309">
        <w:rPr>
          <w:szCs w:val="22"/>
        </w:rPr>
        <w:t xml:space="preserve"> also</w:t>
      </w:r>
      <w:r w:rsidRPr="00FD3309">
        <w:rPr>
          <w:szCs w:val="22"/>
        </w:rPr>
        <w:t xml:space="preserve"> vary</w:t>
      </w:r>
      <w:r w:rsidR="002807A7" w:rsidRPr="00FD3309">
        <w:rPr>
          <w:szCs w:val="22"/>
        </w:rPr>
        <w:t xml:space="preserve"> </w:t>
      </w:r>
      <w:r w:rsidR="009D7681">
        <w:rPr>
          <w:szCs w:val="22"/>
        </w:rPr>
        <w:t>for each</w:t>
      </w:r>
      <w:r w:rsidR="002807A7" w:rsidRPr="00FD3309">
        <w:rPr>
          <w:szCs w:val="22"/>
        </w:rPr>
        <w:t xml:space="preserve"> patient</w:t>
      </w:r>
      <w:r w:rsidR="009D7681">
        <w:rPr>
          <w:szCs w:val="22"/>
        </w:rPr>
        <w:t>;</w:t>
      </w:r>
      <w:r w:rsidRPr="00FD3309">
        <w:rPr>
          <w:szCs w:val="22"/>
        </w:rPr>
        <w:t xml:space="preserve"> the recommended starting dose is 75IU per day. </w:t>
      </w:r>
      <w:r w:rsidR="00FD3309" w:rsidRPr="00327999">
        <w:rPr>
          <w:szCs w:val="22"/>
        </w:rPr>
        <w:t xml:space="preserve">The range of doses in the studies </w:t>
      </w:r>
      <w:r w:rsidR="009D7681">
        <w:rPr>
          <w:szCs w:val="22"/>
        </w:rPr>
        <w:t xml:space="preserve">submitted </w:t>
      </w:r>
      <w:r w:rsidR="00FD3309" w:rsidRPr="00327999">
        <w:rPr>
          <w:szCs w:val="22"/>
        </w:rPr>
        <w:t xml:space="preserve">is from 75 units to 600 units. </w:t>
      </w:r>
      <w:r w:rsidR="00FD3309" w:rsidRPr="00327999">
        <w:t>The range of rFSH and lutropin alfa doses used in the trials is consistent with the heterogeneity of treatment practice for assisted reproductive technology.</w:t>
      </w:r>
    </w:p>
    <w:p w:rsidR="00FD3309" w:rsidRPr="00FD3309" w:rsidRDefault="00FD3309" w:rsidP="00FD3309">
      <w:pPr>
        <w:pStyle w:val="ListParagraph"/>
        <w:rPr>
          <w:i/>
          <w:szCs w:val="22"/>
        </w:rPr>
      </w:pPr>
    </w:p>
    <w:p w:rsidR="00F63144" w:rsidRDefault="00F63144" w:rsidP="00F63144">
      <w:pPr>
        <w:pStyle w:val="ListParagraph"/>
        <w:widowControl/>
        <w:numPr>
          <w:ilvl w:val="1"/>
          <w:numId w:val="5"/>
        </w:numPr>
        <w:rPr>
          <w:szCs w:val="22"/>
        </w:rPr>
      </w:pPr>
      <w:r w:rsidRPr="003568CC">
        <w:rPr>
          <w:szCs w:val="22"/>
        </w:rPr>
        <w:t>The number of treatment</w:t>
      </w:r>
      <w:r w:rsidR="002807A7" w:rsidRPr="003568CC">
        <w:rPr>
          <w:szCs w:val="22"/>
        </w:rPr>
        <w:t xml:space="preserve"> cycles also varies </w:t>
      </w:r>
      <w:r w:rsidR="009D7681" w:rsidRPr="003568CC">
        <w:rPr>
          <w:szCs w:val="22"/>
        </w:rPr>
        <w:t>for each</w:t>
      </w:r>
      <w:r w:rsidR="002807A7" w:rsidRPr="003568CC">
        <w:rPr>
          <w:szCs w:val="22"/>
        </w:rPr>
        <w:t xml:space="preserve"> patient.</w:t>
      </w:r>
      <w:r w:rsidR="00FD3309" w:rsidRPr="003568CC">
        <w:rPr>
          <w:szCs w:val="22"/>
        </w:rPr>
        <w:t xml:space="preserve"> The Australian average number of cycles is 2.55 per patient, from the UNSW ART in ANZ 2011 report. </w:t>
      </w:r>
    </w:p>
    <w:p w:rsidR="003568CC" w:rsidRPr="003568CC" w:rsidRDefault="003568CC" w:rsidP="003568CC">
      <w:pPr>
        <w:pStyle w:val="ListParagraph"/>
        <w:widowControl/>
        <w:rPr>
          <w:szCs w:val="22"/>
        </w:rPr>
      </w:pPr>
    </w:p>
    <w:p w:rsidR="00F63144" w:rsidRPr="00545F03" w:rsidRDefault="00F63144" w:rsidP="00F63144">
      <w:pPr>
        <w:pStyle w:val="Heading2"/>
      </w:pPr>
      <w:bookmarkStart w:id="16" w:name="_Toc408213178"/>
      <w:bookmarkStart w:id="17" w:name="_Toc408922681"/>
      <w:r w:rsidRPr="00545F03">
        <w:t>Estimated PBS usage &amp; financial implications</w:t>
      </w:r>
      <w:bookmarkEnd w:id="16"/>
      <w:bookmarkEnd w:id="17"/>
    </w:p>
    <w:p w:rsidR="00F63144" w:rsidRPr="00882085" w:rsidRDefault="00F63144" w:rsidP="00F63144">
      <w:pPr>
        <w:ind w:left="720" w:hanging="720"/>
        <w:rPr>
          <w:b/>
          <w:i/>
          <w:szCs w:val="22"/>
        </w:rPr>
      </w:pPr>
    </w:p>
    <w:p w:rsidR="00F63144" w:rsidRPr="007170CD" w:rsidRDefault="00F63144" w:rsidP="007F37E3">
      <w:pPr>
        <w:pStyle w:val="ListParagraph"/>
        <w:widowControl/>
        <w:numPr>
          <w:ilvl w:val="1"/>
          <w:numId w:val="5"/>
        </w:numPr>
        <w:ind w:left="709"/>
        <w:rPr>
          <w:szCs w:val="22"/>
        </w:rPr>
      </w:pPr>
      <w:r>
        <w:t xml:space="preserve">This submission </w:t>
      </w:r>
      <w:r w:rsidR="009D7681">
        <w:t>was</w:t>
      </w:r>
      <w:r>
        <w:t xml:space="preserve"> not considered by </w:t>
      </w:r>
      <w:r w:rsidRPr="007170CD">
        <w:t>DUSC. The submission use</w:t>
      </w:r>
      <w:r w:rsidR="00F371CE">
        <w:t>d</w:t>
      </w:r>
      <w:r w:rsidRPr="007170CD">
        <w:t xml:space="preserve"> a mixed market share and epidemiological approach to estimat</w:t>
      </w:r>
      <w:r>
        <w:t>e</w:t>
      </w:r>
      <w:r w:rsidRPr="007170CD">
        <w:t xml:space="preserve"> use and financial implicat</w:t>
      </w:r>
      <w:r>
        <w:t>ions of listing lutropin alfa.</w:t>
      </w:r>
      <w:r w:rsidRPr="007170CD">
        <w:t xml:space="preserve"> </w:t>
      </w:r>
      <w:r>
        <w:t>The</w:t>
      </w:r>
      <w:r w:rsidRPr="007170CD">
        <w:t xml:space="preserve"> </w:t>
      </w:r>
      <w:r>
        <w:t>submission use</w:t>
      </w:r>
      <w:r w:rsidR="00F371CE">
        <w:t>d</w:t>
      </w:r>
      <w:r>
        <w:t xml:space="preserve"> the </w:t>
      </w:r>
      <w:r w:rsidR="00850923">
        <w:t xml:space="preserve">University of NSW ART in ANZ </w:t>
      </w:r>
      <w:r w:rsidRPr="007170CD">
        <w:t xml:space="preserve">2011 report </w:t>
      </w:r>
      <w:r>
        <w:t xml:space="preserve">to estimate the number of </w:t>
      </w:r>
      <w:r w:rsidRPr="007170CD">
        <w:t>Australian patient</w:t>
      </w:r>
      <w:r>
        <w:t>s undergoing ovarian stimulation treatment</w:t>
      </w:r>
      <w:r w:rsidRPr="007170CD">
        <w:t xml:space="preserve">, and European market data for the number of </w:t>
      </w:r>
      <w:r>
        <w:t xml:space="preserve">these </w:t>
      </w:r>
      <w:r w:rsidRPr="007170CD">
        <w:t>patient</w:t>
      </w:r>
      <w:r>
        <w:t>s</w:t>
      </w:r>
      <w:r w:rsidRPr="007170CD">
        <w:t xml:space="preserve"> likely to require treatment with lutropin alfa.</w:t>
      </w:r>
      <w:r>
        <w:t xml:space="preserve"> Uptake rates of lutropin alfa from the eligible population </w:t>
      </w:r>
      <w:r w:rsidR="00F371CE">
        <w:t>we</w:t>
      </w:r>
      <w:r>
        <w:t>re assumed in the submission.</w:t>
      </w:r>
    </w:p>
    <w:p w:rsidR="00F63144" w:rsidRDefault="00F63144" w:rsidP="00F63144">
      <w:pPr>
        <w:widowControl/>
        <w:rPr>
          <w:szCs w:val="22"/>
        </w:rPr>
      </w:pPr>
    </w:p>
    <w:p w:rsidR="00F63144" w:rsidRDefault="00F63144" w:rsidP="00F63144">
      <w:pPr>
        <w:ind w:firstLine="709"/>
        <w:rPr>
          <w:rStyle w:val="CommentReference"/>
        </w:rPr>
      </w:pPr>
      <w:r w:rsidRPr="001222FC">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2269"/>
        <w:gridCol w:w="1134"/>
        <w:gridCol w:w="1133"/>
        <w:gridCol w:w="1275"/>
        <w:gridCol w:w="1275"/>
        <w:gridCol w:w="1260"/>
      </w:tblGrid>
      <w:tr w:rsidR="00F63144" w:rsidRPr="004E2ADC" w:rsidTr="00993811">
        <w:trPr>
          <w:tblHeader/>
        </w:trPr>
        <w:tc>
          <w:tcPr>
            <w:tcW w:w="1359" w:type="pct"/>
            <w:shd w:val="clear" w:color="auto" w:fill="auto"/>
            <w:vAlign w:val="center"/>
          </w:tcPr>
          <w:p w:rsidR="00F63144" w:rsidRPr="004E2ADC" w:rsidRDefault="00F63144" w:rsidP="00F77A64">
            <w:pPr>
              <w:tabs>
                <w:tab w:val="left" w:pos="142"/>
              </w:tabs>
              <w:jc w:val="left"/>
              <w:rPr>
                <w:rFonts w:ascii="Arial Narrow" w:hAnsi="Arial Narrow"/>
                <w:b/>
                <w:sz w:val="20"/>
              </w:rPr>
            </w:pPr>
          </w:p>
        </w:tc>
        <w:tc>
          <w:tcPr>
            <w:tcW w:w="679" w:type="pct"/>
            <w:shd w:val="clear" w:color="auto" w:fill="auto"/>
            <w:vAlign w:val="center"/>
          </w:tcPr>
          <w:p w:rsidR="00F63144" w:rsidRPr="004E2ADC" w:rsidRDefault="00F63144" w:rsidP="00F77A64">
            <w:pPr>
              <w:jc w:val="center"/>
              <w:rPr>
                <w:rFonts w:ascii="Arial Narrow" w:hAnsi="Arial Narrow"/>
                <w:b/>
                <w:sz w:val="20"/>
              </w:rPr>
            </w:pPr>
            <w:r w:rsidRPr="004E2ADC">
              <w:rPr>
                <w:rFonts w:ascii="Arial Narrow" w:hAnsi="Arial Narrow"/>
                <w:b/>
                <w:sz w:val="20"/>
              </w:rPr>
              <w:t>Year 1</w:t>
            </w:r>
          </w:p>
        </w:tc>
        <w:tc>
          <w:tcPr>
            <w:tcW w:w="679" w:type="pct"/>
            <w:shd w:val="clear" w:color="auto" w:fill="auto"/>
            <w:vAlign w:val="center"/>
          </w:tcPr>
          <w:p w:rsidR="00F63144" w:rsidRPr="004E2ADC" w:rsidRDefault="00F63144" w:rsidP="00F77A64">
            <w:pPr>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F63144" w:rsidRPr="004E2ADC" w:rsidRDefault="00F63144" w:rsidP="00F77A64">
            <w:pPr>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F63144" w:rsidRPr="004E2ADC" w:rsidRDefault="00F63144" w:rsidP="00F77A64">
            <w:pPr>
              <w:jc w:val="center"/>
              <w:rPr>
                <w:rFonts w:ascii="Arial Narrow" w:hAnsi="Arial Narrow"/>
                <w:b/>
                <w:sz w:val="20"/>
              </w:rPr>
            </w:pPr>
            <w:r w:rsidRPr="004E2ADC">
              <w:rPr>
                <w:rFonts w:ascii="Arial Narrow" w:hAnsi="Arial Narrow"/>
                <w:b/>
                <w:sz w:val="20"/>
              </w:rPr>
              <w:t>Year 4</w:t>
            </w:r>
          </w:p>
        </w:tc>
        <w:tc>
          <w:tcPr>
            <w:tcW w:w="755" w:type="pct"/>
            <w:shd w:val="clear" w:color="auto" w:fill="auto"/>
            <w:vAlign w:val="center"/>
          </w:tcPr>
          <w:p w:rsidR="00F63144" w:rsidRPr="004E2ADC" w:rsidRDefault="00F63144" w:rsidP="00F77A64">
            <w:pPr>
              <w:jc w:val="center"/>
              <w:rPr>
                <w:rFonts w:ascii="Arial Narrow" w:hAnsi="Arial Narrow"/>
                <w:b/>
                <w:sz w:val="20"/>
              </w:rPr>
            </w:pPr>
            <w:r w:rsidRPr="004E2ADC">
              <w:rPr>
                <w:rFonts w:ascii="Arial Narrow" w:hAnsi="Arial Narrow"/>
                <w:b/>
                <w:sz w:val="20"/>
              </w:rPr>
              <w:t>Year 5</w:t>
            </w:r>
          </w:p>
        </w:tc>
      </w:tr>
      <w:tr w:rsidR="00F63144" w:rsidRPr="004E2ADC" w:rsidTr="00993811">
        <w:tc>
          <w:tcPr>
            <w:tcW w:w="5000" w:type="pct"/>
            <w:gridSpan w:val="6"/>
            <w:shd w:val="clear" w:color="auto" w:fill="auto"/>
            <w:vAlign w:val="center"/>
          </w:tcPr>
          <w:p w:rsidR="00F63144" w:rsidRPr="004E2ADC" w:rsidRDefault="00F63144" w:rsidP="00F77A64">
            <w:pPr>
              <w:jc w:val="left"/>
              <w:rPr>
                <w:rFonts w:ascii="Arial Narrow" w:hAnsi="Arial Narrow"/>
                <w:b/>
                <w:bCs/>
                <w:color w:val="000000"/>
                <w:sz w:val="20"/>
              </w:rPr>
            </w:pPr>
            <w:r w:rsidRPr="004E2ADC">
              <w:rPr>
                <w:rFonts w:ascii="Arial Narrow" w:hAnsi="Arial Narrow"/>
                <w:b/>
                <w:bCs/>
                <w:color w:val="000000"/>
                <w:sz w:val="20"/>
              </w:rPr>
              <w:t>Estimated extent of use</w:t>
            </w:r>
          </w:p>
        </w:tc>
      </w:tr>
      <w:tr w:rsidR="00F63144" w:rsidRPr="004E2ADC" w:rsidTr="00993811">
        <w:tc>
          <w:tcPr>
            <w:tcW w:w="1359" w:type="pct"/>
            <w:shd w:val="clear" w:color="auto" w:fill="auto"/>
            <w:vAlign w:val="center"/>
          </w:tcPr>
          <w:p w:rsidR="00F63144" w:rsidRDefault="00F63144" w:rsidP="00F77A64">
            <w:pPr>
              <w:tabs>
                <w:tab w:val="left" w:pos="142"/>
              </w:tabs>
              <w:jc w:val="left"/>
              <w:rPr>
                <w:rFonts w:ascii="Arial Narrow" w:hAnsi="Arial Narrow"/>
                <w:sz w:val="20"/>
              </w:rPr>
            </w:pPr>
            <w:r w:rsidRPr="003F665B">
              <w:rPr>
                <w:rFonts w:ascii="Arial Narrow" w:hAnsi="Arial Narrow"/>
                <w:sz w:val="20"/>
              </w:rPr>
              <w:t xml:space="preserve">Total ART cycles </w:t>
            </w:r>
          </w:p>
          <w:p w:rsidR="00F63144" w:rsidRPr="003F665B" w:rsidRDefault="00F63144" w:rsidP="00F77A64">
            <w:pPr>
              <w:tabs>
                <w:tab w:val="left" w:pos="142"/>
              </w:tabs>
              <w:jc w:val="left"/>
              <w:rPr>
                <w:rFonts w:ascii="Arial Narrow" w:hAnsi="Arial Narrow"/>
                <w:sz w:val="20"/>
              </w:rPr>
            </w:pPr>
            <w:r w:rsidRPr="003F665B">
              <w:rPr>
                <w:rFonts w:ascii="Arial Narrow" w:hAnsi="Arial Narrow"/>
                <w:sz w:val="20"/>
              </w:rPr>
              <w:t>(8.3% annual growth)</w:t>
            </w:r>
          </w:p>
        </w:tc>
        <w:tc>
          <w:tcPr>
            <w:tcW w:w="679"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F63144" w:rsidRPr="004E2ADC" w:rsidTr="00993811">
        <w:tc>
          <w:tcPr>
            <w:tcW w:w="1359" w:type="pct"/>
            <w:shd w:val="clear" w:color="auto" w:fill="auto"/>
            <w:vAlign w:val="center"/>
          </w:tcPr>
          <w:p w:rsidR="00F63144" w:rsidRPr="003F665B" w:rsidRDefault="00F63144" w:rsidP="00F77A64">
            <w:pPr>
              <w:tabs>
                <w:tab w:val="left" w:pos="142"/>
              </w:tabs>
              <w:jc w:val="left"/>
              <w:rPr>
                <w:rFonts w:ascii="Arial Narrow" w:hAnsi="Arial Narrow"/>
                <w:sz w:val="20"/>
              </w:rPr>
            </w:pPr>
            <w:r w:rsidRPr="003F665B">
              <w:rPr>
                <w:rFonts w:ascii="Arial Narrow" w:hAnsi="Arial Narrow"/>
                <w:sz w:val="20"/>
              </w:rPr>
              <w:t>Ovarian stimulated autologous fresh cycles (98.8% x 61.3% of total ART cycles)</w:t>
            </w:r>
          </w:p>
        </w:tc>
        <w:tc>
          <w:tcPr>
            <w:tcW w:w="679"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F63144" w:rsidRPr="004E2ADC" w:rsidTr="00993811">
        <w:tc>
          <w:tcPr>
            <w:tcW w:w="1359" w:type="pct"/>
            <w:shd w:val="clear" w:color="auto" w:fill="auto"/>
            <w:vAlign w:val="center"/>
          </w:tcPr>
          <w:p w:rsidR="00F63144" w:rsidRDefault="00F63144" w:rsidP="00F77A64">
            <w:pPr>
              <w:tabs>
                <w:tab w:val="left" w:pos="142"/>
              </w:tabs>
              <w:jc w:val="left"/>
              <w:rPr>
                <w:rFonts w:ascii="Arial Narrow" w:hAnsi="Arial Narrow"/>
                <w:sz w:val="20"/>
              </w:rPr>
            </w:pPr>
            <w:r w:rsidRPr="003F665B">
              <w:rPr>
                <w:rFonts w:ascii="Arial Narrow" w:hAnsi="Arial Narrow"/>
                <w:sz w:val="20"/>
              </w:rPr>
              <w:t xml:space="preserve">Number of cycles eligible for lutropin alfa </w:t>
            </w:r>
          </w:p>
          <w:p w:rsidR="00F63144" w:rsidRPr="003F665B" w:rsidRDefault="00F63144" w:rsidP="00F77A64">
            <w:pPr>
              <w:tabs>
                <w:tab w:val="left" w:pos="142"/>
              </w:tabs>
              <w:jc w:val="left"/>
              <w:rPr>
                <w:rFonts w:ascii="Arial Narrow" w:hAnsi="Arial Narrow"/>
                <w:sz w:val="20"/>
              </w:rPr>
            </w:pPr>
            <w:r w:rsidRPr="003F665B">
              <w:rPr>
                <w:rFonts w:ascii="Arial Narrow" w:hAnsi="Arial Narrow"/>
                <w:sz w:val="20"/>
              </w:rPr>
              <w:t>(severe LH deficiency, 20%)</w:t>
            </w:r>
          </w:p>
        </w:tc>
        <w:tc>
          <w:tcPr>
            <w:tcW w:w="679"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F63144" w:rsidRPr="004E2ADC" w:rsidTr="00993811">
        <w:tc>
          <w:tcPr>
            <w:tcW w:w="1359" w:type="pct"/>
            <w:shd w:val="clear" w:color="auto" w:fill="auto"/>
            <w:vAlign w:val="center"/>
          </w:tcPr>
          <w:p w:rsidR="00F63144" w:rsidRPr="003F665B" w:rsidRDefault="00F63144" w:rsidP="00F77A64">
            <w:pPr>
              <w:tabs>
                <w:tab w:val="left" w:pos="142"/>
              </w:tabs>
              <w:jc w:val="left"/>
              <w:rPr>
                <w:rFonts w:ascii="Arial Narrow" w:hAnsi="Arial Narrow"/>
                <w:sz w:val="20"/>
              </w:rPr>
            </w:pPr>
            <w:r w:rsidRPr="003F665B">
              <w:rPr>
                <w:rFonts w:ascii="Arial Narrow" w:hAnsi="Arial Narrow"/>
                <w:sz w:val="20"/>
              </w:rPr>
              <w:t>Uptake rate of lutropin alfa</w:t>
            </w:r>
          </w:p>
        </w:tc>
        <w:tc>
          <w:tcPr>
            <w:tcW w:w="679" w:type="pct"/>
            <w:shd w:val="clear" w:color="auto" w:fill="auto"/>
          </w:tcPr>
          <w:p w:rsidR="00F63144" w:rsidRPr="003F665B" w:rsidRDefault="00C540E7" w:rsidP="00F77A64">
            <w:pPr>
              <w:jc w:val="center"/>
              <w:rPr>
                <w:rFonts w:ascii="Arial Narrow" w:hAnsi="Arial Narrow"/>
                <w:bCs/>
                <w:color w:val="000000"/>
                <w:sz w:val="20"/>
              </w:rPr>
            </w:pPr>
            <w:r>
              <w:rPr>
                <w:rFonts w:ascii="Arial Narrow" w:hAnsi="Arial Narrow"/>
                <w:noProof/>
                <w:color w:val="000000"/>
                <w:sz w:val="20"/>
                <w:highlight w:val="black"/>
              </w:rPr>
              <w:t>'''''''</w:t>
            </w:r>
            <w:r w:rsidR="00F63144" w:rsidRPr="003F665B">
              <w:rPr>
                <w:rFonts w:ascii="Arial Narrow" w:hAnsi="Arial Narrow"/>
                <w:sz w:val="20"/>
              </w:rPr>
              <w:t>%</w:t>
            </w:r>
          </w:p>
        </w:tc>
        <w:tc>
          <w:tcPr>
            <w:tcW w:w="679" w:type="pct"/>
            <w:shd w:val="clear" w:color="auto" w:fill="auto"/>
          </w:tcPr>
          <w:p w:rsidR="00F63144" w:rsidRPr="003F665B" w:rsidRDefault="00C540E7" w:rsidP="00F77A64">
            <w:pPr>
              <w:jc w:val="center"/>
              <w:rPr>
                <w:rFonts w:ascii="Arial Narrow" w:hAnsi="Arial Narrow"/>
                <w:bCs/>
                <w:color w:val="000000"/>
                <w:sz w:val="20"/>
              </w:rPr>
            </w:pPr>
            <w:r>
              <w:rPr>
                <w:rFonts w:ascii="Arial Narrow" w:hAnsi="Arial Narrow"/>
                <w:noProof/>
                <w:color w:val="000000"/>
                <w:sz w:val="20"/>
                <w:highlight w:val="black"/>
              </w:rPr>
              <w:t>''''''</w:t>
            </w:r>
            <w:r w:rsidR="00F63144" w:rsidRPr="003F665B">
              <w:rPr>
                <w:rFonts w:ascii="Arial Narrow" w:hAnsi="Arial Narrow"/>
                <w:sz w:val="20"/>
              </w:rPr>
              <w:t>%</w:t>
            </w:r>
          </w:p>
        </w:tc>
        <w:tc>
          <w:tcPr>
            <w:tcW w:w="764" w:type="pct"/>
            <w:shd w:val="clear" w:color="auto" w:fill="auto"/>
          </w:tcPr>
          <w:p w:rsidR="00F63144" w:rsidRPr="003F665B" w:rsidRDefault="00C540E7" w:rsidP="00F77A64">
            <w:pPr>
              <w:jc w:val="center"/>
              <w:rPr>
                <w:rFonts w:ascii="Arial Narrow" w:hAnsi="Arial Narrow"/>
                <w:bCs/>
                <w:color w:val="000000"/>
                <w:sz w:val="20"/>
              </w:rPr>
            </w:pPr>
            <w:r>
              <w:rPr>
                <w:rFonts w:ascii="Arial Narrow" w:hAnsi="Arial Narrow"/>
                <w:noProof/>
                <w:color w:val="000000"/>
                <w:sz w:val="20"/>
                <w:highlight w:val="black"/>
              </w:rPr>
              <w:t>'''''</w:t>
            </w:r>
            <w:r w:rsidR="00F63144" w:rsidRPr="003F665B">
              <w:rPr>
                <w:rFonts w:ascii="Arial Narrow" w:hAnsi="Arial Narrow"/>
                <w:sz w:val="20"/>
              </w:rPr>
              <w:t>%</w:t>
            </w:r>
          </w:p>
        </w:tc>
        <w:tc>
          <w:tcPr>
            <w:tcW w:w="764" w:type="pct"/>
            <w:shd w:val="clear" w:color="auto" w:fill="auto"/>
          </w:tcPr>
          <w:p w:rsidR="00F63144" w:rsidRPr="003F665B" w:rsidRDefault="00C540E7" w:rsidP="00F77A64">
            <w:pPr>
              <w:jc w:val="center"/>
              <w:rPr>
                <w:rFonts w:ascii="Arial Narrow" w:hAnsi="Arial Narrow"/>
                <w:bCs/>
                <w:color w:val="000000"/>
                <w:sz w:val="20"/>
              </w:rPr>
            </w:pPr>
            <w:r>
              <w:rPr>
                <w:rFonts w:ascii="Arial Narrow" w:hAnsi="Arial Narrow"/>
                <w:noProof/>
                <w:color w:val="000000"/>
                <w:sz w:val="20"/>
                <w:highlight w:val="black"/>
              </w:rPr>
              <w:t>''''''</w:t>
            </w:r>
            <w:r w:rsidR="00F63144" w:rsidRPr="003F665B">
              <w:rPr>
                <w:rFonts w:ascii="Arial Narrow" w:hAnsi="Arial Narrow"/>
                <w:sz w:val="20"/>
              </w:rPr>
              <w:t>%</w:t>
            </w:r>
          </w:p>
        </w:tc>
        <w:tc>
          <w:tcPr>
            <w:tcW w:w="755" w:type="pct"/>
            <w:shd w:val="clear" w:color="auto" w:fill="auto"/>
          </w:tcPr>
          <w:p w:rsidR="00F63144" w:rsidRPr="003F665B" w:rsidRDefault="00C540E7" w:rsidP="00F77A64">
            <w:pPr>
              <w:jc w:val="center"/>
              <w:rPr>
                <w:rFonts w:ascii="Arial Narrow" w:hAnsi="Arial Narrow"/>
                <w:bCs/>
                <w:color w:val="000000"/>
                <w:sz w:val="20"/>
              </w:rPr>
            </w:pPr>
            <w:r>
              <w:rPr>
                <w:rFonts w:ascii="Arial Narrow" w:hAnsi="Arial Narrow"/>
                <w:noProof/>
                <w:color w:val="000000"/>
                <w:sz w:val="20"/>
                <w:highlight w:val="black"/>
              </w:rPr>
              <w:t>'''''</w:t>
            </w:r>
            <w:r w:rsidR="00F63144" w:rsidRPr="003F665B">
              <w:rPr>
                <w:rFonts w:ascii="Arial Narrow" w:hAnsi="Arial Narrow"/>
                <w:sz w:val="20"/>
              </w:rPr>
              <w:t>%</w:t>
            </w:r>
          </w:p>
        </w:tc>
      </w:tr>
      <w:tr w:rsidR="00F63144" w:rsidRPr="004E2ADC" w:rsidTr="00993811">
        <w:tc>
          <w:tcPr>
            <w:tcW w:w="1359" w:type="pct"/>
            <w:shd w:val="clear" w:color="auto" w:fill="auto"/>
            <w:vAlign w:val="center"/>
          </w:tcPr>
          <w:p w:rsidR="00F63144" w:rsidRPr="003F665B" w:rsidRDefault="00F63144" w:rsidP="00F77A64">
            <w:pPr>
              <w:tabs>
                <w:tab w:val="left" w:pos="142"/>
              </w:tabs>
              <w:jc w:val="left"/>
              <w:rPr>
                <w:rFonts w:ascii="Arial Narrow" w:hAnsi="Arial Narrow"/>
                <w:sz w:val="20"/>
              </w:rPr>
            </w:pPr>
            <w:r w:rsidRPr="003F665B">
              <w:rPr>
                <w:rFonts w:ascii="Arial Narrow" w:hAnsi="Arial Narrow"/>
                <w:sz w:val="20"/>
              </w:rPr>
              <w:t>Estimated cycles of lutropin alfa</w:t>
            </w:r>
          </w:p>
        </w:tc>
        <w:tc>
          <w:tcPr>
            <w:tcW w:w="679"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F63144" w:rsidRPr="004E2ADC" w:rsidTr="00993811">
        <w:tc>
          <w:tcPr>
            <w:tcW w:w="1359" w:type="pct"/>
            <w:shd w:val="clear" w:color="auto" w:fill="auto"/>
            <w:vAlign w:val="center"/>
          </w:tcPr>
          <w:p w:rsidR="00F63144" w:rsidRPr="003F665B" w:rsidRDefault="00F63144" w:rsidP="00F77A64">
            <w:pPr>
              <w:tabs>
                <w:tab w:val="left" w:pos="142"/>
              </w:tabs>
              <w:jc w:val="left"/>
              <w:rPr>
                <w:rFonts w:ascii="Arial Narrow" w:hAnsi="Arial Narrow"/>
                <w:sz w:val="20"/>
              </w:rPr>
            </w:pPr>
            <w:r w:rsidRPr="003F665B">
              <w:rPr>
                <w:rFonts w:ascii="Arial Narrow" w:hAnsi="Arial Narrow"/>
                <w:sz w:val="20"/>
              </w:rPr>
              <w:lastRenderedPageBreak/>
              <w:t>Total packs per year (7 packs per cycle)</w:t>
            </w:r>
          </w:p>
        </w:tc>
        <w:tc>
          <w:tcPr>
            <w:tcW w:w="679"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F63144" w:rsidRPr="00C540E7" w:rsidRDefault="00C540E7" w:rsidP="00F77A64">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F63144" w:rsidRPr="004E2ADC" w:rsidTr="00993811">
        <w:tc>
          <w:tcPr>
            <w:tcW w:w="5000" w:type="pct"/>
            <w:gridSpan w:val="6"/>
            <w:shd w:val="clear" w:color="auto" w:fill="auto"/>
            <w:vAlign w:val="center"/>
          </w:tcPr>
          <w:p w:rsidR="00F63144" w:rsidRPr="004E2ADC" w:rsidRDefault="00F63144" w:rsidP="00F77A64">
            <w:pPr>
              <w:jc w:val="left"/>
              <w:rPr>
                <w:rFonts w:ascii="Arial Narrow" w:hAnsi="Arial Narrow"/>
                <w:b/>
                <w:color w:val="000000"/>
                <w:sz w:val="20"/>
              </w:rPr>
            </w:pPr>
            <w:r w:rsidRPr="004E2ADC">
              <w:rPr>
                <w:rFonts w:ascii="Arial Narrow" w:hAnsi="Arial Narrow"/>
                <w:b/>
                <w:color w:val="000000"/>
                <w:sz w:val="20"/>
              </w:rPr>
              <w:t>Estimated total net cost</w:t>
            </w:r>
          </w:p>
        </w:tc>
      </w:tr>
      <w:tr w:rsidR="00F63144" w:rsidRPr="004E2ADC" w:rsidTr="00993811">
        <w:tc>
          <w:tcPr>
            <w:tcW w:w="1359" w:type="pct"/>
            <w:shd w:val="clear" w:color="auto" w:fill="auto"/>
            <w:vAlign w:val="center"/>
          </w:tcPr>
          <w:p w:rsidR="00F63144" w:rsidRPr="00145540" w:rsidRDefault="00F63144" w:rsidP="00F77A64">
            <w:pPr>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w:t>
            </w:r>
          </w:p>
        </w:tc>
        <w:tc>
          <w:tcPr>
            <w:tcW w:w="679" w:type="pct"/>
            <w:shd w:val="clear" w:color="auto" w:fill="auto"/>
            <w:vAlign w:val="center"/>
          </w:tcPr>
          <w:p w:rsidR="00F63144" w:rsidRPr="00714154" w:rsidRDefault="00F63144" w:rsidP="00F77A64">
            <w:pPr>
              <w:jc w:val="center"/>
              <w:rPr>
                <w:rFonts w:ascii="Arial Narrow" w:hAnsi="Arial Narrow"/>
                <w:b/>
                <w:color w:val="000000"/>
                <w:sz w:val="20"/>
              </w:rPr>
            </w:pPr>
            <w:r w:rsidRPr="00714154">
              <w:rPr>
                <w:rFonts w:ascii="Arial Narrow" w:hAnsi="Arial Narrow"/>
                <w:b/>
                <w:sz w:val="20"/>
              </w:rPr>
              <w:t>$</w:t>
            </w:r>
            <w:r w:rsidR="00C540E7">
              <w:rPr>
                <w:rFonts w:ascii="Arial Narrow" w:hAnsi="Arial Narrow"/>
                <w:b/>
                <w:noProof/>
                <w:color w:val="000000"/>
                <w:sz w:val="20"/>
                <w:highlight w:val="black"/>
              </w:rPr>
              <w:t>''''''''''''''''''''</w:t>
            </w:r>
          </w:p>
        </w:tc>
        <w:tc>
          <w:tcPr>
            <w:tcW w:w="679" w:type="pct"/>
            <w:shd w:val="clear" w:color="auto" w:fill="auto"/>
            <w:vAlign w:val="center"/>
          </w:tcPr>
          <w:p w:rsidR="00F63144" w:rsidRPr="00714154" w:rsidRDefault="00F63144" w:rsidP="00F77A64">
            <w:pPr>
              <w:jc w:val="center"/>
              <w:rPr>
                <w:rFonts w:ascii="Arial Narrow" w:hAnsi="Arial Narrow"/>
                <w:b/>
                <w:color w:val="000000"/>
                <w:sz w:val="20"/>
              </w:rPr>
            </w:pPr>
            <w:r w:rsidRPr="00714154">
              <w:rPr>
                <w:rFonts w:ascii="Arial Narrow" w:hAnsi="Arial Narrow"/>
                <w:b/>
                <w:sz w:val="20"/>
              </w:rPr>
              <w:t>$</w:t>
            </w:r>
            <w:r w:rsidR="00C540E7">
              <w:rPr>
                <w:rFonts w:ascii="Arial Narrow" w:hAnsi="Arial Narrow"/>
                <w:b/>
                <w:noProof/>
                <w:color w:val="000000"/>
                <w:sz w:val="20"/>
                <w:highlight w:val="black"/>
              </w:rPr>
              <w:t>''''''''''''''''''</w:t>
            </w:r>
          </w:p>
        </w:tc>
        <w:tc>
          <w:tcPr>
            <w:tcW w:w="764" w:type="pct"/>
            <w:shd w:val="clear" w:color="auto" w:fill="auto"/>
            <w:vAlign w:val="center"/>
          </w:tcPr>
          <w:p w:rsidR="00F63144" w:rsidRPr="00714154" w:rsidRDefault="00F63144" w:rsidP="00F77A64">
            <w:pPr>
              <w:jc w:val="center"/>
              <w:rPr>
                <w:rFonts w:ascii="Arial Narrow" w:hAnsi="Arial Narrow"/>
                <w:b/>
                <w:color w:val="000000"/>
                <w:sz w:val="20"/>
              </w:rPr>
            </w:pPr>
            <w:r w:rsidRPr="00714154">
              <w:rPr>
                <w:rFonts w:ascii="Arial Narrow" w:hAnsi="Arial Narrow"/>
                <w:b/>
                <w:sz w:val="20"/>
              </w:rPr>
              <w:t>$</w:t>
            </w:r>
            <w:r w:rsidR="00C540E7">
              <w:rPr>
                <w:rFonts w:ascii="Arial Narrow" w:hAnsi="Arial Narrow"/>
                <w:b/>
                <w:noProof/>
                <w:color w:val="000000"/>
                <w:sz w:val="20"/>
                <w:highlight w:val="black"/>
              </w:rPr>
              <w:t>'''''''''''''''''''</w:t>
            </w:r>
          </w:p>
        </w:tc>
        <w:tc>
          <w:tcPr>
            <w:tcW w:w="764" w:type="pct"/>
            <w:shd w:val="clear" w:color="auto" w:fill="auto"/>
            <w:vAlign w:val="center"/>
          </w:tcPr>
          <w:p w:rsidR="00F63144" w:rsidRPr="00714154" w:rsidRDefault="00F63144" w:rsidP="00F77A64">
            <w:pPr>
              <w:jc w:val="center"/>
              <w:rPr>
                <w:rFonts w:ascii="Arial Narrow" w:hAnsi="Arial Narrow"/>
                <w:b/>
                <w:color w:val="000000"/>
                <w:sz w:val="20"/>
              </w:rPr>
            </w:pPr>
            <w:r w:rsidRPr="00714154">
              <w:rPr>
                <w:rFonts w:ascii="Arial Narrow" w:hAnsi="Arial Narrow"/>
                <w:b/>
                <w:sz w:val="20"/>
              </w:rPr>
              <w:t>$</w:t>
            </w:r>
            <w:r w:rsidR="00C540E7">
              <w:rPr>
                <w:rFonts w:ascii="Arial Narrow" w:hAnsi="Arial Narrow"/>
                <w:b/>
                <w:noProof/>
                <w:color w:val="000000"/>
                <w:sz w:val="20"/>
                <w:highlight w:val="black"/>
              </w:rPr>
              <w:t>'''''''''''''''''''</w:t>
            </w:r>
          </w:p>
        </w:tc>
        <w:tc>
          <w:tcPr>
            <w:tcW w:w="755" w:type="pct"/>
            <w:shd w:val="clear" w:color="auto" w:fill="auto"/>
            <w:vAlign w:val="center"/>
          </w:tcPr>
          <w:p w:rsidR="00F63144" w:rsidRPr="00714154" w:rsidRDefault="00F63144" w:rsidP="00F77A64">
            <w:pPr>
              <w:jc w:val="center"/>
              <w:rPr>
                <w:rFonts w:ascii="Arial Narrow" w:hAnsi="Arial Narrow"/>
                <w:b/>
                <w:color w:val="000000"/>
                <w:sz w:val="20"/>
              </w:rPr>
            </w:pPr>
            <w:r w:rsidRPr="00714154">
              <w:rPr>
                <w:rFonts w:ascii="Arial Narrow" w:hAnsi="Arial Narrow"/>
                <w:b/>
                <w:sz w:val="20"/>
              </w:rPr>
              <w:t>$</w:t>
            </w:r>
            <w:r w:rsidR="00C540E7">
              <w:rPr>
                <w:rFonts w:ascii="Arial Narrow" w:hAnsi="Arial Narrow"/>
                <w:b/>
                <w:noProof/>
                <w:color w:val="000000"/>
                <w:sz w:val="20"/>
                <w:highlight w:val="black"/>
              </w:rPr>
              <w:t>'''''''''''''''''''''</w:t>
            </w:r>
          </w:p>
        </w:tc>
      </w:tr>
    </w:tbl>
    <w:p w:rsidR="00F63144" w:rsidRDefault="00F63144" w:rsidP="00F63144">
      <w:pPr>
        <w:pStyle w:val="TableFooter"/>
        <w:ind w:left="709" w:firstLine="11"/>
        <w:rPr>
          <w:szCs w:val="22"/>
        </w:rPr>
      </w:pPr>
      <w:r w:rsidRPr="001222FC">
        <w:rPr>
          <w:sz w:val="16"/>
          <w:szCs w:val="18"/>
        </w:rPr>
        <w:t xml:space="preserve">Source: </w:t>
      </w:r>
      <w:r w:rsidRPr="005F35A6">
        <w:rPr>
          <w:szCs w:val="18"/>
        </w:rPr>
        <w:t>Table E.2-1, p98; Table E.2-2, p99; Table E.2-3, p99; Table E.2-4, p100; Table E.2-5, p100; Table E.3-2, p101 of the submission</w:t>
      </w:r>
    </w:p>
    <w:p w:rsidR="00F63144" w:rsidRDefault="00F63144" w:rsidP="00F63144">
      <w:pPr>
        <w:widowControl/>
        <w:rPr>
          <w:szCs w:val="22"/>
        </w:rPr>
      </w:pPr>
    </w:p>
    <w:p w:rsidR="007B4A53" w:rsidRDefault="007B4A53" w:rsidP="007B4A53">
      <w:pPr>
        <w:pStyle w:val="ListParagraph"/>
        <w:widowControl/>
        <w:numPr>
          <w:ilvl w:val="1"/>
          <w:numId w:val="5"/>
        </w:numPr>
        <w:ind w:left="709"/>
        <w:rPr>
          <w:szCs w:val="22"/>
        </w:rPr>
      </w:pPr>
      <w:r>
        <w:rPr>
          <w:szCs w:val="22"/>
        </w:rPr>
        <w:t xml:space="preserve">The redacted table above shows that the listing of lutropin alfa on the PBS will result in a cost to the PBS of &lt;$10 million in each year up to Year 5. </w:t>
      </w:r>
    </w:p>
    <w:p w:rsidR="007B4A53" w:rsidRPr="00C25D9C" w:rsidRDefault="007B4A53" w:rsidP="00F63144">
      <w:pPr>
        <w:widowControl/>
        <w:rPr>
          <w:szCs w:val="22"/>
        </w:rPr>
      </w:pPr>
    </w:p>
    <w:p w:rsidR="00F63144" w:rsidRPr="00545F03" w:rsidRDefault="00F63144" w:rsidP="00F63144">
      <w:pPr>
        <w:pStyle w:val="Heading2"/>
        <w:rPr>
          <w:szCs w:val="22"/>
        </w:rPr>
      </w:pPr>
      <w:bookmarkStart w:id="18" w:name="_Toc408213180"/>
      <w:bookmarkStart w:id="19" w:name="_Toc408922682"/>
      <w:r w:rsidRPr="00545F03">
        <w:t>Financial Management – Risk Sharing Arrangements</w:t>
      </w:r>
      <w:bookmarkEnd w:id="18"/>
      <w:bookmarkEnd w:id="19"/>
    </w:p>
    <w:p w:rsidR="00F63144" w:rsidRPr="00576972" w:rsidRDefault="00F63144" w:rsidP="00F63144">
      <w:pPr>
        <w:widowControl/>
        <w:rPr>
          <w:szCs w:val="22"/>
        </w:rPr>
      </w:pPr>
    </w:p>
    <w:p w:rsidR="00F63144" w:rsidRPr="00E22A0D" w:rsidRDefault="00F63144" w:rsidP="007F37E3">
      <w:pPr>
        <w:pStyle w:val="ListParagraph"/>
        <w:widowControl/>
        <w:numPr>
          <w:ilvl w:val="1"/>
          <w:numId w:val="5"/>
        </w:numPr>
        <w:rPr>
          <w:szCs w:val="22"/>
        </w:rPr>
      </w:pPr>
      <w:r w:rsidRPr="00C36294">
        <w:t>The Sponsor propose</w:t>
      </w:r>
      <w:r w:rsidR="009D7681">
        <w:t>d</w:t>
      </w:r>
      <w:r w:rsidRPr="00C36294">
        <w:t xml:space="preserve"> a risk share arrangement, with a per vial price reduction of </w:t>
      </w:r>
      <w:r w:rsidR="00C540E7">
        <w:rPr>
          <w:noProof/>
          <w:color w:val="000000"/>
          <w:highlight w:val="black"/>
        </w:rPr>
        <w:t>''''''''''</w:t>
      </w:r>
      <w:r w:rsidRPr="00C36294">
        <w:t>% ($</w:t>
      </w:r>
      <w:r w:rsidR="00C540E7">
        <w:rPr>
          <w:noProof/>
          <w:color w:val="000000"/>
          <w:highlight w:val="black"/>
        </w:rPr>
        <w:t>'''''''''''''''</w:t>
      </w:r>
      <w:r w:rsidRPr="00C36294">
        <w:t xml:space="preserve"> per vial) for each vial sold above the annual projections in any one year.</w:t>
      </w:r>
    </w:p>
    <w:p w:rsidR="00576972" w:rsidRDefault="00576972" w:rsidP="00576972">
      <w:pPr>
        <w:widowControl/>
        <w:rPr>
          <w:szCs w:val="22"/>
        </w:rPr>
      </w:pPr>
    </w:p>
    <w:p w:rsidR="008E2190" w:rsidRDefault="008E2190" w:rsidP="00576972">
      <w:pPr>
        <w:widowControl/>
        <w:rPr>
          <w:szCs w:val="22"/>
        </w:rPr>
      </w:pPr>
    </w:p>
    <w:p w:rsidR="00D43467" w:rsidRPr="0025173A" w:rsidRDefault="00D43467" w:rsidP="00D43467">
      <w:pPr>
        <w:pStyle w:val="PBACHeading1"/>
      </w:pPr>
      <w:r w:rsidRPr="0025173A">
        <w:t xml:space="preserve">PBAC Outcome </w:t>
      </w:r>
    </w:p>
    <w:p w:rsidR="00D43467" w:rsidRPr="0025173A" w:rsidRDefault="00D43467" w:rsidP="00D43467">
      <w:pPr>
        <w:widowControl/>
        <w:jc w:val="left"/>
        <w:rPr>
          <w:bCs/>
          <w:i/>
          <w:szCs w:val="22"/>
        </w:rPr>
      </w:pPr>
    </w:p>
    <w:p w:rsidR="00491339" w:rsidRDefault="00D43467" w:rsidP="00D43467">
      <w:pPr>
        <w:pStyle w:val="ListParagraph"/>
        <w:widowControl/>
        <w:numPr>
          <w:ilvl w:val="1"/>
          <w:numId w:val="5"/>
        </w:numPr>
        <w:jc w:val="left"/>
        <w:rPr>
          <w:rFonts w:cs="Times New Roman"/>
          <w:snapToGrid/>
          <w:szCs w:val="22"/>
          <w:lang w:eastAsia="en-AU"/>
        </w:rPr>
      </w:pPr>
      <w:r w:rsidRPr="00E8078D">
        <w:rPr>
          <w:rFonts w:cs="Times New Roman"/>
          <w:snapToGrid/>
          <w:szCs w:val="22"/>
          <w:lang w:eastAsia="en-AU"/>
        </w:rPr>
        <w:t xml:space="preserve">The PBAC recommended the listing of </w:t>
      </w:r>
      <w:r w:rsidR="00E8078D" w:rsidRPr="00E8078D">
        <w:rPr>
          <w:rFonts w:cs="Times New Roman"/>
          <w:snapToGrid/>
          <w:szCs w:val="22"/>
          <w:lang w:eastAsia="en-AU"/>
        </w:rPr>
        <w:t>lutropin alfa</w:t>
      </w:r>
      <w:r w:rsidR="00E8078D">
        <w:rPr>
          <w:rFonts w:cs="Times New Roman"/>
          <w:snapToGrid/>
          <w:szCs w:val="22"/>
          <w:lang w:eastAsia="en-AU"/>
        </w:rPr>
        <w:t xml:space="preserve"> </w:t>
      </w:r>
      <w:r w:rsidR="00E8078D" w:rsidRPr="00E41DD8">
        <w:t xml:space="preserve">for treatment of severe </w:t>
      </w:r>
      <w:r w:rsidR="00C26D22">
        <w:t>LH</w:t>
      </w:r>
      <w:r w:rsidR="00E8078D" w:rsidRPr="00E41DD8">
        <w:t xml:space="preserve"> deficiency</w:t>
      </w:r>
      <w:r w:rsidRPr="00E8078D">
        <w:rPr>
          <w:rFonts w:cs="Times New Roman"/>
          <w:snapToGrid/>
          <w:szCs w:val="22"/>
          <w:lang w:eastAsia="en-AU"/>
        </w:rPr>
        <w:t xml:space="preserve">, on the basis that it should be available only under special arrangements under </w:t>
      </w:r>
      <w:r w:rsidR="00E8078D" w:rsidRPr="00E41DD8">
        <w:t>Section 100 (IVF/GIFT program) listing</w:t>
      </w:r>
      <w:r w:rsidRPr="00E8078D">
        <w:rPr>
          <w:rFonts w:cs="Times New Roman"/>
          <w:snapToGrid/>
          <w:szCs w:val="22"/>
          <w:lang w:eastAsia="en-AU"/>
        </w:rPr>
        <w:t>.</w:t>
      </w:r>
    </w:p>
    <w:p w:rsidR="00D43467" w:rsidRPr="00E8078D" w:rsidRDefault="00D43467" w:rsidP="00491339">
      <w:pPr>
        <w:pStyle w:val="ListParagraph"/>
        <w:widowControl/>
        <w:jc w:val="left"/>
        <w:rPr>
          <w:rFonts w:cs="Times New Roman"/>
          <w:snapToGrid/>
          <w:szCs w:val="22"/>
          <w:lang w:eastAsia="en-AU"/>
        </w:rPr>
      </w:pPr>
      <w:r w:rsidRPr="00E8078D">
        <w:rPr>
          <w:rFonts w:cs="Times New Roman"/>
          <w:snapToGrid/>
          <w:szCs w:val="22"/>
          <w:lang w:eastAsia="en-AU"/>
        </w:rPr>
        <w:t xml:space="preserve">  </w:t>
      </w:r>
    </w:p>
    <w:p w:rsidR="00D43467" w:rsidRPr="0025173A" w:rsidRDefault="00D43467" w:rsidP="00491339">
      <w:pPr>
        <w:pStyle w:val="ListParagraph"/>
        <w:widowControl/>
        <w:numPr>
          <w:ilvl w:val="1"/>
          <w:numId w:val="5"/>
        </w:numPr>
        <w:rPr>
          <w:rFonts w:cs="Times New Roman"/>
          <w:snapToGrid/>
          <w:szCs w:val="22"/>
          <w:lang w:eastAsia="en-AU"/>
        </w:rPr>
      </w:pPr>
      <w:r w:rsidRPr="0025173A">
        <w:rPr>
          <w:rFonts w:cs="Times New Roman"/>
          <w:snapToGrid/>
          <w:szCs w:val="22"/>
          <w:lang w:eastAsia="en-AU"/>
        </w:rPr>
        <w:t xml:space="preserve">The PBAC is satisfied that </w:t>
      </w:r>
      <w:r w:rsidR="00E8078D" w:rsidRPr="00491339">
        <w:rPr>
          <w:rFonts w:cs="Times New Roman"/>
          <w:snapToGrid/>
          <w:szCs w:val="22"/>
          <w:lang w:eastAsia="en-AU"/>
        </w:rPr>
        <w:t>lutropin alfa</w:t>
      </w:r>
      <w:r w:rsidR="00E8078D">
        <w:rPr>
          <w:rFonts w:cs="Times New Roman"/>
          <w:i/>
          <w:snapToGrid/>
          <w:szCs w:val="22"/>
          <w:lang w:eastAsia="en-AU"/>
        </w:rPr>
        <w:t xml:space="preserve"> </w:t>
      </w:r>
      <w:r w:rsidRPr="0025173A">
        <w:rPr>
          <w:rFonts w:cs="Times New Roman"/>
          <w:snapToGrid/>
          <w:szCs w:val="22"/>
          <w:lang w:eastAsia="en-AU"/>
        </w:rPr>
        <w:t xml:space="preserve">provides, for </w:t>
      </w:r>
      <w:r w:rsidR="00491339" w:rsidRPr="00491339">
        <w:rPr>
          <w:rFonts w:cs="Times New Roman"/>
          <w:snapToGrid/>
          <w:szCs w:val="22"/>
          <w:lang w:eastAsia="en-AU"/>
        </w:rPr>
        <w:t xml:space="preserve">a small group of women who have inadequate levels of </w:t>
      </w:r>
      <w:r w:rsidR="00C26D22">
        <w:rPr>
          <w:rFonts w:cs="Times New Roman"/>
          <w:snapToGrid/>
          <w:szCs w:val="22"/>
          <w:lang w:eastAsia="en-AU"/>
        </w:rPr>
        <w:t>LH</w:t>
      </w:r>
      <w:r w:rsidRPr="0025173A">
        <w:rPr>
          <w:rFonts w:cs="Times New Roman"/>
          <w:snapToGrid/>
          <w:szCs w:val="22"/>
          <w:lang w:eastAsia="en-AU"/>
        </w:rPr>
        <w:t xml:space="preserve">, a significant improvement in </w:t>
      </w:r>
      <w:r w:rsidR="00E8078D">
        <w:rPr>
          <w:rFonts w:cs="Times New Roman"/>
          <w:snapToGrid/>
          <w:szCs w:val="22"/>
          <w:lang w:eastAsia="en-AU"/>
        </w:rPr>
        <w:t>clinical pregnancies</w:t>
      </w:r>
      <w:r w:rsidR="00491339">
        <w:rPr>
          <w:rFonts w:cs="Times New Roman"/>
          <w:snapToGrid/>
          <w:szCs w:val="22"/>
          <w:lang w:eastAsia="en-AU"/>
        </w:rPr>
        <w:t xml:space="preserve"> and potentially live births</w:t>
      </w:r>
      <w:r w:rsidRPr="0025173A">
        <w:rPr>
          <w:rFonts w:cs="Times New Roman"/>
          <w:i/>
          <w:snapToGrid/>
          <w:szCs w:val="22"/>
          <w:lang w:eastAsia="en-AU"/>
        </w:rPr>
        <w:t>.</w:t>
      </w:r>
    </w:p>
    <w:p w:rsidR="00D43467" w:rsidRPr="0025173A" w:rsidRDefault="00D43467" w:rsidP="00D43467">
      <w:pPr>
        <w:widowControl/>
        <w:ind w:left="709"/>
        <w:contextualSpacing/>
        <w:rPr>
          <w:rFonts w:cs="Times New Roman"/>
          <w:snapToGrid/>
          <w:szCs w:val="22"/>
          <w:lang w:eastAsia="en-AU"/>
        </w:rPr>
      </w:pPr>
    </w:p>
    <w:p w:rsidR="00D43467" w:rsidRPr="0025173A" w:rsidRDefault="00C26D22" w:rsidP="00D43467">
      <w:pPr>
        <w:pStyle w:val="ListParagraph"/>
        <w:widowControl/>
        <w:numPr>
          <w:ilvl w:val="1"/>
          <w:numId w:val="5"/>
        </w:numPr>
        <w:rPr>
          <w:rFonts w:cs="Times New Roman"/>
          <w:snapToGrid/>
          <w:szCs w:val="22"/>
          <w:lang w:eastAsia="en-AU"/>
        </w:rPr>
      </w:pPr>
      <w:r>
        <w:rPr>
          <w:rFonts w:cs="Times New Roman"/>
          <w:snapToGrid/>
          <w:szCs w:val="22"/>
          <w:lang w:eastAsia="en-AU"/>
        </w:rPr>
        <w:t>The PBAC agreed with the proposed PBS restriction as amended by the Secretariat</w:t>
      </w:r>
      <w:r w:rsidR="00D43467" w:rsidRPr="0025173A">
        <w:rPr>
          <w:rFonts w:cs="Times New Roman"/>
          <w:snapToGrid/>
          <w:szCs w:val="22"/>
          <w:lang w:eastAsia="en-AU"/>
        </w:rPr>
        <w:t>.</w:t>
      </w:r>
    </w:p>
    <w:p w:rsidR="00D43467" w:rsidRPr="0025173A" w:rsidRDefault="00D43467" w:rsidP="00D43467">
      <w:pPr>
        <w:widowControl/>
        <w:ind w:left="720"/>
        <w:contextualSpacing/>
        <w:jc w:val="left"/>
        <w:rPr>
          <w:rFonts w:cs="Times New Roman"/>
          <w:snapToGrid/>
          <w:szCs w:val="22"/>
          <w:lang w:eastAsia="en-AU"/>
        </w:rPr>
      </w:pPr>
    </w:p>
    <w:p w:rsidR="00C26D22" w:rsidRDefault="00C26D22" w:rsidP="00C26D22">
      <w:pPr>
        <w:pStyle w:val="ListParagraph"/>
        <w:widowControl/>
        <w:numPr>
          <w:ilvl w:val="1"/>
          <w:numId w:val="5"/>
        </w:numPr>
        <w:contextualSpacing w:val="0"/>
        <w:rPr>
          <w:szCs w:val="22"/>
        </w:rPr>
      </w:pPr>
      <w:r w:rsidRPr="00C26D22">
        <w:rPr>
          <w:rFonts w:cs="Times New Roman"/>
          <w:snapToGrid/>
          <w:szCs w:val="22"/>
          <w:lang w:eastAsia="en-AU"/>
        </w:rPr>
        <w:t xml:space="preserve">The PBAC agreed </w:t>
      </w:r>
      <w:r>
        <w:rPr>
          <w:rFonts w:cs="Times New Roman"/>
          <w:snapToGrid/>
          <w:szCs w:val="22"/>
          <w:lang w:eastAsia="en-AU"/>
        </w:rPr>
        <w:t>that</w:t>
      </w:r>
      <w:r w:rsidRPr="00C26D22">
        <w:rPr>
          <w:rFonts w:cs="Times New Roman"/>
          <w:snapToGrid/>
          <w:szCs w:val="22"/>
          <w:lang w:eastAsia="en-AU"/>
        </w:rPr>
        <w:t xml:space="preserve"> </w:t>
      </w:r>
      <w:r>
        <w:rPr>
          <w:rFonts w:cs="Times New Roman"/>
          <w:snapToGrid/>
          <w:szCs w:val="22"/>
          <w:lang w:eastAsia="en-AU"/>
        </w:rPr>
        <w:t xml:space="preserve">the clinical place for </w:t>
      </w:r>
      <w:r w:rsidRPr="00C26D22">
        <w:rPr>
          <w:rFonts w:cs="Times New Roman"/>
          <w:snapToGrid/>
          <w:szCs w:val="22"/>
          <w:lang w:eastAsia="en-AU"/>
        </w:rPr>
        <w:t xml:space="preserve">lutropin alfa </w:t>
      </w:r>
      <w:r>
        <w:rPr>
          <w:szCs w:val="22"/>
        </w:rPr>
        <w:t>would be limited to three subgroups of women who may not have sufficient endogenous LH to achieve optimal follicular development:</w:t>
      </w:r>
    </w:p>
    <w:p w:rsidR="00C26D22" w:rsidRDefault="00C26D22" w:rsidP="00C26D22">
      <w:pPr>
        <w:pStyle w:val="ListParagraph"/>
        <w:widowControl/>
        <w:numPr>
          <w:ilvl w:val="2"/>
          <w:numId w:val="9"/>
        </w:numPr>
        <w:ind w:left="993" w:hanging="284"/>
        <w:contextualSpacing w:val="0"/>
        <w:rPr>
          <w:szCs w:val="22"/>
        </w:rPr>
      </w:pPr>
      <w:r>
        <w:rPr>
          <w:szCs w:val="22"/>
        </w:rPr>
        <w:t>women with hypogonadotropic hypogonadism (a rare condition);</w:t>
      </w:r>
    </w:p>
    <w:p w:rsidR="00C26D22" w:rsidRDefault="00C26D22" w:rsidP="00C26D22">
      <w:pPr>
        <w:pStyle w:val="ListParagraph"/>
        <w:widowControl/>
        <w:numPr>
          <w:ilvl w:val="2"/>
          <w:numId w:val="9"/>
        </w:numPr>
        <w:ind w:left="993" w:hanging="284"/>
        <w:contextualSpacing w:val="0"/>
        <w:rPr>
          <w:szCs w:val="22"/>
        </w:rPr>
      </w:pPr>
      <w:r>
        <w:rPr>
          <w:szCs w:val="22"/>
        </w:rPr>
        <w:t xml:space="preserve">patients who experience profound pituitary down-regulation brought on by other assisted reproductive technology therapies; and </w:t>
      </w:r>
    </w:p>
    <w:p w:rsidR="00D43467" w:rsidRPr="00E01CFC" w:rsidRDefault="00C26D22" w:rsidP="00C26D22">
      <w:pPr>
        <w:pStyle w:val="ListParagraph"/>
        <w:widowControl/>
        <w:numPr>
          <w:ilvl w:val="2"/>
          <w:numId w:val="9"/>
        </w:numPr>
        <w:ind w:left="993" w:hanging="284"/>
        <w:contextualSpacing w:val="0"/>
        <w:rPr>
          <w:rFonts w:cs="Times New Roman"/>
          <w:snapToGrid/>
          <w:szCs w:val="22"/>
          <w:lang w:eastAsia="en-AU"/>
        </w:rPr>
      </w:pPr>
      <w:r w:rsidRPr="00E01CFC">
        <w:rPr>
          <w:szCs w:val="22"/>
        </w:rPr>
        <w:t>women of advanced reproductive age.</w:t>
      </w:r>
    </w:p>
    <w:p w:rsidR="00C26D22" w:rsidRPr="00E01CFC" w:rsidRDefault="00C26D22" w:rsidP="00C26D22">
      <w:pPr>
        <w:widowControl/>
        <w:ind w:left="709"/>
        <w:rPr>
          <w:rFonts w:cs="Times New Roman"/>
          <w:snapToGrid/>
          <w:szCs w:val="22"/>
          <w:lang w:eastAsia="en-AU"/>
        </w:rPr>
      </w:pPr>
    </w:p>
    <w:p w:rsidR="00E01CFC" w:rsidRPr="00E01CFC" w:rsidRDefault="00E01CFC" w:rsidP="00E01CFC">
      <w:pPr>
        <w:pStyle w:val="ListParagraph"/>
        <w:widowControl/>
        <w:numPr>
          <w:ilvl w:val="1"/>
          <w:numId w:val="5"/>
        </w:numPr>
        <w:contextualSpacing w:val="0"/>
        <w:rPr>
          <w:rFonts w:cs="Times New Roman"/>
          <w:snapToGrid/>
          <w:szCs w:val="22"/>
          <w:lang w:eastAsia="en-AU"/>
        </w:rPr>
      </w:pPr>
      <w:r>
        <w:rPr>
          <w:rFonts w:cs="Times New Roman"/>
          <w:snapToGrid/>
          <w:szCs w:val="22"/>
          <w:lang w:eastAsia="en-AU"/>
        </w:rPr>
        <w:t xml:space="preserve">The </w:t>
      </w:r>
      <w:r w:rsidRPr="00E01CFC">
        <w:rPr>
          <w:rFonts w:cs="Times New Roman"/>
          <w:snapToGrid/>
          <w:szCs w:val="22"/>
          <w:lang w:eastAsia="en-AU"/>
        </w:rPr>
        <w:t>PBAC did not share ESC’s concerns about the dose of lutropin alfa, as it would be unusual for women to receive more than 150IU.</w:t>
      </w:r>
    </w:p>
    <w:p w:rsidR="00C26D22" w:rsidRPr="00E01CFC" w:rsidRDefault="00C26D22" w:rsidP="00C26D22">
      <w:pPr>
        <w:pStyle w:val="ListParagraph"/>
        <w:widowControl/>
        <w:jc w:val="left"/>
        <w:rPr>
          <w:rFonts w:cs="Times New Roman"/>
          <w:snapToGrid/>
          <w:szCs w:val="22"/>
          <w:lang w:eastAsia="en-AU"/>
        </w:rPr>
      </w:pPr>
    </w:p>
    <w:p w:rsidR="00D43467" w:rsidRPr="00B80B5F" w:rsidRDefault="00E01CFC" w:rsidP="00D43467">
      <w:pPr>
        <w:pStyle w:val="ListParagraph"/>
        <w:widowControl/>
        <w:numPr>
          <w:ilvl w:val="1"/>
          <w:numId w:val="5"/>
        </w:numPr>
        <w:rPr>
          <w:rFonts w:cs="Times New Roman"/>
          <w:snapToGrid/>
          <w:szCs w:val="22"/>
          <w:lang w:eastAsia="en-AU"/>
        </w:rPr>
      </w:pPr>
      <w:r w:rsidRPr="00B80B5F">
        <w:rPr>
          <w:rFonts w:cs="Times New Roman"/>
          <w:snapToGrid/>
          <w:szCs w:val="22"/>
          <w:lang w:eastAsia="en-AU"/>
        </w:rPr>
        <w:t>T</w:t>
      </w:r>
      <w:r w:rsidR="00D43467" w:rsidRPr="00B80B5F">
        <w:rPr>
          <w:rFonts w:cs="Times New Roman"/>
          <w:snapToGrid/>
          <w:szCs w:val="22"/>
          <w:lang w:eastAsia="en-AU"/>
        </w:rPr>
        <w:t xml:space="preserve">he PBAC </w:t>
      </w:r>
      <w:r w:rsidRPr="00B80B5F">
        <w:rPr>
          <w:rFonts w:cs="Times New Roman"/>
          <w:snapToGrid/>
          <w:szCs w:val="22"/>
          <w:lang w:eastAsia="en-AU"/>
        </w:rPr>
        <w:t xml:space="preserve">accepted </w:t>
      </w:r>
      <w:r w:rsidRPr="00B80B5F">
        <w:t>rFSH alone (no supplementation with lutropin alfa) as the appropriate comparator.</w:t>
      </w:r>
    </w:p>
    <w:p w:rsidR="00D43467" w:rsidRPr="00B80B5F" w:rsidRDefault="00D43467" w:rsidP="00D43467">
      <w:pPr>
        <w:widowControl/>
        <w:ind w:left="720"/>
        <w:contextualSpacing/>
        <w:jc w:val="left"/>
        <w:rPr>
          <w:rFonts w:cs="Times New Roman"/>
          <w:snapToGrid/>
          <w:szCs w:val="22"/>
          <w:lang w:eastAsia="en-AU"/>
        </w:rPr>
      </w:pPr>
    </w:p>
    <w:p w:rsidR="00E01CFC" w:rsidRPr="000C4857" w:rsidRDefault="00E01CFC" w:rsidP="00D43467">
      <w:pPr>
        <w:pStyle w:val="ListParagraph"/>
        <w:widowControl/>
        <w:numPr>
          <w:ilvl w:val="1"/>
          <w:numId w:val="5"/>
        </w:numPr>
        <w:rPr>
          <w:rFonts w:cs="Times New Roman"/>
          <w:snapToGrid/>
          <w:szCs w:val="22"/>
          <w:lang w:eastAsia="en-AU"/>
        </w:rPr>
      </w:pPr>
      <w:r w:rsidRPr="00B80B5F">
        <w:rPr>
          <w:szCs w:val="22"/>
        </w:rPr>
        <w:t>The key clinical trial evidence was the meta</w:t>
      </w:r>
      <w:r w:rsidR="00B80B5F" w:rsidRPr="00B80B5F">
        <w:rPr>
          <w:szCs w:val="22"/>
        </w:rPr>
        <w:t>-</w:t>
      </w:r>
      <w:r w:rsidRPr="00B80B5F">
        <w:rPr>
          <w:szCs w:val="22"/>
        </w:rPr>
        <w:t xml:space="preserve">analysis by Lehert 2014, with a subgroup of poor responder patients representing the eligible PBS population. The PBAC </w:t>
      </w:r>
      <w:r w:rsidR="00B80B5F" w:rsidRPr="00B80B5F">
        <w:rPr>
          <w:szCs w:val="22"/>
        </w:rPr>
        <w:t xml:space="preserve">noted the ESC concern about the bias in the individual studies within the met-analysis and </w:t>
      </w:r>
      <w:r w:rsidR="00D607B0">
        <w:rPr>
          <w:szCs w:val="22"/>
        </w:rPr>
        <w:t xml:space="preserve">the </w:t>
      </w:r>
      <w:r w:rsidR="00B80B5F">
        <w:rPr>
          <w:szCs w:val="22"/>
        </w:rPr>
        <w:t xml:space="preserve">Pre-PBAC response discussion on how the biases were addressed. </w:t>
      </w:r>
      <w:r w:rsidR="00B80B5F" w:rsidRPr="000C4857">
        <w:rPr>
          <w:szCs w:val="22"/>
        </w:rPr>
        <w:t xml:space="preserve">Overall, the PBAC </w:t>
      </w:r>
      <w:r w:rsidRPr="000C4857">
        <w:rPr>
          <w:szCs w:val="22"/>
        </w:rPr>
        <w:t>considered the evidence to be less than ideal</w:t>
      </w:r>
      <w:r w:rsidR="00B80B5F" w:rsidRPr="000C4857">
        <w:rPr>
          <w:szCs w:val="22"/>
        </w:rPr>
        <w:t>,</w:t>
      </w:r>
      <w:r w:rsidRPr="000C4857">
        <w:rPr>
          <w:szCs w:val="22"/>
        </w:rPr>
        <w:t xml:space="preserve"> but nonetheless informative</w:t>
      </w:r>
      <w:r w:rsidR="00B80B5F" w:rsidRPr="000C4857">
        <w:rPr>
          <w:szCs w:val="22"/>
        </w:rPr>
        <w:t>.</w:t>
      </w:r>
    </w:p>
    <w:p w:rsidR="00E01CFC" w:rsidRPr="000C4857" w:rsidRDefault="00E01CFC" w:rsidP="00E01CFC">
      <w:pPr>
        <w:pStyle w:val="ListParagraph"/>
        <w:rPr>
          <w:szCs w:val="22"/>
        </w:rPr>
      </w:pPr>
    </w:p>
    <w:p w:rsidR="000C4857" w:rsidRPr="00AB1EDC" w:rsidRDefault="00B80B5F" w:rsidP="00D43467">
      <w:pPr>
        <w:pStyle w:val="ListParagraph"/>
        <w:widowControl/>
        <w:numPr>
          <w:ilvl w:val="1"/>
          <w:numId w:val="5"/>
        </w:numPr>
        <w:rPr>
          <w:rFonts w:cs="Times New Roman"/>
          <w:snapToGrid/>
          <w:szCs w:val="22"/>
          <w:lang w:eastAsia="en-AU"/>
        </w:rPr>
      </w:pPr>
      <w:r w:rsidRPr="000C4857">
        <w:rPr>
          <w:szCs w:val="22"/>
        </w:rPr>
        <w:t>The PBAC accepted</w:t>
      </w:r>
      <w:r w:rsidR="000C4857">
        <w:rPr>
          <w:szCs w:val="22"/>
        </w:rPr>
        <w:t>,</w:t>
      </w:r>
      <w:r w:rsidRPr="000C4857">
        <w:rPr>
          <w:szCs w:val="22"/>
        </w:rPr>
        <w:t xml:space="preserve"> f</w:t>
      </w:r>
      <w:r w:rsidR="00E01CFC" w:rsidRPr="000C4857">
        <w:rPr>
          <w:szCs w:val="22"/>
        </w:rPr>
        <w:t xml:space="preserve">or the poor responder population in the Lehert 2014 meta-analysis, </w:t>
      </w:r>
      <w:r w:rsidR="000C4857">
        <w:rPr>
          <w:szCs w:val="22"/>
        </w:rPr>
        <w:t xml:space="preserve">that </w:t>
      </w:r>
      <w:r w:rsidR="00E01CFC" w:rsidRPr="000C4857">
        <w:rPr>
          <w:szCs w:val="22"/>
        </w:rPr>
        <w:t xml:space="preserve">there were statistically significantly greater numbers of clinical pregnancies in the lutropin alfa + rFSH treatment arm compared to the rFSH only treatment arm. </w:t>
      </w:r>
      <w:r w:rsidR="000C4857" w:rsidRPr="000C4857">
        <w:rPr>
          <w:szCs w:val="22"/>
        </w:rPr>
        <w:t>Despite t</w:t>
      </w:r>
      <w:r w:rsidR="00E01CFC" w:rsidRPr="000C4857">
        <w:t>he point estimate show</w:t>
      </w:r>
      <w:r w:rsidR="000C4857" w:rsidRPr="000C4857">
        <w:t>ing</w:t>
      </w:r>
      <w:r w:rsidR="00E01CFC" w:rsidRPr="000C4857">
        <w:rPr>
          <w:i/>
          <w:szCs w:val="22"/>
        </w:rPr>
        <w:t xml:space="preserve"> </w:t>
      </w:r>
      <w:r w:rsidR="00E01CFC" w:rsidRPr="000C4857">
        <w:rPr>
          <w:szCs w:val="22"/>
        </w:rPr>
        <w:t>a higher number of live births in the lutropin alfa + rFSH treatment arm than in rFSH only arm, this difference was not statistically significant</w:t>
      </w:r>
      <w:r w:rsidR="000C4857" w:rsidRPr="000C4857">
        <w:rPr>
          <w:szCs w:val="22"/>
        </w:rPr>
        <w:t xml:space="preserve"> and the PBAC was not confident that </w:t>
      </w:r>
      <w:r w:rsidR="000C4857">
        <w:rPr>
          <w:szCs w:val="22"/>
        </w:rPr>
        <w:t xml:space="preserve">the </w:t>
      </w:r>
      <w:r w:rsidR="000C4857" w:rsidRPr="000C4857">
        <w:rPr>
          <w:szCs w:val="22"/>
        </w:rPr>
        <w:t xml:space="preserve">explanation provided in the Pre Sub-Committee response regarding the lack of statistical power in the sub group was </w:t>
      </w:r>
      <w:r w:rsidR="000C4857" w:rsidRPr="00AB1EDC">
        <w:rPr>
          <w:szCs w:val="22"/>
        </w:rPr>
        <w:t xml:space="preserve">sufficient to accept a claim of superiority with regard to live birth. However, PBAC did consider live birth to be the most relevant </w:t>
      </w:r>
      <w:r w:rsidR="00D61900" w:rsidRPr="00AB1EDC">
        <w:rPr>
          <w:szCs w:val="22"/>
        </w:rPr>
        <w:t xml:space="preserve">patient </w:t>
      </w:r>
      <w:r w:rsidR="000C4857" w:rsidRPr="00AB1EDC">
        <w:rPr>
          <w:szCs w:val="22"/>
        </w:rPr>
        <w:t>outcome and accepted this would be the most appropriate outcome for assessing cost effectiveness.</w:t>
      </w:r>
    </w:p>
    <w:p w:rsidR="000C4857" w:rsidRPr="00AB1EDC" w:rsidRDefault="000C4857" w:rsidP="000C4857">
      <w:pPr>
        <w:pStyle w:val="ListParagraph"/>
        <w:rPr>
          <w:i/>
          <w:szCs w:val="22"/>
        </w:rPr>
      </w:pPr>
    </w:p>
    <w:p w:rsidR="00AB1EDC" w:rsidRPr="008B1B13" w:rsidRDefault="00AB1EDC" w:rsidP="00D43467">
      <w:pPr>
        <w:pStyle w:val="ListParagraph"/>
        <w:widowControl/>
        <w:numPr>
          <w:ilvl w:val="1"/>
          <w:numId w:val="5"/>
        </w:numPr>
        <w:rPr>
          <w:rFonts w:cs="Times New Roman"/>
          <w:snapToGrid/>
          <w:szCs w:val="22"/>
          <w:lang w:eastAsia="en-AU"/>
        </w:rPr>
      </w:pPr>
      <w:r>
        <w:rPr>
          <w:szCs w:val="22"/>
        </w:rPr>
        <w:t xml:space="preserve">The </w:t>
      </w:r>
      <w:r w:rsidR="000C4857" w:rsidRPr="00AB1EDC">
        <w:rPr>
          <w:szCs w:val="22"/>
        </w:rPr>
        <w:t xml:space="preserve">PBAC </w:t>
      </w:r>
      <w:r w:rsidR="000C4857" w:rsidRPr="008B1B13">
        <w:rPr>
          <w:szCs w:val="22"/>
        </w:rPr>
        <w:t xml:space="preserve">did not accept the superior safety claim but </w:t>
      </w:r>
      <w:r w:rsidR="009D7681">
        <w:rPr>
          <w:szCs w:val="22"/>
        </w:rPr>
        <w:t xml:space="preserve">considered </w:t>
      </w:r>
      <w:r w:rsidR="000C4857" w:rsidRPr="008B1B13">
        <w:rPr>
          <w:szCs w:val="22"/>
        </w:rPr>
        <w:t xml:space="preserve">that </w:t>
      </w:r>
      <w:r w:rsidR="009D7681">
        <w:rPr>
          <w:szCs w:val="22"/>
        </w:rPr>
        <w:t xml:space="preserve">there is no increased risk of </w:t>
      </w:r>
      <w:r w:rsidR="000C4857" w:rsidRPr="008B1B13">
        <w:rPr>
          <w:szCs w:val="22"/>
        </w:rPr>
        <w:t xml:space="preserve">OHSS with this treatment. </w:t>
      </w:r>
      <w:r w:rsidR="000C4857" w:rsidRPr="008B1B13">
        <w:rPr>
          <w:i/>
          <w:szCs w:val="22"/>
        </w:rPr>
        <w:t xml:space="preserve"> </w:t>
      </w:r>
      <w:r w:rsidR="00E01CFC" w:rsidRPr="008B1B13">
        <w:rPr>
          <w:i/>
          <w:szCs w:val="22"/>
        </w:rPr>
        <w:t xml:space="preserve"> </w:t>
      </w:r>
    </w:p>
    <w:p w:rsidR="00AB1EDC" w:rsidRPr="008B1B13" w:rsidRDefault="00AB1EDC" w:rsidP="00AB1EDC">
      <w:pPr>
        <w:pStyle w:val="ListParagraph"/>
        <w:rPr>
          <w:rFonts w:cs="Times New Roman"/>
          <w:snapToGrid/>
          <w:szCs w:val="22"/>
          <w:lang w:eastAsia="en-AU"/>
        </w:rPr>
      </w:pPr>
    </w:p>
    <w:p w:rsidR="00D43467" w:rsidRPr="008B1B13" w:rsidRDefault="00AB1EDC" w:rsidP="00D43467">
      <w:pPr>
        <w:pStyle w:val="ListParagraph"/>
        <w:widowControl/>
        <w:numPr>
          <w:ilvl w:val="1"/>
          <w:numId w:val="5"/>
        </w:numPr>
        <w:jc w:val="left"/>
        <w:rPr>
          <w:rFonts w:cs="Times New Roman"/>
          <w:snapToGrid/>
          <w:szCs w:val="22"/>
          <w:lang w:eastAsia="en-AU"/>
        </w:rPr>
      </w:pPr>
      <w:r w:rsidRPr="008B1B13">
        <w:rPr>
          <w:rFonts w:cs="Times New Roman"/>
          <w:snapToGrid/>
          <w:szCs w:val="22"/>
          <w:lang w:eastAsia="en-AU"/>
        </w:rPr>
        <w:t>The PBAC accepted the incremental cost/extra live birth of $</w:t>
      </w:r>
      <w:r w:rsidR="00C540E7">
        <w:rPr>
          <w:rFonts w:cs="Times New Roman"/>
          <w:noProof/>
          <w:snapToGrid/>
          <w:color w:val="000000"/>
          <w:szCs w:val="22"/>
          <w:highlight w:val="black"/>
          <w:lang w:eastAsia="en-AU"/>
        </w:rPr>
        <w:t>''''''''''''''''''''</w:t>
      </w:r>
      <w:r w:rsidRPr="008B1B13">
        <w:rPr>
          <w:rFonts w:cs="Times New Roman"/>
          <w:snapToGrid/>
          <w:szCs w:val="22"/>
          <w:lang w:eastAsia="en-AU"/>
        </w:rPr>
        <w:t>, noting that the ICER woul</w:t>
      </w:r>
      <w:r w:rsidR="000E119D" w:rsidRPr="008B1B13">
        <w:rPr>
          <w:rFonts w:cs="Times New Roman"/>
          <w:snapToGrid/>
          <w:szCs w:val="22"/>
          <w:lang w:eastAsia="en-AU"/>
        </w:rPr>
        <w:t>d</w:t>
      </w:r>
      <w:r w:rsidRPr="008B1B13">
        <w:rPr>
          <w:rFonts w:cs="Times New Roman"/>
          <w:snapToGrid/>
          <w:szCs w:val="22"/>
          <w:lang w:eastAsia="en-AU"/>
        </w:rPr>
        <w:t xml:space="preserve"> likely remain cost-effective even if the </w:t>
      </w:r>
      <w:r w:rsidR="000E119D" w:rsidRPr="008B1B13">
        <w:rPr>
          <w:rFonts w:cs="Times New Roman"/>
          <w:snapToGrid/>
          <w:szCs w:val="22"/>
          <w:lang w:eastAsia="en-AU"/>
        </w:rPr>
        <w:t>probability of</w:t>
      </w:r>
      <w:r w:rsidRPr="008B1B13">
        <w:rPr>
          <w:rFonts w:cs="Times New Roman"/>
          <w:snapToGrid/>
          <w:szCs w:val="22"/>
          <w:lang w:eastAsia="en-AU"/>
        </w:rPr>
        <w:t xml:space="preserve"> </w:t>
      </w:r>
      <w:r w:rsidR="000E119D" w:rsidRPr="008B1B13">
        <w:rPr>
          <w:rFonts w:cs="Times New Roman"/>
          <w:snapToGrid/>
          <w:szCs w:val="22"/>
          <w:lang w:eastAsia="en-AU"/>
        </w:rPr>
        <w:t>live birth was reduced</w:t>
      </w:r>
      <w:r w:rsidRPr="008B1B13">
        <w:rPr>
          <w:rFonts w:cs="Times New Roman"/>
          <w:snapToGrid/>
          <w:szCs w:val="22"/>
          <w:lang w:eastAsia="en-AU"/>
        </w:rPr>
        <w:t xml:space="preserve">. </w:t>
      </w:r>
    </w:p>
    <w:p w:rsidR="00AB1EDC" w:rsidRPr="008B1B13" w:rsidRDefault="00AB1EDC" w:rsidP="00AB1EDC">
      <w:pPr>
        <w:pStyle w:val="ListParagraph"/>
        <w:rPr>
          <w:rFonts w:cs="Times New Roman"/>
          <w:snapToGrid/>
          <w:szCs w:val="22"/>
          <w:lang w:eastAsia="en-AU"/>
        </w:rPr>
      </w:pPr>
    </w:p>
    <w:p w:rsidR="00D43467" w:rsidRPr="008B1B13" w:rsidRDefault="008B1B13" w:rsidP="00D43467">
      <w:pPr>
        <w:pStyle w:val="ListParagraph"/>
        <w:widowControl/>
        <w:numPr>
          <w:ilvl w:val="1"/>
          <w:numId w:val="5"/>
        </w:numPr>
        <w:rPr>
          <w:rFonts w:cs="Times New Roman"/>
          <w:snapToGrid/>
          <w:szCs w:val="22"/>
          <w:lang w:eastAsia="en-AU"/>
        </w:rPr>
      </w:pPr>
      <w:r w:rsidRPr="008B1B13">
        <w:rPr>
          <w:rFonts w:cs="Times New Roman"/>
          <w:snapToGrid/>
          <w:szCs w:val="22"/>
          <w:lang w:eastAsia="en-AU"/>
        </w:rPr>
        <w:t>The PBAC did not consider this product would be used unnecessarily and that the proposed estimates of use were acceptable.</w:t>
      </w:r>
    </w:p>
    <w:p w:rsidR="008B1B13" w:rsidRPr="008B1B13" w:rsidRDefault="008B1B13" w:rsidP="008B1B13">
      <w:pPr>
        <w:pStyle w:val="ListParagraph"/>
        <w:rPr>
          <w:rFonts w:cs="Times New Roman"/>
          <w:snapToGrid/>
          <w:szCs w:val="22"/>
          <w:lang w:eastAsia="en-AU"/>
        </w:rPr>
      </w:pPr>
    </w:p>
    <w:p w:rsidR="008B1B13" w:rsidRPr="008B1B13" w:rsidRDefault="008B1B13" w:rsidP="008B1B13">
      <w:pPr>
        <w:pStyle w:val="ListParagraph"/>
        <w:widowControl/>
        <w:numPr>
          <w:ilvl w:val="1"/>
          <w:numId w:val="5"/>
        </w:numPr>
        <w:rPr>
          <w:szCs w:val="22"/>
        </w:rPr>
      </w:pPr>
      <w:r w:rsidRPr="008B1B13">
        <w:t xml:space="preserve">The PBAC noted the proposed risk share arrangement, with a per vial price reduction of </w:t>
      </w:r>
      <w:r w:rsidR="00C540E7">
        <w:rPr>
          <w:noProof/>
          <w:color w:val="000000"/>
          <w:highlight w:val="black"/>
        </w:rPr>
        <w:t>''''''''''</w:t>
      </w:r>
      <w:r w:rsidRPr="008B1B13">
        <w:t>% ($</w:t>
      </w:r>
      <w:r w:rsidR="00C540E7">
        <w:rPr>
          <w:noProof/>
          <w:color w:val="000000"/>
          <w:highlight w:val="black"/>
        </w:rPr>
        <w:t>'''''''''''''</w:t>
      </w:r>
      <w:r w:rsidRPr="008B1B13">
        <w:t xml:space="preserve"> per vial) for each vial sold above the annual projections in any one year. The PBAC considered any risk share arrangement should consider minimising Government financial risk for use above 150IU.</w:t>
      </w:r>
    </w:p>
    <w:p w:rsidR="00D43467" w:rsidRPr="00D607B0" w:rsidRDefault="00D43467" w:rsidP="00D43467">
      <w:pPr>
        <w:widowControl/>
        <w:rPr>
          <w:rFonts w:cs="Times New Roman"/>
          <w:snapToGrid/>
          <w:szCs w:val="22"/>
          <w:lang w:eastAsia="en-AU"/>
        </w:rPr>
      </w:pPr>
    </w:p>
    <w:p w:rsidR="00D43467" w:rsidRPr="00D607B0" w:rsidRDefault="00D43467" w:rsidP="00D43467">
      <w:pPr>
        <w:pStyle w:val="ListParagraph"/>
        <w:widowControl/>
        <w:numPr>
          <w:ilvl w:val="1"/>
          <w:numId w:val="5"/>
        </w:numPr>
        <w:rPr>
          <w:rFonts w:cs="Times New Roman"/>
          <w:snapToGrid/>
          <w:szCs w:val="22"/>
          <w:lang w:eastAsia="en-AU"/>
        </w:rPr>
      </w:pPr>
      <w:r w:rsidRPr="00D607B0">
        <w:rPr>
          <w:rFonts w:cs="Times New Roman"/>
          <w:snapToGrid/>
          <w:szCs w:val="22"/>
          <w:lang w:eastAsia="en-AU"/>
        </w:rPr>
        <w:t xml:space="preserve">The PBAC advised that </w:t>
      </w:r>
      <w:r w:rsidR="00D607B0" w:rsidRPr="00D607B0">
        <w:rPr>
          <w:rFonts w:cs="Times New Roman"/>
          <w:snapToGrid/>
          <w:szCs w:val="22"/>
          <w:lang w:eastAsia="en-AU"/>
        </w:rPr>
        <w:t>lutropin alfa</w:t>
      </w:r>
      <w:r w:rsidRPr="00D607B0">
        <w:rPr>
          <w:rFonts w:cs="Times New Roman"/>
          <w:snapToGrid/>
          <w:szCs w:val="22"/>
          <w:lang w:eastAsia="en-AU"/>
        </w:rPr>
        <w:t xml:space="preserve"> is not suitable for prescribing by nurse practitioners.  </w:t>
      </w:r>
    </w:p>
    <w:p w:rsidR="00D43467" w:rsidRPr="00D607B0" w:rsidRDefault="00D43467" w:rsidP="00D43467">
      <w:pPr>
        <w:widowControl/>
        <w:ind w:left="720"/>
        <w:contextualSpacing/>
        <w:jc w:val="left"/>
        <w:rPr>
          <w:rFonts w:cs="Times New Roman"/>
          <w:snapToGrid/>
          <w:szCs w:val="22"/>
          <w:lang w:eastAsia="en-AU"/>
        </w:rPr>
      </w:pPr>
    </w:p>
    <w:p w:rsidR="00D43467" w:rsidRPr="00D607B0" w:rsidRDefault="00D43467" w:rsidP="00D43467">
      <w:pPr>
        <w:pStyle w:val="ListParagraph"/>
        <w:widowControl/>
        <w:numPr>
          <w:ilvl w:val="1"/>
          <w:numId w:val="5"/>
        </w:numPr>
        <w:rPr>
          <w:rFonts w:cs="Times New Roman"/>
          <w:snapToGrid/>
          <w:szCs w:val="22"/>
          <w:lang w:eastAsia="en-AU"/>
        </w:rPr>
      </w:pPr>
      <w:r w:rsidRPr="00D607B0">
        <w:rPr>
          <w:rFonts w:cs="Times New Roman"/>
          <w:snapToGrid/>
          <w:szCs w:val="22"/>
          <w:lang w:eastAsia="en-AU"/>
        </w:rPr>
        <w:t>The PBAC recommended that the Safety Net 20 Day Rule should not apply</w:t>
      </w:r>
      <w:r w:rsidR="00D607B0" w:rsidRPr="00D607B0">
        <w:rPr>
          <w:rFonts w:cs="Times New Roman"/>
          <w:snapToGrid/>
          <w:szCs w:val="22"/>
          <w:lang w:eastAsia="en-AU"/>
        </w:rPr>
        <w:t xml:space="preserve"> as this is a section 100 item.</w:t>
      </w:r>
    </w:p>
    <w:p w:rsidR="00D43467" w:rsidRDefault="00D43467" w:rsidP="00D43467">
      <w:pPr>
        <w:widowControl/>
        <w:ind w:left="720"/>
        <w:contextualSpacing/>
        <w:jc w:val="left"/>
        <w:rPr>
          <w:rFonts w:cs="Times New Roman"/>
          <w:snapToGrid/>
          <w:szCs w:val="22"/>
          <w:lang w:eastAsia="en-AU"/>
        </w:rPr>
      </w:pPr>
    </w:p>
    <w:p w:rsidR="00545F03" w:rsidRPr="00D607B0" w:rsidRDefault="00545F03" w:rsidP="00D43467">
      <w:pPr>
        <w:widowControl/>
        <w:ind w:left="720"/>
        <w:contextualSpacing/>
        <w:jc w:val="left"/>
        <w:rPr>
          <w:rFonts w:cs="Times New Roman"/>
          <w:snapToGrid/>
          <w:szCs w:val="22"/>
          <w:lang w:eastAsia="en-AU"/>
        </w:rPr>
      </w:pPr>
    </w:p>
    <w:p w:rsidR="00D43467" w:rsidRPr="00D607B0" w:rsidRDefault="00D43467" w:rsidP="00D43467">
      <w:pPr>
        <w:widowControl/>
        <w:rPr>
          <w:rFonts w:cs="Times New Roman"/>
          <w:b/>
          <w:snapToGrid/>
          <w:szCs w:val="22"/>
          <w:lang w:eastAsia="en-AU"/>
        </w:rPr>
      </w:pPr>
      <w:r w:rsidRPr="00D607B0">
        <w:rPr>
          <w:rFonts w:cs="Times New Roman"/>
          <w:b/>
          <w:snapToGrid/>
          <w:szCs w:val="22"/>
          <w:lang w:eastAsia="en-AU"/>
        </w:rPr>
        <w:t>Outcome:</w:t>
      </w:r>
    </w:p>
    <w:p w:rsidR="00D43467" w:rsidRPr="00D607B0" w:rsidRDefault="00D43467" w:rsidP="00D43467">
      <w:pPr>
        <w:widowControl/>
        <w:rPr>
          <w:rFonts w:cs="Times New Roman"/>
          <w:snapToGrid/>
          <w:szCs w:val="22"/>
          <w:lang w:eastAsia="en-AU"/>
        </w:rPr>
      </w:pPr>
      <w:r w:rsidRPr="00D607B0">
        <w:rPr>
          <w:rFonts w:cs="Times New Roman"/>
          <w:snapToGrid/>
          <w:szCs w:val="22"/>
          <w:lang w:eastAsia="en-AU"/>
        </w:rPr>
        <w:t xml:space="preserve">Recommended </w:t>
      </w:r>
    </w:p>
    <w:p w:rsidR="00D607B0" w:rsidRDefault="00D607B0" w:rsidP="00D43467">
      <w:pPr>
        <w:widowControl/>
        <w:rPr>
          <w:rFonts w:cs="Times New Roman"/>
          <w:snapToGrid/>
          <w:szCs w:val="22"/>
          <w:highlight w:val="yellow"/>
          <w:lang w:eastAsia="en-AU"/>
        </w:rPr>
      </w:pPr>
    </w:p>
    <w:p w:rsidR="00D43467" w:rsidRPr="00102638" w:rsidRDefault="00D43467" w:rsidP="00D43467">
      <w:pPr>
        <w:widowControl/>
        <w:rPr>
          <w:rFonts w:cs="Times New Roman"/>
          <w:snapToGrid/>
          <w:szCs w:val="22"/>
          <w:lang w:eastAsia="en-AU"/>
        </w:rPr>
      </w:pPr>
    </w:p>
    <w:p w:rsidR="00D43467" w:rsidRPr="00545F03" w:rsidRDefault="00D43467" w:rsidP="00D43467">
      <w:pPr>
        <w:pStyle w:val="PBACHeading1"/>
        <w:rPr>
          <w:rFonts w:cs="Times New Roman"/>
          <w:snapToGrid/>
          <w:lang w:eastAsia="en-AU"/>
        </w:rPr>
      </w:pPr>
      <w:r w:rsidRPr="00102638">
        <w:rPr>
          <w:snapToGrid/>
          <w:lang w:eastAsia="en-AU"/>
        </w:rPr>
        <w:t>Recommended listing</w:t>
      </w:r>
    </w:p>
    <w:p w:rsidR="00D43467" w:rsidRPr="00102638" w:rsidRDefault="00D43467" w:rsidP="00D43467">
      <w:pPr>
        <w:widowControl/>
        <w:rPr>
          <w:rFonts w:cs="Times New Roman"/>
          <w:snapToGrid/>
          <w:szCs w:val="22"/>
          <w:lang w:eastAsia="en-AU"/>
        </w:rPr>
      </w:pPr>
    </w:p>
    <w:p w:rsidR="00D43467" w:rsidRPr="00102638" w:rsidRDefault="00D43467" w:rsidP="00102638">
      <w:pPr>
        <w:pStyle w:val="ListParagraph"/>
        <w:widowControl/>
        <w:numPr>
          <w:ilvl w:val="1"/>
          <w:numId w:val="5"/>
        </w:numPr>
        <w:rPr>
          <w:rFonts w:cs="Times New Roman"/>
          <w:snapToGrid/>
          <w:szCs w:val="22"/>
          <w:lang w:eastAsia="en-AU"/>
        </w:rPr>
      </w:pPr>
      <w:r w:rsidRPr="00102638">
        <w:rPr>
          <w:rFonts w:cs="Times New Roman"/>
          <w:snapToGrid/>
          <w:szCs w:val="22"/>
          <w:lang w:eastAsia="en-AU"/>
        </w:rPr>
        <w:t>Add new item:</w:t>
      </w:r>
    </w:p>
    <w:p w:rsidR="00102638" w:rsidRPr="00102638" w:rsidRDefault="00102638" w:rsidP="00102638">
      <w:pPr>
        <w:widowControl/>
        <w:ind w:left="709"/>
        <w:contextualSpacing/>
        <w:rPr>
          <w:rFonts w:cs="Times New Roman"/>
          <w:snapToGrid/>
          <w:szCs w:val="22"/>
          <w:lang w:eastAsia="en-AU"/>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102638" w:rsidRPr="00C61D08" w:rsidTr="001F0C5E">
        <w:trPr>
          <w:cantSplit/>
          <w:trHeight w:val="471"/>
        </w:trPr>
        <w:tc>
          <w:tcPr>
            <w:tcW w:w="2552" w:type="dxa"/>
            <w:gridSpan w:val="2"/>
            <w:tcBorders>
              <w:bottom w:val="single" w:sz="4" w:space="0" w:color="auto"/>
            </w:tcBorders>
          </w:tcPr>
          <w:p w:rsidR="00102638" w:rsidRPr="00102638" w:rsidRDefault="00102638" w:rsidP="001F0C5E">
            <w:pPr>
              <w:keepNext/>
              <w:widowControl/>
              <w:ind w:left="-108"/>
              <w:rPr>
                <w:rFonts w:ascii="Arial Narrow" w:hAnsi="Arial Narrow"/>
                <w:snapToGrid/>
                <w:sz w:val="20"/>
                <w:lang w:eastAsia="en-AU"/>
              </w:rPr>
            </w:pPr>
            <w:r w:rsidRPr="00102638">
              <w:rPr>
                <w:rFonts w:ascii="Arial Narrow" w:hAnsi="Arial Narrow"/>
                <w:snapToGrid/>
                <w:sz w:val="20"/>
                <w:lang w:eastAsia="en-AU"/>
              </w:rPr>
              <w:lastRenderedPageBreak/>
              <w:t>Name, Restriction,</w:t>
            </w:r>
          </w:p>
          <w:p w:rsidR="00102638" w:rsidRPr="00102638" w:rsidRDefault="00102638" w:rsidP="001F0C5E">
            <w:pPr>
              <w:keepNext/>
              <w:widowControl/>
              <w:ind w:left="-108"/>
              <w:rPr>
                <w:rFonts w:ascii="Arial Narrow" w:hAnsi="Arial Narrow"/>
                <w:snapToGrid/>
                <w:sz w:val="20"/>
                <w:lang w:eastAsia="en-AU"/>
              </w:rPr>
            </w:pPr>
            <w:r w:rsidRPr="00102638">
              <w:rPr>
                <w:rFonts w:ascii="Arial Narrow" w:hAnsi="Arial Narrow"/>
                <w:snapToGrid/>
                <w:sz w:val="20"/>
                <w:lang w:eastAsia="en-AU"/>
              </w:rPr>
              <w:t>Manner of administration and form</w:t>
            </w:r>
          </w:p>
        </w:tc>
        <w:tc>
          <w:tcPr>
            <w:tcW w:w="567" w:type="dxa"/>
            <w:tcBorders>
              <w:bottom w:val="single" w:sz="4" w:space="0" w:color="auto"/>
            </w:tcBorders>
          </w:tcPr>
          <w:p w:rsidR="00102638" w:rsidRPr="00102638" w:rsidRDefault="00102638" w:rsidP="001F0C5E">
            <w:pPr>
              <w:keepNext/>
              <w:widowControl/>
              <w:ind w:left="-108"/>
              <w:rPr>
                <w:rFonts w:ascii="Arial Narrow" w:hAnsi="Arial Narrow"/>
                <w:snapToGrid/>
                <w:sz w:val="20"/>
                <w:lang w:eastAsia="en-AU"/>
              </w:rPr>
            </w:pPr>
            <w:r w:rsidRPr="00102638">
              <w:rPr>
                <w:rFonts w:ascii="Arial Narrow" w:hAnsi="Arial Narrow"/>
                <w:snapToGrid/>
                <w:sz w:val="20"/>
                <w:lang w:eastAsia="en-AU"/>
              </w:rPr>
              <w:t>Max.</w:t>
            </w:r>
          </w:p>
          <w:p w:rsidR="00102638" w:rsidRPr="00102638" w:rsidRDefault="00102638" w:rsidP="001F0C5E">
            <w:pPr>
              <w:keepNext/>
              <w:widowControl/>
              <w:ind w:left="-108"/>
              <w:rPr>
                <w:rFonts w:ascii="Arial Narrow" w:hAnsi="Arial Narrow"/>
                <w:snapToGrid/>
                <w:sz w:val="20"/>
                <w:lang w:eastAsia="en-AU"/>
              </w:rPr>
            </w:pPr>
            <w:r w:rsidRPr="00102638">
              <w:rPr>
                <w:rFonts w:ascii="Arial Narrow" w:hAnsi="Arial Narrow"/>
                <w:snapToGrid/>
                <w:sz w:val="20"/>
                <w:lang w:eastAsia="en-AU"/>
              </w:rPr>
              <w:t>Qty</w:t>
            </w:r>
          </w:p>
        </w:tc>
        <w:tc>
          <w:tcPr>
            <w:tcW w:w="850" w:type="dxa"/>
            <w:tcBorders>
              <w:bottom w:val="single" w:sz="4" w:space="0" w:color="auto"/>
            </w:tcBorders>
          </w:tcPr>
          <w:p w:rsidR="00102638" w:rsidRPr="00102638" w:rsidRDefault="00102638" w:rsidP="001F0C5E">
            <w:pPr>
              <w:keepNext/>
              <w:widowControl/>
              <w:ind w:left="-108"/>
              <w:rPr>
                <w:rFonts w:ascii="Arial Narrow" w:hAnsi="Arial Narrow"/>
                <w:snapToGrid/>
                <w:sz w:val="20"/>
                <w:lang w:eastAsia="en-AU"/>
              </w:rPr>
            </w:pPr>
            <w:r w:rsidRPr="00102638">
              <w:rPr>
                <w:rFonts w:ascii="Arial Narrow" w:hAnsi="Arial Narrow"/>
                <w:snapToGrid/>
                <w:sz w:val="20"/>
                <w:lang w:eastAsia="en-AU"/>
              </w:rPr>
              <w:t>№.of</w:t>
            </w:r>
          </w:p>
          <w:p w:rsidR="00102638" w:rsidRPr="00102638" w:rsidRDefault="00102638" w:rsidP="001F0C5E">
            <w:pPr>
              <w:keepNext/>
              <w:widowControl/>
              <w:ind w:left="-108"/>
              <w:rPr>
                <w:rFonts w:ascii="Arial Narrow" w:hAnsi="Arial Narrow"/>
                <w:snapToGrid/>
                <w:sz w:val="20"/>
                <w:lang w:eastAsia="en-AU"/>
              </w:rPr>
            </w:pPr>
            <w:r w:rsidRPr="00102638">
              <w:rPr>
                <w:rFonts w:ascii="Arial Narrow" w:hAnsi="Arial Narrow"/>
                <w:snapToGrid/>
                <w:sz w:val="20"/>
                <w:lang w:eastAsia="en-AU"/>
              </w:rPr>
              <w:t>Rpts</w:t>
            </w:r>
          </w:p>
        </w:tc>
        <w:tc>
          <w:tcPr>
            <w:tcW w:w="1701" w:type="dxa"/>
            <w:tcBorders>
              <w:bottom w:val="single" w:sz="4" w:space="0" w:color="auto"/>
            </w:tcBorders>
          </w:tcPr>
          <w:p w:rsidR="00102638" w:rsidRPr="00102638" w:rsidRDefault="00102638" w:rsidP="001F0C5E">
            <w:pPr>
              <w:keepNext/>
              <w:widowControl/>
              <w:ind w:left="-108"/>
              <w:rPr>
                <w:rFonts w:ascii="Arial Narrow" w:hAnsi="Arial Narrow"/>
                <w:snapToGrid/>
                <w:sz w:val="20"/>
                <w:lang w:eastAsia="en-AU"/>
              </w:rPr>
            </w:pPr>
            <w:r w:rsidRPr="00102638">
              <w:rPr>
                <w:rFonts w:ascii="Arial Narrow" w:hAnsi="Arial Narrow"/>
                <w:snapToGrid/>
                <w:sz w:val="20"/>
                <w:lang w:eastAsia="en-AU"/>
              </w:rPr>
              <w:t>Dispensed Price for Max. Qty</w:t>
            </w:r>
          </w:p>
        </w:tc>
        <w:tc>
          <w:tcPr>
            <w:tcW w:w="2835" w:type="dxa"/>
            <w:gridSpan w:val="2"/>
            <w:tcBorders>
              <w:bottom w:val="single" w:sz="4" w:space="0" w:color="auto"/>
            </w:tcBorders>
          </w:tcPr>
          <w:p w:rsidR="00102638" w:rsidRPr="00C61D08" w:rsidRDefault="00102638" w:rsidP="001F0C5E">
            <w:pPr>
              <w:keepNext/>
              <w:widowControl/>
              <w:rPr>
                <w:rFonts w:ascii="Arial Narrow" w:hAnsi="Arial Narrow"/>
                <w:snapToGrid/>
                <w:sz w:val="20"/>
                <w:lang w:val="fr-FR" w:eastAsia="en-AU"/>
              </w:rPr>
            </w:pPr>
            <w:r w:rsidRPr="00102638">
              <w:rPr>
                <w:rFonts w:ascii="Arial Narrow" w:hAnsi="Arial Narrow"/>
                <w:snapToGrid/>
                <w:sz w:val="20"/>
                <w:lang w:eastAsia="en-AU"/>
              </w:rPr>
              <w:t>Proprietary Name and Manufacturer</w:t>
            </w:r>
          </w:p>
        </w:tc>
      </w:tr>
      <w:tr w:rsidR="00102638" w:rsidRPr="00C61D08" w:rsidTr="001F0C5E">
        <w:trPr>
          <w:cantSplit/>
          <w:trHeight w:val="577"/>
        </w:trPr>
        <w:tc>
          <w:tcPr>
            <w:tcW w:w="2552" w:type="dxa"/>
            <w:gridSpan w:val="2"/>
          </w:tcPr>
          <w:p w:rsidR="00102638" w:rsidRPr="00C61D08" w:rsidRDefault="00102638" w:rsidP="001F0C5E">
            <w:pPr>
              <w:keepNext/>
              <w:widowControl/>
              <w:rPr>
                <w:sz w:val="20"/>
              </w:rPr>
            </w:pPr>
            <w:r w:rsidRPr="00C61D08">
              <w:rPr>
                <w:smallCaps/>
                <w:sz w:val="20"/>
              </w:rPr>
              <w:t>lutropin alfa</w:t>
            </w:r>
          </w:p>
          <w:p w:rsidR="00102638" w:rsidRPr="00C61D08" w:rsidRDefault="00102638" w:rsidP="001F0C5E">
            <w:pPr>
              <w:keepNext/>
              <w:widowControl/>
              <w:rPr>
                <w:sz w:val="20"/>
              </w:rPr>
            </w:pPr>
            <w:r w:rsidRPr="00C61D08">
              <w:rPr>
                <w:sz w:val="20"/>
              </w:rPr>
              <w:t>Powder for injection 75IU. Vial of solvent, 1mL water for injections</w:t>
            </w:r>
          </w:p>
        </w:tc>
        <w:tc>
          <w:tcPr>
            <w:tcW w:w="567" w:type="dxa"/>
          </w:tcPr>
          <w:p w:rsidR="00102638" w:rsidRPr="00C61D08" w:rsidRDefault="00102638" w:rsidP="001F0C5E">
            <w:pPr>
              <w:keepNext/>
              <w:widowControl/>
              <w:jc w:val="center"/>
              <w:rPr>
                <w:sz w:val="20"/>
              </w:rPr>
            </w:pPr>
          </w:p>
          <w:p w:rsidR="00102638" w:rsidRPr="00C61D08" w:rsidRDefault="00102638" w:rsidP="001F0C5E">
            <w:pPr>
              <w:keepNext/>
              <w:widowControl/>
              <w:jc w:val="center"/>
              <w:rPr>
                <w:sz w:val="20"/>
              </w:rPr>
            </w:pPr>
            <w:r w:rsidRPr="00C61D08">
              <w:rPr>
                <w:sz w:val="20"/>
              </w:rPr>
              <w:t>1</w:t>
            </w:r>
          </w:p>
        </w:tc>
        <w:tc>
          <w:tcPr>
            <w:tcW w:w="850" w:type="dxa"/>
          </w:tcPr>
          <w:p w:rsidR="00102638" w:rsidRPr="00C61D08" w:rsidRDefault="00102638" w:rsidP="001F0C5E">
            <w:pPr>
              <w:keepNext/>
              <w:widowControl/>
              <w:jc w:val="center"/>
              <w:rPr>
                <w:sz w:val="20"/>
              </w:rPr>
            </w:pPr>
          </w:p>
          <w:p w:rsidR="00102638" w:rsidRPr="00C61D08" w:rsidRDefault="00102638" w:rsidP="001F0C5E">
            <w:pPr>
              <w:keepNext/>
              <w:widowControl/>
              <w:jc w:val="center"/>
              <w:rPr>
                <w:sz w:val="20"/>
              </w:rPr>
            </w:pPr>
            <w:r w:rsidRPr="00C61D08">
              <w:rPr>
                <w:sz w:val="20"/>
              </w:rPr>
              <w:t>1</w:t>
            </w:r>
          </w:p>
        </w:tc>
        <w:tc>
          <w:tcPr>
            <w:tcW w:w="1701" w:type="dxa"/>
          </w:tcPr>
          <w:p w:rsidR="00102638" w:rsidRPr="00C61D08" w:rsidRDefault="00102638" w:rsidP="001F0C5E">
            <w:pPr>
              <w:keepNext/>
              <w:widowControl/>
              <w:jc w:val="center"/>
              <w:rPr>
                <w:sz w:val="20"/>
              </w:rPr>
            </w:pPr>
          </w:p>
          <w:p w:rsidR="00102638" w:rsidRPr="00C61D08" w:rsidRDefault="007712F3" w:rsidP="001F0C5E">
            <w:pPr>
              <w:keepNext/>
              <w:widowControl/>
              <w:jc w:val="center"/>
              <w:rPr>
                <w:sz w:val="20"/>
              </w:rPr>
            </w:pPr>
            <w:r>
              <w:rPr>
                <w:sz w:val="20"/>
              </w:rPr>
              <w:t>TBD</w:t>
            </w:r>
          </w:p>
        </w:tc>
        <w:tc>
          <w:tcPr>
            <w:tcW w:w="1559" w:type="dxa"/>
          </w:tcPr>
          <w:p w:rsidR="00102638" w:rsidRPr="00C61D08" w:rsidRDefault="00102638" w:rsidP="001F0C5E">
            <w:pPr>
              <w:keepNext/>
              <w:widowControl/>
              <w:jc w:val="center"/>
              <w:rPr>
                <w:sz w:val="20"/>
              </w:rPr>
            </w:pPr>
            <w:r w:rsidRPr="00C61D08">
              <w:rPr>
                <w:sz w:val="20"/>
              </w:rPr>
              <w:t>Luveris®</w:t>
            </w:r>
          </w:p>
        </w:tc>
        <w:tc>
          <w:tcPr>
            <w:tcW w:w="1276" w:type="dxa"/>
          </w:tcPr>
          <w:p w:rsidR="00102638" w:rsidRPr="00C61D08" w:rsidRDefault="00102638" w:rsidP="001F0C5E">
            <w:pPr>
              <w:keepNext/>
              <w:widowControl/>
              <w:jc w:val="center"/>
              <w:rPr>
                <w:sz w:val="20"/>
              </w:rPr>
            </w:pPr>
            <w:r w:rsidRPr="00C61D08">
              <w:rPr>
                <w:sz w:val="20"/>
              </w:rPr>
              <w:t>Merck Serono Australia Pty Ltd</w:t>
            </w:r>
          </w:p>
        </w:tc>
      </w:tr>
      <w:tr w:rsidR="00102638" w:rsidRPr="00C61D08" w:rsidTr="001F0C5E">
        <w:trPr>
          <w:cantSplit/>
          <w:trHeight w:val="360"/>
        </w:trPr>
        <w:tc>
          <w:tcPr>
            <w:tcW w:w="2126" w:type="dxa"/>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rPr>
                <w:rFonts w:ascii="Arial Narrow" w:hAnsi="Arial Narrow"/>
                <w:b/>
                <w:snapToGrid/>
                <w:sz w:val="20"/>
                <w:lang w:eastAsia="en-AU"/>
              </w:rPr>
            </w:pPr>
            <w:r w:rsidRPr="00C61D08">
              <w:rPr>
                <w:rFonts w:ascii="Arial Narrow" w:hAnsi="Arial Narrow"/>
                <w:b/>
                <w:snapToGrid/>
                <w:sz w:val="20"/>
                <w:lang w:eastAsia="en-AU"/>
              </w:rPr>
              <w:t xml:space="preserve">Category / </w:t>
            </w:r>
          </w:p>
          <w:p w:rsidR="00102638" w:rsidRPr="00C61D08" w:rsidRDefault="00102638" w:rsidP="001F0C5E">
            <w:pPr>
              <w:widowControl/>
              <w:rPr>
                <w:rFonts w:ascii="Arial Narrow" w:hAnsi="Arial Narrow"/>
                <w:b/>
                <w:snapToGrid/>
                <w:sz w:val="20"/>
                <w:lang w:eastAsia="en-AU"/>
              </w:rPr>
            </w:pPr>
            <w:r w:rsidRPr="00C61D08">
              <w:rPr>
                <w:rFonts w:ascii="Arial Narrow"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snapToGrid/>
                <w:sz w:val="20"/>
                <w:lang w:eastAsia="en-AU"/>
              </w:rPr>
              <w:t>Section 100 (IVF/GIFT Treatment)</w:t>
            </w:r>
          </w:p>
          <w:p w:rsidR="00102638" w:rsidRPr="00C61D08" w:rsidRDefault="00102638" w:rsidP="001F0C5E">
            <w:pPr>
              <w:widowControl/>
              <w:jc w:val="left"/>
              <w:rPr>
                <w:rFonts w:ascii="Arial Narrow" w:hAnsi="Arial Narrow"/>
                <w:snapToGrid/>
                <w:sz w:val="20"/>
                <w:lang w:eastAsia="en-AU"/>
              </w:rPr>
            </w:pPr>
          </w:p>
        </w:tc>
      </w:tr>
      <w:tr w:rsidR="00102638" w:rsidRPr="00C61D08" w:rsidTr="001F0C5E">
        <w:trPr>
          <w:cantSplit/>
          <w:trHeight w:val="360"/>
        </w:trPr>
        <w:tc>
          <w:tcPr>
            <w:tcW w:w="2126" w:type="dxa"/>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rPr>
                <w:rFonts w:ascii="Arial Narrow" w:hAnsi="Arial Narrow"/>
                <w:b/>
                <w:snapToGrid/>
                <w:sz w:val="20"/>
                <w:lang w:eastAsia="en-AU"/>
              </w:rPr>
            </w:pPr>
            <w:r w:rsidRPr="00C61D08">
              <w:rPr>
                <w:rFonts w:ascii="Arial Narrow" w:hAnsi="Arial Narrow"/>
                <w:b/>
                <w:snapToGrid/>
                <w:sz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1"/>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 xml:space="preserve">Dental  </w:t>
            </w:r>
            <w:r w:rsidRPr="00C61D08">
              <w:rPr>
                <w:rFonts w:ascii="Arial Narrow" w:hAnsi="Arial Narrow"/>
                <w:snapToGrid/>
                <w:sz w:val="20"/>
                <w:lang w:eastAsia="en-AU"/>
              </w:rPr>
              <w:fldChar w:fldCharType="begin">
                <w:ffData>
                  <w:name w:val=""/>
                  <w:enabled/>
                  <w:calcOnExit w:val="0"/>
                  <w:checkBox>
                    <w:sizeAuto/>
                    <w:default w:val="1"/>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 xml:space="preserve">Medical Practitioners  </w:t>
            </w:r>
            <w:r w:rsidRPr="00C61D08">
              <w:rPr>
                <w:rFonts w:ascii="Arial Narrow" w:hAnsi="Arial Narrow"/>
                <w:snapToGrid/>
                <w:sz w:val="20"/>
                <w:lang w:eastAsia="en-AU"/>
              </w:rPr>
              <w:fldChar w:fldCharType="begin">
                <w:ffData>
                  <w:name w:val="Check3"/>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 xml:space="preserve">Nurse practitioners  </w:t>
            </w:r>
            <w:r w:rsidRPr="00C61D08">
              <w:rPr>
                <w:rFonts w:ascii="Arial Narrow" w:hAnsi="Arial Narrow"/>
                <w:snapToGrid/>
                <w:sz w:val="20"/>
                <w:lang w:eastAsia="en-AU"/>
              </w:rPr>
              <w:fldChar w:fldCharType="begin">
                <w:ffData>
                  <w:name w:val=""/>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Optometrists</w:t>
            </w:r>
          </w:p>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5"/>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 xml:space="preserve">Midwives </w:t>
            </w:r>
          </w:p>
        </w:tc>
      </w:tr>
      <w:tr w:rsidR="00102638" w:rsidRPr="00C61D08" w:rsidTr="001F0C5E">
        <w:trPr>
          <w:cantSplit/>
          <w:trHeight w:val="360"/>
        </w:trPr>
        <w:tc>
          <w:tcPr>
            <w:tcW w:w="2126" w:type="dxa"/>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rPr>
                <w:rFonts w:ascii="Arial Narrow" w:hAnsi="Arial Narrow"/>
                <w:b/>
                <w:snapToGrid/>
                <w:sz w:val="20"/>
                <w:lang w:eastAsia="en-AU"/>
              </w:rPr>
            </w:pPr>
            <w:r w:rsidRPr="00C61D08">
              <w:rPr>
                <w:rFonts w:ascii="Arial Narrow"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snapToGrid/>
                <w:sz w:val="20"/>
                <w:lang w:eastAsia="en-AU"/>
              </w:rPr>
              <w:t>Stimulation of follicular development</w:t>
            </w:r>
          </w:p>
        </w:tc>
      </w:tr>
      <w:tr w:rsidR="00102638" w:rsidRPr="00C61D08" w:rsidTr="001F0C5E">
        <w:trPr>
          <w:cantSplit/>
          <w:trHeight w:val="360"/>
        </w:trPr>
        <w:tc>
          <w:tcPr>
            <w:tcW w:w="2126" w:type="dxa"/>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rPr>
                <w:rFonts w:ascii="Arial Narrow" w:hAnsi="Arial Narrow"/>
                <w:b/>
                <w:snapToGrid/>
                <w:sz w:val="20"/>
                <w:lang w:eastAsia="en-AU"/>
              </w:rPr>
            </w:pPr>
            <w:r w:rsidRPr="00C61D08">
              <w:rPr>
                <w:rFonts w:ascii="Arial Narrow"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snapToGrid/>
                <w:sz w:val="20"/>
                <w:lang w:eastAsia="en-AU"/>
              </w:rPr>
              <w:t>Stimulation of follicular development</w:t>
            </w:r>
          </w:p>
        </w:tc>
      </w:tr>
      <w:tr w:rsidR="00102638" w:rsidRPr="00C61D08" w:rsidTr="001F0C5E">
        <w:trPr>
          <w:cantSplit/>
          <w:trHeight w:val="360"/>
        </w:trPr>
        <w:tc>
          <w:tcPr>
            <w:tcW w:w="2126" w:type="dxa"/>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rPr>
                <w:rFonts w:ascii="Arial Narrow" w:hAnsi="Arial Narrow"/>
                <w:b/>
                <w:snapToGrid/>
                <w:sz w:val="20"/>
                <w:lang w:eastAsia="en-AU"/>
              </w:rPr>
            </w:pPr>
            <w:r w:rsidRPr="00C61D08">
              <w:rPr>
                <w:rFonts w:ascii="Arial Narrow" w:hAnsi="Arial Narrow"/>
                <w:b/>
                <w:snapToGrid/>
                <w:sz w:val="20"/>
                <w:lang w:eastAsia="en-AU"/>
              </w:rPr>
              <w:t>Treatment phase:</w:t>
            </w:r>
          </w:p>
          <w:p w:rsidR="00102638" w:rsidRPr="00C61D08" w:rsidRDefault="00102638" w:rsidP="001F0C5E">
            <w:pPr>
              <w:widowControl/>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jc w:val="left"/>
              <w:rPr>
                <w:rFonts w:ascii="Arial Narrow" w:hAnsi="Arial Narrow"/>
                <w:snapToGrid/>
                <w:sz w:val="20"/>
                <w:lang w:eastAsia="en-AU"/>
              </w:rPr>
            </w:pPr>
          </w:p>
        </w:tc>
      </w:tr>
      <w:tr w:rsidR="00102638" w:rsidRPr="00C61D08" w:rsidTr="001F0C5E">
        <w:trPr>
          <w:cantSplit/>
          <w:trHeight w:val="360"/>
        </w:trPr>
        <w:tc>
          <w:tcPr>
            <w:tcW w:w="2126" w:type="dxa"/>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rPr>
                <w:rFonts w:ascii="Arial Narrow" w:hAnsi="Arial Narrow"/>
                <w:b/>
                <w:snapToGrid/>
                <w:sz w:val="20"/>
                <w:lang w:eastAsia="en-AU"/>
              </w:rPr>
            </w:pPr>
            <w:r w:rsidRPr="00C61D08">
              <w:rPr>
                <w:rFonts w:ascii="Arial Narrow" w:hAnsi="Arial Narrow"/>
                <w:b/>
                <w:snapToGrid/>
                <w:sz w:val="20"/>
                <w:lang w:eastAsia="en-AU"/>
              </w:rPr>
              <w:t>Restriction Level / Method:</w:t>
            </w:r>
          </w:p>
          <w:p w:rsidR="00102638" w:rsidRPr="00C61D08" w:rsidRDefault="00102638" w:rsidP="001F0C5E">
            <w:pPr>
              <w:widowControl/>
              <w:jc w:val="left"/>
              <w:rPr>
                <w:rFonts w:ascii="Arial Narrow"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1"/>
                  <w:enabled/>
                  <w:calcOnExit w:val="0"/>
                  <w:checkBox>
                    <w:sizeAuto/>
                    <w:default w:val="1"/>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Restricted benefit (criteria for availability)</w:t>
            </w:r>
          </w:p>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Authority Required - In Writing</w:t>
            </w:r>
          </w:p>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3"/>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Authority Required - Telephone</w:t>
            </w:r>
          </w:p>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Authority Required – Emergency</w:t>
            </w:r>
          </w:p>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5"/>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Authority Required - Electronic</w:t>
            </w:r>
          </w:p>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snapToGrid/>
                <w:sz w:val="20"/>
                <w:lang w:eastAsia="en-AU"/>
              </w:rPr>
              <w:fldChar w:fldCharType="begin">
                <w:ffData>
                  <w:name w:val="Check5"/>
                  <w:enabled/>
                  <w:calcOnExit w:val="0"/>
                  <w:checkBox>
                    <w:sizeAuto/>
                    <w:default w:val="0"/>
                  </w:checkBox>
                </w:ffData>
              </w:fldChar>
            </w:r>
            <w:r w:rsidRPr="00C61D08">
              <w:rPr>
                <w:rFonts w:ascii="Arial Narrow" w:hAnsi="Arial Narrow"/>
                <w:snapToGrid/>
                <w:sz w:val="20"/>
                <w:lang w:eastAsia="en-AU"/>
              </w:rPr>
              <w:instrText xml:space="preserve"> FORMCHECKBOX </w:instrText>
            </w:r>
            <w:r w:rsidR="009626DA">
              <w:rPr>
                <w:rFonts w:ascii="Arial Narrow" w:hAnsi="Arial Narrow"/>
                <w:snapToGrid/>
                <w:sz w:val="20"/>
                <w:lang w:eastAsia="en-AU"/>
              </w:rPr>
            </w:r>
            <w:r w:rsidR="009626DA">
              <w:rPr>
                <w:rFonts w:ascii="Arial Narrow" w:hAnsi="Arial Narrow"/>
                <w:snapToGrid/>
                <w:sz w:val="20"/>
                <w:lang w:eastAsia="en-AU"/>
              </w:rPr>
              <w:fldChar w:fldCharType="separate"/>
            </w:r>
            <w:r w:rsidRPr="00C61D08">
              <w:rPr>
                <w:rFonts w:ascii="Arial Narrow" w:hAnsi="Arial Narrow"/>
                <w:snapToGrid/>
                <w:sz w:val="20"/>
                <w:lang w:eastAsia="en-AU"/>
              </w:rPr>
              <w:fldChar w:fldCharType="end"/>
            </w:r>
            <w:r w:rsidRPr="00C61D08">
              <w:rPr>
                <w:rFonts w:ascii="Arial Narrow" w:hAnsi="Arial Narrow"/>
                <w:snapToGrid/>
                <w:sz w:val="20"/>
                <w:lang w:eastAsia="en-AU"/>
              </w:rPr>
              <w:t xml:space="preserve">Streamlined </w:t>
            </w:r>
          </w:p>
        </w:tc>
      </w:tr>
      <w:tr w:rsidR="00102638" w:rsidRPr="00C61D08" w:rsidTr="001F0C5E">
        <w:trPr>
          <w:cantSplit/>
          <w:trHeight w:val="360"/>
        </w:trPr>
        <w:tc>
          <w:tcPr>
            <w:tcW w:w="2126" w:type="dxa"/>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rPr>
                <w:rFonts w:ascii="Arial Narrow" w:hAnsi="Arial Narrow"/>
                <w:b/>
                <w:snapToGrid/>
                <w:sz w:val="20"/>
                <w:lang w:eastAsia="en-AU"/>
              </w:rPr>
            </w:pPr>
            <w:r w:rsidRPr="00C61D08">
              <w:rPr>
                <w:rFonts w:ascii="Arial Narrow" w:hAnsi="Arial Narrow"/>
                <w:b/>
                <w:snapToGrid/>
                <w:sz w:val="20"/>
                <w:lang w:eastAsia="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jc w:val="left"/>
              <w:rPr>
                <w:rFonts w:ascii="Arial Narrow" w:hAnsi="Arial Narrow"/>
                <w:snapToGrid/>
                <w:sz w:val="20"/>
                <w:lang w:eastAsia="en-AU"/>
              </w:rPr>
            </w:pPr>
          </w:p>
          <w:p w:rsidR="00102638" w:rsidRPr="00C61D08" w:rsidRDefault="00102638" w:rsidP="001F0C5E">
            <w:pPr>
              <w:widowControl/>
              <w:jc w:val="left"/>
              <w:rPr>
                <w:rFonts w:ascii="Arial Narrow" w:hAnsi="Arial Narrow"/>
                <w:i/>
                <w:snapToGrid/>
                <w:sz w:val="20"/>
                <w:lang w:eastAsia="en-AU"/>
              </w:rPr>
            </w:pPr>
            <w:r w:rsidRPr="00C61D08">
              <w:rPr>
                <w:rFonts w:ascii="Arial Narrow" w:hAnsi="Arial Narrow"/>
                <w:i/>
                <w:snapToGrid/>
                <w:sz w:val="20"/>
                <w:lang w:eastAsia="en-AU"/>
              </w:rPr>
              <w:t xml:space="preserve">Patient must have severe </w:t>
            </w:r>
            <w:r w:rsidR="001F0C5E">
              <w:rPr>
                <w:rFonts w:ascii="Arial Narrow" w:hAnsi="Arial Narrow"/>
                <w:i/>
                <w:snapToGrid/>
                <w:sz w:val="20"/>
                <w:lang w:eastAsia="en-AU"/>
              </w:rPr>
              <w:t>LH</w:t>
            </w:r>
            <w:r w:rsidRPr="00C61D08">
              <w:rPr>
                <w:rFonts w:ascii="Arial Narrow" w:hAnsi="Arial Narrow"/>
                <w:i/>
                <w:snapToGrid/>
                <w:sz w:val="20"/>
                <w:lang w:eastAsia="en-AU"/>
              </w:rPr>
              <w:t xml:space="preserve"> deficiency </w:t>
            </w:r>
          </w:p>
          <w:p w:rsidR="00102638" w:rsidRPr="00C61D08" w:rsidRDefault="00102638" w:rsidP="001F0C5E">
            <w:pPr>
              <w:widowControl/>
              <w:jc w:val="left"/>
              <w:rPr>
                <w:rFonts w:ascii="Arial Narrow" w:hAnsi="Arial Narrow"/>
                <w:i/>
                <w:snapToGrid/>
                <w:sz w:val="20"/>
                <w:lang w:eastAsia="en-AU"/>
              </w:rPr>
            </w:pPr>
          </w:p>
          <w:p w:rsidR="00102638" w:rsidRPr="00C61D08" w:rsidRDefault="00102638" w:rsidP="001F0C5E">
            <w:pPr>
              <w:widowControl/>
              <w:jc w:val="left"/>
              <w:rPr>
                <w:rFonts w:ascii="Arial Narrow" w:hAnsi="Arial Narrow"/>
                <w:i/>
                <w:snapToGrid/>
                <w:sz w:val="20"/>
                <w:lang w:eastAsia="en-AU"/>
              </w:rPr>
            </w:pPr>
            <w:r w:rsidRPr="00C61D08">
              <w:rPr>
                <w:rFonts w:ascii="Arial Narrow" w:hAnsi="Arial Narrow"/>
                <w:i/>
                <w:snapToGrid/>
                <w:sz w:val="20"/>
                <w:lang w:eastAsia="en-AU"/>
              </w:rPr>
              <w:t>AND</w:t>
            </w:r>
          </w:p>
          <w:p w:rsidR="00102638" w:rsidRPr="00C61D08" w:rsidRDefault="00102638" w:rsidP="001F0C5E">
            <w:pPr>
              <w:widowControl/>
              <w:jc w:val="left"/>
              <w:rPr>
                <w:rFonts w:ascii="Arial Narrow" w:hAnsi="Arial Narrow"/>
                <w:i/>
                <w:snapToGrid/>
                <w:sz w:val="20"/>
                <w:lang w:eastAsia="en-AU"/>
              </w:rPr>
            </w:pPr>
          </w:p>
          <w:p w:rsidR="00102638" w:rsidRPr="00C61D08" w:rsidRDefault="00102638" w:rsidP="001F0C5E">
            <w:pPr>
              <w:widowControl/>
              <w:jc w:val="left"/>
              <w:rPr>
                <w:rFonts w:ascii="Arial Narrow" w:hAnsi="Arial Narrow"/>
                <w:i/>
                <w:snapToGrid/>
                <w:sz w:val="20"/>
                <w:lang w:eastAsia="en-AU"/>
              </w:rPr>
            </w:pPr>
            <w:r w:rsidRPr="00C61D08">
              <w:rPr>
                <w:rFonts w:ascii="Arial Narrow" w:hAnsi="Arial Narrow"/>
                <w:i/>
                <w:snapToGrid/>
                <w:sz w:val="20"/>
                <w:lang w:eastAsia="en-AU"/>
              </w:rPr>
              <w:t>Patient must be receiving medical treatment as described in items 13200, 13201, 13202 or 13203 of the Medicare Benefits Schedule</w:t>
            </w:r>
          </w:p>
          <w:p w:rsidR="00102638" w:rsidRPr="00C61D08" w:rsidRDefault="00102638" w:rsidP="001F0C5E">
            <w:pPr>
              <w:widowControl/>
              <w:rPr>
                <w:rFonts w:ascii="Arial Narrow" w:hAnsi="Arial Narrow"/>
                <w:snapToGrid/>
                <w:sz w:val="20"/>
                <w:lang w:eastAsia="en-AU"/>
              </w:rPr>
            </w:pPr>
          </w:p>
        </w:tc>
      </w:tr>
      <w:tr w:rsidR="00102638" w:rsidRPr="00C61D08" w:rsidTr="001F0C5E">
        <w:trPr>
          <w:cantSplit/>
          <w:trHeight w:val="360"/>
        </w:trPr>
        <w:tc>
          <w:tcPr>
            <w:tcW w:w="2126" w:type="dxa"/>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rPr>
                <w:rFonts w:ascii="Arial Narrow" w:hAnsi="Arial Narrow"/>
                <w:b/>
                <w:snapToGrid/>
                <w:sz w:val="20"/>
                <w:lang w:eastAsia="en-AU"/>
              </w:rPr>
            </w:pPr>
            <w:r w:rsidRPr="00C61D08">
              <w:rPr>
                <w:rFonts w:ascii="Arial Narrow" w:hAnsi="Arial Narrow"/>
                <w:b/>
                <w:snapToGrid/>
                <w:sz w:val="20"/>
                <w:lang w:eastAsia="en-AU"/>
              </w:rPr>
              <w:t>Administrative Advice</w:t>
            </w:r>
          </w:p>
          <w:p w:rsidR="00102638" w:rsidRPr="00C61D08" w:rsidRDefault="00102638" w:rsidP="001F0C5E">
            <w:pPr>
              <w:widowControl/>
              <w:rPr>
                <w:rFonts w:ascii="Arial Narrow"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102638" w:rsidRPr="00C61D08" w:rsidRDefault="00102638" w:rsidP="001F0C5E">
            <w:pPr>
              <w:widowControl/>
              <w:jc w:val="left"/>
              <w:rPr>
                <w:rFonts w:ascii="Arial Narrow" w:hAnsi="Arial Narrow"/>
                <w:i/>
                <w:snapToGrid/>
                <w:sz w:val="20"/>
                <w:lang w:eastAsia="en-AU"/>
              </w:rPr>
            </w:pPr>
            <w:r w:rsidRPr="00C61D08">
              <w:rPr>
                <w:rFonts w:ascii="Arial Narrow" w:hAnsi="Arial Narrow"/>
                <w:i/>
                <w:snapToGrid/>
                <w:sz w:val="20"/>
                <w:lang w:eastAsia="en-AU"/>
              </w:rPr>
              <w:t>Supply of these items is through an accredited IVF/GIFT clinic.</w:t>
            </w:r>
          </w:p>
          <w:p w:rsidR="00102638" w:rsidRPr="00C61D08" w:rsidRDefault="00102638" w:rsidP="001F0C5E">
            <w:pPr>
              <w:widowControl/>
              <w:jc w:val="left"/>
              <w:rPr>
                <w:rFonts w:ascii="Arial Narrow" w:hAnsi="Arial Narrow"/>
                <w:snapToGrid/>
                <w:sz w:val="20"/>
                <w:lang w:eastAsia="en-AU"/>
              </w:rPr>
            </w:pPr>
            <w:r w:rsidRPr="00C61D08">
              <w:rPr>
                <w:rFonts w:ascii="Arial Narrow" w:hAnsi="Arial Narrow"/>
                <w:i/>
                <w:snapToGrid/>
                <w:sz w:val="20"/>
                <w:lang w:eastAsia="en-AU"/>
              </w:rPr>
              <w:t>For enquiries relating to the IVF/GIFT program, medical practitioners should contact Medicare Australia on 1800 700 270</w:t>
            </w:r>
          </w:p>
        </w:tc>
      </w:tr>
    </w:tbl>
    <w:p w:rsidR="00D43467" w:rsidRPr="00C26D22" w:rsidRDefault="00D43467" w:rsidP="00D43467">
      <w:pPr>
        <w:widowControl/>
        <w:ind w:left="709"/>
        <w:contextualSpacing/>
        <w:rPr>
          <w:rFonts w:cs="Times New Roman"/>
          <w:snapToGrid/>
          <w:szCs w:val="22"/>
          <w:highlight w:val="yellow"/>
          <w:lang w:eastAsia="en-AU"/>
        </w:rPr>
      </w:pPr>
    </w:p>
    <w:p w:rsidR="00D43467" w:rsidRPr="00C26D22" w:rsidRDefault="00D43467" w:rsidP="00D43467">
      <w:pPr>
        <w:widowControl/>
        <w:ind w:left="709"/>
        <w:contextualSpacing/>
        <w:rPr>
          <w:rFonts w:cs="Times New Roman"/>
          <w:snapToGrid/>
          <w:szCs w:val="22"/>
          <w:highlight w:val="yellow"/>
          <w:lang w:eastAsia="en-AU"/>
        </w:rPr>
      </w:pPr>
    </w:p>
    <w:p w:rsidR="00D00A4B" w:rsidRDefault="00D00A4B" w:rsidP="00D00A4B">
      <w:pPr>
        <w:widowControl/>
      </w:pPr>
    </w:p>
    <w:p w:rsidR="00D00A4B" w:rsidRPr="00D4207D" w:rsidRDefault="00D00A4B" w:rsidP="00D00A4B">
      <w:pPr>
        <w:pStyle w:val="PBACHeading1"/>
      </w:pPr>
      <w:r w:rsidRPr="00D4207D">
        <w:t>Context for Decision</w:t>
      </w:r>
    </w:p>
    <w:p w:rsidR="00D00A4B" w:rsidRPr="00D4420F" w:rsidRDefault="00D00A4B" w:rsidP="00D00A4B">
      <w:pPr>
        <w:pStyle w:val="ListParagraph"/>
        <w:rPr>
          <w:b/>
        </w:rPr>
      </w:pPr>
    </w:p>
    <w:p w:rsidR="00D00A4B" w:rsidRPr="00D4207D" w:rsidRDefault="00D00A4B" w:rsidP="00D00A4B">
      <w:pPr>
        <w:ind w:left="720"/>
        <w:rPr>
          <w:bCs/>
          <w:szCs w:val="22"/>
        </w:rPr>
      </w:pPr>
      <w:r w:rsidRPr="00D4207D">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00A4B" w:rsidRPr="00D4420F" w:rsidRDefault="00D00A4B" w:rsidP="00D00A4B"/>
    <w:p w:rsidR="00D00A4B" w:rsidRPr="00D4207D" w:rsidRDefault="00D00A4B" w:rsidP="00D00A4B">
      <w:pPr>
        <w:pStyle w:val="PBACHeading1"/>
      </w:pPr>
      <w:r w:rsidRPr="00D4207D">
        <w:t>Sponsor’s Comment</w:t>
      </w:r>
    </w:p>
    <w:p w:rsidR="00D43467" w:rsidRPr="00FC72B4" w:rsidRDefault="00D43467" w:rsidP="00D43467">
      <w:pPr>
        <w:widowControl/>
        <w:jc w:val="left"/>
        <w:rPr>
          <w:rFonts w:cs="Times New Roman"/>
          <w:snapToGrid/>
          <w:sz w:val="24"/>
          <w:szCs w:val="24"/>
          <w:lang w:eastAsia="en-AU"/>
        </w:rPr>
      </w:pPr>
    </w:p>
    <w:p w:rsidR="00FC72B4" w:rsidRDefault="00FC72B4" w:rsidP="00FC72B4">
      <w:pPr>
        <w:widowControl/>
        <w:ind w:left="720"/>
        <w:jc w:val="left"/>
        <w:rPr>
          <w:rFonts w:cs="Times New Roman"/>
          <w:snapToGrid/>
          <w:szCs w:val="24"/>
          <w:lang w:eastAsia="en-AU"/>
        </w:rPr>
      </w:pPr>
      <w:r w:rsidRPr="00FC72B4">
        <w:rPr>
          <w:rFonts w:cs="Times New Roman"/>
          <w:snapToGrid/>
          <w:szCs w:val="24"/>
          <w:lang w:eastAsia="en-AU"/>
        </w:rPr>
        <w:t>We note the Pre-Sub-Committee evaluation comments that:</w:t>
      </w:r>
    </w:p>
    <w:p w:rsidR="00FC72B4" w:rsidRPr="00FC72B4" w:rsidRDefault="00FC72B4" w:rsidP="00FC72B4">
      <w:pPr>
        <w:pStyle w:val="ListParagraph"/>
        <w:widowControl/>
        <w:numPr>
          <w:ilvl w:val="1"/>
          <w:numId w:val="21"/>
        </w:numPr>
        <w:jc w:val="left"/>
        <w:rPr>
          <w:rFonts w:cs="Times New Roman"/>
          <w:snapToGrid/>
          <w:szCs w:val="24"/>
          <w:lang w:eastAsia="en-AU"/>
        </w:rPr>
      </w:pPr>
      <w:r w:rsidRPr="00FC72B4">
        <w:rPr>
          <w:rFonts w:cs="Times New Roman"/>
          <w:snapToGrid/>
          <w:szCs w:val="24"/>
          <w:lang w:eastAsia="en-AU"/>
        </w:rPr>
        <w:t>The criteria for availability is consistent with the TGA registered indication</w:t>
      </w:r>
    </w:p>
    <w:p w:rsidR="00FC72B4" w:rsidRPr="00FC72B4" w:rsidRDefault="00FC72B4" w:rsidP="00FC72B4">
      <w:pPr>
        <w:pStyle w:val="ListParagraph"/>
        <w:widowControl/>
        <w:numPr>
          <w:ilvl w:val="1"/>
          <w:numId w:val="21"/>
        </w:numPr>
        <w:jc w:val="left"/>
        <w:rPr>
          <w:rFonts w:cs="Times New Roman"/>
          <w:snapToGrid/>
          <w:szCs w:val="24"/>
          <w:lang w:eastAsia="en-AU"/>
        </w:rPr>
      </w:pPr>
      <w:r w:rsidRPr="00FC72B4">
        <w:rPr>
          <w:rFonts w:cs="Times New Roman"/>
          <w:snapToGrid/>
          <w:szCs w:val="24"/>
          <w:lang w:eastAsia="en-AU"/>
        </w:rPr>
        <w:t>Treatment details are consistent with those in the TGA-approved Product Information</w:t>
      </w:r>
    </w:p>
    <w:p w:rsidR="00FC72B4" w:rsidRPr="00FC72B4" w:rsidRDefault="00FC72B4" w:rsidP="00FC72B4">
      <w:pPr>
        <w:pStyle w:val="ListParagraph"/>
        <w:widowControl/>
        <w:numPr>
          <w:ilvl w:val="1"/>
          <w:numId w:val="21"/>
        </w:numPr>
        <w:tabs>
          <w:tab w:val="left" w:pos="6210"/>
        </w:tabs>
        <w:jc w:val="left"/>
        <w:rPr>
          <w:rFonts w:cs="Times New Roman"/>
          <w:snapToGrid/>
          <w:szCs w:val="24"/>
          <w:lang w:eastAsia="en-AU"/>
        </w:rPr>
      </w:pPr>
      <w:r w:rsidRPr="00FC72B4">
        <w:rPr>
          <w:rFonts w:cs="Times New Roman"/>
          <w:snapToGrid/>
          <w:szCs w:val="24"/>
          <w:lang w:eastAsia="en-AU"/>
        </w:rPr>
        <w:t>This dose is consistent with the TGA-approved dose</w:t>
      </w:r>
      <w:r>
        <w:rPr>
          <w:rFonts w:cs="Times New Roman"/>
          <w:snapToGrid/>
          <w:szCs w:val="24"/>
          <w:lang w:eastAsia="en-AU"/>
        </w:rPr>
        <w:tab/>
      </w:r>
    </w:p>
    <w:p w:rsidR="00FC72B4" w:rsidRPr="00FC72B4" w:rsidRDefault="00FC72B4" w:rsidP="00FC72B4">
      <w:pPr>
        <w:widowControl/>
        <w:jc w:val="left"/>
        <w:rPr>
          <w:rFonts w:cs="Times New Roman"/>
          <w:snapToGrid/>
          <w:szCs w:val="24"/>
          <w:lang w:eastAsia="en-AU"/>
        </w:rPr>
      </w:pPr>
    </w:p>
    <w:p w:rsidR="00FC72B4" w:rsidRPr="00FC72B4" w:rsidRDefault="00FC72B4" w:rsidP="00FC72B4">
      <w:pPr>
        <w:widowControl/>
        <w:ind w:left="720"/>
        <w:jc w:val="left"/>
        <w:rPr>
          <w:rFonts w:cs="Times New Roman"/>
          <w:snapToGrid/>
          <w:szCs w:val="24"/>
          <w:lang w:eastAsia="en-AU"/>
        </w:rPr>
      </w:pPr>
      <w:r w:rsidRPr="00FC72B4">
        <w:rPr>
          <w:rFonts w:cs="Times New Roman"/>
          <w:snapToGrid/>
          <w:szCs w:val="24"/>
          <w:lang w:eastAsia="en-AU"/>
        </w:rPr>
        <w:lastRenderedPageBreak/>
        <w:t xml:space="preserve">We also note that the PBS supply </w:t>
      </w:r>
      <w:r w:rsidR="00A47929" w:rsidRPr="00FC72B4">
        <w:rPr>
          <w:rFonts w:cs="Times New Roman"/>
          <w:snapToGrid/>
          <w:szCs w:val="24"/>
          <w:lang w:eastAsia="en-AU"/>
        </w:rPr>
        <w:t>arrangements</w:t>
      </w:r>
      <w:r w:rsidRPr="00FC72B4">
        <w:rPr>
          <w:rFonts w:cs="Times New Roman"/>
          <w:snapToGrid/>
          <w:szCs w:val="24"/>
          <w:lang w:eastAsia="en-AU"/>
        </w:rPr>
        <w:t xml:space="preserve"> for IVF medicines (and therefore Luveris) will change as of 1 July 2015 and thus the maximum quantity stated above is incorrect. </w:t>
      </w:r>
    </w:p>
    <w:p w:rsidR="00FC72B4" w:rsidRPr="00FC72B4" w:rsidRDefault="00FC72B4" w:rsidP="00FC72B4">
      <w:pPr>
        <w:widowControl/>
        <w:jc w:val="left"/>
        <w:rPr>
          <w:rFonts w:cs="Times New Roman"/>
          <w:snapToGrid/>
          <w:szCs w:val="24"/>
          <w:lang w:eastAsia="en-AU"/>
        </w:rPr>
      </w:pPr>
    </w:p>
    <w:p w:rsidR="002E575C" w:rsidRPr="002E575C" w:rsidRDefault="002E575C" w:rsidP="002E575C">
      <w:pPr>
        <w:widowControl/>
        <w:ind w:left="720"/>
        <w:jc w:val="left"/>
        <w:rPr>
          <w:rFonts w:cs="Times New Roman"/>
          <w:snapToGrid/>
          <w:szCs w:val="24"/>
          <w:lang w:eastAsia="en-AU"/>
        </w:rPr>
      </w:pPr>
      <w:r w:rsidRPr="00FC72B4">
        <w:rPr>
          <w:rFonts w:cs="Times New Roman"/>
          <w:snapToGrid/>
          <w:szCs w:val="24"/>
          <w:lang w:eastAsia="en-AU"/>
        </w:rPr>
        <w:t>Reimbursement of Luveris provides an important medicine for some women who may otherwise not achieve a pregnancy.</w:t>
      </w:r>
    </w:p>
    <w:p w:rsidR="00D43467" w:rsidRPr="002E575C" w:rsidRDefault="00D43467" w:rsidP="00D43467">
      <w:pPr>
        <w:widowControl/>
        <w:jc w:val="left"/>
        <w:rPr>
          <w:rFonts w:cs="Times New Roman"/>
          <w:snapToGrid/>
          <w:szCs w:val="24"/>
          <w:lang w:eastAsia="en-AU"/>
        </w:rPr>
      </w:pPr>
    </w:p>
    <w:p w:rsidR="00D43467" w:rsidRPr="00C26D22" w:rsidRDefault="00D43467" w:rsidP="00D43467">
      <w:pPr>
        <w:widowControl/>
        <w:jc w:val="left"/>
        <w:rPr>
          <w:rFonts w:cs="Times New Roman"/>
          <w:snapToGrid/>
          <w:sz w:val="24"/>
          <w:szCs w:val="24"/>
          <w:highlight w:val="yellow"/>
          <w:lang w:eastAsia="en-AU"/>
        </w:rPr>
      </w:pPr>
    </w:p>
    <w:p w:rsidR="004E43B2" w:rsidRPr="009F2B67" w:rsidRDefault="004E43B2" w:rsidP="009F2B67">
      <w:pPr>
        <w:widowControl/>
        <w:jc w:val="left"/>
        <w:rPr>
          <w:b/>
          <w:i/>
        </w:rPr>
      </w:pPr>
    </w:p>
    <w:sectPr w:rsidR="004E43B2" w:rsidRPr="009F2B67" w:rsidSect="00C27C7D">
      <w:headerReference w:type="default" r:id="rId9"/>
      <w:footerReference w:type="default" r:id="rId10"/>
      <w:type w:val="continuous"/>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6DA" w:rsidRDefault="009626DA" w:rsidP="00124A51">
      <w:r>
        <w:separator/>
      </w:r>
    </w:p>
  </w:endnote>
  <w:endnote w:type="continuationSeparator" w:id="0">
    <w:p w:rsidR="009626DA" w:rsidRDefault="009626D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A65" w:rsidRDefault="00A92A65">
    <w:pPr>
      <w:pStyle w:val="Footer"/>
      <w:jc w:val="center"/>
    </w:pPr>
  </w:p>
  <w:p w:rsidR="00A92A65" w:rsidRDefault="009626DA">
    <w:pPr>
      <w:pStyle w:val="Footer"/>
      <w:jc w:val="center"/>
    </w:pPr>
    <w:sdt>
      <w:sdtPr>
        <w:id w:val="1565067833"/>
        <w:docPartObj>
          <w:docPartGallery w:val="Page Numbers (Bottom of Page)"/>
          <w:docPartUnique/>
        </w:docPartObj>
      </w:sdtPr>
      <w:sdtEndPr>
        <w:rPr>
          <w:noProof/>
        </w:rPr>
      </w:sdtEndPr>
      <w:sdtContent>
        <w:r w:rsidR="00A92A65">
          <w:fldChar w:fldCharType="begin"/>
        </w:r>
        <w:r w:rsidR="00A92A65">
          <w:instrText xml:space="preserve"> PAGE   \* MERGEFORMAT </w:instrText>
        </w:r>
        <w:r w:rsidR="00A92A65">
          <w:fldChar w:fldCharType="separate"/>
        </w:r>
        <w:r>
          <w:rPr>
            <w:noProof/>
          </w:rPr>
          <w:t>12</w:t>
        </w:r>
        <w:r w:rsidR="00A92A65">
          <w:rPr>
            <w:noProof/>
          </w:rPr>
          <w:fldChar w:fldCharType="end"/>
        </w:r>
      </w:sdtContent>
    </w:sdt>
  </w:p>
  <w:p w:rsidR="00A92A65" w:rsidRPr="00015886" w:rsidRDefault="00A92A65" w:rsidP="00015886">
    <w:pPr>
      <w:ind w:right="360"/>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6DA" w:rsidRDefault="009626DA" w:rsidP="00124A51">
      <w:r>
        <w:separator/>
      </w:r>
    </w:p>
  </w:footnote>
  <w:footnote w:type="continuationSeparator" w:id="0">
    <w:p w:rsidR="009626DA" w:rsidRDefault="009626DA"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A65" w:rsidRDefault="00A92A65" w:rsidP="00AB1395">
    <w:pPr>
      <w:pStyle w:val="Header"/>
      <w:ind w:left="360"/>
      <w:jc w:val="center"/>
      <w:rPr>
        <w:i/>
        <w:color w:val="808080"/>
      </w:rPr>
    </w:pPr>
    <w:r>
      <w:rPr>
        <w:i/>
        <w:color w:val="808080"/>
      </w:rPr>
      <w:t>Public Summary Document – March 2015 PBAC Meeting</w:t>
    </w:r>
  </w:p>
  <w:p w:rsidR="00A92A65" w:rsidRPr="008C7ECB" w:rsidRDefault="00A92A65" w:rsidP="00AB139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A27E3"/>
    <w:multiLevelType w:val="hybridMultilevel"/>
    <w:tmpl w:val="4A10B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721878"/>
    <w:multiLevelType w:val="hybridMultilevel"/>
    <w:tmpl w:val="CD8CF8DA"/>
    <w:lvl w:ilvl="0" w:tplc="476A2D08">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D04C72"/>
    <w:multiLevelType w:val="multilevel"/>
    <w:tmpl w:val="CC849C66"/>
    <w:lvl w:ilvl="0">
      <w:start w:val="1"/>
      <w:numFmt w:val="decimal"/>
      <w:lvlText w:val="%1"/>
      <w:lvlJc w:val="left"/>
      <w:pPr>
        <w:ind w:left="720" w:hanging="720"/>
      </w:pPr>
      <w:rPr>
        <w:rFonts w:hint="default"/>
        <w:b/>
      </w:rPr>
    </w:lvl>
    <w:lvl w:ilvl="1">
      <w:start w:val="4"/>
      <w:numFmt w:val="bullet"/>
      <w:lvlText w:val="-"/>
      <w:lvlJc w:val="left"/>
      <w:pPr>
        <w:ind w:left="720" w:hanging="720"/>
      </w:pPr>
      <w:rPr>
        <w:rFonts w:ascii="Arial" w:eastAsia="Times New Roman" w:hAnsi="Arial" w:cs="Arial" w:hint="default"/>
      </w:rPr>
    </w:lvl>
    <w:lvl w:ilvl="2">
      <w:start w:val="4"/>
      <w:numFmt w:val="bullet"/>
      <w:lvlText w:val="-"/>
      <w:lvlJc w:val="left"/>
      <w:pPr>
        <w:ind w:left="720" w:hanging="720"/>
      </w:pPr>
      <w:rPr>
        <w:rFonts w:ascii="Arial" w:eastAsia="Times New Roman"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5">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6">
    <w:nsid w:val="2CF56F60"/>
    <w:multiLevelType w:val="hybridMultilevel"/>
    <w:tmpl w:val="1F544D00"/>
    <w:lvl w:ilvl="0" w:tplc="0C090001">
      <w:start w:val="1"/>
      <w:numFmt w:val="bullet"/>
      <w:lvlText w:val=""/>
      <w:lvlJc w:val="left"/>
      <w:pPr>
        <w:ind w:left="720" w:hanging="360"/>
      </w:pPr>
      <w:rPr>
        <w:rFonts w:ascii="Symbol" w:hAnsi="Symbo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D4159C9"/>
    <w:multiLevelType w:val="hybridMultilevel"/>
    <w:tmpl w:val="FF1C6036"/>
    <w:lvl w:ilvl="0" w:tplc="B4D2616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54659A"/>
    <w:multiLevelType w:val="hybridMultilevel"/>
    <w:tmpl w:val="0C2663D2"/>
    <w:lvl w:ilvl="0" w:tplc="476A2D08">
      <w:start w:val="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01010B1"/>
    <w:multiLevelType w:val="hybridMultilevel"/>
    <w:tmpl w:val="2CCE56D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3993744"/>
    <w:multiLevelType w:val="hybridMultilevel"/>
    <w:tmpl w:val="E814E6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7C34E2"/>
    <w:multiLevelType w:val="hybridMultilevel"/>
    <w:tmpl w:val="EB3AC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
    <w:nsid w:val="3FD75DA6"/>
    <w:multiLevelType w:val="hybridMultilevel"/>
    <w:tmpl w:val="DA22E784"/>
    <w:lvl w:ilvl="0" w:tplc="0C090001">
      <w:start w:val="1"/>
      <w:numFmt w:val="bullet"/>
      <w:lvlText w:val=""/>
      <w:lvlJc w:val="left"/>
      <w:pPr>
        <w:ind w:left="720" w:hanging="360"/>
      </w:pPr>
      <w:rPr>
        <w:rFonts w:ascii="Symbol" w:hAnsi="Symbo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1BE2BA5"/>
    <w:multiLevelType w:val="multilevel"/>
    <w:tmpl w:val="162C1CC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4"/>
      <w:numFmt w:val="bullet"/>
      <w:lvlText w:val="-"/>
      <w:lvlJc w:val="left"/>
      <w:pPr>
        <w:ind w:left="720" w:hanging="720"/>
      </w:pPr>
      <w:rPr>
        <w:rFonts w:ascii="Arial" w:eastAsia="Times New Roman"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74054A6"/>
    <w:multiLevelType w:val="hybridMultilevel"/>
    <w:tmpl w:val="03066A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784D033C"/>
    <w:multiLevelType w:val="multilevel"/>
    <w:tmpl w:val="A1B4E13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2"/>
  </w:num>
  <w:num w:numId="2">
    <w:abstractNumId w:val="5"/>
  </w:num>
  <w:num w:numId="3">
    <w:abstractNumId w:val="11"/>
  </w:num>
  <w:num w:numId="4">
    <w:abstractNumId w:val="0"/>
  </w:num>
  <w:num w:numId="5">
    <w:abstractNumId w:val="19"/>
  </w:num>
  <w:num w:numId="6">
    <w:abstractNumId w:val="8"/>
  </w:num>
  <w:num w:numId="7">
    <w:abstractNumId w:val="7"/>
  </w:num>
  <w:num w:numId="8">
    <w:abstractNumId w:val="2"/>
  </w:num>
  <w:num w:numId="9">
    <w:abstractNumId w:val="3"/>
  </w:num>
  <w:num w:numId="10">
    <w:abstractNumId w:val="13"/>
  </w:num>
  <w:num w:numId="11">
    <w:abstractNumId w:val="6"/>
  </w:num>
  <w:num w:numId="12">
    <w:abstractNumId w:val="16"/>
  </w:num>
  <w:num w:numId="13">
    <w:abstractNumId w:val="18"/>
  </w:num>
  <w:num w:numId="14">
    <w:abstractNumId w:val="20"/>
  </w:num>
  <w:num w:numId="15">
    <w:abstractNumId w:val="4"/>
  </w:num>
  <w:num w:numId="16">
    <w:abstractNumId w:val="15"/>
  </w:num>
  <w:num w:numId="17">
    <w:abstractNumId w:val="1"/>
  </w:num>
  <w:num w:numId="18">
    <w:abstractNumId w:val="17"/>
  </w:num>
  <w:num w:numId="19">
    <w:abstractNumId w:val="14"/>
  </w:num>
  <w:num w:numId="20">
    <w:abstractNumId w:val="10"/>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CA5"/>
    <w:rsid w:val="00003499"/>
    <w:rsid w:val="0000431D"/>
    <w:rsid w:val="00004C86"/>
    <w:rsid w:val="000076C9"/>
    <w:rsid w:val="00010B79"/>
    <w:rsid w:val="00011E36"/>
    <w:rsid w:val="00013247"/>
    <w:rsid w:val="00015886"/>
    <w:rsid w:val="000162EF"/>
    <w:rsid w:val="000179D6"/>
    <w:rsid w:val="00021677"/>
    <w:rsid w:val="0002225F"/>
    <w:rsid w:val="00023763"/>
    <w:rsid w:val="000246DA"/>
    <w:rsid w:val="000316B1"/>
    <w:rsid w:val="00036F96"/>
    <w:rsid w:val="00040895"/>
    <w:rsid w:val="00043697"/>
    <w:rsid w:val="00043B22"/>
    <w:rsid w:val="00043C37"/>
    <w:rsid w:val="00046FBE"/>
    <w:rsid w:val="000508EA"/>
    <w:rsid w:val="00053939"/>
    <w:rsid w:val="00053A7B"/>
    <w:rsid w:val="000546D7"/>
    <w:rsid w:val="00057C5A"/>
    <w:rsid w:val="00061A8D"/>
    <w:rsid w:val="00064323"/>
    <w:rsid w:val="00070E40"/>
    <w:rsid w:val="00071248"/>
    <w:rsid w:val="000720B9"/>
    <w:rsid w:val="00075FC2"/>
    <w:rsid w:val="0008088A"/>
    <w:rsid w:val="000812CA"/>
    <w:rsid w:val="000821D2"/>
    <w:rsid w:val="00085B3E"/>
    <w:rsid w:val="00087880"/>
    <w:rsid w:val="00090C7E"/>
    <w:rsid w:val="00090CAC"/>
    <w:rsid w:val="000A4DE6"/>
    <w:rsid w:val="000A55F8"/>
    <w:rsid w:val="000A7AE6"/>
    <w:rsid w:val="000A7C35"/>
    <w:rsid w:val="000B17D9"/>
    <w:rsid w:val="000B2F6A"/>
    <w:rsid w:val="000B3F4D"/>
    <w:rsid w:val="000B4D9F"/>
    <w:rsid w:val="000B55C0"/>
    <w:rsid w:val="000C143E"/>
    <w:rsid w:val="000C3167"/>
    <w:rsid w:val="000C4857"/>
    <w:rsid w:val="000D1BFC"/>
    <w:rsid w:val="000D3090"/>
    <w:rsid w:val="000E0001"/>
    <w:rsid w:val="000E119D"/>
    <w:rsid w:val="000E7555"/>
    <w:rsid w:val="000F0F6F"/>
    <w:rsid w:val="000F493E"/>
    <w:rsid w:val="000F4BB8"/>
    <w:rsid w:val="000F658D"/>
    <w:rsid w:val="000F7127"/>
    <w:rsid w:val="000F7D77"/>
    <w:rsid w:val="00100F8A"/>
    <w:rsid w:val="00102638"/>
    <w:rsid w:val="0011032E"/>
    <w:rsid w:val="0011348B"/>
    <w:rsid w:val="001155C7"/>
    <w:rsid w:val="001168EF"/>
    <w:rsid w:val="00121799"/>
    <w:rsid w:val="001217DA"/>
    <w:rsid w:val="001222FC"/>
    <w:rsid w:val="00124A51"/>
    <w:rsid w:val="00126621"/>
    <w:rsid w:val="00127563"/>
    <w:rsid w:val="00127F51"/>
    <w:rsid w:val="001301E9"/>
    <w:rsid w:val="00130633"/>
    <w:rsid w:val="0013210D"/>
    <w:rsid w:val="00132BE3"/>
    <w:rsid w:val="00133862"/>
    <w:rsid w:val="00135866"/>
    <w:rsid w:val="00136F59"/>
    <w:rsid w:val="00137645"/>
    <w:rsid w:val="0014015A"/>
    <w:rsid w:val="00140E99"/>
    <w:rsid w:val="00140ECD"/>
    <w:rsid w:val="0014158D"/>
    <w:rsid w:val="001419F3"/>
    <w:rsid w:val="00145540"/>
    <w:rsid w:val="001456B0"/>
    <w:rsid w:val="00146043"/>
    <w:rsid w:val="00153619"/>
    <w:rsid w:val="00157130"/>
    <w:rsid w:val="00160144"/>
    <w:rsid w:val="00161FF8"/>
    <w:rsid w:val="00162913"/>
    <w:rsid w:val="00163EFF"/>
    <w:rsid w:val="001642F8"/>
    <w:rsid w:val="00164EDA"/>
    <w:rsid w:val="001661FB"/>
    <w:rsid w:val="0016757C"/>
    <w:rsid w:val="00170665"/>
    <w:rsid w:val="001719DB"/>
    <w:rsid w:val="0017353B"/>
    <w:rsid w:val="00177BEB"/>
    <w:rsid w:val="00182DB5"/>
    <w:rsid w:val="0018752F"/>
    <w:rsid w:val="0019358F"/>
    <w:rsid w:val="00195222"/>
    <w:rsid w:val="001967F9"/>
    <w:rsid w:val="00196A7F"/>
    <w:rsid w:val="001975D8"/>
    <w:rsid w:val="001A3E35"/>
    <w:rsid w:val="001B187E"/>
    <w:rsid w:val="001B3443"/>
    <w:rsid w:val="001B4797"/>
    <w:rsid w:val="001C1414"/>
    <w:rsid w:val="001C5AB2"/>
    <w:rsid w:val="001C6E66"/>
    <w:rsid w:val="001C7AA5"/>
    <w:rsid w:val="001D267B"/>
    <w:rsid w:val="001D6BD6"/>
    <w:rsid w:val="001E238E"/>
    <w:rsid w:val="001E2613"/>
    <w:rsid w:val="001E2B1E"/>
    <w:rsid w:val="001E3200"/>
    <w:rsid w:val="001E3BC1"/>
    <w:rsid w:val="001E52EB"/>
    <w:rsid w:val="001E5441"/>
    <w:rsid w:val="001E740C"/>
    <w:rsid w:val="001F0C5E"/>
    <w:rsid w:val="001F1235"/>
    <w:rsid w:val="001F1CB3"/>
    <w:rsid w:val="001F559D"/>
    <w:rsid w:val="001F684E"/>
    <w:rsid w:val="001F6ECC"/>
    <w:rsid w:val="001F7079"/>
    <w:rsid w:val="001F7361"/>
    <w:rsid w:val="0020385F"/>
    <w:rsid w:val="00207021"/>
    <w:rsid w:val="00207638"/>
    <w:rsid w:val="00207D00"/>
    <w:rsid w:val="002105C1"/>
    <w:rsid w:val="002120CB"/>
    <w:rsid w:val="0021278C"/>
    <w:rsid w:val="00217920"/>
    <w:rsid w:val="00220E01"/>
    <w:rsid w:val="00223B49"/>
    <w:rsid w:val="00224DD4"/>
    <w:rsid w:val="002258AE"/>
    <w:rsid w:val="002309CC"/>
    <w:rsid w:val="00233D1A"/>
    <w:rsid w:val="002376F8"/>
    <w:rsid w:val="002432AF"/>
    <w:rsid w:val="00251C86"/>
    <w:rsid w:val="00251FD2"/>
    <w:rsid w:val="00254649"/>
    <w:rsid w:val="00254DCF"/>
    <w:rsid w:val="0025534B"/>
    <w:rsid w:val="00255BB7"/>
    <w:rsid w:val="0026185C"/>
    <w:rsid w:val="0026257C"/>
    <w:rsid w:val="00262A87"/>
    <w:rsid w:val="00262D93"/>
    <w:rsid w:val="00265BEC"/>
    <w:rsid w:val="00266975"/>
    <w:rsid w:val="002719F4"/>
    <w:rsid w:val="00273F2F"/>
    <w:rsid w:val="00275C5A"/>
    <w:rsid w:val="002807A7"/>
    <w:rsid w:val="00281014"/>
    <w:rsid w:val="002843AC"/>
    <w:rsid w:val="002850DC"/>
    <w:rsid w:val="00290CF3"/>
    <w:rsid w:val="0029710A"/>
    <w:rsid w:val="002A112F"/>
    <w:rsid w:val="002A14AB"/>
    <w:rsid w:val="002A722F"/>
    <w:rsid w:val="002B1C1F"/>
    <w:rsid w:val="002B37E8"/>
    <w:rsid w:val="002B432F"/>
    <w:rsid w:val="002B43EF"/>
    <w:rsid w:val="002B6BC0"/>
    <w:rsid w:val="002B6CCE"/>
    <w:rsid w:val="002B77B1"/>
    <w:rsid w:val="002C19EB"/>
    <w:rsid w:val="002C262F"/>
    <w:rsid w:val="002C2775"/>
    <w:rsid w:val="002C27C1"/>
    <w:rsid w:val="002C2F76"/>
    <w:rsid w:val="002C3607"/>
    <w:rsid w:val="002C3847"/>
    <w:rsid w:val="002C62DC"/>
    <w:rsid w:val="002C6B58"/>
    <w:rsid w:val="002D111E"/>
    <w:rsid w:val="002D5CF0"/>
    <w:rsid w:val="002D66DB"/>
    <w:rsid w:val="002E11ED"/>
    <w:rsid w:val="002E575C"/>
    <w:rsid w:val="002E7749"/>
    <w:rsid w:val="002F01C6"/>
    <w:rsid w:val="002F1CA2"/>
    <w:rsid w:val="00301017"/>
    <w:rsid w:val="0030484D"/>
    <w:rsid w:val="0030786C"/>
    <w:rsid w:val="0031031A"/>
    <w:rsid w:val="003107AF"/>
    <w:rsid w:val="00310981"/>
    <w:rsid w:val="00315498"/>
    <w:rsid w:val="00315570"/>
    <w:rsid w:val="0031574A"/>
    <w:rsid w:val="0032060E"/>
    <w:rsid w:val="00322703"/>
    <w:rsid w:val="00322A94"/>
    <w:rsid w:val="00327999"/>
    <w:rsid w:val="00333993"/>
    <w:rsid w:val="003339D5"/>
    <w:rsid w:val="003366C9"/>
    <w:rsid w:val="003371B0"/>
    <w:rsid w:val="0034156E"/>
    <w:rsid w:val="003436E9"/>
    <w:rsid w:val="00343B90"/>
    <w:rsid w:val="003463B5"/>
    <w:rsid w:val="00352241"/>
    <w:rsid w:val="00354141"/>
    <w:rsid w:val="0035620E"/>
    <w:rsid w:val="003568CC"/>
    <w:rsid w:val="00357045"/>
    <w:rsid w:val="003639BF"/>
    <w:rsid w:val="00364956"/>
    <w:rsid w:val="0036536E"/>
    <w:rsid w:val="00370B88"/>
    <w:rsid w:val="00374418"/>
    <w:rsid w:val="0038164E"/>
    <w:rsid w:val="0038365C"/>
    <w:rsid w:val="00384594"/>
    <w:rsid w:val="00386794"/>
    <w:rsid w:val="0039023C"/>
    <w:rsid w:val="00390981"/>
    <w:rsid w:val="00394029"/>
    <w:rsid w:val="003945F2"/>
    <w:rsid w:val="0039649A"/>
    <w:rsid w:val="0039683B"/>
    <w:rsid w:val="00396FD0"/>
    <w:rsid w:val="00396FF6"/>
    <w:rsid w:val="003A1313"/>
    <w:rsid w:val="003A1A7A"/>
    <w:rsid w:val="003A2979"/>
    <w:rsid w:val="003A50D3"/>
    <w:rsid w:val="003B0FE3"/>
    <w:rsid w:val="003B363A"/>
    <w:rsid w:val="003C0132"/>
    <w:rsid w:val="003C0C95"/>
    <w:rsid w:val="003C50BB"/>
    <w:rsid w:val="003D175E"/>
    <w:rsid w:val="003D1828"/>
    <w:rsid w:val="003D2422"/>
    <w:rsid w:val="003D4952"/>
    <w:rsid w:val="003D63C3"/>
    <w:rsid w:val="003D7536"/>
    <w:rsid w:val="003E0AFB"/>
    <w:rsid w:val="003E0C53"/>
    <w:rsid w:val="003E3040"/>
    <w:rsid w:val="003F0886"/>
    <w:rsid w:val="003F1561"/>
    <w:rsid w:val="003F4156"/>
    <w:rsid w:val="003F4F59"/>
    <w:rsid w:val="00401A00"/>
    <w:rsid w:val="00403984"/>
    <w:rsid w:val="004048AD"/>
    <w:rsid w:val="00410708"/>
    <w:rsid w:val="00410EC7"/>
    <w:rsid w:val="00414476"/>
    <w:rsid w:val="00420B9F"/>
    <w:rsid w:val="00421443"/>
    <w:rsid w:val="004221A2"/>
    <w:rsid w:val="0042657B"/>
    <w:rsid w:val="0043018D"/>
    <w:rsid w:val="004309EF"/>
    <w:rsid w:val="004319F8"/>
    <w:rsid w:val="00433044"/>
    <w:rsid w:val="00440208"/>
    <w:rsid w:val="004443A7"/>
    <w:rsid w:val="004464EB"/>
    <w:rsid w:val="004526BD"/>
    <w:rsid w:val="0045451D"/>
    <w:rsid w:val="00454BBD"/>
    <w:rsid w:val="00455153"/>
    <w:rsid w:val="00455D45"/>
    <w:rsid w:val="00464595"/>
    <w:rsid w:val="00473B16"/>
    <w:rsid w:val="00474218"/>
    <w:rsid w:val="004744FB"/>
    <w:rsid w:val="0047538C"/>
    <w:rsid w:val="004770F6"/>
    <w:rsid w:val="00477409"/>
    <w:rsid w:val="00481B77"/>
    <w:rsid w:val="004836DB"/>
    <w:rsid w:val="0048446C"/>
    <w:rsid w:val="00484CDA"/>
    <w:rsid w:val="004867E2"/>
    <w:rsid w:val="00491339"/>
    <w:rsid w:val="00491B3A"/>
    <w:rsid w:val="00492015"/>
    <w:rsid w:val="00492CFD"/>
    <w:rsid w:val="004962D2"/>
    <w:rsid w:val="004962E8"/>
    <w:rsid w:val="00497499"/>
    <w:rsid w:val="00497CAA"/>
    <w:rsid w:val="004A0DA1"/>
    <w:rsid w:val="004A52E0"/>
    <w:rsid w:val="004A6176"/>
    <w:rsid w:val="004A6597"/>
    <w:rsid w:val="004B10ED"/>
    <w:rsid w:val="004B1A84"/>
    <w:rsid w:val="004B1CB4"/>
    <w:rsid w:val="004B1E0E"/>
    <w:rsid w:val="004B2F18"/>
    <w:rsid w:val="004B3DDB"/>
    <w:rsid w:val="004B44FD"/>
    <w:rsid w:val="004B5CFC"/>
    <w:rsid w:val="004B7214"/>
    <w:rsid w:val="004C2C83"/>
    <w:rsid w:val="004C3716"/>
    <w:rsid w:val="004C4AED"/>
    <w:rsid w:val="004D16CC"/>
    <w:rsid w:val="004E0EB8"/>
    <w:rsid w:val="004E2ADC"/>
    <w:rsid w:val="004E43B2"/>
    <w:rsid w:val="004E49EC"/>
    <w:rsid w:val="004E58E4"/>
    <w:rsid w:val="004E5BF5"/>
    <w:rsid w:val="004F03BC"/>
    <w:rsid w:val="004F0AAA"/>
    <w:rsid w:val="004F1D02"/>
    <w:rsid w:val="004F2679"/>
    <w:rsid w:val="004F5109"/>
    <w:rsid w:val="004F7865"/>
    <w:rsid w:val="005035D6"/>
    <w:rsid w:val="00506928"/>
    <w:rsid w:val="00514CA5"/>
    <w:rsid w:val="005152B5"/>
    <w:rsid w:val="0051770C"/>
    <w:rsid w:val="00517822"/>
    <w:rsid w:val="005200EF"/>
    <w:rsid w:val="00520C49"/>
    <w:rsid w:val="00521319"/>
    <w:rsid w:val="00523C28"/>
    <w:rsid w:val="00524E31"/>
    <w:rsid w:val="0053013C"/>
    <w:rsid w:val="00531546"/>
    <w:rsid w:val="00540889"/>
    <w:rsid w:val="00542645"/>
    <w:rsid w:val="00542D71"/>
    <w:rsid w:val="00544936"/>
    <w:rsid w:val="00545F03"/>
    <w:rsid w:val="00546576"/>
    <w:rsid w:val="00547B8B"/>
    <w:rsid w:val="00552BD3"/>
    <w:rsid w:val="00555109"/>
    <w:rsid w:val="005604ED"/>
    <w:rsid w:val="00562EC2"/>
    <w:rsid w:val="00565240"/>
    <w:rsid w:val="0056696F"/>
    <w:rsid w:val="00567F7F"/>
    <w:rsid w:val="00572338"/>
    <w:rsid w:val="00572C6F"/>
    <w:rsid w:val="00574424"/>
    <w:rsid w:val="0057570D"/>
    <w:rsid w:val="00575D8D"/>
    <w:rsid w:val="00576972"/>
    <w:rsid w:val="00577C82"/>
    <w:rsid w:val="00577E02"/>
    <w:rsid w:val="005802CF"/>
    <w:rsid w:val="005825FF"/>
    <w:rsid w:val="00582724"/>
    <w:rsid w:val="00583699"/>
    <w:rsid w:val="0059466F"/>
    <w:rsid w:val="005961DE"/>
    <w:rsid w:val="005A2434"/>
    <w:rsid w:val="005A52B2"/>
    <w:rsid w:val="005A6CDB"/>
    <w:rsid w:val="005A7F78"/>
    <w:rsid w:val="005A7FE7"/>
    <w:rsid w:val="005B2E40"/>
    <w:rsid w:val="005B5857"/>
    <w:rsid w:val="005B6B95"/>
    <w:rsid w:val="005B7809"/>
    <w:rsid w:val="005C18A1"/>
    <w:rsid w:val="005C1B83"/>
    <w:rsid w:val="005C346B"/>
    <w:rsid w:val="005C37D4"/>
    <w:rsid w:val="005C4C18"/>
    <w:rsid w:val="005C6EF8"/>
    <w:rsid w:val="005C794C"/>
    <w:rsid w:val="005D044D"/>
    <w:rsid w:val="005D0B2D"/>
    <w:rsid w:val="005D18AD"/>
    <w:rsid w:val="005E73C0"/>
    <w:rsid w:val="005F2706"/>
    <w:rsid w:val="005F310C"/>
    <w:rsid w:val="005F35A6"/>
    <w:rsid w:val="005F6A8F"/>
    <w:rsid w:val="00600F04"/>
    <w:rsid w:val="00603514"/>
    <w:rsid w:val="00603A91"/>
    <w:rsid w:val="00607669"/>
    <w:rsid w:val="00607D93"/>
    <w:rsid w:val="006128AE"/>
    <w:rsid w:val="00612F97"/>
    <w:rsid w:val="00613507"/>
    <w:rsid w:val="00614B40"/>
    <w:rsid w:val="00616802"/>
    <w:rsid w:val="00617E12"/>
    <w:rsid w:val="00621477"/>
    <w:rsid w:val="00625597"/>
    <w:rsid w:val="0062776B"/>
    <w:rsid w:val="0063125B"/>
    <w:rsid w:val="00631D6B"/>
    <w:rsid w:val="0063479F"/>
    <w:rsid w:val="00635EEF"/>
    <w:rsid w:val="006364A1"/>
    <w:rsid w:val="00637BFD"/>
    <w:rsid w:val="006459EE"/>
    <w:rsid w:val="00645D34"/>
    <w:rsid w:val="006471CC"/>
    <w:rsid w:val="00647422"/>
    <w:rsid w:val="0065079F"/>
    <w:rsid w:val="00660A3D"/>
    <w:rsid w:val="00661687"/>
    <w:rsid w:val="00664456"/>
    <w:rsid w:val="00672E0F"/>
    <w:rsid w:val="00674E42"/>
    <w:rsid w:val="0068208D"/>
    <w:rsid w:val="00682112"/>
    <w:rsid w:val="006872BA"/>
    <w:rsid w:val="006872EB"/>
    <w:rsid w:val="006917D7"/>
    <w:rsid w:val="0069444D"/>
    <w:rsid w:val="00694F44"/>
    <w:rsid w:val="00695236"/>
    <w:rsid w:val="006A3DBB"/>
    <w:rsid w:val="006A439A"/>
    <w:rsid w:val="006B2751"/>
    <w:rsid w:val="006B2F68"/>
    <w:rsid w:val="006C23AD"/>
    <w:rsid w:val="006C2598"/>
    <w:rsid w:val="006C2A8E"/>
    <w:rsid w:val="006C302C"/>
    <w:rsid w:val="006C6E21"/>
    <w:rsid w:val="006D10C0"/>
    <w:rsid w:val="006D24BE"/>
    <w:rsid w:val="006D3C7D"/>
    <w:rsid w:val="006D5D5F"/>
    <w:rsid w:val="006D63C0"/>
    <w:rsid w:val="006E70B4"/>
    <w:rsid w:val="006F4A45"/>
    <w:rsid w:val="006F63A5"/>
    <w:rsid w:val="0070148D"/>
    <w:rsid w:val="0070276E"/>
    <w:rsid w:val="00702F8F"/>
    <w:rsid w:val="007047B2"/>
    <w:rsid w:val="0070537B"/>
    <w:rsid w:val="00705E3E"/>
    <w:rsid w:val="007072DF"/>
    <w:rsid w:val="0070743B"/>
    <w:rsid w:val="00711A36"/>
    <w:rsid w:val="00711A45"/>
    <w:rsid w:val="00713400"/>
    <w:rsid w:val="00713FB0"/>
    <w:rsid w:val="007142D8"/>
    <w:rsid w:val="007172AD"/>
    <w:rsid w:val="00720D72"/>
    <w:rsid w:val="007229E6"/>
    <w:rsid w:val="0072416F"/>
    <w:rsid w:val="007261DC"/>
    <w:rsid w:val="0072713F"/>
    <w:rsid w:val="00732EC1"/>
    <w:rsid w:val="0073481C"/>
    <w:rsid w:val="00735328"/>
    <w:rsid w:val="0073685B"/>
    <w:rsid w:val="00737A3B"/>
    <w:rsid w:val="00756194"/>
    <w:rsid w:val="00761EE2"/>
    <w:rsid w:val="00765961"/>
    <w:rsid w:val="007712F3"/>
    <w:rsid w:val="007713AF"/>
    <w:rsid w:val="00774711"/>
    <w:rsid w:val="00775F95"/>
    <w:rsid w:val="00787EBF"/>
    <w:rsid w:val="00793F44"/>
    <w:rsid w:val="00795B63"/>
    <w:rsid w:val="007A0A12"/>
    <w:rsid w:val="007A320B"/>
    <w:rsid w:val="007B04B6"/>
    <w:rsid w:val="007B251D"/>
    <w:rsid w:val="007B34E9"/>
    <w:rsid w:val="007B4A53"/>
    <w:rsid w:val="007B5129"/>
    <w:rsid w:val="007B77D1"/>
    <w:rsid w:val="007C13FB"/>
    <w:rsid w:val="007C2B8A"/>
    <w:rsid w:val="007C361D"/>
    <w:rsid w:val="007C486E"/>
    <w:rsid w:val="007C4CE3"/>
    <w:rsid w:val="007C6828"/>
    <w:rsid w:val="007C7092"/>
    <w:rsid w:val="007D0B38"/>
    <w:rsid w:val="007D5AE9"/>
    <w:rsid w:val="007E1A72"/>
    <w:rsid w:val="007E55AD"/>
    <w:rsid w:val="007F1017"/>
    <w:rsid w:val="007F37E3"/>
    <w:rsid w:val="007F4A3F"/>
    <w:rsid w:val="007F4E44"/>
    <w:rsid w:val="00800978"/>
    <w:rsid w:val="00800FBA"/>
    <w:rsid w:val="008021A6"/>
    <w:rsid w:val="00802AE0"/>
    <w:rsid w:val="0080468F"/>
    <w:rsid w:val="00804CFF"/>
    <w:rsid w:val="00805142"/>
    <w:rsid w:val="00807A8B"/>
    <w:rsid w:val="00812149"/>
    <w:rsid w:val="008126D9"/>
    <w:rsid w:val="008147E8"/>
    <w:rsid w:val="00814B79"/>
    <w:rsid w:val="008166EF"/>
    <w:rsid w:val="008175FB"/>
    <w:rsid w:val="00817D96"/>
    <w:rsid w:val="008264EB"/>
    <w:rsid w:val="00827352"/>
    <w:rsid w:val="008305C5"/>
    <w:rsid w:val="008311F5"/>
    <w:rsid w:val="008315F8"/>
    <w:rsid w:val="00833B05"/>
    <w:rsid w:val="00840CA2"/>
    <w:rsid w:val="008435D6"/>
    <w:rsid w:val="0084465C"/>
    <w:rsid w:val="0084539F"/>
    <w:rsid w:val="008471C2"/>
    <w:rsid w:val="00850923"/>
    <w:rsid w:val="0085349A"/>
    <w:rsid w:val="008543B4"/>
    <w:rsid w:val="00856E9A"/>
    <w:rsid w:val="008616E2"/>
    <w:rsid w:val="00862502"/>
    <w:rsid w:val="0086344E"/>
    <w:rsid w:val="0086444D"/>
    <w:rsid w:val="0087635A"/>
    <w:rsid w:val="00877331"/>
    <w:rsid w:val="00877B91"/>
    <w:rsid w:val="008814CD"/>
    <w:rsid w:val="00882874"/>
    <w:rsid w:val="00882C9A"/>
    <w:rsid w:val="00883787"/>
    <w:rsid w:val="00883C13"/>
    <w:rsid w:val="00890487"/>
    <w:rsid w:val="00890BD7"/>
    <w:rsid w:val="00892325"/>
    <w:rsid w:val="00894489"/>
    <w:rsid w:val="00895383"/>
    <w:rsid w:val="00895AAA"/>
    <w:rsid w:val="008963A5"/>
    <w:rsid w:val="008A3C3E"/>
    <w:rsid w:val="008A72FF"/>
    <w:rsid w:val="008A79DE"/>
    <w:rsid w:val="008B1B13"/>
    <w:rsid w:val="008B631F"/>
    <w:rsid w:val="008B7945"/>
    <w:rsid w:val="008B7D7E"/>
    <w:rsid w:val="008C2BD8"/>
    <w:rsid w:val="008C5048"/>
    <w:rsid w:val="008C7ECB"/>
    <w:rsid w:val="008D01BB"/>
    <w:rsid w:val="008D39D1"/>
    <w:rsid w:val="008E1B9E"/>
    <w:rsid w:val="008E2190"/>
    <w:rsid w:val="008E2E9E"/>
    <w:rsid w:val="008E5061"/>
    <w:rsid w:val="008E7451"/>
    <w:rsid w:val="008F120A"/>
    <w:rsid w:val="008F1A77"/>
    <w:rsid w:val="008F48EB"/>
    <w:rsid w:val="008F4F0B"/>
    <w:rsid w:val="009032B1"/>
    <w:rsid w:val="009043FC"/>
    <w:rsid w:val="00904F1A"/>
    <w:rsid w:val="00905AB3"/>
    <w:rsid w:val="009062A5"/>
    <w:rsid w:val="00911272"/>
    <w:rsid w:val="009113A2"/>
    <w:rsid w:val="009122F6"/>
    <w:rsid w:val="00934CE0"/>
    <w:rsid w:val="00936C47"/>
    <w:rsid w:val="00941075"/>
    <w:rsid w:val="00941B5C"/>
    <w:rsid w:val="00941B61"/>
    <w:rsid w:val="00945775"/>
    <w:rsid w:val="00946624"/>
    <w:rsid w:val="00946EA8"/>
    <w:rsid w:val="00950E8A"/>
    <w:rsid w:val="00952A69"/>
    <w:rsid w:val="00954E2D"/>
    <w:rsid w:val="0096019A"/>
    <w:rsid w:val="009626DA"/>
    <w:rsid w:val="009628E2"/>
    <w:rsid w:val="00962CB9"/>
    <w:rsid w:val="00963035"/>
    <w:rsid w:val="00963099"/>
    <w:rsid w:val="00964312"/>
    <w:rsid w:val="00967122"/>
    <w:rsid w:val="009779B3"/>
    <w:rsid w:val="00983730"/>
    <w:rsid w:val="00983E57"/>
    <w:rsid w:val="009840F5"/>
    <w:rsid w:val="00985D17"/>
    <w:rsid w:val="009923C9"/>
    <w:rsid w:val="00993811"/>
    <w:rsid w:val="00996B1A"/>
    <w:rsid w:val="00996E59"/>
    <w:rsid w:val="009A151C"/>
    <w:rsid w:val="009A2664"/>
    <w:rsid w:val="009A6CD8"/>
    <w:rsid w:val="009B0871"/>
    <w:rsid w:val="009B21A8"/>
    <w:rsid w:val="009B3E26"/>
    <w:rsid w:val="009B4ACF"/>
    <w:rsid w:val="009B6181"/>
    <w:rsid w:val="009C2F8B"/>
    <w:rsid w:val="009C6A99"/>
    <w:rsid w:val="009D5B57"/>
    <w:rsid w:val="009D5B91"/>
    <w:rsid w:val="009D7681"/>
    <w:rsid w:val="009E1742"/>
    <w:rsid w:val="009E2615"/>
    <w:rsid w:val="009E4C07"/>
    <w:rsid w:val="009F2B67"/>
    <w:rsid w:val="009F73C9"/>
    <w:rsid w:val="009F73FF"/>
    <w:rsid w:val="00A00535"/>
    <w:rsid w:val="00A00679"/>
    <w:rsid w:val="00A00A23"/>
    <w:rsid w:val="00A03A96"/>
    <w:rsid w:val="00A03D43"/>
    <w:rsid w:val="00A041E8"/>
    <w:rsid w:val="00A04380"/>
    <w:rsid w:val="00A111A8"/>
    <w:rsid w:val="00A13491"/>
    <w:rsid w:val="00A13948"/>
    <w:rsid w:val="00A167C9"/>
    <w:rsid w:val="00A17801"/>
    <w:rsid w:val="00A21E60"/>
    <w:rsid w:val="00A25052"/>
    <w:rsid w:val="00A2637A"/>
    <w:rsid w:val="00A27AEC"/>
    <w:rsid w:val="00A35D16"/>
    <w:rsid w:val="00A365D7"/>
    <w:rsid w:val="00A37742"/>
    <w:rsid w:val="00A42BF6"/>
    <w:rsid w:val="00A43C59"/>
    <w:rsid w:val="00A43EAB"/>
    <w:rsid w:val="00A44775"/>
    <w:rsid w:val="00A47929"/>
    <w:rsid w:val="00A47AA5"/>
    <w:rsid w:val="00A50ECD"/>
    <w:rsid w:val="00A52729"/>
    <w:rsid w:val="00A52EBE"/>
    <w:rsid w:val="00A53675"/>
    <w:rsid w:val="00A545A4"/>
    <w:rsid w:val="00A56B6A"/>
    <w:rsid w:val="00A578DC"/>
    <w:rsid w:val="00A60C91"/>
    <w:rsid w:val="00A63691"/>
    <w:rsid w:val="00A63A31"/>
    <w:rsid w:val="00A6725B"/>
    <w:rsid w:val="00A74549"/>
    <w:rsid w:val="00A8573B"/>
    <w:rsid w:val="00A858D3"/>
    <w:rsid w:val="00A86E8B"/>
    <w:rsid w:val="00A910C6"/>
    <w:rsid w:val="00A9275C"/>
    <w:rsid w:val="00A92A65"/>
    <w:rsid w:val="00A93072"/>
    <w:rsid w:val="00A93752"/>
    <w:rsid w:val="00A9437F"/>
    <w:rsid w:val="00A959D8"/>
    <w:rsid w:val="00A96C88"/>
    <w:rsid w:val="00A97B2F"/>
    <w:rsid w:val="00AA1BBE"/>
    <w:rsid w:val="00AA2109"/>
    <w:rsid w:val="00AA2C14"/>
    <w:rsid w:val="00AA5861"/>
    <w:rsid w:val="00AB042A"/>
    <w:rsid w:val="00AB05A0"/>
    <w:rsid w:val="00AB1395"/>
    <w:rsid w:val="00AB1EDC"/>
    <w:rsid w:val="00AB2D34"/>
    <w:rsid w:val="00AB3430"/>
    <w:rsid w:val="00AB65FF"/>
    <w:rsid w:val="00AB697C"/>
    <w:rsid w:val="00AB7A7B"/>
    <w:rsid w:val="00AB7CFA"/>
    <w:rsid w:val="00AB7ED9"/>
    <w:rsid w:val="00AC7D10"/>
    <w:rsid w:val="00AD3333"/>
    <w:rsid w:val="00AD5E30"/>
    <w:rsid w:val="00AD7EC5"/>
    <w:rsid w:val="00AE168C"/>
    <w:rsid w:val="00AE2B2C"/>
    <w:rsid w:val="00AE3786"/>
    <w:rsid w:val="00AE4295"/>
    <w:rsid w:val="00AF0E6A"/>
    <w:rsid w:val="00AF4274"/>
    <w:rsid w:val="00B00369"/>
    <w:rsid w:val="00B00B22"/>
    <w:rsid w:val="00B0513A"/>
    <w:rsid w:val="00B10714"/>
    <w:rsid w:val="00B10DAA"/>
    <w:rsid w:val="00B11F1B"/>
    <w:rsid w:val="00B140D8"/>
    <w:rsid w:val="00B143DB"/>
    <w:rsid w:val="00B148C6"/>
    <w:rsid w:val="00B15158"/>
    <w:rsid w:val="00B15E58"/>
    <w:rsid w:val="00B21DFF"/>
    <w:rsid w:val="00B2537B"/>
    <w:rsid w:val="00B35229"/>
    <w:rsid w:val="00B3525C"/>
    <w:rsid w:val="00B376C0"/>
    <w:rsid w:val="00B40907"/>
    <w:rsid w:val="00B42851"/>
    <w:rsid w:val="00B50639"/>
    <w:rsid w:val="00B50DB8"/>
    <w:rsid w:val="00B51B47"/>
    <w:rsid w:val="00B53052"/>
    <w:rsid w:val="00B5368D"/>
    <w:rsid w:val="00B53905"/>
    <w:rsid w:val="00B54B5B"/>
    <w:rsid w:val="00B553BE"/>
    <w:rsid w:val="00B5562E"/>
    <w:rsid w:val="00B5607A"/>
    <w:rsid w:val="00B57000"/>
    <w:rsid w:val="00B60939"/>
    <w:rsid w:val="00B60AFD"/>
    <w:rsid w:val="00B62446"/>
    <w:rsid w:val="00B62715"/>
    <w:rsid w:val="00B627FD"/>
    <w:rsid w:val="00B63B65"/>
    <w:rsid w:val="00B6603E"/>
    <w:rsid w:val="00B6637A"/>
    <w:rsid w:val="00B80B5F"/>
    <w:rsid w:val="00B8115A"/>
    <w:rsid w:val="00B818A4"/>
    <w:rsid w:val="00B84026"/>
    <w:rsid w:val="00B84632"/>
    <w:rsid w:val="00B8649C"/>
    <w:rsid w:val="00B8761A"/>
    <w:rsid w:val="00B92D0B"/>
    <w:rsid w:val="00B93BF0"/>
    <w:rsid w:val="00B94945"/>
    <w:rsid w:val="00B95DCF"/>
    <w:rsid w:val="00B96036"/>
    <w:rsid w:val="00BA0D15"/>
    <w:rsid w:val="00BA0E13"/>
    <w:rsid w:val="00BA1995"/>
    <w:rsid w:val="00BA344E"/>
    <w:rsid w:val="00BA40B1"/>
    <w:rsid w:val="00BB3B73"/>
    <w:rsid w:val="00BB47FF"/>
    <w:rsid w:val="00BB7405"/>
    <w:rsid w:val="00BB7B54"/>
    <w:rsid w:val="00BB7C94"/>
    <w:rsid w:val="00BC4520"/>
    <w:rsid w:val="00BC68FB"/>
    <w:rsid w:val="00BD1C5C"/>
    <w:rsid w:val="00BD5ECC"/>
    <w:rsid w:val="00BD6339"/>
    <w:rsid w:val="00BD6CF3"/>
    <w:rsid w:val="00BE2180"/>
    <w:rsid w:val="00BE4275"/>
    <w:rsid w:val="00BF2433"/>
    <w:rsid w:val="00BF5087"/>
    <w:rsid w:val="00BF61C9"/>
    <w:rsid w:val="00BF70EB"/>
    <w:rsid w:val="00BF77F3"/>
    <w:rsid w:val="00C01E9F"/>
    <w:rsid w:val="00C026B4"/>
    <w:rsid w:val="00C0288B"/>
    <w:rsid w:val="00C03EEF"/>
    <w:rsid w:val="00C05F16"/>
    <w:rsid w:val="00C05F78"/>
    <w:rsid w:val="00C06CD2"/>
    <w:rsid w:val="00C104E5"/>
    <w:rsid w:val="00C124F0"/>
    <w:rsid w:val="00C14DCC"/>
    <w:rsid w:val="00C20626"/>
    <w:rsid w:val="00C2069C"/>
    <w:rsid w:val="00C250AD"/>
    <w:rsid w:val="00C25418"/>
    <w:rsid w:val="00C25D9C"/>
    <w:rsid w:val="00C26C76"/>
    <w:rsid w:val="00C26D22"/>
    <w:rsid w:val="00C27A36"/>
    <w:rsid w:val="00C27B3E"/>
    <w:rsid w:val="00C27C7D"/>
    <w:rsid w:val="00C3039B"/>
    <w:rsid w:val="00C3042B"/>
    <w:rsid w:val="00C31649"/>
    <w:rsid w:val="00C320EF"/>
    <w:rsid w:val="00C36294"/>
    <w:rsid w:val="00C36729"/>
    <w:rsid w:val="00C40385"/>
    <w:rsid w:val="00C41A96"/>
    <w:rsid w:val="00C427D0"/>
    <w:rsid w:val="00C43D62"/>
    <w:rsid w:val="00C540E7"/>
    <w:rsid w:val="00C560D2"/>
    <w:rsid w:val="00C57C10"/>
    <w:rsid w:val="00C61D08"/>
    <w:rsid w:val="00C63214"/>
    <w:rsid w:val="00C6366A"/>
    <w:rsid w:val="00C65576"/>
    <w:rsid w:val="00C66165"/>
    <w:rsid w:val="00C66A3E"/>
    <w:rsid w:val="00C678D9"/>
    <w:rsid w:val="00C70B52"/>
    <w:rsid w:val="00C730E5"/>
    <w:rsid w:val="00C750C8"/>
    <w:rsid w:val="00C75E4C"/>
    <w:rsid w:val="00C76EC8"/>
    <w:rsid w:val="00C8185B"/>
    <w:rsid w:val="00C8213F"/>
    <w:rsid w:val="00C8797A"/>
    <w:rsid w:val="00C91930"/>
    <w:rsid w:val="00C938CF"/>
    <w:rsid w:val="00C962FC"/>
    <w:rsid w:val="00C96ED2"/>
    <w:rsid w:val="00CA27B5"/>
    <w:rsid w:val="00CA4129"/>
    <w:rsid w:val="00CA47A6"/>
    <w:rsid w:val="00CA5245"/>
    <w:rsid w:val="00CA5EEA"/>
    <w:rsid w:val="00CA62C2"/>
    <w:rsid w:val="00CA6EAC"/>
    <w:rsid w:val="00CA7B09"/>
    <w:rsid w:val="00CB5B1A"/>
    <w:rsid w:val="00CB5D4E"/>
    <w:rsid w:val="00CB68A5"/>
    <w:rsid w:val="00CC2DF3"/>
    <w:rsid w:val="00CC3D49"/>
    <w:rsid w:val="00CC6F10"/>
    <w:rsid w:val="00CC729C"/>
    <w:rsid w:val="00CD17AB"/>
    <w:rsid w:val="00CD6ADC"/>
    <w:rsid w:val="00CD73FC"/>
    <w:rsid w:val="00CE1ADF"/>
    <w:rsid w:val="00CE25F9"/>
    <w:rsid w:val="00CE6274"/>
    <w:rsid w:val="00CF456B"/>
    <w:rsid w:val="00CF456F"/>
    <w:rsid w:val="00CF5A22"/>
    <w:rsid w:val="00CF7FCF"/>
    <w:rsid w:val="00D00A4B"/>
    <w:rsid w:val="00D01671"/>
    <w:rsid w:val="00D01D5B"/>
    <w:rsid w:val="00D0262E"/>
    <w:rsid w:val="00D038E2"/>
    <w:rsid w:val="00D03939"/>
    <w:rsid w:val="00D03E05"/>
    <w:rsid w:val="00D04DF1"/>
    <w:rsid w:val="00D05082"/>
    <w:rsid w:val="00D10627"/>
    <w:rsid w:val="00D110BD"/>
    <w:rsid w:val="00D11691"/>
    <w:rsid w:val="00D116EE"/>
    <w:rsid w:val="00D118FF"/>
    <w:rsid w:val="00D14306"/>
    <w:rsid w:val="00D17D6C"/>
    <w:rsid w:val="00D23CFA"/>
    <w:rsid w:val="00D30446"/>
    <w:rsid w:val="00D320F5"/>
    <w:rsid w:val="00D343CB"/>
    <w:rsid w:val="00D357FF"/>
    <w:rsid w:val="00D37293"/>
    <w:rsid w:val="00D37FA1"/>
    <w:rsid w:val="00D4188B"/>
    <w:rsid w:val="00D42C5B"/>
    <w:rsid w:val="00D43467"/>
    <w:rsid w:val="00D46EA4"/>
    <w:rsid w:val="00D54BF5"/>
    <w:rsid w:val="00D56537"/>
    <w:rsid w:val="00D607B0"/>
    <w:rsid w:val="00D61900"/>
    <w:rsid w:val="00D66746"/>
    <w:rsid w:val="00D76A44"/>
    <w:rsid w:val="00D76CBD"/>
    <w:rsid w:val="00D77908"/>
    <w:rsid w:val="00D8438C"/>
    <w:rsid w:val="00D86601"/>
    <w:rsid w:val="00D87AF8"/>
    <w:rsid w:val="00D909FE"/>
    <w:rsid w:val="00D93753"/>
    <w:rsid w:val="00D93E51"/>
    <w:rsid w:val="00D964BF"/>
    <w:rsid w:val="00DA0ED3"/>
    <w:rsid w:val="00DA7459"/>
    <w:rsid w:val="00DA77A5"/>
    <w:rsid w:val="00DA7BE1"/>
    <w:rsid w:val="00DA7D84"/>
    <w:rsid w:val="00DB3F9A"/>
    <w:rsid w:val="00DB4241"/>
    <w:rsid w:val="00DB55D1"/>
    <w:rsid w:val="00DB5617"/>
    <w:rsid w:val="00DB689B"/>
    <w:rsid w:val="00DB6FCD"/>
    <w:rsid w:val="00DC270B"/>
    <w:rsid w:val="00DC49B4"/>
    <w:rsid w:val="00DC51EE"/>
    <w:rsid w:val="00DC5501"/>
    <w:rsid w:val="00DC789B"/>
    <w:rsid w:val="00DD0D0B"/>
    <w:rsid w:val="00DD3F28"/>
    <w:rsid w:val="00DD4537"/>
    <w:rsid w:val="00DD4E15"/>
    <w:rsid w:val="00DD5CBB"/>
    <w:rsid w:val="00DE3268"/>
    <w:rsid w:val="00DE4FCB"/>
    <w:rsid w:val="00DF1CD5"/>
    <w:rsid w:val="00DF1DDF"/>
    <w:rsid w:val="00DF3BB9"/>
    <w:rsid w:val="00DF53F1"/>
    <w:rsid w:val="00DF5D2B"/>
    <w:rsid w:val="00DF7C66"/>
    <w:rsid w:val="00E0078C"/>
    <w:rsid w:val="00E01CFC"/>
    <w:rsid w:val="00E0494D"/>
    <w:rsid w:val="00E0667D"/>
    <w:rsid w:val="00E10149"/>
    <w:rsid w:val="00E10D13"/>
    <w:rsid w:val="00E156D7"/>
    <w:rsid w:val="00E16372"/>
    <w:rsid w:val="00E20ED6"/>
    <w:rsid w:val="00E21358"/>
    <w:rsid w:val="00E21B71"/>
    <w:rsid w:val="00E2249B"/>
    <w:rsid w:val="00E22A0D"/>
    <w:rsid w:val="00E22A87"/>
    <w:rsid w:val="00E2771E"/>
    <w:rsid w:val="00E27840"/>
    <w:rsid w:val="00E27BEF"/>
    <w:rsid w:val="00E31795"/>
    <w:rsid w:val="00E366BC"/>
    <w:rsid w:val="00E37569"/>
    <w:rsid w:val="00E379F6"/>
    <w:rsid w:val="00E41DD8"/>
    <w:rsid w:val="00E41E30"/>
    <w:rsid w:val="00E43D70"/>
    <w:rsid w:val="00E47B2C"/>
    <w:rsid w:val="00E50952"/>
    <w:rsid w:val="00E51560"/>
    <w:rsid w:val="00E55424"/>
    <w:rsid w:val="00E55BB5"/>
    <w:rsid w:val="00E57A3E"/>
    <w:rsid w:val="00E626C2"/>
    <w:rsid w:val="00E648AE"/>
    <w:rsid w:val="00E65E79"/>
    <w:rsid w:val="00E67416"/>
    <w:rsid w:val="00E703DB"/>
    <w:rsid w:val="00E70869"/>
    <w:rsid w:val="00E718B6"/>
    <w:rsid w:val="00E73581"/>
    <w:rsid w:val="00E74580"/>
    <w:rsid w:val="00E8078D"/>
    <w:rsid w:val="00E82C89"/>
    <w:rsid w:val="00E83BDF"/>
    <w:rsid w:val="00E84660"/>
    <w:rsid w:val="00E84A81"/>
    <w:rsid w:val="00E86E06"/>
    <w:rsid w:val="00E9006E"/>
    <w:rsid w:val="00E919F9"/>
    <w:rsid w:val="00E92769"/>
    <w:rsid w:val="00E9487D"/>
    <w:rsid w:val="00E97388"/>
    <w:rsid w:val="00EA1084"/>
    <w:rsid w:val="00EA3864"/>
    <w:rsid w:val="00EB15B6"/>
    <w:rsid w:val="00EB4916"/>
    <w:rsid w:val="00EB5BB1"/>
    <w:rsid w:val="00EB635F"/>
    <w:rsid w:val="00EB7C29"/>
    <w:rsid w:val="00EC00C9"/>
    <w:rsid w:val="00EC2588"/>
    <w:rsid w:val="00EC31E4"/>
    <w:rsid w:val="00ED2F99"/>
    <w:rsid w:val="00ED7FD3"/>
    <w:rsid w:val="00EE07D3"/>
    <w:rsid w:val="00EE1878"/>
    <w:rsid w:val="00EE2E63"/>
    <w:rsid w:val="00EE4EBB"/>
    <w:rsid w:val="00EE64EB"/>
    <w:rsid w:val="00EF4243"/>
    <w:rsid w:val="00EF5455"/>
    <w:rsid w:val="00EF5E2B"/>
    <w:rsid w:val="00EF6E44"/>
    <w:rsid w:val="00F015D3"/>
    <w:rsid w:val="00F0236A"/>
    <w:rsid w:val="00F0424B"/>
    <w:rsid w:val="00F067A2"/>
    <w:rsid w:val="00F06FE1"/>
    <w:rsid w:val="00F1662C"/>
    <w:rsid w:val="00F1695C"/>
    <w:rsid w:val="00F23818"/>
    <w:rsid w:val="00F23AE5"/>
    <w:rsid w:val="00F24837"/>
    <w:rsid w:val="00F2575F"/>
    <w:rsid w:val="00F26C4C"/>
    <w:rsid w:val="00F33DE9"/>
    <w:rsid w:val="00F3619A"/>
    <w:rsid w:val="00F36AFF"/>
    <w:rsid w:val="00F371CE"/>
    <w:rsid w:val="00F46CB6"/>
    <w:rsid w:val="00F54E9C"/>
    <w:rsid w:val="00F55E73"/>
    <w:rsid w:val="00F56BAC"/>
    <w:rsid w:val="00F60092"/>
    <w:rsid w:val="00F63144"/>
    <w:rsid w:val="00F72279"/>
    <w:rsid w:val="00F729A8"/>
    <w:rsid w:val="00F76355"/>
    <w:rsid w:val="00F77121"/>
    <w:rsid w:val="00F77A64"/>
    <w:rsid w:val="00F80E5D"/>
    <w:rsid w:val="00F8194C"/>
    <w:rsid w:val="00F851CE"/>
    <w:rsid w:val="00F86FE8"/>
    <w:rsid w:val="00F90E15"/>
    <w:rsid w:val="00F92215"/>
    <w:rsid w:val="00F92E2D"/>
    <w:rsid w:val="00F95068"/>
    <w:rsid w:val="00F953DF"/>
    <w:rsid w:val="00F97A78"/>
    <w:rsid w:val="00F97CE6"/>
    <w:rsid w:val="00FA24E7"/>
    <w:rsid w:val="00FA291A"/>
    <w:rsid w:val="00FA463D"/>
    <w:rsid w:val="00FB2FCB"/>
    <w:rsid w:val="00FB35CE"/>
    <w:rsid w:val="00FB5988"/>
    <w:rsid w:val="00FC1074"/>
    <w:rsid w:val="00FC1884"/>
    <w:rsid w:val="00FC24B9"/>
    <w:rsid w:val="00FC3CB4"/>
    <w:rsid w:val="00FC5F9C"/>
    <w:rsid w:val="00FC72B4"/>
    <w:rsid w:val="00FD2100"/>
    <w:rsid w:val="00FD2B39"/>
    <w:rsid w:val="00FD3309"/>
    <w:rsid w:val="00FD3588"/>
    <w:rsid w:val="00FD446D"/>
    <w:rsid w:val="00FD4F6E"/>
    <w:rsid w:val="00FD6516"/>
    <w:rsid w:val="00FD790E"/>
    <w:rsid w:val="00FD7A88"/>
    <w:rsid w:val="00FE3913"/>
    <w:rsid w:val="00FF0354"/>
    <w:rsid w:val="00FF3DCF"/>
    <w:rsid w:val="00FF4B5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B51B47"/>
    <w:rPr>
      <w:sz w:val="28"/>
    </w:rPr>
  </w:style>
  <w:style w:type="character" w:customStyle="1" w:styleId="TitleChar">
    <w:name w:val="Title Char"/>
    <w:basedOn w:val="DefaultParagraphFont"/>
    <w:link w:val="Title"/>
    <w:rsid w:val="00B51B4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customStyle="1" w:styleId="PBACTable">
    <w:name w:val="PBAC Table"/>
    <w:basedOn w:val="Normal"/>
    <w:link w:val="PBACTableChar"/>
    <w:qFormat/>
    <w:rsid w:val="00A00679"/>
    <w:pPr>
      <w:widowControl/>
      <w:spacing w:line="276" w:lineRule="auto"/>
    </w:pPr>
    <w:rPr>
      <w:rFonts w:ascii="Arial Narrow" w:eastAsia="SimSun" w:hAnsi="Arial Narrow" w:cs="Calibri"/>
      <w:snapToGrid/>
      <w:color w:val="000000"/>
      <w:sz w:val="20"/>
      <w:lang w:eastAsia="zh-CN"/>
    </w:rPr>
  </w:style>
  <w:style w:type="character" w:customStyle="1" w:styleId="PBACTableChar">
    <w:name w:val="PBAC Table Char"/>
    <w:basedOn w:val="DefaultParagraphFont"/>
    <w:link w:val="PBACTable"/>
    <w:rsid w:val="00A00679"/>
    <w:rPr>
      <w:rFonts w:ascii="Arial Narrow" w:eastAsia="SimSun" w:hAnsi="Arial Narrow" w:cs="Calibri"/>
      <w:color w:val="000000"/>
      <w:lang w:eastAsia="zh-CN"/>
    </w:rPr>
  </w:style>
  <w:style w:type="paragraph" w:customStyle="1" w:styleId="PBACTablenote">
    <w:name w:val="PBAC Table note"/>
    <w:basedOn w:val="Normal"/>
    <w:link w:val="PBACTablenoteChar"/>
    <w:qFormat/>
    <w:rsid w:val="00C91930"/>
    <w:pPr>
      <w:keepNext/>
      <w:widowControl/>
    </w:pPr>
    <w:rPr>
      <w:rFonts w:ascii="Arial Narrow" w:eastAsia="SimSun" w:hAnsi="Arial Narrow" w:cs="Aharoni"/>
      <w:snapToGrid/>
      <w:sz w:val="18"/>
      <w:szCs w:val="18"/>
      <w:lang w:eastAsia="zh-CN"/>
    </w:rPr>
  </w:style>
  <w:style w:type="character" w:customStyle="1" w:styleId="PBACTablenoteChar">
    <w:name w:val="PBAC Table note Char"/>
    <w:basedOn w:val="DefaultParagraphFont"/>
    <w:link w:val="PBACTablenote"/>
    <w:rsid w:val="00C91930"/>
    <w:rPr>
      <w:rFonts w:ascii="Arial Narrow" w:eastAsia="SimSun" w:hAnsi="Arial Narrow" w:cs="Aharoni"/>
      <w:sz w:val="18"/>
      <w:szCs w:val="18"/>
      <w:lang w:eastAsia="zh-CN"/>
    </w:rPr>
  </w:style>
  <w:style w:type="paragraph" w:customStyle="1" w:styleId="PBACCaption">
    <w:name w:val="PBAC Caption"/>
    <w:basedOn w:val="Normal"/>
    <w:qFormat/>
    <w:rsid w:val="00C91930"/>
    <w:pPr>
      <w:keepNext/>
      <w:widowControl/>
      <w:spacing w:line="276" w:lineRule="auto"/>
    </w:pPr>
    <w:rPr>
      <w:rFonts w:ascii="Arial Narrow" w:eastAsiaTheme="minorEastAsia" w:hAnsi="Arial Narrow" w:cstheme="minorBidi"/>
      <w:b/>
      <w:snapToGrid/>
      <w:sz w:val="20"/>
      <w:szCs w:val="22"/>
      <w:lang w:eastAsia="zh-CN"/>
    </w:rPr>
  </w:style>
  <w:style w:type="paragraph" w:customStyle="1" w:styleId="PBACcitation">
    <w:name w:val="PBAC citation"/>
    <w:basedOn w:val="Caption"/>
    <w:link w:val="PBACcitationChar"/>
    <w:qFormat/>
    <w:rsid w:val="007E1A72"/>
    <w:pPr>
      <w:keepNext/>
      <w:widowControl/>
      <w:spacing w:after="0" w:line="276" w:lineRule="auto"/>
    </w:pPr>
    <w:rPr>
      <w:rFonts w:ascii="Arial Narrow" w:eastAsiaTheme="minorEastAsia" w:hAnsi="Arial Narrow" w:cstheme="minorBidi"/>
      <w:bCs w:val="0"/>
      <w:snapToGrid/>
      <w:szCs w:val="22"/>
      <w:lang w:eastAsia="zh-CN"/>
    </w:rPr>
  </w:style>
  <w:style w:type="character" w:customStyle="1" w:styleId="PBACcitationChar">
    <w:name w:val="PBAC citation Char"/>
    <w:basedOn w:val="CaptionChar"/>
    <w:link w:val="PBACcitation"/>
    <w:rsid w:val="007E1A72"/>
    <w:rPr>
      <w:rFonts w:ascii="Arial Narrow" w:eastAsiaTheme="minorEastAsia" w:hAnsi="Arial Narrow" w:cstheme="minorBidi"/>
      <w:b/>
      <w:bCs w:val="0"/>
      <w:snapToGrid/>
      <w:color w:val="4F81BD" w:themeColor="accent1"/>
      <w:sz w:val="18"/>
      <w:szCs w:val="22"/>
      <w:lang w:eastAsia="zh-CN"/>
    </w:rPr>
  </w:style>
  <w:style w:type="character" w:customStyle="1" w:styleId="TableTextChar0">
    <w:name w:val="TableText Char"/>
    <w:basedOn w:val="DefaultParagraphFont"/>
    <w:link w:val="TableText0"/>
    <w:uiPriority w:val="3"/>
    <w:rsid w:val="00542645"/>
    <w:rPr>
      <w:rFonts w:ascii="Arial Narrow" w:hAnsi="Arial Narrow" w:cs="Arial Narrow"/>
      <w:lang w:eastAsia="en-US"/>
    </w:rPr>
  </w:style>
  <w:style w:type="paragraph" w:customStyle="1" w:styleId="PBACnormal">
    <w:name w:val="PBAC normal"/>
    <w:basedOn w:val="Normal"/>
    <w:link w:val="PBACnormalChar"/>
    <w:qFormat/>
    <w:rsid w:val="0017353B"/>
    <w:pPr>
      <w:widowControl/>
      <w:spacing w:line="276" w:lineRule="auto"/>
    </w:pPr>
    <w:rPr>
      <w:rFonts w:ascii="Arial Narrow" w:eastAsia="SimSun" w:hAnsi="Arial Narrow" w:cs="Aharoni"/>
      <w:snapToGrid/>
      <w:szCs w:val="22"/>
      <w:lang w:eastAsia="zh-CN"/>
    </w:rPr>
  </w:style>
  <w:style w:type="character" w:customStyle="1" w:styleId="PBACnormalChar">
    <w:name w:val="PBAC normal Char"/>
    <w:basedOn w:val="DefaultParagraphFont"/>
    <w:link w:val="PBACnormal"/>
    <w:rsid w:val="0017353B"/>
    <w:rPr>
      <w:rFonts w:ascii="Arial Narrow" w:eastAsia="SimSun" w:hAnsi="Arial Narrow" w:cs="Aharoni"/>
      <w:sz w:val="22"/>
      <w:szCs w:val="22"/>
      <w:lang w:eastAsia="zh-CN"/>
    </w:rPr>
  </w:style>
  <w:style w:type="paragraph" w:customStyle="1" w:styleId="TableHeadingRow">
    <w:name w:val="TableHeadingRow"/>
    <w:basedOn w:val="Normal"/>
    <w:uiPriority w:val="3"/>
    <w:qFormat/>
    <w:rsid w:val="001F684E"/>
    <w:pPr>
      <w:keepNext/>
      <w:widowControl/>
      <w:spacing w:before="20" w:after="20" w:line="276" w:lineRule="auto"/>
    </w:pPr>
    <w:rPr>
      <w:rFonts w:ascii="Arial Narrow" w:hAnsi="Arial Narrow" w:cstheme="minorHAnsi"/>
      <w:b/>
      <w:snapToGrid/>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61D08"/>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72"/>
    <w:rsid w:val="00967122"/>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B51B47"/>
    <w:rPr>
      <w:sz w:val="28"/>
    </w:rPr>
  </w:style>
  <w:style w:type="character" w:customStyle="1" w:styleId="TitleChar">
    <w:name w:val="Title Char"/>
    <w:basedOn w:val="DefaultParagraphFont"/>
    <w:link w:val="Title"/>
    <w:rsid w:val="00B51B4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customStyle="1" w:styleId="PBACTable">
    <w:name w:val="PBAC Table"/>
    <w:basedOn w:val="Normal"/>
    <w:link w:val="PBACTableChar"/>
    <w:qFormat/>
    <w:rsid w:val="00A00679"/>
    <w:pPr>
      <w:widowControl/>
      <w:spacing w:line="276" w:lineRule="auto"/>
    </w:pPr>
    <w:rPr>
      <w:rFonts w:ascii="Arial Narrow" w:eastAsia="SimSun" w:hAnsi="Arial Narrow" w:cs="Calibri"/>
      <w:snapToGrid/>
      <w:color w:val="000000"/>
      <w:sz w:val="20"/>
      <w:lang w:eastAsia="zh-CN"/>
    </w:rPr>
  </w:style>
  <w:style w:type="character" w:customStyle="1" w:styleId="PBACTableChar">
    <w:name w:val="PBAC Table Char"/>
    <w:basedOn w:val="DefaultParagraphFont"/>
    <w:link w:val="PBACTable"/>
    <w:rsid w:val="00A00679"/>
    <w:rPr>
      <w:rFonts w:ascii="Arial Narrow" w:eastAsia="SimSun" w:hAnsi="Arial Narrow" w:cs="Calibri"/>
      <w:color w:val="000000"/>
      <w:lang w:eastAsia="zh-CN"/>
    </w:rPr>
  </w:style>
  <w:style w:type="paragraph" w:customStyle="1" w:styleId="PBACTablenote">
    <w:name w:val="PBAC Table note"/>
    <w:basedOn w:val="Normal"/>
    <w:link w:val="PBACTablenoteChar"/>
    <w:qFormat/>
    <w:rsid w:val="00C91930"/>
    <w:pPr>
      <w:keepNext/>
      <w:widowControl/>
    </w:pPr>
    <w:rPr>
      <w:rFonts w:ascii="Arial Narrow" w:eastAsia="SimSun" w:hAnsi="Arial Narrow" w:cs="Aharoni"/>
      <w:snapToGrid/>
      <w:sz w:val="18"/>
      <w:szCs w:val="18"/>
      <w:lang w:eastAsia="zh-CN"/>
    </w:rPr>
  </w:style>
  <w:style w:type="character" w:customStyle="1" w:styleId="PBACTablenoteChar">
    <w:name w:val="PBAC Table note Char"/>
    <w:basedOn w:val="DefaultParagraphFont"/>
    <w:link w:val="PBACTablenote"/>
    <w:rsid w:val="00C91930"/>
    <w:rPr>
      <w:rFonts w:ascii="Arial Narrow" w:eastAsia="SimSun" w:hAnsi="Arial Narrow" w:cs="Aharoni"/>
      <w:sz w:val="18"/>
      <w:szCs w:val="18"/>
      <w:lang w:eastAsia="zh-CN"/>
    </w:rPr>
  </w:style>
  <w:style w:type="paragraph" w:customStyle="1" w:styleId="PBACCaption">
    <w:name w:val="PBAC Caption"/>
    <w:basedOn w:val="Normal"/>
    <w:qFormat/>
    <w:rsid w:val="00C91930"/>
    <w:pPr>
      <w:keepNext/>
      <w:widowControl/>
      <w:spacing w:line="276" w:lineRule="auto"/>
    </w:pPr>
    <w:rPr>
      <w:rFonts w:ascii="Arial Narrow" w:eastAsiaTheme="minorEastAsia" w:hAnsi="Arial Narrow" w:cstheme="minorBidi"/>
      <w:b/>
      <w:snapToGrid/>
      <w:sz w:val="20"/>
      <w:szCs w:val="22"/>
      <w:lang w:eastAsia="zh-CN"/>
    </w:rPr>
  </w:style>
  <w:style w:type="paragraph" w:customStyle="1" w:styleId="PBACcitation">
    <w:name w:val="PBAC citation"/>
    <w:basedOn w:val="Caption"/>
    <w:link w:val="PBACcitationChar"/>
    <w:qFormat/>
    <w:rsid w:val="007E1A72"/>
    <w:pPr>
      <w:keepNext/>
      <w:widowControl/>
      <w:spacing w:after="0" w:line="276" w:lineRule="auto"/>
    </w:pPr>
    <w:rPr>
      <w:rFonts w:ascii="Arial Narrow" w:eastAsiaTheme="minorEastAsia" w:hAnsi="Arial Narrow" w:cstheme="minorBidi"/>
      <w:bCs w:val="0"/>
      <w:snapToGrid/>
      <w:szCs w:val="22"/>
      <w:lang w:eastAsia="zh-CN"/>
    </w:rPr>
  </w:style>
  <w:style w:type="character" w:customStyle="1" w:styleId="PBACcitationChar">
    <w:name w:val="PBAC citation Char"/>
    <w:basedOn w:val="CaptionChar"/>
    <w:link w:val="PBACcitation"/>
    <w:rsid w:val="007E1A72"/>
    <w:rPr>
      <w:rFonts w:ascii="Arial Narrow" w:eastAsiaTheme="minorEastAsia" w:hAnsi="Arial Narrow" w:cstheme="minorBidi"/>
      <w:b/>
      <w:bCs w:val="0"/>
      <w:snapToGrid/>
      <w:color w:val="4F81BD" w:themeColor="accent1"/>
      <w:sz w:val="18"/>
      <w:szCs w:val="22"/>
      <w:lang w:eastAsia="zh-CN"/>
    </w:rPr>
  </w:style>
  <w:style w:type="character" w:customStyle="1" w:styleId="TableTextChar0">
    <w:name w:val="TableText Char"/>
    <w:basedOn w:val="DefaultParagraphFont"/>
    <w:link w:val="TableText0"/>
    <w:uiPriority w:val="3"/>
    <w:rsid w:val="00542645"/>
    <w:rPr>
      <w:rFonts w:ascii="Arial Narrow" w:hAnsi="Arial Narrow" w:cs="Arial Narrow"/>
      <w:lang w:eastAsia="en-US"/>
    </w:rPr>
  </w:style>
  <w:style w:type="paragraph" w:customStyle="1" w:styleId="PBACnormal">
    <w:name w:val="PBAC normal"/>
    <w:basedOn w:val="Normal"/>
    <w:link w:val="PBACnormalChar"/>
    <w:qFormat/>
    <w:rsid w:val="0017353B"/>
    <w:pPr>
      <w:widowControl/>
      <w:spacing w:line="276" w:lineRule="auto"/>
    </w:pPr>
    <w:rPr>
      <w:rFonts w:ascii="Arial Narrow" w:eastAsia="SimSun" w:hAnsi="Arial Narrow" w:cs="Aharoni"/>
      <w:snapToGrid/>
      <w:szCs w:val="22"/>
      <w:lang w:eastAsia="zh-CN"/>
    </w:rPr>
  </w:style>
  <w:style w:type="character" w:customStyle="1" w:styleId="PBACnormalChar">
    <w:name w:val="PBAC normal Char"/>
    <w:basedOn w:val="DefaultParagraphFont"/>
    <w:link w:val="PBACnormal"/>
    <w:rsid w:val="0017353B"/>
    <w:rPr>
      <w:rFonts w:ascii="Arial Narrow" w:eastAsia="SimSun" w:hAnsi="Arial Narrow" w:cs="Aharoni"/>
      <w:sz w:val="22"/>
      <w:szCs w:val="22"/>
      <w:lang w:eastAsia="zh-CN"/>
    </w:rPr>
  </w:style>
  <w:style w:type="paragraph" w:customStyle="1" w:styleId="TableHeadingRow">
    <w:name w:val="TableHeadingRow"/>
    <w:basedOn w:val="Normal"/>
    <w:uiPriority w:val="3"/>
    <w:qFormat/>
    <w:rsid w:val="001F684E"/>
    <w:pPr>
      <w:keepNext/>
      <w:widowControl/>
      <w:spacing w:before="20" w:after="20" w:line="276" w:lineRule="auto"/>
    </w:pPr>
    <w:rPr>
      <w:rFonts w:ascii="Arial Narrow" w:hAnsi="Arial Narrow" w:cstheme="minorHAnsi"/>
      <w:b/>
      <w:snapToGrid/>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61D08"/>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72"/>
    <w:rsid w:val="00967122"/>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BC07-B5DC-44A1-9E03-0A28E8EA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5.15 Lutropin alfa</vt:lpstr>
    </vt:vector>
  </TitlesOfParts>
  <LinksUpToDate>false</LinksUpToDate>
  <CharactersWithSpaces>27634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5.15 Lutropin alfa</dc:title>
  <dc:creator/>
  <cp:lastModifiedBy/>
  <cp:revision>1</cp:revision>
  <dcterms:created xsi:type="dcterms:W3CDTF">2015-06-29T07:21:00Z</dcterms:created>
  <dcterms:modified xsi:type="dcterms:W3CDTF">2015-06-29T07:23:00Z</dcterms:modified>
</cp:coreProperties>
</file>