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17" w:rsidRPr="00026F17" w:rsidRDefault="00200C0E" w:rsidP="00026F17">
      <w:pPr>
        <w:pStyle w:val="Title"/>
      </w:pPr>
      <w:bookmarkStart w:id="0" w:name="_Toc409600035"/>
      <w:bookmarkStart w:id="1" w:name="_GoBack"/>
      <w:bookmarkEnd w:id="1"/>
      <w:r w:rsidRPr="00026F17">
        <w:t>7.</w:t>
      </w:r>
      <w:r w:rsidR="00751DD8" w:rsidRPr="00026F17">
        <w:t>0</w:t>
      </w:r>
      <w:r w:rsidRPr="00026F17">
        <w:t>2</w:t>
      </w:r>
      <w:r w:rsidR="00B60939" w:rsidRPr="00026F17">
        <w:tab/>
      </w:r>
      <w:r w:rsidR="00DC43C4" w:rsidRPr="00026F17">
        <w:t>LURASIDONE</w:t>
      </w:r>
    </w:p>
    <w:p w:rsidR="00026F17" w:rsidRDefault="00B60939" w:rsidP="00577717">
      <w:pPr>
        <w:pStyle w:val="Heading1"/>
        <w:rPr>
          <w:sz w:val="28"/>
        </w:rPr>
      </w:pPr>
      <w:r w:rsidRPr="00577717">
        <w:rPr>
          <w:sz w:val="28"/>
        </w:rPr>
        <w:t xml:space="preserve"> </w:t>
      </w:r>
      <w:r w:rsidR="00026F17">
        <w:rPr>
          <w:sz w:val="28"/>
        </w:rPr>
        <w:tab/>
      </w:r>
      <w:r w:rsidR="00A77A11">
        <w:rPr>
          <w:caps w:val="0"/>
          <w:sz w:val="28"/>
        </w:rPr>
        <w:t>40mg &amp; 80mg</w:t>
      </w:r>
      <w:r w:rsidRPr="00577717">
        <w:rPr>
          <w:sz w:val="28"/>
        </w:rPr>
        <w:t xml:space="preserve">, </w:t>
      </w:r>
      <w:r w:rsidR="00A77A11">
        <w:rPr>
          <w:caps w:val="0"/>
          <w:sz w:val="28"/>
        </w:rPr>
        <w:t>film coated tablets</w:t>
      </w:r>
      <w:r w:rsidR="00026F17">
        <w:rPr>
          <w:sz w:val="28"/>
        </w:rPr>
        <w:t>;</w:t>
      </w:r>
      <w:r w:rsidRPr="00577717">
        <w:rPr>
          <w:sz w:val="28"/>
        </w:rPr>
        <w:t xml:space="preserve"> </w:t>
      </w:r>
    </w:p>
    <w:p w:rsidR="00B60939" w:rsidRPr="00577717" w:rsidRDefault="00A77A11" w:rsidP="00026F17">
      <w:pPr>
        <w:pStyle w:val="Heading1"/>
        <w:ind w:firstLine="0"/>
        <w:rPr>
          <w:sz w:val="28"/>
        </w:rPr>
      </w:pPr>
      <w:r>
        <w:rPr>
          <w:caps w:val="0"/>
          <w:sz w:val="28"/>
        </w:rPr>
        <w:t>Latuda</w:t>
      </w:r>
      <w:r w:rsidR="00B60939" w:rsidRPr="00577717">
        <w:rPr>
          <w:sz w:val="28"/>
          <w:vertAlign w:val="superscript"/>
        </w:rPr>
        <w:t>®</w:t>
      </w:r>
      <w:r w:rsidR="00026F17">
        <w:rPr>
          <w:sz w:val="28"/>
        </w:rPr>
        <w:t>;</w:t>
      </w:r>
      <w:r w:rsidR="00B60939" w:rsidRPr="00577717">
        <w:rPr>
          <w:sz w:val="28"/>
        </w:rPr>
        <w:t xml:space="preserve"> </w:t>
      </w:r>
      <w:r>
        <w:rPr>
          <w:caps w:val="0"/>
          <w:sz w:val="28"/>
        </w:rPr>
        <w:t>Commercial Eyes P/L</w:t>
      </w:r>
      <w:r w:rsidR="008A6A8E">
        <w:rPr>
          <w:caps w:val="0"/>
          <w:sz w:val="28"/>
        </w:rPr>
        <w:t xml:space="preserve"> </w:t>
      </w:r>
      <w:r w:rsidR="008A6A8E" w:rsidRPr="008A6A8E">
        <w:rPr>
          <w:i/>
          <w:caps w:val="0"/>
          <w:sz w:val="28"/>
        </w:rPr>
        <w:t>for</w:t>
      </w:r>
      <w:r w:rsidR="008A6A8E" w:rsidRPr="008A6A8E">
        <w:rPr>
          <w:caps w:val="0"/>
          <w:sz w:val="28"/>
        </w:rPr>
        <w:t xml:space="preserve"> Dainippon Sumitomo Pharma Ltd</w:t>
      </w:r>
      <w:r w:rsidR="00B60939" w:rsidRPr="00577717">
        <w:rPr>
          <w:sz w:val="28"/>
        </w:rPr>
        <w:t>.</w:t>
      </w:r>
      <w:bookmarkEnd w:id="0"/>
    </w:p>
    <w:p w:rsidR="00B60939" w:rsidRDefault="00B60939" w:rsidP="00577717"/>
    <w:p w:rsidR="00F338FF" w:rsidRPr="006D6EC7" w:rsidRDefault="00F338FF" w:rsidP="00577717"/>
    <w:p w:rsidR="00F338FF" w:rsidRPr="00407F2D" w:rsidRDefault="00F338FF" w:rsidP="001F302B">
      <w:pPr>
        <w:pStyle w:val="PBACheading1"/>
        <w:keepNext/>
        <w:keepLines/>
        <w:rPr>
          <w:b/>
        </w:rPr>
      </w:pPr>
      <w:bookmarkStart w:id="2" w:name="_Toc409600037"/>
      <w:r w:rsidRPr="00407F2D">
        <w:rPr>
          <w:b/>
        </w:rPr>
        <w:t>Purpose of Application</w:t>
      </w:r>
      <w:bookmarkEnd w:id="2"/>
    </w:p>
    <w:p w:rsidR="00B60939" w:rsidRPr="00882085" w:rsidRDefault="00B60939" w:rsidP="001F302B">
      <w:pPr>
        <w:keepNext/>
        <w:keepLines/>
        <w:rPr>
          <w:szCs w:val="22"/>
        </w:rPr>
      </w:pPr>
    </w:p>
    <w:p w:rsidR="00B60939" w:rsidRPr="001B550F" w:rsidRDefault="008E345C" w:rsidP="00AC3A0F">
      <w:pPr>
        <w:pStyle w:val="ListParagraph"/>
        <w:keepNext/>
        <w:keepLines/>
        <w:widowControl/>
        <w:numPr>
          <w:ilvl w:val="1"/>
          <w:numId w:val="3"/>
        </w:numPr>
        <w:rPr>
          <w:szCs w:val="22"/>
        </w:rPr>
      </w:pPr>
      <w:r>
        <w:t xml:space="preserve">The submission sought </w:t>
      </w:r>
      <w:r w:rsidR="00E27A8D">
        <w:t>an</w:t>
      </w:r>
      <w:r w:rsidR="001E238E" w:rsidRPr="004B3DDB">
        <w:t xml:space="preserve"> Authority Required</w:t>
      </w:r>
      <w:r w:rsidR="00D17BAE">
        <w:t xml:space="preserve"> (S</w:t>
      </w:r>
      <w:r w:rsidR="00200C0E">
        <w:t>TREAMLINED</w:t>
      </w:r>
      <w:r w:rsidR="00D17BAE">
        <w:t xml:space="preserve">) </w:t>
      </w:r>
      <w:r w:rsidR="001E238E" w:rsidRPr="004B3DDB">
        <w:t xml:space="preserve">listing for </w:t>
      </w:r>
      <w:r w:rsidR="00D17BAE">
        <w:t>lurasidone 40mg and 80mg tablets</w:t>
      </w:r>
      <w:r w:rsidR="001E238E" w:rsidRPr="004B3DDB">
        <w:t xml:space="preserve"> for </w:t>
      </w:r>
      <w:r w:rsidR="00D17BAE">
        <w:t xml:space="preserve">the </w:t>
      </w:r>
      <w:r w:rsidR="001E238E" w:rsidRPr="004B3DDB">
        <w:t xml:space="preserve">treatment of </w:t>
      </w:r>
      <w:r w:rsidR="00D17BAE">
        <w:t>schizophrenia</w:t>
      </w:r>
      <w:r w:rsidR="001E238E" w:rsidRPr="004B3DDB">
        <w:t>.</w:t>
      </w:r>
      <w:r w:rsidR="00D17BAE">
        <w:t xml:space="preserve"> </w:t>
      </w:r>
      <w:r w:rsidR="001B550F">
        <w:t>The first submission was considered at the March 2014 PBAC meeting</w:t>
      </w:r>
      <w:r w:rsidR="004F06EA">
        <w:t xml:space="preserve"> and rejected on the basis </w:t>
      </w:r>
      <w:r w:rsidR="004F06EA" w:rsidRPr="004F06EA">
        <w:t xml:space="preserve">that non-inferiority with the comparators was not established </w:t>
      </w:r>
      <w:r w:rsidR="004F06EA">
        <w:t>given</w:t>
      </w:r>
      <w:r w:rsidR="004F06EA" w:rsidRPr="004F06EA">
        <w:t xml:space="preserve"> the fundamental limitations of the trials presented</w:t>
      </w:r>
      <w:r w:rsidR="00FF251F">
        <w:t xml:space="preserve"> (</w:t>
      </w:r>
      <w:r w:rsidR="00A77A11">
        <w:t>PBAC Minutes March 2014, para</w:t>
      </w:r>
      <w:r w:rsidR="00200C0E">
        <w:t xml:space="preserve">graph </w:t>
      </w:r>
      <w:r w:rsidR="00A77A11">
        <w:t>7.1)</w:t>
      </w:r>
      <w:r w:rsidR="004F06EA" w:rsidRPr="004F06EA">
        <w:t>.</w:t>
      </w:r>
      <w:r w:rsidR="00DD2072">
        <w:t xml:space="preserve">   </w:t>
      </w:r>
    </w:p>
    <w:p w:rsidR="008E345C" w:rsidRDefault="008E345C" w:rsidP="00497F10"/>
    <w:p w:rsidR="00F338FF" w:rsidRDefault="00F338FF" w:rsidP="005D7E3E">
      <w:pPr>
        <w:pStyle w:val="PBACheading1"/>
        <w:rPr>
          <w:b/>
        </w:rPr>
      </w:pPr>
      <w:bookmarkStart w:id="3" w:name="_Toc409600038"/>
      <w:r w:rsidRPr="00407F2D">
        <w:rPr>
          <w:b/>
        </w:rPr>
        <w:t>Requested listing</w:t>
      </w:r>
      <w:bookmarkEnd w:id="3"/>
    </w:p>
    <w:p w:rsidR="00182BEE" w:rsidRDefault="00182BEE" w:rsidP="00182BEE">
      <w:pPr>
        <w:pStyle w:val="PBACheading1"/>
        <w:numPr>
          <w:ilvl w:val="0"/>
          <w:numId w:val="0"/>
        </w:numPr>
        <w:ind w:left="720" w:hanging="720"/>
        <w:rPr>
          <w:b/>
        </w:rPr>
      </w:pPr>
    </w:p>
    <w:p w:rsidR="00182BEE" w:rsidRPr="00281A34" w:rsidRDefault="00182BEE" w:rsidP="00AC3A0F">
      <w:pPr>
        <w:pStyle w:val="ListParagraph"/>
        <w:keepNext/>
        <w:keepLines/>
        <w:widowControl/>
        <w:numPr>
          <w:ilvl w:val="1"/>
          <w:numId w:val="3"/>
        </w:numPr>
        <w:rPr>
          <w:b/>
        </w:rPr>
      </w:pPr>
      <w:r w:rsidRPr="00281A34">
        <w:rPr>
          <w:rFonts w:eastAsia="SimSun"/>
          <w:iCs/>
          <w:color w:val="000000"/>
          <w:szCs w:val="22"/>
        </w:rPr>
        <w:t>Suggestions and additions proposed by the Secretariat to the requested listing are added in italics and suggested deletions are crossed out with strikethrough.</w:t>
      </w:r>
    </w:p>
    <w:p w:rsidR="00182BEE" w:rsidRPr="00407F2D" w:rsidRDefault="00182BEE" w:rsidP="00182BEE">
      <w:pPr>
        <w:pStyle w:val="ListParagraph"/>
        <w:keepNext/>
        <w:keepLines/>
        <w:widowControl/>
        <w:rPr>
          <w:b/>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182BEE" w:rsidRPr="00260CE3" w:rsidTr="006B47C1">
        <w:trPr>
          <w:cantSplit/>
          <w:trHeight w:val="471"/>
        </w:trPr>
        <w:tc>
          <w:tcPr>
            <w:tcW w:w="2552" w:type="dxa"/>
            <w:gridSpan w:val="2"/>
            <w:tcBorders>
              <w:bottom w:val="single" w:sz="4" w:space="0" w:color="auto"/>
            </w:tcBorders>
          </w:tcPr>
          <w:p w:rsidR="00182BEE" w:rsidRPr="00260CE3" w:rsidRDefault="00182BEE" w:rsidP="00182BEE">
            <w:pPr>
              <w:keepNext/>
              <w:ind w:left="-108"/>
              <w:rPr>
                <w:rFonts w:ascii="Arial Narrow" w:hAnsi="Arial Narrow"/>
                <w:sz w:val="20"/>
              </w:rPr>
            </w:pPr>
            <w:r w:rsidRPr="00260CE3">
              <w:rPr>
                <w:rFonts w:ascii="Arial Narrow" w:hAnsi="Arial Narrow"/>
                <w:sz w:val="20"/>
              </w:rPr>
              <w:t>Name, Restriction,</w:t>
            </w:r>
          </w:p>
          <w:p w:rsidR="00182BEE" w:rsidRPr="00260CE3" w:rsidRDefault="00182BEE" w:rsidP="00182BEE">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82BEE" w:rsidRPr="00260CE3" w:rsidRDefault="00182BEE" w:rsidP="00182BEE">
            <w:pPr>
              <w:keepNext/>
              <w:ind w:left="-108"/>
              <w:rPr>
                <w:rFonts w:ascii="Arial Narrow" w:hAnsi="Arial Narrow"/>
                <w:sz w:val="20"/>
              </w:rPr>
            </w:pPr>
            <w:r w:rsidRPr="00260CE3">
              <w:rPr>
                <w:rFonts w:ascii="Arial Narrow" w:hAnsi="Arial Narrow"/>
                <w:sz w:val="20"/>
              </w:rPr>
              <w:t>Max.</w:t>
            </w:r>
          </w:p>
          <w:p w:rsidR="00182BEE" w:rsidRPr="00260CE3" w:rsidRDefault="00182BEE" w:rsidP="00182BEE">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182BEE" w:rsidRPr="00260CE3" w:rsidRDefault="00182BEE" w:rsidP="00182BEE">
            <w:pPr>
              <w:keepNext/>
              <w:ind w:left="-108"/>
              <w:rPr>
                <w:rFonts w:ascii="Arial Narrow" w:hAnsi="Arial Narrow"/>
                <w:sz w:val="20"/>
              </w:rPr>
            </w:pPr>
            <w:r w:rsidRPr="00260CE3">
              <w:rPr>
                <w:rFonts w:ascii="Arial Narrow" w:hAnsi="Arial Narrow"/>
                <w:sz w:val="20"/>
              </w:rPr>
              <w:t>№.of</w:t>
            </w:r>
          </w:p>
          <w:p w:rsidR="00182BEE" w:rsidRPr="00260CE3" w:rsidRDefault="00182BEE" w:rsidP="00182BEE">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182BEE" w:rsidRPr="00260CE3" w:rsidRDefault="00182BEE" w:rsidP="00182BEE">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182BEE" w:rsidRPr="00260CE3" w:rsidRDefault="00182BEE" w:rsidP="00182BEE">
            <w:pPr>
              <w:keepNext/>
              <w:rPr>
                <w:rFonts w:ascii="Arial Narrow" w:hAnsi="Arial Narrow"/>
                <w:sz w:val="20"/>
                <w:lang w:val="fr-FR"/>
              </w:rPr>
            </w:pPr>
            <w:r w:rsidRPr="00260CE3">
              <w:rPr>
                <w:rFonts w:ascii="Arial Narrow" w:hAnsi="Arial Narrow"/>
                <w:sz w:val="20"/>
              </w:rPr>
              <w:t>Proprietary Name and Manufacturer</w:t>
            </w:r>
          </w:p>
        </w:tc>
      </w:tr>
      <w:tr w:rsidR="00182BEE" w:rsidRPr="00260CE3" w:rsidTr="006B47C1">
        <w:trPr>
          <w:cantSplit/>
          <w:trHeight w:val="577"/>
        </w:trPr>
        <w:tc>
          <w:tcPr>
            <w:tcW w:w="2552" w:type="dxa"/>
            <w:gridSpan w:val="2"/>
          </w:tcPr>
          <w:p w:rsidR="00182BEE" w:rsidRPr="00260CE3" w:rsidRDefault="00182BEE" w:rsidP="00182BEE">
            <w:pPr>
              <w:keepNext/>
              <w:ind w:left="-108"/>
              <w:rPr>
                <w:rFonts w:ascii="Arial Narrow" w:hAnsi="Arial Narrow"/>
                <w:sz w:val="20"/>
              </w:rPr>
            </w:pPr>
            <w:r>
              <w:rPr>
                <w:rFonts w:ascii="Arial Narrow" w:hAnsi="Arial Narrow"/>
                <w:smallCaps/>
                <w:sz w:val="20"/>
              </w:rPr>
              <w:t>LURASIDONE</w:t>
            </w:r>
          </w:p>
          <w:p w:rsidR="00182BEE" w:rsidRDefault="00182BEE" w:rsidP="00182BEE">
            <w:pPr>
              <w:keepNext/>
              <w:ind w:left="-108"/>
              <w:rPr>
                <w:rFonts w:ascii="Arial Narrow" w:hAnsi="Arial Narrow"/>
                <w:sz w:val="20"/>
              </w:rPr>
            </w:pPr>
            <w:r>
              <w:rPr>
                <w:rFonts w:ascii="Arial Narrow" w:hAnsi="Arial Narrow"/>
                <w:sz w:val="20"/>
              </w:rPr>
              <w:t>Tablet, 40mg, 30</w:t>
            </w:r>
          </w:p>
          <w:p w:rsidR="00182BEE" w:rsidRPr="00260CE3" w:rsidRDefault="00182BEE" w:rsidP="00182BEE">
            <w:pPr>
              <w:keepNext/>
              <w:ind w:left="-108"/>
              <w:rPr>
                <w:rFonts w:ascii="Arial Narrow" w:hAnsi="Arial Narrow"/>
                <w:sz w:val="20"/>
              </w:rPr>
            </w:pPr>
            <w:r>
              <w:rPr>
                <w:rFonts w:ascii="Arial Narrow" w:hAnsi="Arial Narrow"/>
                <w:sz w:val="20"/>
              </w:rPr>
              <w:t>Tablet, 80mg, 30</w:t>
            </w:r>
          </w:p>
        </w:tc>
        <w:tc>
          <w:tcPr>
            <w:tcW w:w="567" w:type="dxa"/>
          </w:tcPr>
          <w:p w:rsidR="00182BEE" w:rsidRPr="00CB5E62" w:rsidRDefault="00182BEE" w:rsidP="00182BEE">
            <w:pPr>
              <w:keepNext/>
              <w:jc w:val="center"/>
              <w:rPr>
                <w:rFonts w:ascii="Arial Narrow" w:hAnsi="Arial Narrow"/>
                <w:sz w:val="20"/>
              </w:rPr>
            </w:pPr>
          </w:p>
          <w:p w:rsidR="00182BEE" w:rsidRPr="00CB5E62" w:rsidRDefault="00182BEE" w:rsidP="00182BEE">
            <w:pPr>
              <w:keepNext/>
              <w:jc w:val="center"/>
              <w:rPr>
                <w:rFonts w:ascii="Arial Narrow" w:hAnsi="Arial Narrow"/>
                <w:sz w:val="20"/>
              </w:rPr>
            </w:pPr>
            <w:r w:rsidRPr="00CB5E62">
              <w:rPr>
                <w:rFonts w:ascii="Arial Narrow" w:hAnsi="Arial Narrow"/>
                <w:sz w:val="20"/>
              </w:rPr>
              <w:t>1</w:t>
            </w:r>
          </w:p>
          <w:p w:rsidR="00182BEE" w:rsidRPr="00CB5E62" w:rsidRDefault="00182BEE" w:rsidP="00182BEE">
            <w:pPr>
              <w:keepNext/>
              <w:jc w:val="center"/>
              <w:rPr>
                <w:rFonts w:ascii="Arial Narrow" w:hAnsi="Arial Narrow"/>
                <w:sz w:val="20"/>
              </w:rPr>
            </w:pPr>
            <w:r w:rsidRPr="00CB5E62">
              <w:rPr>
                <w:rFonts w:ascii="Arial Narrow" w:hAnsi="Arial Narrow"/>
                <w:sz w:val="20"/>
              </w:rPr>
              <w:t>1</w:t>
            </w:r>
          </w:p>
        </w:tc>
        <w:tc>
          <w:tcPr>
            <w:tcW w:w="850" w:type="dxa"/>
          </w:tcPr>
          <w:p w:rsidR="00182BEE" w:rsidRPr="00CB5E62" w:rsidRDefault="00182BEE" w:rsidP="00182BEE">
            <w:pPr>
              <w:keepNext/>
              <w:jc w:val="center"/>
              <w:rPr>
                <w:rFonts w:ascii="Arial Narrow" w:hAnsi="Arial Narrow"/>
                <w:sz w:val="20"/>
              </w:rPr>
            </w:pPr>
          </w:p>
          <w:p w:rsidR="00182BEE" w:rsidRPr="00CB5E62" w:rsidRDefault="00182BEE" w:rsidP="00182BEE">
            <w:pPr>
              <w:keepNext/>
              <w:jc w:val="center"/>
              <w:rPr>
                <w:rFonts w:ascii="Arial Narrow" w:hAnsi="Arial Narrow"/>
                <w:sz w:val="20"/>
              </w:rPr>
            </w:pPr>
            <w:r w:rsidRPr="00CB5E62">
              <w:rPr>
                <w:rFonts w:ascii="Arial Narrow" w:hAnsi="Arial Narrow"/>
                <w:sz w:val="20"/>
              </w:rPr>
              <w:t>5</w:t>
            </w:r>
          </w:p>
          <w:p w:rsidR="00182BEE" w:rsidRPr="00CB5E62" w:rsidRDefault="00182BEE" w:rsidP="00182BEE">
            <w:pPr>
              <w:keepNext/>
              <w:jc w:val="center"/>
              <w:rPr>
                <w:rFonts w:ascii="Arial Narrow" w:hAnsi="Arial Narrow"/>
                <w:sz w:val="20"/>
              </w:rPr>
            </w:pPr>
            <w:r w:rsidRPr="00CB5E62">
              <w:rPr>
                <w:rFonts w:ascii="Arial Narrow" w:hAnsi="Arial Narrow"/>
                <w:sz w:val="20"/>
              </w:rPr>
              <w:t>5</w:t>
            </w:r>
          </w:p>
        </w:tc>
        <w:tc>
          <w:tcPr>
            <w:tcW w:w="1701" w:type="dxa"/>
          </w:tcPr>
          <w:p w:rsidR="00182BEE" w:rsidRPr="00CB5E62" w:rsidRDefault="00182BEE" w:rsidP="00182BEE">
            <w:pPr>
              <w:keepNext/>
              <w:jc w:val="center"/>
              <w:rPr>
                <w:rFonts w:ascii="Arial Narrow" w:hAnsi="Arial Narrow"/>
                <w:sz w:val="20"/>
              </w:rPr>
            </w:pPr>
          </w:p>
          <w:p w:rsidR="00182BEE" w:rsidRPr="00CB5E62" w:rsidRDefault="00182BEE" w:rsidP="00182BEE">
            <w:pPr>
              <w:keepNext/>
              <w:jc w:val="center"/>
              <w:rPr>
                <w:rFonts w:ascii="Arial Narrow" w:hAnsi="Arial Narrow"/>
                <w:sz w:val="20"/>
              </w:rPr>
            </w:pPr>
          </w:p>
        </w:tc>
        <w:tc>
          <w:tcPr>
            <w:tcW w:w="1559" w:type="dxa"/>
          </w:tcPr>
          <w:p w:rsidR="00182BEE" w:rsidRPr="00CB5E62" w:rsidRDefault="00182BEE" w:rsidP="00182BEE">
            <w:pPr>
              <w:keepNext/>
              <w:jc w:val="center"/>
              <w:rPr>
                <w:rFonts w:ascii="Arial Narrow" w:hAnsi="Arial Narrow"/>
                <w:sz w:val="20"/>
              </w:rPr>
            </w:pPr>
            <w:r w:rsidRPr="00CB5E62">
              <w:rPr>
                <w:rFonts w:ascii="Arial Narrow" w:hAnsi="Arial Narrow"/>
                <w:sz w:val="20"/>
              </w:rPr>
              <w:t>Latuda</w:t>
            </w:r>
            <w:r w:rsidRPr="00FA3F93">
              <w:rPr>
                <w:rFonts w:ascii="Arial Narrow" w:hAnsi="Arial Narrow"/>
                <w:sz w:val="20"/>
                <w:vertAlign w:val="superscript"/>
              </w:rPr>
              <w:t>®</w:t>
            </w:r>
          </w:p>
        </w:tc>
        <w:tc>
          <w:tcPr>
            <w:tcW w:w="1276" w:type="dxa"/>
          </w:tcPr>
          <w:p w:rsidR="00182BEE" w:rsidRPr="00CB5E62" w:rsidRDefault="00182BEE" w:rsidP="00182BEE">
            <w:pPr>
              <w:keepNext/>
              <w:jc w:val="center"/>
              <w:rPr>
                <w:rFonts w:ascii="Arial Narrow" w:hAnsi="Arial Narrow"/>
                <w:sz w:val="20"/>
              </w:rPr>
            </w:pPr>
            <w:r w:rsidRPr="00CB5E62">
              <w:rPr>
                <w:rFonts w:ascii="Arial Narrow" w:hAnsi="Arial Narrow"/>
                <w:sz w:val="20"/>
              </w:rPr>
              <w:t>Dainippon Sumitomo Pharma Ltd</w:t>
            </w:r>
          </w:p>
        </w:tc>
      </w:tr>
      <w:tr w:rsidR="00182BEE" w:rsidRPr="00260CE3" w:rsidTr="006B47C1">
        <w:trPr>
          <w:cantSplit/>
          <w:trHeight w:val="360"/>
        </w:trPr>
        <w:tc>
          <w:tcPr>
            <w:tcW w:w="8505" w:type="dxa"/>
            <w:gridSpan w:val="7"/>
            <w:tcBorders>
              <w:bottom w:val="single" w:sz="4" w:space="0" w:color="auto"/>
            </w:tcBorders>
          </w:tcPr>
          <w:p w:rsidR="00182BEE" w:rsidRPr="00260CE3" w:rsidRDefault="00182BEE" w:rsidP="00182BEE">
            <w:pPr>
              <w:rPr>
                <w:rFonts w:ascii="Arial Narrow" w:hAnsi="Arial Narrow"/>
                <w:sz w:val="20"/>
              </w:rPr>
            </w:pP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 xml:space="preserve">Category / </w:t>
            </w:r>
          </w:p>
          <w:p w:rsidR="00182BEE" w:rsidRPr="00260CE3" w:rsidRDefault="00182BEE" w:rsidP="00182BEE">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sz w:val="20"/>
              </w:rPr>
            </w:pPr>
            <w:r w:rsidRPr="00260CE3">
              <w:rPr>
                <w:rFonts w:ascii="Arial Narrow" w:hAnsi="Arial Narrow"/>
                <w:sz w:val="20"/>
              </w:rPr>
              <w:t>GENERAL – General Schedule (Code GE)</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Pr>
                <w:rFonts w:ascii="Arial Narrow" w:hAnsi="Arial Narrow"/>
                <w:sz w:val="20"/>
              </w:rPr>
              <w:fldChar w:fldCharType="end"/>
            </w:r>
            <w:bookmarkEnd w:id="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82BEE" w:rsidRPr="00260CE3" w:rsidRDefault="00182BEE" w:rsidP="00182BE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7E58D9" w:rsidRDefault="00182BEE" w:rsidP="00182BEE">
            <w:pPr>
              <w:rPr>
                <w:rFonts w:ascii="Arial Narrow" w:hAnsi="Arial Narrow"/>
                <w:strike/>
                <w:sz w:val="20"/>
              </w:rPr>
            </w:pPr>
            <w:r w:rsidRPr="007E58D9">
              <w:rPr>
                <w:rFonts w:ascii="Arial Narrow" w:hAnsi="Arial Narrow"/>
                <w:strike/>
                <w:sz w:val="20"/>
              </w:rPr>
              <w:t>Chronic</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sz w:val="20"/>
              </w:rPr>
            </w:pPr>
            <w:r>
              <w:rPr>
                <w:rFonts w:ascii="Arial Narrow" w:hAnsi="Arial Narrow"/>
                <w:sz w:val="20"/>
              </w:rPr>
              <w:t>Schizophrenia</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sz w:val="20"/>
              </w:rPr>
            </w:pPr>
            <w:r>
              <w:rPr>
                <w:rFonts w:ascii="Arial Narrow" w:hAnsi="Arial Narrow"/>
                <w:sz w:val="20"/>
              </w:rPr>
              <w:t>Schizophrenia</w:t>
            </w:r>
          </w:p>
        </w:tc>
      </w:tr>
      <w:tr w:rsidR="00182BEE" w:rsidRPr="00260CE3" w:rsidTr="006B47C1">
        <w:trPr>
          <w:cantSplit/>
          <w:trHeight w:val="449"/>
        </w:trPr>
        <w:tc>
          <w:tcPr>
            <w:tcW w:w="2126" w:type="dxa"/>
            <w:tcBorders>
              <w:top w:val="single" w:sz="4" w:space="0" w:color="auto"/>
              <w:left w:val="single" w:sz="4" w:space="0" w:color="auto"/>
              <w:bottom w:val="single" w:sz="4" w:space="0" w:color="auto"/>
              <w:right w:val="single" w:sz="4" w:space="0" w:color="auto"/>
            </w:tcBorders>
          </w:tcPr>
          <w:p w:rsidR="00182BEE" w:rsidRPr="007E58D9" w:rsidRDefault="00182BEE" w:rsidP="00182BEE">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7E58D9" w:rsidRDefault="00182BEE" w:rsidP="00182BEE">
            <w:pPr>
              <w:rPr>
                <w:rFonts w:ascii="Arial Narrow" w:hAnsi="Arial Narrow"/>
                <w:strike/>
                <w:sz w:val="20"/>
              </w:rPr>
            </w:pPr>
            <w:r w:rsidRPr="007E58D9">
              <w:rPr>
                <w:rFonts w:ascii="Arial Narrow" w:hAnsi="Arial Narrow"/>
                <w:strike/>
                <w:sz w:val="20"/>
              </w:rPr>
              <w:t>Maintenance</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82BEE" w:rsidRPr="00260CE3" w:rsidRDefault="00182BEE" w:rsidP="00182BE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2BEE" w:rsidRPr="00260CE3" w:rsidRDefault="00182BEE" w:rsidP="00182BE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Pr>
                <w:rFonts w:ascii="Arial Narrow" w:hAnsi="Arial Narrow"/>
                <w:sz w:val="20"/>
              </w:rPr>
              <w:fldChar w:fldCharType="end"/>
            </w:r>
            <w:bookmarkEnd w:id="5"/>
            <w:r w:rsidRPr="00106BCF">
              <w:rPr>
                <w:rFonts w:ascii="Arial Narrow" w:hAnsi="Arial Narrow"/>
                <w:sz w:val="20"/>
              </w:rPr>
              <w:t>Streamlined</w:t>
            </w:r>
          </w:p>
        </w:tc>
      </w:tr>
      <w:tr w:rsidR="00182BEE" w:rsidRPr="00260CE3" w:rsidTr="006B47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182BEE" w:rsidRPr="007E58D9" w:rsidRDefault="00182BEE" w:rsidP="00182BEE">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82BEE" w:rsidRPr="007E58D9" w:rsidRDefault="00182BEE" w:rsidP="00182BEE">
            <w:pPr>
              <w:rPr>
                <w:rFonts w:ascii="Arial Narrow" w:hAnsi="Arial Narrow"/>
                <w:strike/>
                <w:sz w:val="20"/>
              </w:rPr>
            </w:pPr>
            <w:r w:rsidRPr="007E58D9">
              <w:rPr>
                <w:rFonts w:ascii="Arial Narrow" w:hAnsi="Arial Narrow"/>
                <w:strike/>
                <w:sz w:val="20"/>
              </w:rPr>
              <w:t xml:space="preserve">Not controlled satisfactorily, or are intolerant to atypical anti-schizophrenia agents such as olanzapine, quetiapine and risperidone; </w:t>
            </w:r>
          </w:p>
          <w:p w:rsidR="00182BEE" w:rsidRPr="007E58D9" w:rsidRDefault="00182BEE" w:rsidP="00182BEE">
            <w:pPr>
              <w:rPr>
                <w:rFonts w:ascii="Arial Narrow" w:hAnsi="Arial Narrow"/>
                <w:strike/>
                <w:sz w:val="20"/>
              </w:rPr>
            </w:pPr>
          </w:p>
          <w:p w:rsidR="00182BEE" w:rsidRPr="007E58D9" w:rsidRDefault="00182BEE" w:rsidP="00182BEE">
            <w:pPr>
              <w:rPr>
                <w:rFonts w:ascii="Arial Narrow" w:hAnsi="Arial Narrow"/>
                <w:strike/>
                <w:sz w:val="20"/>
              </w:rPr>
            </w:pPr>
            <w:r w:rsidRPr="007E58D9">
              <w:rPr>
                <w:rFonts w:ascii="Arial Narrow" w:hAnsi="Arial Narrow"/>
                <w:strike/>
                <w:sz w:val="20"/>
              </w:rPr>
              <w:t>OR</w:t>
            </w:r>
          </w:p>
          <w:p w:rsidR="00182BEE" w:rsidRPr="007E58D9" w:rsidRDefault="00182BEE" w:rsidP="00182BEE">
            <w:pPr>
              <w:rPr>
                <w:rFonts w:ascii="Arial Narrow" w:hAnsi="Arial Narrow"/>
                <w:strike/>
                <w:sz w:val="20"/>
              </w:rPr>
            </w:pPr>
          </w:p>
          <w:p w:rsidR="00182BEE" w:rsidRPr="00260CE3" w:rsidRDefault="00182BEE" w:rsidP="00182BEE">
            <w:pPr>
              <w:rPr>
                <w:rFonts w:ascii="Arial Narrow" w:hAnsi="Arial Narrow"/>
                <w:sz w:val="20"/>
              </w:rPr>
            </w:pPr>
            <w:r w:rsidRPr="007E58D9">
              <w:rPr>
                <w:rFonts w:ascii="Arial Narrow" w:hAnsi="Arial Narrow"/>
                <w:strike/>
                <w:sz w:val="20"/>
              </w:rPr>
              <w:t>In whom weight control and cardiometabolic issues are of concern</w:t>
            </w:r>
          </w:p>
        </w:tc>
      </w:tr>
    </w:tbl>
    <w:p w:rsidR="00B60939" w:rsidRPr="00882085" w:rsidRDefault="00B60939" w:rsidP="00497F10"/>
    <w:p w:rsidR="00393F75" w:rsidRDefault="00FF251F" w:rsidP="00AC3A0F">
      <w:pPr>
        <w:pStyle w:val="ListParagraph"/>
        <w:keepNext/>
        <w:keepLines/>
        <w:widowControl/>
        <w:numPr>
          <w:ilvl w:val="1"/>
          <w:numId w:val="3"/>
        </w:numPr>
        <w:rPr>
          <w:szCs w:val="22"/>
        </w:rPr>
      </w:pPr>
      <w:r>
        <w:rPr>
          <w:szCs w:val="22"/>
        </w:rPr>
        <w:lastRenderedPageBreak/>
        <w:t xml:space="preserve">The listing </w:t>
      </w:r>
      <w:r w:rsidR="00956572">
        <w:rPr>
          <w:szCs w:val="22"/>
        </w:rPr>
        <w:t>was</w:t>
      </w:r>
      <w:r>
        <w:rPr>
          <w:szCs w:val="22"/>
        </w:rPr>
        <w:t xml:space="preserve"> requested on a cost minimisation basis compared to ziprasidone and aripiprazole</w:t>
      </w:r>
      <w:r w:rsidR="00AA55FB">
        <w:rPr>
          <w:szCs w:val="22"/>
        </w:rPr>
        <w:t xml:space="preserve"> (mixed comparator</w:t>
      </w:r>
      <w:r w:rsidR="00AA55FB" w:rsidRPr="002B188A">
        <w:rPr>
          <w:szCs w:val="22"/>
        </w:rPr>
        <w:t>)</w:t>
      </w:r>
      <w:r w:rsidRPr="002B188A">
        <w:rPr>
          <w:szCs w:val="22"/>
        </w:rPr>
        <w:t xml:space="preserve">. </w:t>
      </w:r>
      <w:r w:rsidR="00DB22E8" w:rsidRPr="00E77227">
        <w:rPr>
          <w:szCs w:val="22"/>
        </w:rPr>
        <w:t>The requested maximum quantities are not sufficient to supply patients prescribed 1</w:t>
      </w:r>
      <w:r w:rsidR="002B188A" w:rsidRPr="00E77227">
        <w:rPr>
          <w:szCs w:val="22"/>
        </w:rPr>
        <w:t>2</w:t>
      </w:r>
      <w:r w:rsidR="00DB22E8" w:rsidRPr="00E77227">
        <w:rPr>
          <w:szCs w:val="22"/>
        </w:rPr>
        <w:t>0mg daily.</w:t>
      </w:r>
      <w:r w:rsidR="00B161C9">
        <w:rPr>
          <w:szCs w:val="22"/>
        </w:rPr>
        <w:t xml:space="preserve"> The PBAC noted that international utilization data showed that majority of lurasidone doses used are 40 mg or 80mg daily.</w:t>
      </w:r>
    </w:p>
    <w:p w:rsidR="00F164DF" w:rsidRDefault="00F164DF" w:rsidP="00F164DF">
      <w:pPr>
        <w:pStyle w:val="ListParagraph"/>
        <w:keepNext/>
        <w:keepLines/>
        <w:widowControl/>
        <w:rPr>
          <w:szCs w:val="22"/>
        </w:rPr>
      </w:pPr>
    </w:p>
    <w:p w:rsidR="00F164DF" w:rsidRPr="00281A34" w:rsidRDefault="00F164DF" w:rsidP="00AC3A0F">
      <w:pPr>
        <w:pStyle w:val="ListParagraph"/>
        <w:keepNext/>
        <w:keepLines/>
        <w:widowControl/>
        <w:numPr>
          <w:ilvl w:val="1"/>
          <w:numId w:val="3"/>
        </w:numPr>
        <w:rPr>
          <w:szCs w:val="22"/>
        </w:rPr>
      </w:pPr>
      <w:r w:rsidRPr="00F164DF">
        <w:rPr>
          <w:szCs w:val="22"/>
        </w:rPr>
        <w:t xml:space="preserve">The requested restriction is narrower than that requested in the March 2014 submission, and limits the use of PBS subsidised lurasidone to those patients </w:t>
      </w:r>
      <w:r w:rsidRPr="008A6A8E">
        <w:rPr>
          <w:szCs w:val="22"/>
        </w:rPr>
        <w:t>not controlled satisfactorily, or intolerant to</w:t>
      </w:r>
      <w:r>
        <w:rPr>
          <w:szCs w:val="22"/>
        </w:rPr>
        <w:t>,</w:t>
      </w:r>
      <w:r w:rsidRPr="008A6A8E">
        <w:rPr>
          <w:szCs w:val="22"/>
        </w:rPr>
        <w:t xml:space="preserve"> atypical anti</w:t>
      </w:r>
      <w:r w:rsidR="00050137">
        <w:rPr>
          <w:szCs w:val="22"/>
        </w:rPr>
        <w:t>psychotic</w:t>
      </w:r>
      <w:r w:rsidRPr="008A6A8E">
        <w:rPr>
          <w:szCs w:val="22"/>
        </w:rPr>
        <w:t xml:space="preserve"> agents such as olanzapine, quetiapine and risperidone (second line therapy), or in whom weight control and cardiometabolic issues are of concern (first line therapy).</w:t>
      </w:r>
      <w:r w:rsidRPr="008A6A8E">
        <w:rPr>
          <w:i/>
          <w:szCs w:val="22"/>
        </w:rPr>
        <w:t xml:space="preserve"> </w:t>
      </w:r>
      <w:r w:rsidRPr="00E77227">
        <w:rPr>
          <w:szCs w:val="22"/>
        </w:rPr>
        <w:t>The requested listing is inconsistent with the PBS listing for other antipsychotic drugs, including the nominated comparators, which are listed for ‘schizophrenia’.</w:t>
      </w:r>
      <w:r>
        <w:rPr>
          <w:szCs w:val="22"/>
        </w:rPr>
        <w:t xml:space="preserve"> </w:t>
      </w:r>
      <w:r w:rsidRPr="00281A34">
        <w:rPr>
          <w:szCs w:val="22"/>
        </w:rPr>
        <w:t>The ESC noted that it is unlikely to be feasible to implement a second line listing that will not ‘leak’ as an Authority Required (STREAMLINED) listing. The ESC also noted that the sponsor is willing to work with the Department of Health with respect to the restriction wording (Pre-Sub-Committee Response</w:t>
      </w:r>
      <w:r w:rsidR="00EA3B0F">
        <w:rPr>
          <w:szCs w:val="22"/>
        </w:rPr>
        <w:t xml:space="preserve"> </w:t>
      </w:r>
      <w:r w:rsidR="00050137">
        <w:rPr>
          <w:szCs w:val="22"/>
        </w:rPr>
        <w:t>(PSCR),</w:t>
      </w:r>
      <w:r w:rsidRPr="00281A34">
        <w:rPr>
          <w:szCs w:val="22"/>
        </w:rPr>
        <w:t xml:space="preserve"> p1)</w:t>
      </w:r>
      <w:r w:rsidR="00050137">
        <w:rPr>
          <w:szCs w:val="22"/>
        </w:rPr>
        <w:t>.</w:t>
      </w:r>
    </w:p>
    <w:p w:rsidR="00393F75" w:rsidRDefault="00393F75" w:rsidP="00281A34">
      <w:pPr>
        <w:ind w:left="720"/>
      </w:pPr>
    </w:p>
    <w:p w:rsidR="00281A34" w:rsidRPr="00882085" w:rsidRDefault="00281A34" w:rsidP="00281A34">
      <w:pPr>
        <w:ind w:firstLine="720"/>
      </w:pPr>
      <w:r w:rsidRPr="008A4BDF">
        <w:rPr>
          <w:i/>
          <w:szCs w:val="22"/>
        </w:rPr>
        <w:t>For more detail on PBAC’s view, see section 7 “PBAC outcome</w:t>
      </w:r>
    </w:p>
    <w:p w:rsidR="00050137" w:rsidRPr="00882085" w:rsidRDefault="00050137" w:rsidP="00497F10"/>
    <w:p w:rsidR="00F338FF" w:rsidRPr="00407F2D" w:rsidRDefault="00F338FF" w:rsidP="005D7E3E">
      <w:pPr>
        <w:pStyle w:val="PBACheading1"/>
      </w:pPr>
      <w:bookmarkStart w:id="6" w:name="_Toc409600039"/>
      <w:r w:rsidRPr="00407F2D">
        <w:rPr>
          <w:b/>
        </w:rPr>
        <w:t>Background</w:t>
      </w:r>
      <w:bookmarkEnd w:id="6"/>
    </w:p>
    <w:p w:rsidR="00B60939" w:rsidRPr="00882085" w:rsidRDefault="00B60939" w:rsidP="00B60939">
      <w:pPr>
        <w:rPr>
          <w:szCs w:val="22"/>
        </w:rPr>
      </w:pPr>
    </w:p>
    <w:p w:rsidR="00B60939" w:rsidRPr="00125093" w:rsidRDefault="00956572" w:rsidP="00AC3A0F">
      <w:pPr>
        <w:pStyle w:val="ListParagraph"/>
        <w:widowControl/>
        <w:numPr>
          <w:ilvl w:val="1"/>
          <w:numId w:val="3"/>
        </w:numPr>
        <w:rPr>
          <w:szCs w:val="22"/>
        </w:rPr>
      </w:pPr>
      <w:r>
        <w:rPr>
          <w:szCs w:val="22"/>
        </w:rPr>
        <w:t>L</w:t>
      </w:r>
      <w:r w:rsidR="00125093">
        <w:rPr>
          <w:szCs w:val="22"/>
        </w:rPr>
        <w:t>urasidone</w:t>
      </w:r>
      <w:r w:rsidR="00B60939" w:rsidRPr="00125093">
        <w:rPr>
          <w:szCs w:val="22"/>
        </w:rPr>
        <w:t xml:space="preserve"> was TGA registered </w:t>
      </w:r>
      <w:r w:rsidR="00CB0D1E">
        <w:rPr>
          <w:szCs w:val="22"/>
        </w:rPr>
        <w:t>on 16 April</w:t>
      </w:r>
      <w:r w:rsidR="00B70FF0">
        <w:rPr>
          <w:szCs w:val="22"/>
        </w:rPr>
        <w:t xml:space="preserve"> 2014 for adults with schizophrenia.</w:t>
      </w:r>
      <w:r w:rsidR="00B60939" w:rsidRPr="00125093">
        <w:rPr>
          <w:szCs w:val="22"/>
        </w:rPr>
        <w:t xml:space="preserve"> </w:t>
      </w:r>
    </w:p>
    <w:p w:rsidR="00B60939" w:rsidRPr="001971A6" w:rsidRDefault="00B60939" w:rsidP="00577717"/>
    <w:p w:rsidR="001D112E" w:rsidRPr="00956572" w:rsidRDefault="001D112E" w:rsidP="00AC3A0F">
      <w:pPr>
        <w:pStyle w:val="ListParagraph"/>
        <w:keepNext/>
        <w:keepLines/>
        <w:widowControl/>
        <w:numPr>
          <w:ilvl w:val="1"/>
          <w:numId w:val="3"/>
        </w:numPr>
        <w:rPr>
          <w:rStyle w:val="CommentReference"/>
          <w:rFonts w:ascii="Arial" w:hAnsi="Arial"/>
          <w:b w:val="0"/>
          <w:sz w:val="22"/>
          <w:szCs w:val="22"/>
        </w:rPr>
      </w:pPr>
      <w:r w:rsidRPr="00ED0F04">
        <w:rPr>
          <w:rStyle w:val="CommentReference"/>
        </w:rPr>
        <w:t>Summary of the pre</w:t>
      </w:r>
      <w:r w:rsidR="0036395B">
        <w:rPr>
          <w:rStyle w:val="CommentReference"/>
        </w:rPr>
        <w:t>vious submission and current re</w:t>
      </w:r>
      <w:r w:rsidRPr="00ED0F04">
        <w:rPr>
          <w:rStyle w:val="CommentReference"/>
        </w:rPr>
        <w:t>submission</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Comparison between previous submission and current submission"/>
      </w:tblPr>
      <w:tblGrid>
        <w:gridCol w:w="1014"/>
        <w:gridCol w:w="4514"/>
        <w:gridCol w:w="2977"/>
      </w:tblGrid>
      <w:tr w:rsidR="001D112E" w:rsidRPr="00CA6B4D" w:rsidTr="008A4BDF">
        <w:trPr>
          <w:trHeight w:val="220"/>
          <w:tblHeader/>
        </w:trPr>
        <w:tc>
          <w:tcPr>
            <w:tcW w:w="1014" w:type="dxa"/>
          </w:tcPr>
          <w:p w:rsidR="001D112E" w:rsidRPr="00CA6B4D" w:rsidRDefault="001D112E" w:rsidP="001F302B">
            <w:pPr>
              <w:keepNext/>
              <w:keepLines/>
              <w:jc w:val="left"/>
              <w:rPr>
                <w:rFonts w:ascii="Arial Narrow" w:hAnsi="Arial Narrow"/>
                <w:sz w:val="20"/>
              </w:rPr>
            </w:pPr>
          </w:p>
        </w:tc>
        <w:tc>
          <w:tcPr>
            <w:tcW w:w="4514" w:type="dxa"/>
            <w:vAlign w:val="center"/>
          </w:tcPr>
          <w:p w:rsidR="001D112E" w:rsidRPr="00CA6B4D" w:rsidRDefault="00B70FF0" w:rsidP="001F302B">
            <w:pPr>
              <w:keepNext/>
              <w:keepLines/>
              <w:jc w:val="center"/>
              <w:rPr>
                <w:rFonts w:ascii="Arial Narrow" w:hAnsi="Arial Narrow"/>
                <w:b/>
                <w:sz w:val="20"/>
              </w:rPr>
            </w:pPr>
            <w:r w:rsidRPr="00CA6B4D">
              <w:rPr>
                <w:rFonts w:ascii="Arial Narrow" w:hAnsi="Arial Narrow"/>
                <w:b/>
                <w:sz w:val="20"/>
              </w:rPr>
              <w:t>Lurasidone, March 2014</w:t>
            </w:r>
          </w:p>
        </w:tc>
        <w:tc>
          <w:tcPr>
            <w:tcW w:w="2977" w:type="dxa"/>
            <w:vAlign w:val="center"/>
          </w:tcPr>
          <w:p w:rsidR="001D112E" w:rsidRPr="00CA6B4D" w:rsidRDefault="00B70FF0" w:rsidP="001F302B">
            <w:pPr>
              <w:keepNext/>
              <w:keepLines/>
              <w:jc w:val="center"/>
              <w:rPr>
                <w:rFonts w:ascii="Arial Narrow" w:hAnsi="Arial Narrow"/>
                <w:b/>
                <w:sz w:val="20"/>
              </w:rPr>
            </w:pPr>
            <w:r w:rsidRPr="00CA6B4D">
              <w:rPr>
                <w:rFonts w:ascii="Arial Narrow" w:hAnsi="Arial Narrow"/>
                <w:b/>
                <w:sz w:val="20"/>
              </w:rPr>
              <w:t>Current re</w:t>
            </w:r>
            <w:r w:rsidR="001D112E" w:rsidRPr="00CA6B4D">
              <w:rPr>
                <w:rFonts w:ascii="Arial Narrow" w:hAnsi="Arial Narrow"/>
                <w:b/>
                <w:sz w:val="20"/>
              </w:rPr>
              <w:t>submission</w:t>
            </w:r>
          </w:p>
        </w:tc>
      </w:tr>
      <w:tr w:rsidR="00B70FF0" w:rsidRPr="00CA6B4D" w:rsidTr="008A4BDF">
        <w:trPr>
          <w:trHeight w:val="794"/>
        </w:trPr>
        <w:tc>
          <w:tcPr>
            <w:tcW w:w="1014" w:type="dxa"/>
          </w:tcPr>
          <w:p w:rsidR="00B70FF0" w:rsidRPr="00CA6B4D" w:rsidRDefault="00B70FF0" w:rsidP="001F302B">
            <w:pPr>
              <w:keepNext/>
              <w:keepLines/>
              <w:jc w:val="left"/>
              <w:rPr>
                <w:rFonts w:ascii="Arial Narrow" w:hAnsi="Arial Narrow"/>
                <w:sz w:val="20"/>
              </w:rPr>
            </w:pPr>
            <w:r w:rsidRPr="00CA6B4D">
              <w:rPr>
                <w:rFonts w:ascii="Arial Narrow" w:hAnsi="Arial Narrow"/>
                <w:sz w:val="20"/>
              </w:rPr>
              <w:t>Requested PBS listing</w:t>
            </w:r>
          </w:p>
        </w:tc>
        <w:tc>
          <w:tcPr>
            <w:tcW w:w="4514" w:type="dxa"/>
          </w:tcPr>
          <w:p w:rsidR="00B70FF0" w:rsidRPr="00356380" w:rsidRDefault="00B70FF0" w:rsidP="00AC3A0F">
            <w:pPr>
              <w:pStyle w:val="ListParagraph"/>
              <w:keepNext/>
              <w:keepLines/>
              <w:numPr>
                <w:ilvl w:val="0"/>
                <w:numId w:val="4"/>
              </w:numPr>
              <w:ind w:left="92" w:hanging="80"/>
              <w:jc w:val="left"/>
              <w:rPr>
                <w:rFonts w:ascii="Arial Narrow" w:hAnsi="Arial Narrow"/>
                <w:sz w:val="20"/>
              </w:rPr>
            </w:pPr>
            <w:r w:rsidRPr="00356380">
              <w:rPr>
                <w:rFonts w:ascii="Arial Narrow" w:hAnsi="Arial Narrow"/>
                <w:sz w:val="20"/>
              </w:rPr>
              <w:t>Authority Required (S</w:t>
            </w:r>
            <w:r w:rsidR="00200C0E">
              <w:rPr>
                <w:rFonts w:ascii="Arial Narrow" w:hAnsi="Arial Narrow"/>
                <w:sz w:val="20"/>
              </w:rPr>
              <w:t>TREAMLINED</w:t>
            </w:r>
            <w:r w:rsidRPr="00356380">
              <w:rPr>
                <w:rFonts w:ascii="Arial Narrow" w:hAnsi="Arial Narrow"/>
                <w:sz w:val="20"/>
              </w:rPr>
              <w:t>) - Schizophrenia.</w:t>
            </w:r>
          </w:p>
        </w:tc>
        <w:tc>
          <w:tcPr>
            <w:tcW w:w="2977" w:type="dxa"/>
          </w:tcPr>
          <w:p w:rsidR="00B70FF0" w:rsidRPr="00356380" w:rsidRDefault="00CC374E" w:rsidP="00AC3A0F">
            <w:pPr>
              <w:pStyle w:val="ListParagraph"/>
              <w:keepNext/>
              <w:keepLines/>
              <w:numPr>
                <w:ilvl w:val="0"/>
                <w:numId w:val="4"/>
              </w:numPr>
              <w:ind w:left="92" w:hanging="80"/>
              <w:jc w:val="left"/>
              <w:rPr>
                <w:rFonts w:ascii="Arial Narrow" w:hAnsi="Arial Narrow"/>
                <w:sz w:val="20"/>
              </w:rPr>
            </w:pPr>
            <w:r w:rsidRPr="00356380">
              <w:rPr>
                <w:rFonts w:ascii="Arial Narrow" w:hAnsi="Arial Narrow"/>
                <w:sz w:val="20"/>
              </w:rPr>
              <w:t>Authority Required (S</w:t>
            </w:r>
            <w:r w:rsidR="00200C0E">
              <w:rPr>
                <w:rFonts w:ascii="Arial Narrow" w:hAnsi="Arial Narrow"/>
                <w:sz w:val="20"/>
              </w:rPr>
              <w:t>TREAMLINED</w:t>
            </w:r>
            <w:r w:rsidRPr="00356380">
              <w:rPr>
                <w:rFonts w:ascii="Arial Narrow" w:hAnsi="Arial Narrow"/>
                <w:sz w:val="20"/>
              </w:rPr>
              <w:t xml:space="preserve">) - Schizophrenia, in patients not controlled satisfactorily, or intolerant to atypical anti-schizophrenia agents such as olanzapine, </w:t>
            </w:r>
            <w:r w:rsidRPr="00C82EE0">
              <w:rPr>
                <w:rFonts w:ascii="Arial Narrow" w:hAnsi="Arial Narrow"/>
                <w:sz w:val="20"/>
              </w:rPr>
              <w:t xml:space="preserve">quetiapine and risperidone, </w:t>
            </w:r>
            <w:r w:rsidR="00857075" w:rsidRPr="00C82EE0">
              <w:rPr>
                <w:rFonts w:ascii="Arial Narrow" w:hAnsi="Arial Narrow"/>
                <w:i/>
                <w:sz w:val="20"/>
                <w:u w:val="single"/>
              </w:rPr>
              <w:t>OR</w:t>
            </w:r>
            <w:r w:rsidRPr="00C82EE0">
              <w:rPr>
                <w:rFonts w:ascii="Arial Narrow" w:hAnsi="Arial Narrow"/>
                <w:sz w:val="20"/>
              </w:rPr>
              <w:t xml:space="preserve"> in whom weight control and cardiometabolic issues are of concern </w:t>
            </w:r>
            <w:r w:rsidRPr="00E77227">
              <w:rPr>
                <w:rFonts w:ascii="Arial Narrow" w:hAnsi="Arial Narrow"/>
                <w:sz w:val="20"/>
              </w:rPr>
              <w:t>(first line therapy).</w:t>
            </w:r>
          </w:p>
        </w:tc>
      </w:tr>
      <w:tr w:rsidR="00D03B74" w:rsidRPr="00CA6B4D" w:rsidTr="008A4BDF">
        <w:trPr>
          <w:trHeight w:val="422"/>
        </w:trPr>
        <w:tc>
          <w:tcPr>
            <w:tcW w:w="1014" w:type="dxa"/>
          </w:tcPr>
          <w:p w:rsidR="00D03B74" w:rsidRPr="00CA6B4D" w:rsidRDefault="00D03B74" w:rsidP="00AA0A07">
            <w:pPr>
              <w:jc w:val="left"/>
              <w:rPr>
                <w:rFonts w:ascii="Arial Narrow" w:hAnsi="Arial Narrow"/>
                <w:sz w:val="20"/>
              </w:rPr>
            </w:pPr>
            <w:r w:rsidRPr="00CA6B4D">
              <w:rPr>
                <w:rFonts w:ascii="Arial Narrow" w:hAnsi="Arial Narrow"/>
                <w:sz w:val="20"/>
              </w:rPr>
              <w:t>Requested price</w:t>
            </w:r>
            <w:r w:rsidR="001D2732" w:rsidRPr="00CA6B4D">
              <w:rPr>
                <w:rFonts w:ascii="Arial Narrow" w:hAnsi="Arial Narrow"/>
                <w:sz w:val="20"/>
              </w:rPr>
              <w:t xml:space="preserve"> (DPMQ)</w:t>
            </w:r>
          </w:p>
        </w:tc>
        <w:tc>
          <w:tcPr>
            <w:tcW w:w="4514" w:type="dxa"/>
          </w:tcPr>
          <w:p w:rsidR="00D03B74" w:rsidRPr="00356380" w:rsidRDefault="00D03B74" w:rsidP="00AC3A0F">
            <w:pPr>
              <w:pStyle w:val="ListParagraph"/>
              <w:numPr>
                <w:ilvl w:val="0"/>
                <w:numId w:val="4"/>
              </w:numPr>
              <w:ind w:left="92" w:hanging="80"/>
              <w:jc w:val="left"/>
              <w:rPr>
                <w:rFonts w:ascii="Arial Narrow" w:hAnsi="Arial Narrow"/>
                <w:sz w:val="20"/>
              </w:rPr>
            </w:pPr>
            <w:r w:rsidRPr="00356380">
              <w:rPr>
                <w:rFonts w:ascii="Arial Narrow" w:hAnsi="Arial Narrow"/>
                <w:sz w:val="20"/>
              </w:rPr>
              <w:t>Lurasidone 40mg tabs (90) $</w:t>
            </w:r>
            <w:r w:rsidR="000A4749">
              <w:rPr>
                <w:rFonts w:ascii="Arial Narrow" w:hAnsi="Arial Narrow"/>
                <w:noProof/>
                <w:color w:val="000000"/>
                <w:sz w:val="20"/>
                <w:highlight w:val="black"/>
              </w:rPr>
              <w:t>'''''''''''''''</w:t>
            </w:r>
            <w:r w:rsidRPr="00356380">
              <w:rPr>
                <w:rFonts w:ascii="Arial Narrow" w:hAnsi="Arial Narrow"/>
                <w:sz w:val="20"/>
              </w:rPr>
              <w:t xml:space="preserve"> ($</w:t>
            </w:r>
            <w:r w:rsidR="000A4749">
              <w:rPr>
                <w:rFonts w:ascii="Arial Narrow" w:hAnsi="Arial Narrow"/>
                <w:noProof/>
                <w:color w:val="000000"/>
                <w:sz w:val="20"/>
                <w:highlight w:val="black"/>
              </w:rPr>
              <w:t>'''''''''''''''''''''</w:t>
            </w:r>
            <w:r w:rsidRPr="00356380">
              <w:rPr>
                <w:rFonts w:ascii="Arial Narrow" w:hAnsi="Arial Narrow"/>
                <w:sz w:val="20"/>
              </w:rPr>
              <w:t>/mg</w:t>
            </w:r>
            <w:r w:rsidR="005C2614">
              <w:rPr>
                <w:rFonts w:ascii="Arial Narrow" w:hAnsi="Arial Narrow"/>
                <w:sz w:val="20"/>
              </w:rPr>
              <w:t xml:space="preserve"> AEMP</w:t>
            </w:r>
            <w:r w:rsidRPr="00356380">
              <w:rPr>
                <w:rFonts w:ascii="Arial Narrow" w:hAnsi="Arial Narrow"/>
                <w:sz w:val="20"/>
              </w:rPr>
              <w:t>).</w:t>
            </w:r>
          </w:p>
          <w:p w:rsidR="00D03B74" w:rsidRPr="00356380" w:rsidRDefault="00D03B74" w:rsidP="00AC3A0F">
            <w:pPr>
              <w:pStyle w:val="ListParagraph"/>
              <w:numPr>
                <w:ilvl w:val="0"/>
                <w:numId w:val="4"/>
              </w:numPr>
              <w:ind w:left="92" w:hanging="80"/>
              <w:jc w:val="left"/>
              <w:rPr>
                <w:rFonts w:ascii="Arial Narrow" w:hAnsi="Arial Narrow"/>
                <w:sz w:val="20"/>
              </w:rPr>
            </w:pPr>
            <w:r w:rsidRPr="00356380">
              <w:rPr>
                <w:rFonts w:ascii="Arial Narrow" w:hAnsi="Arial Narrow"/>
                <w:sz w:val="20"/>
              </w:rPr>
              <w:t>Lurasidone 80mg tabs (60) $</w:t>
            </w:r>
            <w:r w:rsidR="000A4749">
              <w:rPr>
                <w:rFonts w:ascii="Arial Narrow" w:hAnsi="Arial Narrow"/>
                <w:noProof/>
                <w:color w:val="000000"/>
                <w:sz w:val="20"/>
                <w:highlight w:val="black"/>
              </w:rPr>
              <w:t>''''''''''''''''</w:t>
            </w:r>
            <w:r w:rsidRPr="00356380">
              <w:rPr>
                <w:rFonts w:ascii="Arial Narrow" w:hAnsi="Arial Narrow"/>
                <w:sz w:val="20"/>
              </w:rPr>
              <w:t xml:space="preserve"> ($</w:t>
            </w:r>
            <w:r w:rsidR="000A4749">
              <w:rPr>
                <w:rFonts w:ascii="Arial Narrow" w:hAnsi="Arial Narrow"/>
                <w:noProof/>
                <w:color w:val="000000"/>
                <w:sz w:val="20"/>
                <w:highlight w:val="black"/>
              </w:rPr>
              <w:t>'''''''''''''''''</w:t>
            </w:r>
            <w:r w:rsidRPr="00356380">
              <w:rPr>
                <w:rFonts w:ascii="Arial Narrow" w:hAnsi="Arial Narrow"/>
                <w:sz w:val="20"/>
              </w:rPr>
              <w:t>/mg</w:t>
            </w:r>
            <w:r w:rsidR="005C2614">
              <w:rPr>
                <w:rFonts w:ascii="Arial Narrow" w:hAnsi="Arial Narrow"/>
                <w:sz w:val="20"/>
              </w:rPr>
              <w:t xml:space="preserve"> AEMP</w:t>
            </w:r>
            <w:r w:rsidRPr="00356380">
              <w:rPr>
                <w:rFonts w:ascii="Arial Narrow" w:hAnsi="Arial Narrow"/>
                <w:sz w:val="20"/>
              </w:rPr>
              <w:t>).</w:t>
            </w:r>
          </w:p>
          <w:p w:rsidR="00D03B74" w:rsidRPr="00356380" w:rsidRDefault="00D03B74" w:rsidP="00CA6B4D">
            <w:pPr>
              <w:ind w:left="12"/>
              <w:jc w:val="left"/>
              <w:rPr>
                <w:rFonts w:ascii="Arial Narrow" w:hAnsi="Arial Narrow"/>
                <w:sz w:val="20"/>
              </w:rPr>
            </w:pPr>
            <w:r w:rsidRPr="00356380">
              <w:rPr>
                <w:rFonts w:ascii="Arial Narrow" w:hAnsi="Arial Narrow"/>
                <w:sz w:val="20"/>
              </w:rPr>
              <w:t xml:space="preserve">Corrected for price reductions </w:t>
            </w:r>
            <w:r w:rsidR="001D2732" w:rsidRPr="00356380">
              <w:rPr>
                <w:rFonts w:ascii="Arial Narrow" w:hAnsi="Arial Narrow"/>
                <w:sz w:val="20"/>
              </w:rPr>
              <w:t>during evaluation</w:t>
            </w:r>
            <w:r w:rsidRPr="00356380">
              <w:rPr>
                <w:rFonts w:ascii="Arial Narrow" w:hAnsi="Arial Narrow"/>
                <w:sz w:val="20"/>
              </w:rPr>
              <w:t>:</w:t>
            </w:r>
          </w:p>
          <w:p w:rsidR="00D03B74" w:rsidRPr="00061CA5" w:rsidRDefault="00D03B74" w:rsidP="00AC3A0F">
            <w:pPr>
              <w:pStyle w:val="ListParagraph"/>
              <w:numPr>
                <w:ilvl w:val="0"/>
                <w:numId w:val="4"/>
              </w:numPr>
              <w:ind w:left="92" w:hanging="80"/>
              <w:jc w:val="left"/>
              <w:rPr>
                <w:rFonts w:ascii="Arial Narrow" w:hAnsi="Arial Narrow"/>
                <w:sz w:val="20"/>
              </w:rPr>
            </w:pPr>
            <w:r w:rsidRPr="00061CA5">
              <w:rPr>
                <w:rFonts w:ascii="Arial Narrow" w:hAnsi="Arial Narrow"/>
                <w:sz w:val="20"/>
              </w:rPr>
              <w:t>Lurasidone 40mg tabs (90) $</w:t>
            </w:r>
            <w:r w:rsidR="000A4749">
              <w:rPr>
                <w:rFonts w:ascii="Arial Narrow" w:hAnsi="Arial Narrow"/>
                <w:noProof/>
                <w:color w:val="000000"/>
                <w:sz w:val="20"/>
                <w:highlight w:val="black"/>
              </w:rPr>
              <w:t>'''''''''''''''</w:t>
            </w:r>
            <w:r w:rsidRPr="00061CA5">
              <w:rPr>
                <w:rFonts w:ascii="Arial Narrow" w:hAnsi="Arial Narrow"/>
                <w:sz w:val="20"/>
              </w:rPr>
              <w:t xml:space="preserve"> ($</w:t>
            </w:r>
            <w:r w:rsidR="000A4749">
              <w:rPr>
                <w:rFonts w:ascii="Arial Narrow" w:hAnsi="Arial Narrow"/>
                <w:noProof/>
                <w:color w:val="000000"/>
                <w:sz w:val="20"/>
                <w:highlight w:val="black"/>
              </w:rPr>
              <w:t>'''''''''''''''</w:t>
            </w:r>
            <w:r w:rsidRPr="00061CA5">
              <w:rPr>
                <w:rFonts w:ascii="Arial Narrow" w:hAnsi="Arial Narrow"/>
                <w:sz w:val="20"/>
              </w:rPr>
              <w:t>/mg</w:t>
            </w:r>
            <w:r w:rsidR="005C2614" w:rsidRPr="00061CA5">
              <w:rPr>
                <w:rFonts w:ascii="Arial Narrow" w:hAnsi="Arial Narrow"/>
                <w:sz w:val="20"/>
              </w:rPr>
              <w:t xml:space="preserve"> AEMP</w:t>
            </w:r>
            <w:r w:rsidRPr="00061CA5">
              <w:rPr>
                <w:rFonts w:ascii="Arial Narrow" w:hAnsi="Arial Narrow"/>
                <w:sz w:val="20"/>
              </w:rPr>
              <w:t>).</w:t>
            </w:r>
          </w:p>
          <w:p w:rsidR="00D03B74" w:rsidRPr="00356380" w:rsidRDefault="00D03B74" w:rsidP="00AC3A0F">
            <w:pPr>
              <w:pStyle w:val="ListParagraph"/>
              <w:numPr>
                <w:ilvl w:val="0"/>
                <w:numId w:val="4"/>
              </w:numPr>
              <w:ind w:left="92" w:hanging="80"/>
              <w:jc w:val="left"/>
              <w:rPr>
                <w:rFonts w:ascii="Arial Narrow" w:hAnsi="Arial Narrow"/>
                <w:sz w:val="20"/>
              </w:rPr>
            </w:pPr>
            <w:r w:rsidRPr="00061CA5">
              <w:rPr>
                <w:rFonts w:ascii="Arial Narrow" w:hAnsi="Arial Narrow"/>
                <w:sz w:val="20"/>
              </w:rPr>
              <w:t>Lurasidone 80mg tabs (60) $</w:t>
            </w:r>
            <w:r w:rsidR="000A4749">
              <w:rPr>
                <w:rFonts w:ascii="Arial Narrow" w:hAnsi="Arial Narrow"/>
                <w:noProof/>
                <w:color w:val="000000"/>
                <w:sz w:val="20"/>
                <w:highlight w:val="black"/>
              </w:rPr>
              <w:t>''''''''''''''''</w:t>
            </w:r>
            <w:r w:rsidRPr="00061CA5">
              <w:rPr>
                <w:rFonts w:ascii="Arial Narrow" w:hAnsi="Arial Narrow"/>
                <w:sz w:val="20"/>
              </w:rPr>
              <w:t xml:space="preserve"> ($</w:t>
            </w:r>
            <w:r w:rsidR="000A4749">
              <w:rPr>
                <w:rFonts w:ascii="Arial Narrow" w:hAnsi="Arial Narrow"/>
                <w:noProof/>
                <w:color w:val="000000"/>
                <w:sz w:val="20"/>
                <w:highlight w:val="black"/>
              </w:rPr>
              <w:t>'''''''''''''''''</w:t>
            </w:r>
            <w:r w:rsidRPr="00061CA5">
              <w:rPr>
                <w:rFonts w:ascii="Arial Narrow" w:hAnsi="Arial Narrow"/>
                <w:sz w:val="20"/>
              </w:rPr>
              <w:t>/mg</w:t>
            </w:r>
            <w:r w:rsidR="005C2614" w:rsidRPr="00061CA5">
              <w:rPr>
                <w:rFonts w:ascii="Arial Narrow" w:hAnsi="Arial Narrow"/>
                <w:sz w:val="20"/>
              </w:rPr>
              <w:t xml:space="preserve"> AEMP</w:t>
            </w:r>
            <w:r w:rsidRPr="00061CA5">
              <w:rPr>
                <w:rFonts w:ascii="Arial Narrow" w:hAnsi="Arial Narrow"/>
                <w:sz w:val="20"/>
              </w:rPr>
              <w:t>).</w:t>
            </w:r>
          </w:p>
        </w:tc>
        <w:tc>
          <w:tcPr>
            <w:tcW w:w="2977" w:type="dxa"/>
          </w:tcPr>
          <w:p w:rsidR="00D03B74" w:rsidRPr="00356380" w:rsidRDefault="00D03B74" w:rsidP="00AC3A0F">
            <w:pPr>
              <w:pStyle w:val="ListParagraph"/>
              <w:numPr>
                <w:ilvl w:val="0"/>
                <w:numId w:val="4"/>
              </w:numPr>
              <w:ind w:left="92" w:hanging="80"/>
              <w:jc w:val="left"/>
              <w:rPr>
                <w:rFonts w:ascii="Arial Narrow" w:hAnsi="Arial Narrow"/>
                <w:sz w:val="20"/>
              </w:rPr>
            </w:pPr>
            <w:r w:rsidRPr="00356380">
              <w:rPr>
                <w:rFonts w:ascii="Arial Narrow" w:hAnsi="Arial Narrow"/>
                <w:sz w:val="20"/>
              </w:rPr>
              <w:t>Lurasidone 40mg tabs (30) $</w:t>
            </w:r>
            <w:r w:rsidR="000A4749">
              <w:rPr>
                <w:rFonts w:ascii="Arial Narrow" w:hAnsi="Arial Narrow"/>
                <w:noProof/>
                <w:color w:val="000000"/>
                <w:sz w:val="20"/>
                <w:highlight w:val="black"/>
              </w:rPr>
              <w:t>'''''''''''''''''</w:t>
            </w:r>
            <w:r w:rsidRPr="00356380">
              <w:rPr>
                <w:rFonts w:ascii="Arial Narrow" w:hAnsi="Arial Narrow"/>
                <w:sz w:val="20"/>
              </w:rPr>
              <w:t xml:space="preserve"> ($</w:t>
            </w:r>
            <w:r w:rsidR="000A4749">
              <w:rPr>
                <w:rFonts w:ascii="Arial Narrow" w:hAnsi="Arial Narrow"/>
                <w:noProof/>
                <w:color w:val="000000"/>
                <w:sz w:val="20"/>
                <w:highlight w:val="black"/>
              </w:rPr>
              <w:t>''''''''''''''''</w:t>
            </w:r>
            <w:r w:rsidRPr="00356380">
              <w:rPr>
                <w:rFonts w:ascii="Arial Narrow" w:hAnsi="Arial Narrow"/>
                <w:sz w:val="20"/>
              </w:rPr>
              <w:t>/mg</w:t>
            </w:r>
            <w:r w:rsidR="005C2614">
              <w:rPr>
                <w:rFonts w:ascii="Arial Narrow" w:hAnsi="Arial Narrow"/>
                <w:sz w:val="20"/>
              </w:rPr>
              <w:t xml:space="preserve"> AEMP</w:t>
            </w:r>
            <w:r w:rsidRPr="00356380">
              <w:rPr>
                <w:rFonts w:ascii="Arial Narrow" w:hAnsi="Arial Narrow"/>
                <w:sz w:val="20"/>
              </w:rPr>
              <w:t>).</w:t>
            </w:r>
          </w:p>
          <w:p w:rsidR="00D03B74" w:rsidRPr="00CA6B4D" w:rsidRDefault="00D03B74" w:rsidP="00AC3A0F">
            <w:pPr>
              <w:pStyle w:val="ListParagraph"/>
              <w:numPr>
                <w:ilvl w:val="0"/>
                <w:numId w:val="4"/>
              </w:numPr>
              <w:ind w:left="92" w:hanging="80"/>
              <w:jc w:val="left"/>
              <w:rPr>
                <w:rFonts w:ascii="Arial Narrow" w:hAnsi="Arial Narrow"/>
                <w:i/>
                <w:sz w:val="20"/>
              </w:rPr>
            </w:pPr>
            <w:r w:rsidRPr="00356380">
              <w:rPr>
                <w:rFonts w:ascii="Arial Narrow" w:hAnsi="Arial Narrow"/>
                <w:sz w:val="20"/>
              </w:rPr>
              <w:t>Lurasidone</w:t>
            </w:r>
            <w:r w:rsidR="00C82EE0">
              <w:rPr>
                <w:rFonts w:ascii="Arial Narrow" w:hAnsi="Arial Narrow"/>
                <w:sz w:val="20"/>
              </w:rPr>
              <w:t xml:space="preserve"> 80mg tabs (30) $</w:t>
            </w:r>
            <w:r w:rsidR="000A4749">
              <w:rPr>
                <w:rFonts w:ascii="Arial Narrow" w:hAnsi="Arial Narrow"/>
                <w:noProof/>
                <w:color w:val="000000"/>
                <w:sz w:val="20"/>
                <w:highlight w:val="black"/>
              </w:rPr>
              <w:t>'''''''''''''''''</w:t>
            </w:r>
            <w:r w:rsidR="00C82EE0">
              <w:rPr>
                <w:rFonts w:ascii="Arial Narrow" w:hAnsi="Arial Narrow"/>
                <w:sz w:val="20"/>
              </w:rPr>
              <w:t xml:space="preserve"> ($</w:t>
            </w:r>
            <w:r w:rsidR="000A4749">
              <w:rPr>
                <w:rFonts w:ascii="Arial Narrow" w:hAnsi="Arial Narrow"/>
                <w:noProof/>
                <w:color w:val="000000"/>
                <w:sz w:val="20"/>
                <w:highlight w:val="black"/>
              </w:rPr>
              <w:t>'''''''''''''''</w:t>
            </w:r>
            <w:r w:rsidRPr="00356380">
              <w:rPr>
                <w:rFonts w:ascii="Arial Narrow" w:hAnsi="Arial Narrow"/>
                <w:sz w:val="20"/>
              </w:rPr>
              <w:t>/mg</w:t>
            </w:r>
            <w:r w:rsidR="005C2614">
              <w:rPr>
                <w:rFonts w:ascii="Arial Narrow" w:hAnsi="Arial Narrow"/>
                <w:sz w:val="20"/>
              </w:rPr>
              <w:t xml:space="preserve"> AEMP)</w:t>
            </w:r>
            <w:r w:rsidRPr="00356380">
              <w:rPr>
                <w:rFonts w:ascii="Arial Narrow" w:hAnsi="Arial Narrow"/>
                <w:sz w:val="20"/>
              </w:rPr>
              <w:t>.</w:t>
            </w:r>
          </w:p>
        </w:tc>
      </w:tr>
      <w:tr w:rsidR="001D2732" w:rsidRPr="00CA6B4D" w:rsidTr="008A4BDF">
        <w:trPr>
          <w:trHeight w:val="642"/>
        </w:trPr>
        <w:tc>
          <w:tcPr>
            <w:tcW w:w="1014" w:type="dxa"/>
          </w:tcPr>
          <w:p w:rsidR="001D2732" w:rsidRPr="00CA6B4D" w:rsidRDefault="001D2732" w:rsidP="00AA0A07">
            <w:pPr>
              <w:jc w:val="left"/>
              <w:rPr>
                <w:rFonts w:ascii="Arial Narrow" w:hAnsi="Arial Narrow"/>
                <w:sz w:val="20"/>
              </w:rPr>
            </w:pPr>
            <w:r w:rsidRPr="00CA6B4D">
              <w:rPr>
                <w:rFonts w:ascii="Arial Narrow" w:hAnsi="Arial Narrow"/>
                <w:sz w:val="20"/>
              </w:rPr>
              <w:t>Main comparator</w:t>
            </w:r>
          </w:p>
        </w:tc>
        <w:tc>
          <w:tcPr>
            <w:tcW w:w="4514" w:type="dxa"/>
          </w:tcPr>
          <w:p w:rsidR="001D2732" w:rsidRPr="00356380" w:rsidRDefault="001D2732" w:rsidP="00AC3A0F">
            <w:pPr>
              <w:pStyle w:val="ListParagraph"/>
              <w:numPr>
                <w:ilvl w:val="0"/>
                <w:numId w:val="4"/>
              </w:numPr>
              <w:ind w:left="92" w:hanging="80"/>
              <w:jc w:val="left"/>
              <w:rPr>
                <w:rFonts w:ascii="Arial Narrow" w:hAnsi="Arial Narrow"/>
                <w:sz w:val="20"/>
              </w:rPr>
            </w:pPr>
            <w:r w:rsidRPr="00356380">
              <w:rPr>
                <w:rFonts w:ascii="Arial Narrow" w:hAnsi="Arial Narrow"/>
                <w:sz w:val="20"/>
              </w:rPr>
              <w:t>Main comparator ziprasidone, with secondary comparators olanzapine and quetiapine.</w:t>
            </w:r>
          </w:p>
          <w:p w:rsidR="001D2732" w:rsidRPr="00356380" w:rsidRDefault="001D2732" w:rsidP="003340CE">
            <w:pPr>
              <w:ind w:left="92" w:hanging="80"/>
              <w:jc w:val="left"/>
              <w:rPr>
                <w:rFonts w:ascii="Arial Narrow" w:hAnsi="Arial Narrow"/>
                <w:sz w:val="20"/>
              </w:rPr>
            </w:pPr>
            <w:r w:rsidRPr="00356380">
              <w:rPr>
                <w:rFonts w:ascii="Arial Narrow" w:hAnsi="Arial Narrow"/>
                <w:b/>
                <w:sz w:val="20"/>
              </w:rPr>
              <w:t>PBAC Comment:</w:t>
            </w:r>
            <w:r w:rsidRPr="00356380">
              <w:rPr>
                <w:rFonts w:ascii="Arial Narrow" w:hAnsi="Arial Narrow"/>
                <w:sz w:val="20"/>
              </w:rPr>
              <w:t xml:space="preserve"> Ziprasidone accepted as appropriate main comparator, but risperidone and paliperidone may also be appropriate secondary comparators (March 2014 Minutes, para.5.1-5.2).</w:t>
            </w:r>
          </w:p>
        </w:tc>
        <w:tc>
          <w:tcPr>
            <w:tcW w:w="2977" w:type="dxa"/>
          </w:tcPr>
          <w:p w:rsidR="001D2732" w:rsidRPr="00356380" w:rsidRDefault="001D2732" w:rsidP="00AC3A0F">
            <w:pPr>
              <w:pStyle w:val="ListParagraph"/>
              <w:numPr>
                <w:ilvl w:val="0"/>
                <w:numId w:val="4"/>
              </w:numPr>
              <w:ind w:left="92" w:hanging="80"/>
              <w:jc w:val="left"/>
              <w:rPr>
                <w:rFonts w:ascii="Arial Narrow" w:hAnsi="Arial Narrow"/>
                <w:sz w:val="20"/>
              </w:rPr>
            </w:pPr>
            <w:r w:rsidRPr="00356380">
              <w:rPr>
                <w:rFonts w:ascii="Arial Narrow" w:hAnsi="Arial Narrow"/>
                <w:sz w:val="20"/>
              </w:rPr>
              <w:t>Main comparators ziprasidone and aripiprazole</w:t>
            </w:r>
            <w:r w:rsidR="00CA6B4D" w:rsidRPr="00356380">
              <w:rPr>
                <w:rFonts w:ascii="Arial Narrow" w:hAnsi="Arial Narrow"/>
                <w:sz w:val="20"/>
              </w:rPr>
              <w:t>, given lurasidone is expected to be used as second line therapy or when other first line therapies are not appropriate</w:t>
            </w:r>
            <w:r w:rsidRPr="00356380">
              <w:rPr>
                <w:rFonts w:ascii="Arial Narrow" w:hAnsi="Arial Narrow"/>
                <w:sz w:val="20"/>
              </w:rPr>
              <w:t>.</w:t>
            </w:r>
          </w:p>
        </w:tc>
      </w:tr>
      <w:tr w:rsidR="000B3B6E" w:rsidRPr="00CA6B4D" w:rsidTr="008A4BDF">
        <w:trPr>
          <w:trHeight w:val="860"/>
        </w:trPr>
        <w:tc>
          <w:tcPr>
            <w:tcW w:w="1014" w:type="dxa"/>
          </w:tcPr>
          <w:p w:rsidR="000B3B6E" w:rsidRPr="00CA6B4D" w:rsidRDefault="000B3B6E" w:rsidP="00AA0A07">
            <w:pPr>
              <w:jc w:val="left"/>
              <w:rPr>
                <w:rFonts w:ascii="Arial Narrow" w:hAnsi="Arial Narrow"/>
                <w:sz w:val="20"/>
              </w:rPr>
            </w:pPr>
            <w:r w:rsidRPr="00CA6B4D">
              <w:rPr>
                <w:rFonts w:ascii="Arial Narrow" w:hAnsi="Arial Narrow"/>
                <w:sz w:val="20"/>
              </w:rPr>
              <w:t>Clinical evidence</w:t>
            </w:r>
          </w:p>
        </w:tc>
        <w:tc>
          <w:tcPr>
            <w:tcW w:w="4514" w:type="dxa"/>
          </w:tcPr>
          <w:p w:rsidR="000B3B6E" w:rsidRDefault="000B3B6E"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One 3 week safety and tolerability study (Trial 254) comparing high dose lurasidone and ziprasidone, two RCTs (Trials 231 and 233) providing direct head-to-head comparisons between lurasidone and olanzapine or quetiapine, </w:t>
            </w:r>
            <w:r w:rsidR="00F40569">
              <w:rPr>
                <w:rFonts w:ascii="Arial Narrow" w:hAnsi="Arial Narrow"/>
                <w:sz w:val="20"/>
              </w:rPr>
              <w:t>with</w:t>
            </w:r>
            <w:r>
              <w:rPr>
                <w:rFonts w:ascii="Arial Narrow" w:hAnsi="Arial Narrow"/>
                <w:sz w:val="20"/>
              </w:rPr>
              <w:t xml:space="preserve"> extension studies and one multi-treatment analysis (Leucht 2013) included during the evaluation</w:t>
            </w:r>
            <w:r w:rsidRPr="006D0AFB">
              <w:rPr>
                <w:rFonts w:ascii="Arial Narrow" w:hAnsi="Arial Narrow"/>
                <w:sz w:val="20"/>
              </w:rPr>
              <w:t>.</w:t>
            </w:r>
          </w:p>
          <w:p w:rsidR="004B371F" w:rsidRPr="000B3B6E" w:rsidRDefault="004B371F"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Key outcomes: Change in PANSS, responder rates PANSS, time to relapse PANSS and change in CGI-S, </w:t>
            </w:r>
            <w:r>
              <w:rPr>
                <w:rFonts w:ascii="Arial Narrow" w:hAnsi="Arial Narrow"/>
                <w:sz w:val="20"/>
              </w:rPr>
              <w:lastRenderedPageBreak/>
              <w:t>CDSS and MADRS.</w:t>
            </w:r>
          </w:p>
        </w:tc>
        <w:tc>
          <w:tcPr>
            <w:tcW w:w="2977" w:type="dxa"/>
          </w:tcPr>
          <w:p w:rsidR="000B3B6E" w:rsidRDefault="000B3B6E" w:rsidP="00AC3A0F">
            <w:pPr>
              <w:pStyle w:val="ListParagraph"/>
              <w:numPr>
                <w:ilvl w:val="0"/>
                <w:numId w:val="4"/>
              </w:numPr>
              <w:ind w:left="92" w:hanging="80"/>
              <w:jc w:val="left"/>
              <w:rPr>
                <w:rFonts w:ascii="Arial Narrow" w:hAnsi="Arial Narrow"/>
                <w:sz w:val="20"/>
              </w:rPr>
            </w:pPr>
            <w:r>
              <w:rPr>
                <w:rFonts w:ascii="Arial Narrow" w:hAnsi="Arial Narrow"/>
                <w:sz w:val="20"/>
              </w:rPr>
              <w:lastRenderedPageBreak/>
              <w:t>Formal indirect comparison of lurasidone versus ziprasidone or aripiprazole, with olanzapine as the common comparator</w:t>
            </w:r>
            <w:r w:rsidR="00F40569">
              <w:rPr>
                <w:rFonts w:ascii="Arial Narrow" w:hAnsi="Arial Narrow"/>
                <w:sz w:val="20"/>
              </w:rPr>
              <w:t>, using one trial for each comparison; lurasidone vs olanzapine (Trial 231), zipras</w:t>
            </w:r>
            <w:r w:rsidR="00F14E55">
              <w:rPr>
                <w:rFonts w:ascii="Arial Narrow" w:hAnsi="Arial Narrow"/>
                <w:sz w:val="20"/>
              </w:rPr>
              <w:t>idone vs olanzapine (Breier 2005</w:t>
            </w:r>
            <w:r w:rsidR="00F40569">
              <w:rPr>
                <w:rFonts w:ascii="Arial Narrow" w:hAnsi="Arial Narrow"/>
                <w:sz w:val="20"/>
              </w:rPr>
              <w:t xml:space="preserve">) and aripiprazole </w:t>
            </w:r>
            <w:r w:rsidR="004B371F">
              <w:rPr>
                <w:rFonts w:ascii="Arial Narrow" w:hAnsi="Arial Narrow"/>
                <w:sz w:val="20"/>
              </w:rPr>
              <w:t xml:space="preserve">vs olanzapine </w:t>
            </w:r>
            <w:r w:rsidR="00F40569">
              <w:rPr>
                <w:rFonts w:ascii="Arial Narrow" w:hAnsi="Arial Narrow"/>
                <w:sz w:val="20"/>
              </w:rPr>
              <w:t xml:space="preserve">(Kane </w:t>
            </w:r>
            <w:r w:rsidR="00F40569">
              <w:rPr>
                <w:rFonts w:ascii="Arial Narrow" w:hAnsi="Arial Narrow"/>
                <w:sz w:val="20"/>
              </w:rPr>
              <w:lastRenderedPageBreak/>
              <w:t>2009)</w:t>
            </w:r>
            <w:r w:rsidR="008A6A8E">
              <w:rPr>
                <w:rFonts w:ascii="Arial Narrow" w:hAnsi="Arial Narrow"/>
                <w:sz w:val="20"/>
              </w:rPr>
              <w:t>.</w:t>
            </w:r>
          </w:p>
          <w:p w:rsidR="003514B2" w:rsidRPr="000B3B6E" w:rsidRDefault="003514B2"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Key </w:t>
            </w:r>
            <w:r w:rsidR="00846B55">
              <w:rPr>
                <w:rFonts w:ascii="Arial Narrow" w:hAnsi="Arial Narrow"/>
                <w:sz w:val="20"/>
              </w:rPr>
              <w:t xml:space="preserve">outcomes; </w:t>
            </w:r>
            <w:r w:rsidR="004B371F">
              <w:rPr>
                <w:rFonts w:ascii="Arial Narrow" w:hAnsi="Arial Narrow"/>
                <w:sz w:val="20"/>
              </w:rPr>
              <w:t>C</w:t>
            </w:r>
            <w:r w:rsidR="00846B55">
              <w:rPr>
                <w:rFonts w:ascii="Arial Narrow" w:hAnsi="Arial Narrow"/>
                <w:sz w:val="20"/>
              </w:rPr>
              <w:t xml:space="preserve">hange in </w:t>
            </w:r>
            <w:r>
              <w:rPr>
                <w:rFonts w:ascii="Arial Narrow" w:hAnsi="Arial Narrow"/>
                <w:sz w:val="20"/>
              </w:rPr>
              <w:t>PANSS</w:t>
            </w:r>
            <w:r w:rsidR="00846B55">
              <w:rPr>
                <w:rFonts w:ascii="Arial Narrow" w:hAnsi="Arial Narrow"/>
                <w:sz w:val="20"/>
              </w:rPr>
              <w:t xml:space="preserve"> </w:t>
            </w:r>
            <w:r w:rsidR="004B371F">
              <w:rPr>
                <w:rFonts w:ascii="Arial Narrow" w:hAnsi="Arial Narrow"/>
                <w:sz w:val="20"/>
              </w:rPr>
              <w:t>total score and subscales and</w:t>
            </w:r>
            <w:r w:rsidR="00846B55">
              <w:rPr>
                <w:rFonts w:ascii="Arial Narrow" w:hAnsi="Arial Narrow"/>
                <w:sz w:val="20"/>
              </w:rPr>
              <w:t xml:space="preserve"> </w:t>
            </w:r>
            <w:r w:rsidR="004B371F">
              <w:rPr>
                <w:rFonts w:ascii="Arial Narrow" w:hAnsi="Arial Narrow"/>
                <w:sz w:val="20"/>
              </w:rPr>
              <w:t>change in CGI-S</w:t>
            </w:r>
            <w:r w:rsidR="00846B55">
              <w:rPr>
                <w:rFonts w:ascii="Arial Narrow" w:hAnsi="Arial Narrow"/>
                <w:sz w:val="20"/>
              </w:rPr>
              <w:t>.</w:t>
            </w:r>
            <w:r>
              <w:rPr>
                <w:rFonts w:ascii="Arial Narrow" w:hAnsi="Arial Narrow"/>
                <w:sz w:val="20"/>
              </w:rPr>
              <w:t xml:space="preserve"> </w:t>
            </w:r>
          </w:p>
        </w:tc>
      </w:tr>
      <w:tr w:rsidR="00A35CEE" w:rsidRPr="00CA6B4D" w:rsidTr="008A4BDF">
        <w:trPr>
          <w:trHeight w:val="1064"/>
        </w:trPr>
        <w:tc>
          <w:tcPr>
            <w:tcW w:w="1014" w:type="dxa"/>
          </w:tcPr>
          <w:p w:rsidR="00A35CEE" w:rsidRPr="00CA6B4D" w:rsidRDefault="00A35CEE" w:rsidP="00AA0A07">
            <w:pPr>
              <w:jc w:val="left"/>
              <w:rPr>
                <w:rFonts w:ascii="Arial Narrow" w:hAnsi="Arial Narrow"/>
                <w:sz w:val="20"/>
              </w:rPr>
            </w:pPr>
            <w:r w:rsidRPr="00CA6B4D">
              <w:rPr>
                <w:rFonts w:ascii="Arial Narrow" w:hAnsi="Arial Narrow"/>
                <w:sz w:val="20"/>
              </w:rPr>
              <w:lastRenderedPageBreak/>
              <w:t>Key effectiveness data</w:t>
            </w:r>
          </w:p>
        </w:tc>
        <w:tc>
          <w:tcPr>
            <w:tcW w:w="4514" w:type="dxa"/>
          </w:tcPr>
          <w:p w:rsidR="00A35CEE" w:rsidRDefault="006A0FA3"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In Trial 254 </w:t>
            </w:r>
            <w:r w:rsidRPr="006A0FA3">
              <w:rPr>
                <w:rFonts w:ascii="Arial Narrow" w:hAnsi="Arial Narrow"/>
                <w:sz w:val="20"/>
              </w:rPr>
              <w:t xml:space="preserve">the difference in mean change in PANSS between lurasidone and ziprasidone was -1.8 </w:t>
            </w:r>
            <w:r w:rsidR="00390622">
              <w:rPr>
                <w:rFonts w:ascii="Arial Narrow" w:hAnsi="Arial Narrow"/>
                <w:sz w:val="20"/>
              </w:rPr>
              <w:t>[</w:t>
            </w:r>
            <w:r w:rsidRPr="006A0FA3">
              <w:rPr>
                <w:rFonts w:ascii="Arial Narrow" w:hAnsi="Arial Narrow"/>
                <w:sz w:val="20"/>
              </w:rPr>
              <w:t>-4.3, 0.7</w:t>
            </w:r>
            <w:r w:rsidR="00390622">
              <w:rPr>
                <w:rFonts w:ascii="Arial Narrow" w:hAnsi="Arial Narrow"/>
                <w:sz w:val="20"/>
              </w:rPr>
              <w:t>]</w:t>
            </w:r>
            <w:r w:rsidRPr="006A0FA3">
              <w:rPr>
                <w:rFonts w:ascii="Arial Narrow" w:hAnsi="Arial Narrow"/>
                <w:sz w:val="20"/>
              </w:rPr>
              <w:t xml:space="preserve"> but neither treatment reduced PANSS scores by the minimum clinically important difference (MCID) of 7 points</w:t>
            </w:r>
            <w:r w:rsidR="00A35CEE" w:rsidRPr="006D0AFB">
              <w:rPr>
                <w:rFonts w:ascii="Arial Narrow" w:hAnsi="Arial Narrow"/>
                <w:sz w:val="20"/>
              </w:rPr>
              <w:t>.</w:t>
            </w:r>
            <w:r w:rsidR="00435BF8">
              <w:rPr>
                <w:rFonts w:ascii="Arial Narrow" w:hAnsi="Arial Narrow"/>
                <w:sz w:val="20"/>
              </w:rPr>
              <w:t xml:space="preserve"> </w:t>
            </w:r>
          </w:p>
          <w:p w:rsidR="00435BF8" w:rsidRDefault="00435BF8" w:rsidP="00AC3A0F">
            <w:pPr>
              <w:pStyle w:val="ListParagraph"/>
              <w:numPr>
                <w:ilvl w:val="0"/>
                <w:numId w:val="4"/>
              </w:numPr>
              <w:ind w:left="92" w:hanging="80"/>
              <w:jc w:val="left"/>
              <w:rPr>
                <w:rFonts w:ascii="Arial Narrow" w:hAnsi="Arial Narrow"/>
                <w:sz w:val="20"/>
              </w:rPr>
            </w:pPr>
            <w:r>
              <w:rPr>
                <w:rFonts w:ascii="Arial Narrow" w:hAnsi="Arial Narrow"/>
                <w:sz w:val="20"/>
              </w:rPr>
              <w:t>In Trial 231</w:t>
            </w:r>
            <w:r w:rsidRPr="00435BF8">
              <w:rPr>
                <w:rFonts w:ascii="Arial Narrow" w:hAnsi="Arial Narrow"/>
                <w:sz w:val="20"/>
              </w:rPr>
              <w:t xml:space="preserve"> </w:t>
            </w:r>
            <w:r>
              <w:rPr>
                <w:rFonts w:ascii="Arial Narrow" w:hAnsi="Arial Narrow"/>
                <w:sz w:val="20"/>
              </w:rPr>
              <w:t>t</w:t>
            </w:r>
            <w:r w:rsidRPr="00435BF8">
              <w:rPr>
                <w:rFonts w:ascii="Arial Narrow" w:hAnsi="Arial Narrow"/>
                <w:sz w:val="20"/>
              </w:rPr>
              <w:t xml:space="preserve">here </w:t>
            </w:r>
            <w:r>
              <w:rPr>
                <w:rFonts w:ascii="Arial Narrow" w:hAnsi="Arial Narrow"/>
                <w:sz w:val="20"/>
              </w:rPr>
              <w:t xml:space="preserve">was </w:t>
            </w:r>
            <w:r w:rsidRPr="00435BF8">
              <w:rPr>
                <w:rFonts w:ascii="Arial Narrow" w:hAnsi="Arial Narrow"/>
                <w:sz w:val="20"/>
              </w:rPr>
              <w:t xml:space="preserve">little difference in </w:t>
            </w:r>
            <w:r w:rsidR="00251C6E" w:rsidRPr="006A0FA3">
              <w:rPr>
                <w:rFonts w:ascii="Arial Narrow" w:hAnsi="Arial Narrow"/>
                <w:sz w:val="20"/>
              </w:rPr>
              <w:t>mean change in PANSS</w:t>
            </w:r>
            <w:r w:rsidR="00251C6E" w:rsidRPr="00435BF8">
              <w:rPr>
                <w:rFonts w:ascii="Arial Narrow" w:hAnsi="Arial Narrow"/>
                <w:sz w:val="20"/>
              </w:rPr>
              <w:t xml:space="preserve"> </w:t>
            </w:r>
            <w:r w:rsidRPr="00435BF8">
              <w:rPr>
                <w:rFonts w:ascii="Arial Narrow" w:hAnsi="Arial Narrow"/>
                <w:sz w:val="20"/>
              </w:rPr>
              <w:t xml:space="preserve">between </w:t>
            </w:r>
            <w:r w:rsidR="00251C6E" w:rsidRPr="00435BF8">
              <w:rPr>
                <w:rFonts w:ascii="Arial Narrow" w:hAnsi="Arial Narrow"/>
                <w:sz w:val="20"/>
              </w:rPr>
              <w:t>lurasidone</w:t>
            </w:r>
            <w:r w:rsidR="00251C6E">
              <w:rPr>
                <w:rFonts w:ascii="Arial Narrow" w:hAnsi="Arial Narrow"/>
                <w:sz w:val="20"/>
              </w:rPr>
              <w:t xml:space="preserve"> 40mg</w:t>
            </w:r>
            <w:r w:rsidR="00390622">
              <w:rPr>
                <w:rFonts w:ascii="Arial Narrow" w:hAnsi="Arial Narrow"/>
                <w:sz w:val="20"/>
              </w:rPr>
              <w:t xml:space="preserve"> (</w:t>
            </w:r>
            <w:r w:rsidR="00390622" w:rsidRPr="00390622">
              <w:rPr>
                <w:rFonts w:ascii="Arial Narrow" w:hAnsi="Arial Narrow"/>
                <w:sz w:val="20"/>
              </w:rPr>
              <w:t>-9.7 [-15.3, -4.1]) and 120mg (-7.5 [-13.4, -1.7])</w:t>
            </w:r>
            <w:r w:rsidR="00390622">
              <w:rPr>
                <w:rFonts w:ascii="Arial Narrow" w:hAnsi="Arial Narrow"/>
                <w:sz w:val="20"/>
              </w:rPr>
              <w:t xml:space="preserve"> or olanzapine 15mg (</w:t>
            </w:r>
            <w:r w:rsidR="00390622" w:rsidRPr="00390622">
              <w:rPr>
                <w:rFonts w:ascii="Arial Narrow" w:hAnsi="Arial Narrow"/>
                <w:sz w:val="20"/>
              </w:rPr>
              <w:t>-12.6 [-18.2, -7.1</w:t>
            </w:r>
            <w:r w:rsidR="001A7EE8" w:rsidRPr="00390622">
              <w:rPr>
                <w:rFonts w:ascii="Arial Narrow" w:hAnsi="Arial Narrow"/>
                <w:sz w:val="20"/>
              </w:rPr>
              <w:t>]</w:t>
            </w:r>
            <w:r w:rsidR="001A7EE8">
              <w:rPr>
                <w:rFonts w:ascii="Arial Narrow" w:hAnsi="Arial Narrow"/>
                <w:sz w:val="20"/>
              </w:rPr>
              <w:t>)</w:t>
            </w:r>
            <w:r w:rsidRPr="00435BF8">
              <w:rPr>
                <w:rFonts w:ascii="Arial Narrow" w:hAnsi="Arial Narrow"/>
                <w:sz w:val="20"/>
              </w:rPr>
              <w:t>.</w:t>
            </w:r>
          </w:p>
          <w:p w:rsidR="00435BF8" w:rsidRDefault="00435BF8"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In Trial 233 </w:t>
            </w:r>
            <w:r w:rsidR="00251C6E">
              <w:rPr>
                <w:rFonts w:ascii="Arial Narrow" w:hAnsi="Arial Narrow"/>
                <w:sz w:val="20"/>
              </w:rPr>
              <w:t>t</w:t>
            </w:r>
            <w:r w:rsidR="00251C6E" w:rsidRPr="00435BF8">
              <w:rPr>
                <w:rFonts w:ascii="Arial Narrow" w:hAnsi="Arial Narrow"/>
                <w:sz w:val="20"/>
              </w:rPr>
              <w:t xml:space="preserve">here </w:t>
            </w:r>
            <w:r w:rsidR="00251C6E">
              <w:rPr>
                <w:rFonts w:ascii="Arial Narrow" w:hAnsi="Arial Narrow"/>
                <w:sz w:val="20"/>
              </w:rPr>
              <w:t xml:space="preserve">was </w:t>
            </w:r>
            <w:r w:rsidR="00251C6E" w:rsidRPr="00435BF8">
              <w:rPr>
                <w:rFonts w:ascii="Arial Narrow" w:hAnsi="Arial Narrow"/>
                <w:sz w:val="20"/>
              </w:rPr>
              <w:t xml:space="preserve">little difference in </w:t>
            </w:r>
            <w:r w:rsidR="00251C6E" w:rsidRPr="006A0FA3">
              <w:rPr>
                <w:rFonts w:ascii="Arial Narrow" w:hAnsi="Arial Narrow"/>
                <w:sz w:val="20"/>
              </w:rPr>
              <w:t>mean change in PANSS</w:t>
            </w:r>
            <w:r w:rsidR="00251C6E" w:rsidRPr="00435BF8">
              <w:rPr>
                <w:rFonts w:ascii="Arial Narrow" w:hAnsi="Arial Narrow"/>
                <w:sz w:val="20"/>
              </w:rPr>
              <w:t xml:space="preserve"> between </w:t>
            </w:r>
            <w:r w:rsidR="00251C6E">
              <w:rPr>
                <w:rFonts w:ascii="Arial Narrow" w:hAnsi="Arial Narrow"/>
                <w:sz w:val="20"/>
              </w:rPr>
              <w:t>`</w:t>
            </w:r>
            <w:r w:rsidRPr="00435BF8">
              <w:rPr>
                <w:rFonts w:ascii="Arial Narrow" w:hAnsi="Arial Narrow"/>
                <w:sz w:val="20"/>
              </w:rPr>
              <w:t xml:space="preserve">lurasidone 160mg/day </w:t>
            </w:r>
            <w:r w:rsidR="009B5C94">
              <w:rPr>
                <w:rFonts w:ascii="Arial Narrow" w:hAnsi="Arial Narrow"/>
                <w:sz w:val="20"/>
              </w:rPr>
              <w:t>(</w:t>
            </w:r>
            <w:r w:rsidR="009B5C94" w:rsidRPr="009B5C94">
              <w:rPr>
                <w:rFonts w:ascii="Arial Narrow" w:hAnsi="Arial Narrow"/>
                <w:sz w:val="20"/>
              </w:rPr>
              <w:t xml:space="preserve">-16.2 [-21.2, -11.2]) </w:t>
            </w:r>
            <w:r w:rsidRPr="00435BF8">
              <w:rPr>
                <w:rFonts w:ascii="Arial Narrow" w:hAnsi="Arial Narrow"/>
                <w:sz w:val="20"/>
              </w:rPr>
              <w:t>and quetiapine 600mg/day</w:t>
            </w:r>
            <w:r w:rsidR="009B5C94">
              <w:rPr>
                <w:rFonts w:ascii="Arial Narrow" w:hAnsi="Arial Narrow"/>
                <w:sz w:val="20"/>
              </w:rPr>
              <w:t xml:space="preserve"> (</w:t>
            </w:r>
            <w:r w:rsidR="009B5C94" w:rsidRPr="00251C6E">
              <w:rPr>
                <w:rFonts w:ascii="Arial Narrow" w:hAnsi="Arial Narrow"/>
                <w:sz w:val="20"/>
              </w:rPr>
              <w:t>-17.5 [-22.5, -12.4])</w:t>
            </w:r>
            <w:r>
              <w:rPr>
                <w:rFonts w:ascii="Arial Narrow" w:hAnsi="Arial Narrow"/>
                <w:sz w:val="20"/>
              </w:rPr>
              <w:t>.</w:t>
            </w:r>
          </w:p>
          <w:p w:rsidR="00300F68" w:rsidRDefault="00300F68"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In the multi-treatment meta-analysis by </w:t>
            </w:r>
            <w:r w:rsidR="003B288D">
              <w:rPr>
                <w:rFonts w:ascii="Arial Narrow" w:hAnsi="Arial Narrow"/>
                <w:sz w:val="20"/>
              </w:rPr>
              <w:t xml:space="preserve">Leucht et al 2013, </w:t>
            </w:r>
            <w:r w:rsidRPr="00300F68">
              <w:rPr>
                <w:rFonts w:ascii="Arial Narrow" w:hAnsi="Arial Narrow"/>
                <w:sz w:val="20"/>
              </w:rPr>
              <w:t xml:space="preserve">olanzapine was statistically significantly more effective than lurasidone.  No statistically significant difference was observed between lurasidone and quetiapine or lurasidone and ziprasidone, </w:t>
            </w:r>
            <w:r>
              <w:rPr>
                <w:rFonts w:ascii="Arial Narrow" w:hAnsi="Arial Narrow"/>
                <w:sz w:val="20"/>
              </w:rPr>
              <w:t>but</w:t>
            </w:r>
            <w:r w:rsidRPr="00300F68">
              <w:rPr>
                <w:rFonts w:ascii="Arial Narrow" w:hAnsi="Arial Narrow"/>
                <w:sz w:val="20"/>
              </w:rPr>
              <w:t xml:space="preserve"> the trend in both comparisons did not favour lurasidone.</w:t>
            </w:r>
          </w:p>
          <w:p w:rsidR="00A35CEE" w:rsidRPr="00D47527" w:rsidRDefault="00A35CEE" w:rsidP="003B288D">
            <w:pPr>
              <w:ind w:left="92" w:hanging="80"/>
              <w:jc w:val="left"/>
              <w:rPr>
                <w:rFonts w:ascii="Arial Narrow" w:hAnsi="Arial Narrow"/>
                <w:sz w:val="20"/>
              </w:rPr>
            </w:pPr>
            <w:r w:rsidRPr="006A0FA3">
              <w:rPr>
                <w:rFonts w:ascii="Arial Narrow" w:hAnsi="Arial Narrow"/>
                <w:b/>
                <w:sz w:val="20"/>
              </w:rPr>
              <w:t>PBAC Comment:</w:t>
            </w:r>
            <w:r w:rsidR="00D47527">
              <w:rPr>
                <w:rFonts w:ascii="Arial Narrow" w:hAnsi="Arial Narrow"/>
                <w:sz w:val="20"/>
              </w:rPr>
              <w:t xml:space="preserve"> </w:t>
            </w:r>
            <w:r w:rsidR="00D47527" w:rsidRPr="00D47527">
              <w:rPr>
                <w:rFonts w:ascii="Arial Narrow" w:hAnsi="Arial Narrow"/>
                <w:sz w:val="20"/>
              </w:rPr>
              <w:t>Overall, the clinical data provided in the submission, or identified during the evaluation (L</w:t>
            </w:r>
            <w:r w:rsidR="003B288D">
              <w:rPr>
                <w:rFonts w:ascii="Arial Narrow" w:hAnsi="Arial Narrow"/>
                <w:sz w:val="20"/>
              </w:rPr>
              <w:t>eu</w:t>
            </w:r>
            <w:r w:rsidR="00D47527" w:rsidRPr="00D47527">
              <w:rPr>
                <w:rFonts w:ascii="Arial Narrow" w:hAnsi="Arial Narrow"/>
                <w:sz w:val="20"/>
              </w:rPr>
              <w:t xml:space="preserve">cht et al) </w:t>
            </w:r>
            <w:r w:rsidR="00D554A8">
              <w:rPr>
                <w:rFonts w:ascii="Arial Narrow" w:hAnsi="Arial Narrow"/>
                <w:sz w:val="20"/>
              </w:rPr>
              <w:t>failed to establish</w:t>
            </w:r>
            <w:r w:rsidR="00D47527" w:rsidRPr="00D47527">
              <w:rPr>
                <w:rFonts w:ascii="Arial Narrow" w:hAnsi="Arial Narrow"/>
                <w:sz w:val="20"/>
              </w:rPr>
              <w:t xml:space="preserve"> non-inferiority of lurasidone with the main comparator ziprasidone.</w:t>
            </w:r>
          </w:p>
        </w:tc>
        <w:tc>
          <w:tcPr>
            <w:tcW w:w="2977" w:type="dxa"/>
          </w:tcPr>
          <w:p w:rsidR="00A35CEE" w:rsidRPr="00A35CEE" w:rsidRDefault="002B349C" w:rsidP="008A4BDF">
            <w:pPr>
              <w:pStyle w:val="ListParagraph"/>
              <w:numPr>
                <w:ilvl w:val="0"/>
                <w:numId w:val="4"/>
              </w:numPr>
              <w:ind w:left="92" w:hanging="80"/>
              <w:jc w:val="left"/>
              <w:rPr>
                <w:rFonts w:ascii="Arial Narrow" w:hAnsi="Arial Narrow"/>
                <w:sz w:val="20"/>
              </w:rPr>
            </w:pPr>
            <w:r>
              <w:rPr>
                <w:rFonts w:ascii="Arial Narrow" w:hAnsi="Arial Narrow"/>
                <w:sz w:val="20"/>
              </w:rPr>
              <w:t>See para 6.</w:t>
            </w:r>
            <w:r w:rsidR="00447A74">
              <w:rPr>
                <w:rFonts w:ascii="Arial Narrow" w:hAnsi="Arial Narrow"/>
                <w:sz w:val="20"/>
              </w:rPr>
              <w:t>8</w:t>
            </w:r>
            <w:r w:rsidR="008A4BDF">
              <w:rPr>
                <w:rFonts w:ascii="Arial Narrow" w:hAnsi="Arial Narrow"/>
                <w:sz w:val="20"/>
              </w:rPr>
              <w:t xml:space="preserve"> </w:t>
            </w:r>
            <w:r>
              <w:rPr>
                <w:rFonts w:ascii="Arial Narrow" w:hAnsi="Arial Narrow"/>
                <w:sz w:val="20"/>
              </w:rPr>
              <w:t>below.</w:t>
            </w:r>
          </w:p>
        </w:tc>
      </w:tr>
      <w:tr w:rsidR="00A35CEE" w:rsidRPr="00CA6B4D" w:rsidTr="008A4BDF">
        <w:trPr>
          <w:trHeight w:val="860"/>
        </w:trPr>
        <w:tc>
          <w:tcPr>
            <w:tcW w:w="1014" w:type="dxa"/>
          </w:tcPr>
          <w:p w:rsidR="00A35CEE" w:rsidRPr="00CA6B4D" w:rsidRDefault="00A35CEE" w:rsidP="00AA0A07">
            <w:pPr>
              <w:jc w:val="left"/>
              <w:rPr>
                <w:rFonts w:ascii="Arial Narrow" w:hAnsi="Arial Narrow"/>
                <w:sz w:val="20"/>
              </w:rPr>
            </w:pPr>
            <w:r w:rsidRPr="00CA6B4D">
              <w:rPr>
                <w:rFonts w:ascii="Arial Narrow" w:hAnsi="Arial Narrow"/>
                <w:sz w:val="20"/>
              </w:rPr>
              <w:t>Key safety data</w:t>
            </w:r>
          </w:p>
        </w:tc>
        <w:tc>
          <w:tcPr>
            <w:tcW w:w="4514" w:type="dxa"/>
          </w:tcPr>
          <w:p w:rsidR="00857075" w:rsidRDefault="00857075" w:rsidP="00AC3A0F">
            <w:pPr>
              <w:pStyle w:val="ListParagraph"/>
              <w:numPr>
                <w:ilvl w:val="0"/>
                <w:numId w:val="4"/>
              </w:numPr>
              <w:ind w:left="92" w:hanging="80"/>
              <w:jc w:val="left"/>
              <w:rPr>
                <w:rFonts w:ascii="Arial Narrow" w:hAnsi="Arial Narrow"/>
                <w:sz w:val="20"/>
              </w:rPr>
            </w:pPr>
            <w:r w:rsidRPr="00857075">
              <w:rPr>
                <w:rFonts w:ascii="Arial Narrow" w:hAnsi="Arial Narrow" w:hint="eastAsia"/>
                <w:sz w:val="20"/>
              </w:rPr>
              <w:t xml:space="preserve">More patients </w:t>
            </w:r>
            <w:r w:rsidRPr="00857075">
              <w:rPr>
                <w:rFonts w:ascii="Arial Narrow" w:hAnsi="Arial Narrow"/>
                <w:sz w:val="20"/>
              </w:rPr>
              <w:t xml:space="preserve">treated with lurasidone reported extrapyramidal side effects, such as akathisia, compared to olanzapine (17.3% vs 7.4%) and quetiapine (7.7% vs 1.7). </w:t>
            </w:r>
          </w:p>
          <w:p w:rsidR="00A35CEE" w:rsidRDefault="00857075" w:rsidP="00AC3A0F">
            <w:pPr>
              <w:pStyle w:val="ListParagraph"/>
              <w:numPr>
                <w:ilvl w:val="0"/>
                <w:numId w:val="4"/>
              </w:numPr>
              <w:ind w:left="92" w:hanging="80"/>
              <w:jc w:val="left"/>
              <w:rPr>
                <w:rFonts w:ascii="Arial Narrow" w:hAnsi="Arial Narrow"/>
                <w:sz w:val="20"/>
              </w:rPr>
            </w:pPr>
            <w:r w:rsidRPr="00857075">
              <w:rPr>
                <w:rFonts w:ascii="Arial Narrow" w:hAnsi="Arial Narrow"/>
                <w:sz w:val="20"/>
              </w:rPr>
              <w:t>Fewer patients treated with lurasidone reported weight gain compared to olanzapine (1.7% vs 20.5%) or quetiapine (6.0% vs 8.2%).</w:t>
            </w:r>
          </w:p>
          <w:p w:rsidR="00A35CEE" w:rsidRPr="00EA0AF5" w:rsidRDefault="00A35CEE" w:rsidP="00D554A8">
            <w:pPr>
              <w:ind w:left="92" w:hanging="92"/>
              <w:jc w:val="left"/>
              <w:rPr>
                <w:rFonts w:ascii="Arial Narrow" w:hAnsi="Arial Narrow"/>
                <w:sz w:val="20"/>
              </w:rPr>
            </w:pPr>
            <w:r w:rsidRPr="00CA6B4D">
              <w:rPr>
                <w:rFonts w:ascii="Arial Narrow" w:hAnsi="Arial Narrow"/>
                <w:b/>
                <w:sz w:val="20"/>
              </w:rPr>
              <w:t>PBAC Comment:</w:t>
            </w:r>
            <w:r w:rsidR="00EA0AF5">
              <w:rPr>
                <w:rFonts w:ascii="Arial Narrow" w:hAnsi="Arial Narrow"/>
                <w:b/>
                <w:sz w:val="20"/>
              </w:rPr>
              <w:t xml:space="preserve"> </w:t>
            </w:r>
            <w:r w:rsidR="00EA0AF5" w:rsidRPr="003340CE">
              <w:rPr>
                <w:rFonts w:ascii="Arial Narrow" w:hAnsi="Arial Narrow"/>
                <w:sz w:val="20"/>
              </w:rPr>
              <w:t>The safety profile of lurasidone appeared to be similar to ziprasidone, but noted the effect of the short trial duration on the reliability of a safety conclusion</w:t>
            </w:r>
            <w:r w:rsidR="003340CE">
              <w:rPr>
                <w:rFonts w:ascii="Arial Narrow" w:hAnsi="Arial Narrow"/>
                <w:sz w:val="20"/>
              </w:rPr>
              <w:t>.</w:t>
            </w:r>
          </w:p>
        </w:tc>
        <w:tc>
          <w:tcPr>
            <w:tcW w:w="2977" w:type="dxa"/>
          </w:tcPr>
          <w:p w:rsidR="00A35CEE" w:rsidRPr="00A35CEE" w:rsidRDefault="002B349C" w:rsidP="008A4BDF">
            <w:pPr>
              <w:pStyle w:val="ListParagraph"/>
              <w:numPr>
                <w:ilvl w:val="0"/>
                <w:numId w:val="4"/>
              </w:numPr>
              <w:ind w:left="92" w:hanging="80"/>
              <w:jc w:val="left"/>
              <w:rPr>
                <w:rFonts w:ascii="Arial Narrow" w:hAnsi="Arial Narrow"/>
                <w:sz w:val="20"/>
              </w:rPr>
            </w:pPr>
            <w:r>
              <w:rPr>
                <w:rFonts w:ascii="Arial Narrow" w:hAnsi="Arial Narrow"/>
                <w:sz w:val="20"/>
              </w:rPr>
              <w:t xml:space="preserve">See para </w:t>
            </w:r>
            <w:r w:rsidRPr="008A4BDF">
              <w:rPr>
                <w:rFonts w:ascii="Arial Narrow" w:hAnsi="Arial Narrow"/>
                <w:sz w:val="20"/>
              </w:rPr>
              <w:t>6.</w:t>
            </w:r>
            <w:r w:rsidR="00447A74">
              <w:rPr>
                <w:rFonts w:ascii="Arial Narrow" w:hAnsi="Arial Narrow"/>
                <w:sz w:val="20"/>
              </w:rPr>
              <w:t>12</w:t>
            </w:r>
            <w:r w:rsidR="008A4BDF">
              <w:rPr>
                <w:rFonts w:ascii="Arial Narrow" w:hAnsi="Arial Narrow"/>
                <w:sz w:val="20"/>
              </w:rPr>
              <w:t xml:space="preserve"> </w:t>
            </w:r>
            <w:r w:rsidR="008E20D8">
              <w:rPr>
                <w:rFonts w:ascii="Arial Narrow" w:hAnsi="Arial Narrow"/>
                <w:sz w:val="20"/>
              </w:rPr>
              <w:t>below.</w:t>
            </w:r>
          </w:p>
        </w:tc>
      </w:tr>
      <w:tr w:rsidR="000B3B6E" w:rsidRPr="00CA6B4D" w:rsidTr="008A4BDF">
        <w:trPr>
          <w:trHeight w:val="860"/>
        </w:trPr>
        <w:tc>
          <w:tcPr>
            <w:tcW w:w="1014" w:type="dxa"/>
          </w:tcPr>
          <w:p w:rsidR="000B3B6E" w:rsidRPr="00CA6B4D" w:rsidRDefault="000B3B6E" w:rsidP="00AA0A07">
            <w:pPr>
              <w:jc w:val="left"/>
              <w:rPr>
                <w:rFonts w:ascii="Arial Narrow" w:hAnsi="Arial Narrow"/>
                <w:sz w:val="20"/>
              </w:rPr>
            </w:pPr>
            <w:r w:rsidRPr="00CA6B4D">
              <w:rPr>
                <w:rFonts w:ascii="Arial Narrow" w:hAnsi="Arial Narrow"/>
                <w:sz w:val="20"/>
              </w:rPr>
              <w:t>Clinical claim</w:t>
            </w:r>
          </w:p>
        </w:tc>
        <w:tc>
          <w:tcPr>
            <w:tcW w:w="4514" w:type="dxa"/>
          </w:tcPr>
          <w:p w:rsidR="000B3B6E" w:rsidRPr="006D0AFB" w:rsidRDefault="000B3B6E" w:rsidP="00AC3A0F">
            <w:pPr>
              <w:pStyle w:val="ListParagraph"/>
              <w:numPr>
                <w:ilvl w:val="0"/>
                <w:numId w:val="4"/>
              </w:numPr>
              <w:ind w:left="92" w:hanging="80"/>
              <w:jc w:val="left"/>
              <w:rPr>
                <w:rFonts w:ascii="Arial Narrow" w:hAnsi="Arial Narrow"/>
                <w:sz w:val="20"/>
              </w:rPr>
            </w:pPr>
            <w:r>
              <w:rPr>
                <w:rFonts w:ascii="Arial Narrow" w:hAnsi="Arial Narrow"/>
                <w:sz w:val="20"/>
              </w:rPr>
              <w:t>E</w:t>
            </w:r>
            <w:r w:rsidRPr="006D0AFB">
              <w:rPr>
                <w:rFonts w:ascii="Arial Narrow" w:hAnsi="Arial Narrow"/>
                <w:sz w:val="20"/>
              </w:rPr>
              <w:t>qu</w:t>
            </w:r>
            <w:r>
              <w:rPr>
                <w:rFonts w:ascii="Arial Narrow" w:hAnsi="Arial Narrow"/>
                <w:sz w:val="20"/>
              </w:rPr>
              <w:t>ivalence</w:t>
            </w:r>
            <w:r w:rsidRPr="006D0AFB">
              <w:rPr>
                <w:rFonts w:ascii="Arial Narrow" w:hAnsi="Arial Narrow"/>
                <w:sz w:val="20"/>
              </w:rPr>
              <w:t xml:space="preserve"> in terms of comparative effectiven</w:t>
            </w:r>
            <w:r>
              <w:rPr>
                <w:rFonts w:ascii="Arial Narrow" w:hAnsi="Arial Narrow"/>
                <w:sz w:val="20"/>
              </w:rPr>
              <w:t xml:space="preserve">ess and safety to ziprasidone, </w:t>
            </w:r>
            <w:r w:rsidRPr="006D0AFB">
              <w:rPr>
                <w:rFonts w:ascii="Arial Narrow" w:hAnsi="Arial Narrow"/>
                <w:sz w:val="20"/>
              </w:rPr>
              <w:t>olanzapine and quetiapine.</w:t>
            </w:r>
          </w:p>
          <w:p w:rsidR="000B3B6E" w:rsidRPr="00CA6B4D" w:rsidRDefault="000B3B6E" w:rsidP="003340CE">
            <w:pPr>
              <w:ind w:left="92" w:hanging="92"/>
              <w:jc w:val="left"/>
              <w:rPr>
                <w:rFonts w:ascii="Arial Narrow" w:hAnsi="Arial Narrow"/>
                <w:sz w:val="20"/>
              </w:rPr>
            </w:pPr>
            <w:r w:rsidRPr="00CA6B4D">
              <w:rPr>
                <w:rFonts w:ascii="Arial Narrow" w:hAnsi="Arial Narrow"/>
                <w:b/>
                <w:sz w:val="20"/>
              </w:rPr>
              <w:t>PBAC Comment:</w:t>
            </w:r>
            <w:r w:rsidRPr="00CA6B4D">
              <w:rPr>
                <w:rFonts w:ascii="Arial Narrow" w:hAnsi="Arial Narrow"/>
                <w:sz w:val="20"/>
              </w:rPr>
              <w:t xml:space="preserve"> </w:t>
            </w:r>
            <w:r>
              <w:rPr>
                <w:rFonts w:ascii="Arial Narrow" w:hAnsi="Arial Narrow"/>
                <w:sz w:val="20"/>
              </w:rPr>
              <w:t>C</w:t>
            </w:r>
            <w:r w:rsidRPr="001B6FD5">
              <w:rPr>
                <w:rFonts w:ascii="Arial Narrow" w:hAnsi="Arial Narrow"/>
                <w:sz w:val="20"/>
              </w:rPr>
              <w:t xml:space="preserve">laims </w:t>
            </w:r>
            <w:r>
              <w:rPr>
                <w:rFonts w:ascii="Arial Narrow" w:hAnsi="Arial Narrow"/>
                <w:sz w:val="20"/>
              </w:rPr>
              <w:t xml:space="preserve">of equivalence </w:t>
            </w:r>
            <w:r w:rsidRPr="001B6FD5">
              <w:rPr>
                <w:rFonts w:ascii="Arial Narrow" w:hAnsi="Arial Narrow"/>
                <w:sz w:val="20"/>
              </w:rPr>
              <w:t xml:space="preserve">were </w:t>
            </w:r>
            <w:r>
              <w:rPr>
                <w:rFonts w:ascii="Arial Narrow" w:hAnsi="Arial Narrow"/>
                <w:sz w:val="20"/>
              </w:rPr>
              <w:t xml:space="preserve">not </w:t>
            </w:r>
            <w:r w:rsidRPr="001B6FD5">
              <w:rPr>
                <w:rFonts w:ascii="Arial Narrow" w:hAnsi="Arial Narrow"/>
                <w:sz w:val="20"/>
              </w:rPr>
              <w:t>adequately supported as the comparison with ziprasidone was based</w:t>
            </w:r>
            <w:r w:rsidR="00612294">
              <w:rPr>
                <w:rFonts w:ascii="Arial Narrow" w:hAnsi="Arial Narrow"/>
                <w:sz w:val="20"/>
              </w:rPr>
              <w:t xml:space="preserve"> on</w:t>
            </w:r>
            <w:r w:rsidRPr="001B6FD5">
              <w:rPr>
                <w:rFonts w:ascii="Arial Narrow" w:hAnsi="Arial Narrow"/>
                <w:sz w:val="20"/>
              </w:rPr>
              <w:t xml:space="preserve"> on</w:t>
            </w:r>
            <w:r>
              <w:rPr>
                <w:rFonts w:ascii="Arial Narrow" w:hAnsi="Arial Narrow"/>
                <w:sz w:val="20"/>
              </w:rPr>
              <w:t>e</w:t>
            </w:r>
            <w:r w:rsidRPr="001B6FD5">
              <w:rPr>
                <w:rFonts w:ascii="Arial Narrow" w:hAnsi="Arial Narrow"/>
                <w:sz w:val="20"/>
              </w:rPr>
              <w:t xml:space="preserve"> short trial </w:t>
            </w:r>
            <w:r>
              <w:rPr>
                <w:rFonts w:ascii="Arial Narrow" w:hAnsi="Arial Narrow"/>
                <w:sz w:val="20"/>
              </w:rPr>
              <w:t>of</w:t>
            </w:r>
            <w:r w:rsidRPr="001B6FD5">
              <w:rPr>
                <w:rFonts w:ascii="Arial Narrow" w:hAnsi="Arial Narrow"/>
                <w:sz w:val="20"/>
              </w:rPr>
              <w:t xml:space="preserve"> patients with stable chronic schizophrenia in which neither lurasidone nor the main comparator ziprasidone reduced the PANSS score by the MCID of 7 points. </w:t>
            </w:r>
            <w:r>
              <w:rPr>
                <w:rFonts w:ascii="Arial Narrow" w:hAnsi="Arial Narrow"/>
                <w:sz w:val="20"/>
              </w:rPr>
              <w:t>N</w:t>
            </w:r>
            <w:r w:rsidRPr="001B6FD5">
              <w:rPr>
                <w:rFonts w:ascii="Arial Narrow" w:hAnsi="Arial Narrow"/>
                <w:sz w:val="20"/>
              </w:rPr>
              <w:t>on-inferiority with the secondary comparators but Trials 231 and 233 used olanzapine and quetiapine for assay sensitivity and between group efficacy analyses were not pre-specified</w:t>
            </w:r>
            <w:r w:rsidR="006A0FA3">
              <w:rPr>
                <w:rFonts w:ascii="Arial Narrow" w:hAnsi="Arial Narrow"/>
                <w:sz w:val="20"/>
              </w:rPr>
              <w:t xml:space="preserve"> (March 2014 Minutes, para </w:t>
            </w:r>
            <w:r>
              <w:rPr>
                <w:rFonts w:ascii="Arial Narrow" w:hAnsi="Arial Narrow"/>
                <w:sz w:val="20"/>
              </w:rPr>
              <w:t>6.23-6.24).</w:t>
            </w:r>
          </w:p>
        </w:tc>
        <w:tc>
          <w:tcPr>
            <w:tcW w:w="2977" w:type="dxa"/>
          </w:tcPr>
          <w:p w:rsidR="000B3B6E" w:rsidRPr="001B6FD5" w:rsidRDefault="008E20D8" w:rsidP="00AC3A0F">
            <w:pPr>
              <w:pStyle w:val="ListParagraph"/>
              <w:numPr>
                <w:ilvl w:val="0"/>
                <w:numId w:val="4"/>
              </w:numPr>
              <w:ind w:left="92" w:hanging="80"/>
              <w:rPr>
                <w:rFonts w:ascii="Arial Narrow" w:hAnsi="Arial Narrow"/>
                <w:sz w:val="20"/>
              </w:rPr>
            </w:pPr>
            <w:r>
              <w:rPr>
                <w:rFonts w:ascii="Arial Narrow" w:hAnsi="Arial Narrow"/>
                <w:sz w:val="20"/>
              </w:rPr>
              <w:t>Non-inferior</w:t>
            </w:r>
            <w:r w:rsidR="000B3B6E" w:rsidRPr="006D0AFB">
              <w:rPr>
                <w:rFonts w:ascii="Arial Narrow" w:hAnsi="Arial Narrow"/>
                <w:sz w:val="20"/>
              </w:rPr>
              <w:t xml:space="preserve"> effectiven</w:t>
            </w:r>
            <w:r w:rsidR="000B3B6E">
              <w:rPr>
                <w:rFonts w:ascii="Arial Narrow" w:hAnsi="Arial Narrow"/>
                <w:sz w:val="20"/>
              </w:rPr>
              <w:t>ess and similar safety to ziprasidone and aripiprazole (</w:t>
            </w:r>
            <w:r w:rsidR="003B0B7D">
              <w:rPr>
                <w:rFonts w:ascii="Arial Narrow" w:hAnsi="Arial Narrow"/>
                <w:sz w:val="20"/>
              </w:rPr>
              <w:t>resubmission</w:t>
            </w:r>
            <w:r w:rsidR="000B3B6E">
              <w:rPr>
                <w:rFonts w:ascii="Arial Narrow" w:hAnsi="Arial Narrow"/>
                <w:sz w:val="20"/>
              </w:rPr>
              <w:t>, p69)</w:t>
            </w:r>
            <w:r w:rsidR="000B3B6E" w:rsidRPr="006D0AFB">
              <w:rPr>
                <w:rFonts w:ascii="Arial Narrow" w:hAnsi="Arial Narrow"/>
                <w:sz w:val="20"/>
              </w:rPr>
              <w:t>.</w:t>
            </w:r>
          </w:p>
        </w:tc>
      </w:tr>
      <w:tr w:rsidR="002B349C" w:rsidRPr="00CA6B4D" w:rsidTr="008A4BDF">
        <w:trPr>
          <w:trHeight w:val="1298"/>
        </w:trPr>
        <w:tc>
          <w:tcPr>
            <w:tcW w:w="1014" w:type="dxa"/>
          </w:tcPr>
          <w:p w:rsidR="002B349C" w:rsidRPr="00CA6B4D" w:rsidRDefault="002B349C" w:rsidP="00AA0A07">
            <w:pPr>
              <w:jc w:val="left"/>
              <w:rPr>
                <w:rFonts w:ascii="Arial Narrow" w:hAnsi="Arial Narrow"/>
                <w:sz w:val="20"/>
              </w:rPr>
            </w:pPr>
            <w:r w:rsidRPr="00CA6B4D">
              <w:rPr>
                <w:rFonts w:ascii="Arial Narrow" w:hAnsi="Arial Narrow"/>
                <w:sz w:val="20"/>
              </w:rPr>
              <w:t>Economic evaluation</w:t>
            </w:r>
          </w:p>
        </w:tc>
        <w:tc>
          <w:tcPr>
            <w:tcW w:w="4514" w:type="dxa"/>
          </w:tcPr>
          <w:p w:rsidR="003340CE" w:rsidRPr="003340CE" w:rsidRDefault="002B349C" w:rsidP="00AC3A0F">
            <w:pPr>
              <w:pStyle w:val="ListParagraph"/>
              <w:numPr>
                <w:ilvl w:val="0"/>
                <w:numId w:val="4"/>
              </w:numPr>
              <w:ind w:left="92" w:hanging="80"/>
              <w:jc w:val="left"/>
              <w:rPr>
                <w:rFonts w:ascii="Arial Narrow" w:hAnsi="Arial Narrow"/>
                <w:sz w:val="20"/>
              </w:rPr>
            </w:pPr>
            <w:r>
              <w:rPr>
                <w:rFonts w:ascii="Arial Narrow" w:hAnsi="Arial Narrow"/>
                <w:sz w:val="20"/>
              </w:rPr>
              <w:t>Equi-effective doses based on clinical trials.</w:t>
            </w:r>
            <w:r w:rsidR="003340CE">
              <w:rPr>
                <w:rFonts w:ascii="Arial Narrow" w:hAnsi="Arial Narrow"/>
                <w:sz w:val="20"/>
              </w:rPr>
              <w:br/>
              <w:t>lurasidone 120mg = 160mg ziprasidone (0.75:1)</w:t>
            </w:r>
            <w:r w:rsidR="003340CE">
              <w:rPr>
                <w:rFonts w:ascii="Arial Narrow" w:hAnsi="Arial Narrow"/>
                <w:sz w:val="20"/>
              </w:rPr>
              <w:br/>
              <w:t>lurasidone 80mg = 15mg olanzapine (5.33:1)</w:t>
            </w:r>
            <w:r w:rsidR="003340CE">
              <w:rPr>
                <w:rFonts w:ascii="Arial Narrow" w:hAnsi="Arial Narrow"/>
                <w:sz w:val="20"/>
              </w:rPr>
              <w:br/>
              <w:t>lurasidone 120mg = 630mg quetiapine (0.2:1)</w:t>
            </w:r>
          </w:p>
          <w:p w:rsidR="002B349C" w:rsidRDefault="002B349C" w:rsidP="00AC3A0F">
            <w:pPr>
              <w:pStyle w:val="ListParagraph"/>
              <w:numPr>
                <w:ilvl w:val="0"/>
                <w:numId w:val="4"/>
              </w:numPr>
              <w:ind w:left="92" w:hanging="80"/>
              <w:jc w:val="left"/>
              <w:rPr>
                <w:rFonts w:ascii="Arial Narrow" w:hAnsi="Arial Narrow"/>
                <w:sz w:val="20"/>
              </w:rPr>
            </w:pPr>
            <w:r>
              <w:rPr>
                <w:rFonts w:ascii="Arial Narrow" w:hAnsi="Arial Narrow"/>
                <w:sz w:val="20"/>
              </w:rPr>
              <w:t>Cost minimisation (trial based) versus a mixed comparator of ziprasidone, olanzapine and quetiapine</w:t>
            </w:r>
            <w:r w:rsidRPr="006D0AFB">
              <w:rPr>
                <w:rFonts w:ascii="Arial Narrow" w:hAnsi="Arial Narrow"/>
                <w:sz w:val="20"/>
              </w:rPr>
              <w:t>.</w:t>
            </w:r>
            <w:r>
              <w:rPr>
                <w:rFonts w:ascii="Arial Narrow" w:hAnsi="Arial Narrow"/>
                <w:sz w:val="20"/>
              </w:rPr>
              <w:t xml:space="preserve"> Sensitivity analysis including DDD based equi-effective doses.</w:t>
            </w:r>
          </w:p>
          <w:p w:rsidR="002B349C" w:rsidRPr="00A537FA" w:rsidRDefault="002B349C" w:rsidP="00D554A8">
            <w:pPr>
              <w:ind w:left="92" w:hanging="80"/>
              <w:jc w:val="left"/>
              <w:rPr>
                <w:rFonts w:ascii="Arial Narrow" w:hAnsi="Arial Narrow"/>
                <w:sz w:val="20"/>
              </w:rPr>
            </w:pPr>
            <w:r w:rsidRPr="00CA6B4D">
              <w:rPr>
                <w:rFonts w:ascii="Arial Narrow" w:hAnsi="Arial Narrow"/>
                <w:b/>
                <w:sz w:val="20"/>
              </w:rPr>
              <w:t>PBAC Comment:</w:t>
            </w:r>
            <w:r w:rsidR="00A537FA">
              <w:rPr>
                <w:rFonts w:ascii="Arial Narrow" w:hAnsi="Arial Narrow"/>
                <w:b/>
                <w:sz w:val="20"/>
              </w:rPr>
              <w:t xml:space="preserve"> </w:t>
            </w:r>
            <w:r w:rsidR="00A537FA">
              <w:rPr>
                <w:rFonts w:ascii="Arial Narrow" w:hAnsi="Arial Narrow"/>
                <w:sz w:val="20"/>
              </w:rPr>
              <w:t xml:space="preserve">The equi-effective doses of lurasidone </w:t>
            </w:r>
            <w:r w:rsidR="00924003">
              <w:rPr>
                <w:rFonts w:ascii="Arial Narrow" w:hAnsi="Arial Narrow"/>
                <w:sz w:val="20"/>
              </w:rPr>
              <w:t>versus</w:t>
            </w:r>
            <w:r w:rsidR="00A537FA">
              <w:rPr>
                <w:rFonts w:ascii="Arial Narrow" w:hAnsi="Arial Narrow"/>
                <w:sz w:val="20"/>
              </w:rPr>
              <w:t xml:space="preserve"> ziprasidone</w:t>
            </w:r>
            <w:r w:rsidR="00924003">
              <w:rPr>
                <w:rFonts w:ascii="Arial Narrow" w:hAnsi="Arial Narrow"/>
                <w:sz w:val="20"/>
              </w:rPr>
              <w:t xml:space="preserve"> or olanzapine </w:t>
            </w:r>
            <w:r w:rsidR="00A537FA">
              <w:rPr>
                <w:rFonts w:ascii="Arial Narrow" w:hAnsi="Arial Narrow"/>
                <w:sz w:val="20"/>
              </w:rPr>
              <w:t xml:space="preserve">derived from </w:t>
            </w:r>
            <w:r w:rsidR="00924003">
              <w:rPr>
                <w:rFonts w:ascii="Arial Narrow" w:hAnsi="Arial Narrow"/>
                <w:sz w:val="20"/>
              </w:rPr>
              <w:t xml:space="preserve">fixed dose </w:t>
            </w:r>
            <w:r w:rsidR="00924003">
              <w:rPr>
                <w:rFonts w:ascii="Arial Narrow" w:hAnsi="Arial Narrow"/>
                <w:sz w:val="20"/>
              </w:rPr>
              <w:lastRenderedPageBreak/>
              <w:t>trial were</w:t>
            </w:r>
            <w:r w:rsidR="00A537FA">
              <w:rPr>
                <w:rFonts w:ascii="Arial Narrow" w:hAnsi="Arial Narrow"/>
                <w:sz w:val="20"/>
              </w:rPr>
              <w:t xml:space="preserve"> not reliable. </w:t>
            </w:r>
            <w:r w:rsidR="00924003">
              <w:rPr>
                <w:rFonts w:ascii="Arial Narrow" w:hAnsi="Arial Narrow"/>
                <w:sz w:val="20"/>
              </w:rPr>
              <w:t>Similarly, the equi-effective doses of lurasidone and q</w:t>
            </w:r>
            <w:r w:rsidR="008E20D8">
              <w:rPr>
                <w:rFonts w:ascii="Arial Narrow" w:hAnsi="Arial Narrow"/>
                <w:sz w:val="20"/>
              </w:rPr>
              <w:t>uetiapine</w:t>
            </w:r>
            <w:r w:rsidR="00924003">
              <w:rPr>
                <w:rFonts w:ascii="Arial Narrow" w:hAnsi="Arial Narrow"/>
                <w:sz w:val="20"/>
              </w:rPr>
              <w:t xml:space="preserve"> were confounded by </w:t>
            </w:r>
            <w:r w:rsidR="00924003" w:rsidRPr="008E20D8">
              <w:rPr>
                <w:rFonts w:ascii="Arial Narrow" w:hAnsi="Arial Narrow"/>
                <w:sz w:val="20"/>
              </w:rPr>
              <w:t>high initial dose regimens used prior to flexible dose titration</w:t>
            </w:r>
            <w:r w:rsidR="008E20D8">
              <w:rPr>
                <w:rFonts w:ascii="Arial Narrow" w:hAnsi="Arial Narrow"/>
                <w:sz w:val="20"/>
              </w:rPr>
              <w:t xml:space="preserve"> (March 2014 Minutes, para 6.27-30).</w:t>
            </w:r>
          </w:p>
        </w:tc>
        <w:tc>
          <w:tcPr>
            <w:tcW w:w="2977" w:type="dxa"/>
          </w:tcPr>
          <w:p w:rsidR="002B349C" w:rsidRPr="00535DE9" w:rsidRDefault="002B349C" w:rsidP="00AC3A0F">
            <w:pPr>
              <w:pStyle w:val="ListParagraph"/>
              <w:numPr>
                <w:ilvl w:val="0"/>
                <w:numId w:val="4"/>
              </w:numPr>
              <w:ind w:left="92" w:hanging="80"/>
              <w:jc w:val="left"/>
              <w:rPr>
                <w:rFonts w:ascii="Arial Narrow" w:hAnsi="Arial Narrow"/>
                <w:sz w:val="20"/>
              </w:rPr>
            </w:pPr>
            <w:r>
              <w:rPr>
                <w:rFonts w:ascii="Arial Narrow" w:hAnsi="Arial Narrow"/>
                <w:sz w:val="20"/>
              </w:rPr>
              <w:lastRenderedPageBreak/>
              <w:t>Equi-effective doses based on clinical trials.</w:t>
            </w:r>
            <w:r w:rsidR="003340CE">
              <w:rPr>
                <w:rFonts w:ascii="Arial Narrow" w:hAnsi="Arial Narrow"/>
                <w:sz w:val="20"/>
              </w:rPr>
              <w:br/>
              <w:t>lurasidone 80mg = 114.15mg ziprasidone (0.7:1)</w:t>
            </w:r>
            <w:r w:rsidR="00535DE9">
              <w:rPr>
                <w:rFonts w:ascii="Arial Narrow" w:hAnsi="Arial Narrow"/>
                <w:sz w:val="20"/>
              </w:rPr>
              <w:t>.</w:t>
            </w:r>
            <w:r w:rsidR="00A537FA">
              <w:rPr>
                <w:rFonts w:ascii="Arial Narrow" w:hAnsi="Arial Narrow"/>
                <w:sz w:val="20"/>
              </w:rPr>
              <w:br/>
              <w:t>lurasidone 80mg = 17.37mg aripiprazole (4.61:1)</w:t>
            </w:r>
            <w:r w:rsidR="00535DE9">
              <w:rPr>
                <w:rFonts w:ascii="Arial Narrow" w:hAnsi="Arial Narrow"/>
                <w:sz w:val="20"/>
              </w:rPr>
              <w:t>.</w:t>
            </w:r>
          </w:p>
        </w:tc>
      </w:tr>
      <w:tr w:rsidR="00CB67F4" w:rsidRPr="00CA6B4D" w:rsidTr="008A4BDF">
        <w:trPr>
          <w:trHeight w:val="77"/>
        </w:trPr>
        <w:tc>
          <w:tcPr>
            <w:tcW w:w="1014" w:type="dxa"/>
          </w:tcPr>
          <w:p w:rsidR="00CB67F4" w:rsidRPr="00CA6B4D" w:rsidRDefault="00CB67F4" w:rsidP="00AA0A07">
            <w:pPr>
              <w:jc w:val="left"/>
              <w:rPr>
                <w:rFonts w:ascii="Arial Narrow" w:hAnsi="Arial Narrow"/>
                <w:sz w:val="20"/>
              </w:rPr>
            </w:pPr>
            <w:r w:rsidRPr="00CA6B4D">
              <w:rPr>
                <w:rFonts w:ascii="Arial Narrow" w:hAnsi="Arial Narrow"/>
                <w:sz w:val="20"/>
              </w:rPr>
              <w:lastRenderedPageBreak/>
              <w:t>Number of patients</w:t>
            </w:r>
          </w:p>
        </w:tc>
        <w:tc>
          <w:tcPr>
            <w:tcW w:w="4514" w:type="dxa"/>
          </w:tcPr>
          <w:p w:rsidR="00CB67F4" w:rsidRPr="00D554A8" w:rsidRDefault="000A4749" w:rsidP="00AC3A0F">
            <w:pPr>
              <w:pStyle w:val="ListParagraph"/>
              <w:numPr>
                <w:ilvl w:val="0"/>
                <w:numId w:val="4"/>
              </w:numPr>
              <w:ind w:left="92" w:hanging="80"/>
              <w:jc w:val="left"/>
              <w:rPr>
                <w:rFonts w:ascii="Arial Narrow" w:hAnsi="Arial Narrow"/>
                <w:sz w:val="20"/>
              </w:rPr>
            </w:pPr>
            <w:r>
              <w:rPr>
                <w:rFonts w:ascii="Arial Narrow" w:hAnsi="Arial Narrow"/>
                <w:noProof/>
                <w:color w:val="000000"/>
                <w:sz w:val="20"/>
                <w:highlight w:val="black"/>
              </w:rPr>
              <w:t>''''''''''</w:t>
            </w:r>
            <w:r w:rsidR="00CB67F4">
              <w:rPr>
                <w:rFonts w:ascii="Arial Narrow" w:hAnsi="Arial Narrow"/>
                <w:sz w:val="20"/>
              </w:rPr>
              <w:t xml:space="preserve"> in Year 1 increasing to </w:t>
            </w:r>
            <w:r>
              <w:rPr>
                <w:rFonts w:ascii="Arial Narrow" w:hAnsi="Arial Narrow"/>
                <w:noProof/>
                <w:color w:val="000000"/>
                <w:sz w:val="20"/>
                <w:highlight w:val="black"/>
              </w:rPr>
              <w:t>''''''''''''''</w:t>
            </w:r>
            <w:r w:rsidR="00CB67F4">
              <w:rPr>
                <w:rFonts w:ascii="Arial Narrow" w:hAnsi="Arial Narrow"/>
                <w:sz w:val="20"/>
              </w:rPr>
              <w:t xml:space="preserve"> in Year 5 (March 2014 Minutes, para 6.33)</w:t>
            </w:r>
            <w:r w:rsidR="00CB67F4" w:rsidRPr="006D0AFB">
              <w:rPr>
                <w:rFonts w:ascii="Arial Narrow" w:hAnsi="Arial Narrow"/>
                <w:sz w:val="20"/>
              </w:rPr>
              <w:t>.</w:t>
            </w:r>
            <w:r w:rsidR="00CB67F4">
              <w:rPr>
                <w:rFonts w:ascii="Arial Narrow" w:hAnsi="Arial Narrow"/>
                <w:sz w:val="20"/>
              </w:rPr>
              <w:t xml:space="preserve"> </w:t>
            </w:r>
          </w:p>
        </w:tc>
        <w:tc>
          <w:tcPr>
            <w:tcW w:w="2977" w:type="dxa"/>
          </w:tcPr>
          <w:p w:rsidR="00CB67F4" w:rsidRPr="00D554A8" w:rsidRDefault="000A4749" w:rsidP="00AC3A0F">
            <w:pPr>
              <w:pStyle w:val="ListParagraph"/>
              <w:numPr>
                <w:ilvl w:val="0"/>
                <w:numId w:val="4"/>
              </w:numPr>
              <w:ind w:left="92" w:hanging="80"/>
              <w:jc w:val="left"/>
              <w:rPr>
                <w:rFonts w:ascii="Arial Narrow" w:hAnsi="Arial Narrow"/>
                <w:sz w:val="20"/>
              </w:rPr>
            </w:pPr>
            <w:r>
              <w:rPr>
                <w:rFonts w:ascii="Arial Narrow" w:hAnsi="Arial Narrow"/>
                <w:noProof/>
                <w:color w:val="000000"/>
                <w:sz w:val="20"/>
                <w:highlight w:val="black"/>
              </w:rPr>
              <w:t>'''''''''</w:t>
            </w:r>
            <w:r w:rsidR="00CB67F4">
              <w:rPr>
                <w:rFonts w:ascii="Arial Narrow" w:hAnsi="Arial Narrow"/>
                <w:sz w:val="20"/>
              </w:rPr>
              <w:t xml:space="preserve"> in Year 1 increasing to </w:t>
            </w:r>
            <w:r>
              <w:rPr>
                <w:rFonts w:ascii="Arial Narrow" w:hAnsi="Arial Narrow"/>
                <w:noProof/>
                <w:color w:val="000000"/>
                <w:sz w:val="20"/>
                <w:highlight w:val="black"/>
              </w:rPr>
              <w:t>'''''''''''''''</w:t>
            </w:r>
            <w:r w:rsidR="00CB67F4">
              <w:rPr>
                <w:rFonts w:ascii="Arial Narrow" w:hAnsi="Arial Narrow"/>
                <w:sz w:val="20"/>
              </w:rPr>
              <w:t xml:space="preserve"> in Year 5 (</w:t>
            </w:r>
            <w:r w:rsidR="0098009E">
              <w:rPr>
                <w:rFonts w:ascii="Arial Narrow" w:hAnsi="Arial Narrow"/>
                <w:sz w:val="20"/>
              </w:rPr>
              <w:t>resubmission, p</w:t>
            </w:r>
            <w:r w:rsidR="003B0B7D">
              <w:rPr>
                <w:rFonts w:ascii="Arial Narrow" w:hAnsi="Arial Narrow"/>
                <w:sz w:val="20"/>
              </w:rPr>
              <w:t>105</w:t>
            </w:r>
            <w:r w:rsidR="00CB67F4">
              <w:rPr>
                <w:rFonts w:ascii="Arial Narrow" w:hAnsi="Arial Narrow"/>
                <w:sz w:val="20"/>
              </w:rPr>
              <w:t>)</w:t>
            </w:r>
            <w:r w:rsidR="00CB67F4" w:rsidRPr="006D0AFB">
              <w:rPr>
                <w:rFonts w:ascii="Arial Narrow" w:hAnsi="Arial Narrow"/>
                <w:sz w:val="20"/>
              </w:rPr>
              <w:t>.</w:t>
            </w:r>
            <w:r w:rsidR="00CB67F4">
              <w:rPr>
                <w:rFonts w:ascii="Arial Narrow" w:hAnsi="Arial Narrow"/>
                <w:sz w:val="20"/>
              </w:rPr>
              <w:t xml:space="preserve"> </w:t>
            </w:r>
          </w:p>
        </w:tc>
      </w:tr>
      <w:tr w:rsidR="00CB67F4" w:rsidRPr="00CA6B4D" w:rsidTr="008A4BDF">
        <w:trPr>
          <w:trHeight w:val="77"/>
        </w:trPr>
        <w:tc>
          <w:tcPr>
            <w:tcW w:w="1014" w:type="dxa"/>
          </w:tcPr>
          <w:p w:rsidR="00CB67F4" w:rsidRPr="00CA6B4D" w:rsidRDefault="00CB67F4" w:rsidP="00AA0A07">
            <w:pPr>
              <w:jc w:val="left"/>
              <w:rPr>
                <w:rFonts w:ascii="Arial Narrow" w:hAnsi="Arial Narrow"/>
                <w:sz w:val="20"/>
              </w:rPr>
            </w:pPr>
            <w:r w:rsidRPr="00CA6B4D">
              <w:rPr>
                <w:rFonts w:ascii="Arial Narrow" w:hAnsi="Arial Narrow"/>
                <w:sz w:val="20"/>
              </w:rPr>
              <w:t>Estimated cost to PBS</w:t>
            </w:r>
          </w:p>
        </w:tc>
        <w:tc>
          <w:tcPr>
            <w:tcW w:w="4514" w:type="dxa"/>
          </w:tcPr>
          <w:p w:rsidR="00D554A8" w:rsidRDefault="00D554A8"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Drug costs (excluding </w:t>
            </w:r>
            <w:r w:rsidR="001A7EE8">
              <w:rPr>
                <w:rFonts w:ascii="Arial Narrow" w:hAnsi="Arial Narrow"/>
                <w:sz w:val="20"/>
              </w:rPr>
              <w:t>co-payment</w:t>
            </w:r>
            <w:r>
              <w:rPr>
                <w:rFonts w:ascii="Arial Narrow" w:hAnsi="Arial Narrow"/>
                <w:sz w:val="20"/>
              </w:rPr>
              <w:t xml:space="preserve">) </w:t>
            </w:r>
            <w:r>
              <w:rPr>
                <w:rFonts w:ascii="Arial Narrow" w:hAnsi="Arial Narrow"/>
                <w:sz w:val="20"/>
              </w:rPr>
              <w:br/>
            </w:r>
            <w:r w:rsidR="00CB67F4">
              <w:rPr>
                <w:rFonts w:ascii="Arial Narrow" w:hAnsi="Arial Narrow"/>
                <w:sz w:val="20"/>
              </w:rPr>
              <w:t>$</w:t>
            </w:r>
            <w:r w:rsidR="000A4749">
              <w:rPr>
                <w:rFonts w:ascii="Arial Narrow" w:hAnsi="Arial Narrow"/>
                <w:noProof/>
                <w:color w:val="000000"/>
                <w:sz w:val="20"/>
                <w:highlight w:val="black"/>
              </w:rPr>
              <w:t>'''''''' ''''''''''''''''</w:t>
            </w:r>
            <w:r>
              <w:rPr>
                <w:rFonts w:ascii="Arial Narrow" w:hAnsi="Arial Narrow"/>
                <w:sz w:val="20"/>
              </w:rPr>
              <w:t xml:space="preserve"> in Year 1 increasing to $</w:t>
            </w:r>
            <w:r w:rsidR="000A4749">
              <w:rPr>
                <w:rFonts w:ascii="Arial Narrow" w:hAnsi="Arial Narrow"/>
                <w:noProof/>
                <w:color w:val="000000"/>
                <w:sz w:val="20"/>
                <w:highlight w:val="black"/>
              </w:rPr>
              <w:t>''''''''' ''''''''''''''</w:t>
            </w:r>
            <w:r w:rsidR="00CB67F4">
              <w:rPr>
                <w:rFonts w:ascii="Arial Narrow" w:hAnsi="Arial Narrow"/>
                <w:sz w:val="20"/>
              </w:rPr>
              <w:t xml:space="preserve"> in Year 5</w:t>
            </w:r>
            <w:r w:rsidR="00CB67F4" w:rsidRPr="006D0AFB">
              <w:rPr>
                <w:rFonts w:ascii="Arial Narrow" w:hAnsi="Arial Narrow"/>
                <w:sz w:val="20"/>
              </w:rPr>
              <w:t>.</w:t>
            </w:r>
            <w:r w:rsidR="00CB67F4">
              <w:rPr>
                <w:rFonts w:ascii="Arial Narrow" w:hAnsi="Arial Narrow"/>
                <w:sz w:val="20"/>
              </w:rPr>
              <w:t xml:space="preserve"> </w:t>
            </w:r>
          </w:p>
          <w:p w:rsidR="00CB67F4" w:rsidRDefault="00D554A8"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Net cost (excluding </w:t>
            </w:r>
            <w:r w:rsidR="001A7EE8">
              <w:rPr>
                <w:rFonts w:ascii="Arial Narrow" w:hAnsi="Arial Narrow"/>
                <w:sz w:val="20"/>
              </w:rPr>
              <w:t>co-payment</w:t>
            </w:r>
            <w:r>
              <w:rPr>
                <w:rFonts w:ascii="Arial Narrow" w:hAnsi="Arial Narrow"/>
                <w:sz w:val="20"/>
              </w:rPr>
              <w:t xml:space="preserve">) </w:t>
            </w:r>
            <w:r>
              <w:rPr>
                <w:rFonts w:ascii="Arial Narrow" w:hAnsi="Arial Narrow"/>
                <w:sz w:val="20"/>
              </w:rPr>
              <w:br/>
              <w:t>$</w:t>
            </w:r>
            <w:r w:rsidR="000A4749">
              <w:rPr>
                <w:rFonts w:ascii="Arial Narrow" w:hAnsi="Arial Narrow"/>
                <w:noProof/>
                <w:color w:val="000000"/>
                <w:sz w:val="20"/>
                <w:highlight w:val="black"/>
              </w:rPr>
              <w:t>''''''''''''''''''''</w:t>
            </w:r>
            <w:r>
              <w:rPr>
                <w:rFonts w:ascii="Arial Narrow" w:hAnsi="Arial Narrow"/>
                <w:sz w:val="20"/>
              </w:rPr>
              <w:t xml:space="preserve"> in Year 1 increasing to $</w:t>
            </w:r>
            <w:r w:rsidR="000A4749">
              <w:rPr>
                <w:rFonts w:ascii="Arial Narrow" w:hAnsi="Arial Narrow"/>
                <w:noProof/>
                <w:color w:val="000000"/>
                <w:sz w:val="20"/>
                <w:highlight w:val="black"/>
              </w:rPr>
              <w:t>'''''''''''''''''</w:t>
            </w:r>
            <w:r>
              <w:rPr>
                <w:rFonts w:ascii="Arial Narrow" w:hAnsi="Arial Narrow"/>
                <w:sz w:val="20"/>
              </w:rPr>
              <w:t xml:space="preserve"> in Year 5 (March 2014 Minutes, para 6.33).</w:t>
            </w:r>
          </w:p>
          <w:p w:rsidR="00CB67F4" w:rsidRPr="00CA6B4D" w:rsidRDefault="00CB67F4" w:rsidP="00D554A8">
            <w:pPr>
              <w:ind w:left="92" w:hanging="92"/>
              <w:jc w:val="left"/>
              <w:rPr>
                <w:rFonts w:ascii="Arial Narrow" w:hAnsi="Arial Narrow"/>
                <w:sz w:val="20"/>
              </w:rPr>
            </w:pPr>
            <w:r w:rsidRPr="00CA6B4D">
              <w:rPr>
                <w:rFonts w:ascii="Arial Narrow" w:hAnsi="Arial Narrow"/>
                <w:b/>
                <w:sz w:val="20"/>
              </w:rPr>
              <w:t>PBAC Comment:</w:t>
            </w:r>
            <w:r w:rsidR="00D554A8">
              <w:rPr>
                <w:rFonts w:ascii="Arial Narrow" w:hAnsi="Arial Narrow"/>
                <w:b/>
                <w:sz w:val="20"/>
              </w:rPr>
              <w:t xml:space="preserve"> </w:t>
            </w:r>
            <w:r w:rsidR="00D554A8" w:rsidRPr="00D554A8">
              <w:rPr>
                <w:rFonts w:ascii="Arial Narrow" w:hAnsi="Arial Narrow"/>
                <w:sz w:val="20"/>
              </w:rPr>
              <w:t>The cost estimates were based on epidemiolog</w:t>
            </w:r>
            <w:r w:rsidR="00D554A8">
              <w:rPr>
                <w:rFonts w:ascii="Arial Narrow" w:hAnsi="Arial Narrow"/>
                <w:sz w:val="20"/>
              </w:rPr>
              <w:t>ical data collected before 1995,</w:t>
            </w:r>
            <w:r w:rsidR="00D554A8" w:rsidRPr="00D554A8">
              <w:rPr>
                <w:rFonts w:ascii="Arial Narrow" w:hAnsi="Arial Narrow"/>
                <w:sz w:val="20"/>
              </w:rPr>
              <w:t xml:space="preserve"> </w:t>
            </w:r>
            <w:r w:rsidR="00D554A8">
              <w:rPr>
                <w:rFonts w:ascii="Arial Narrow" w:hAnsi="Arial Narrow"/>
                <w:sz w:val="20"/>
              </w:rPr>
              <w:t>and i</w:t>
            </w:r>
            <w:r w:rsidR="00D554A8" w:rsidRPr="00D554A8">
              <w:rPr>
                <w:rFonts w:ascii="Arial Narrow" w:hAnsi="Arial Narrow"/>
                <w:sz w:val="20"/>
              </w:rPr>
              <w:t xml:space="preserve">ncluded unsupported assumptions about market uptake, unreasonable estimates of market share and were based on </w:t>
            </w:r>
            <w:r w:rsidR="00D554A8">
              <w:rPr>
                <w:rFonts w:ascii="Arial Narrow" w:hAnsi="Arial Narrow"/>
                <w:sz w:val="20"/>
              </w:rPr>
              <w:t>single selected dose</w:t>
            </w:r>
            <w:r w:rsidR="00D554A8" w:rsidRPr="00D554A8">
              <w:rPr>
                <w:rFonts w:ascii="Arial Narrow" w:hAnsi="Arial Narrow"/>
                <w:sz w:val="20"/>
              </w:rPr>
              <w:t xml:space="preserve"> strengths of lurasidone and comparator</w:t>
            </w:r>
            <w:r w:rsidR="00D554A8">
              <w:rPr>
                <w:rFonts w:ascii="Arial Narrow" w:hAnsi="Arial Narrow"/>
                <w:sz w:val="20"/>
              </w:rPr>
              <w:t>s</w:t>
            </w:r>
            <w:r w:rsidR="00D554A8" w:rsidRPr="00D554A8">
              <w:rPr>
                <w:rFonts w:ascii="Arial Narrow" w:hAnsi="Arial Narrow"/>
                <w:sz w:val="20"/>
              </w:rPr>
              <w:t>, and were therefore highly uncertain</w:t>
            </w:r>
            <w:r w:rsidR="0098009E">
              <w:rPr>
                <w:rFonts w:ascii="Arial Narrow" w:hAnsi="Arial Narrow"/>
                <w:sz w:val="20"/>
              </w:rPr>
              <w:t>.</w:t>
            </w:r>
          </w:p>
        </w:tc>
        <w:tc>
          <w:tcPr>
            <w:tcW w:w="2977" w:type="dxa"/>
          </w:tcPr>
          <w:p w:rsidR="00CB67F4" w:rsidRDefault="00CB67F4"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Drug costs (excluding </w:t>
            </w:r>
            <w:r w:rsidR="001A7EE8">
              <w:rPr>
                <w:rFonts w:ascii="Arial Narrow" w:hAnsi="Arial Narrow"/>
                <w:sz w:val="20"/>
              </w:rPr>
              <w:t>co-payment</w:t>
            </w:r>
            <w:r>
              <w:rPr>
                <w:rFonts w:ascii="Arial Narrow" w:hAnsi="Arial Narrow"/>
                <w:sz w:val="20"/>
              </w:rPr>
              <w:t xml:space="preserve">) </w:t>
            </w:r>
            <w:r w:rsidR="00D554A8">
              <w:rPr>
                <w:rFonts w:ascii="Arial Narrow" w:hAnsi="Arial Narrow"/>
                <w:sz w:val="20"/>
              </w:rPr>
              <w:br/>
            </w:r>
            <w:r>
              <w:rPr>
                <w:rFonts w:ascii="Arial Narrow" w:hAnsi="Arial Narrow"/>
                <w:sz w:val="20"/>
              </w:rPr>
              <w:t>$</w:t>
            </w:r>
            <w:r w:rsidR="000A4749">
              <w:rPr>
                <w:rFonts w:ascii="Arial Narrow" w:hAnsi="Arial Narrow"/>
                <w:noProof/>
                <w:color w:val="000000"/>
                <w:sz w:val="20"/>
                <w:highlight w:val="black"/>
              </w:rPr>
              <w:t>'''''''''''''''''''</w:t>
            </w:r>
            <w:r>
              <w:rPr>
                <w:rFonts w:ascii="Arial Narrow" w:hAnsi="Arial Narrow"/>
                <w:sz w:val="20"/>
              </w:rPr>
              <w:t xml:space="preserve"> in Year 1 increasing to $</w:t>
            </w:r>
            <w:r w:rsidR="000A4749">
              <w:rPr>
                <w:rFonts w:ascii="Arial Narrow" w:hAnsi="Arial Narrow"/>
                <w:noProof/>
                <w:color w:val="000000"/>
                <w:sz w:val="20"/>
                <w:highlight w:val="black"/>
              </w:rPr>
              <w:t>'''''''' '''''''''''''''</w:t>
            </w:r>
            <w:r>
              <w:rPr>
                <w:rFonts w:ascii="Arial Narrow" w:hAnsi="Arial Narrow"/>
                <w:sz w:val="20"/>
              </w:rPr>
              <w:t xml:space="preserve"> in Year 5.</w:t>
            </w:r>
          </w:p>
          <w:p w:rsidR="00CB67F4" w:rsidRPr="00CB67F4" w:rsidRDefault="00CB67F4" w:rsidP="00AC3A0F">
            <w:pPr>
              <w:pStyle w:val="ListParagraph"/>
              <w:numPr>
                <w:ilvl w:val="0"/>
                <w:numId w:val="4"/>
              </w:numPr>
              <w:ind w:left="92" w:hanging="80"/>
              <w:jc w:val="left"/>
              <w:rPr>
                <w:rFonts w:ascii="Arial Narrow" w:hAnsi="Arial Narrow"/>
                <w:sz w:val="20"/>
              </w:rPr>
            </w:pPr>
            <w:r>
              <w:rPr>
                <w:rFonts w:ascii="Arial Narrow" w:hAnsi="Arial Narrow"/>
                <w:sz w:val="20"/>
              </w:rPr>
              <w:t xml:space="preserve">Net saving (excluding </w:t>
            </w:r>
            <w:r w:rsidR="001A7EE8">
              <w:rPr>
                <w:rFonts w:ascii="Arial Narrow" w:hAnsi="Arial Narrow"/>
                <w:sz w:val="20"/>
              </w:rPr>
              <w:t>co-payment</w:t>
            </w:r>
            <w:r>
              <w:rPr>
                <w:rFonts w:ascii="Arial Narrow" w:hAnsi="Arial Narrow"/>
                <w:sz w:val="20"/>
              </w:rPr>
              <w:t xml:space="preserve">) </w:t>
            </w:r>
            <w:r w:rsidR="00D554A8">
              <w:rPr>
                <w:rFonts w:ascii="Arial Narrow" w:hAnsi="Arial Narrow"/>
                <w:sz w:val="20"/>
              </w:rPr>
              <w:br/>
            </w:r>
            <w:r>
              <w:rPr>
                <w:rFonts w:ascii="Arial Narrow" w:hAnsi="Arial Narrow"/>
                <w:sz w:val="20"/>
              </w:rPr>
              <w:t>$</w:t>
            </w:r>
            <w:r w:rsidR="000A4749">
              <w:rPr>
                <w:rFonts w:ascii="Arial Narrow" w:hAnsi="Arial Narrow"/>
                <w:noProof/>
                <w:color w:val="000000"/>
                <w:sz w:val="20"/>
                <w:highlight w:val="black"/>
              </w:rPr>
              <w:t>''''''''''''''</w:t>
            </w:r>
            <w:r>
              <w:rPr>
                <w:rFonts w:ascii="Arial Narrow" w:hAnsi="Arial Narrow"/>
                <w:sz w:val="20"/>
              </w:rPr>
              <w:t xml:space="preserve"> in Year 1 increasing to $</w:t>
            </w:r>
            <w:r w:rsidR="000A4749">
              <w:rPr>
                <w:rFonts w:ascii="Arial Narrow" w:hAnsi="Arial Narrow"/>
                <w:noProof/>
                <w:color w:val="000000"/>
                <w:sz w:val="20"/>
                <w:highlight w:val="black"/>
              </w:rPr>
              <w:t>'''''''''''''</w:t>
            </w:r>
            <w:r>
              <w:rPr>
                <w:rFonts w:ascii="Arial Narrow" w:hAnsi="Arial Narrow"/>
                <w:sz w:val="20"/>
              </w:rPr>
              <w:t xml:space="preserve"> in Year 5 (</w:t>
            </w:r>
            <w:r w:rsidR="003B0B7D">
              <w:rPr>
                <w:rFonts w:ascii="Arial Narrow" w:hAnsi="Arial Narrow"/>
                <w:sz w:val="20"/>
              </w:rPr>
              <w:t>r</w:t>
            </w:r>
            <w:r>
              <w:rPr>
                <w:rFonts w:ascii="Arial Narrow" w:hAnsi="Arial Narrow"/>
                <w:sz w:val="20"/>
              </w:rPr>
              <w:t>esubmission pp.104-107).</w:t>
            </w:r>
          </w:p>
        </w:tc>
      </w:tr>
      <w:tr w:rsidR="00CB67F4" w:rsidRPr="00CA6B4D" w:rsidTr="008A4BDF">
        <w:trPr>
          <w:trHeight w:val="438"/>
        </w:trPr>
        <w:tc>
          <w:tcPr>
            <w:tcW w:w="1014" w:type="dxa"/>
          </w:tcPr>
          <w:p w:rsidR="00CB67F4" w:rsidRPr="00CA6B4D" w:rsidRDefault="00CB67F4" w:rsidP="00AA0A07">
            <w:pPr>
              <w:jc w:val="left"/>
              <w:rPr>
                <w:rFonts w:ascii="Arial Narrow" w:hAnsi="Arial Narrow"/>
                <w:sz w:val="20"/>
              </w:rPr>
            </w:pPr>
            <w:r w:rsidRPr="00CA6B4D">
              <w:rPr>
                <w:rFonts w:ascii="Arial Narrow" w:hAnsi="Arial Narrow"/>
                <w:sz w:val="20"/>
              </w:rPr>
              <w:br w:type="page"/>
              <w:t>PBAC decision</w:t>
            </w:r>
          </w:p>
        </w:tc>
        <w:tc>
          <w:tcPr>
            <w:tcW w:w="4514" w:type="dxa"/>
          </w:tcPr>
          <w:p w:rsidR="00CB67F4" w:rsidRPr="00356380" w:rsidRDefault="00CB67F4" w:rsidP="00AC3A0F">
            <w:pPr>
              <w:pStyle w:val="ListParagraph"/>
              <w:numPr>
                <w:ilvl w:val="0"/>
                <w:numId w:val="4"/>
              </w:numPr>
              <w:ind w:left="92" w:hanging="80"/>
              <w:jc w:val="left"/>
              <w:rPr>
                <w:rFonts w:ascii="Arial Narrow" w:hAnsi="Arial Narrow"/>
                <w:i/>
                <w:sz w:val="20"/>
              </w:rPr>
            </w:pPr>
            <w:r w:rsidRPr="00356380">
              <w:rPr>
                <w:rFonts w:ascii="Arial Narrow" w:hAnsi="Arial Narrow"/>
                <w:sz w:val="20"/>
              </w:rPr>
              <w:t>Rejected</w:t>
            </w:r>
            <w:r w:rsidRPr="00CA6B4D">
              <w:rPr>
                <w:rFonts w:ascii="Arial Narrow" w:hAnsi="Arial Narrow"/>
                <w:i/>
                <w:sz w:val="20"/>
              </w:rPr>
              <w:t>.</w:t>
            </w:r>
            <w:r w:rsidRPr="00CA6B4D">
              <w:rPr>
                <w:rFonts w:ascii="Arial Narrow" w:hAnsi="Arial Narrow"/>
                <w:b/>
                <w:sz w:val="20"/>
              </w:rPr>
              <w:t xml:space="preserve"> </w:t>
            </w:r>
          </w:p>
          <w:p w:rsidR="00CB67F4" w:rsidRPr="00356380" w:rsidRDefault="00CB67F4" w:rsidP="00356380">
            <w:pPr>
              <w:ind w:left="12"/>
              <w:jc w:val="left"/>
              <w:rPr>
                <w:rFonts w:ascii="Arial Narrow" w:hAnsi="Arial Narrow"/>
                <w:i/>
                <w:sz w:val="20"/>
              </w:rPr>
            </w:pPr>
            <w:r w:rsidRPr="00356380">
              <w:rPr>
                <w:rFonts w:ascii="Arial Narrow" w:hAnsi="Arial Narrow"/>
                <w:b/>
                <w:sz w:val="20"/>
              </w:rPr>
              <w:t>PBAC Comment:</w:t>
            </w:r>
            <w:r>
              <w:rPr>
                <w:rFonts w:ascii="Arial Narrow" w:hAnsi="Arial Narrow"/>
                <w:b/>
                <w:sz w:val="20"/>
              </w:rPr>
              <w:t xml:space="preserve"> </w:t>
            </w:r>
            <w:r>
              <w:rPr>
                <w:rFonts w:ascii="Arial Narrow" w:hAnsi="Arial Narrow"/>
                <w:sz w:val="20"/>
              </w:rPr>
              <w:t>N</w:t>
            </w:r>
            <w:r w:rsidRPr="00356380">
              <w:rPr>
                <w:rFonts w:ascii="Arial Narrow" w:hAnsi="Arial Narrow"/>
                <w:sz w:val="20"/>
              </w:rPr>
              <w:t>on-inferiority with the comparators was not established because of the fundamental limi</w:t>
            </w:r>
            <w:r>
              <w:rPr>
                <w:rFonts w:ascii="Arial Narrow" w:hAnsi="Arial Narrow"/>
                <w:sz w:val="20"/>
              </w:rPr>
              <w:t>tations of the trials presented and</w:t>
            </w:r>
            <w:r w:rsidRPr="00356380">
              <w:rPr>
                <w:rFonts w:ascii="Arial Narrow" w:hAnsi="Arial Narrow"/>
                <w:sz w:val="20"/>
              </w:rPr>
              <w:t xml:space="preserve"> the cost-minimisation approach used was not justified</w:t>
            </w:r>
            <w:r>
              <w:rPr>
                <w:rFonts w:ascii="Arial Narrow" w:hAnsi="Arial Narrow"/>
                <w:sz w:val="20"/>
              </w:rPr>
              <w:t>.</w:t>
            </w:r>
          </w:p>
        </w:tc>
        <w:tc>
          <w:tcPr>
            <w:tcW w:w="2977" w:type="dxa"/>
          </w:tcPr>
          <w:p w:rsidR="00CB67F4" w:rsidRPr="00CA6B4D" w:rsidRDefault="00CB67F4" w:rsidP="00AA0A07">
            <w:pPr>
              <w:jc w:val="left"/>
              <w:rPr>
                <w:rFonts w:ascii="Arial Narrow" w:hAnsi="Arial Narrow"/>
                <w:color w:val="0000FF"/>
                <w:sz w:val="20"/>
              </w:rPr>
            </w:pPr>
            <w:r w:rsidRPr="00CA6B4D">
              <w:rPr>
                <w:rFonts w:ascii="Arial Narrow" w:hAnsi="Arial Narrow"/>
                <w:sz w:val="20"/>
              </w:rPr>
              <w:t>-</w:t>
            </w:r>
          </w:p>
        </w:tc>
      </w:tr>
    </w:tbl>
    <w:p w:rsidR="00B60939" w:rsidRDefault="001D112E" w:rsidP="00F338FF">
      <w:pPr>
        <w:pStyle w:val="TableFooter"/>
        <w:ind w:firstLine="720"/>
      </w:pPr>
      <w:r w:rsidRPr="001D112E">
        <w:t>Source: Compiled during the evaluation</w:t>
      </w:r>
    </w:p>
    <w:p w:rsidR="004B371F" w:rsidRPr="001D112E" w:rsidRDefault="004B371F" w:rsidP="004B371F">
      <w:pPr>
        <w:pStyle w:val="TableFooter"/>
        <w:ind w:left="709" w:firstLine="11"/>
      </w:pPr>
      <w:r w:rsidRPr="004B371F">
        <w:t xml:space="preserve">Abbreviations: CDSS, Calgary Depression Scale for Schizophrenia; CGI-S, Clinical Global Impression </w:t>
      </w:r>
      <w:r>
        <w:t>–</w:t>
      </w:r>
      <w:r w:rsidRPr="004B371F">
        <w:t xml:space="preserve"> Severity</w:t>
      </w:r>
      <w:r>
        <w:t xml:space="preserve"> of illness</w:t>
      </w:r>
      <w:r w:rsidRPr="004B371F">
        <w:t>; MADRS, Montgomery-Asberg Depression Rating Scale; PANSS, Positive and Negative Symptom Scale.</w:t>
      </w:r>
    </w:p>
    <w:p w:rsidR="00050137" w:rsidRDefault="00050137" w:rsidP="00497F10"/>
    <w:p w:rsidR="00F338FF" w:rsidRPr="00407F2D" w:rsidRDefault="00F338FF" w:rsidP="005D7E3E">
      <w:pPr>
        <w:pStyle w:val="PBACheading1"/>
        <w:rPr>
          <w:b/>
        </w:rPr>
      </w:pPr>
      <w:bookmarkStart w:id="7" w:name="_Toc409600040"/>
      <w:r w:rsidRPr="00407F2D">
        <w:rPr>
          <w:b/>
        </w:rPr>
        <w:t>Clinical place for the proposed therapy</w:t>
      </w:r>
      <w:bookmarkEnd w:id="7"/>
    </w:p>
    <w:p w:rsidR="00B60939" w:rsidRDefault="00B60939" w:rsidP="00B60939">
      <w:pPr>
        <w:rPr>
          <w:szCs w:val="22"/>
        </w:rPr>
      </w:pPr>
    </w:p>
    <w:p w:rsidR="00497F10" w:rsidRPr="00E24C1C" w:rsidRDefault="00E24C1C" w:rsidP="00AC3A0F">
      <w:pPr>
        <w:pStyle w:val="ListParagraph"/>
        <w:widowControl/>
        <w:numPr>
          <w:ilvl w:val="1"/>
          <w:numId w:val="3"/>
        </w:numPr>
        <w:rPr>
          <w:szCs w:val="22"/>
        </w:rPr>
      </w:pPr>
      <w:r w:rsidRPr="00E24C1C">
        <w:t xml:space="preserve">The use of atypical antipsychotic medicines in schizophrenia </w:t>
      </w:r>
      <w:r>
        <w:t xml:space="preserve">is </w:t>
      </w:r>
      <w:r w:rsidR="00855184">
        <w:t>patient centred, aiming for</w:t>
      </w:r>
      <w:r>
        <w:t xml:space="preserve"> </w:t>
      </w:r>
      <w:r w:rsidR="00855184">
        <w:t xml:space="preserve">maintenance of </w:t>
      </w:r>
      <w:r>
        <w:t>efficacy</w:t>
      </w:r>
      <w:r w:rsidR="00855184" w:rsidRPr="00855184">
        <w:t xml:space="preserve"> </w:t>
      </w:r>
      <w:r w:rsidR="00855184">
        <w:t>and patient compliance</w:t>
      </w:r>
      <w:r w:rsidR="00A04296">
        <w:t>,</w:t>
      </w:r>
      <w:r>
        <w:t xml:space="preserve"> </w:t>
      </w:r>
      <w:r w:rsidR="00855184">
        <w:t xml:space="preserve">minimal </w:t>
      </w:r>
      <w:r w:rsidR="00A04296">
        <w:t>relapse episodes</w:t>
      </w:r>
      <w:r w:rsidR="00855184">
        <w:t xml:space="preserve"> and</w:t>
      </w:r>
      <w:r w:rsidR="00A04296">
        <w:t xml:space="preserve"> tolerability of adverse events. Swi</w:t>
      </w:r>
      <w:r w:rsidR="00855184">
        <w:t>tching between agents is common</w:t>
      </w:r>
      <w:r w:rsidR="009D4F50">
        <w:t>, and often related to tolerability of adverse events such as weight gain a</w:t>
      </w:r>
      <w:r w:rsidR="003B288D">
        <w:t>nd extrapyramidal side effects</w:t>
      </w:r>
      <w:r w:rsidR="009D4F50">
        <w:t>.</w:t>
      </w:r>
      <w:r w:rsidR="00855184">
        <w:t xml:space="preserve">  </w:t>
      </w:r>
      <w:r w:rsidR="00A04296">
        <w:t xml:space="preserve"> </w:t>
      </w:r>
      <w:r>
        <w:t xml:space="preserve">  </w:t>
      </w:r>
    </w:p>
    <w:p w:rsidR="00497F10" w:rsidRPr="00E24C1C" w:rsidRDefault="00497F10" w:rsidP="00497F10">
      <w:pPr>
        <w:widowControl/>
        <w:rPr>
          <w:szCs w:val="22"/>
        </w:rPr>
      </w:pPr>
    </w:p>
    <w:p w:rsidR="00497F10" w:rsidRPr="00E24C1C" w:rsidRDefault="0036395B" w:rsidP="00AC3A0F">
      <w:pPr>
        <w:pStyle w:val="ListParagraph"/>
        <w:widowControl/>
        <w:numPr>
          <w:ilvl w:val="1"/>
          <w:numId w:val="3"/>
        </w:numPr>
        <w:rPr>
          <w:szCs w:val="22"/>
        </w:rPr>
      </w:pPr>
      <w:r>
        <w:rPr>
          <w:szCs w:val="22"/>
        </w:rPr>
        <w:t>The resubmission</w:t>
      </w:r>
      <w:r w:rsidR="00497F10" w:rsidRPr="00E24C1C">
        <w:rPr>
          <w:szCs w:val="22"/>
        </w:rPr>
        <w:t xml:space="preserve"> propose</w:t>
      </w:r>
      <w:r w:rsidR="003B288D">
        <w:rPr>
          <w:szCs w:val="22"/>
        </w:rPr>
        <w:t>d</w:t>
      </w:r>
      <w:r w:rsidR="00855184">
        <w:rPr>
          <w:szCs w:val="22"/>
        </w:rPr>
        <w:t xml:space="preserve"> that lurasido</w:t>
      </w:r>
      <w:r w:rsidR="00D24A94">
        <w:rPr>
          <w:szCs w:val="22"/>
        </w:rPr>
        <w:t xml:space="preserve">ne will be used when drugs such as </w:t>
      </w:r>
      <w:r w:rsidR="00855184">
        <w:rPr>
          <w:szCs w:val="22"/>
        </w:rPr>
        <w:t xml:space="preserve">olanzapine, quetiapine and risperidone are not effective or not tolerated, or when </w:t>
      </w:r>
      <w:r w:rsidR="00855184" w:rsidRPr="00855184">
        <w:rPr>
          <w:szCs w:val="22"/>
        </w:rPr>
        <w:t>weight control and cardiometabolic issues are of concern</w:t>
      </w:r>
      <w:r w:rsidR="00855184">
        <w:rPr>
          <w:szCs w:val="22"/>
        </w:rPr>
        <w:t>, similar to the place in therapy of ziprasidone and aripiprazole</w:t>
      </w:r>
      <w:r w:rsidR="00497F10" w:rsidRPr="00E24C1C">
        <w:rPr>
          <w:szCs w:val="22"/>
        </w:rPr>
        <w:t xml:space="preserve">.  </w:t>
      </w:r>
      <w:r w:rsidR="005378BA" w:rsidRPr="00E77227">
        <w:rPr>
          <w:szCs w:val="22"/>
        </w:rPr>
        <w:t>Th</w:t>
      </w:r>
      <w:r w:rsidR="003B288D" w:rsidRPr="00E77227">
        <w:rPr>
          <w:szCs w:val="22"/>
        </w:rPr>
        <w:t>e resubmission argued</w:t>
      </w:r>
      <w:r w:rsidR="005378BA" w:rsidRPr="00E77227">
        <w:rPr>
          <w:szCs w:val="22"/>
        </w:rPr>
        <w:t xml:space="preserve"> that there is a clinical need for another </w:t>
      </w:r>
      <w:r w:rsidR="003F2377" w:rsidRPr="00E77227">
        <w:rPr>
          <w:szCs w:val="22"/>
        </w:rPr>
        <w:t xml:space="preserve">PBS listed </w:t>
      </w:r>
      <w:r w:rsidR="003B288D" w:rsidRPr="00E77227">
        <w:rPr>
          <w:szCs w:val="22"/>
        </w:rPr>
        <w:t>weight-</w:t>
      </w:r>
      <w:r w:rsidR="005378BA" w:rsidRPr="00E77227">
        <w:rPr>
          <w:szCs w:val="22"/>
        </w:rPr>
        <w:t xml:space="preserve">neutral atypical antipsychotic medicine </w:t>
      </w:r>
      <w:r w:rsidR="003F2377" w:rsidRPr="00E77227">
        <w:rPr>
          <w:szCs w:val="22"/>
        </w:rPr>
        <w:t xml:space="preserve">in the treatment of schizophrenia, </w:t>
      </w:r>
      <w:r w:rsidR="005378BA" w:rsidRPr="00E77227">
        <w:rPr>
          <w:szCs w:val="22"/>
        </w:rPr>
        <w:t>in addition to ziprasidone and aripiprazole</w:t>
      </w:r>
      <w:r w:rsidR="003F2377" w:rsidRPr="00E77227">
        <w:rPr>
          <w:szCs w:val="22"/>
        </w:rPr>
        <w:t>.</w:t>
      </w:r>
      <w:r w:rsidR="003F2377">
        <w:rPr>
          <w:i/>
          <w:szCs w:val="22"/>
        </w:rPr>
        <w:t xml:space="preserve">  </w:t>
      </w:r>
    </w:p>
    <w:p w:rsidR="001B6188" w:rsidRPr="00882085" w:rsidRDefault="001B6188" w:rsidP="00E469F4">
      <w:pPr>
        <w:pStyle w:val="ListParagraph"/>
        <w:ind w:left="0"/>
        <w:rPr>
          <w:szCs w:val="22"/>
        </w:rPr>
      </w:pPr>
    </w:p>
    <w:p w:rsidR="00281A34" w:rsidRDefault="00281A34" w:rsidP="00281A34">
      <w:pPr>
        <w:pStyle w:val="PBACheading1"/>
        <w:numPr>
          <w:ilvl w:val="0"/>
          <w:numId w:val="0"/>
        </w:numPr>
        <w:ind w:left="720"/>
        <w:rPr>
          <w:i/>
        </w:rPr>
      </w:pPr>
      <w:bookmarkStart w:id="8" w:name="_Toc409600041"/>
      <w:r w:rsidRPr="008A4BDF">
        <w:rPr>
          <w:i/>
        </w:rPr>
        <w:t>For more detail on PBAC’s view, see section 7 “PBAC outcome</w:t>
      </w:r>
    </w:p>
    <w:p w:rsidR="00281A34" w:rsidRDefault="00281A34" w:rsidP="00281A34">
      <w:pPr>
        <w:pStyle w:val="PBACheading1"/>
        <w:numPr>
          <w:ilvl w:val="0"/>
          <w:numId w:val="0"/>
        </w:numPr>
        <w:ind w:left="720"/>
        <w:rPr>
          <w:b/>
        </w:rPr>
      </w:pPr>
    </w:p>
    <w:p w:rsidR="00050137" w:rsidRDefault="00050137" w:rsidP="00281A34">
      <w:pPr>
        <w:pStyle w:val="PBACheading1"/>
        <w:numPr>
          <w:ilvl w:val="0"/>
          <w:numId w:val="0"/>
        </w:numPr>
        <w:ind w:left="720"/>
        <w:rPr>
          <w:b/>
        </w:rPr>
      </w:pPr>
    </w:p>
    <w:p w:rsidR="00F338FF" w:rsidRPr="00407F2D" w:rsidRDefault="00F338FF" w:rsidP="005D7E3E">
      <w:pPr>
        <w:pStyle w:val="PBACheading1"/>
        <w:rPr>
          <w:b/>
        </w:rPr>
      </w:pPr>
      <w:r w:rsidRPr="00407F2D">
        <w:rPr>
          <w:b/>
        </w:rPr>
        <w:t>Comparator</w:t>
      </w:r>
      <w:bookmarkEnd w:id="8"/>
    </w:p>
    <w:p w:rsidR="00497F10" w:rsidRPr="00882085" w:rsidRDefault="00497F10" w:rsidP="00577717"/>
    <w:p w:rsidR="00B143CE" w:rsidRPr="00856CE6" w:rsidRDefault="00320E2B" w:rsidP="00AC3A0F">
      <w:pPr>
        <w:pStyle w:val="ListParagraph"/>
        <w:widowControl/>
        <w:numPr>
          <w:ilvl w:val="1"/>
          <w:numId w:val="3"/>
        </w:numPr>
      </w:pPr>
      <w:r w:rsidRPr="00856CE6">
        <w:t>The submission nominated a mixed comparator of z</w:t>
      </w:r>
      <w:r w:rsidR="00956572" w:rsidRPr="00856CE6">
        <w:t>iprasidone and aripiprazole</w:t>
      </w:r>
      <w:r w:rsidRPr="00856CE6">
        <w:t xml:space="preserve">. </w:t>
      </w:r>
      <w:r w:rsidR="00627335" w:rsidRPr="00856CE6">
        <w:t>The evaluation noted that w</w:t>
      </w:r>
      <w:r w:rsidR="00B143CE" w:rsidRPr="00856CE6">
        <w:t>hile ziprasidone is an appropriate comparator</w:t>
      </w:r>
      <w:r w:rsidR="009D35BA" w:rsidRPr="00856CE6">
        <w:t xml:space="preserve"> and belongs to the same pharmacological class as </w:t>
      </w:r>
      <w:r w:rsidR="001B0BD7" w:rsidRPr="00856CE6">
        <w:t>lurasidone</w:t>
      </w:r>
      <w:r w:rsidR="009D35BA" w:rsidRPr="00856CE6">
        <w:t xml:space="preserve"> (N05AE)</w:t>
      </w:r>
      <w:r w:rsidR="00B143CE" w:rsidRPr="00856CE6">
        <w:t>, aripiprazole belongs to a different pharmacological class and may not be</w:t>
      </w:r>
      <w:r w:rsidR="009D35BA" w:rsidRPr="00856CE6">
        <w:t xml:space="preserve"> an appropriate comparator (N05AX). </w:t>
      </w:r>
      <w:r w:rsidR="00865A91" w:rsidRPr="00856CE6">
        <w:t xml:space="preserve">The PSCR (p1) argued that a clinician’s choice of suitable therapeutic agent would </w:t>
      </w:r>
      <w:r w:rsidR="00865A91" w:rsidRPr="00856CE6">
        <w:lastRenderedPageBreak/>
        <w:t>not be driven by ATC class.</w:t>
      </w:r>
      <w:r w:rsidR="00865A91" w:rsidRPr="00856CE6">
        <w:rPr>
          <w:i/>
        </w:rPr>
        <w:t xml:space="preserve"> </w:t>
      </w:r>
      <w:r w:rsidR="00643291" w:rsidRPr="00856CE6">
        <w:t>The submission also d</w:t>
      </w:r>
      <w:r w:rsidR="00E82C68" w:rsidRPr="00856CE6">
        <w:t>id</w:t>
      </w:r>
      <w:r w:rsidR="00643291" w:rsidRPr="00856CE6">
        <w:t xml:space="preserve"> not identify distinct groups of patients with schizophrenia in whom one of </w:t>
      </w:r>
      <w:r w:rsidR="00335107" w:rsidRPr="00856CE6">
        <w:t xml:space="preserve">the drugs </w:t>
      </w:r>
      <w:r w:rsidR="00643291" w:rsidRPr="00856CE6">
        <w:t>ziprasidone or aripipra</w:t>
      </w:r>
      <w:r w:rsidR="00335107" w:rsidRPr="00856CE6">
        <w:t>z</w:t>
      </w:r>
      <w:r w:rsidR="00643291" w:rsidRPr="00856CE6">
        <w:t>ole</w:t>
      </w:r>
      <w:r w:rsidR="00335107" w:rsidRPr="00856CE6">
        <w:t>,</w:t>
      </w:r>
      <w:r w:rsidR="00643291" w:rsidRPr="00856CE6">
        <w:t xml:space="preserve"> bu</w:t>
      </w:r>
      <w:r w:rsidR="00E77227" w:rsidRPr="00856CE6">
        <w:t xml:space="preserve">t not the other, </w:t>
      </w:r>
      <w:r w:rsidR="00E82C68" w:rsidRPr="00856CE6">
        <w:t>was</w:t>
      </w:r>
      <w:r w:rsidR="00E77227" w:rsidRPr="00856CE6">
        <w:t xml:space="preserve"> appropriate.</w:t>
      </w:r>
    </w:p>
    <w:p w:rsidR="009D35BA" w:rsidRPr="00856CE6" w:rsidRDefault="009D35BA" w:rsidP="009D35BA">
      <w:pPr>
        <w:pStyle w:val="ListParagraph"/>
        <w:widowControl/>
      </w:pPr>
    </w:p>
    <w:p w:rsidR="00CF1E40" w:rsidRPr="00856CE6" w:rsidRDefault="00B143CE" w:rsidP="00AC3A0F">
      <w:pPr>
        <w:pStyle w:val="ListParagraph"/>
        <w:widowControl/>
        <w:numPr>
          <w:ilvl w:val="1"/>
          <w:numId w:val="3"/>
        </w:numPr>
      </w:pPr>
      <w:r w:rsidRPr="00856CE6">
        <w:t>Additionally</w:t>
      </w:r>
      <w:r w:rsidR="00856CE6" w:rsidRPr="00856CE6">
        <w:t>, the evaluation noted that</w:t>
      </w:r>
      <w:r w:rsidRPr="00856CE6">
        <w:t xml:space="preserve"> </w:t>
      </w:r>
      <w:r w:rsidR="008A6A8E" w:rsidRPr="00856CE6">
        <w:t xml:space="preserve">olanzapine, quetiapine, risperidone and paliperidone may also be appropriate secondary comparators, as </w:t>
      </w:r>
      <w:r w:rsidR="000B7B83" w:rsidRPr="00856CE6">
        <w:t>noted</w:t>
      </w:r>
      <w:r w:rsidR="008A6A8E" w:rsidRPr="00856CE6">
        <w:t xml:space="preserve"> by the PBAC during the consideration of the March 2014 lurasidone submission</w:t>
      </w:r>
      <w:r w:rsidR="00CF1E40" w:rsidRPr="00856CE6">
        <w:t xml:space="preserve"> (</w:t>
      </w:r>
      <w:r w:rsidR="0076176F" w:rsidRPr="00856CE6">
        <w:t xml:space="preserve">PBAC </w:t>
      </w:r>
      <w:r w:rsidR="00CF1E40" w:rsidRPr="00856CE6">
        <w:t>Minutes, para</w:t>
      </w:r>
      <w:r w:rsidR="0076176F" w:rsidRPr="00856CE6">
        <w:t>graph</w:t>
      </w:r>
      <w:r w:rsidR="002B188A" w:rsidRPr="00856CE6">
        <w:t> </w:t>
      </w:r>
      <w:r w:rsidR="00CF1E40" w:rsidRPr="00856CE6">
        <w:t>5.1)</w:t>
      </w:r>
      <w:r w:rsidR="008A6A8E" w:rsidRPr="00856CE6">
        <w:t>.</w:t>
      </w:r>
      <w:r w:rsidR="00497F10" w:rsidRPr="00856CE6">
        <w:t xml:space="preserve"> </w:t>
      </w:r>
    </w:p>
    <w:p w:rsidR="000B7B83" w:rsidRPr="00856CE6" w:rsidRDefault="000B7B83" w:rsidP="000B7B83">
      <w:pPr>
        <w:pStyle w:val="ListParagraph"/>
      </w:pPr>
    </w:p>
    <w:p w:rsidR="000B7B83" w:rsidRPr="00856CE6" w:rsidRDefault="000B7B83" w:rsidP="00AC3A0F">
      <w:pPr>
        <w:pStyle w:val="ListParagraph"/>
        <w:widowControl/>
        <w:numPr>
          <w:ilvl w:val="1"/>
          <w:numId w:val="3"/>
        </w:numPr>
      </w:pPr>
      <w:r w:rsidRPr="00856CE6">
        <w:t xml:space="preserve">The ESC noted that if use is restricted to second line therapy, as proposed in the </w:t>
      </w:r>
      <w:r w:rsidR="00746905" w:rsidRPr="00856CE6">
        <w:t xml:space="preserve">requested </w:t>
      </w:r>
      <w:r w:rsidRPr="00856CE6">
        <w:t xml:space="preserve">restriction, only </w:t>
      </w:r>
      <w:r w:rsidR="002450B1" w:rsidRPr="00856CE6">
        <w:t xml:space="preserve">clozapine </w:t>
      </w:r>
      <w:r w:rsidRPr="00856CE6">
        <w:t xml:space="preserve">would be an appropriate secondary comparator. </w:t>
      </w:r>
    </w:p>
    <w:p w:rsidR="00373C81" w:rsidRDefault="00373C81" w:rsidP="00497F10"/>
    <w:p w:rsidR="00281A34" w:rsidRDefault="00281A34" w:rsidP="00281A34">
      <w:pPr>
        <w:ind w:firstLine="720"/>
        <w:rPr>
          <w:i/>
          <w:szCs w:val="22"/>
        </w:rPr>
      </w:pPr>
      <w:r w:rsidRPr="00320E2B">
        <w:rPr>
          <w:i/>
          <w:szCs w:val="22"/>
        </w:rPr>
        <w:t>For more detail on PBAC’s view, see section 7 “PBAC outcome</w:t>
      </w:r>
      <w:r w:rsidR="00897051">
        <w:rPr>
          <w:i/>
          <w:szCs w:val="22"/>
        </w:rPr>
        <w:t>”</w:t>
      </w:r>
    </w:p>
    <w:p w:rsidR="00281A34" w:rsidRPr="00506E16" w:rsidRDefault="00281A34" w:rsidP="00281A34">
      <w:pPr>
        <w:ind w:firstLine="720"/>
      </w:pPr>
    </w:p>
    <w:p w:rsidR="00D06FD4" w:rsidRPr="00407F2D" w:rsidRDefault="00472359" w:rsidP="005D7E3E">
      <w:pPr>
        <w:pStyle w:val="PBACheading1"/>
        <w:rPr>
          <w:b/>
        </w:rPr>
      </w:pPr>
      <w:bookmarkStart w:id="9" w:name="_Toc409600042"/>
      <w:r>
        <w:rPr>
          <w:b/>
        </w:rPr>
        <w:t>C</w:t>
      </w:r>
      <w:r w:rsidR="00D06FD4" w:rsidRPr="00407F2D">
        <w:rPr>
          <w:b/>
        </w:rPr>
        <w:t>onsideration of the evidence</w:t>
      </w:r>
      <w:bookmarkEnd w:id="9"/>
    </w:p>
    <w:p w:rsidR="00B60939" w:rsidRDefault="00B60939" w:rsidP="00996B1A">
      <w:pPr>
        <w:widowControl/>
        <w:rPr>
          <w:b/>
          <w:szCs w:val="22"/>
        </w:rPr>
      </w:pPr>
    </w:p>
    <w:p w:rsidR="00281A34" w:rsidRPr="00BB7E0F" w:rsidRDefault="00281A34" w:rsidP="00BB7E0F">
      <w:pPr>
        <w:pStyle w:val="Heading2"/>
      </w:pPr>
      <w:r w:rsidRPr="00BB7E0F">
        <w:t>Sponsor hearing</w:t>
      </w:r>
    </w:p>
    <w:p w:rsidR="00281A34" w:rsidRPr="00281A34" w:rsidRDefault="00281A34" w:rsidP="00996B1A">
      <w:pPr>
        <w:widowControl/>
        <w:rPr>
          <w:b/>
          <w:i/>
          <w:szCs w:val="22"/>
        </w:rPr>
      </w:pPr>
    </w:p>
    <w:p w:rsidR="00281A34" w:rsidRPr="0010565C" w:rsidRDefault="00281A34" w:rsidP="00AC3A0F">
      <w:pPr>
        <w:pStyle w:val="ListParagraph"/>
        <w:widowControl/>
        <w:numPr>
          <w:ilvl w:val="1"/>
          <w:numId w:val="3"/>
        </w:numPr>
        <w:rPr>
          <w:bCs/>
          <w:szCs w:val="22"/>
        </w:rPr>
      </w:pPr>
      <w:r w:rsidRPr="0010565C">
        <w:rPr>
          <w:bCs/>
          <w:szCs w:val="22"/>
        </w:rPr>
        <w:t>There was no hearing for this item</w:t>
      </w:r>
      <w:r w:rsidR="0010565C" w:rsidRPr="0010565C">
        <w:rPr>
          <w:bCs/>
          <w:szCs w:val="22"/>
        </w:rPr>
        <w:t>.</w:t>
      </w:r>
    </w:p>
    <w:p w:rsidR="00281A34" w:rsidRDefault="00281A34" w:rsidP="00996B1A">
      <w:pPr>
        <w:widowControl/>
        <w:rPr>
          <w:bCs/>
          <w:szCs w:val="22"/>
        </w:rPr>
      </w:pPr>
    </w:p>
    <w:p w:rsidR="00281A34" w:rsidRDefault="00281A34" w:rsidP="00BB7E0F">
      <w:pPr>
        <w:pStyle w:val="Heading2"/>
      </w:pPr>
      <w:r>
        <w:t xml:space="preserve">Consumer comments </w:t>
      </w:r>
    </w:p>
    <w:p w:rsidR="00281A34" w:rsidRDefault="00281A34" w:rsidP="00281A34">
      <w:pPr>
        <w:pStyle w:val="ListParagraph"/>
        <w:widowControl/>
        <w:rPr>
          <w:b/>
          <w:bCs/>
          <w:i/>
          <w:szCs w:val="22"/>
        </w:rPr>
      </w:pPr>
    </w:p>
    <w:p w:rsidR="00281A34" w:rsidRPr="008E345C" w:rsidRDefault="00281A34" w:rsidP="00AC3A0F">
      <w:pPr>
        <w:pStyle w:val="ListParagraph"/>
        <w:widowControl/>
        <w:numPr>
          <w:ilvl w:val="1"/>
          <w:numId w:val="3"/>
        </w:numPr>
        <w:rPr>
          <w:bCs/>
          <w:szCs w:val="22"/>
        </w:rPr>
      </w:pPr>
      <w:r w:rsidRPr="008E345C">
        <w:rPr>
          <w:bCs/>
          <w:szCs w:val="22"/>
        </w:rPr>
        <w:t>The PBAC noted that no consumer comments were received for this item</w:t>
      </w:r>
      <w:r w:rsidR="008E345C" w:rsidRPr="008E345C">
        <w:rPr>
          <w:bCs/>
          <w:szCs w:val="22"/>
        </w:rPr>
        <w:t>.</w:t>
      </w:r>
    </w:p>
    <w:p w:rsidR="00281A34" w:rsidRPr="00281A34" w:rsidRDefault="00281A34" w:rsidP="00996B1A">
      <w:pPr>
        <w:widowControl/>
        <w:rPr>
          <w:b/>
          <w:szCs w:val="22"/>
        </w:rPr>
      </w:pPr>
    </w:p>
    <w:p w:rsidR="00B60939" w:rsidRPr="00497F10" w:rsidRDefault="00B60939" w:rsidP="00BB7E0F">
      <w:pPr>
        <w:pStyle w:val="Heading2"/>
      </w:pPr>
      <w:bookmarkStart w:id="10" w:name="_Toc409600043"/>
      <w:r w:rsidRPr="00497F10">
        <w:t>Clinical trials</w:t>
      </w:r>
      <w:bookmarkEnd w:id="10"/>
    </w:p>
    <w:p w:rsidR="00B60939" w:rsidRPr="00882085" w:rsidRDefault="00B60939" w:rsidP="00B60939">
      <w:pPr>
        <w:rPr>
          <w:szCs w:val="22"/>
        </w:rPr>
      </w:pPr>
    </w:p>
    <w:p w:rsidR="007F1017" w:rsidRPr="00D06FD4" w:rsidRDefault="001B6188" w:rsidP="00AC3A0F">
      <w:pPr>
        <w:pStyle w:val="ListParagraph"/>
        <w:widowControl/>
        <w:numPr>
          <w:ilvl w:val="1"/>
          <w:numId w:val="3"/>
        </w:numPr>
        <w:rPr>
          <w:szCs w:val="22"/>
        </w:rPr>
      </w:pPr>
      <w:r w:rsidRPr="00862502">
        <w:t xml:space="preserve">The </w:t>
      </w:r>
      <w:r w:rsidR="0036395B">
        <w:t>re</w:t>
      </w:r>
      <w:r w:rsidRPr="00862502">
        <w:t xml:space="preserve">submission </w:t>
      </w:r>
      <w:r w:rsidR="002C4D33">
        <w:t>was</w:t>
      </w:r>
      <w:r w:rsidRPr="00862502">
        <w:t xml:space="preserve"> based on </w:t>
      </w:r>
      <w:r w:rsidR="009D4F50">
        <w:t>two formal indirect analyses comparing lurasidone (Trial 231) with ziprasidone (Kane 2009) and with aripiprazole (Breier 2005), with olanzapine as the common comparator. The multi-treatment meta-analysis by Leucht et al (2013)</w:t>
      </w:r>
      <w:r w:rsidR="0003047C">
        <w:t>, identified in the March 2014 c</w:t>
      </w:r>
      <w:r w:rsidR="009D4F50">
        <w:t xml:space="preserve">ommentary </w:t>
      </w:r>
      <w:r w:rsidR="002C4D33">
        <w:t>was</w:t>
      </w:r>
      <w:r w:rsidR="009D4F50">
        <w:t xml:space="preserve"> presented as supportive evidence. Trial 254, a phase 2 </w:t>
      </w:r>
      <w:r w:rsidR="002C4D33">
        <w:t xml:space="preserve">three week </w:t>
      </w:r>
      <w:r w:rsidR="009D4F50">
        <w:t xml:space="preserve">safety trial comparing lurasidone with ziprasidone included in the previous submission, </w:t>
      </w:r>
      <w:r w:rsidR="002C4D33">
        <w:t>was</w:t>
      </w:r>
      <w:r w:rsidR="009D4F50">
        <w:t xml:space="preserve"> appropriately excluded.</w:t>
      </w:r>
    </w:p>
    <w:p w:rsidR="001B6188" w:rsidRPr="001B6188" w:rsidRDefault="001B6188" w:rsidP="001B6188">
      <w:pPr>
        <w:widowControl/>
        <w:rPr>
          <w:szCs w:val="22"/>
        </w:rPr>
      </w:pPr>
    </w:p>
    <w:p w:rsidR="00961AF9" w:rsidRPr="009D4F50" w:rsidRDefault="00961AF9" w:rsidP="00AC3A0F">
      <w:pPr>
        <w:pStyle w:val="ListParagraph"/>
        <w:keepNext/>
        <w:keepLines/>
        <w:widowControl/>
        <w:numPr>
          <w:ilvl w:val="1"/>
          <w:numId w:val="3"/>
        </w:numPr>
        <w:rPr>
          <w:rStyle w:val="CommentReference"/>
          <w:rFonts w:ascii="Arial" w:hAnsi="Arial"/>
          <w:b w:val="0"/>
          <w:sz w:val="22"/>
          <w:szCs w:val="22"/>
        </w:rPr>
      </w:pPr>
      <w:r w:rsidRPr="000812CA">
        <w:rPr>
          <w:rStyle w:val="CommentReference"/>
        </w:rPr>
        <w:lastRenderedPageBreak/>
        <w:t xml:space="preserve">Trials and associated reports presented in the </w:t>
      </w:r>
      <w:r w:rsidR="009D4F50">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resubmission"/>
      </w:tblPr>
      <w:tblGrid>
        <w:gridCol w:w="1626"/>
        <w:gridCol w:w="4608"/>
        <w:gridCol w:w="2111"/>
      </w:tblGrid>
      <w:tr w:rsidR="00D06FD4" w:rsidRPr="004E2ADC" w:rsidTr="0079744D">
        <w:trPr>
          <w:tblHeader/>
        </w:trPr>
        <w:tc>
          <w:tcPr>
            <w:tcW w:w="974" w:type="pct"/>
            <w:tcBorders>
              <w:top w:val="single" w:sz="4" w:space="0" w:color="auto"/>
              <w:left w:val="single" w:sz="4" w:space="0" w:color="auto"/>
              <w:bottom w:val="single" w:sz="4" w:space="0" w:color="auto"/>
              <w:right w:val="single" w:sz="4" w:space="0" w:color="auto"/>
            </w:tcBorders>
          </w:tcPr>
          <w:p w:rsidR="00D06FD4" w:rsidRPr="004E2ADC" w:rsidRDefault="00D06FD4" w:rsidP="003A7570">
            <w:pPr>
              <w:keepNext/>
              <w:keepLines/>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761" w:type="pct"/>
            <w:tcBorders>
              <w:top w:val="single" w:sz="4" w:space="0" w:color="auto"/>
              <w:left w:val="single" w:sz="4" w:space="0" w:color="auto"/>
              <w:bottom w:val="single" w:sz="4" w:space="0" w:color="auto"/>
              <w:right w:val="single" w:sz="4" w:space="0" w:color="auto"/>
            </w:tcBorders>
          </w:tcPr>
          <w:p w:rsidR="00D06FD4" w:rsidRPr="004E2ADC" w:rsidRDefault="00D06FD4" w:rsidP="003A7570">
            <w:pPr>
              <w:keepNext/>
              <w:keepLines/>
              <w:jc w:val="center"/>
              <w:rPr>
                <w:rFonts w:ascii="Arial Narrow" w:hAnsi="Arial Narrow"/>
                <w:b/>
                <w:sz w:val="20"/>
              </w:rPr>
            </w:pPr>
            <w:r w:rsidRPr="004E2ADC">
              <w:rPr>
                <w:rFonts w:ascii="Arial Narrow" w:hAnsi="Arial Narrow"/>
                <w:b/>
                <w:sz w:val="20"/>
              </w:rPr>
              <w:t>Protocol title/ Publication title</w:t>
            </w:r>
          </w:p>
        </w:tc>
        <w:tc>
          <w:tcPr>
            <w:tcW w:w="1265" w:type="pct"/>
            <w:tcBorders>
              <w:top w:val="single" w:sz="4" w:space="0" w:color="auto"/>
              <w:left w:val="single" w:sz="4" w:space="0" w:color="auto"/>
              <w:bottom w:val="single" w:sz="4" w:space="0" w:color="auto"/>
              <w:right w:val="single" w:sz="4" w:space="0" w:color="auto"/>
            </w:tcBorders>
          </w:tcPr>
          <w:p w:rsidR="00D06FD4" w:rsidRPr="004E2ADC" w:rsidRDefault="00D06FD4" w:rsidP="003A7570">
            <w:pPr>
              <w:keepNext/>
              <w:keepLines/>
              <w:jc w:val="center"/>
              <w:rPr>
                <w:rFonts w:ascii="Arial Narrow" w:hAnsi="Arial Narrow"/>
                <w:b/>
                <w:sz w:val="20"/>
              </w:rPr>
            </w:pPr>
            <w:r w:rsidRPr="004E2ADC">
              <w:rPr>
                <w:rFonts w:ascii="Arial Narrow" w:hAnsi="Arial Narrow"/>
                <w:b/>
                <w:sz w:val="20"/>
              </w:rPr>
              <w:t>Publication citation</w:t>
            </w:r>
          </w:p>
        </w:tc>
      </w:tr>
      <w:tr w:rsidR="00D06FD4" w:rsidRPr="004E2ADC" w:rsidTr="00D06FD4">
        <w:tc>
          <w:tcPr>
            <w:tcW w:w="5000" w:type="pct"/>
            <w:gridSpan w:val="3"/>
          </w:tcPr>
          <w:p w:rsidR="00D06FD4" w:rsidRPr="004E2ADC" w:rsidRDefault="0079744D" w:rsidP="003A7570">
            <w:pPr>
              <w:keepNext/>
              <w:keepLines/>
              <w:jc w:val="left"/>
              <w:rPr>
                <w:rFonts w:ascii="Arial Narrow" w:hAnsi="Arial Narrow"/>
                <w:b/>
                <w:sz w:val="20"/>
              </w:rPr>
            </w:pPr>
            <w:r>
              <w:rPr>
                <w:rFonts w:ascii="Arial Narrow" w:hAnsi="Arial Narrow"/>
                <w:b/>
                <w:sz w:val="20"/>
              </w:rPr>
              <w:t>Lurasidone vs olanzapine</w:t>
            </w:r>
          </w:p>
        </w:tc>
      </w:tr>
      <w:tr w:rsidR="0079744D" w:rsidRPr="0079744D" w:rsidTr="0079744D">
        <w:tc>
          <w:tcPr>
            <w:tcW w:w="974" w:type="pct"/>
          </w:tcPr>
          <w:p w:rsidR="0079744D" w:rsidRPr="0079744D" w:rsidRDefault="0079744D" w:rsidP="003A7570">
            <w:pPr>
              <w:pStyle w:val="TableText0"/>
              <w:keepLines/>
              <w:spacing w:before="0" w:after="0"/>
              <w:rPr>
                <w:rFonts w:cs="Arial"/>
                <w:lang w:eastAsia="en-AU"/>
              </w:rPr>
            </w:pPr>
            <w:r w:rsidRPr="0079744D">
              <w:rPr>
                <w:rFonts w:cs="Arial"/>
                <w:lang w:eastAsia="en-AU"/>
              </w:rPr>
              <w:t>Trial 231</w:t>
            </w:r>
          </w:p>
          <w:p w:rsidR="0079744D" w:rsidRPr="0079744D" w:rsidRDefault="0079744D" w:rsidP="003A7570">
            <w:pPr>
              <w:keepNext/>
              <w:keepLines/>
              <w:jc w:val="left"/>
              <w:rPr>
                <w:rFonts w:ascii="Arial Narrow" w:hAnsi="Arial Narrow"/>
                <w:sz w:val="20"/>
              </w:rPr>
            </w:pPr>
            <w:r w:rsidRPr="0079744D">
              <w:rPr>
                <w:rFonts w:ascii="Arial Narrow" w:hAnsi="Arial Narrow"/>
                <w:sz w:val="20"/>
                <w:lang w:eastAsia="en-AU"/>
              </w:rPr>
              <w:t>(Meltzer 2011)</w:t>
            </w:r>
          </w:p>
        </w:tc>
        <w:tc>
          <w:tcPr>
            <w:tcW w:w="2761" w:type="pct"/>
          </w:tcPr>
          <w:p w:rsidR="0079744D" w:rsidRPr="0079744D" w:rsidRDefault="0079744D" w:rsidP="003A7570">
            <w:pPr>
              <w:pStyle w:val="TableText0"/>
              <w:keepLines/>
              <w:spacing w:before="0" w:after="0"/>
              <w:rPr>
                <w:rFonts w:cs="Arial"/>
                <w:lang w:eastAsia="en-AU"/>
              </w:rPr>
            </w:pPr>
            <w:r>
              <w:rPr>
                <w:rFonts w:cs="Times New Roman"/>
                <w:bCs/>
              </w:rPr>
              <w:t>Clinical Study Report: A phase 3 randomized, placebo</w:t>
            </w:r>
            <w:r w:rsidRPr="006419E7">
              <w:rPr>
                <w:rFonts w:cs="Times New Roman"/>
                <w:bCs/>
              </w:rPr>
              <w:t xml:space="preserve"> and active</w:t>
            </w:r>
            <w:r>
              <w:rPr>
                <w:rFonts w:cs="Times New Roman"/>
                <w:bCs/>
              </w:rPr>
              <w:t xml:space="preserve"> comparator </w:t>
            </w:r>
            <w:r w:rsidRPr="006419E7">
              <w:rPr>
                <w:rFonts w:cs="Times New Roman"/>
                <w:bCs/>
              </w:rPr>
              <w:t>controlled clinical trial to</w:t>
            </w:r>
            <w:r>
              <w:rPr>
                <w:rFonts w:cs="Times New Roman"/>
                <w:bCs/>
              </w:rPr>
              <w:t xml:space="preserve"> </w:t>
            </w:r>
            <w:r w:rsidRPr="006419E7">
              <w:rPr>
                <w:rFonts w:cs="Times New Roman"/>
                <w:bCs/>
              </w:rPr>
              <w:t>study the safety and efficacy of two doses</w:t>
            </w:r>
            <w:r>
              <w:rPr>
                <w:rFonts w:cs="Times New Roman"/>
                <w:bCs/>
              </w:rPr>
              <w:t xml:space="preserve"> </w:t>
            </w:r>
            <w:r w:rsidRPr="006419E7">
              <w:rPr>
                <w:rFonts w:cs="Times New Roman"/>
                <w:bCs/>
              </w:rPr>
              <w:t>of lur</w:t>
            </w:r>
            <w:r>
              <w:rPr>
                <w:rFonts w:cs="Times New Roman"/>
                <w:bCs/>
              </w:rPr>
              <w:t xml:space="preserve">asidone HCL in acutely psychotic </w:t>
            </w:r>
            <w:r w:rsidRPr="006419E7">
              <w:rPr>
                <w:rFonts w:cs="Times New Roman"/>
                <w:bCs/>
              </w:rPr>
              <w:t>patients with schizophrenia</w:t>
            </w:r>
            <w:r>
              <w:rPr>
                <w:rFonts w:cs="Times New Roman"/>
                <w:bCs/>
              </w:rPr>
              <w:t>.</w:t>
            </w:r>
          </w:p>
          <w:p w:rsidR="0079744D" w:rsidRPr="0079744D" w:rsidRDefault="0079744D" w:rsidP="003A7570">
            <w:pPr>
              <w:keepNext/>
              <w:keepLines/>
              <w:jc w:val="left"/>
              <w:rPr>
                <w:rFonts w:ascii="Arial Narrow" w:hAnsi="Arial Narrow"/>
                <w:b/>
                <w:sz w:val="20"/>
              </w:rPr>
            </w:pPr>
            <w:r w:rsidRPr="0079744D">
              <w:rPr>
                <w:rFonts w:ascii="Arial Narrow" w:hAnsi="Arial Narrow"/>
                <w:sz w:val="20"/>
                <w:lang w:eastAsia="en-AU"/>
              </w:rPr>
              <w:t xml:space="preserve">Meltzer HY, Cucchiaro J, Silva R, et al. Lurasidone in the treatment of schizophrenia: a randomized, double-blind, placebo- and olanzapine-controlled study. </w:t>
            </w:r>
          </w:p>
        </w:tc>
        <w:tc>
          <w:tcPr>
            <w:tcW w:w="1265" w:type="pct"/>
          </w:tcPr>
          <w:p w:rsidR="0079744D" w:rsidRPr="0079744D" w:rsidRDefault="0079744D" w:rsidP="003A7570">
            <w:pPr>
              <w:keepNext/>
              <w:keepLines/>
              <w:jc w:val="left"/>
              <w:rPr>
                <w:rFonts w:ascii="Arial Narrow" w:hAnsi="Arial Narrow"/>
                <w:sz w:val="20"/>
              </w:rPr>
            </w:pPr>
            <w:r>
              <w:rPr>
                <w:rFonts w:ascii="Arial Narrow" w:hAnsi="Arial Narrow"/>
                <w:sz w:val="20"/>
              </w:rPr>
              <w:t>23 October 2009.</w:t>
            </w:r>
          </w:p>
          <w:p w:rsidR="0079744D" w:rsidRDefault="0079744D" w:rsidP="003A7570">
            <w:pPr>
              <w:keepNext/>
              <w:keepLines/>
              <w:jc w:val="left"/>
              <w:rPr>
                <w:rFonts w:ascii="Arial Narrow" w:hAnsi="Arial Narrow"/>
                <w:i/>
                <w:sz w:val="20"/>
                <w:lang w:eastAsia="en-AU"/>
              </w:rPr>
            </w:pPr>
          </w:p>
          <w:p w:rsidR="0079744D" w:rsidRDefault="0079744D" w:rsidP="003A7570">
            <w:pPr>
              <w:keepNext/>
              <w:keepLines/>
              <w:jc w:val="left"/>
              <w:rPr>
                <w:rFonts w:ascii="Arial Narrow" w:hAnsi="Arial Narrow"/>
                <w:i/>
                <w:sz w:val="20"/>
                <w:lang w:eastAsia="en-AU"/>
              </w:rPr>
            </w:pPr>
          </w:p>
          <w:p w:rsidR="0079744D" w:rsidRDefault="0079744D" w:rsidP="003A7570">
            <w:pPr>
              <w:keepNext/>
              <w:keepLines/>
              <w:jc w:val="left"/>
              <w:rPr>
                <w:rFonts w:ascii="Arial Narrow" w:hAnsi="Arial Narrow"/>
                <w:i/>
                <w:sz w:val="20"/>
                <w:lang w:eastAsia="en-AU"/>
              </w:rPr>
            </w:pPr>
          </w:p>
          <w:p w:rsidR="0079744D" w:rsidRPr="0079744D" w:rsidRDefault="0079744D" w:rsidP="003A7570">
            <w:pPr>
              <w:keepNext/>
              <w:keepLines/>
              <w:jc w:val="left"/>
              <w:rPr>
                <w:rFonts w:ascii="Arial Narrow" w:hAnsi="Arial Narrow"/>
                <w:b/>
                <w:sz w:val="20"/>
              </w:rPr>
            </w:pPr>
            <w:r w:rsidRPr="0079744D">
              <w:rPr>
                <w:rFonts w:ascii="Arial Narrow" w:hAnsi="Arial Narrow"/>
                <w:i/>
                <w:sz w:val="20"/>
                <w:lang w:eastAsia="en-AU"/>
              </w:rPr>
              <w:t>American Journal of Psychiatry</w:t>
            </w:r>
            <w:r>
              <w:rPr>
                <w:rFonts w:ascii="Arial Narrow" w:hAnsi="Arial Narrow"/>
                <w:sz w:val="20"/>
                <w:lang w:eastAsia="en-AU"/>
              </w:rPr>
              <w:t xml:space="preserve">. </w:t>
            </w:r>
            <w:r w:rsidRPr="0079744D">
              <w:rPr>
                <w:rFonts w:ascii="Arial Narrow" w:hAnsi="Arial Narrow"/>
                <w:sz w:val="20"/>
                <w:lang w:eastAsia="en-AU"/>
              </w:rPr>
              <w:t>2011;</w:t>
            </w:r>
            <w:r>
              <w:rPr>
                <w:rFonts w:ascii="Arial Narrow" w:hAnsi="Arial Narrow"/>
                <w:sz w:val="20"/>
                <w:lang w:eastAsia="en-AU"/>
              </w:rPr>
              <w:t xml:space="preserve"> </w:t>
            </w:r>
            <w:r w:rsidRPr="0079744D">
              <w:rPr>
                <w:rFonts w:ascii="Arial Narrow" w:hAnsi="Arial Narrow"/>
                <w:sz w:val="20"/>
                <w:lang w:eastAsia="en-AU"/>
              </w:rPr>
              <w:t>168(9):957-967.</w:t>
            </w:r>
          </w:p>
        </w:tc>
      </w:tr>
      <w:tr w:rsidR="0079744D" w:rsidRPr="004E2ADC" w:rsidTr="00D06FD4">
        <w:tc>
          <w:tcPr>
            <w:tcW w:w="5000" w:type="pct"/>
            <w:gridSpan w:val="3"/>
          </w:tcPr>
          <w:p w:rsidR="0079744D" w:rsidRPr="004E2ADC" w:rsidRDefault="0079744D" w:rsidP="003A7570">
            <w:pPr>
              <w:keepNext/>
              <w:keepLines/>
              <w:jc w:val="left"/>
              <w:rPr>
                <w:rFonts w:ascii="Arial Narrow" w:hAnsi="Arial Narrow"/>
                <w:b/>
                <w:sz w:val="20"/>
              </w:rPr>
            </w:pPr>
            <w:r>
              <w:rPr>
                <w:rFonts w:ascii="Arial Narrow" w:hAnsi="Arial Narrow"/>
                <w:b/>
                <w:sz w:val="20"/>
              </w:rPr>
              <w:t>Ziprasidone vs olanzapine</w:t>
            </w:r>
          </w:p>
        </w:tc>
      </w:tr>
      <w:tr w:rsidR="0079744D" w:rsidRPr="0079744D" w:rsidTr="0079744D">
        <w:tc>
          <w:tcPr>
            <w:tcW w:w="974" w:type="pct"/>
          </w:tcPr>
          <w:p w:rsidR="0079744D" w:rsidRPr="0079744D" w:rsidRDefault="0079744D" w:rsidP="003A7570">
            <w:pPr>
              <w:keepNext/>
              <w:keepLines/>
              <w:jc w:val="left"/>
              <w:rPr>
                <w:rFonts w:ascii="Arial Narrow" w:hAnsi="Arial Narrow"/>
                <w:sz w:val="20"/>
              </w:rPr>
            </w:pPr>
            <w:r w:rsidRPr="0079744D">
              <w:rPr>
                <w:rFonts w:ascii="Arial Narrow" w:hAnsi="Arial Narrow"/>
                <w:sz w:val="20"/>
                <w:lang w:eastAsia="en-AU"/>
              </w:rPr>
              <w:t>Breier 2005</w:t>
            </w:r>
          </w:p>
        </w:tc>
        <w:tc>
          <w:tcPr>
            <w:tcW w:w="2761" w:type="pct"/>
          </w:tcPr>
          <w:p w:rsidR="0079744D" w:rsidRPr="0079744D" w:rsidRDefault="0079744D" w:rsidP="003A7570">
            <w:pPr>
              <w:keepNext/>
              <w:keepLines/>
              <w:jc w:val="left"/>
              <w:rPr>
                <w:rFonts w:ascii="Arial Narrow" w:hAnsi="Arial Narrow"/>
                <w:b/>
                <w:sz w:val="20"/>
              </w:rPr>
            </w:pPr>
            <w:r w:rsidRPr="0079744D">
              <w:rPr>
                <w:rFonts w:ascii="Arial Narrow" w:hAnsi="Arial Narrow"/>
                <w:sz w:val="20"/>
                <w:lang w:eastAsia="en-AU"/>
              </w:rPr>
              <w:t>Breier A, Berg PH, Thakore JH, et al. Olanzapine versus ziprasidone: results of a 28-week double-blind study in patients with schizophrenia</w:t>
            </w:r>
            <w:r w:rsidRPr="0079744D">
              <w:rPr>
                <w:rFonts w:ascii="Arial Narrow" w:hAnsi="Arial Narrow"/>
                <w:sz w:val="20"/>
              </w:rPr>
              <w:t>.</w:t>
            </w:r>
          </w:p>
        </w:tc>
        <w:tc>
          <w:tcPr>
            <w:tcW w:w="1265" w:type="pct"/>
          </w:tcPr>
          <w:p w:rsidR="0079744D" w:rsidRPr="0079744D" w:rsidRDefault="0079744D" w:rsidP="003A7570">
            <w:pPr>
              <w:keepNext/>
              <w:keepLines/>
              <w:jc w:val="left"/>
              <w:rPr>
                <w:rFonts w:ascii="Arial Narrow" w:hAnsi="Arial Narrow"/>
                <w:b/>
                <w:sz w:val="20"/>
              </w:rPr>
            </w:pPr>
            <w:r w:rsidRPr="0079744D">
              <w:rPr>
                <w:rFonts w:ascii="Arial Narrow" w:hAnsi="Arial Narrow"/>
                <w:i/>
                <w:sz w:val="20"/>
                <w:lang w:eastAsia="en-AU"/>
              </w:rPr>
              <w:t>American Journal of Psychiatry</w:t>
            </w:r>
            <w:r w:rsidRPr="0079744D">
              <w:rPr>
                <w:rFonts w:ascii="Arial Narrow" w:hAnsi="Arial Narrow"/>
                <w:sz w:val="20"/>
                <w:lang w:eastAsia="en-AU"/>
              </w:rPr>
              <w:t>. 2005;</w:t>
            </w:r>
            <w:r>
              <w:rPr>
                <w:rFonts w:ascii="Arial Narrow" w:hAnsi="Arial Narrow"/>
                <w:sz w:val="20"/>
                <w:lang w:eastAsia="en-AU"/>
              </w:rPr>
              <w:t xml:space="preserve"> </w:t>
            </w:r>
            <w:r w:rsidRPr="0079744D">
              <w:rPr>
                <w:rFonts w:ascii="Arial Narrow" w:hAnsi="Arial Narrow"/>
                <w:sz w:val="20"/>
                <w:lang w:eastAsia="en-AU"/>
              </w:rPr>
              <w:t>162(10):18799-1887.</w:t>
            </w:r>
          </w:p>
        </w:tc>
      </w:tr>
      <w:tr w:rsidR="0079744D" w:rsidRPr="004E2ADC" w:rsidTr="00D06FD4">
        <w:tc>
          <w:tcPr>
            <w:tcW w:w="5000" w:type="pct"/>
            <w:gridSpan w:val="3"/>
          </w:tcPr>
          <w:p w:rsidR="0079744D" w:rsidRPr="004E2ADC" w:rsidRDefault="0079744D" w:rsidP="003A7570">
            <w:pPr>
              <w:keepNext/>
              <w:keepLines/>
              <w:jc w:val="left"/>
              <w:rPr>
                <w:rFonts w:ascii="Arial Narrow" w:hAnsi="Arial Narrow"/>
                <w:b/>
                <w:sz w:val="20"/>
              </w:rPr>
            </w:pPr>
            <w:r>
              <w:rPr>
                <w:rFonts w:ascii="Arial Narrow" w:hAnsi="Arial Narrow"/>
                <w:b/>
                <w:sz w:val="20"/>
              </w:rPr>
              <w:t>Aripiprazole vs olanzapine</w:t>
            </w:r>
          </w:p>
        </w:tc>
      </w:tr>
      <w:tr w:rsidR="0079744D" w:rsidRPr="0079744D" w:rsidTr="0079744D">
        <w:tc>
          <w:tcPr>
            <w:tcW w:w="974" w:type="pct"/>
          </w:tcPr>
          <w:p w:rsidR="0079744D" w:rsidRPr="0079744D" w:rsidRDefault="0079744D" w:rsidP="003A7570">
            <w:pPr>
              <w:keepNext/>
              <w:keepLines/>
              <w:jc w:val="left"/>
              <w:rPr>
                <w:rFonts w:ascii="Arial Narrow" w:hAnsi="Arial Narrow"/>
                <w:sz w:val="20"/>
              </w:rPr>
            </w:pPr>
            <w:r w:rsidRPr="0079744D">
              <w:rPr>
                <w:rFonts w:ascii="Arial Narrow" w:hAnsi="Arial Narrow"/>
                <w:sz w:val="20"/>
                <w:lang w:eastAsia="en-AU"/>
              </w:rPr>
              <w:t>Kane 2009</w:t>
            </w:r>
          </w:p>
        </w:tc>
        <w:tc>
          <w:tcPr>
            <w:tcW w:w="2761" w:type="pct"/>
          </w:tcPr>
          <w:p w:rsidR="0079744D" w:rsidRPr="0079744D" w:rsidRDefault="0079744D" w:rsidP="003A7570">
            <w:pPr>
              <w:keepNext/>
              <w:keepLines/>
              <w:jc w:val="left"/>
              <w:rPr>
                <w:rFonts w:ascii="Arial Narrow" w:hAnsi="Arial Narrow"/>
                <w:b/>
                <w:sz w:val="20"/>
              </w:rPr>
            </w:pPr>
            <w:r w:rsidRPr="0079744D">
              <w:rPr>
                <w:rFonts w:ascii="Arial Narrow" w:hAnsi="Arial Narrow"/>
                <w:sz w:val="20"/>
                <w:lang w:eastAsia="en-AU"/>
              </w:rPr>
              <w:t xml:space="preserve">Kane JM, Osuntokun O, Kyrzhanovskaya LA, et al. A 28-week, randomized, double-blind study of olanzapine versus aripiprazole in the treatment of schizophrenia. </w:t>
            </w:r>
          </w:p>
        </w:tc>
        <w:tc>
          <w:tcPr>
            <w:tcW w:w="1265" w:type="pct"/>
          </w:tcPr>
          <w:p w:rsidR="0079744D" w:rsidRPr="0079744D" w:rsidRDefault="0079744D" w:rsidP="003A7570">
            <w:pPr>
              <w:keepNext/>
              <w:keepLines/>
              <w:jc w:val="left"/>
              <w:rPr>
                <w:rFonts w:ascii="Arial Narrow" w:hAnsi="Arial Narrow"/>
                <w:b/>
                <w:sz w:val="20"/>
              </w:rPr>
            </w:pPr>
            <w:r w:rsidRPr="0079744D">
              <w:rPr>
                <w:rFonts w:ascii="Arial Narrow" w:hAnsi="Arial Narrow"/>
                <w:i/>
                <w:sz w:val="20"/>
                <w:lang w:eastAsia="en-AU"/>
              </w:rPr>
              <w:t>Journal of Clinical Psychiatry</w:t>
            </w:r>
            <w:r w:rsidRPr="0079744D">
              <w:rPr>
                <w:rFonts w:ascii="Arial Narrow" w:hAnsi="Arial Narrow"/>
                <w:sz w:val="20"/>
                <w:lang w:eastAsia="en-AU"/>
              </w:rPr>
              <w:t>. 2009;</w:t>
            </w:r>
            <w:r>
              <w:rPr>
                <w:rFonts w:ascii="Arial Narrow" w:hAnsi="Arial Narrow"/>
                <w:sz w:val="20"/>
                <w:lang w:eastAsia="en-AU"/>
              </w:rPr>
              <w:t xml:space="preserve"> </w:t>
            </w:r>
            <w:r w:rsidRPr="0079744D">
              <w:rPr>
                <w:rFonts w:ascii="Arial Narrow" w:hAnsi="Arial Narrow"/>
                <w:sz w:val="20"/>
                <w:lang w:eastAsia="en-AU"/>
              </w:rPr>
              <w:t>70(4):572-581.</w:t>
            </w:r>
          </w:p>
        </w:tc>
      </w:tr>
      <w:tr w:rsidR="009D4F50" w:rsidRPr="0079744D" w:rsidTr="009D4F50">
        <w:tc>
          <w:tcPr>
            <w:tcW w:w="5000" w:type="pct"/>
            <w:gridSpan w:val="3"/>
          </w:tcPr>
          <w:p w:rsidR="009D4F50" w:rsidRPr="009D4F50" w:rsidRDefault="007F3BC7" w:rsidP="003A7570">
            <w:pPr>
              <w:keepNext/>
              <w:keepLines/>
              <w:jc w:val="left"/>
              <w:rPr>
                <w:rFonts w:ascii="Arial Narrow" w:hAnsi="Arial Narrow"/>
                <w:b/>
                <w:i/>
                <w:sz w:val="20"/>
                <w:lang w:eastAsia="en-AU"/>
              </w:rPr>
            </w:pPr>
            <w:r w:rsidRPr="007F3BC7">
              <w:rPr>
                <w:rFonts w:ascii="Arial Narrow" w:eastAsia="MS Mincho" w:hAnsi="Arial Narrow"/>
                <w:b/>
                <w:sz w:val="20"/>
                <w:szCs w:val="24"/>
              </w:rPr>
              <w:t>Atypical antipsychotic m</w:t>
            </w:r>
            <w:r w:rsidR="009D4F50" w:rsidRPr="009D4F50">
              <w:rPr>
                <w:rFonts w:ascii="Arial Narrow" w:hAnsi="Arial Narrow"/>
                <w:b/>
                <w:sz w:val="20"/>
                <w:lang w:eastAsia="en-AU"/>
              </w:rPr>
              <w:t>ulti-treatment meta-analysis</w:t>
            </w:r>
          </w:p>
        </w:tc>
      </w:tr>
      <w:tr w:rsidR="009D4F50" w:rsidRPr="0079744D" w:rsidTr="0079744D">
        <w:tc>
          <w:tcPr>
            <w:tcW w:w="974" w:type="pct"/>
          </w:tcPr>
          <w:p w:rsidR="009D4F50" w:rsidRPr="0079744D" w:rsidRDefault="002F602A" w:rsidP="003A7570">
            <w:pPr>
              <w:keepNext/>
              <w:keepLines/>
              <w:jc w:val="left"/>
              <w:rPr>
                <w:rFonts w:ascii="Arial Narrow" w:hAnsi="Arial Narrow"/>
                <w:sz w:val="20"/>
                <w:lang w:eastAsia="en-AU"/>
              </w:rPr>
            </w:pPr>
            <w:r w:rsidRPr="002F602A">
              <w:rPr>
                <w:rFonts w:ascii="Arial Narrow" w:hAnsi="Arial Narrow"/>
                <w:sz w:val="20"/>
                <w:lang w:eastAsia="en-AU"/>
              </w:rPr>
              <w:t>Leucht (2013</w:t>
            </w:r>
            <w:r>
              <w:rPr>
                <w:rFonts w:ascii="Arial Narrow" w:hAnsi="Arial Narrow"/>
                <w:sz w:val="20"/>
                <w:lang w:eastAsia="en-AU"/>
              </w:rPr>
              <w:t>)</w:t>
            </w:r>
          </w:p>
        </w:tc>
        <w:tc>
          <w:tcPr>
            <w:tcW w:w="2761" w:type="pct"/>
          </w:tcPr>
          <w:p w:rsidR="009D4F50" w:rsidRPr="0079744D" w:rsidRDefault="002F602A" w:rsidP="003A7570">
            <w:pPr>
              <w:keepNext/>
              <w:keepLines/>
              <w:jc w:val="left"/>
              <w:rPr>
                <w:rFonts w:ascii="Arial Narrow" w:hAnsi="Arial Narrow"/>
                <w:sz w:val="20"/>
                <w:lang w:eastAsia="en-AU"/>
              </w:rPr>
            </w:pPr>
            <w:r>
              <w:rPr>
                <w:rFonts w:ascii="Arial Narrow" w:hAnsi="Arial Narrow"/>
                <w:sz w:val="20"/>
              </w:rPr>
              <w:t>Leucht</w:t>
            </w:r>
            <w:r w:rsidRPr="008E5297">
              <w:rPr>
                <w:rFonts w:ascii="Arial Narrow" w:hAnsi="Arial Narrow"/>
                <w:sz w:val="20"/>
              </w:rPr>
              <w:t xml:space="preserve"> S, </w:t>
            </w:r>
            <w:r>
              <w:rPr>
                <w:rFonts w:ascii="Arial Narrow" w:hAnsi="Arial Narrow"/>
                <w:sz w:val="20"/>
              </w:rPr>
              <w:t>Ciprianio A,</w:t>
            </w:r>
            <w:r w:rsidRPr="008E5297">
              <w:rPr>
                <w:rFonts w:ascii="Arial Narrow" w:hAnsi="Arial Narrow"/>
                <w:sz w:val="20"/>
              </w:rPr>
              <w:t xml:space="preserve"> </w:t>
            </w:r>
            <w:r>
              <w:rPr>
                <w:rFonts w:ascii="Arial Narrow" w:hAnsi="Arial Narrow"/>
                <w:sz w:val="20"/>
              </w:rPr>
              <w:t>Speneli</w:t>
            </w:r>
            <w:r w:rsidRPr="008E5297">
              <w:rPr>
                <w:rFonts w:ascii="Arial Narrow" w:hAnsi="Arial Narrow"/>
                <w:sz w:val="20"/>
              </w:rPr>
              <w:t xml:space="preserve"> </w:t>
            </w:r>
            <w:r>
              <w:rPr>
                <w:rFonts w:ascii="Arial Narrow" w:hAnsi="Arial Narrow"/>
                <w:sz w:val="20"/>
              </w:rPr>
              <w:t>L</w:t>
            </w:r>
            <w:r w:rsidRPr="008E5297">
              <w:rPr>
                <w:rFonts w:ascii="Arial Narrow" w:hAnsi="Arial Narrow"/>
                <w:sz w:val="20"/>
              </w:rPr>
              <w:t xml:space="preserve">, </w:t>
            </w:r>
            <w:r>
              <w:rPr>
                <w:rFonts w:ascii="Arial Narrow" w:hAnsi="Arial Narrow"/>
                <w:sz w:val="20"/>
              </w:rPr>
              <w:t>et al. C</w:t>
            </w:r>
            <w:r w:rsidRPr="002F602A">
              <w:rPr>
                <w:rFonts w:ascii="Arial Narrow" w:hAnsi="Arial Narrow"/>
                <w:sz w:val="20"/>
              </w:rPr>
              <w:t>omparative efficacy and tolerability of 15 antipsychotic drugs in schizophrenia: a multiple-treatments meta-analysis</w:t>
            </w:r>
            <w:r w:rsidRPr="008E5297">
              <w:rPr>
                <w:rFonts w:ascii="Arial Narrow" w:hAnsi="Arial Narrow"/>
                <w:sz w:val="20"/>
              </w:rPr>
              <w:t>.</w:t>
            </w:r>
          </w:p>
        </w:tc>
        <w:tc>
          <w:tcPr>
            <w:tcW w:w="1265" w:type="pct"/>
          </w:tcPr>
          <w:p w:rsidR="009D4F50" w:rsidRPr="0079744D" w:rsidRDefault="002F602A" w:rsidP="003A7570">
            <w:pPr>
              <w:keepNext/>
              <w:keepLines/>
              <w:jc w:val="left"/>
              <w:rPr>
                <w:rFonts w:ascii="Arial Narrow" w:hAnsi="Arial Narrow"/>
                <w:i/>
                <w:sz w:val="20"/>
                <w:lang w:eastAsia="en-AU"/>
              </w:rPr>
            </w:pPr>
            <w:r>
              <w:rPr>
                <w:rFonts w:ascii="Arial Narrow" w:hAnsi="Arial Narrow"/>
                <w:i/>
                <w:sz w:val="20"/>
              </w:rPr>
              <w:t>The Lancet</w:t>
            </w:r>
            <w:r>
              <w:rPr>
                <w:rFonts w:ascii="Arial Narrow" w:hAnsi="Arial Narrow"/>
                <w:sz w:val="20"/>
              </w:rPr>
              <w:t>. 2013; 382:951-962.</w:t>
            </w:r>
          </w:p>
        </w:tc>
      </w:tr>
    </w:tbl>
    <w:p w:rsidR="001B6188" w:rsidRPr="00961AF9" w:rsidRDefault="00961AF9" w:rsidP="003A7570">
      <w:pPr>
        <w:pStyle w:val="TableFooter"/>
        <w:keepNext/>
        <w:keepLines/>
        <w:ind w:firstLine="709"/>
      </w:pPr>
      <w:r w:rsidRPr="00961AF9">
        <w:t>Source:</w:t>
      </w:r>
      <w:r w:rsidR="0079744D">
        <w:t xml:space="preserve"> Table B.3, pp.40-43 </w:t>
      </w:r>
      <w:r w:rsidRPr="00961AF9">
        <w:t xml:space="preserve">of the </w:t>
      </w:r>
      <w:r w:rsidR="0079744D">
        <w:t>resubmission.</w:t>
      </w:r>
    </w:p>
    <w:p w:rsidR="00373C81" w:rsidRDefault="00373C81">
      <w:pPr>
        <w:widowControl/>
        <w:jc w:val="left"/>
        <w:rPr>
          <w:rStyle w:val="CommentReference"/>
        </w:rPr>
      </w:pPr>
    </w:p>
    <w:p w:rsidR="007F1017" w:rsidRPr="007F3BC7" w:rsidRDefault="007F1017" w:rsidP="00AC3A0F">
      <w:pPr>
        <w:pStyle w:val="ListParagraph"/>
        <w:widowControl/>
        <w:numPr>
          <w:ilvl w:val="1"/>
          <w:numId w:val="3"/>
        </w:numPr>
        <w:rPr>
          <w:rStyle w:val="CommentReference"/>
          <w:rFonts w:ascii="Arial" w:hAnsi="Arial"/>
          <w:b w:val="0"/>
          <w:sz w:val="22"/>
          <w:szCs w:val="22"/>
        </w:rPr>
      </w:pPr>
      <w:r w:rsidRPr="00E2771E">
        <w:rPr>
          <w:rStyle w:val="CommentReference"/>
        </w:rPr>
        <w:t>Key features of the included evidence</w:t>
      </w:r>
      <w:r w:rsidR="0079744D">
        <w:rPr>
          <w:rStyle w:val="CommentReference"/>
        </w:rPr>
        <w:t xml:space="preserve"> – indirect comparison </w:t>
      </w:r>
    </w:p>
    <w:tbl>
      <w:tblPr>
        <w:tblW w:w="4605" w:type="pct"/>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 "/>
      </w:tblPr>
      <w:tblGrid>
        <w:gridCol w:w="984"/>
        <w:gridCol w:w="603"/>
        <w:gridCol w:w="1416"/>
        <w:gridCol w:w="703"/>
        <w:gridCol w:w="1200"/>
        <w:gridCol w:w="1200"/>
        <w:gridCol w:w="1131"/>
        <w:gridCol w:w="1128"/>
      </w:tblGrid>
      <w:tr w:rsidR="00C6230F" w:rsidRPr="00021E49" w:rsidTr="002F602A">
        <w:tc>
          <w:tcPr>
            <w:tcW w:w="592" w:type="pct"/>
            <w:shd w:val="clear" w:color="auto" w:fill="auto"/>
            <w:vAlign w:val="center"/>
          </w:tcPr>
          <w:p w:rsidR="00C6230F" w:rsidRPr="00021E49" w:rsidRDefault="00C6230F" w:rsidP="00D06FD4">
            <w:pPr>
              <w:jc w:val="left"/>
              <w:rPr>
                <w:rFonts w:ascii="Arial Narrow" w:hAnsi="Arial Narrow"/>
                <w:b/>
                <w:sz w:val="20"/>
                <w:lang w:val="en-US"/>
              </w:rPr>
            </w:pPr>
            <w:r w:rsidRPr="00021E49">
              <w:rPr>
                <w:rFonts w:ascii="Arial Narrow" w:hAnsi="Arial Narrow"/>
                <w:b/>
                <w:sz w:val="20"/>
                <w:lang w:val="en-US"/>
              </w:rPr>
              <w:t>Trial</w:t>
            </w:r>
          </w:p>
        </w:tc>
        <w:tc>
          <w:tcPr>
            <w:tcW w:w="338" w:type="pct"/>
            <w:shd w:val="clear" w:color="auto" w:fill="auto"/>
            <w:vAlign w:val="center"/>
          </w:tcPr>
          <w:p w:rsidR="00C6230F" w:rsidRPr="00021E49" w:rsidRDefault="00C6230F" w:rsidP="00D06FD4">
            <w:pPr>
              <w:jc w:val="center"/>
              <w:rPr>
                <w:rFonts w:ascii="Arial Narrow" w:hAnsi="Arial Narrow"/>
                <w:b/>
                <w:sz w:val="20"/>
                <w:lang w:val="en-US"/>
              </w:rPr>
            </w:pPr>
            <w:r w:rsidRPr="00021E49">
              <w:rPr>
                <w:rFonts w:ascii="Arial Narrow" w:hAnsi="Arial Narrow"/>
                <w:b/>
                <w:sz w:val="20"/>
                <w:lang w:val="en-US"/>
              </w:rPr>
              <w:t>N</w:t>
            </w:r>
          </w:p>
        </w:tc>
        <w:tc>
          <w:tcPr>
            <w:tcW w:w="850" w:type="pct"/>
            <w:shd w:val="clear" w:color="auto" w:fill="auto"/>
            <w:vAlign w:val="center"/>
          </w:tcPr>
          <w:p w:rsidR="00C6230F" w:rsidRPr="00021E49" w:rsidRDefault="00C6230F" w:rsidP="00D06FD4">
            <w:pPr>
              <w:jc w:val="center"/>
              <w:rPr>
                <w:rFonts w:ascii="Arial Narrow" w:hAnsi="Arial Narrow"/>
                <w:b/>
                <w:sz w:val="20"/>
                <w:lang w:val="en-US"/>
              </w:rPr>
            </w:pPr>
            <w:r w:rsidRPr="00021E49">
              <w:rPr>
                <w:rFonts w:ascii="Arial Narrow" w:hAnsi="Arial Narrow"/>
                <w:b/>
                <w:sz w:val="20"/>
                <w:lang w:val="en-US"/>
              </w:rPr>
              <w:t>Design/ duration</w:t>
            </w:r>
          </w:p>
        </w:tc>
        <w:tc>
          <w:tcPr>
            <w:tcW w:w="424" w:type="pct"/>
            <w:shd w:val="clear" w:color="auto" w:fill="auto"/>
            <w:vAlign w:val="center"/>
          </w:tcPr>
          <w:p w:rsidR="00C6230F" w:rsidRPr="00021E49" w:rsidRDefault="00C6230F" w:rsidP="00D06FD4">
            <w:pPr>
              <w:jc w:val="center"/>
              <w:rPr>
                <w:rFonts w:ascii="Arial Narrow" w:hAnsi="Arial Narrow"/>
                <w:b/>
                <w:sz w:val="20"/>
                <w:lang w:val="en-US"/>
              </w:rPr>
            </w:pPr>
            <w:r w:rsidRPr="00021E49">
              <w:rPr>
                <w:rFonts w:ascii="Arial Narrow" w:hAnsi="Arial Narrow"/>
                <w:b/>
                <w:sz w:val="20"/>
                <w:lang w:val="en-US"/>
              </w:rPr>
              <w:t>Risk of bias</w:t>
            </w:r>
          </w:p>
        </w:tc>
        <w:tc>
          <w:tcPr>
            <w:tcW w:w="720" w:type="pct"/>
            <w:shd w:val="clear" w:color="auto" w:fill="auto"/>
            <w:vAlign w:val="center"/>
          </w:tcPr>
          <w:p w:rsidR="00C6230F" w:rsidRPr="00021E49" w:rsidRDefault="00C6230F" w:rsidP="00D06FD4">
            <w:pPr>
              <w:jc w:val="center"/>
              <w:rPr>
                <w:rFonts w:ascii="Arial Narrow" w:hAnsi="Arial Narrow"/>
                <w:b/>
                <w:sz w:val="20"/>
                <w:lang w:val="en-US"/>
              </w:rPr>
            </w:pPr>
            <w:r w:rsidRPr="00021E49">
              <w:rPr>
                <w:rFonts w:ascii="Arial Narrow" w:hAnsi="Arial Narrow"/>
                <w:b/>
                <w:sz w:val="20"/>
                <w:lang w:val="en-US"/>
              </w:rPr>
              <w:t>Patient population</w:t>
            </w:r>
          </w:p>
        </w:tc>
        <w:tc>
          <w:tcPr>
            <w:tcW w:w="720" w:type="pct"/>
            <w:shd w:val="clear" w:color="auto" w:fill="auto"/>
            <w:vAlign w:val="center"/>
          </w:tcPr>
          <w:p w:rsidR="00C6230F" w:rsidRPr="00021E49" w:rsidRDefault="00C6230F" w:rsidP="00D06FD4">
            <w:pPr>
              <w:jc w:val="center"/>
              <w:rPr>
                <w:rFonts w:ascii="Arial Narrow" w:hAnsi="Arial Narrow"/>
                <w:b/>
                <w:sz w:val="20"/>
                <w:lang w:val="en-US"/>
              </w:rPr>
            </w:pPr>
            <w:r>
              <w:rPr>
                <w:rFonts w:ascii="Arial Narrow" w:hAnsi="Arial Narrow"/>
                <w:b/>
                <w:sz w:val="20"/>
                <w:lang w:val="en-US"/>
              </w:rPr>
              <w:t>Comparison</w:t>
            </w:r>
          </w:p>
        </w:tc>
        <w:tc>
          <w:tcPr>
            <w:tcW w:w="679" w:type="pct"/>
            <w:shd w:val="clear" w:color="auto" w:fill="auto"/>
            <w:vAlign w:val="center"/>
          </w:tcPr>
          <w:p w:rsidR="00C6230F" w:rsidRPr="00021E49" w:rsidRDefault="00C6230F" w:rsidP="00D06FD4">
            <w:pPr>
              <w:jc w:val="center"/>
              <w:rPr>
                <w:rFonts w:ascii="Arial Narrow" w:hAnsi="Arial Narrow"/>
                <w:b/>
                <w:sz w:val="20"/>
                <w:lang w:val="en-US"/>
              </w:rPr>
            </w:pPr>
            <w:r w:rsidRPr="00021E49">
              <w:rPr>
                <w:rFonts w:ascii="Arial Narrow" w:hAnsi="Arial Narrow"/>
                <w:b/>
                <w:sz w:val="20"/>
                <w:lang w:val="en-US"/>
              </w:rPr>
              <w:t>Outcomes</w:t>
            </w:r>
          </w:p>
        </w:tc>
        <w:tc>
          <w:tcPr>
            <w:tcW w:w="677" w:type="pct"/>
            <w:shd w:val="clear" w:color="auto" w:fill="auto"/>
            <w:vAlign w:val="center"/>
          </w:tcPr>
          <w:p w:rsidR="00C6230F" w:rsidRPr="00021E49" w:rsidRDefault="008A6A8E" w:rsidP="008A6A8E">
            <w:pPr>
              <w:jc w:val="center"/>
              <w:rPr>
                <w:rFonts w:ascii="Arial Narrow" w:hAnsi="Arial Narrow"/>
                <w:b/>
                <w:sz w:val="20"/>
                <w:lang w:val="en-US"/>
              </w:rPr>
            </w:pPr>
            <w:r>
              <w:rPr>
                <w:rFonts w:ascii="Arial Narrow" w:hAnsi="Arial Narrow"/>
                <w:b/>
                <w:sz w:val="20"/>
                <w:lang w:val="en-US"/>
              </w:rPr>
              <w:t xml:space="preserve">Use in economic </w:t>
            </w:r>
            <w:r w:rsidR="00C6230F" w:rsidRPr="00021E49">
              <w:rPr>
                <w:rFonts w:ascii="Arial Narrow" w:hAnsi="Arial Narrow"/>
                <w:b/>
                <w:sz w:val="20"/>
                <w:lang w:val="en-US"/>
              </w:rPr>
              <w:t>evaluation</w:t>
            </w:r>
          </w:p>
        </w:tc>
      </w:tr>
      <w:tr w:rsidR="00D06FD4" w:rsidRPr="00021E49" w:rsidTr="002F602A">
        <w:tc>
          <w:tcPr>
            <w:tcW w:w="5000" w:type="pct"/>
            <w:gridSpan w:val="8"/>
            <w:shd w:val="clear" w:color="auto" w:fill="auto"/>
            <w:vAlign w:val="center"/>
          </w:tcPr>
          <w:p w:rsidR="00D06FD4" w:rsidRPr="00021E49" w:rsidRDefault="00021E49" w:rsidP="00C6230F">
            <w:pPr>
              <w:jc w:val="left"/>
              <w:rPr>
                <w:rFonts w:ascii="Arial Narrow" w:hAnsi="Arial Narrow"/>
                <w:b/>
                <w:sz w:val="20"/>
                <w:lang w:val="en-US"/>
              </w:rPr>
            </w:pPr>
            <w:r>
              <w:rPr>
                <w:rFonts w:ascii="Arial Narrow" w:hAnsi="Arial Narrow"/>
                <w:b/>
                <w:sz w:val="20"/>
                <w:lang w:val="en-US"/>
              </w:rPr>
              <w:t xml:space="preserve">Lurasidone </w:t>
            </w:r>
            <w:r w:rsidR="00DB22E8">
              <w:rPr>
                <w:rFonts w:ascii="Arial Narrow" w:hAnsi="Arial Narrow"/>
                <w:b/>
                <w:sz w:val="20"/>
                <w:lang w:val="en-US"/>
              </w:rPr>
              <w:t xml:space="preserve">40mg or 120mg </w:t>
            </w:r>
            <w:r w:rsidR="00C6230F">
              <w:rPr>
                <w:rFonts w:ascii="Arial Narrow" w:hAnsi="Arial Narrow"/>
                <w:b/>
                <w:sz w:val="20"/>
                <w:lang w:val="en-US"/>
              </w:rPr>
              <w:t>(</w:t>
            </w:r>
            <w:r>
              <w:rPr>
                <w:rFonts w:ascii="Arial Narrow" w:hAnsi="Arial Narrow"/>
                <w:b/>
                <w:sz w:val="20"/>
                <w:lang w:val="en-US"/>
              </w:rPr>
              <w:t>olanzapine</w:t>
            </w:r>
            <w:r w:rsidR="00C6230F">
              <w:rPr>
                <w:rFonts w:ascii="Arial Narrow" w:hAnsi="Arial Narrow"/>
                <w:b/>
                <w:sz w:val="20"/>
                <w:lang w:val="en-US"/>
              </w:rPr>
              <w:t xml:space="preserve"> </w:t>
            </w:r>
            <w:r w:rsidR="009A3DC7">
              <w:rPr>
                <w:rFonts w:ascii="Arial Narrow" w:hAnsi="Arial Narrow"/>
                <w:b/>
                <w:sz w:val="20"/>
                <w:lang w:val="en-US"/>
              </w:rPr>
              <w:t xml:space="preserve">15mg </w:t>
            </w:r>
            <w:r w:rsidR="00C6230F">
              <w:rPr>
                <w:rFonts w:ascii="Arial Narrow" w:hAnsi="Arial Narrow"/>
                <w:b/>
                <w:sz w:val="20"/>
                <w:lang w:val="en-US"/>
              </w:rPr>
              <w:t>common comparator)</w:t>
            </w:r>
          </w:p>
        </w:tc>
      </w:tr>
      <w:tr w:rsidR="00C6230F" w:rsidRPr="00021E49" w:rsidTr="002F602A">
        <w:tc>
          <w:tcPr>
            <w:tcW w:w="592" w:type="pct"/>
            <w:shd w:val="clear" w:color="auto" w:fill="auto"/>
            <w:vAlign w:val="center"/>
          </w:tcPr>
          <w:p w:rsidR="00C6230F" w:rsidRPr="00021E49" w:rsidRDefault="00C6230F" w:rsidP="000E391C">
            <w:pPr>
              <w:jc w:val="left"/>
              <w:rPr>
                <w:rFonts w:ascii="Arial Narrow" w:hAnsi="Arial Narrow"/>
                <w:sz w:val="20"/>
                <w:lang w:val="en-US"/>
              </w:rPr>
            </w:pPr>
            <w:r w:rsidRPr="0079744D">
              <w:rPr>
                <w:rFonts w:ascii="Arial Narrow" w:hAnsi="Arial Narrow"/>
                <w:sz w:val="20"/>
                <w:lang w:val="en-US"/>
              </w:rPr>
              <w:t>Trial 231</w:t>
            </w:r>
          </w:p>
        </w:tc>
        <w:tc>
          <w:tcPr>
            <w:tcW w:w="338" w:type="pct"/>
            <w:shd w:val="clear" w:color="auto" w:fill="auto"/>
            <w:vAlign w:val="center"/>
          </w:tcPr>
          <w:p w:rsidR="00C6230F" w:rsidRPr="00021E49" w:rsidRDefault="00C6230F" w:rsidP="000E391C">
            <w:pPr>
              <w:jc w:val="center"/>
              <w:rPr>
                <w:rFonts w:ascii="Arial Narrow" w:hAnsi="Arial Narrow"/>
                <w:sz w:val="20"/>
                <w:lang w:val="en-US"/>
              </w:rPr>
            </w:pPr>
            <w:r>
              <w:rPr>
                <w:rFonts w:ascii="Arial Narrow" w:eastAsia="MS Mincho" w:hAnsi="Arial Narrow"/>
                <w:sz w:val="20"/>
              </w:rPr>
              <w:t>478</w:t>
            </w:r>
          </w:p>
        </w:tc>
        <w:tc>
          <w:tcPr>
            <w:tcW w:w="850" w:type="pct"/>
            <w:shd w:val="clear" w:color="auto" w:fill="auto"/>
            <w:vAlign w:val="center"/>
          </w:tcPr>
          <w:p w:rsidR="00C6230F" w:rsidRPr="00021E49" w:rsidRDefault="002C4D33" w:rsidP="0079744D">
            <w:pPr>
              <w:jc w:val="center"/>
              <w:rPr>
                <w:rFonts w:ascii="Arial Narrow" w:eastAsia="MS Mincho" w:hAnsi="Arial Narrow"/>
                <w:sz w:val="20"/>
              </w:rPr>
            </w:pPr>
            <w:r>
              <w:rPr>
                <w:rFonts w:ascii="Arial Narrow" w:eastAsia="MS Mincho" w:hAnsi="Arial Narrow"/>
                <w:sz w:val="20"/>
              </w:rPr>
              <w:t>R, DB, f</w:t>
            </w:r>
            <w:r w:rsidR="00C6230F" w:rsidRPr="00021E49">
              <w:rPr>
                <w:rFonts w:ascii="Arial Narrow" w:eastAsia="MS Mincho" w:hAnsi="Arial Narrow"/>
                <w:sz w:val="20"/>
              </w:rPr>
              <w:t>ix</w:t>
            </w:r>
            <w:r w:rsidR="00C6230F">
              <w:rPr>
                <w:rFonts w:ascii="Arial Narrow" w:eastAsia="MS Mincho" w:hAnsi="Arial Narrow"/>
                <w:sz w:val="20"/>
              </w:rPr>
              <w:t>ed dose</w:t>
            </w:r>
          </w:p>
          <w:p w:rsidR="00C6230F" w:rsidRPr="00021E49" w:rsidRDefault="00C6230F" w:rsidP="0079744D">
            <w:pPr>
              <w:jc w:val="center"/>
              <w:rPr>
                <w:rFonts w:ascii="Arial Narrow" w:hAnsi="Arial Narrow"/>
                <w:sz w:val="20"/>
                <w:lang w:val="en-US"/>
              </w:rPr>
            </w:pPr>
            <w:r w:rsidRPr="00021E49">
              <w:rPr>
                <w:rFonts w:ascii="Arial Narrow" w:eastAsia="MS Mincho" w:hAnsi="Arial Narrow"/>
                <w:sz w:val="20"/>
              </w:rPr>
              <w:t xml:space="preserve">6 </w:t>
            </w:r>
            <w:r>
              <w:rPr>
                <w:rFonts w:ascii="Arial Narrow" w:eastAsia="MS Mincho" w:hAnsi="Arial Narrow"/>
                <w:sz w:val="20"/>
              </w:rPr>
              <w:t>w</w:t>
            </w:r>
            <w:r w:rsidRPr="00021E49">
              <w:rPr>
                <w:rFonts w:ascii="Arial Narrow" w:eastAsia="MS Mincho" w:hAnsi="Arial Narrow"/>
                <w:sz w:val="20"/>
              </w:rPr>
              <w:t>eeks</w:t>
            </w:r>
          </w:p>
        </w:tc>
        <w:tc>
          <w:tcPr>
            <w:tcW w:w="424" w:type="pct"/>
            <w:shd w:val="clear" w:color="auto" w:fill="auto"/>
            <w:vAlign w:val="center"/>
          </w:tcPr>
          <w:p w:rsidR="00C6230F" w:rsidRPr="00021E49" w:rsidRDefault="00C6230F" w:rsidP="000E391C">
            <w:pPr>
              <w:jc w:val="center"/>
              <w:rPr>
                <w:rFonts w:ascii="Arial Narrow" w:hAnsi="Arial Narrow"/>
                <w:sz w:val="20"/>
                <w:lang w:val="en-US"/>
              </w:rPr>
            </w:pPr>
            <w:r w:rsidRPr="00021E49">
              <w:rPr>
                <w:rFonts w:ascii="Arial Narrow" w:hAnsi="Arial Narrow"/>
                <w:sz w:val="20"/>
                <w:lang w:val="en-US"/>
              </w:rPr>
              <w:t>Low</w:t>
            </w:r>
          </w:p>
        </w:tc>
        <w:tc>
          <w:tcPr>
            <w:tcW w:w="720" w:type="pct"/>
            <w:shd w:val="clear" w:color="auto" w:fill="auto"/>
            <w:vAlign w:val="center"/>
          </w:tcPr>
          <w:p w:rsidR="00C6230F" w:rsidRPr="00021E49" w:rsidRDefault="00C6230F" w:rsidP="000E391C">
            <w:pPr>
              <w:jc w:val="center"/>
              <w:rPr>
                <w:rFonts w:ascii="Arial Narrow" w:hAnsi="Arial Narrow"/>
                <w:sz w:val="20"/>
                <w:lang w:val="en-US"/>
              </w:rPr>
            </w:pPr>
            <w:r w:rsidRPr="00021E49">
              <w:rPr>
                <w:rFonts w:ascii="Arial Narrow" w:eastAsia="MS Mincho" w:hAnsi="Arial Narrow"/>
                <w:sz w:val="20"/>
              </w:rPr>
              <w:t>Recent acute schizophrenia</w:t>
            </w:r>
          </w:p>
        </w:tc>
        <w:tc>
          <w:tcPr>
            <w:tcW w:w="720" w:type="pct"/>
            <w:shd w:val="clear" w:color="auto" w:fill="auto"/>
            <w:vAlign w:val="center"/>
          </w:tcPr>
          <w:p w:rsidR="00C6230F" w:rsidRPr="00021E49" w:rsidRDefault="00C6230F" w:rsidP="000E391C">
            <w:pPr>
              <w:jc w:val="center"/>
              <w:rPr>
                <w:rFonts w:ascii="Arial Narrow" w:hAnsi="Arial Narrow"/>
                <w:sz w:val="20"/>
                <w:lang w:val="en-US"/>
              </w:rPr>
            </w:pPr>
            <w:r>
              <w:rPr>
                <w:rFonts w:ascii="Arial Narrow" w:hAnsi="Arial Narrow"/>
                <w:sz w:val="20"/>
                <w:lang w:val="en-US"/>
              </w:rPr>
              <w:t>Lurasidone vs olanzapine vs placebo</w:t>
            </w:r>
          </w:p>
        </w:tc>
        <w:tc>
          <w:tcPr>
            <w:tcW w:w="679" w:type="pct"/>
            <w:shd w:val="clear" w:color="auto" w:fill="auto"/>
            <w:vAlign w:val="center"/>
          </w:tcPr>
          <w:p w:rsidR="00C6230F" w:rsidRPr="00021E49" w:rsidRDefault="00C6230F" w:rsidP="000E391C">
            <w:pPr>
              <w:jc w:val="center"/>
              <w:rPr>
                <w:rFonts w:ascii="Arial Narrow" w:hAnsi="Arial Narrow"/>
                <w:sz w:val="20"/>
                <w:lang w:val="en-US"/>
              </w:rPr>
            </w:pPr>
            <w:r w:rsidRPr="00021E49">
              <w:rPr>
                <w:rFonts w:ascii="Arial Narrow" w:eastAsia="MS Mincho" w:hAnsi="Arial Narrow"/>
                <w:sz w:val="20"/>
              </w:rPr>
              <w:t>PANSS</w:t>
            </w:r>
            <w:r>
              <w:rPr>
                <w:rFonts w:ascii="Arial Narrow" w:eastAsia="MS Mincho" w:hAnsi="Arial Narrow"/>
                <w:sz w:val="20"/>
              </w:rPr>
              <w:t xml:space="preserve">, </w:t>
            </w:r>
            <w:r>
              <w:rPr>
                <w:rFonts w:ascii="Arial Narrow" w:eastAsia="MS Mincho" w:hAnsi="Arial Narrow"/>
                <w:sz w:val="20"/>
              </w:rPr>
              <w:br/>
              <w:t>CGI-S</w:t>
            </w:r>
          </w:p>
        </w:tc>
        <w:tc>
          <w:tcPr>
            <w:tcW w:w="677" w:type="pct"/>
            <w:shd w:val="clear" w:color="auto" w:fill="auto"/>
            <w:vAlign w:val="center"/>
          </w:tcPr>
          <w:p w:rsidR="00C6230F" w:rsidRPr="00021E49" w:rsidRDefault="00C6230F" w:rsidP="000E391C">
            <w:pPr>
              <w:jc w:val="center"/>
              <w:rPr>
                <w:rFonts w:ascii="Arial Narrow" w:hAnsi="Arial Narrow"/>
                <w:sz w:val="20"/>
                <w:lang w:val="en-US"/>
              </w:rPr>
            </w:pPr>
            <w:r w:rsidRPr="00021E49">
              <w:rPr>
                <w:rFonts w:ascii="Arial Narrow" w:eastAsia="MS Mincho" w:hAnsi="Arial Narrow"/>
                <w:sz w:val="20"/>
              </w:rPr>
              <w:t>Equi-effective doses</w:t>
            </w:r>
          </w:p>
        </w:tc>
      </w:tr>
      <w:tr w:rsidR="00021E49" w:rsidRPr="00021E49" w:rsidTr="002F602A">
        <w:tc>
          <w:tcPr>
            <w:tcW w:w="5000" w:type="pct"/>
            <w:gridSpan w:val="8"/>
            <w:shd w:val="clear" w:color="auto" w:fill="auto"/>
            <w:vAlign w:val="center"/>
          </w:tcPr>
          <w:p w:rsidR="00021E49" w:rsidRPr="00021E49" w:rsidRDefault="00021E49" w:rsidP="009A3DC7">
            <w:pPr>
              <w:jc w:val="left"/>
              <w:rPr>
                <w:rFonts w:ascii="Arial Narrow" w:hAnsi="Arial Narrow"/>
                <w:b/>
                <w:sz w:val="20"/>
                <w:lang w:val="en-US"/>
              </w:rPr>
            </w:pPr>
            <w:r w:rsidRPr="009A3DC7">
              <w:rPr>
                <w:rFonts w:ascii="Arial Narrow" w:hAnsi="Arial Narrow"/>
                <w:b/>
                <w:sz w:val="20"/>
                <w:lang w:val="en-US"/>
              </w:rPr>
              <w:t xml:space="preserve">Ziprasidone </w:t>
            </w:r>
            <w:r w:rsidR="00C6230F" w:rsidRPr="009A3DC7">
              <w:rPr>
                <w:rFonts w:ascii="Arial Narrow" w:hAnsi="Arial Narrow"/>
                <w:b/>
                <w:sz w:val="20"/>
                <w:lang w:val="en-US"/>
              </w:rPr>
              <w:t xml:space="preserve"> </w:t>
            </w:r>
            <w:r w:rsidR="009A3DC7" w:rsidRPr="009A3DC7">
              <w:rPr>
                <w:rFonts w:ascii="Arial Narrow" w:hAnsi="Arial Narrow"/>
                <w:b/>
                <w:snapToGrid/>
                <w:sz w:val="20"/>
              </w:rPr>
              <w:t>80</w:t>
            </w:r>
            <w:r w:rsidR="009A3DC7">
              <w:rPr>
                <w:rFonts w:ascii="Arial Narrow" w:hAnsi="Arial Narrow"/>
                <w:b/>
                <w:snapToGrid/>
                <w:sz w:val="20"/>
              </w:rPr>
              <w:t>mg</w:t>
            </w:r>
            <w:r w:rsidR="009A3DC7" w:rsidRPr="009A3DC7">
              <w:rPr>
                <w:rFonts w:ascii="Arial Narrow" w:hAnsi="Arial Narrow"/>
                <w:b/>
                <w:snapToGrid/>
                <w:sz w:val="20"/>
              </w:rPr>
              <w:t xml:space="preserve"> to 160mg</w:t>
            </w:r>
            <w:r w:rsidR="009A3DC7">
              <w:rPr>
                <w:rFonts w:ascii="Arial Narrow" w:hAnsi="Arial Narrow"/>
                <w:b/>
                <w:sz w:val="20"/>
                <w:lang w:val="en-US"/>
              </w:rPr>
              <w:t xml:space="preserve"> </w:t>
            </w:r>
            <w:r w:rsidR="00C6230F">
              <w:rPr>
                <w:rFonts w:ascii="Arial Narrow" w:hAnsi="Arial Narrow"/>
                <w:b/>
                <w:sz w:val="20"/>
                <w:lang w:val="en-US"/>
              </w:rPr>
              <w:t xml:space="preserve">(olanzapine </w:t>
            </w:r>
            <w:r w:rsidR="009A3DC7">
              <w:rPr>
                <w:rFonts w:ascii="Arial Narrow" w:hAnsi="Arial Narrow"/>
                <w:b/>
                <w:sz w:val="20"/>
                <w:lang w:val="en-US"/>
              </w:rPr>
              <w:t xml:space="preserve">10mg to 20mg </w:t>
            </w:r>
            <w:r w:rsidR="00C6230F">
              <w:rPr>
                <w:rFonts w:ascii="Arial Narrow" w:hAnsi="Arial Narrow"/>
                <w:b/>
                <w:sz w:val="20"/>
                <w:lang w:val="en-US"/>
              </w:rPr>
              <w:t>common comparator)</w:t>
            </w:r>
          </w:p>
        </w:tc>
      </w:tr>
      <w:tr w:rsidR="00C6230F" w:rsidRPr="00021E49" w:rsidTr="002F602A">
        <w:tc>
          <w:tcPr>
            <w:tcW w:w="592" w:type="pct"/>
            <w:shd w:val="clear" w:color="auto" w:fill="auto"/>
            <w:vAlign w:val="center"/>
          </w:tcPr>
          <w:p w:rsidR="00C6230F" w:rsidRPr="00021E49" w:rsidRDefault="00C6230F" w:rsidP="00D06FD4">
            <w:pPr>
              <w:jc w:val="left"/>
              <w:rPr>
                <w:rFonts w:ascii="Arial Narrow" w:hAnsi="Arial Narrow"/>
                <w:sz w:val="20"/>
                <w:lang w:val="en-US"/>
              </w:rPr>
            </w:pPr>
            <w:r w:rsidRPr="00021E49">
              <w:rPr>
                <w:rFonts w:ascii="Arial Narrow" w:hAnsi="Arial Narrow"/>
                <w:sz w:val="20"/>
                <w:lang w:val="en-US"/>
              </w:rPr>
              <w:t>Breier 200</w:t>
            </w:r>
            <w:r>
              <w:rPr>
                <w:rFonts w:ascii="Arial Narrow" w:hAnsi="Arial Narrow"/>
                <w:sz w:val="20"/>
                <w:lang w:val="en-US"/>
              </w:rPr>
              <w:t>5</w:t>
            </w:r>
          </w:p>
        </w:tc>
        <w:tc>
          <w:tcPr>
            <w:tcW w:w="338"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548</w:t>
            </w:r>
          </w:p>
        </w:tc>
        <w:tc>
          <w:tcPr>
            <w:tcW w:w="850"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hAnsi="Arial Narrow"/>
                <w:sz w:val="20"/>
                <w:lang w:val="en-US"/>
              </w:rPr>
              <w:t>R, DB</w:t>
            </w:r>
            <w:r>
              <w:rPr>
                <w:rFonts w:ascii="Arial Narrow" w:hAnsi="Arial Narrow"/>
                <w:sz w:val="20"/>
                <w:lang w:val="en-US"/>
              </w:rPr>
              <w:t>, flex dose</w:t>
            </w:r>
          </w:p>
          <w:p w:rsidR="00C6230F" w:rsidRPr="00021E49" w:rsidRDefault="00C6230F" w:rsidP="00D06FD4">
            <w:pPr>
              <w:jc w:val="center"/>
              <w:rPr>
                <w:rFonts w:ascii="Arial Narrow" w:hAnsi="Arial Narrow"/>
                <w:sz w:val="20"/>
                <w:lang w:val="en-US"/>
              </w:rPr>
            </w:pPr>
            <w:r>
              <w:rPr>
                <w:rFonts w:ascii="Arial Narrow" w:hAnsi="Arial Narrow"/>
                <w:sz w:val="20"/>
                <w:lang w:val="en-US"/>
              </w:rPr>
              <w:t>28 weeks</w:t>
            </w:r>
          </w:p>
        </w:tc>
        <w:tc>
          <w:tcPr>
            <w:tcW w:w="424"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hAnsi="Arial Narrow"/>
                <w:sz w:val="20"/>
                <w:lang w:val="en-US"/>
              </w:rPr>
              <w:t>Low</w:t>
            </w:r>
          </w:p>
        </w:tc>
        <w:tc>
          <w:tcPr>
            <w:tcW w:w="720"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eastAsia="MS Mincho" w:hAnsi="Arial Narrow"/>
                <w:sz w:val="20"/>
              </w:rPr>
              <w:t>Recent acute schizophrenia</w:t>
            </w:r>
          </w:p>
        </w:tc>
        <w:tc>
          <w:tcPr>
            <w:tcW w:w="720"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Ziprasidone vs olanzapine</w:t>
            </w:r>
          </w:p>
        </w:tc>
        <w:tc>
          <w:tcPr>
            <w:tcW w:w="679"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 xml:space="preserve">PANSS, </w:t>
            </w:r>
            <w:r>
              <w:rPr>
                <w:rFonts w:ascii="Arial Narrow" w:hAnsi="Arial Narrow"/>
                <w:sz w:val="20"/>
                <w:lang w:val="en-US"/>
              </w:rPr>
              <w:br/>
              <w:t>CGI-S, CGI-I</w:t>
            </w:r>
          </w:p>
        </w:tc>
        <w:tc>
          <w:tcPr>
            <w:tcW w:w="677"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eastAsia="MS Mincho" w:hAnsi="Arial Narrow"/>
                <w:sz w:val="20"/>
              </w:rPr>
              <w:t>Equi-effective doses</w:t>
            </w:r>
          </w:p>
        </w:tc>
      </w:tr>
      <w:tr w:rsidR="004463D2" w:rsidRPr="00021E49" w:rsidTr="002F602A">
        <w:tc>
          <w:tcPr>
            <w:tcW w:w="5000" w:type="pct"/>
            <w:gridSpan w:val="8"/>
            <w:shd w:val="clear" w:color="auto" w:fill="auto"/>
            <w:vAlign w:val="center"/>
          </w:tcPr>
          <w:p w:rsidR="004463D2" w:rsidRPr="00021E49" w:rsidRDefault="004463D2" w:rsidP="00CB67F4">
            <w:pPr>
              <w:jc w:val="left"/>
              <w:rPr>
                <w:rFonts w:ascii="Arial Narrow" w:hAnsi="Arial Narrow"/>
                <w:b/>
                <w:sz w:val="20"/>
                <w:lang w:val="en-US"/>
              </w:rPr>
            </w:pPr>
            <w:r>
              <w:rPr>
                <w:rFonts w:ascii="Arial Narrow" w:hAnsi="Arial Narrow"/>
                <w:b/>
                <w:sz w:val="20"/>
                <w:lang w:val="en-US"/>
              </w:rPr>
              <w:t xml:space="preserve">Aripiprazole </w:t>
            </w:r>
            <w:r w:rsidR="00C6230F">
              <w:rPr>
                <w:rFonts w:ascii="Arial Narrow" w:hAnsi="Arial Narrow"/>
                <w:b/>
                <w:sz w:val="20"/>
                <w:lang w:val="en-US"/>
              </w:rPr>
              <w:t xml:space="preserve"> </w:t>
            </w:r>
            <w:r w:rsidR="009A3DC7">
              <w:rPr>
                <w:rFonts w:ascii="Arial Narrow" w:hAnsi="Arial Narrow"/>
                <w:b/>
                <w:sz w:val="20"/>
                <w:lang w:val="en-US"/>
              </w:rPr>
              <w:t xml:space="preserve">15mg to 30mg </w:t>
            </w:r>
            <w:r w:rsidR="00C6230F">
              <w:rPr>
                <w:rFonts w:ascii="Arial Narrow" w:hAnsi="Arial Narrow"/>
                <w:b/>
                <w:sz w:val="20"/>
                <w:lang w:val="en-US"/>
              </w:rPr>
              <w:t xml:space="preserve">(olanzapine </w:t>
            </w:r>
            <w:r w:rsidR="009A3DC7">
              <w:rPr>
                <w:rFonts w:ascii="Arial Narrow" w:hAnsi="Arial Narrow"/>
                <w:b/>
                <w:sz w:val="20"/>
                <w:lang w:val="en-US"/>
              </w:rPr>
              <w:t xml:space="preserve">10mg to 20mg </w:t>
            </w:r>
            <w:r w:rsidR="00C6230F">
              <w:rPr>
                <w:rFonts w:ascii="Arial Narrow" w:hAnsi="Arial Narrow"/>
                <w:b/>
                <w:sz w:val="20"/>
                <w:lang w:val="en-US"/>
              </w:rPr>
              <w:t>common comparator)</w:t>
            </w:r>
          </w:p>
        </w:tc>
      </w:tr>
      <w:tr w:rsidR="00C6230F" w:rsidRPr="00021E49" w:rsidTr="002F602A">
        <w:tc>
          <w:tcPr>
            <w:tcW w:w="592" w:type="pct"/>
            <w:shd w:val="clear" w:color="auto" w:fill="auto"/>
            <w:vAlign w:val="center"/>
          </w:tcPr>
          <w:p w:rsidR="00C6230F" w:rsidRPr="00021E49" w:rsidRDefault="00C6230F" w:rsidP="00D06FD4">
            <w:pPr>
              <w:jc w:val="left"/>
              <w:rPr>
                <w:rFonts w:ascii="Arial Narrow" w:hAnsi="Arial Narrow"/>
                <w:sz w:val="20"/>
                <w:lang w:val="en-US"/>
              </w:rPr>
            </w:pPr>
            <w:r>
              <w:rPr>
                <w:rFonts w:ascii="Arial Narrow" w:hAnsi="Arial Narrow"/>
                <w:sz w:val="20"/>
                <w:lang w:val="en-US"/>
              </w:rPr>
              <w:t>Kane 2009</w:t>
            </w:r>
          </w:p>
        </w:tc>
        <w:tc>
          <w:tcPr>
            <w:tcW w:w="338"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hAnsi="Arial Narrow"/>
                <w:sz w:val="20"/>
                <w:lang w:val="en-US"/>
              </w:rPr>
              <w:t>310</w:t>
            </w:r>
          </w:p>
        </w:tc>
        <w:tc>
          <w:tcPr>
            <w:tcW w:w="850"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hAnsi="Arial Narrow"/>
                <w:sz w:val="20"/>
                <w:lang w:val="en-US"/>
              </w:rPr>
              <w:t>R, OL</w:t>
            </w:r>
            <w:r>
              <w:rPr>
                <w:rFonts w:ascii="Arial Narrow" w:hAnsi="Arial Narrow"/>
                <w:sz w:val="20"/>
                <w:lang w:val="en-US"/>
              </w:rPr>
              <w:t>, flex dose</w:t>
            </w:r>
          </w:p>
          <w:p w:rsidR="00C6230F" w:rsidRPr="00021E49" w:rsidRDefault="00C6230F" w:rsidP="00D06FD4">
            <w:pPr>
              <w:jc w:val="center"/>
              <w:rPr>
                <w:rFonts w:ascii="Arial Narrow" w:hAnsi="Arial Narrow"/>
                <w:sz w:val="20"/>
                <w:lang w:val="en-US"/>
              </w:rPr>
            </w:pPr>
            <w:r>
              <w:rPr>
                <w:rFonts w:ascii="Arial Narrow" w:hAnsi="Arial Narrow"/>
                <w:sz w:val="20"/>
                <w:lang w:val="en-US"/>
              </w:rPr>
              <w:t>28 weeks</w:t>
            </w:r>
          </w:p>
        </w:tc>
        <w:tc>
          <w:tcPr>
            <w:tcW w:w="424"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Low</w:t>
            </w:r>
          </w:p>
        </w:tc>
        <w:tc>
          <w:tcPr>
            <w:tcW w:w="720"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hAnsi="Arial Narrow"/>
                <w:sz w:val="20"/>
                <w:lang w:val="en-US"/>
              </w:rPr>
              <w:t>Treatment naïve</w:t>
            </w:r>
          </w:p>
        </w:tc>
        <w:tc>
          <w:tcPr>
            <w:tcW w:w="720"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Aripiprazole vs olanzapine</w:t>
            </w:r>
          </w:p>
        </w:tc>
        <w:tc>
          <w:tcPr>
            <w:tcW w:w="679" w:type="pct"/>
            <w:shd w:val="clear" w:color="auto" w:fill="auto"/>
            <w:vAlign w:val="center"/>
          </w:tcPr>
          <w:p w:rsidR="00C6230F" w:rsidRPr="00021E49" w:rsidRDefault="00C6230F" w:rsidP="00D06FD4">
            <w:pPr>
              <w:jc w:val="center"/>
              <w:rPr>
                <w:rFonts w:ascii="Arial Narrow" w:hAnsi="Arial Narrow"/>
                <w:sz w:val="20"/>
                <w:lang w:val="en-US"/>
              </w:rPr>
            </w:pPr>
            <w:r>
              <w:rPr>
                <w:rFonts w:ascii="Arial Narrow" w:hAnsi="Arial Narrow"/>
                <w:sz w:val="20"/>
                <w:lang w:val="en-US"/>
              </w:rPr>
              <w:t xml:space="preserve">PANSS, </w:t>
            </w:r>
            <w:r>
              <w:rPr>
                <w:rFonts w:ascii="Arial Narrow" w:hAnsi="Arial Narrow"/>
                <w:sz w:val="20"/>
                <w:lang w:val="en-US"/>
              </w:rPr>
              <w:br/>
              <w:t>CGI-S, CGI-I</w:t>
            </w:r>
          </w:p>
        </w:tc>
        <w:tc>
          <w:tcPr>
            <w:tcW w:w="677" w:type="pct"/>
            <w:shd w:val="clear" w:color="auto" w:fill="auto"/>
            <w:vAlign w:val="center"/>
          </w:tcPr>
          <w:p w:rsidR="00C6230F" w:rsidRPr="00021E49" w:rsidRDefault="00C6230F" w:rsidP="00D06FD4">
            <w:pPr>
              <w:jc w:val="center"/>
              <w:rPr>
                <w:rFonts w:ascii="Arial Narrow" w:hAnsi="Arial Narrow"/>
                <w:sz w:val="20"/>
                <w:lang w:val="en-US"/>
              </w:rPr>
            </w:pPr>
            <w:r w:rsidRPr="00021E49">
              <w:rPr>
                <w:rFonts w:ascii="Arial Narrow" w:eastAsia="MS Mincho" w:hAnsi="Arial Narrow"/>
                <w:sz w:val="20"/>
              </w:rPr>
              <w:t>Equi-effective doses</w:t>
            </w:r>
          </w:p>
        </w:tc>
      </w:tr>
      <w:tr w:rsidR="002F602A" w:rsidRPr="0036449A" w:rsidTr="002F602A">
        <w:tblPrEx>
          <w:tblCellMar>
            <w:left w:w="108" w:type="dxa"/>
            <w:right w:w="108" w:type="dxa"/>
          </w:tblCellMar>
        </w:tblPrEx>
        <w:tc>
          <w:tcPr>
            <w:tcW w:w="5000" w:type="pct"/>
            <w:gridSpan w:val="8"/>
            <w:shd w:val="clear" w:color="auto" w:fill="auto"/>
          </w:tcPr>
          <w:p w:rsidR="002F602A" w:rsidRPr="002F602A" w:rsidRDefault="002F602A" w:rsidP="004F73C5">
            <w:pPr>
              <w:jc w:val="left"/>
              <w:rPr>
                <w:rFonts w:ascii="Arial Narrow" w:eastAsia="MS Mincho" w:hAnsi="Arial Narrow"/>
                <w:b/>
                <w:i/>
                <w:sz w:val="20"/>
                <w:szCs w:val="24"/>
              </w:rPr>
            </w:pPr>
            <w:r w:rsidRPr="002F602A">
              <w:rPr>
                <w:rFonts w:ascii="Arial Narrow" w:eastAsia="MS Mincho" w:hAnsi="Arial Narrow"/>
                <w:b/>
                <w:i/>
                <w:sz w:val="20"/>
                <w:szCs w:val="24"/>
              </w:rPr>
              <w:t>Atypical antipsychotic multiple treatment meta-analysis</w:t>
            </w:r>
          </w:p>
        </w:tc>
      </w:tr>
      <w:tr w:rsidR="002F602A" w:rsidRPr="0036449A" w:rsidTr="00EF08C8">
        <w:tblPrEx>
          <w:tblCellMar>
            <w:left w:w="108" w:type="dxa"/>
            <w:right w:w="108" w:type="dxa"/>
          </w:tblCellMar>
        </w:tblPrEx>
        <w:tc>
          <w:tcPr>
            <w:tcW w:w="592" w:type="pct"/>
            <w:shd w:val="clear" w:color="auto" w:fill="auto"/>
          </w:tcPr>
          <w:p w:rsidR="002F602A" w:rsidRPr="002F602A" w:rsidRDefault="002F602A" w:rsidP="007F3BC7">
            <w:pPr>
              <w:ind w:left="-59"/>
              <w:jc w:val="left"/>
              <w:rPr>
                <w:rFonts w:ascii="Arial Narrow" w:eastAsia="MS Mincho" w:hAnsi="Arial Narrow"/>
                <w:i/>
                <w:sz w:val="20"/>
                <w:szCs w:val="24"/>
              </w:rPr>
            </w:pPr>
            <w:r w:rsidRPr="002F602A">
              <w:rPr>
                <w:rFonts w:ascii="Arial Narrow" w:eastAsia="MS Mincho" w:hAnsi="Arial Narrow"/>
                <w:i/>
                <w:sz w:val="20"/>
                <w:szCs w:val="24"/>
              </w:rPr>
              <w:t>Leucht 2013</w:t>
            </w:r>
          </w:p>
        </w:tc>
        <w:tc>
          <w:tcPr>
            <w:tcW w:w="338" w:type="pct"/>
            <w:shd w:val="clear" w:color="auto" w:fill="auto"/>
            <w:vAlign w:val="center"/>
          </w:tcPr>
          <w:p w:rsidR="002F602A" w:rsidRPr="002F602A" w:rsidRDefault="002F602A" w:rsidP="004F73C5">
            <w:pPr>
              <w:ind w:left="-63" w:right="-52"/>
              <w:jc w:val="center"/>
              <w:rPr>
                <w:rFonts w:ascii="Arial Narrow" w:eastAsia="MS Mincho" w:hAnsi="Arial Narrow"/>
                <w:i/>
                <w:sz w:val="20"/>
                <w:szCs w:val="24"/>
              </w:rPr>
            </w:pPr>
            <w:r w:rsidRPr="002F602A">
              <w:rPr>
                <w:rFonts w:ascii="Arial Narrow" w:eastAsia="MS Mincho" w:hAnsi="Arial Narrow"/>
                <w:i/>
                <w:sz w:val="20"/>
                <w:szCs w:val="24"/>
              </w:rPr>
              <w:t>43,049</w:t>
            </w:r>
          </w:p>
        </w:tc>
        <w:tc>
          <w:tcPr>
            <w:tcW w:w="3393" w:type="pct"/>
            <w:gridSpan w:val="5"/>
            <w:shd w:val="clear" w:color="auto" w:fill="auto"/>
            <w:vAlign w:val="center"/>
          </w:tcPr>
          <w:p w:rsidR="002F602A" w:rsidRPr="002F602A" w:rsidRDefault="002F602A" w:rsidP="004F73C5">
            <w:pPr>
              <w:jc w:val="center"/>
              <w:rPr>
                <w:rFonts w:ascii="Arial Narrow" w:eastAsia="MS Mincho" w:hAnsi="Arial Narrow"/>
                <w:i/>
                <w:sz w:val="20"/>
                <w:szCs w:val="24"/>
              </w:rPr>
            </w:pPr>
            <w:r w:rsidRPr="002F602A">
              <w:rPr>
                <w:rFonts w:ascii="Arial Narrow" w:eastAsia="MS Mincho" w:hAnsi="Arial Narrow"/>
                <w:i/>
                <w:sz w:val="20"/>
                <w:szCs w:val="24"/>
              </w:rPr>
              <w:t>212 randomised controlled trials reported between October 1955 and September 2012</w:t>
            </w:r>
          </w:p>
        </w:tc>
        <w:tc>
          <w:tcPr>
            <w:tcW w:w="677" w:type="pct"/>
            <w:shd w:val="clear" w:color="auto" w:fill="auto"/>
            <w:vAlign w:val="center"/>
          </w:tcPr>
          <w:p w:rsidR="002F602A" w:rsidRPr="002F602A" w:rsidRDefault="002F602A" w:rsidP="004F73C5">
            <w:pPr>
              <w:jc w:val="center"/>
              <w:rPr>
                <w:rFonts w:ascii="Arial Narrow" w:eastAsia="MS Mincho" w:hAnsi="Arial Narrow"/>
                <w:i/>
                <w:sz w:val="20"/>
                <w:szCs w:val="24"/>
              </w:rPr>
            </w:pPr>
            <w:r w:rsidRPr="002F602A">
              <w:rPr>
                <w:rFonts w:ascii="Arial Narrow" w:eastAsia="MS Mincho" w:hAnsi="Arial Narrow"/>
                <w:i/>
                <w:sz w:val="20"/>
                <w:szCs w:val="24"/>
              </w:rPr>
              <w:t>NA</w:t>
            </w:r>
          </w:p>
        </w:tc>
      </w:tr>
    </w:tbl>
    <w:p w:rsidR="00D06FD4" w:rsidRPr="0072416F" w:rsidRDefault="00D06FD4" w:rsidP="00D06FD4">
      <w:pPr>
        <w:pStyle w:val="TableFooter"/>
        <w:ind w:firstLine="720"/>
      </w:pPr>
      <w:r w:rsidRPr="0072416F">
        <w:t>DB=double blind; MC=multi-centre; OL=open label; OS=overall survival; PFS=progression-free survival; R=randomised.</w:t>
      </w:r>
    </w:p>
    <w:p w:rsidR="00D06FD4" w:rsidRPr="0072416F" w:rsidRDefault="00D06FD4" w:rsidP="00D06FD4">
      <w:pPr>
        <w:pStyle w:val="TableFooter"/>
        <w:ind w:firstLine="720"/>
      </w:pPr>
      <w:r w:rsidRPr="0072416F">
        <w:t>Source: compiled during the evaluation</w:t>
      </w:r>
    </w:p>
    <w:p w:rsidR="00D06FD4" w:rsidRDefault="00D06FD4" w:rsidP="00D06FD4"/>
    <w:p w:rsidR="000D3040" w:rsidRPr="00281A34" w:rsidRDefault="00856CE6" w:rsidP="00AC3A0F">
      <w:pPr>
        <w:pStyle w:val="ListParagraph"/>
        <w:widowControl/>
        <w:numPr>
          <w:ilvl w:val="1"/>
          <w:numId w:val="3"/>
        </w:numPr>
      </w:pPr>
      <w:r>
        <w:t>The evaluation noted that t</w:t>
      </w:r>
      <w:r w:rsidR="00EB548E" w:rsidRPr="00E77227">
        <w:t xml:space="preserve">rial 231 </w:t>
      </w:r>
      <w:r w:rsidR="00AA2C5F" w:rsidRPr="00E77227">
        <w:t xml:space="preserve">may not be applicable to the proposed PBS population (chronic maintenance therapy). The trial </w:t>
      </w:r>
      <w:r w:rsidR="00EB548E" w:rsidRPr="00E77227">
        <w:t>included only inpatients (acute management)</w:t>
      </w:r>
      <w:r w:rsidR="000D3040" w:rsidRPr="00E77227">
        <w:t xml:space="preserve">, </w:t>
      </w:r>
      <w:r w:rsidR="003A7570" w:rsidRPr="00E77227">
        <w:t xml:space="preserve">was </w:t>
      </w:r>
      <w:r w:rsidR="000D3040" w:rsidRPr="00E77227">
        <w:t xml:space="preserve">conducted </w:t>
      </w:r>
      <w:r w:rsidR="00EB548E" w:rsidRPr="00E77227">
        <w:t>over 6 weeks</w:t>
      </w:r>
      <w:r w:rsidR="003A7570" w:rsidRPr="00E77227">
        <w:t>, used fixed dosing of 40mg or 120mg</w:t>
      </w:r>
      <w:r w:rsidR="00DB22E8" w:rsidRPr="00E77227">
        <w:t xml:space="preserve"> and did not include the requested lurasidone dose of 80mg daily</w:t>
      </w:r>
      <w:r w:rsidR="000D3040" w:rsidRPr="00E77227">
        <w:t xml:space="preserve">. Further, patients with a wide range of metabolic and cardiac risk factors were excluded. The PBAC previously noted that Trial 231 included olanzapine for assay </w:t>
      </w:r>
      <w:r w:rsidR="007B7CB7" w:rsidRPr="00E77227">
        <w:t>sensitivity</w:t>
      </w:r>
      <w:r w:rsidR="000D3040" w:rsidRPr="00E77227">
        <w:t xml:space="preserve"> and between group</w:t>
      </w:r>
      <w:r w:rsidR="007B7CB7">
        <w:t>-</w:t>
      </w:r>
      <w:r w:rsidR="000D3040" w:rsidRPr="00E77227">
        <w:t>efficacy analyses were not pre-specified (PSD, March 2014, p.7).</w:t>
      </w:r>
      <w:r w:rsidR="00DB22E8" w:rsidRPr="00E77227">
        <w:t xml:space="preserve"> </w:t>
      </w:r>
      <w:r w:rsidR="007A1C11" w:rsidRPr="00281A34">
        <w:t>The PSCR</w:t>
      </w:r>
      <w:r w:rsidR="00746905" w:rsidRPr="00281A34">
        <w:t xml:space="preserve"> (</w:t>
      </w:r>
      <w:r w:rsidR="007A1C11" w:rsidRPr="00281A34">
        <w:t xml:space="preserve">p2) argued that the established efficacy of lurasidone is applicable to the PBS population, as Trial 231 was followed up by a long-term flexible dose extension study. </w:t>
      </w:r>
    </w:p>
    <w:p w:rsidR="000D3040" w:rsidRPr="00E77227" w:rsidRDefault="000D3040" w:rsidP="00D06FD4">
      <w:pPr>
        <w:ind w:left="720"/>
      </w:pPr>
    </w:p>
    <w:p w:rsidR="002450B1" w:rsidRDefault="000D3040" w:rsidP="00AC3A0F">
      <w:pPr>
        <w:pStyle w:val="ListParagraph"/>
        <w:widowControl/>
        <w:numPr>
          <w:ilvl w:val="1"/>
          <w:numId w:val="3"/>
        </w:numPr>
        <w:rPr>
          <w:i/>
        </w:rPr>
      </w:pPr>
      <w:r w:rsidRPr="00E77227">
        <w:t>The</w:t>
      </w:r>
      <w:r w:rsidR="001A7E02">
        <w:t xml:space="preserve"> evaluation considered that the</w:t>
      </w:r>
      <w:r w:rsidRPr="00E77227">
        <w:t xml:space="preserve"> trials may not be sufficiently </w:t>
      </w:r>
      <w:r w:rsidR="007F159D">
        <w:t>comparable</w:t>
      </w:r>
      <w:r w:rsidR="007F159D" w:rsidRPr="00E77227">
        <w:t xml:space="preserve"> </w:t>
      </w:r>
      <w:r w:rsidRPr="00E77227">
        <w:t xml:space="preserve">to </w:t>
      </w:r>
      <w:r w:rsidR="000B7B83" w:rsidRPr="00A0749A">
        <w:t>be used</w:t>
      </w:r>
      <w:r w:rsidR="000B7B83" w:rsidRPr="002450B1">
        <w:rPr>
          <w:i/>
        </w:rPr>
        <w:t xml:space="preserve"> </w:t>
      </w:r>
      <w:r w:rsidR="000B7B83" w:rsidRPr="007F159D">
        <w:t>in</w:t>
      </w:r>
      <w:r w:rsidR="000B7B83" w:rsidRPr="00E77227">
        <w:t xml:space="preserve"> </w:t>
      </w:r>
      <w:r w:rsidRPr="00E77227">
        <w:t>an indirect analysis. Trial 231 was conducted over 6 weeks in acute inpatients</w:t>
      </w:r>
      <w:r w:rsidR="00AA2C5F" w:rsidRPr="00E77227">
        <w:t>,</w:t>
      </w:r>
      <w:r w:rsidRPr="00E77227">
        <w:t xml:space="preserve"> </w:t>
      </w:r>
      <w:r w:rsidR="00EB548E" w:rsidRPr="00E77227">
        <w:t>while Breier (2005) and Kane (2009) included smaller proportions of inpatients (16%) compared to outpatients over 28 weeks (84%; i.e. primarily return</w:t>
      </w:r>
      <w:r w:rsidRPr="00E77227">
        <w:t>ing</w:t>
      </w:r>
      <w:r w:rsidR="00EB548E" w:rsidRPr="00E77227">
        <w:t xml:space="preserve"> to maintenance management). </w:t>
      </w:r>
      <w:r w:rsidRPr="00E77227">
        <w:t>Dosing in Trial 231 was fixed, versus flexible dosing in the ziprasidone and aripiprazole trials</w:t>
      </w:r>
      <w:r w:rsidRPr="002450B1">
        <w:rPr>
          <w:i/>
        </w:rPr>
        <w:t>.</w:t>
      </w:r>
      <w:r w:rsidR="007A1C11" w:rsidRPr="002450B1">
        <w:rPr>
          <w:i/>
        </w:rPr>
        <w:t xml:space="preserve"> </w:t>
      </w:r>
      <w:r w:rsidR="007A1C11" w:rsidRPr="00281A34">
        <w:t>The PSCR (p2) argued that there is sufficient homogeneity across the included trials in the indirect analysis</w:t>
      </w:r>
      <w:r w:rsidR="002450B1" w:rsidRPr="00281A34">
        <w:t xml:space="preserve">. </w:t>
      </w:r>
      <w:r w:rsidR="00E53792" w:rsidRPr="00281A34">
        <w:t>However, the ESC considered there remained concerns about exchangeability.</w:t>
      </w:r>
    </w:p>
    <w:p w:rsidR="00AA2C5F" w:rsidRDefault="00AA2C5F" w:rsidP="002450B1"/>
    <w:p w:rsidR="00B60939" w:rsidRPr="00497F10" w:rsidRDefault="00B60939" w:rsidP="00BB7E0F">
      <w:pPr>
        <w:pStyle w:val="Heading2"/>
      </w:pPr>
      <w:bookmarkStart w:id="11" w:name="_Toc409600044"/>
      <w:r w:rsidRPr="00497F10">
        <w:t>Comparative effectiveness</w:t>
      </w:r>
      <w:bookmarkEnd w:id="11"/>
    </w:p>
    <w:p w:rsidR="00B60939" w:rsidRPr="00882085" w:rsidRDefault="00B60939" w:rsidP="00B60939">
      <w:pPr>
        <w:rPr>
          <w:szCs w:val="22"/>
        </w:rPr>
      </w:pPr>
    </w:p>
    <w:p w:rsidR="009D338F" w:rsidRPr="00FD52D8" w:rsidRDefault="00EB548E" w:rsidP="009D338F">
      <w:pPr>
        <w:pStyle w:val="ListParagraph"/>
        <w:widowControl/>
        <w:numPr>
          <w:ilvl w:val="1"/>
          <w:numId w:val="3"/>
        </w:numPr>
      </w:pPr>
      <w:r w:rsidRPr="00FD52D8">
        <w:t>Given the difference</w:t>
      </w:r>
      <w:r w:rsidR="005B48C0" w:rsidRPr="00FD52D8">
        <w:t>s</w:t>
      </w:r>
      <w:r w:rsidRPr="00FD52D8">
        <w:t xml:space="preserve"> in</w:t>
      </w:r>
      <w:r w:rsidR="005B48C0" w:rsidRPr="00FD52D8">
        <w:t xml:space="preserve"> the</w:t>
      </w:r>
      <w:r w:rsidRPr="00FD52D8">
        <w:t xml:space="preserve"> requested restriction </w:t>
      </w:r>
      <w:r w:rsidR="005B48C0" w:rsidRPr="00FD52D8">
        <w:t xml:space="preserve">and nominated comparators </w:t>
      </w:r>
      <w:r w:rsidRPr="00FD52D8">
        <w:t xml:space="preserve">from the previous submission, </w:t>
      </w:r>
      <w:r w:rsidR="005B48C0" w:rsidRPr="00FD52D8">
        <w:t xml:space="preserve">and the unsuitability of the </w:t>
      </w:r>
      <w:r w:rsidR="002C4D33" w:rsidRPr="00FD52D8">
        <w:t xml:space="preserve">three week, phase 2 </w:t>
      </w:r>
      <w:r w:rsidR="005B48C0" w:rsidRPr="00FD52D8">
        <w:t xml:space="preserve">Trial 254 to </w:t>
      </w:r>
      <w:r w:rsidR="006A7626" w:rsidRPr="00FD52D8">
        <w:t xml:space="preserve">the </w:t>
      </w:r>
      <w:r w:rsidR="005B48C0" w:rsidRPr="00FD52D8">
        <w:t xml:space="preserve">comparative analysis of lurasidone vs ziprasidone, </w:t>
      </w:r>
      <w:r w:rsidR="003B288D" w:rsidRPr="00FD52D8">
        <w:t xml:space="preserve">results from the </w:t>
      </w:r>
      <w:r w:rsidR="005B48C0" w:rsidRPr="00FD52D8">
        <w:t xml:space="preserve">previous </w:t>
      </w:r>
      <w:r w:rsidR="003B288D" w:rsidRPr="00FD52D8">
        <w:t>submission</w:t>
      </w:r>
      <w:r w:rsidR="005B48C0" w:rsidRPr="00FD52D8">
        <w:t xml:space="preserve"> </w:t>
      </w:r>
      <w:r w:rsidR="005B5DC0" w:rsidRPr="00FD52D8">
        <w:t xml:space="preserve">were </w:t>
      </w:r>
      <w:r w:rsidR="005B48C0" w:rsidRPr="00FD52D8">
        <w:t xml:space="preserve">not </w:t>
      </w:r>
      <w:r w:rsidR="002C4D33" w:rsidRPr="00FD52D8">
        <w:t>relevant</w:t>
      </w:r>
      <w:r w:rsidR="005B48C0" w:rsidRPr="00FD52D8">
        <w:t xml:space="preserve"> </w:t>
      </w:r>
      <w:r w:rsidR="006A7626" w:rsidRPr="00FD52D8">
        <w:t xml:space="preserve">to the resubmission </w:t>
      </w:r>
    </w:p>
    <w:p w:rsidR="00FD52D8" w:rsidRPr="00FD52D8" w:rsidRDefault="00FD52D8" w:rsidP="00FD52D8">
      <w:pPr>
        <w:pStyle w:val="ListParagraph"/>
        <w:widowControl/>
      </w:pPr>
    </w:p>
    <w:p w:rsidR="00B60939" w:rsidRPr="00FD52D8" w:rsidRDefault="009D338F" w:rsidP="009D338F">
      <w:pPr>
        <w:pStyle w:val="ListParagraph"/>
        <w:widowControl/>
        <w:numPr>
          <w:ilvl w:val="1"/>
          <w:numId w:val="3"/>
        </w:numPr>
      </w:pPr>
      <w:r w:rsidRPr="00FD52D8">
        <w:t xml:space="preserve">The table below presents </w:t>
      </w:r>
      <w:r w:rsidR="00FD52D8" w:rsidRPr="00FD52D8">
        <w:t>the results from the indirect comparison provided with the resubmission.</w:t>
      </w:r>
    </w:p>
    <w:p w:rsidR="009D338F" w:rsidRPr="00FD52D8" w:rsidRDefault="009D338F" w:rsidP="000833FE">
      <w:pPr>
        <w:widowControl/>
        <w:ind w:left="720"/>
        <w:jc w:val="left"/>
        <w:rPr>
          <w:rFonts w:ascii="Arial Narrow" w:hAnsi="Arial Narrow"/>
          <w:b/>
          <w:sz w:val="20"/>
        </w:rPr>
      </w:pPr>
    </w:p>
    <w:p w:rsidR="00D06FD4" w:rsidRPr="00FD52D8" w:rsidRDefault="006A7626" w:rsidP="000833FE">
      <w:pPr>
        <w:widowControl/>
        <w:ind w:left="720"/>
        <w:jc w:val="left"/>
        <w:rPr>
          <w:rStyle w:val="CommentReference"/>
        </w:rPr>
      </w:pPr>
      <w:r w:rsidRPr="00FD52D8">
        <w:rPr>
          <w:rFonts w:ascii="Arial Narrow" w:hAnsi="Arial Narrow"/>
          <w:b/>
          <w:sz w:val="20"/>
        </w:rPr>
        <w:t>Indirect comparison (olanzapine as common comparator) for difference in change from baseline to endpoint in mean PANSS total scores</w:t>
      </w:r>
      <w:r w:rsidR="00D06FD4" w:rsidRPr="00FD52D8">
        <w:rPr>
          <w:rStyle w:val="CommentReference"/>
        </w:rPr>
        <w:t xml:space="preserve"> </w:t>
      </w:r>
    </w:p>
    <w:tbl>
      <w:tblPr>
        <w:tblStyle w:val="TableGrid"/>
        <w:tblW w:w="8418" w:type="dxa"/>
        <w:tblInd w:w="737" w:type="dxa"/>
        <w:tblLayout w:type="fixed"/>
        <w:tblCellMar>
          <w:left w:w="28" w:type="dxa"/>
          <w:right w:w="28" w:type="dxa"/>
        </w:tblCellMar>
        <w:tblLook w:val="04A0" w:firstRow="1" w:lastRow="0" w:firstColumn="1" w:lastColumn="0" w:noHBand="0" w:noVBand="1"/>
      </w:tblPr>
      <w:tblGrid>
        <w:gridCol w:w="1418"/>
        <w:gridCol w:w="1414"/>
        <w:gridCol w:w="1316"/>
        <w:gridCol w:w="1294"/>
        <w:gridCol w:w="1488"/>
        <w:gridCol w:w="1488"/>
      </w:tblGrid>
      <w:tr w:rsidR="0054134E" w:rsidRPr="00FD52D8" w:rsidTr="006A7626">
        <w:tc>
          <w:tcPr>
            <w:tcW w:w="1418" w:type="dxa"/>
            <w:vMerge w:val="restart"/>
            <w:vAlign w:val="center"/>
          </w:tcPr>
          <w:p w:rsidR="0054134E" w:rsidRPr="00FD52D8" w:rsidRDefault="0054134E" w:rsidP="00F2320A">
            <w:pPr>
              <w:jc w:val="center"/>
              <w:rPr>
                <w:rFonts w:ascii="Arial Narrow" w:hAnsi="Arial Narrow"/>
                <w:b/>
                <w:sz w:val="20"/>
              </w:rPr>
            </w:pPr>
            <w:r w:rsidRPr="00FD52D8">
              <w:rPr>
                <w:rFonts w:ascii="Arial Narrow" w:hAnsi="Arial Narrow"/>
                <w:b/>
                <w:sz w:val="20"/>
              </w:rPr>
              <w:t>Mean change PANSS total score</w:t>
            </w:r>
          </w:p>
        </w:tc>
        <w:tc>
          <w:tcPr>
            <w:tcW w:w="1414" w:type="dxa"/>
            <w:vMerge w:val="restart"/>
            <w:tcBorders>
              <w:right w:val="single" w:sz="4" w:space="0" w:color="auto"/>
            </w:tcBorders>
            <w:vAlign w:val="center"/>
          </w:tcPr>
          <w:p w:rsidR="0054134E" w:rsidRPr="00FD52D8" w:rsidRDefault="0054134E" w:rsidP="00F2320A">
            <w:pPr>
              <w:jc w:val="center"/>
              <w:rPr>
                <w:rFonts w:ascii="Arial Narrow" w:hAnsi="Arial Narrow"/>
                <w:b/>
                <w:sz w:val="20"/>
              </w:rPr>
            </w:pPr>
            <w:r w:rsidRPr="00FD52D8">
              <w:rPr>
                <w:rFonts w:ascii="Arial Narrow" w:hAnsi="Arial Narrow"/>
                <w:b/>
                <w:sz w:val="20"/>
              </w:rPr>
              <w:t>Lurasidone vs olanzapine</w:t>
            </w:r>
          </w:p>
          <w:p w:rsidR="0054134E" w:rsidRPr="00FD52D8" w:rsidRDefault="0054134E" w:rsidP="00F2320A">
            <w:pPr>
              <w:jc w:val="center"/>
              <w:rPr>
                <w:rFonts w:ascii="Arial Narrow" w:hAnsi="Arial Narrow"/>
                <w:b/>
                <w:sz w:val="20"/>
                <w:lang w:eastAsia="en-AU"/>
              </w:rPr>
            </w:pPr>
            <w:r w:rsidRPr="00FD52D8">
              <w:rPr>
                <w:rFonts w:ascii="Arial Narrow" w:hAnsi="Arial Narrow"/>
                <w:b/>
                <w:sz w:val="20"/>
              </w:rPr>
              <w:t>6 weeks</w:t>
            </w:r>
          </w:p>
        </w:tc>
        <w:tc>
          <w:tcPr>
            <w:tcW w:w="1316" w:type="dxa"/>
            <w:vMerge w:val="restart"/>
            <w:tcBorders>
              <w:left w:val="single" w:sz="4" w:space="0" w:color="auto"/>
              <w:right w:val="single" w:sz="4" w:space="0" w:color="auto"/>
            </w:tcBorders>
            <w:vAlign w:val="center"/>
          </w:tcPr>
          <w:p w:rsidR="0054134E" w:rsidRPr="00FD52D8" w:rsidRDefault="0054134E" w:rsidP="00F2320A">
            <w:pPr>
              <w:jc w:val="center"/>
              <w:rPr>
                <w:rFonts w:ascii="Arial Narrow" w:hAnsi="Arial Narrow"/>
                <w:b/>
                <w:sz w:val="20"/>
              </w:rPr>
            </w:pPr>
            <w:r w:rsidRPr="00FD52D8">
              <w:rPr>
                <w:rFonts w:ascii="Arial Narrow" w:hAnsi="Arial Narrow"/>
                <w:b/>
                <w:sz w:val="20"/>
              </w:rPr>
              <w:t>Ziprasidone vs olanzapine</w:t>
            </w:r>
          </w:p>
          <w:p w:rsidR="0054134E" w:rsidRPr="00FD52D8" w:rsidRDefault="0054134E" w:rsidP="00F2320A">
            <w:pPr>
              <w:jc w:val="center"/>
              <w:rPr>
                <w:rFonts w:ascii="Arial Narrow" w:hAnsi="Arial Narrow"/>
                <w:b/>
                <w:sz w:val="20"/>
                <w:lang w:eastAsia="en-AU"/>
              </w:rPr>
            </w:pPr>
            <w:r w:rsidRPr="00FD52D8">
              <w:rPr>
                <w:rFonts w:ascii="Arial Narrow" w:hAnsi="Arial Narrow"/>
                <w:b/>
                <w:sz w:val="20"/>
              </w:rPr>
              <w:t>28 weeks</w:t>
            </w:r>
          </w:p>
        </w:tc>
        <w:tc>
          <w:tcPr>
            <w:tcW w:w="1294" w:type="dxa"/>
            <w:vMerge w:val="restart"/>
            <w:tcBorders>
              <w:left w:val="single" w:sz="4" w:space="0" w:color="auto"/>
              <w:right w:val="double" w:sz="4" w:space="0" w:color="auto"/>
            </w:tcBorders>
            <w:vAlign w:val="center"/>
          </w:tcPr>
          <w:p w:rsidR="0054134E" w:rsidRPr="00FD52D8" w:rsidRDefault="0054134E" w:rsidP="00F2320A">
            <w:pPr>
              <w:jc w:val="center"/>
              <w:rPr>
                <w:rFonts w:ascii="Arial Narrow" w:hAnsi="Arial Narrow"/>
                <w:b/>
                <w:sz w:val="20"/>
              </w:rPr>
            </w:pPr>
            <w:r w:rsidRPr="00FD52D8">
              <w:rPr>
                <w:rFonts w:ascii="Arial Narrow" w:hAnsi="Arial Narrow"/>
                <w:b/>
                <w:sz w:val="20"/>
              </w:rPr>
              <w:t>Aripiprazole vs olanzapine</w:t>
            </w:r>
          </w:p>
          <w:p w:rsidR="0054134E" w:rsidRPr="00FD52D8" w:rsidRDefault="0054134E" w:rsidP="00F2320A">
            <w:pPr>
              <w:jc w:val="center"/>
              <w:rPr>
                <w:rFonts w:ascii="Arial Narrow" w:hAnsi="Arial Narrow"/>
                <w:b/>
                <w:sz w:val="20"/>
              </w:rPr>
            </w:pPr>
            <w:r w:rsidRPr="00FD52D8">
              <w:rPr>
                <w:rFonts w:ascii="Arial Narrow" w:hAnsi="Arial Narrow"/>
                <w:b/>
                <w:sz w:val="20"/>
              </w:rPr>
              <w:t>28 weeks</w:t>
            </w:r>
          </w:p>
        </w:tc>
        <w:tc>
          <w:tcPr>
            <w:tcW w:w="2976" w:type="dxa"/>
            <w:gridSpan w:val="2"/>
            <w:tcBorders>
              <w:top w:val="single" w:sz="4" w:space="0" w:color="auto"/>
              <w:left w:val="double" w:sz="4" w:space="0" w:color="auto"/>
              <w:bottom w:val="single" w:sz="4" w:space="0" w:color="auto"/>
              <w:right w:val="single" w:sz="4" w:space="0" w:color="auto"/>
            </w:tcBorders>
            <w:vAlign w:val="center"/>
          </w:tcPr>
          <w:p w:rsidR="0054134E" w:rsidRPr="00FD52D8" w:rsidRDefault="0054134E" w:rsidP="00F2320A">
            <w:pPr>
              <w:jc w:val="center"/>
              <w:rPr>
                <w:rFonts w:ascii="Arial Narrow" w:hAnsi="Arial Narrow"/>
                <w:b/>
                <w:sz w:val="20"/>
              </w:rPr>
            </w:pPr>
            <w:r w:rsidRPr="00FD52D8">
              <w:rPr>
                <w:rFonts w:ascii="Arial Narrow" w:hAnsi="Arial Narrow"/>
                <w:b/>
                <w:sz w:val="20"/>
              </w:rPr>
              <w:t>Indirect comparison</w:t>
            </w:r>
          </w:p>
          <w:p w:rsidR="0054134E" w:rsidRPr="00FD52D8" w:rsidRDefault="0054134E" w:rsidP="00F2320A">
            <w:pPr>
              <w:jc w:val="center"/>
              <w:rPr>
                <w:rFonts w:ascii="Arial Narrow" w:hAnsi="Arial Narrow"/>
                <w:b/>
                <w:sz w:val="20"/>
              </w:rPr>
            </w:pPr>
            <w:r w:rsidRPr="00FD52D8">
              <w:rPr>
                <w:rFonts w:ascii="Arial Narrow" w:hAnsi="Arial Narrow"/>
                <w:b/>
                <w:sz w:val="20"/>
              </w:rPr>
              <w:t>Mean change (95% CI)</w:t>
            </w:r>
          </w:p>
        </w:tc>
      </w:tr>
      <w:tr w:rsidR="0054134E" w:rsidRPr="00FD52D8" w:rsidTr="0054134E">
        <w:trPr>
          <w:trHeight w:val="285"/>
        </w:trPr>
        <w:tc>
          <w:tcPr>
            <w:tcW w:w="1418" w:type="dxa"/>
            <w:vMerge/>
            <w:vAlign w:val="center"/>
          </w:tcPr>
          <w:p w:rsidR="0054134E" w:rsidRPr="00FD52D8" w:rsidRDefault="0054134E" w:rsidP="00F2320A">
            <w:pPr>
              <w:jc w:val="center"/>
              <w:rPr>
                <w:rFonts w:ascii="Arial Narrow" w:hAnsi="Arial Narrow"/>
                <w:b/>
                <w:sz w:val="20"/>
              </w:rPr>
            </w:pPr>
          </w:p>
        </w:tc>
        <w:tc>
          <w:tcPr>
            <w:tcW w:w="1414" w:type="dxa"/>
            <w:vMerge/>
            <w:tcBorders>
              <w:right w:val="single" w:sz="4" w:space="0" w:color="auto"/>
            </w:tcBorders>
            <w:vAlign w:val="center"/>
          </w:tcPr>
          <w:p w:rsidR="0054134E" w:rsidRPr="00FD52D8" w:rsidRDefault="0054134E" w:rsidP="00F2320A">
            <w:pPr>
              <w:jc w:val="center"/>
              <w:rPr>
                <w:rFonts w:ascii="Arial Narrow" w:hAnsi="Arial Narrow"/>
                <w:b/>
                <w:sz w:val="20"/>
              </w:rPr>
            </w:pPr>
          </w:p>
        </w:tc>
        <w:tc>
          <w:tcPr>
            <w:tcW w:w="1316" w:type="dxa"/>
            <w:vMerge/>
            <w:tcBorders>
              <w:left w:val="single" w:sz="4" w:space="0" w:color="auto"/>
              <w:right w:val="single" w:sz="4" w:space="0" w:color="auto"/>
            </w:tcBorders>
            <w:vAlign w:val="center"/>
          </w:tcPr>
          <w:p w:rsidR="0054134E" w:rsidRPr="00FD52D8" w:rsidRDefault="0054134E" w:rsidP="00F2320A">
            <w:pPr>
              <w:jc w:val="center"/>
              <w:rPr>
                <w:rFonts w:ascii="Arial Narrow" w:hAnsi="Arial Narrow"/>
                <w:b/>
                <w:sz w:val="20"/>
              </w:rPr>
            </w:pPr>
          </w:p>
        </w:tc>
        <w:tc>
          <w:tcPr>
            <w:tcW w:w="1294" w:type="dxa"/>
            <w:vMerge/>
            <w:tcBorders>
              <w:left w:val="single" w:sz="4" w:space="0" w:color="auto"/>
              <w:right w:val="double" w:sz="4" w:space="0" w:color="auto"/>
            </w:tcBorders>
            <w:vAlign w:val="center"/>
          </w:tcPr>
          <w:p w:rsidR="0054134E" w:rsidRPr="00FD52D8" w:rsidRDefault="0054134E" w:rsidP="00F2320A">
            <w:pPr>
              <w:jc w:val="center"/>
              <w:rPr>
                <w:rFonts w:ascii="Arial Narrow" w:hAnsi="Arial Narrow"/>
                <w:b/>
                <w:sz w:val="20"/>
              </w:rPr>
            </w:pPr>
          </w:p>
        </w:tc>
        <w:tc>
          <w:tcPr>
            <w:tcW w:w="1488" w:type="dxa"/>
            <w:tcBorders>
              <w:top w:val="single" w:sz="4" w:space="0" w:color="auto"/>
              <w:left w:val="double" w:sz="4" w:space="0" w:color="auto"/>
              <w:bottom w:val="single" w:sz="4" w:space="0" w:color="auto"/>
              <w:right w:val="single" w:sz="4" w:space="0" w:color="auto"/>
            </w:tcBorders>
            <w:vAlign w:val="center"/>
          </w:tcPr>
          <w:p w:rsidR="0054134E" w:rsidRPr="00FD52D8" w:rsidRDefault="0054134E" w:rsidP="006A7626">
            <w:pPr>
              <w:ind w:left="21" w:right="-3"/>
              <w:jc w:val="center"/>
              <w:rPr>
                <w:rFonts w:ascii="Arial Narrow" w:hAnsi="Arial Narrow"/>
                <w:b/>
                <w:sz w:val="20"/>
              </w:rPr>
            </w:pPr>
            <w:r w:rsidRPr="00FD52D8">
              <w:rPr>
                <w:rFonts w:ascii="Arial Narrow" w:hAnsi="Arial Narrow"/>
                <w:b/>
                <w:sz w:val="20"/>
              </w:rPr>
              <w:t>Lurasidone vs ziprasidone</w:t>
            </w:r>
          </w:p>
        </w:tc>
        <w:tc>
          <w:tcPr>
            <w:tcW w:w="1488" w:type="dxa"/>
            <w:tcBorders>
              <w:left w:val="single" w:sz="4" w:space="0" w:color="auto"/>
            </w:tcBorders>
            <w:vAlign w:val="center"/>
          </w:tcPr>
          <w:p w:rsidR="0054134E" w:rsidRPr="00FD52D8" w:rsidRDefault="0054134E" w:rsidP="006A7626">
            <w:pPr>
              <w:ind w:left="21" w:right="-3"/>
              <w:jc w:val="center"/>
              <w:rPr>
                <w:rFonts w:ascii="Arial Narrow" w:hAnsi="Arial Narrow"/>
                <w:b/>
                <w:sz w:val="20"/>
              </w:rPr>
            </w:pPr>
            <w:r w:rsidRPr="00FD52D8">
              <w:rPr>
                <w:rFonts w:ascii="Arial Narrow" w:hAnsi="Arial Narrow"/>
                <w:b/>
                <w:sz w:val="20"/>
              </w:rPr>
              <w:t>Lurasidone vs aripiprazole</w:t>
            </w:r>
          </w:p>
        </w:tc>
      </w:tr>
      <w:tr w:rsidR="000B2AE5" w:rsidRPr="00FD52D8" w:rsidTr="006A7626">
        <w:tc>
          <w:tcPr>
            <w:tcW w:w="1418" w:type="dxa"/>
            <w:vAlign w:val="center"/>
          </w:tcPr>
          <w:p w:rsidR="000B2AE5" w:rsidRPr="00FD52D8" w:rsidRDefault="000B2AE5" w:rsidP="00F2320A">
            <w:pPr>
              <w:keepNext/>
              <w:widowControl/>
              <w:jc w:val="left"/>
              <w:rPr>
                <w:rFonts w:ascii="Arial Narrow" w:hAnsi="Arial Narrow"/>
                <w:snapToGrid/>
                <w:sz w:val="20"/>
              </w:rPr>
            </w:pPr>
            <w:r w:rsidRPr="00FD52D8">
              <w:rPr>
                <w:rFonts w:ascii="Arial Narrow" w:hAnsi="Arial Narrow"/>
                <w:snapToGrid/>
                <w:sz w:val="20"/>
              </w:rPr>
              <w:t xml:space="preserve">Lurasidone 40mg </w:t>
            </w:r>
          </w:p>
        </w:tc>
        <w:tc>
          <w:tcPr>
            <w:tcW w:w="1414" w:type="dxa"/>
            <w:vAlign w:val="center"/>
          </w:tcPr>
          <w:p w:rsidR="000B2AE5" w:rsidRPr="00FD52D8" w:rsidRDefault="000B2AE5" w:rsidP="00E76621">
            <w:pPr>
              <w:jc w:val="center"/>
              <w:rPr>
                <w:rFonts w:ascii="Arial Narrow" w:hAnsi="Arial Narrow"/>
                <w:snapToGrid/>
              </w:rPr>
            </w:pPr>
            <w:r w:rsidRPr="00FD52D8">
              <w:rPr>
                <w:rFonts w:ascii="Arial Narrow" w:hAnsi="Arial Narrow"/>
                <w:snapToGrid/>
                <w:sz w:val="20"/>
              </w:rPr>
              <w:t>3.00 (-2.41, 8.41)</w:t>
            </w:r>
          </w:p>
        </w:tc>
        <w:tc>
          <w:tcPr>
            <w:tcW w:w="1316" w:type="dxa"/>
            <w:vMerge w:val="restart"/>
            <w:vAlign w:val="center"/>
          </w:tcPr>
          <w:p w:rsidR="000B2AE5" w:rsidRPr="00FD52D8" w:rsidRDefault="000B2AE5" w:rsidP="00E76621">
            <w:pPr>
              <w:jc w:val="center"/>
              <w:rPr>
                <w:rFonts w:ascii="Arial Narrow" w:hAnsi="Arial Narrow"/>
                <w:b/>
                <w:snapToGrid/>
              </w:rPr>
            </w:pPr>
            <w:r w:rsidRPr="00FD52D8">
              <w:rPr>
                <w:rFonts w:ascii="Arial Narrow" w:hAnsi="Arial Narrow"/>
                <w:b/>
                <w:snapToGrid/>
                <w:sz w:val="20"/>
              </w:rPr>
              <w:t>9.70 (5.03,14.37)</w:t>
            </w:r>
          </w:p>
        </w:tc>
        <w:tc>
          <w:tcPr>
            <w:tcW w:w="1294" w:type="dxa"/>
            <w:vMerge w:val="restart"/>
            <w:tcBorders>
              <w:right w:val="double" w:sz="4" w:space="0" w:color="auto"/>
            </w:tcBorders>
            <w:vAlign w:val="center"/>
          </w:tcPr>
          <w:p w:rsidR="000B2AE5" w:rsidRPr="00FD52D8" w:rsidRDefault="000B2AE5" w:rsidP="00E76621">
            <w:pPr>
              <w:jc w:val="center"/>
              <w:rPr>
                <w:rFonts w:ascii="Arial Narrow" w:hAnsi="Arial Narrow"/>
                <w:b/>
                <w:color w:val="000000"/>
                <w:lang w:eastAsia="en-CA"/>
              </w:rPr>
            </w:pPr>
            <w:r w:rsidRPr="00FD52D8">
              <w:rPr>
                <w:rFonts w:ascii="Arial Narrow" w:hAnsi="Arial Narrow"/>
                <w:b/>
                <w:color w:val="000000"/>
                <w:sz w:val="20"/>
                <w:lang w:eastAsia="en-CA"/>
              </w:rPr>
              <w:t>4.60 (1.02, 8.18</w:t>
            </w:r>
            <w:r w:rsidRPr="00FD52D8">
              <w:rPr>
                <w:rFonts w:ascii="Arial Narrow" w:hAnsi="Arial Narrow"/>
                <w:b/>
                <w:color w:val="000000"/>
                <w:lang w:eastAsia="en-CA"/>
              </w:rPr>
              <w:t>)</w:t>
            </w:r>
          </w:p>
        </w:tc>
        <w:tc>
          <w:tcPr>
            <w:tcW w:w="1488" w:type="dxa"/>
            <w:tcBorders>
              <w:top w:val="single" w:sz="4" w:space="0" w:color="auto"/>
              <w:left w:val="double" w:sz="4" w:space="0" w:color="auto"/>
              <w:bottom w:val="single" w:sz="4" w:space="0" w:color="auto"/>
              <w:right w:val="single" w:sz="4" w:space="0" w:color="auto"/>
            </w:tcBorders>
            <w:vAlign w:val="center"/>
          </w:tcPr>
          <w:p w:rsidR="000B2AE5" w:rsidRPr="00FD52D8" w:rsidRDefault="000B2AE5" w:rsidP="006A7626">
            <w:pPr>
              <w:ind w:left="21" w:right="-3"/>
              <w:jc w:val="center"/>
              <w:rPr>
                <w:rFonts w:ascii="Arial Narrow" w:hAnsi="Arial Narrow"/>
                <w:color w:val="000000"/>
                <w:lang w:eastAsia="en-CA"/>
              </w:rPr>
            </w:pPr>
            <w:r w:rsidRPr="00FD52D8">
              <w:rPr>
                <w:rFonts w:ascii="Arial Narrow" w:hAnsi="Arial Narrow"/>
                <w:color w:val="000000"/>
                <w:sz w:val="20"/>
                <w:lang w:eastAsia="en-CA"/>
              </w:rPr>
              <w:t>-6.70 (-13.85, 0.45)</w:t>
            </w:r>
          </w:p>
        </w:tc>
        <w:tc>
          <w:tcPr>
            <w:tcW w:w="1488" w:type="dxa"/>
            <w:tcBorders>
              <w:left w:val="single" w:sz="4" w:space="0" w:color="auto"/>
            </w:tcBorders>
            <w:vAlign w:val="center"/>
          </w:tcPr>
          <w:p w:rsidR="000B2AE5" w:rsidRPr="00FD52D8" w:rsidRDefault="000B2AE5" w:rsidP="006A7626">
            <w:pPr>
              <w:ind w:left="21" w:right="-3"/>
              <w:jc w:val="center"/>
              <w:rPr>
                <w:rFonts w:ascii="Arial Narrow" w:hAnsi="Arial Narrow"/>
                <w:color w:val="000000"/>
                <w:lang w:eastAsia="en-CA"/>
              </w:rPr>
            </w:pPr>
            <w:r w:rsidRPr="00FD52D8">
              <w:rPr>
                <w:rFonts w:ascii="Arial Narrow" w:hAnsi="Arial Narrow"/>
                <w:color w:val="000000"/>
                <w:sz w:val="20"/>
                <w:lang w:eastAsia="en-CA"/>
              </w:rPr>
              <w:t>-1.20 (-7.99, 5.59)</w:t>
            </w:r>
          </w:p>
        </w:tc>
      </w:tr>
      <w:tr w:rsidR="000B2AE5" w:rsidRPr="00FD52D8" w:rsidTr="006A7626">
        <w:trPr>
          <w:trHeight w:val="169"/>
        </w:trPr>
        <w:tc>
          <w:tcPr>
            <w:tcW w:w="1418" w:type="dxa"/>
            <w:vAlign w:val="center"/>
          </w:tcPr>
          <w:p w:rsidR="000B2AE5" w:rsidRPr="00FD52D8" w:rsidRDefault="000B2AE5" w:rsidP="006A7626">
            <w:pPr>
              <w:keepNext/>
              <w:widowControl/>
              <w:jc w:val="left"/>
              <w:rPr>
                <w:rFonts w:ascii="Arial Narrow" w:hAnsi="Arial Narrow"/>
                <w:snapToGrid/>
                <w:sz w:val="20"/>
              </w:rPr>
            </w:pPr>
            <w:r w:rsidRPr="00FD52D8">
              <w:rPr>
                <w:rFonts w:ascii="Arial Narrow" w:hAnsi="Arial Narrow"/>
                <w:snapToGrid/>
                <w:sz w:val="20"/>
              </w:rPr>
              <w:t xml:space="preserve">Lurasidone 120mg </w:t>
            </w:r>
          </w:p>
        </w:tc>
        <w:tc>
          <w:tcPr>
            <w:tcW w:w="1414" w:type="dxa"/>
            <w:vAlign w:val="center"/>
          </w:tcPr>
          <w:p w:rsidR="000B2AE5" w:rsidRPr="00FD52D8" w:rsidRDefault="000B2AE5" w:rsidP="00E76621">
            <w:pPr>
              <w:jc w:val="center"/>
              <w:rPr>
                <w:rFonts w:ascii="Arial Narrow" w:hAnsi="Arial Narrow"/>
                <w:snapToGrid/>
              </w:rPr>
            </w:pPr>
            <w:r w:rsidRPr="00FD52D8">
              <w:rPr>
                <w:rFonts w:ascii="Arial Narrow" w:hAnsi="Arial Narrow"/>
                <w:snapToGrid/>
                <w:sz w:val="20"/>
              </w:rPr>
              <w:t>5.10 (-0.45, 10.65)</w:t>
            </w:r>
          </w:p>
        </w:tc>
        <w:tc>
          <w:tcPr>
            <w:tcW w:w="1316" w:type="dxa"/>
            <w:vMerge/>
            <w:vAlign w:val="center"/>
          </w:tcPr>
          <w:p w:rsidR="000B2AE5" w:rsidRPr="00FD52D8" w:rsidRDefault="000B2AE5" w:rsidP="00F2320A">
            <w:pPr>
              <w:jc w:val="center"/>
              <w:rPr>
                <w:rFonts w:ascii="Arial Narrow" w:hAnsi="Arial Narrow"/>
                <w:sz w:val="20"/>
              </w:rPr>
            </w:pPr>
          </w:p>
        </w:tc>
        <w:tc>
          <w:tcPr>
            <w:tcW w:w="1294" w:type="dxa"/>
            <w:vMerge/>
            <w:tcBorders>
              <w:right w:val="double" w:sz="4" w:space="0" w:color="auto"/>
            </w:tcBorders>
            <w:vAlign w:val="center"/>
          </w:tcPr>
          <w:p w:rsidR="000B2AE5" w:rsidRPr="00FD52D8" w:rsidRDefault="000B2AE5" w:rsidP="00F2320A">
            <w:pPr>
              <w:jc w:val="center"/>
              <w:rPr>
                <w:rFonts w:ascii="Arial Narrow" w:hAnsi="Arial Narrow"/>
                <w:sz w:val="20"/>
              </w:rPr>
            </w:pPr>
          </w:p>
        </w:tc>
        <w:tc>
          <w:tcPr>
            <w:tcW w:w="1488" w:type="dxa"/>
            <w:tcBorders>
              <w:top w:val="single" w:sz="4" w:space="0" w:color="auto"/>
              <w:left w:val="double" w:sz="4" w:space="0" w:color="auto"/>
              <w:bottom w:val="single" w:sz="4" w:space="0" w:color="auto"/>
              <w:right w:val="single" w:sz="4" w:space="0" w:color="auto"/>
            </w:tcBorders>
            <w:vAlign w:val="center"/>
          </w:tcPr>
          <w:p w:rsidR="000B2AE5" w:rsidRPr="00FD52D8" w:rsidRDefault="000B2AE5" w:rsidP="006A7626">
            <w:pPr>
              <w:ind w:left="21" w:right="-3"/>
              <w:jc w:val="center"/>
              <w:rPr>
                <w:rFonts w:ascii="Arial Narrow" w:hAnsi="Arial Narrow"/>
                <w:color w:val="000000"/>
                <w:lang w:eastAsia="en-CA"/>
              </w:rPr>
            </w:pPr>
            <w:r w:rsidRPr="00FD52D8">
              <w:rPr>
                <w:rFonts w:ascii="Arial Narrow" w:hAnsi="Arial Narrow"/>
                <w:color w:val="000000"/>
                <w:sz w:val="20"/>
                <w:lang w:eastAsia="en-CA"/>
              </w:rPr>
              <w:t>-4.60 (-11.86, 2.66)</w:t>
            </w:r>
          </w:p>
        </w:tc>
        <w:tc>
          <w:tcPr>
            <w:tcW w:w="1488" w:type="dxa"/>
            <w:tcBorders>
              <w:left w:val="single" w:sz="4" w:space="0" w:color="auto"/>
            </w:tcBorders>
            <w:vAlign w:val="center"/>
          </w:tcPr>
          <w:p w:rsidR="000B2AE5" w:rsidRPr="00FD52D8" w:rsidRDefault="000B2AE5" w:rsidP="006A7626">
            <w:pPr>
              <w:ind w:left="21" w:right="-3"/>
              <w:jc w:val="center"/>
              <w:rPr>
                <w:rFonts w:ascii="Arial Narrow" w:hAnsi="Arial Narrow"/>
                <w:b/>
                <w:color w:val="000000"/>
                <w:lang w:eastAsia="en-CA"/>
              </w:rPr>
            </w:pPr>
            <w:r w:rsidRPr="00FD52D8">
              <w:rPr>
                <w:rFonts w:ascii="Arial Narrow" w:hAnsi="Arial Narrow"/>
                <w:b/>
                <w:color w:val="000000"/>
                <w:sz w:val="20"/>
                <w:lang w:eastAsia="en-CA"/>
              </w:rPr>
              <w:t>0.90 (-6.00, 7.80)</w:t>
            </w:r>
          </w:p>
        </w:tc>
      </w:tr>
      <w:tr w:rsidR="000B2AE5" w:rsidRPr="00FD52D8" w:rsidTr="006A7626">
        <w:tc>
          <w:tcPr>
            <w:tcW w:w="1418" w:type="dxa"/>
            <w:vAlign w:val="center"/>
          </w:tcPr>
          <w:p w:rsidR="000B2AE5" w:rsidRPr="00FD52D8" w:rsidRDefault="000B2AE5" w:rsidP="00F2320A">
            <w:pPr>
              <w:keepNext/>
              <w:widowControl/>
              <w:jc w:val="left"/>
              <w:rPr>
                <w:rFonts w:ascii="Arial Narrow" w:hAnsi="Arial Narrow"/>
                <w:snapToGrid/>
                <w:sz w:val="20"/>
              </w:rPr>
            </w:pPr>
            <w:r w:rsidRPr="00FD52D8">
              <w:rPr>
                <w:rFonts w:ascii="Arial Narrow" w:hAnsi="Arial Narrow"/>
                <w:snapToGrid/>
                <w:sz w:val="20"/>
              </w:rPr>
              <w:t>Pooled*</w:t>
            </w:r>
          </w:p>
        </w:tc>
        <w:tc>
          <w:tcPr>
            <w:tcW w:w="1414" w:type="dxa"/>
            <w:vAlign w:val="center"/>
          </w:tcPr>
          <w:p w:rsidR="000B2AE5" w:rsidRPr="00FD52D8" w:rsidRDefault="000B2AE5" w:rsidP="00E76621">
            <w:pPr>
              <w:jc w:val="center"/>
              <w:rPr>
                <w:rFonts w:ascii="Arial Narrow" w:hAnsi="Arial Narrow"/>
                <w:snapToGrid/>
              </w:rPr>
            </w:pPr>
            <w:r w:rsidRPr="00FD52D8">
              <w:rPr>
                <w:rFonts w:ascii="Arial Narrow" w:hAnsi="Arial Narrow"/>
                <w:snapToGrid/>
                <w:sz w:val="20"/>
              </w:rPr>
              <w:t>4.05(-0.63, 8.73)</w:t>
            </w:r>
          </w:p>
        </w:tc>
        <w:tc>
          <w:tcPr>
            <w:tcW w:w="1316" w:type="dxa"/>
            <w:vMerge/>
            <w:vAlign w:val="center"/>
          </w:tcPr>
          <w:p w:rsidR="000B2AE5" w:rsidRPr="00FD52D8" w:rsidRDefault="000B2AE5" w:rsidP="00F2320A">
            <w:pPr>
              <w:jc w:val="center"/>
              <w:rPr>
                <w:rFonts w:ascii="Arial Narrow" w:hAnsi="Arial Narrow"/>
                <w:sz w:val="20"/>
              </w:rPr>
            </w:pPr>
          </w:p>
        </w:tc>
        <w:tc>
          <w:tcPr>
            <w:tcW w:w="1294" w:type="dxa"/>
            <w:vMerge/>
            <w:tcBorders>
              <w:right w:val="double" w:sz="4" w:space="0" w:color="auto"/>
            </w:tcBorders>
            <w:vAlign w:val="center"/>
          </w:tcPr>
          <w:p w:rsidR="000B2AE5" w:rsidRPr="00FD52D8" w:rsidRDefault="000B2AE5" w:rsidP="00F2320A">
            <w:pPr>
              <w:jc w:val="center"/>
              <w:rPr>
                <w:rFonts w:ascii="Arial Narrow" w:hAnsi="Arial Narrow"/>
                <w:sz w:val="20"/>
              </w:rPr>
            </w:pPr>
          </w:p>
        </w:tc>
        <w:tc>
          <w:tcPr>
            <w:tcW w:w="1488" w:type="dxa"/>
            <w:tcBorders>
              <w:top w:val="single" w:sz="4" w:space="0" w:color="auto"/>
              <w:left w:val="double" w:sz="4" w:space="0" w:color="auto"/>
              <w:bottom w:val="single" w:sz="4" w:space="0" w:color="auto"/>
              <w:right w:val="single" w:sz="4" w:space="0" w:color="auto"/>
            </w:tcBorders>
            <w:vAlign w:val="center"/>
          </w:tcPr>
          <w:p w:rsidR="000B2AE5" w:rsidRPr="00FD52D8" w:rsidRDefault="000B2AE5" w:rsidP="006A7626">
            <w:pPr>
              <w:ind w:left="21" w:right="-3"/>
              <w:jc w:val="center"/>
              <w:rPr>
                <w:rFonts w:ascii="Arial Narrow" w:hAnsi="Arial Narrow"/>
                <w:color w:val="000000"/>
                <w:lang w:eastAsia="en-CA"/>
              </w:rPr>
            </w:pPr>
            <w:r w:rsidRPr="00FD52D8">
              <w:rPr>
                <w:rFonts w:ascii="Arial Narrow" w:hAnsi="Arial Narrow"/>
                <w:color w:val="000000"/>
                <w:sz w:val="20"/>
                <w:lang w:eastAsia="en-CA"/>
              </w:rPr>
              <w:t>-5.65 (-12.27, 0.97)</w:t>
            </w:r>
          </w:p>
        </w:tc>
        <w:tc>
          <w:tcPr>
            <w:tcW w:w="1488" w:type="dxa"/>
            <w:tcBorders>
              <w:left w:val="single" w:sz="4" w:space="0" w:color="auto"/>
            </w:tcBorders>
            <w:vAlign w:val="center"/>
          </w:tcPr>
          <w:p w:rsidR="000B2AE5" w:rsidRPr="00FD52D8" w:rsidRDefault="000B2AE5" w:rsidP="006A7626">
            <w:pPr>
              <w:ind w:left="21" w:right="-3"/>
              <w:jc w:val="center"/>
              <w:rPr>
                <w:rFonts w:ascii="Arial Narrow" w:hAnsi="Arial Narrow"/>
                <w:color w:val="000000"/>
                <w:lang w:eastAsia="en-CA"/>
              </w:rPr>
            </w:pPr>
            <w:r w:rsidRPr="00FD52D8">
              <w:rPr>
                <w:rFonts w:ascii="Arial Narrow" w:hAnsi="Arial Narrow"/>
                <w:color w:val="000000"/>
                <w:sz w:val="20"/>
                <w:lang w:eastAsia="en-CA"/>
              </w:rPr>
              <w:t>-0.15 (-6.38, 6.08)</w:t>
            </w:r>
          </w:p>
        </w:tc>
      </w:tr>
    </w:tbl>
    <w:p w:rsidR="006A7626" w:rsidRPr="00FD52D8" w:rsidRDefault="006A7626" w:rsidP="006A7626">
      <w:pPr>
        <w:ind w:left="709"/>
        <w:rPr>
          <w:rFonts w:ascii="Arial Narrow" w:hAnsi="Arial Narrow"/>
          <w:sz w:val="18"/>
          <w:szCs w:val="18"/>
        </w:rPr>
      </w:pPr>
      <w:r w:rsidRPr="00FD52D8">
        <w:rPr>
          <w:rFonts w:ascii="Arial Narrow" w:hAnsi="Arial Narrow"/>
          <w:sz w:val="18"/>
          <w:szCs w:val="18"/>
        </w:rPr>
        <w:t>Source: Table 7, p.18 and Table 16, p.24 of the Indirect Treatment Comparison of Lurasidone Aripiprazole and Ziprasidone Report October 26 2014, attached to the resubmission.</w:t>
      </w:r>
    </w:p>
    <w:p w:rsidR="006A7626" w:rsidRPr="00FD52D8" w:rsidRDefault="006A7626" w:rsidP="006A7626">
      <w:pPr>
        <w:ind w:left="709"/>
        <w:rPr>
          <w:rFonts w:ascii="Arial Narrow" w:hAnsi="Arial Narrow"/>
          <w:sz w:val="18"/>
          <w:szCs w:val="18"/>
        </w:rPr>
      </w:pPr>
      <w:r w:rsidRPr="00FD52D8">
        <w:rPr>
          <w:rFonts w:ascii="Arial Narrow" w:hAnsi="Arial Narrow"/>
          <w:sz w:val="18"/>
          <w:szCs w:val="18"/>
        </w:rPr>
        <w:t xml:space="preserve">Abbreviations: PANSS, Positive and Negative Symptom Scale; SD, standard deviation. </w:t>
      </w:r>
    </w:p>
    <w:p w:rsidR="00D06FD4" w:rsidRPr="00FD52D8" w:rsidRDefault="006A7626" w:rsidP="006A7626">
      <w:pPr>
        <w:ind w:left="709"/>
        <w:rPr>
          <w:szCs w:val="22"/>
        </w:rPr>
      </w:pPr>
      <w:r w:rsidRPr="00FD52D8">
        <w:rPr>
          <w:rFonts w:ascii="Arial Narrow" w:hAnsi="Arial Narrow"/>
          <w:sz w:val="18"/>
          <w:szCs w:val="18"/>
        </w:rPr>
        <w:t>* Methods used to pool results not provided. Note: statistically significant results in bold.</w:t>
      </w:r>
    </w:p>
    <w:p w:rsidR="00D06FD4" w:rsidRPr="00FD52D8" w:rsidRDefault="00D06FD4" w:rsidP="006A7626">
      <w:pPr>
        <w:ind w:left="709"/>
        <w:rPr>
          <w:szCs w:val="22"/>
        </w:rPr>
      </w:pPr>
    </w:p>
    <w:p w:rsidR="00BD726C" w:rsidRPr="00FD52D8" w:rsidRDefault="00BD726C" w:rsidP="00AC3A0F">
      <w:pPr>
        <w:pStyle w:val="ListParagraph"/>
        <w:widowControl/>
        <w:numPr>
          <w:ilvl w:val="1"/>
          <w:numId w:val="3"/>
        </w:numPr>
      </w:pPr>
      <w:r w:rsidRPr="00FD52D8">
        <w:t xml:space="preserve">Olanzapine showed statistically significantly larger reductions in PANSS total score compared to ziprasidone (Breier 2005) and aripiprazole (Kane 2009). </w:t>
      </w:r>
      <w:r w:rsidR="002C4D33" w:rsidRPr="00FD52D8">
        <w:t>The</w:t>
      </w:r>
      <w:r w:rsidR="00E82C68" w:rsidRPr="00FD52D8">
        <w:t>re</w:t>
      </w:r>
      <w:r w:rsidR="002C4D33" w:rsidRPr="00FD52D8">
        <w:t xml:space="preserve"> was no statistically significant difference between lurasidone 40mg or </w:t>
      </w:r>
      <w:r w:rsidR="00CB7D9C" w:rsidRPr="00FD52D8">
        <w:t>12</w:t>
      </w:r>
      <w:r w:rsidR="002C4D33" w:rsidRPr="00FD52D8">
        <w:t>0mg strengths and olanzapine 15mg</w:t>
      </w:r>
      <w:r w:rsidRPr="00FD52D8">
        <w:t>.</w:t>
      </w:r>
    </w:p>
    <w:p w:rsidR="00BD726C" w:rsidRDefault="00BD726C" w:rsidP="00BD726C">
      <w:pPr>
        <w:pStyle w:val="ListParagraph"/>
        <w:widowControl/>
      </w:pPr>
    </w:p>
    <w:p w:rsidR="004C6490" w:rsidRDefault="00BD726C" w:rsidP="00AC3A0F">
      <w:pPr>
        <w:pStyle w:val="ListParagraph"/>
        <w:widowControl/>
        <w:numPr>
          <w:ilvl w:val="1"/>
          <w:numId w:val="3"/>
        </w:numPr>
      </w:pPr>
      <w:r>
        <w:t xml:space="preserve">In the indirect analyses there </w:t>
      </w:r>
      <w:r w:rsidR="000D3040">
        <w:t>wa</w:t>
      </w:r>
      <w:r>
        <w:t>s no statistically significant difference between lurasidone</w:t>
      </w:r>
      <w:r w:rsidR="000D3040">
        <w:t xml:space="preserve"> and its comparators,</w:t>
      </w:r>
      <w:r>
        <w:t xml:space="preserve"> ziprasidone and aripiprazole</w:t>
      </w:r>
      <w:r w:rsidR="000D3040">
        <w:t>,</w:t>
      </w:r>
      <w:r>
        <w:t xml:space="preserve"> in change from baseline in PANSS total score. The upper bounds of the 95% confidence intervals were less than the MCID of 7 points, suggesting the claim that lurasidone is non-inferior to ziprasidone and aripiprazole may be reasonable. </w:t>
      </w:r>
      <w:r w:rsidR="003B288D">
        <w:t>However, l</w:t>
      </w:r>
      <w:r w:rsidRPr="00B17C91">
        <w:t>urasidone 120mg failed to show non-inferiority vs aripiprazole at 8</w:t>
      </w:r>
      <w:r>
        <w:t xml:space="preserve"> weeks</w:t>
      </w:r>
      <w:r w:rsidRPr="00B17C91">
        <w:t xml:space="preserve"> </w:t>
      </w:r>
      <w:r>
        <w:t xml:space="preserve">(0.50 95% CI [-6.10, 7.10]) </w:t>
      </w:r>
      <w:r w:rsidRPr="00B17C91">
        <w:t xml:space="preserve">and 28 weeks, the upper bound of the 95% confidence intervals exceeding the MCID of 7 points at both time points. </w:t>
      </w:r>
      <w:r w:rsidR="00FD52D8">
        <w:t>The evaluation considered t</w:t>
      </w:r>
      <w:r w:rsidR="00CB7D9C" w:rsidRPr="00E77227">
        <w:t xml:space="preserve">hese results should be interpreted with caution, based on the </w:t>
      </w:r>
      <w:r w:rsidR="000B7B83" w:rsidRPr="00281A34">
        <w:t>concerns about applicability</w:t>
      </w:r>
      <w:r w:rsidR="000B7B83">
        <w:rPr>
          <w:i/>
        </w:rPr>
        <w:t xml:space="preserve"> </w:t>
      </w:r>
      <w:r w:rsidR="000B7B83" w:rsidRPr="00050137">
        <w:t>and</w:t>
      </w:r>
      <w:r w:rsidR="00CB7D9C" w:rsidRPr="00050137">
        <w:t xml:space="preserve"> </w:t>
      </w:r>
      <w:r w:rsidR="00CB7D9C" w:rsidRPr="00E77227">
        <w:t xml:space="preserve">exchangeability </w:t>
      </w:r>
      <w:r w:rsidR="000B7B83">
        <w:t xml:space="preserve">of </w:t>
      </w:r>
      <w:r w:rsidR="00CB7D9C" w:rsidRPr="00E77227">
        <w:t>the trials.</w:t>
      </w:r>
    </w:p>
    <w:p w:rsidR="004C6490" w:rsidRDefault="004C6490" w:rsidP="004C6490">
      <w:pPr>
        <w:pStyle w:val="ListParagraph"/>
      </w:pPr>
    </w:p>
    <w:p w:rsidR="004C6490" w:rsidRPr="000D3040" w:rsidRDefault="004C6490" w:rsidP="00AC3A0F">
      <w:pPr>
        <w:pStyle w:val="ListParagraph"/>
        <w:numPr>
          <w:ilvl w:val="1"/>
          <w:numId w:val="3"/>
        </w:numPr>
        <w:rPr>
          <w:i/>
        </w:rPr>
      </w:pPr>
      <w:r>
        <w:t xml:space="preserve">The resubmission </w:t>
      </w:r>
      <w:r w:rsidR="005B5DC0">
        <w:t xml:space="preserve">acknowledged </w:t>
      </w:r>
      <w:r>
        <w:t xml:space="preserve">the lack of dose response between the lurasidone 40mg and 120mg treatment arms in Trial 231, but </w:t>
      </w:r>
      <w:r w:rsidR="005B5DC0">
        <w:t xml:space="preserve">suggested </w:t>
      </w:r>
      <w:r>
        <w:t xml:space="preserve">this may be due to </w:t>
      </w:r>
      <w:r>
        <w:lastRenderedPageBreak/>
        <w:t>small differences in severity of illness across treatment arms or a reflection of the variable nature of the disease and heterogeneity of clinical response in schizophrenia generally.</w:t>
      </w:r>
      <w:r w:rsidR="000D3040">
        <w:t xml:space="preserve"> </w:t>
      </w:r>
      <w:r w:rsidR="000D3040" w:rsidRPr="00E77227">
        <w:t>However, the TGA Clinical Evaluation Report noted that there was no clear dose response for lurasidone, with only the 160mg/day dose providing significantly better efficacy compared to lower doses.</w:t>
      </w:r>
    </w:p>
    <w:p w:rsidR="004C6490" w:rsidRPr="004C6490" w:rsidRDefault="004C6490" w:rsidP="004C6490">
      <w:pPr>
        <w:pStyle w:val="ListParagraph"/>
        <w:rPr>
          <w:i/>
        </w:rPr>
      </w:pPr>
    </w:p>
    <w:p w:rsidR="00B60939" w:rsidRPr="00497F10" w:rsidRDefault="00B60939" w:rsidP="00BB7E0F">
      <w:pPr>
        <w:pStyle w:val="Heading2"/>
      </w:pPr>
      <w:bookmarkStart w:id="12" w:name="_Toc409600045"/>
      <w:r w:rsidRPr="00497F10">
        <w:t>Comparative harms</w:t>
      </w:r>
      <w:bookmarkEnd w:id="12"/>
    </w:p>
    <w:p w:rsidR="00B60939" w:rsidRPr="00882085" w:rsidRDefault="00B60939" w:rsidP="002B188A">
      <w:pPr>
        <w:keepNext/>
        <w:keepLines/>
        <w:ind w:left="720" w:hanging="720"/>
        <w:rPr>
          <w:szCs w:val="22"/>
        </w:rPr>
      </w:pPr>
    </w:p>
    <w:p w:rsidR="008C4FBD" w:rsidRPr="00E77227" w:rsidRDefault="008C4FBD" w:rsidP="00AC3A0F">
      <w:pPr>
        <w:pStyle w:val="ListParagraph"/>
        <w:keepNext/>
        <w:keepLines/>
        <w:widowControl/>
        <w:numPr>
          <w:ilvl w:val="1"/>
          <w:numId w:val="3"/>
        </w:numPr>
      </w:pPr>
      <w:r w:rsidRPr="007177DC">
        <w:t>The most frequently reported adverse events in patients treated with lurasidone were headache (</w:t>
      </w:r>
      <w:r>
        <w:t>18-22</w:t>
      </w:r>
      <w:r w:rsidRPr="007177DC">
        <w:t>%), nausea (</w:t>
      </w:r>
      <w:r>
        <w:t>8-11</w:t>
      </w:r>
      <w:r w:rsidRPr="007177DC">
        <w:t>%), extra-pyramidal symptoms, akathisia (</w:t>
      </w:r>
      <w:r>
        <w:t>12-23</w:t>
      </w:r>
      <w:r w:rsidRPr="007177DC">
        <w:t>%), somnolence (</w:t>
      </w:r>
      <w:r>
        <w:t>10-15</w:t>
      </w:r>
      <w:r w:rsidRPr="007177DC">
        <w:t>%), agitation (</w:t>
      </w:r>
      <w:r>
        <w:t>6-12</w:t>
      </w:r>
      <w:r w:rsidRPr="007177DC">
        <w:t>%), anxiety (</w:t>
      </w:r>
      <w:r>
        <w:t>10</w:t>
      </w:r>
      <w:r w:rsidRPr="007177DC">
        <w:t>%)</w:t>
      </w:r>
      <w:r>
        <w:t>,</w:t>
      </w:r>
      <w:r w:rsidRPr="007177DC">
        <w:t xml:space="preserve"> insomnia (</w:t>
      </w:r>
      <w:r>
        <w:t>12-13</w:t>
      </w:r>
      <w:r w:rsidRPr="007177DC">
        <w:t>%)</w:t>
      </w:r>
      <w:r>
        <w:t xml:space="preserve"> </w:t>
      </w:r>
      <w:r w:rsidRPr="007177DC">
        <w:t>and</w:t>
      </w:r>
      <w:r w:rsidRPr="00A97999">
        <w:t xml:space="preserve"> </w:t>
      </w:r>
      <w:r w:rsidRPr="007177DC">
        <w:t>dystonia (</w:t>
      </w:r>
      <w:r>
        <w:t>3-8%)</w:t>
      </w:r>
      <w:r w:rsidRPr="007177DC">
        <w:t xml:space="preserve">. </w:t>
      </w:r>
      <w:r w:rsidRPr="00E77227">
        <w:t xml:space="preserve">This is consistent with the previous submission, the event rates from the long term extension studies and the lurasidone Product Information document. </w:t>
      </w:r>
    </w:p>
    <w:p w:rsidR="008C4FBD" w:rsidRDefault="008C4FBD" w:rsidP="008C4FBD">
      <w:pPr>
        <w:pStyle w:val="ListParagraph"/>
        <w:widowControl/>
      </w:pPr>
    </w:p>
    <w:p w:rsidR="008C4FBD" w:rsidRPr="000B7B83" w:rsidRDefault="00970E52" w:rsidP="00AC3A0F">
      <w:pPr>
        <w:pStyle w:val="ListParagraph"/>
        <w:widowControl/>
        <w:numPr>
          <w:ilvl w:val="1"/>
          <w:numId w:val="3"/>
        </w:numPr>
      </w:pPr>
      <w:r>
        <w:t>The resubmission argued</w:t>
      </w:r>
      <w:r w:rsidR="008C4FBD">
        <w:t xml:space="preserve"> that lurasidone provides similar weight neutral and metabolic profile compared to ziprasidone and aripiprazole. </w:t>
      </w:r>
      <w:r w:rsidR="008C4FBD" w:rsidRPr="00E77227">
        <w:t>This appears reasonable</w:t>
      </w:r>
      <w:r w:rsidR="005B5DC0">
        <w:t>.</w:t>
      </w:r>
      <w:r w:rsidR="008C4FBD">
        <w:rPr>
          <w:i/>
        </w:rPr>
        <w:t xml:space="preserve"> </w:t>
      </w:r>
    </w:p>
    <w:p w:rsidR="000B7B83" w:rsidRDefault="000B7B83" w:rsidP="000B7B83">
      <w:pPr>
        <w:pStyle w:val="ListParagraph"/>
      </w:pPr>
    </w:p>
    <w:p w:rsidR="00B60939" w:rsidRPr="00497F10" w:rsidRDefault="00B60939" w:rsidP="00BB7E0F">
      <w:pPr>
        <w:pStyle w:val="Heading2"/>
      </w:pPr>
      <w:bookmarkStart w:id="13" w:name="_Toc409600047"/>
      <w:r w:rsidRPr="00497F10">
        <w:t>Clinical claim</w:t>
      </w:r>
      <w:bookmarkEnd w:id="13"/>
    </w:p>
    <w:p w:rsidR="00B60939" w:rsidRPr="00882085" w:rsidRDefault="00B60939" w:rsidP="00D06FD4">
      <w:pPr>
        <w:pStyle w:val="BodyText"/>
      </w:pPr>
    </w:p>
    <w:p w:rsidR="004C6490" w:rsidRPr="00281A34" w:rsidRDefault="004C6490" w:rsidP="00AC3A0F">
      <w:pPr>
        <w:pStyle w:val="ListParagraph"/>
        <w:widowControl/>
        <w:numPr>
          <w:ilvl w:val="1"/>
          <w:numId w:val="3"/>
        </w:numPr>
      </w:pPr>
      <w:r w:rsidRPr="0096492D">
        <w:t>The resubmission describe</w:t>
      </w:r>
      <w:r w:rsidR="001342B0">
        <w:t>d</w:t>
      </w:r>
      <w:r w:rsidRPr="0096492D">
        <w:t xml:space="preserve"> lurasidone as non-inferior in terms of comparative effectiveness and similar in terms of comparative safety over the main comparators ziprasidone and aripiprazole.</w:t>
      </w:r>
      <w:r w:rsidR="00BD4BDB">
        <w:t xml:space="preserve"> </w:t>
      </w:r>
    </w:p>
    <w:p w:rsidR="00CB7D9C" w:rsidRDefault="00CB7D9C" w:rsidP="00CB7D9C">
      <w:pPr>
        <w:widowControl/>
      </w:pPr>
    </w:p>
    <w:p w:rsidR="004C6490" w:rsidRPr="00E77227" w:rsidRDefault="004C6490" w:rsidP="00AC3A0F">
      <w:pPr>
        <w:pStyle w:val="ListParagraph"/>
        <w:widowControl/>
        <w:numPr>
          <w:ilvl w:val="1"/>
          <w:numId w:val="3"/>
        </w:numPr>
      </w:pPr>
      <w:r w:rsidRPr="0096492D">
        <w:t>The indirect comparison show</w:t>
      </w:r>
      <w:r w:rsidR="001342B0">
        <w:t>ed</w:t>
      </w:r>
      <w:r w:rsidRPr="0096492D">
        <w:t xml:space="preserve"> the lurasidone 40mg and pooled doses (40mg and 80mg) are non-inferior to ziprasidone and aripiprazole, with the 95% CI within the MCID of 7 points on the PANSS total score. </w:t>
      </w:r>
      <w:r w:rsidRPr="00CD16E4">
        <w:t>However, lurasidone 120mg did not show non-inferiority versus aripiprazole at 8 weeks or 28 weeks.</w:t>
      </w:r>
      <w:r w:rsidRPr="00CD16E4">
        <w:rPr>
          <w:i/>
        </w:rPr>
        <w:t xml:space="preserve"> </w:t>
      </w:r>
      <w:r w:rsidRPr="00E77227">
        <w:t>The TGA Clinical Evaluation Report noted that there was no clear dose response in five short term trials of lurasidone, with only the 160mg/day dose providing significantly better efficacy compared to lower doses.</w:t>
      </w:r>
    </w:p>
    <w:p w:rsidR="00B60939" w:rsidRDefault="00B60939" w:rsidP="00CD16E4">
      <w:pPr>
        <w:rPr>
          <w:szCs w:val="22"/>
        </w:rPr>
      </w:pPr>
    </w:p>
    <w:p w:rsidR="00281A34" w:rsidRDefault="00281A34" w:rsidP="00281A34">
      <w:pPr>
        <w:ind w:firstLine="720"/>
        <w:rPr>
          <w:i/>
          <w:szCs w:val="22"/>
        </w:rPr>
      </w:pPr>
      <w:r w:rsidRPr="001379D8">
        <w:rPr>
          <w:i/>
          <w:szCs w:val="22"/>
        </w:rPr>
        <w:t>For more detail on PBAC’s view, see section 7 “PBAC outcome</w:t>
      </w:r>
      <w:r w:rsidR="001379D8">
        <w:rPr>
          <w:i/>
          <w:szCs w:val="22"/>
        </w:rPr>
        <w:t>”</w:t>
      </w:r>
    </w:p>
    <w:p w:rsidR="00281A34" w:rsidRPr="00882085" w:rsidRDefault="00281A34" w:rsidP="00CD16E4">
      <w:pPr>
        <w:rPr>
          <w:szCs w:val="22"/>
        </w:rPr>
      </w:pPr>
    </w:p>
    <w:p w:rsidR="00CD16E4" w:rsidRPr="00497F10" w:rsidRDefault="00CD16E4" w:rsidP="00BB7E0F">
      <w:pPr>
        <w:pStyle w:val="Heading2"/>
      </w:pPr>
      <w:bookmarkStart w:id="14" w:name="_Toc406409330"/>
      <w:bookmarkStart w:id="15" w:name="_Toc409600048"/>
      <w:r w:rsidRPr="00497F10">
        <w:t>Economic analysis</w:t>
      </w:r>
      <w:bookmarkEnd w:id="14"/>
      <w:bookmarkEnd w:id="15"/>
      <w:r w:rsidRPr="00497F10">
        <w:t xml:space="preserve"> </w:t>
      </w:r>
    </w:p>
    <w:p w:rsidR="00CD16E4" w:rsidRPr="00882085" w:rsidRDefault="00CD16E4" w:rsidP="00CD16E4">
      <w:pPr>
        <w:ind w:left="720" w:hanging="720"/>
        <w:rPr>
          <w:szCs w:val="22"/>
        </w:rPr>
      </w:pPr>
    </w:p>
    <w:p w:rsidR="00763BE1" w:rsidRPr="00763BE1" w:rsidRDefault="00DF0676" w:rsidP="00AC3A0F">
      <w:pPr>
        <w:pStyle w:val="ListParagraph"/>
        <w:widowControl/>
        <w:numPr>
          <w:ilvl w:val="1"/>
          <w:numId w:val="3"/>
        </w:numPr>
        <w:rPr>
          <w:szCs w:val="22"/>
        </w:rPr>
      </w:pPr>
      <w:r>
        <w:rPr>
          <w:szCs w:val="22"/>
        </w:rPr>
        <w:t>The submission presented</w:t>
      </w:r>
      <w:r w:rsidR="00763BE1">
        <w:rPr>
          <w:szCs w:val="22"/>
        </w:rPr>
        <w:t xml:space="preserve"> a cost minimisation analysis against the mixed comparator of ziprasidone and aripiprazole</w:t>
      </w:r>
      <w:r w:rsidR="00763BE1" w:rsidRPr="00763BE1">
        <w:t xml:space="preserve">. </w:t>
      </w:r>
    </w:p>
    <w:p w:rsidR="00763BE1" w:rsidRPr="00763BE1" w:rsidRDefault="00763BE1" w:rsidP="00763BE1">
      <w:pPr>
        <w:pStyle w:val="ListParagraph"/>
        <w:widowControl/>
        <w:rPr>
          <w:szCs w:val="22"/>
        </w:rPr>
      </w:pPr>
    </w:p>
    <w:p w:rsidR="00CD16E4" w:rsidRPr="00F65ABA" w:rsidRDefault="00CD16E4" w:rsidP="00AC3A0F">
      <w:pPr>
        <w:pStyle w:val="ListParagraph"/>
        <w:widowControl/>
        <w:numPr>
          <w:ilvl w:val="1"/>
          <w:numId w:val="3"/>
        </w:numPr>
        <w:rPr>
          <w:szCs w:val="22"/>
        </w:rPr>
      </w:pPr>
      <w:r w:rsidRPr="001222FC">
        <w:t xml:space="preserve">The equi-effective doses </w:t>
      </w:r>
      <w:r>
        <w:t>were calculated relative to the common comparator olanzapine</w:t>
      </w:r>
      <w:r w:rsidRPr="001222FC">
        <w:t xml:space="preserve"> </w:t>
      </w:r>
      <w:r>
        <w:t xml:space="preserve">and </w:t>
      </w:r>
      <w:r w:rsidRPr="001222FC">
        <w:t>estimated as</w:t>
      </w:r>
      <w:r>
        <w:t>:</w:t>
      </w:r>
    </w:p>
    <w:p w:rsidR="00CD16E4" w:rsidRDefault="00CD16E4" w:rsidP="00CD16E4">
      <w:pPr>
        <w:pStyle w:val="ListParagraph"/>
        <w:widowControl/>
      </w:pPr>
    </w:p>
    <w:p w:rsidR="00CD16E4" w:rsidRDefault="00CD16E4" w:rsidP="00CD16E4">
      <w:pPr>
        <w:pStyle w:val="ListParagraph"/>
        <w:widowControl/>
      </w:pPr>
      <w:r>
        <w:t>lurasidone 80</w:t>
      </w:r>
      <w:r w:rsidRPr="001222FC">
        <w:t>mg</w:t>
      </w:r>
      <w:r>
        <w:t xml:space="preserve"> =</w:t>
      </w:r>
      <w:r w:rsidRPr="001222FC">
        <w:t xml:space="preserve"> </w:t>
      </w:r>
      <w:r>
        <w:t>ziprasidone 114.15mg; and</w:t>
      </w:r>
    </w:p>
    <w:p w:rsidR="00CD16E4" w:rsidRDefault="00CD16E4" w:rsidP="00CD16E4">
      <w:pPr>
        <w:pStyle w:val="ListParagraph"/>
        <w:widowControl/>
      </w:pPr>
      <w:r>
        <w:t>lurasidone 80mg = aripiprazole 17.37mg.</w:t>
      </w:r>
    </w:p>
    <w:p w:rsidR="00CD16E4" w:rsidRDefault="00CD16E4" w:rsidP="00CD16E4">
      <w:pPr>
        <w:pStyle w:val="ListParagraph"/>
        <w:widowControl/>
      </w:pPr>
    </w:p>
    <w:p w:rsidR="00A400D6" w:rsidRDefault="00CD16E4" w:rsidP="00AC3A0F">
      <w:pPr>
        <w:pStyle w:val="ListParagraph"/>
        <w:widowControl/>
        <w:numPr>
          <w:ilvl w:val="1"/>
          <w:numId w:val="3"/>
        </w:numPr>
      </w:pPr>
      <w:r w:rsidRPr="00A400D6">
        <w:t xml:space="preserve">Similar to the previous submission, the equi-effective doses of lurasidone and olanzapine were based on the average of two fixed dose lurasidone treatment arms and a single fixed dose olanzapine arm in the 6 week Trial 231, but in the resubmission the average lurasidone dose was weighted by the number of patients in each arm. </w:t>
      </w:r>
      <w:r w:rsidR="007A1C11" w:rsidRPr="00A400D6">
        <w:t>The PSCR (p3) noted that there is currently no gold standard method to derive dose equivalence between antipsychotics.</w:t>
      </w:r>
      <w:r w:rsidR="00763BE1" w:rsidRPr="00A400D6">
        <w:t xml:space="preserve"> </w:t>
      </w:r>
    </w:p>
    <w:p w:rsidR="00A400D6" w:rsidRDefault="00A400D6" w:rsidP="00A400D6">
      <w:pPr>
        <w:pStyle w:val="ListParagraph"/>
        <w:widowControl/>
      </w:pPr>
    </w:p>
    <w:p w:rsidR="00A400D6" w:rsidRPr="00A400D6" w:rsidRDefault="00A400D6" w:rsidP="00A400D6">
      <w:pPr>
        <w:pStyle w:val="ListParagraph"/>
        <w:numPr>
          <w:ilvl w:val="1"/>
          <w:numId w:val="3"/>
        </w:numPr>
      </w:pPr>
      <w:r>
        <w:t>The evaluation noted that, d</w:t>
      </w:r>
      <w:r w:rsidRPr="00A400D6">
        <w:t xml:space="preserve">uring its consideration of the previous submission, the PBAC </w:t>
      </w:r>
      <w:r>
        <w:t xml:space="preserve">had </w:t>
      </w:r>
      <w:r w:rsidRPr="00A400D6">
        <w:t xml:space="preserve">noted that it was inappropriate to base the equi-effective doses of lurasidone and olanzapine on the average of two fixed dose regimens in Trial 231 when olanzapine showed numerically larger treatment effects in key outcomes (March 2014 Minutes, paragraph 6.29). Weighting of the lurasidone arms by numbers of patients randomised does not address this issue. </w:t>
      </w:r>
    </w:p>
    <w:p w:rsidR="00A400D6" w:rsidRDefault="00A400D6" w:rsidP="00A400D6">
      <w:pPr>
        <w:pStyle w:val="ListParagraph"/>
        <w:widowControl/>
      </w:pPr>
    </w:p>
    <w:p w:rsidR="00CD16E4" w:rsidRPr="00A400D6" w:rsidRDefault="00763BE1" w:rsidP="00AC3A0F">
      <w:pPr>
        <w:pStyle w:val="ListParagraph"/>
        <w:widowControl/>
        <w:numPr>
          <w:ilvl w:val="1"/>
          <w:numId w:val="3"/>
        </w:numPr>
      </w:pPr>
      <w:r w:rsidRPr="00A400D6">
        <w:t xml:space="preserve">The </w:t>
      </w:r>
      <w:r w:rsidR="004D1828" w:rsidRPr="00A400D6">
        <w:t>PBAC</w:t>
      </w:r>
      <w:r w:rsidRPr="00A400D6">
        <w:t xml:space="preserve"> noted that the cost-minimisation is sensitive to the equi-effective dose of lurasidone versus olanzapine</w:t>
      </w:r>
      <w:r w:rsidR="00573F79" w:rsidRPr="00A400D6">
        <w:t>, but considered that, on balance, the proposed equi-effective doses of lurasidone and ziprasidone were appropriate</w:t>
      </w:r>
      <w:r w:rsidRPr="00A400D6">
        <w:t xml:space="preserve">. </w:t>
      </w:r>
    </w:p>
    <w:p w:rsidR="00940FAF" w:rsidRPr="00940FAF" w:rsidRDefault="00940FAF" w:rsidP="00940FAF">
      <w:pPr>
        <w:pStyle w:val="ListParagraph"/>
        <w:widowControl/>
      </w:pPr>
    </w:p>
    <w:p w:rsidR="00E135F1" w:rsidRPr="00E135F1" w:rsidRDefault="00E135F1" w:rsidP="00E135F1">
      <w:pPr>
        <w:pStyle w:val="ListParagraph"/>
        <w:widowControl/>
        <w:numPr>
          <w:ilvl w:val="1"/>
          <w:numId w:val="3"/>
        </w:numPr>
        <w:rPr>
          <w:b/>
          <w:szCs w:val="22"/>
        </w:rPr>
      </w:pPr>
      <w:r w:rsidRPr="00E135F1">
        <w:rPr>
          <w:szCs w:val="22"/>
        </w:rPr>
        <w:t>The proposed price of lurasidone is based on the equi-effective doses of aripiprazole and ziprasidone weighted by their respective PBS-volumes (</w:t>
      </w:r>
      <w:r w:rsidR="000A4749">
        <w:rPr>
          <w:noProof/>
          <w:color w:val="000000"/>
          <w:szCs w:val="22"/>
          <w:highlight w:val="black"/>
        </w:rPr>
        <w:t>''''''</w:t>
      </w:r>
      <w:r w:rsidRPr="00E135F1">
        <w:rPr>
          <w:szCs w:val="22"/>
        </w:rPr>
        <w:t xml:space="preserve">% and </w:t>
      </w:r>
      <w:r w:rsidR="000A4749">
        <w:rPr>
          <w:noProof/>
          <w:color w:val="000000"/>
          <w:szCs w:val="22"/>
          <w:highlight w:val="black"/>
        </w:rPr>
        <w:t>'''''</w:t>
      </w:r>
      <w:r w:rsidRPr="00E135F1">
        <w:rPr>
          <w:szCs w:val="22"/>
        </w:rPr>
        <w:t xml:space="preserve">%, respectively). </w:t>
      </w:r>
    </w:p>
    <w:p w:rsidR="00E135F1" w:rsidRPr="00E135F1" w:rsidRDefault="00E135F1" w:rsidP="00E135F1">
      <w:pPr>
        <w:pStyle w:val="ListParagraph"/>
        <w:rPr>
          <w:i/>
          <w:szCs w:val="22"/>
        </w:rPr>
      </w:pPr>
    </w:p>
    <w:p w:rsidR="00E135F1" w:rsidRPr="00E135F1" w:rsidRDefault="00E135F1" w:rsidP="00E135F1">
      <w:pPr>
        <w:widowControl/>
        <w:rPr>
          <w:b/>
          <w:szCs w:val="22"/>
        </w:rPr>
      </w:pPr>
      <w:r w:rsidRPr="00E135F1">
        <w:rPr>
          <w:i/>
          <w:szCs w:val="22"/>
        </w:rPr>
        <w:t>.</w:t>
      </w:r>
      <w:r w:rsidRPr="00E135F1">
        <w:rPr>
          <w:szCs w:val="22"/>
        </w:rPr>
        <w:tab/>
      </w:r>
      <w:r w:rsidRPr="00E135F1">
        <w:rPr>
          <w:rFonts w:ascii="Arial Narrow" w:hAnsi="Arial Narrow"/>
          <w:b/>
          <w:sz w:val="20"/>
        </w:rPr>
        <w:t>Listed price of ziprasidone and aripiprazole with volume weighted price per mg</w:t>
      </w:r>
    </w:p>
    <w:tbl>
      <w:tblPr>
        <w:tblW w:w="4547" w:type="pct"/>
        <w:tblInd w:w="794" w:type="dxa"/>
        <w:tblLayout w:type="fixed"/>
        <w:tblCellMar>
          <w:left w:w="85" w:type="dxa"/>
          <w:right w:w="85" w:type="dxa"/>
        </w:tblCellMar>
        <w:tblLook w:val="04A0" w:firstRow="1" w:lastRow="0" w:firstColumn="1" w:lastColumn="0" w:noHBand="0" w:noVBand="1"/>
      </w:tblPr>
      <w:tblGrid>
        <w:gridCol w:w="989"/>
        <w:gridCol w:w="1137"/>
        <w:gridCol w:w="1418"/>
        <w:gridCol w:w="1865"/>
        <w:gridCol w:w="1480"/>
        <w:gridCol w:w="1474"/>
      </w:tblGrid>
      <w:tr w:rsidR="00E135F1" w:rsidRPr="00E135F1" w:rsidTr="00A0749A">
        <w:trPr>
          <w:trHeight w:val="20"/>
        </w:trPr>
        <w:tc>
          <w:tcPr>
            <w:tcW w:w="591" w:type="pct"/>
            <w:tcBorders>
              <w:top w:val="single" w:sz="4" w:space="0" w:color="auto"/>
              <w:left w:val="single" w:sz="4" w:space="0" w:color="auto"/>
              <w:bottom w:val="single" w:sz="4" w:space="0" w:color="auto"/>
              <w:right w:val="single" w:sz="4" w:space="0" w:color="auto"/>
            </w:tcBorders>
            <w:shd w:val="clear" w:color="auto" w:fill="auto"/>
            <w:noWrap/>
          </w:tcPr>
          <w:p w:rsidR="00E135F1" w:rsidRPr="00E135F1" w:rsidRDefault="00E135F1" w:rsidP="00A0749A">
            <w:pPr>
              <w:rPr>
                <w:b/>
                <w:szCs w:val="22"/>
              </w:rPr>
            </w:pPr>
          </w:p>
        </w:tc>
        <w:tc>
          <w:tcPr>
            <w:tcW w:w="680" w:type="pct"/>
            <w:tcBorders>
              <w:top w:val="single" w:sz="4" w:space="0" w:color="auto"/>
              <w:left w:val="nil"/>
              <w:bottom w:val="single" w:sz="4" w:space="0" w:color="auto"/>
              <w:right w:val="single" w:sz="4" w:space="0" w:color="auto"/>
            </w:tcBorders>
            <w:shd w:val="clear" w:color="auto" w:fill="auto"/>
          </w:tcPr>
          <w:p w:rsidR="00E135F1" w:rsidRPr="00E135F1" w:rsidRDefault="00E135F1" w:rsidP="00A0749A">
            <w:pPr>
              <w:jc w:val="center"/>
              <w:rPr>
                <w:rFonts w:ascii="Arial Narrow" w:hAnsi="Arial Narrow"/>
                <w:b/>
                <w:sz w:val="20"/>
              </w:rPr>
            </w:pPr>
            <w:r w:rsidRPr="00E135F1">
              <w:rPr>
                <w:rFonts w:ascii="Arial Narrow" w:hAnsi="Arial Narrow"/>
                <w:b/>
                <w:sz w:val="20"/>
              </w:rPr>
              <w:t>Total services</w:t>
            </w:r>
          </w:p>
        </w:tc>
        <w:tc>
          <w:tcPr>
            <w:tcW w:w="848" w:type="pct"/>
            <w:tcBorders>
              <w:top w:val="single" w:sz="4" w:space="0" w:color="auto"/>
              <w:left w:val="nil"/>
              <w:bottom w:val="single" w:sz="4" w:space="0" w:color="auto"/>
              <w:right w:val="single" w:sz="4" w:space="0" w:color="auto"/>
            </w:tcBorders>
            <w:shd w:val="clear" w:color="auto" w:fill="auto"/>
          </w:tcPr>
          <w:p w:rsidR="00E135F1" w:rsidRPr="00E135F1" w:rsidRDefault="00E135F1" w:rsidP="00A0749A">
            <w:pPr>
              <w:jc w:val="center"/>
              <w:rPr>
                <w:rFonts w:ascii="Arial Narrow" w:hAnsi="Arial Narrow"/>
                <w:b/>
                <w:sz w:val="20"/>
              </w:rPr>
            </w:pPr>
            <w:r w:rsidRPr="00E135F1">
              <w:rPr>
                <w:rFonts w:ascii="Arial Narrow" w:hAnsi="Arial Narrow"/>
                <w:b/>
                <w:sz w:val="20"/>
              </w:rPr>
              <w:t>Volume weight 2013-14</w:t>
            </w:r>
          </w:p>
        </w:tc>
        <w:tc>
          <w:tcPr>
            <w:tcW w:w="1115" w:type="pct"/>
            <w:tcBorders>
              <w:top w:val="single" w:sz="4" w:space="0" w:color="auto"/>
              <w:left w:val="nil"/>
              <w:bottom w:val="single" w:sz="4" w:space="0" w:color="auto"/>
              <w:right w:val="single" w:sz="4" w:space="0" w:color="auto"/>
            </w:tcBorders>
            <w:shd w:val="clear" w:color="auto" w:fill="auto"/>
            <w:noWrap/>
          </w:tcPr>
          <w:p w:rsidR="00E135F1" w:rsidRPr="00E135F1" w:rsidRDefault="00E135F1" w:rsidP="00A0749A">
            <w:pPr>
              <w:jc w:val="center"/>
              <w:rPr>
                <w:rFonts w:ascii="Arial Narrow" w:hAnsi="Arial Narrow"/>
                <w:b/>
                <w:sz w:val="20"/>
              </w:rPr>
            </w:pPr>
            <w:r w:rsidRPr="00E135F1">
              <w:rPr>
                <w:rFonts w:ascii="Arial Narrow" w:hAnsi="Arial Narrow"/>
                <w:b/>
                <w:sz w:val="20"/>
              </w:rPr>
              <w:t>Therapeutic relativity vs lurasidone</w:t>
            </w:r>
          </w:p>
        </w:tc>
        <w:tc>
          <w:tcPr>
            <w:tcW w:w="885" w:type="pct"/>
            <w:tcBorders>
              <w:top w:val="single" w:sz="4" w:space="0" w:color="auto"/>
              <w:left w:val="nil"/>
              <w:bottom w:val="single" w:sz="4" w:space="0" w:color="auto"/>
              <w:right w:val="single" w:sz="4" w:space="0" w:color="auto"/>
            </w:tcBorders>
            <w:shd w:val="clear" w:color="auto" w:fill="auto"/>
            <w:noWrap/>
          </w:tcPr>
          <w:p w:rsidR="00E135F1" w:rsidRPr="00E135F1" w:rsidRDefault="00E135F1" w:rsidP="00A0749A">
            <w:pPr>
              <w:jc w:val="center"/>
              <w:rPr>
                <w:rFonts w:ascii="Arial Narrow" w:hAnsi="Arial Narrow"/>
                <w:b/>
                <w:color w:val="000000"/>
                <w:sz w:val="20"/>
              </w:rPr>
            </w:pPr>
            <w:r w:rsidRPr="00E135F1">
              <w:rPr>
                <w:rFonts w:ascii="Arial Narrow" w:hAnsi="Arial Narrow"/>
                <w:b/>
                <w:color w:val="000000"/>
                <w:sz w:val="20"/>
              </w:rPr>
              <w:t>AEMP/mg</w:t>
            </w:r>
          </w:p>
        </w:tc>
        <w:tc>
          <w:tcPr>
            <w:tcW w:w="881" w:type="pct"/>
            <w:tcBorders>
              <w:top w:val="single" w:sz="4" w:space="0" w:color="auto"/>
              <w:left w:val="nil"/>
              <w:bottom w:val="single" w:sz="4" w:space="0" w:color="auto"/>
              <w:right w:val="single" w:sz="4" w:space="0" w:color="auto"/>
            </w:tcBorders>
            <w:shd w:val="clear" w:color="auto" w:fill="auto"/>
            <w:noWrap/>
          </w:tcPr>
          <w:p w:rsidR="00E135F1" w:rsidRPr="00E135F1" w:rsidRDefault="00E135F1" w:rsidP="00A0749A">
            <w:pPr>
              <w:jc w:val="center"/>
              <w:rPr>
                <w:rFonts w:ascii="Arial Narrow" w:hAnsi="Arial Narrow"/>
                <w:b/>
                <w:sz w:val="20"/>
                <w:lang w:eastAsia="en-AU"/>
              </w:rPr>
            </w:pPr>
            <w:r w:rsidRPr="00E135F1">
              <w:rPr>
                <w:rFonts w:ascii="Arial Narrow" w:hAnsi="Arial Narrow"/>
                <w:b/>
                <w:sz w:val="20"/>
                <w:lang w:eastAsia="en-AU"/>
              </w:rPr>
              <w:t>Equi-effective AEMP/mg</w:t>
            </w:r>
          </w:p>
        </w:tc>
      </w:tr>
      <w:tr w:rsidR="00E135F1" w:rsidRPr="00B65748" w:rsidTr="00A0749A">
        <w:trPr>
          <w:trHeight w:val="20"/>
        </w:trPr>
        <w:tc>
          <w:tcPr>
            <w:tcW w:w="591" w:type="pct"/>
            <w:tcBorders>
              <w:top w:val="nil"/>
              <w:left w:val="single" w:sz="4" w:space="0" w:color="auto"/>
              <w:bottom w:val="single" w:sz="4" w:space="0" w:color="auto"/>
              <w:right w:val="single" w:sz="4" w:space="0" w:color="auto"/>
            </w:tcBorders>
            <w:shd w:val="clear" w:color="auto" w:fill="auto"/>
            <w:noWrap/>
          </w:tcPr>
          <w:p w:rsidR="00E135F1" w:rsidRDefault="00E135F1" w:rsidP="00A0749A">
            <w:pPr>
              <w:ind w:left="-57"/>
              <w:rPr>
                <w:rFonts w:ascii="Arial Narrow" w:hAnsi="Arial Narrow"/>
                <w:sz w:val="20"/>
              </w:rPr>
            </w:pPr>
            <w:r>
              <w:rPr>
                <w:rFonts w:ascii="Arial Narrow" w:hAnsi="Arial Narrow"/>
                <w:sz w:val="20"/>
              </w:rPr>
              <w:t>Aripiprazole</w:t>
            </w:r>
          </w:p>
        </w:tc>
        <w:tc>
          <w:tcPr>
            <w:tcW w:w="680" w:type="pct"/>
            <w:tcBorders>
              <w:top w:val="nil"/>
              <w:left w:val="nil"/>
              <w:bottom w:val="single" w:sz="4" w:space="0" w:color="auto"/>
              <w:right w:val="single" w:sz="4" w:space="0" w:color="auto"/>
            </w:tcBorders>
            <w:shd w:val="clear" w:color="auto" w:fill="auto"/>
          </w:tcPr>
          <w:p w:rsidR="00E135F1" w:rsidRDefault="00E135F1" w:rsidP="00A0749A">
            <w:pPr>
              <w:jc w:val="center"/>
              <w:rPr>
                <w:rFonts w:ascii="Arial Narrow" w:hAnsi="Arial Narrow"/>
                <w:sz w:val="20"/>
              </w:rPr>
            </w:pPr>
            <w:r>
              <w:rPr>
                <w:rFonts w:ascii="Arial Narrow" w:hAnsi="Arial Narrow"/>
                <w:sz w:val="20"/>
              </w:rPr>
              <w:t>172,215</w:t>
            </w:r>
          </w:p>
        </w:tc>
        <w:tc>
          <w:tcPr>
            <w:tcW w:w="848" w:type="pct"/>
            <w:tcBorders>
              <w:top w:val="nil"/>
              <w:left w:val="nil"/>
              <w:bottom w:val="single" w:sz="4" w:space="0" w:color="auto"/>
              <w:right w:val="single" w:sz="4" w:space="0" w:color="auto"/>
            </w:tcBorders>
            <w:shd w:val="clear" w:color="auto" w:fill="auto"/>
          </w:tcPr>
          <w:p w:rsidR="00E135F1" w:rsidRDefault="000A4749" w:rsidP="00A0749A">
            <w:pPr>
              <w:jc w:val="center"/>
              <w:rPr>
                <w:rFonts w:ascii="Arial Narrow" w:hAnsi="Arial Narrow"/>
                <w:sz w:val="20"/>
              </w:rPr>
            </w:pPr>
            <w:r>
              <w:rPr>
                <w:rFonts w:ascii="Arial Narrow" w:hAnsi="Arial Narrow"/>
                <w:noProof/>
                <w:color w:val="000000"/>
                <w:sz w:val="20"/>
                <w:highlight w:val="black"/>
              </w:rPr>
              <w:t>'''''''''''''</w:t>
            </w:r>
            <w:r w:rsidR="00E135F1" w:rsidRPr="008115B0">
              <w:rPr>
                <w:rFonts w:ascii="Arial Narrow" w:hAnsi="Arial Narrow"/>
                <w:sz w:val="20"/>
              </w:rPr>
              <w:t>%</w:t>
            </w:r>
          </w:p>
        </w:tc>
        <w:tc>
          <w:tcPr>
            <w:tcW w:w="1115" w:type="pct"/>
            <w:tcBorders>
              <w:top w:val="nil"/>
              <w:left w:val="nil"/>
              <w:bottom w:val="single" w:sz="4" w:space="0" w:color="auto"/>
              <w:right w:val="single" w:sz="4" w:space="0" w:color="auto"/>
            </w:tcBorders>
            <w:shd w:val="clear" w:color="auto" w:fill="auto"/>
            <w:noWrap/>
          </w:tcPr>
          <w:p w:rsidR="00E135F1" w:rsidRDefault="00E135F1" w:rsidP="00A0749A">
            <w:pPr>
              <w:jc w:val="center"/>
              <w:rPr>
                <w:rFonts w:ascii="Arial Narrow" w:hAnsi="Arial Narrow"/>
                <w:sz w:val="20"/>
              </w:rPr>
            </w:pPr>
            <w:r>
              <w:rPr>
                <w:rFonts w:ascii="Arial Narrow" w:hAnsi="Arial Narrow"/>
                <w:sz w:val="20"/>
              </w:rPr>
              <w:t>0.22:1</w:t>
            </w:r>
          </w:p>
        </w:tc>
        <w:tc>
          <w:tcPr>
            <w:tcW w:w="885" w:type="pct"/>
            <w:tcBorders>
              <w:top w:val="nil"/>
              <w:left w:val="nil"/>
              <w:bottom w:val="single" w:sz="4" w:space="0" w:color="auto"/>
              <w:right w:val="single" w:sz="4" w:space="0" w:color="auto"/>
            </w:tcBorders>
            <w:shd w:val="clear" w:color="auto" w:fill="auto"/>
            <w:noWrap/>
          </w:tcPr>
          <w:p w:rsidR="00E135F1" w:rsidRDefault="00E135F1" w:rsidP="00A0749A">
            <w:pPr>
              <w:jc w:val="center"/>
              <w:rPr>
                <w:rFonts w:ascii="Arial Narrow" w:hAnsi="Arial Narrow"/>
                <w:color w:val="000000"/>
                <w:sz w:val="20"/>
              </w:rPr>
            </w:pPr>
            <w:r>
              <w:rPr>
                <w:rFonts w:ascii="Arial Narrow" w:hAnsi="Arial Narrow"/>
                <w:color w:val="000000"/>
                <w:sz w:val="20"/>
              </w:rPr>
              <w:t>$</w:t>
            </w:r>
            <w:r w:rsidR="000A4749">
              <w:rPr>
                <w:rFonts w:ascii="Arial Narrow" w:hAnsi="Arial Narrow"/>
                <w:noProof/>
                <w:color w:val="000000"/>
                <w:sz w:val="20"/>
                <w:highlight w:val="black"/>
              </w:rPr>
              <w:t>''''''''''''''''</w:t>
            </w:r>
          </w:p>
        </w:tc>
        <w:tc>
          <w:tcPr>
            <w:tcW w:w="881" w:type="pct"/>
            <w:tcBorders>
              <w:top w:val="nil"/>
              <w:left w:val="nil"/>
              <w:bottom w:val="single" w:sz="4" w:space="0" w:color="auto"/>
              <w:right w:val="single" w:sz="4" w:space="0" w:color="auto"/>
            </w:tcBorders>
            <w:shd w:val="clear" w:color="auto" w:fill="auto"/>
            <w:noWrap/>
          </w:tcPr>
          <w:p w:rsidR="00E135F1" w:rsidRPr="008115B0" w:rsidRDefault="00E135F1" w:rsidP="00A0749A">
            <w:pPr>
              <w:jc w:val="center"/>
              <w:rPr>
                <w:rFonts w:ascii="Arial Narrow" w:hAnsi="Arial Narrow"/>
                <w:sz w:val="20"/>
                <w:lang w:eastAsia="en-AU"/>
              </w:rPr>
            </w:pPr>
            <w:r w:rsidRPr="008115B0">
              <w:rPr>
                <w:rFonts w:ascii="Arial Narrow" w:hAnsi="Arial Narrow"/>
                <w:sz w:val="20"/>
                <w:lang w:eastAsia="en-AU"/>
              </w:rPr>
              <w:t>$</w:t>
            </w:r>
            <w:r w:rsidR="000A4749">
              <w:rPr>
                <w:rFonts w:ascii="Arial Narrow" w:hAnsi="Arial Narrow"/>
                <w:noProof/>
                <w:color w:val="000000"/>
                <w:sz w:val="20"/>
                <w:highlight w:val="black"/>
                <w:lang w:eastAsia="en-AU"/>
              </w:rPr>
              <w:t>'''''''''''''''''</w:t>
            </w:r>
          </w:p>
        </w:tc>
      </w:tr>
      <w:tr w:rsidR="00E135F1" w:rsidRPr="00B65748" w:rsidTr="00A0749A">
        <w:trPr>
          <w:trHeight w:val="20"/>
        </w:trPr>
        <w:tc>
          <w:tcPr>
            <w:tcW w:w="591" w:type="pct"/>
            <w:tcBorders>
              <w:top w:val="nil"/>
              <w:left w:val="single" w:sz="4" w:space="0" w:color="auto"/>
              <w:bottom w:val="single" w:sz="4" w:space="0" w:color="auto"/>
              <w:right w:val="single" w:sz="4" w:space="0" w:color="auto"/>
            </w:tcBorders>
            <w:shd w:val="clear" w:color="auto" w:fill="auto"/>
            <w:noWrap/>
            <w:hideMark/>
          </w:tcPr>
          <w:p w:rsidR="00E135F1" w:rsidRPr="00B65748" w:rsidRDefault="00E135F1" w:rsidP="00A0749A">
            <w:pPr>
              <w:ind w:left="-57"/>
              <w:rPr>
                <w:rFonts w:ascii="Arial Narrow" w:hAnsi="Arial Narrow"/>
                <w:sz w:val="20"/>
              </w:rPr>
            </w:pPr>
            <w:r>
              <w:rPr>
                <w:rFonts w:ascii="Arial Narrow" w:hAnsi="Arial Narrow"/>
                <w:sz w:val="20"/>
              </w:rPr>
              <w:t>Ziprasidone</w:t>
            </w:r>
          </w:p>
        </w:tc>
        <w:tc>
          <w:tcPr>
            <w:tcW w:w="680" w:type="pct"/>
            <w:tcBorders>
              <w:top w:val="nil"/>
              <w:left w:val="nil"/>
              <w:bottom w:val="single" w:sz="4" w:space="0" w:color="auto"/>
              <w:right w:val="single" w:sz="4" w:space="0" w:color="auto"/>
            </w:tcBorders>
            <w:shd w:val="clear" w:color="auto" w:fill="auto"/>
          </w:tcPr>
          <w:p w:rsidR="00E135F1" w:rsidRPr="008115B0" w:rsidRDefault="00E135F1" w:rsidP="00A0749A">
            <w:pPr>
              <w:jc w:val="center"/>
              <w:rPr>
                <w:rFonts w:ascii="Arial Narrow" w:hAnsi="Arial Narrow"/>
                <w:sz w:val="20"/>
              </w:rPr>
            </w:pPr>
            <w:r>
              <w:rPr>
                <w:rFonts w:ascii="Arial Narrow" w:hAnsi="Arial Narrow"/>
                <w:sz w:val="20"/>
              </w:rPr>
              <w:t>28,092</w:t>
            </w:r>
          </w:p>
        </w:tc>
        <w:tc>
          <w:tcPr>
            <w:tcW w:w="848" w:type="pct"/>
            <w:tcBorders>
              <w:top w:val="nil"/>
              <w:left w:val="nil"/>
              <w:bottom w:val="single" w:sz="4" w:space="0" w:color="auto"/>
              <w:right w:val="single" w:sz="4" w:space="0" w:color="auto"/>
            </w:tcBorders>
            <w:shd w:val="clear" w:color="auto" w:fill="auto"/>
          </w:tcPr>
          <w:p w:rsidR="00E135F1" w:rsidRPr="008115B0" w:rsidRDefault="000A4749" w:rsidP="00A0749A">
            <w:pPr>
              <w:jc w:val="center"/>
              <w:rPr>
                <w:rFonts w:ascii="Arial Narrow" w:hAnsi="Arial Narrow"/>
                <w:sz w:val="20"/>
              </w:rPr>
            </w:pPr>
            <w:r>
              <w:rPr>
                <w:rFonts w:ascii="Arial Narrow" w:hAnsi="Arial Narrow"/>
                <w:noProof/>
                <w:color w:val="000000"/>
                <w:sz w:val="20"/>
                <w:highlight w:val="black"/>
              </w:rPr>
              <w:t>'''''''''''''</w:t>
            </w:r>
            <w:r w:rsidR="00E135F1">
              <w:rPr>
                <w:rFonts w:ascii="Arial Narrow" w:hAnsi="Arial Narrow"/>
                <w:sz w:val="20"/>
              </w:rPr>
              <w:t>%</w:t>
            </w:r>
          </w:p>
        </w:tc>
        <w:tc>
          <w:tcPr>
            <w:tcW w:w="1115" w:type="pct"/>
            <w:tcBorders>
              <w:top w:val="nil"/>
              <w:left w:val="nil"/>
              <w:bottom w:val="single" w:sz="4" w:space="0" w:color="auto"/>
              <w:right w:val="single" w:sz="4" w:space="0" w:color="auto"/>
            </w:tcBorders>
            <w:shd w:val="clear" w:color="auto" w:fill="auto"/>
            <w:noWrap/>
          </w:tcPr>
          <w:p w:rsidR="00E135F1" w:rsidRPr="008115B0" w:rsidRDefault="00E135F1" w:rsidP="00A0749A">
            <w:pPr>
              <w:jc w:val="center"/>
              <w:rPr>
                <w:rFonts w:ascii="Arial Narrow" w:hAnsi="Arial Narrow"/>
                <w:sz w:val="20"/>
              </w:rPr>
            </w:pPr>
            <w:r>
              <w:rPr>
                <w:rFonts w:ascii="Arial Narrow" w:hAnsi="Arial Narrow"/>
                <w:sz w:val="20"/>
              </w:rPr>
              <w:t>1.42:1</w:t>
            </w:r>
          </w:p>
        </w:tc>
        <w:tc>
          <w:tcPr>
            <w:tcW w:w="885" w:type="pct"/>
            <w:tcBorders>
              <w:top w:val="nil"/>
              <w:left w:val="nil"/>
              <w:bottom w:val="single" w:sz="4" w:space="0" w:color="auto"/>
              <w:right w:val="single" w:sz="4" w:space="0" w:color="auto"/>
            </w:tcBorders>
            <w:shd w:val="clear" w:color="auto" w:fill="auto"/>
            <w:noWrap/>
          </w:tcPr>
          <w:p w:rsidR="00E135F1" w:rsidRPr="008115B0" w:rsidRDefault="00E135F1" w:rsidP="00A0749A">
            <w:pPr>
              <w:jc w:val="center"/>
              <w:rPr>
                <w:rFonts w:ascii="Arial Narrow" w:hAnsi="Arial Narrow"/>
                <w:color w:val="000000"/>
                <w:sz w:val="20"/>
              </w:rPr>
            </w:pPr>
            <w:r>
              <w:rPr>
                <w:rFonts w:ascii="Arial Narrow" w:hAnsi="Arial Narrow"/>
                <w:color w:val="000000"/>
                <w:sz w:val="20"/>
              </w:rPr>
              <w:t>$</w:t>
            </w:r>
            <w:r w:rsidR="000A4749">
              <w:rPr>
                <w:rFonts w:ascii="Arial Narrow" w:hAnsi="Arial Narrow"/>
                <w:noProof/>
                <w:color w:val="000000"/>
                <w:sz w:val="20"/>
                <w:highlight w:val="black"/>
              </w:rPr>
              <w:t>''''''''''''''''</w:t>
            </w:r>
          </w:p>
        </w:tc>
        <w:tc>
          <w:tcPr>
            <w:tcW w:w="881" w:type="pct"/>
            <w:tcBorders>
              <w:top w:val="nil"/>
              <w:left w:val="nil"/>
              <w:bottom w:val="single" w:sz="4" w:space="0" w:color="auto"/>
              <w:right w:val="single" w:sz="4" w:space="0" w:color="auto"/>
            </w:tcBorders>
            <w:shd w:val="clear" w:color="auto" w:fill="auto"/>
            <w:noWrap/>
          </w:tcPr>
          <w:p w:rsidR="00E135F1" w:rsidRPr="008115B0" w:rsidRDefault="00E135F1" w:rsidP="00A0749A">
            <w:pPr>
              <w:jc w:val="center"/>
              <w:rPr>
                <w:rFonts w:ascii="Arial Narrow" w:hAnsi="Arial Narrow"/>
                <w:sz w:val="20"/>
              </w:rPr>
            </w:pPr>
            <w:r w:rsidRPr="008115B0">
              <w:rPr>
                <w:rFonts w:ascii="Arial Narrow" w:hAnsi="Arial Narrow"/>
                <w:sz w:val="20"/>
                <w:lang w:eastAsia="en-AU"/>
              </w:rPr>
              <w:t>$</w:t>
            </w:r>
            <w:r w:rsidR="000A4749">
              <w:rPr>
                <w:rFonts w:ascii="Arial Narrow" w:hAnsi="Arial Narrow"/>
                <w:noProof/>
                <w:color w:val="000000"/>
                <w:sz w:val="20"/>
                <w:highlight w:val="black"/>
                <w:lang w:eastAsia="en-AU"/>
              </w:rPr>
              <w:t>'''''''''''''''''</w:t>
            </w:r>
          </w:p>
        </w:tc>
      </w:tr>
      <w:tr w:rsidR="00E135F1" w:rsidRPr="00B65748" w:rsidTr="00A0749A">
        <w:trPr>
          <w:trHeight w:val="20"/>
        </w:trPr>
        <w:tc>
          <w:tcPr>
            <w:tcW w:w="4119" w:type="pct"/>
            <w:gridSpan w:val="5"/>
            <w:tcBorders>
              <w:top w:val="nil"/>
              <w:left w:val="single" w:sz="4" w:space="0" w:color="auto"/>
              <w:bottom w:val="single" w:sz="4" w:space="0" w:color="auto"/>
              <w:right w:val="single" w:sz="4" w:space="0" w:color="auto"/>
            </w:tcBorders>
            <w:shd w:val="clear" w:color="auto" w:fill="auto"/>
            <w:noWrap/>
          </w:tcPr>
          <w:p w:rsidR="00E135F1" w:rsidRPr="00D738C8" w:rsidRDefault="00E135F1" w:rsidP="00A0749A">
            <w:pPr>
              <w:jc w:val="right"/>
              <w:rPr>
                <w:rFonts w:ascii="Arial Narrow" w:hAnsi="Arial Narrow"/>
                <w:sz w:val="20"/>
                <w:lang w:eastAsia="en-AU"/>
              </w:rPr>
            </w:pPr>
            <w:r>
              <w:rPr>
                <w:rFonts w:ascii="Arial Narrow" w:hAnsi="Arial Narrow"/>
                <w:sz w:val="20"/>
                <w:lang w:eastAsia="en-AU"/>
              </w:rPr>
              <w:t>Volume weighted equi-effective lurasidone AEMP/mg</w:t>
            </w:r>
          </w:p>
        </w:tc>
        <w:tc>
          <w:tcPr>
            <w:tcW w:w="881" w:type="pct"/>
            <w:tcBorders>
              <w:top w:val="nil"/>
              <w:left w:val="nil"/>
              <w:bottom w:val="single" w:sz="4" w:space="0" w:color="auto"/>
              <w:right w:val="single" w:sz="4" w:space="0" w:color="auto"/>
            </w:tcBorders>
            <w:shd w:val="clear" w:color="auto" w:fill="auto"/>
            <w:noWrap/>
          </w:tcPr>
          <w:p w:rsidR="00E135F1" w:rsidRPr="008115B0" w:rsidRDefault="00E135F1" w:rsidP="00A0749A">
            <w:pPr>
              <w:jc w:val="center"/>
              <w:rPr>
                <w:rFonts w:ascii="Arial Narrow" w:hAnsi="Arial Narrow"/>
                <w:sz w:val="20"/>
                <w:lang w:eastAsia="en-AU"/>
              </w:rPr>
            </w:pPr>
            <w:r w:rsidRPr="008115B0">
              <w:rPr>
                <w:rFonts w:ascii="Arial Narrow" w:hAnsi="Arial Narrow"/>
                <w:sz w:val="20"/>
                <w:lang w:eastAsia="en-AU"/>
              </w:rPr>
              <w:t>$</w:t>
            </w:r>
            <w:r w:rsidR="000A4749">
              <w:rPr>
                <w:rFonts w:ascii="Arial Narrow" w:hAnsi="Arial Narrow"/>
                <w:noProof/>
                <w:color w:val="000000"/>
                <w:sz w:val="20"/>
                <w:highlight w:val="black"/>
                <w:lang w:eastAsia="en-AU"/>
              </w:rPr>
              <w:t>'''''''''''''''</w:t>
            </w:r>
          </w:p>
        </w:tc>
      </w:tr>
      <w:tr w:rsidR="00E135F1" w:rsidRPr="00B65748" w:rsidTr="00A0749A">
        <w:trPr>
          <w:trHeight w:val="20"/>
        </w:trPr>
        <w:tc>
          <w:tcPr>
            <w:tcW w:w="4119" w:type="pct"/>
            <w:gridSpan w:val="5"/>
            <w:tcBorders>
              <w:top w:val="single" w:sz="4" w:space="0" w:color="auto"/>
              <w:left w:val="single" w:sz="4" w:space="0" w:color="auto"/>
              <w:bottom w:val="single" w:sz="4" w:space="0" w:color="auto"/>
              <w:right w:val="single" w:sz="4" w:space="0" w:color="auto"/>
            </w:tcBorders>
            <w:shd w:val="clear" w:color="auto" w:fill="auto"/>
            <w:noWrap/>
          </w:tcPr>
          <w:p w:rsidR="00E135F1" w:rsidRPr="004C6A08" w:rsidRDefault="00E135F1" w:rsidP="00A0749A">
            <w:pPr>
              <w:jc w:val="right"/>
              <w:rPr>
                <w:rFonts w:ascii="Arial Narrow" w:hAnsi="Arial Narrow"/>
                <w:sz w:val="20"/>
                <w:u w:val="single"/>
                <w:lang w:eastAsia="en-AU"/>
              </w:rPr>
            </w:pPr>
            <w:r w:rsidRPr="00D738C8">
              <w:rPr>
                <w:rFonts w:ascii="Arial Narrow" w:hAnsi="Arial Narrow"/>
                <w:sz w:val="20"/>
                <w:lang w:eastAsia="en-AU"/>
              </w:rPr>
              <w:t xml:space="preserve">Volume weighted equi-effective lurasidone AEMP/mg </w:t>
            </w:r>
            <w:r w:rsidRPr="004C6A08">
              <w:rPr>
                <w:rFonts w:ascii="Arial Narrow" w:hAnsi="Arial Narrow"/>
                <w:sz w:val="20"/>
                <w:u w:val="single"/>
                <w:lang w:eastAsia="en-AU"/>
              </w:rPr>
              <w:t>with 5% discount</w:t>
            </w:r>
          </w:p>
        </w:tc>
        <w:tc>
          <w:tcPr>
            <w:tcW w:w="881" w:type="pct"/>
            <w:tcBorders>
              <w:top w:val="single" w:sz="4" w:space="0" w:color="auto"/>
              <w:left w:val="nil"/>
              <w:bottom w:val="single" w:sz="4" w:space="0" w:color="auto"/>
              <w:right w:val="single" w:sz="4" w:space="0" w:color="auto"/>
            </w:tcBorders>
            <w:shd w:val="clear" w:color="auto" w:fill="auto"/>
            <w:noWrap/>
          </w:tcPr>
          <w:p w:rsidR="00E135F1" w:rsidRPr="00D738C8" w:rsidRDefault="00E135F1" w:rsidP="00A0749A">
            <w:pPr>
              <w:jc w:val="center"/>
              <w:rPr>
                <w:rFonts w:ascii="Arial Narrow" w:hAnsi="Arial Narrow"/>
                <w:b/>
                <w:sz w:val="20"/>
                <w:lang w:eastAsia="en-AU"/>
              </w:rPr>
            </w:pPr>
            <w:r w:rsidRPr="00D738C8">
              <w:rPr>
                <w:rFonts w:ascii="Arial Narrow" w:hAnsi="Arial Narrow"/>
                <w:b/>
                <w:sz w:val="20"/>
                <w:lang w:eastAsia="en-AU"/>
              </w:rPr>
              <w:t>$</w:t>
            </w:r>
            <w:r w:rsidR="000A4749">
              <w:rPr>
                <w:rFonts w:ascii="Arial Narrow" w:hAnsi="Arial Narrow"/>
                <w:b/>
                <w:noProof/>
                <w:color w:val="000000"/>
                <w:sz w:val="20"/>
                <w:highlight w:val="black"/>
                <w:lang w:eastAsia="en-AU"/>
              </w:rPr>
              <w:t>''''''''''''</w:t>
            </w:r>
          </w:p>
        </w:tc>
      </w:tr>
    </w:tbl>
    <w:p w:rsidR="00E135F1" w:rsidRPr="00D738C8" w:rsidRDefault="00E135F1" w:rsidP="00E135F1">
      <w:pPr>
        <w:pStyle w:val="ListParagraph"/>
        <w:widowControl/>
        <w:rPr>
          <w:szCs w:val="22"/>
        </w:rPr>
      </w:pPr>
    </w:p>
    <w:p w:rsidR="00E135F1" w:rsidRPr="00A31FA1" w:rsidRDefault="00E135F1" w:rsidP="00E135F1">
      <w:pPr>
        <w:pStyle w:val="ListParagraph"/>
        <w:widowControl/>
        <w:numPr>
          <w:ilvl w:val="1"/>
          <w:numId w:val="3"/>
        </w:numPr>
        <w:rPr>
          <w:szCs w:val="22"/>
        </w:rPr>
      </w:pPr>
      <w:r w:rsidRPr="00D738C8">
        <w:t xml:space="preserve">With the proposed </w:t>
      </w:r>
      <w:r w:rsidR="000A4749">
        <w:rPr>
          <w:noProof/>
          <w:color w:val="000000"/>
          <w:highlight w:val="black"/>
        </w:rPr>
        <w:t>'''</w:t>
      </w:r>
      <w:r w:rsidRPr="00D738C8">
        <w:t>% discount compared to the weighted comparator, the lurasidone AEMP/mg is $</w:t>
      </w:r>
      <w:r w:rsidR="000A4749">
        <w:rPr>
          <w:noProof/>
          <w:color w:val="000000"/>
          <w:highlight w:val="black"/>
        </w:rPr>
        <w:t>''''''''''''''''</w:t>
      </w:r>
      <w:r w:rsidRPr="00D738C8">
        <w:t xml:space="preserve">. </w:t>
      </w:r>
      <w:r w:rsidRPr="00E77227">
        <w:t>This compares with $</w:t>
      </w:r>
      <w:r w:rsidR="000A4749">
        <w:rPr>
          <w:noProof/>
          <w:color w:val="000000"/>
          <w:highlight w:val="black"/>
        </w:rPr>
        <w:t>''''''''''''''''''</w:t>
      </w:r>
      <w:r w:rsidRPr="00E77227">
        <w:t>/mg (corrected) for lurasidone 40mg and 80mg in the previous submission.</w:t>
      </w:r>
      <w:r w:rsidRPr="00D738C8" w:rsidDel="00D738C8">
        <w:t xml:space="preserve"> </w:t>
      </w:r>
    </w:p>
    <w:p w:rsidR="00E135F1" w:rsidRDefault="00E135F1" w:rsidP="00E135F1">
      <w:pPr>
        <w:pStyle w:val="ListParagraph"/>
      </w:pPr>
    </w:p>
    <w:p w:rsidR="00E135F1" w:rsidRDefault="00940FAF" w:rsidP="00AC3A0F">
      <w:pPr>
        <w:pStyle w:val="ListParagraph"/>
        <w:widowControl/>
        <w:numPr>
          <w:ilvl w:val="1"/>
          <w:numId w:val="3"/>
        </w:numPr>
      </w:pPr>
      <w:r>
        <w:t xml:space="preserve">The ESC requested </w:t>
      </w:r>
      <w:r w:rsidRPr="00281A34">
        <w:t xml:space="preserve">a comparison of </w:t>
      </w:r>
      <w:r w:rsidR="00573F79">
        <w:t xml:space="preserve">the </w:t>
      </w:r>
      <w:r w:rsidR="00E135F1">
        <w:t xml:space="preserve">listings and prices of the PBS </w:t>
      </w:r>
      <w:r w:rsidR="00797DA6" w:rsidRPr="00281A34">
        <w:t xml:space="preserve">anti-psychotic </w:t>
      </w:r>
      <w:r w:rsidR="00E135F1">
        <w:t>medicines</w:t>
      </w:r>
      <w:r w:rsidR="00E135F1" w:rsidRPr="00281A34">
        <w:t xml:space="preserve"> </w:t>
      </w:r>
      <w:r w:rsidR="00797DA6" w:rsidRPr="00281A34">
        <w:t xml:space="preserve">in order to compare the </w:t>
      </w:r>
      <w:r w:rsidRPr="00281A34">
        <w:t xml:space="preserve">equi-effective doses </w:t>
      </w:r>
      <w:r w:rsidR="00797DA6" w:rsidRPr="00281A34">
        <w:t>and</w:t>
      </w:r>
      <w:r w:rsidRPr="00281A34">
        <w:t xml:space="preserve"> requested price of lurasidone to other therapies for schizophrenia. </w:t>
      </w:r>
      <w:r w:rsidR="00E135F1">
        <w:t>The ESC also</w:t>
      </w:r>
      <w:r w:rsidR="00FA775F" w:rsidRPr="00281A34">
        <w:t xml:space="preserve"> noted that the pricing method</w:t>
      </w:r>
      <w:r w:rsidR="00797DA6" w:rsidRPr="00281A34">
        <w:t>ology used</w:t>
      </w:r>
      <w:r w:rsidR="00FA775F" w:rsidRPr="00281A34">
        <w:t xml:space="preserve"> </w:t>
      </w:r>
      <w:r w:rsidR="002450B1" w:rsidRPr="00281A34">
        <w:t>by the submission to calculate the ex-manufacturer price</w:t>
      </w:r>
      <w:r w:rsidR="00573F79">
        <w:t xml:space="preserve"> for lurasidone</w:t>
      </w:r>
      <w:r w:rsidR="002450B1" w:rsidRPr="00281A34">
        <w:t xml:space="preserve"> </w:t>
      </w:r>
      <w:r w:rsidR="00FA775F" w:rsidRPr="00281A34">
        <w:t>is unconventional and results in a</w:t>
      </w:r>
      <w:r w:rsidR="002450B1" w:rsidRPr="00281A34">
        <w:t xml:space="preserve"> </w:t>
      </w:r>
      <w:r w:rsidR="00FA775F" w:rsidRPr="00281A34">
        <w:t xml:space="preserve">price which is </w:t>
      </w:r>
      <w:r w:rsidR="00797DA6" w:rsidRPr="00281A34">
        <w:t xml:space="preserve">higher than that calculated using conventional methods. </w:t>
      </w:r>
    </w:p>
    <w:p w:rsidR="00E135F1" w:rsidRDefault="00E135F1" w:rsidP="00E135F1">
      <w:pPr>
        <w:pStyle w:val="ListParagraph"/>
      </w:pPr>
    </w:p>
    <w:p w:rsidR="00FA775F" w:rsidRPr="00281A34" w:rsidRDefault="009033EF" w:rsidP="00AC3A0F">
      <w:pPr>
        <w:pStyle w:val="ListParagraph"/>
        <w:widowControl/>
        <w:numPr>
          <w:ilvl w:val="1"/>
          <w:numId w:val="3"/>
        </w:numPr>
      </w:pPr>
      <w:r>
        <w:t xml:space="preserve">The pre-PBAC response pointed out that the ESC advice </w:t>
      </w:r>
      <w:r w:rsidR="00E135F1">
        <w:t xml:space="preserve">had </w:t>
      </w:r>
      <w:r>
        <w:t xml:space="preserve">used an incorrect price for lurasidone in this </w:t>
      </w:r>
      <w:r w:rsidR="00A400D6">
        <w:t>comparison</w:t>
      </w:r>
      <w:r>
        <w:t>.  This has been corrected in the table below.</w:t>
      </w:r>
    </w:p>
    <w:p w:rsidR="00797DA6" w:rsidRDefault="00797DA6" w:rsidP="00C75B3F">
      <w:pPr>
        <w:pStyle w:val="PBACheading1"/>
        <w:numPr>
          <w:ilvl w:val="0"/>
          <w:numId w:val="0"/>
        </w:numPr>
        <w:ind w:left="720" w:hanging="720"/>
      </w:pPr>
    </w:p>
    <w:p w:rsidR="001722D9" w:rsidRDefault="001722D9" w:rsidP="00C75B3F">
      <w:pPr>
        <w:pStyle w:val="PBACheading1"/>
        <w:numPr>
          <w:ilvl w:val="0"/>
          <w:numId w:val="0"/>
        </w:numPr>
        <w:ind w:left="720" w:hanging="720"/>
        <w:sectPr w:rsidR="001722D9" w:rsidSect="00E77227">
          <w:headerReference w:type="default" r:id="rId9"/>
          <w:footerReference w:type="default" r:id="rId10"/>
          <w:type w:val="continuous"/>
          <w:pgSz w:w="11906" w:h="16838"/>
          <w:pgMar w:top="1440" w:right="1440" w:bottom="1440" w:left="1440" w:header="1440" w:footer="1440" w:gutter="0"/>
          <w:pgNumType w:start="1" w:chapStyle="1"/>
          <w:cols w:space="708"/>
          <w:docGrid w:linePitch="360"/>
        </w:sectPr>
      </w:pPr>
    </w:p>
    <w:tbl>
      <w:tblPr>
        <w:tblW w:w="0" w:type="auto"/>
        <w:tblInd w:w="93" w:type="dxa"/>
        <w:tblLayout w:type="fixed"/>
        <w:tblLook w:val="04A0" w:firstRow="1" w:lastRow="0" w:firstColumn="1" w:lastColumn="0" w:noHBand="0" w:noVBand="1"/>
      </w:tblPr>
      <w:tblGrid>
        <w:gridCol w:w="1858"/>
        <w:gridCol w:w="1843"/>
        <w:gridCol w:w="1417"/>
        <w:gridCol w:w="1418"/>
        <w:gridCol w:w="1417"/>
        <w:gridCol w:w="1560"/>
        <w:gridCol w:w="1559"/>
        <w:gridCol w:w="1364"/>
        <w:gridCol w:w="1645"/>
      </w:tblGrid>
      <w:tr w:rsidR="008E345C" w:rsidRPr="000833FE" w:rsidTr="008E345C">
        <w:trPr>
          <w:trHeight w:val="300"/>
        </w:trPr>
        <w:tc>
          <w:tcPr>
            <w:tcW w:w="12436" w:type="dxa"/>
            <w:gridSpan w:val="8"/>
            <w:tcBorders>
              <w:bottom w:val="single" w:sz="4" w:space="0" w:color="auto"/>
            </w:tcBorders>
            <w:shd w:val="clear" w:color="auto" w:fill="auto"/>
            <w:vAlign w:val="bottom"/>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lastRenderedPageBreak/>
              <w:t>Price comparison of anti-psychotics</w:t>
            </w:r>
          </w:p>
        </w:tc>
        <w:tc>
          <w:tcPr>
            <w:tcW w:w="1645" w:type="dxa"/>
            <w:tcBorders>
              <w:bottom w:val="single" w:sz="4" w:space="0" w:color="auto"/>
            </w:tcBorders>
          </w:tcPr>
          <w:p w:rsidR="008E345C" w:rsidRPr="000833FE" w:rsidRDefault="008E345C" w:rsidP="008E345C">
            <w:pPr>
              <w:widowControl/>
              <w:jc w:val="left"/>
              <w:rPr>
                <w:rFonts w:ascii="Arial Narrow" w:hAnsi="Arial Narrow" w:cs="Times New Roman"/>
                <w:b/>
                <w:bCs/>
                <w:i/>
                <w:snapToGrid/>
                <w:color w:val="000000"/>
                <w:sz w:val="18"/>
                <w:szCs w:val="18"/>
                <w:lang w:eastAsia="en-AU"/>
              </w:rPr>
            </w:pPr>
          </w:p>
        </w:tc>
      </w:tr>
      <w:tr w:rsidR="008E345C" w:rsidRPr="000833FE" w:rsidTr="001A7E02">
        <w:trPr>
          <w:trHeight w:val="204"/>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Drug</w:t>
            </w:r>
          </w:p>
        </w:tc>
        <w:tc>
          <w:tcPr>
            <w:tcW w:w="1843" w:type="dxa"/>
            <w:tcBorders>
              <w:top w:val="single" w:sz="4" w:space="0" w:color="auto"/>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Lurasidone</w:t>
            </w:r>
          </w:p>
        </w:tc>
        <w:tc>
          <w:tcPr>
            <w:tcW w:w="1417" w:type="dxa"/>
            <w:tcBorders>
              <w:top w:val="single" w:sz="4" w:space="0" w:color="auto"/>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Ziprasidone</w:t>
            </w:r>
          </w:p>
        </w:tc>
        <w:tc>
          <w:tcPr>
            <w:tcW w:w="1418" w:type="dxa"/>
            <w:tcBorders>
              <w:top w:val="single" w:sz="4" w:space="0" w:color="auto"/>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Aripiprazole</w:t>
            </w:r>
          </w:p>
        </w:tc>
        <w:tc>
          <w:tcPr>
            <w:tcW w:w="1417" w:type="dxa"/>
            <w:tcBorders>
              <w:top w:val="single" w:sz="4" w:space="0" w:color="auto"/>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Paliperidone</w:t>
            </w:r>
          </w:p>
        </w:tc>
        <w:tc>
          <w:tcPr>
            <w:tcW w:w="1560" w:type="dxa"/>
            <w:tcBorders>
              <w:top w:val="single" w:sz="4" w:space="0" w:color="auto"/>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Olanzapine</w:t>
            </w:r>
          </w:p>
        </w:tc>
        <w:tc>
          <w:tcPr>
            <w:tcW w:w="1559" w:type="dxa"/>
            <w:tcBorders>
              <w:top w:val="single" w:sz="4" w:space="0" w:color="auto"/>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Quetiapine</w:t>
            </w:r>
          </w:p>
        </w:tc>
        <w:tc>
          <w:tcPr>
            <w:tcW w:w="1364" w:type="dxa"/>
            <w:tcBorders>
              <w:top w:val="single" w:sz="4" w:space="0" w:color="auto"/>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Risperidone</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b/>
                <w:bCs/>
                <w:color w:val="000000"/>
                <w:sz w:val="18"/>
                <w:szCs w:val="18"/>
              </w:rPr>
              <w:t>Clozapine</w:t>
            </w:r>
          </w:p>
        </w:tc>
      </w:tr>
      <w:tr w:rsidR="008E345C" w:rsidRPr="000833FE" w:rsidTr="001A7E02">
        <w:trPr>
          <w:trHeight w:val="136"/>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ATC Group</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NO5AE</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NO5AE</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NO5AX</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NO5AX</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 xml:space="preserve">NO5AH </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 xml:space="preserve">NO5AH </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NO5AX</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NO5AH</w:t>
            </w:r>
          </w:p>
        </w:tc>
      </w:tr>
      <w:tr w:rsidR="008E345C" w:rsidRPr="000833FE" w:rsidTr="00C9336C">
        <w:trPr>
          <w:trHeight w:val="787"/>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PBS Listing</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 xml:space="preserve">Authority Required (STREAMLINED) – See Section 2 </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(1589)</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(1589)</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(4246)</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(1589)</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(1589)</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Authority Required (STREAMLINED) - Schizophrenia (1589)</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Authority Required (STREAMLINED) - Schizophrenia (4411)^</w:t>
            </w:r>
          </w:p>
        </w:tc>
      </w:tr>
      <w:tr w:rsidR="008E345C" w:rsidRPr="000833FE" w:rsidTr="001A7E02">
        <w:trPr>
          <w:trHeight w:val="227"/>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Formulary</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F1</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F2</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F1</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F1</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F2</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F2</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F2</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F2</w:t>
            </w:r>
          </w:p>
        </w:tc>
      </w:tr>
      <w:tr w:rsidR="008E345C" w:rsidRPr="000833FE" w:rsidTr="00C9336C">
        <w:trPr>
          <w:trHeight w:val="1091"/>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Basis of recommendation</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C9336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Seeking cost minimisation compared to ziprasadone and aripiprazole (mixed comparator).</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222222"/>
                <w:sz w:val="18"/>
                <w:szCs w:val="18"/>
                <w:lang w:eastAsia="en-AU"/>
              </w:rPr>
            </w:pPr>
            <w:r w:rsidRPr="000833FE">
              <w:rPr>
                <w:rFonts w:ascii="Arial Narrow" w:hAnsi="Arial Narrow" w:cs="Times New Roman"/>
                <w:i/>
                <w:snapToGrid/>
                <w:color w:val="222222"/>
                <w:sz w:val="18"/>
                <w:szCs w:val="18"/>
                <w:lang w:eastAsia="en-AU"/>
              </w:rPr>
              <w:t>Cost minimised to olanzapine.</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222222"/>
                <w:sz w:val="18"/>
                <w:szCs w:val="18"/>
                <w:lang w:eastAsia="en-AU"/>
              </w:rPr>
            </w:pPr>
            <w:r w:rsidRPr="000833FE">
              <w:rPr>
                <w:rFonts w:ascii="Arial Narrow" w:hAnsi="Arial Narrow" w:cs="Times New Roman"/>
                <w:i/>
                <w:snapToGrid/>
                <w:color w:val="222222"/>
                <w:sz w:val="18"/>
                <w:szCs w:val="18"/>
                <w:lang w:eastAsia="en-AU"/>
              </w:rPr>
              <w:t>Cost minimised to olanzapine.</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222222"/>
                <w:sz w:val="18"/>
                <w:szCs w:val="18"/>
                <w:lang w:eastAsia="en-AU"/>
              </w:rPr>
            </w:pPr>
            <w:r w:rsidRPr="000833FE">
              <w:rPr>
                <w:rFonts w:ascii="Arial Narrow" w:hAnsi="Arial Narrow" w:cs="Times New Roman"/>
                <w:i/>
                <w:snapToGrid/>
                <w:color w:val="222222"/>
                <w:sz w:val="18"/>
                <w:szCs w:val="18"/>
                <w:lang w:eastAsia="en-AU"/>
              </w:rPr>
              <w:t>Cost minimised to olanzapine.</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222222"/>
                <w:sz w:val="18"/>
                <w:szCs w:val="18"/>
                <w:lang w:eastAsia="en-AU"/>
              </w:rPr>
            </w:pPr>
            <w:r w:rsidRPr="000833FE">
              <w:rPr>
                <w:rFonts w:ascii="Arial Narrow" w:hAnsi="Arial Narrow" w:cs="Times New Roman"/>
                <w:i/>
                <w:snapToGrid/>
                <w:color w:val="222222"/>
                <w:sz w:val="18"/>
                <w:szCs w:val="18"/>
                <w:lang w:eastAsia="en-AU"/>
              </w:rPr>
              <w:t>Acceptable cost-effectiveness compared to risperidone. </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222222"/>
                <w:sz w:val="18"/>
                <w:szCs w:val="18"/>
                <w:lang w:eastAsia="en-AU"/>
              </w:rPr>
            </w:pPr>
            <w:r w:rsidRPr="000833FE">
              <w:rPr>
                <w:rFonts w:ascii="Arial Narrow" w:hAnsi="Arial Narrow" w:cs="Times New Roman"/>
                <w:i/>
                <w:snapToGrid/>
                <w:color w:val="222222"/>
                <w:sz w:val="18"/>
                <w:szCs w:val="18"/>
                <w:lang w:eastAsia="en-AU"/>
              </w:rPr>
              <w:t>Cost minimised to risperidone.</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 </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Listed 1993, pre-dates cost-effectiveness</w:t>
            </w:r>
          </w:p>
        </w:tc>
      </w:tr>
      <w:tr w:rsidR="008E345C" w:rsidRPr="000833FE" w:rsidTr="00C9336C">
        <w:trPr>
          <w:trHeight w:val="38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sz w:val="18"/>
                <w:szCs w:val="18"/>
                <w:lang w:eastAsia="en-AU"/>
              </w:rPr>
            </w:pPr>
            <w:r w:rsidRPr="000833FE">
              <w:rPr>
                <w:rFonts w:ascii="Arial Narrow" w:hAnsi="Arial Narrow" w:cs="Times New Roman"/>
                <w:b/>
                <w:bCs/>
                <w:i/>
                <w:snapToGrid/>
                <w:sz w:val="18"/>
                <w:szCs w:val="18"/>
                <w:lang w:eastAsia="en-AU"/>
              </w:rPr>
              <w:t>Equi-effective dose per sub</w:t>
            </w:r>
          </w:p>
        </w:tc>
        <w:tc>
          <w:tcPr>
            <w:tcW w:w="1843" w:type="dxa"/>
            <w:tcBorders>
              <w:top w:val="nil"/>
              <w:left w:val="nil"/>
              <w:bottom w:val="single" w:sz="4" w:space="0" w:color="auto"/>
              <w:right w:val="single" w:sz="4" w:space="0" w:color="auto"/>
            </w:tcBorders>
            <w:shd w:val="clear" w:color="000000" w:fill="B8CCE4"/>
            <w:vAlign w:val="bottom"/>
            <w:hideMark/>
          </w:tcPr>
          <w:p w:rsidR="008E345C" w:rsidRPr="000833FE" w:rsidRDefault="008E345C" w:rsidP="008E345C">
            <w:pPr>
              <w:widowControl/>
              <w:jc w:val="left"/>
              <w:rPr>
                <w:rFonts w:ascii="Arial Narrow" w:hAnsi="Arial Narrow" w:cs="Times New Roman"/>
                <w:i/>
                <w:snapToGrid/>
                <w:color w:val="FF0000"/>
                <w:sz w:val="18"/>
                <w:szCs w:val="18"/>
                <w:lang w:eastAsia="en-AU"/>
              </w:rPr>
            </w:pPr>
            <w:r w:rsidRPr="000833FE">
              <w:rPr>
                <w:rFonts w:ascii="Arial Narrow" w:hAnsi="Arial Narrow" w:cs="Times New Roman"/>
                <w:i/>
                <w:snapToGrid/>
                <w:color w:val="FF0000"/>
                <w:sz w:val="18"/>
                <w:szCs w:val="18"/>
                <w:lang w:eastAsia="en-AU"/>
              </w:rPr>
              <w:t>80mg</w:t>
            </w:r>
          </w:p>
        </w:tc>
        <w:tc>
          <w:tcPr>
            <w:tcW w:w="1417" w:type="dxa"/>
            <w:tcBorders>
              <w:top w:val="nil"/>
              <w:left w:val="nil"/>
              <w:bottom w:val="single" w:sz="4" w:space="0" w:color="auto"/>
              <w:right w:val="single" w:sz="4" w:space="0" w:color="auto"/>
            </w:tcBorders>
            <w:shd w:val="clear" w:color="000000" w:fill="B8CCE4"/>
            <w:vAlign w:val="bottom"/>
            <w:hideMark/>
          </w:tcPr>
          <w:p w:rsidR="008E345C" w:rsidRPr="000833FE" w:rsidRDefault="008E345C" w:rsidP="008E345C">
            <w:pPr>
              <w:widowControl/>
              <w:jc w:val="left"/>
              <w:rPr>
                <w:rFonts w:ascii="Arial Narrow" w:hAnsi="Arial Narrow" w:cs="Times New Roman"/>
                <w:i/>
                <w:snapToGrid/>
                <w:color w:val="FF0000"/>
                <w:sz w:val="18"/>
                <w:szCs w:val="18"/>
                <w:lang w:eastAsia="en-AU"/>
              </w:rPr>
            </w:pPr>
            <w:r w:rsidRPr="000833FE">
              <w:rPr>
                <w:rFonts w:ascii="Arial Narrow" w:hAnsi="Arial Narrow" w:cs="Times New Roman"/>
                <w:i/>
                <w:snapToGrid/>
                <w:color w:val="FF0000"/>
                <w:sz w:val="18"/>
                <w:szCs w:val="18"/>
                <w:lang w:eastAsia="en-AU"/>
              </w:rPr>
              <w:t>114.15mg</w:t>
            </w:r>
          </w:p>
        </w:tc>
        <w:tc>
          <w:tcPr>
            <w:tcW w:w="1418" w:type="dxa"/>
            <w:tcBorders>
              <w:top w:val="nil"/>
              <w:left w:val="nil"/>
              <w:bottom w:val="single" w:sz="4" w:space="0" w:color="auto"/>
              <w:right w:val="single" w:sz="4" w:space="0" w:color="auto"/>
            </w:tcBorders>
            <w:shd w:val="clear" w:color="000000" w:fill="B8CCE4"/>
            <w:vAlign w:val="bottom"/>
            <w:hideMark/>
          </w:tcPr>
          <w:p w:rsidR="008E345C" w:rsidRPr="000833FE" w:rsidRDefault="008E345C" w:rsidP="008E345C">
            <w:pPr>
              <w:widowControl/>
              <w:jc w:val="left"/>
              <w:rPr>
                <w:rFonts w:ascii="Arial Narrow" w:hAnsi="Arial Narrow" w:cs="Times New Roman"/>
                <w:i/>
                <w:snapToGrid/>
                <w:color w:val="FF0000"/>
                <w:sz w:val="18"/>
                <w:szCs w:val="18"/>
                <w:lang w:eastAsia="en-AU"/>
              </w:rPr>
            </w:pPr>
            <w:r w:rsidRPr="000833FE">
              <w:rPr>
                <w:rFonts w:ascii="Arial Narrow" w:hAnsi="Arial Narrow" w:cs="Times New Roman"/>
                <w:i/>
                <w:snapToGrid/>
                <w:color w:val="FF0000"/>
                <w:sz w:val="18"/>
                <w:szCs w:val="18"/>
                <w:lang w:eastAsia="en-AU"/>
              </w:rPr>
              <w:t>17.37mg</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 N/A</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 15.032mg</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N/A</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N/A</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sz w:val="18"/>
                <w:szCs w:val="18"/>
              </w:rPr>
              <w:t>N/A</w:t>
            </w:r>
          </w:p>
        </w:tc>
      </w:tr>
      <w:tr w:rsidR="008E345C" w:rsidRPr="000833FE" w:rsidTr="00C9336C">
        <w:trPr>
          <w:trHeight w:val="888"/>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 xml:space="preserve">Equi-effective dose per Therapeutic Relativity Sheets, (Table D1, 7.02 Comm.30*) </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80mg</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125.75mg</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21.3mg</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 xml:space="preserve">11.4 mg </w:t>
            </w:r>
            <w:r w:rsidRPr="000833FE">
              <w:rPr>
                <w:rFonts w:ascii="Arial Narrow" w:hAnsi="Arial Narrow" w:cs="Times New Roman"/>
                <w:i/>
                <w:snapToGrid/>
                <w:sz w:val="18"/>
                <w:szCs w:val="18"/>
                <w:vertAlign w:val="superscript"/>
                <w:lang w:eastAsia="en-AU"/>
              </w:rPr>
              <w:t>#</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sz w:val="18"/>
                <w:szCs w:val="18"/>
                <w:lang w:eastAsia="en-AU"/>
              </w:rPr>
            </w:pPr>
            <w:r w:rsidRPr="000833FE">
              <w:rPr>
                <w:rFonts w:ascii="Arial Narrow" w:hAnsi="Arial Narrow" w:cs="Times New Roman"/>
                <w:i/>
                <w:snapToGrid/>
                <w:sz w:val="18"/>
                <w:szCs w:val="18"/>
                <w:lang w:eastAsia="en-AU"/>
              </w:rPr>
              <w:t xml:space="preserve">15.032mg </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N/A</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N/A</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The usual effective daily dose is 200 mg to 600 mg (eTG)</w:t>
            </w:r>
          </w:p>
        </w:tc>
      </w:tr>
      <w:tr w:rsidR="008E345C" w:rsidRPr="000833FE" w:rsidTr="00C9336C">
        <w:trPr>
          <w:trHeight w:val="1057"/>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Price (AEMP) for equi-effective dose for 30 days (based on submission presented equi-effective doses)</w:t>
            </w:r>
          </w:p>
        </w:tc>
        <w:tc>
          <w:tcPr>
            <w:tcW w:w="1843" w:type="dxa"/>
            <w:tcBorders>
              <w:top w:val="nil"/>
              <w:left w:val="nil"/>
              <w:bottom w:val="single" w:sz="4" w:space="0" w:color="auto"/>
              <w:right w:val="single" w:sz="4" w:space="0" w:color="auto"/>
            </w:tcBorders>
            <w:shd w:val="clear" w:color="000000" w:fill="EBF1DE"/>
            <w:vAlign w:val="center"/>
            <w:hideMark/>
          </w:tcPr>
          <w:p w:rsidR="008E345C" w:rsidRPr="000833FE" w:rsidRDefault="008E345C" w:rsidP="00C9336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w:t>
            </w:r>
            <w:r w:rsidR="000A4749">
              <w:rPr>
                <w:rFonts w:ascii="Arial Narrow" w:hAnsi="Arial Narrow" w:cs="Times New Roman"/>
                <w:i/>
                <w:noProof/>
                <w:snapToGrid/>
                <w:color w:val="000000"/>
                <w:sz w:val="18"/>
                <w:szCs w:val="18"/>
                <w:highlight w:val="black"/>
                <w:lang w:eastAsia="en-AU"/>
              </w:rPr>
              <w:t>'''''''''''''''''</w:t>
            </w:r>
            <w:r w:rsidRPr="000833FE">
              <w:rPr>
                <w:rFonts w:ascii="Arial Narrow" w:hAnsi="Arial Narrow" w:cs="Times New Roman"/>
                <w:i/>
                <w:snapToGrid/>
                <w:color w:val="000000"/>
                <w:sz w:val="18"/>
                <w:szCs w:val="18"/>
                <w:lang w:eastAsia="en-AU"/>
              </w:rPr>
              <w:t xml:space="preserve"> (submission method + </w:t>
            </w:r>
            <w:r w:rsidR="000A4749">
              <w:rPr>
                <w:rFonts w:ascii="Arial Narrow" w:hAnsi="Arial Narrow" w:cs="Times New Roman"/>
                <w:i/>
                <w:noProof/>
                <w:snapToGrid/>
                <w:color w:val="000000"/>
                <w:sz w:val="18"/>
                <w:szCs w:val="18"/>
                <w:highlight w:val="black"/>
                <w:lang w:eastAsia="en-AU"/>
              </w:rPr>
              <w:t>'''</w:t>
            </w:r>
            <w:r w:rsidRPr="000833FE">
              <w:rPr>
                <w:rFonts w:ascii="Arial Narrow" w:hAnsi="Arial Narrow" w:cs="Times New Roman"/>
                <w:i/>
                <w:snapToGrid/>
                <w:color w:val="000000"/>
                <w:sz w:val="18"/>
                <w:szCs w:val="18"/>
                <w:lang w:eastAsia="en-AU"/>
              </w:rPr>
              <w:t>% discount</w:t>
            </w:r>
            <w:r w:rsidR="0090792A">
              <w:rPr>
                <w:rFonts w:ascii="Arial Narrow" w:hAnsi="Arial Narrow" w:cs="Times New Roman"/>
                <w:i/>
                <w:snapToGrid/>
                <w:color w:val="000000"/>
                <w:sz w:val="18"/>
                <w:szCs w:val="18"/>
                <w:lang w:eastAsia="en-AU"/>
              </w:rPr>
              <w:t xml:space="preserve">**); </w:t>
            </w:r>
            <w:r w:rsidRPr="000833FE">
              <w:rPr>
                <w:rFonts w:ascii="Arial Narrow" w:hAnsi="Arial Narrow" w:cs="Times New Roman"/>
                <w:i/>
                <w:snapToGrid/>
                <w:color w:val="000000"/>
                <w:sz w:val="18"/>
                <w:szCs w:val="18"/>
                <w:lang w:eastAsia="en-AU"/>
              </w:rPr>
              <w:t>$</w:t>
            </w:r>
            <w:r w:rsidR="000A4749">
              <w:rPr>
                <w:rFonts w:ascii="Arial Narrow" w:hAnsi="Arial Narrow" w:cs="Times New Roman"/>
                <w:i/>
                <w:noProof/>
                <w:snapToGrid/>
                <w:color w:val="000000"/>
                <w:sz w:val="18"/>
                <w:szCs w:val="18"/>
                <w:highlight w:val="black"/>
                <w:lang w:eastAsia="en-AU"/>
              </w:rPr>
              <w:t>''''''''''''''''</w:t>
            </w:r>
            <w:r w:rsidRPr="000833FE">
              <w:rPr>
                <w:rFonts w:ascii="Arial Narrow" w:hAnsi="Arial Narrow" w:cs="Times New Roman"/>
                <w:i/>
                <w:snapToGrid/>
                <w:color w:val="000000"/>
                <w:sz w:val="18"/>
                <w:szCs w:val="18"/>
                <w:lang w:eastAsia="en-AU"/>
              </w:rPr>
              <w:t xml:space="preserve"> (usual pricing method </w:t>
            </w:r>
            <w:r w:rsidR="00C9336C">
              <w:rPr>
                <w:rFonts w:ascii="Arial Narrow" w:hAnsi="Arial Narrow" w:cs="Times New Roman"/>
                <w:i/>
                <w:snapToGrid/>
                <w:color w:val="000000"/>
                <w:sz w:val="18"/>
                <w:szCs w:val="18"/>
                <w:lang w:eastAsia="en-AU"/>
              </w:rPr>
              <w:t>+</w:t>
            </w:r>
            <w:r w:rsidRPr="000833FE">
              <w:rPr>
                <w:rFonts w:ascii="Arial Narrow" w:hAnsi="Arial Narrow" w:cs="Times New Roman"/>
                <w:i/>
                <w:snapToGrid/>
                <w:color w:val="000000"/>
                <w:sz w:val="18"/>
                <w:szCs w:val="18"/>
                <w:lang w:eastAsia="en-AU"/>
              </w:rPr>
              <w:t xml:space="preserve"> </w:t>
            </w:r>
            <w:r w:rsidR="000A4749">
              <w:rPr>
                <w:rFonts w:ascii="Arial Narrow" w:hAnsi="Arial Narrow" w:cs="Times New Roman"/>
                <w:i/>
                <w:noProof/>
                <w:snapToGrid/>
                <w:color w:val="000000"/>
                <w:sz w:val="18"/>
                <w:szCs w:val="18"/>
                <w:highlight w:val="black"/>
                <w:lang w:eastAsia="en-AU"/>
              </w:rPr>
              <w:t>''''</w:t>
            </w:r>
            <w:r w:rsidRPr="000833FE">
              <w:rPr>
                <w:rFonts w:ascii="Arial Narrow" w:hAnsi="Arial Narrow" w:cs="Times New Roman"/>
                <w:i/>
                <w:snapToGrid/>
                <w:color w:val="000000"/>
                <w:sz w:val="18"/>
                <w:szCs w:val="18"/>
                <w:lang w:eastAsia="en-AU"/>
              </w:rPr>
              <w:t>% discount**)</w:t>
            </w:r>
          </w:p>
        </w:tc>
        <w:tc>
          <w:tcPr>
            <w:tcW w:w="1417" w:type="dxa"/>
            <w:tcBorders>
              <w:top w:val="nil"/>
              <w:left w:val="nil"/>
              <w:bottom w:val="single" w:sz="4" w:space="0" w:color="auto"/>
              <w:right w:val="single" w:sz="4" w:space="0" w:color="auto"/>
            </w:tcBorders>
            <w:shd w:val="clear" w:color="000000" w:fill="FDE9D9"/>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$170.34</w:t>
            </w:r>
          </w:p>
        </w:tc>
        <w:tc>
          <w:tcPr>
            <w:tcW w:w="1418" w:type="dxa"/>
            <w:tcBorders>
              <w:top w:val="nil"/>
              <w:left w:val="nil"/>
              <w:bottom w:val="single" w:sz="4" w:space="0" w:color="auto"/>
              <w:right w:val="single" w:sz="4" w:space="0" w:color="auto"/>
            </w:tcBorders>
            <w:shd w:val="clear" w:color="000000" w:fill="FDE9D9"/>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$184.99</w:t>
            </w:r>
          </w:p>
        </w:tc>
        <w:tc>
          <w:tcPr>
            <w:tcW w:w="1417" w:type="dxa"/>
            <w:tcBorders>
              <w:top w:val="nil"/>
              <w:left w:val="nil"/>
              <w:bottom w:val="single" w:sz="4" w:space="0" w:color="auto"/>
              <w:right w:val="single" w:sz="4" w:space="0" w:color="auto"/>
            </w:tcBorders>
            <w:shd w:val="clear" w:color="000000" w:fill="FDE9D9"/>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$254.42</w:t>
            </w:r>
          </w:p>
        </w:tc>
        <w:tc>
          <w:tcPr>
            <w:tcW w:w="1560" w:type="dxa"/>
            <w:tcBorders>
              <w:top w:val="nil"/>
              <w:left w:val="nil"/>
              <w:bottom w:val="single" w:sz="4" w:space="0" w:color="auto"/>
              <w:right w:val="single" w:sz="4" w:space="0" w:color="auto"/>
            </w:tcBorders>
            <w:shd w:val="clear" w:color="000000" w:fill="FDE9D9"/>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$76.63</w:t>
            </w:r>
          </w:p>
        </w:tc>
        <w:tc>
          <w:tcPr>
            <w:tcW w:w="1559" w:type="dxa"/>
            <w:tcBorders>
              <w:top w:val="nil"/>
              <w:left w:val="nil"/>
              <w:bottom w:val="single" w:sz="4" w:space="0" w:color="auto"/>
              <w:right w:val="single" w:sz="4" w:space="0" w:color="auto"/>
            </w:tcBorders>
            <w:shd w:val="clear" w:color="000000" w:fill="E4DFEC"/>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$51.43 for 100 mg tds</w:t>
            </w:r>
          </w:p>
        </w:tc>
        <w:tc>
          <w:tcPr>
            <w:tcW w:w="1364" w:type="dxa"/>
            <w:tcBorders>
              <w:top w:val="nil"/>
              <w:left w:val="nil"/>
              <w:bottom w:val="single" w:sz="4" w:space="0" w:color="auto"/>
              <w:right w:val="single" w:sz="4" w:space="0" w:color="auto"/>
            </w:tcBorders>
            <w:shd w:val="clear" w:color="000000" w:fill="E4DFEC"/>
            <w:vAlign w:val="center"/>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$27.40 for 2 mg bd</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$72.71 for 200mg d</w:t>
            </w:r>
          </w:p>
        </w:tc>
      </w:tr>
      <w:tr w:rsidR="008E345C" w:rsidRPr="000833FE" w:rsidTr="00C9336C">
        <w:trPr>
          <w:trHeight w:val="367"/>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E345C" w:rsidRPr="000833FE" w:rsidRDefault="008E345C" w:rsidP="008E345C">
            <w:pPr>
              <w:widowControl/>
              <w:jc w:val="left"/>
              <w:rPr>
                <w:rFonts w:ascii="Arial Narrow" w:hAnsi="Arial Narrow" w:cs="Times New Roman"/>
                <w:b/>
                <w:bCs/>
                <w:i/>
                <w:snapToGrid/>
                <w:color w:val="000000"/>
                <w:sz w:val="18"/>
                <w:szCs w:val="18"/>
                <w:lang w:eastAsia="en-AU"/>
              </w:rPr>
            </w:pPr>
            <w:r w:rsidRPr="000833FE">
              <w:rPr>
                <w:rFonts w:ascii="Arial Narrow" w:hAnsi="Arial Narrow" w:cs="Times New Roman"/>
                <w:b/>
                <w:bCs/>
                <w:i/>
                <w:snapToGrid/>
                <w:color w:val="000000"/>
                <w:sz w:val="18"/>
                <w:szCs w:val="18"/>
                <w:lang w:eastAsia="en-AU"/>
              </w:rPr>
              <w:t>Ex-man 1 Feb 2015</w:t>
            </w:r>
          </w:p>
        </w:tc>
        <w:tc>
          <w:tcPr>
            <w:tcW w:w="1843" w:type="dxa"/>
            <w:tcBorders>
              <w:top w:val="nil"/>
              <w:left w:val="nil"/>
              <w:bottom w:val="single" w:sz="4" w:space="0" w:color="auto"/>
              <w:right w:val="single" w:sz="4" w:space="0" w:color="auto"/>
            </w:tcBorders>
            <w:shd w:val="clear" w:color="000000" w:fill="EBF1DE"/>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w:t>
            </w:r>
            <w:r w:rsidR="000A4749">
              <w:rPr>
                <w:rFonts w:ascii="Arial Narrow" w:hAnsi="Arial Narrow" w:cs="Times New Roman"/>
                <w:i/>
                <w:noProof/>
                <w:snapToGrid/>
                <w:color w:val="000000"/>
                <w:sz w:val="18"/>
                <w:szCs w:val="18"/>
                <w:highlight w:val="black"/>
                <w:lang w:eastAsia="en-AU"/>
              </w:rPr>
              <w:t>'''''''''''''''''</w:t>
            </w:r>
            <w:r w:rsidRPr="000833FE">
              <w:rPr>
                <w:rFonts w:ascii="Arial Narrow" w:hAnsi="Arial Narrow" w:cs="Times New Roman"/>
                <w:i/>
                <w:snapToGrid/>
                <w:color w:val="000000"/>
                <w:sz w:val="18"/>
                <w:szCs w:val="18"/>
                <w:lang w:eastAsia="en-AU"/>
              </w:rPr>
              <w:t xml:space="preserve"> per 80mg, 30</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$179.07 per 60mg, 60</w:t>
            </w:r>
          </w:p>
        </w:tc>
        <w:tc>
          <w:tcPr>
            <w:tcW w:w="1418"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$212.99 per 20mg, 30</w:t>
            </w:r>
          </w:p>
        </w:tc>
        <w:tc>
          <w:tcPr>
            <w:tcW w:w="1417"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$187.49 per 9mg, 28</w:t>
            </w:r>
          </w:p>
        </w:tc>
        <w:tc>
          <w:tcPr>
            <w:tcW w:w="1560" w:type="dxa"/>
            <w:tcBorders>
              <w:top w:val="nil"/>
              <w:left w:val="nil"/>
              <w:bottom w:val="single" w:sz="4" w:space="0" w:color="auto"/>
              <w:right w:val="single" w:sz="4" w:space="0" w:color="auto"/>
            </w:tcBorders>
            <w:shd w:val="clear" w:color="000000" w:fill="FDE9D9"/>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$71.52 per 15mg, 28</w:t>
            </w:r>
          </w:p>
        </w:tc>
        <w:tc>
          <w:tcPr>
            <w:tcW w:w="1559"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$51.43 for  100mg, 90</w:t>
            </w:r>
          </w:p>
        </w:tc>
        <w:tc>
          <w:tcPr>
            <w:tcW w:w="1364" w:type="dxa"/>
            <w:tcBorders>
              <w:top w:val="nil"/>
              <w:left w:val="nil"/>
              <w:bottom w:val="single" w:sz="4" w:space="0" w:color="auto"/>
              <w:right w:val="single" w:sz="4" w:space="0" w:color="auto"/>
            </w:tcBorders>
            <w:shd w:val="clear" w:color="000000" w:fill="E4DFEC"/>
            <w:vAlign w:val="bottom"/>
            <w:hideMark/>
          </w:tcPr>
          <w:p w:rsidR="008E345C" w:rsidRPr="000833FE"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s="Times New Roman"/>
                <w:i/>
                <w:snapToGrid/>
                <w:color w:val="000000"/>
                <w:sz w:val="18"/>
                <w:szCs w:val="18"/>
                <w:lang w:eastAsia="en-AU"/>
              </w:rPr>
              <w:t>AEMP = $27.40 for 2mg, 60</w:t>
            </w:r>
          </w:p>
        </w:tc>
        <w:tc>
          <w:tcPr>
            <w:tcW w:w="1645" w:type="dxa"/>
            <w:tcBorders>
              <w:top w:val="single" w:sz="4" w:space="0" w:color="auto"/>
              <w:left w:val="nil"/>
              <w:bottom w:val="single" w:sz="4" w:space="0" w:color="auto"/>
              <w:right w:val="single" w:sz="4" w:space="0" w:color="auto"/>
            </w:tcBorders>
            <w:shd w:val="clear" w:color="000000" w:fill="C6D9F1" w:themeFill="text2" w:themeFillTint="33"/>
            <w:vAlign w:val="bottom"/>
          </w:tcPr>
          <w:p w:rsidR="008E345C" w:rsidRPr="000833FE" w:rsidDel="00E04499" w:rsidRDefault="008E345C" w:rsidP="008E345C">
            <w:pPr>
              <w:widowControl/>
              <w:jc w:val="left"/>
              <w:rPr>
                <w:rFonts w:ascii="Arial Narrow" w:hAnsi="Arial Narrow" w:cs="Times New Roman"/>
                <w:i/>
                <w:snapToGrid/>
                <w:color w:val="000000"/>
                <w:sz w:val="18"/>
                <w:szCs w:val="18"/>
                <w:lang w:eastAsia="en-AU"/>
              </w:rPr>
            </w:pPr>
            <w:r w:rsidRPr="000833FE">
              <w:rPr>
                <w:rFonts w:ascii="Arial Narrow" w:hAnsi="Arial Narrow"/>
                <w:color w:val="000000"/>
                <w:sz w:val="18"/>
                <w:szCs w:val="18"/>
              </w:rPr>
              <w:t>AEMP = $242.38 for 200mg, 100</w:t>
            </w:r>
          </w:p>
        </w:tc>
      </w:tr>
    </w:tbl>
    <w:p w:rsidR="008E345C" w:rsidRPr="00C9336C" w:rsidRDefault="008E345C" w:rsidP="008E345C">
      <w:pPr>
        <w:widowControl/>
        <w:rPr>
          <w:rFonts w:ascii="Arial Narrow" w:hAnsi="Arial Narrow"/>
          <w:i/>
          <w:sz w:val="16"/>
          <w:szCs w:val="16"/>
        </w:rPr>
      </w:pPr>
      <w:r w:rsidRPr="00C9336C">
        <w:rPr>
          <w:rFonts w:ascii="Arial Narrow" w:hAnsi="Arial Narrow"/>
          <w:i/>
          <w:sz w:val="16"/>
          <w:szCs w:val="16"/>
        </w:rPr>
        <w:t xml:space="preserve">* Assuming 80mg lurasidone: 15.032mg olanzapine as per Therapeutic Relativity Sheets – 1 December 2014. </w:t>
      </w:r>
    </w:p>
    <w:p w:rsidR="008E345C" w:rsidRPr="00C9336C" w:rsidRDefault="008E345C" w:rsidP="008E345C">
      <w:pPr>
        <w:widowControl/>
        <w:rPr>
          <w:rFonts w:ascii="Arial Narrow" w:hAnsi="Arial Narrow"/>
          <w:i/>
          <w:sz w:val="16"/>
          <w:szCs w:val="16"/>
        </w:rPr>
      </w:pPr>
      <w:r w:rsidRPr="00C9336C">
        <w:rPr>
          <w:rFonts w:ascii="Arial Narrow" w:hAnsi="Arial Narrow"/>
          <w:i/>
          <w:sz w:val="16"/>
          <w:szCs w:val="16"/>
          <w:vertAlign w:val="superscript"/>
        </w:rPr>
        <w:t>#</w:t>
      </w:r>
      <w:r w:rsidRPr="00C9336C">
        <w:rPr>
          <w:rFonts w:ascii="Arial Narrow" w:hAnsi="Arial Narrow"/>
          <w:i/>
          <w:sz w:val="16"/>
          <w:szCs w:val="16"/>
        </w:rPr>
        <w:t xml:space="preserve"> In the absence of dose equivalency for paliperidone being included in the submission, paliperidone dose calculated using paliperidone 9.83mg per day and olanzapine 12.91 mg per day, as per Therapeutic Relativity Sheets – 1 Dec 2014</w:t>
      </w:r>
    </w:p>
    <w:p w:rsidR="008E345C" w:rsidRPr="00C9336C" w:rsidRDefault="008E345C" w:rsidP="008E345C">
      <w:pPr>
        <w:widowControl/>
        <w:rPr>
          <w:rFonts w:ascii="Arial Narrow" w:hAnsi="Arial Narrow"/>
          <w:i/>
          <w:sz w:val="16"/>
          <w:szCs w:val="16"/>
        </w:rPr>
      </w:pPr>
      <w:r w:rsidRPr="00C9336C">
        <w:rPr>
          <w:rFonts w:ascii="Arial Narrow" w:hAnsi="Arial Narrow"/>
          <w:i/>
          <w:sz w:val="16"/>
          <w:szCs w:val="16"/>
        </w:rPr>
        <w:t>** The submission calculates a weighted per mg price for ziprasidone and aripiprazole based on current PBS usage of each strength of those drugs, and then calculates a lurasidone price weighted by their respective PBS-volumes (</w:t>
      </w:r>
      <w:r w:rsidR="000A4749">
        <w:rPr>
          <w:rFonts w:ascii="Arial Narrow" w:hAnsi="Arial Narrow"/>
          <w:i/>
          <w:noProof/>
          <w:color w:val="000000"/>
          <w:sz w:val="16"/>
          <w:szCs w:val="16"/>
          <w:highlight w:val="black"/>
        </w:rPr>
        <w:t>'''''''</w:t>
      </w:r>
      <w:r w:rsidRPr="00C9336C">
        <w:rPr>
          <w:rFonts w:ascii="Arial Narrow" w:hAnsi="Arial Narrow"/>
          <w:i/>
          <w:sz w:val="16"/>
          <w:szCs w:val="16"/>
        </w:rPr>
        <w:t xml:space="preserve">% and </w:t>
      </w:r>
      <w:r w:rsidR="000A4749">
        <w:rPr>
          <w:rFonts w:ascii="Arial Narrow" w:hAnsi="Arial Narrow"/>
          <w:i/>
          <w:noProof/>
          <w:color w:val="000000"/>
          <w:sz w:val="16"/>
          <w:szCs w:val="16"/>
          <w:highlight w:val="black"/>
        </w:rPr>
        <w:t>''''''</w:t>
      </w:r>
      <w:r w:rsidRPr="00C9336C">
        <w:rPr>
          <w:rFonts w:ascii="Arial Narrow" w:hAnsi="Arial Narrow"/>
          <w:i/>
          <w:sz w:val="16"/>
          <w:szCs w:val="16"/>
        </w:rPr>
        <w:t>%, respectively). This gives a price of $</w:t>
      </w:r>
      <w:r w:rsidR="000A4749">
        <w:rPr>
          <w:rFonts w:ascii="Arial Narrow" w:hAnsi="Arial Narrow"/>
          <w:i/>
          <w:noProof/>
          <w:color w:val="000000"/>
          <w:sz w:val="16"/>
          <w:szCs w:val="16"/>
          <w:highlight w:val="black"/>
        </w:rPr>
        <w:t>''''''''''''''''''</w:t>
      </w:r>
      <w:r w:rsidRPr="00C9336C">
        <w:rPr>
          <w:rFonts w:ascii="Arial Narrow" w:hAnsi="Arial Narrow"/>
          <w:i/>
          <w:sz w:val="16"/>
          <w:szCs w:val="16"/>
        </w:rPr>
        <w:t xml:space="preserve"> which is then discounted by </w:t>
      </w:r>
      <w:r w:rsidR="000A4749">
        <w:rPr>
          <w:rFonts w:ascii="Arial Narrow" w:hAnsi="Arial Narrow"/>
          <w:i/>
          <w:noProof/>
          <w:color w:val="000000"/>
          <w:sz w:val="16"/>
          <w:szCs w:val="16"/>
          <w:highlight w:val="black"/>
        </w:rPr>
        <w:t>'''</w:t>
      </w:r>
      <w:r w:rsidRPr="00C9336C">
        <w:rPr>
          <w:rFonts w:ascii="Arial Narrow" w:hAnsi="Arial Narrow"/>
          <w:i/>
          <w:sz w:val="16"/>
          <w:szCs w:val="16"/>
        </w:rPr>
        <w:t>% to $</w:t>
      </w:r>
      <w:r w:rsidR="000A4749">
        <w:rPr>
          <w:rFonts w:ascii="Arial Narrow" w:hAnsi="Arial Narrow"/>
          <w:i/>
          <w:noProof/>
          <w:color w:val="000000"/>
          <w:sz w:val="16"/>
          <w:szCs w:val="16"/>
          <w:highlight w:val="black"/>
        </w:rPr>
        <w:t>''''''''''''''''</w:t>
      </w:r>
      <w:r w:rsidRPr="00C9336C">
        <w:rPr>
          <w:rFonts w:ascii="Arial Narrow" w:hAnsi="Arial Narrow"/>
          <w:i/>
          <w:sz w:val="16"/>
          <w:szCs w:val="16"/>
        </w:rPr>
        <w:t>. The alternative, usual pricing method would be to use the ex-manufacture prices of ziprasidone 60 mg x 60 and aripiprazole 20 mg x 30 as the basis for calculating a lurasidone price (closest pack method).  The alternative method results in an ex-man price of $</w:t>
      </w:r>
      <w:r w:rsidR="000A4749">
        <w:rPr>
          <w:rFonts w:ascii="Arial Narrow" w:hAnsi="Arial Narrow"/>
          <w:i/>
          <w:noProof/>
          <w:color w:val="000000"/>
          <w:sz w:val="16"/>
          <w:szCs w:val="16"/>
          <w:highlight w:val="black"/>
        </w:rPr>
        <w:t>'''''''''''''''</w:t>
      </w:r>
      <w:r w:rsidRPr="00C9336C">
        <w:rPr>
          <w:rFonts w:ascii="Arial Narrow" w:hAnsi="Arial Narrow"/>
          <w:i/>
          <w:sz w:val="16"/>
          <w:szCs w:val="16"/>
        </w:rPr>
        <w:t xml:space="preserve">, which if subject to a </w:t>
      </w:r>
      <w:r w:rsidR="000A4749">
        <w:rPr>
          <w:rFonts w:ascii="Arial Narrow" w:hAnsi="Arial Narrow"/>
          <w:i/>
          <w:noProof/>
          <w:color w:val="000000"/>
          <w:sz w:val="16"/>
          <w:szCs w:val="16"/>
          <w:highlight w:val="black"/>
        </w:rPr>
        <w:t>'''</w:t>
      </w:r>
      <w:r w:rsidRPr="00C9336C">
        <w:rPr>
          <w:rFonts w:ascii="Arial Narrow" w:hAnsi="Arial Narrow"/>
          <w:i/>
          <w:sz w:val="16"/>
          <w:szCs w:val="16"/>
        </w:rPr>
        <w:t>% discount would be</w:t>
      </w:r>
      <w:r w:rsidR="0090792A" w:rsidRPr="00C9336C">
        <w:rPr>
          <w:rFonts w:ascii="Arial Narrow" w:hAnsi="Arial Narrow"/>
          <w:i/>
          <w:sz w:val="16"/>
          <w:szCs w:val="16"/>
        </w:rPr>
        <w:t xml:space="preserve"> </w:t>
      </w:r>
      <w:r w:rsidRPr="00C9336C">
        <w:rPr>
          <w:rFonts w:ascii="Arial Narrow" w:hAnsi="Arial Narrow"/>
          <w:i/>
          <w:sz w:val="16"/>
          <w:szCs w:val="16"/>
        </w:rPr>
        <w:t>$</w:t>
      </w:r>
      <w:r w:rsidR="000A4749">
        <w:rPr>
          <w:rFonts w:ascii="Arial Narrow" w:hAnsi="Arial Narrow"/>
          <w:i/>
          <w:noProof/>
          <w:color w:val="000000"/>
          <w:sz w:val="16"/>
          <w:szCs w:val="16"/>
          <w:highlight w:val="black"/>
        </w:rPr>
        <w:t>''''''''''''''''</w:t>
      </w:r>
      <w:r w:rsidRPr="00C9336C">
        <w:rPr>
          <w:rFonts w:ascii="Arial Narrow" w:hAnsi="Arial Narrow"/>
          <w:i/>
          <w:sz w:val="16"/>
          <w:szCs w:val="16"/>
        </w:rPr>
        <w:t xml:space="preserve"> </w:t>
      </w:r>
    </w:p>
    <w:p w:rsidR="008E345C" w:rsidRPr="00C9336C" w:rsidRDefault="008E345C" w:rsidP="008E345C">
      <w:pPr>
        <w:widowControl/>
        <w:rPr>
          <w:rFonts w:ascii="Arial Narrow" w:hAnsi="Arial Narrow"/>
          <w:color w:val="000000"/>
          <w:sz w:val="16"/>
          <w:szCs w:val="16"/>
        </w:rPr>
      </w:pPr>
      <w:r w:rsidRPr="00C9336C">
        <w:rPr>
          <w:rFonts w:ascii="Arial Narrow" w:hAnsi="Arial Narrow"/>
          <w:sz w:val="16"/>
          <w:szCs w:val="16"/>
        </w:rPr>
        <w:t xml:space="preserve">^ </w:t>
      </w:r>
      <w:r w:rsidRPr="00C9336C">
        <w:rPr>
          <w:rFonts w:ascii="Arial Narrow" w:hAnsi="Arial Narrow"/>
          <w:color w:val="000000"/>
          <w:sz w:val="16"/>
          <w:szCs w:val="16"/>
        </w:rPr>
        <w:t xml:space="preserve">where patient must be non-responsive to other neuroleptic agents; </w:t>
      </w:r>
      <w:r w:rsidRPr="00C9336C">
        <w:rPr>
          <w:rFonts w:ascii="Arial Narrow" w:hAnsi="Arial Narrow"/>
          <w:i/>
          <w:iCs/>
          <w:color w:val="000000"/>
          <w:sz w:val="16"/>
          <w:szCs w:val="16"/>
          <w:u w:val="single"/>
        </w:rPr>
        <w:t>OR</w:t>
      </w:r>
      <w:r w:rsidRPr="00C9336C">
        <w:rPr>
          <w:rFonts w:ascii="Arial Narrow" w:hAnsi="Arial Narrow"/>
          <w:color w:val="000000"/>
          <w:sz w:val="16"/>
          <w:szCs w:val="16"/>
        </w:rPr>
        <w:t xml:space="preserve"> patient must be intolerant of other neuroleptic agents.</w:t>
      </w:r>
    </w:p>
    <w:p w:rsidR="00630591" w:rsidRPr="00C9336C" w:rsidRDefault="00630591" w:rsidP="00FA775F">
      <w:pPr>
        <w:widowControl/>
        <w:rPr>
          <w:rFonts w:ascii="Arial Narrow" w:hAnsi="Arial Narrow"/>
          <w:sz w:val="16"/>
          <w:szCs w:val="16"/>
        </w:rPr>
        <w:sectPr w:rsidR="00630591" w:rsidRPr="00C9336C" w:rsidSect="00FA775F">
          <w:pgSz w:w="16838" w:h="11906" w:orient="landscape"/>
          <w:pgMar w:top="1440" w:right="1440" w:bottom="1440" w:left="1440" w:header="1440" w:footer="1440" w:gutter="0"/>
          <w:pgNumType w:chapStyle="1"/>
          <w:cols w:space="708"/>
          <w:docGrid w:linePitch="360"/>
        </w:sectPr>
      </w:pPr>
    </w:p>
    <w:p w:rsidR="00CD16E4" w:rsidRPr="00497F10" w:rsidRDefault="00CD16E4" w:rsidP="00BB7E0F">
      <w:pPr>
        <w:pStyle w:val="Heading2"/>
      </w:pPr>
      <w:bookmarkStart w:id="16" w:name="_Toc406409331"/>
      <w:bookmarkStart w:id="17" w:name="_Toc409600049"/>
      <w:r>
        <w:lastRenderedPageBreak/>
        <w:t>Drug cost/patient/year:</w:t>
      </w:r>
      <w:bookmarkEnd w:id="16"/>
      <w:bookmarkEnd w:id="17"/>
      <w:r>
        <w:t xml:space="preserve"> </w:t>
      </w:r>
      <w:r w:rsidR="008E345C" w:rsidRPr="00E77227">
        <w:t>$</w:t>
      </w:r>
      <w:r w:rsidR="000A4749">
        <w:rPr>
          <w:noProof/>
          <w:color w:val="000000"/>
          <w:highlight w:val="black"/>
        </w:rPr>
        <w:t>'''''''''''''''''</w:t>
      </w:r>
      <w:r w:rsidR="008E345C" w:rsidRPr="00E77227">
        <w:t xml:space="preserve"> to $</w:t>
      </w:r>
      <w:r w:rsidR="000A4749">
        <w:rPr>
          <w:noProof/>
          <w:color w:val="000000"/>
          <w:highlight w:val="black"/>
        </w:rPr>
        <w:t>''''''''''''''''</w:t>
      </w:r>
    </w:p>
    <w:p w:rsidR="00CD16E4" w:rsidRPr="00C25D9C" w:rsidRDefault="00CD16E4" w:rsidP="00CD16E4">
      <w:pPr>
        <w:widowControl/>
        <w:rPr>
          <w:szCs w:val="22"/>
        </w:rPr>
      </w:pPr>
    </w:p>
    <w:p w:rsidR="00CD16E4" w:rsidRPr="00E77227" w:rsidRDefault="00CD16E4" w:rsidP="00AC3A0F">
      <w:pPr>
        <w:pStyle w:val="ListParagraph"/>
        <w:widowControl/>
        <w:numPr>
          <w:ilvl w:val="1"/>
          <w:numId w:val="3"/>
        </w:numPr>
        <w:rPr>
          <w:szCs w:val="22"/>
        </w:rPr>
      </w:pPr>
      <w:r w:rsidRPr="00E77227">
        <w:t>$</w:t>
      </w:r>
      <w:r w:rsidR="000A4749">
        <w:rPr>
          <w:noProof/>
          <w:color w:val="000000"/>
          <w:highlight w:val="black"/>
        </w:rPr>
        <w:t>'''''''''''''''''''</w:t>
      </w:r>
      <w:r w:rsidRPr="00E77227">
        <w:t xml:space="preserve"> to $</w:t>
      </w:r>
      <w:r w:rsidR="000A4749">
        <w:rPr>
          <w:noProof/>
          <w:color w:val="000000"/>
          <w:highlight w:val="black"/>
        </w:rPr>
        <w:t>'''''''''''''''''''''''</w:t>
      </w:r>
      <w:r w:rsidRPr="00E77227">
        <w:t xml:space="preserve"> </w:t>
      </w:r>
      <w:r w:rsidR="00892FFA" w:rsidRPr="00E77227">
        <w:t xml:space="preserve">for lurasidone </w:t>
      </w:r>
      <w:r w:rsidRPr="00E77227">
        <w:t>assuming doses of 40mg to 1</w:t>
      </w:r>
      <w:r w:rsidR="00892FFA" w:rsidRPr="00E77227">
        <w:t>6</w:t>
      </w:r>
      <w:r w:rsidRPr="00E77227">
        <w:t>0mg/day.</w:t>
      </w:r>
      <w:r w:rsidR="00892FFA" w:rsidRPr="00E77227">
        <w:t xml:space="preserve"> Compared to $942.80 to $6,854.21 for ziprasidone 40mg to 160mg/day and $1,856.51 to $3,696.60 for aripiprazole 10mg to 30mg/day.</w:t>
      </w:r>
    </w:p>
    <w:p w:rsidR="00CD16E4" w:rsidRDefault="00CD16E4" w:rsidP="00CD16E4">
      <w:pPr>
        <w:rPr>
          <w:szCs w:val="22"/>
        </w:rPr>
      </w:pPr>
    </w:p>
    <w:p w:rsidR="00281A34" w:rsidRDefault="00281A34" w:rsidP="00281A34">
      <w:pPr>
        <w:ind w:firstLine="720"/>
        <w:rPr>
          <w:i/>
          <w:szCs w:val="22"/>
        </w:rPr>
      </w:pPr>
      <w:r w:rsidRPr="004E356D">
        <w:rPr>
          <w:i/>
          <w:szCs w:val="22"/>
        </w:rPr>
        <w:t>For more detail on PBAC’s view, see section 7 “PBAC outcome</w:t>
      </w:r>
    </w:p>
    <w:p w:rsidR="00281A34" w:rsidRPr="00882085" w:rsidRDefault="00281A34" w:rsidP="00CD16E4">
      <w:pPr>
        <w:rPr>
          <w:szCs w:val="22"/>
        </w:rPr>
      </w:pPr>
    </w:p>
    <w:p w:rsidR="00CD16E4" w:rsidRPr="00497F10" w:rsidRDefault="00CD16E4" w:rsidP="00BB7E0F">
      <w:pPr>
        <w:pStyle w:val="Heading2"/>
      </w:pPr>
      <w:bookmarkStart w:id="18" w:name="_Toc406409332"/>
      <w:bookmarkStart w:id="19" w:name="_Toc409600050"/>
      <w:r w:rsidRPr="00497F10">
        <w:t>Estimated PBS usage &amp; financial implications</w:t>
      </w:r>
      <w:bookmarkEnd w:id="18"/>
      <w:bookmarkEnd w:id="19"/>
    </w:p>
    <w:p w:rsidR="00CD16E4" w:rsidRPr="00882085" w:rsidRDefault="00CD16E4" w:rsidP="00CD16E4"/>
    <w:p w:rsidR="00CD16E4" w:rsidRPr="00C25D9C" w:rsidRDefault="00E77227" w:rsidP="00AC3A0F">
      <w:pPr>
        <w:pStyle w:val="ListParagraph"/>
        <w:widowControl/>
        <w:numPr>
          <w:ilvl w:val="1"/>
          <w:numId w:val="3"/>
        </w:numPr>
        <w:rPr>
          <w:szCs w:val="22"/>
        </w:rPr>
      </w:pPr>
      <w:r>
        <w:t>This resubmission was</w:t>
      </w:r>
      <w:r w:rsidR="00CD16E4">
        <w:t xml:space="preserve"> not considered by DUSC.</w:t>
      </w:r>
      <w:r w:rsidR="00CD16E4" w:rsidRPr="00E172B0">
        <w:t xml:space="preserve"> </w:t>
      </w:r>
      <w:r w:rsidR="00CD16E4" w:rsidRPr="00777625">
        <w:t>Similar to the previous submission a mixed epidemiologica</w:t>
      </w:r>
      <w:r w:rsidR="00CD16E4">
        <w:t>l/</w:t>
      </w:r>
      <w:r w:rsidR="00CD16E4" w:rsidRPr="00777625">
        <w:t xml:space="preserve">market share approach was used to estimate </w:t>
      </w:r>
      <w:r w:rsidR="00CD16E4">
        <w:t xml:space="preserve">utilisation and financial implications to government. </w:t>
      </w:r>
    </w:p>
    <w:p w:rsidR="00CD16E4" w:rsidRDefault="00CD16E4" w:rsidP="00CD16E4">
      <w:pPr>
        <w:widowControl/>
        <w:rPr>
          <w:szCs w:val="22"/>
        </w:rPr>
      </w:pPr>
    </w:p>
    <w:p w:rsidR="00CD16E4" w:rsidRPr="001222FC" w:rsidRDefault="00CD16E4" w:rsidP="007A1C11">
      <w:pPr>
        <w:widowControl/>
        <w:ind w:left="720"/>
        <w:jc w:val="left"/>
        <w:rPr>
          <w:rStyle w:val="CommentReference"/>
        </w:rPr>
      </w:pPr>
      <w:r w:rsidRPr="001222FC">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PBS usage &amp; financial implications"/>
        <w:tblDescription w:val="Year 1 to 5"/>
      </w:tblPr>
      <w:tblGrid>
        <w:gridCol w:w="2693"/>
        <w:gridCol w:w="1130"/>
        <w:gridCol w:w="1130"/>
        <w:gridCol w:w="1130"/>
        <w:gridCol w:w="1130"/>
        <w:gridCol w:w="1132"/>
      </w:tblGrid>
      <w:tr w:rsidR="00CD16E4" w:rsidRPr="00ED0F04" w:rsidTr="008A6A8E">
        <w:trPr>
          <w:tblHeader/>
        </w:trPr>
        <w:tc>
          <w:tcPr>
            <w:tcW w:w="1614" w:type="pct"/>
            <w:shd w:val="clear" w:color="auto" w:fill="auto"/>
            <w:vAlign w:val="center"/>
          </w:tcPr>
          <w:p w:rsidR="00CD16E4" w:rsidRPr="00ED0F04" w:rsidRDefault="00CD16E4" w:rsidP="008A6A8E">
            <w:pPr>
              <w:tabs>
                <w:tab w:val="left" w:pos="142"/>
              </w:tabs>
              <w:ind w:right="93"/>
              <w:jc w:val="left"/>
              <w:rPr>
                <w:rFonts w:ascii="Arial Narrow" w:hAnsi="Arial Narrow"/>
                <w:b/>
                <w:sz w:val="20"/>
              </w:rPr>
            </w:pPr>
          </w:p>
        </w:tc>
        <w:tc>
          <w:tcPr>
            <w:tcW w:w="677" w:type="pct"/>
            <w:shd w:val="clear" w:color="auto" w:fill="auto"/>
            <w:vAlign w:val="center"/>
          </w:tcPr>
          <w:p w:rsidR="00CD16E4" w:rsidRPr="00ED0F04" w:rsidRDefault="00CD16E4" w:rsidP="008A6A8E">
            <w:pPr>
              <w:ind w:right="93"/>
              <w:jc w:val="center"/>
              <w:rPr>
                <w:rFonts w:ascii="Arial Narrow" w:hAnsi="Arial Narrow"/>
                <w:b/>
                <w:sz w:val="20"/>
              </w:rPr>
            </w:pPr>
            <w:r w:rsidRPr="00ED0F04">
              <w:rPr>
                <w:rFonts w:ascii="Arial Narrow" w:hAnsi="Arial Narrow"/>
                <w:b/>
                <w:sz w:val="20"/>
              </w:rPr>
              <w:t>Year 1</w:t>
            </w:r>
          </w:p>
        </w:tc>
        <w:tc>
          <w:tcPr>
            <w:tcW w:w="677" w:type="pct"/>
            <w:shd w:val="clear" w:color="auto" w:fill="auto"/>
            <w:vAlign w:val="center"/>
          </w:tcPr>
          <w:p w:rsidR="00CD16E4" w:rsidRPr="00ED0F04" w:rsidRDefault="00CD16E4" w:rsidP="008A6A8E">
            <w:pPr>
              <w:ind w:right="93"/>
              <w:jc w:val="center"/>
              <w:rPr>
                <w:rFonts w:ascii="Arial Narrow" w:hAnsi="Arial Narrow"/>
                <w:b/>
                <w:sz w:val="20"/>
              </w:rPr>
            </w:pPr>
            <w:r w:rsidRPr="00ED0F04">
              <w:rPr>
                <w:rFonts w:ascii="Arial Narrow" w:hAnsi="Arial Narrow"/>
                <w:b/>
                <w:sz w:val="20"/>
              </w:rPr>
              <w:t>Year 2</w:t>
            </w:r>
          </w:p>
        </w:tc>
        <w:tc>
          <w:tcPr>
            <w:tcW w:w="677" w:type="pct"/>
            <w:shd w:val="clear" w:color="auto" w:fill="auto"/>
            <w:vAlign w:val="center"/>
          </w:tcPr>
          <w:p w:rsidR="00CD16E4" w:rsidRPr="00ED0F04" w:rsidRDefault="00CD16E4" w:rsidP="008A6A8E">
            <w:pPr>
              <w:ind w:right="93"/>
              <w:jc w:val="center"/>
              <w:rPr>
                <w:rFonts w:ascii="Arial Narrow" w:hAnsi="Arial Narrow"/>
                <w:b/>
                <w:sz w:val="20"/>
              </w:rPr>
            </w:pPr>
            <w:r w:rsidRPr="00ED0F04">
              <w:rPr>
                <w:rFonts w:ascii="Arial Narrow" w:hAnsi="Arial Narrow"/>
                <w:b/>
                <w:sz w:val="20"/>
              </w:rPr>
              <w:t>Year 3</w:t>
            </w:r>
          </w:p>
        </w:tc>
        <w:tc>
          <w:tcPr>
            <w:tcW w:w="677" w:type="pct"/>
            <w:shd w:val="clear" w:color="auto" w:fill="auto"/>
            <w:vAlign w:val="center"/>
          </w:tcPr>
          <w:p w:rsidR="00CD16E4" w:rsidRPr="00ED0F04" w:rsidRDefault="00CD16E4" w:rsidP="008A6A8E">
            <w:pPr>
              <w:ind w:right="93"/>
              <w:jc w:val="center"/>
              <w:rPr>
                <w:rFonts w:ascii="Arial Narrow" w:hAnsi="Arial Narrow"/>
                <w:b/>
                <w:sz w:val="20"/>
              </w:rPr>
            </w:pPr>
            <w:r w:rsidRPr="00ED0F04">
              <w:rPr>
                <w:rFonts w:ascii="Arial Narrow" w:hAnsi="Arial Narrow"/>
                <w:b/>
                <w:sz w:val="20"/>
              </w:rPr>
              <w:t>Year 4</w:t>
            </w:r>
          </w:p>
        </w:tc>
        <w:tc>
          <w:tcPr>
            <w:tcW w:w="678" w:type="pct"/>
            <w:shd w:val="clear" w:color="auto" w:fill="auto"/>
            <w:vAlign w:val="center"/>
          </w:tcPr>
          <w:p w:rsidR="00CD16E4" w:rsidRPr="00ED0F04" w:rsidRDefault="00CD16E4" w:rsidP="008A6A8E">
            <w:pPr>
              <w:ind w:right="93"/>
              <w:jc w:val="center"/>
              <w:rPr>
                <w:rFonts w:ascii="Arial Narrow" w:hAnsi="Arial Narrow"/>
                <w:b/>
                <w:sz w:val="20"/>
              </w:rPr>
            </w:pPr>
            <w:r w:rsidRPr="00ED0F04">
              <w:rPr>
                <w:rFonts w:ascii="Arial Narrow" w:hAnsi="Arial Narrow"/>
                <w:b/>
                <w:sz w:val="20"/>
              </w:rPr>
              <w:t>Year 5</w:t>
            </w:r>
          </w:p>
        </w:tc>
      </w:tr>
      <w:tr w:rsidR="00CD16E4" w:rsidRPr="00ED0F04" w:rsidTr="008A6A8E">
        <w:tc>
          <w:tcPr>
            <w:tcW w:w="5000" w:type="pct"/>
            <w:gridSpan w:val="6"/>
            <w:shd w:val="clear" w:color="auto" w:fill="auto"/>
            <w:vAlign w:val="center"/>
          </w:tcPr>
          <w:p w:rsidR="00CD16E4" w:rsidRPr="00ED0F04" w:rsidRDefault="00CD16E4" w:rsidP="008A6A8E">
            <w:pPr>
              <w:ind w:right="93"/>
              <w:jc w:val="left"/>
              <w:rPr>
                <w:rFonts w:ascii="Arial Narrow" w:hAnsi="Arial Narrow"/>
                <w:b/>
                <w:bCs/>
                <w:color w:val="000000"/>
                <w:sz w:val="20"/>
              </w:rPr>
            </w:pPr>
            <w:r w:rsidRPr="00ED0F04">
              <w:rPr>
                <w:rFonts w:ascii="Arial Narrow" w:hAnsi="Arial Narrow"/>
                <w:b/>
                <w:bCs/>
                <w:color w:val="000000"/>
                <w:sz w:val="20"/>
              </w:rPr>
              <w:t>Estimated extent of use</w:t>
            </w:r>
          </w:p>
        </w:tc>
      </w:tr>
      <w:tr w:rsidR="00CD16E4" w:rsidRPr="00F2320A" w:rsidTr="008A6A8E">
        <w:tc>
          <w:tcPr>
            <w:tcW w:w="1614" w:type="pct"/>
            <w:shd w:val="clear" w:color="auto" w:fill="auto"/>
            <w:vAlign w:val="center"/>
          </w:tcPr>
          <w:p w:rsidR="00CD16E4" w:rsidRPr="00F2320A" w:rsidRDefault="00CD16E4" w:rsidP="008A6A8E">
            <w:pPr>
              <w:tabs>
                <w:tab w:val="left" w:pos="142"/>
              </w:tabs>
              <w:jc w:val="left"/>
              <w:rPr>
                <w:rFonts w:ascii="Arial Narrow" w:hAnsi="Arial Narrow"/>
                <w:sz w:val="20"/>
              </w:rPr>
            </w:pPr>
            <w:r>
              <w:rPr>
                <w:rFonts w:ascii="Arial Narrow" w:hAnsi="Arial Narrow"/>
                <w:sz w:val="20"/>
              </w:rPr>
              <w:t>Pts</w:t>
            </w:r>
            <w:r w:rsidRPr="00F2320A">
              <w:rPr>
                <w:rFonts w:ascii="Arial Narrow" w:hAnsi="Arial Narrow"/>
                <w:sz w:val="20"/>
              </w:rPr>
              <w:t xml:space="preserve"> </w:t>
            </w:r>
            <w:r>
              <w:rPr>
                <w:rFonts w:ascii="Arial Narrow" w:hAnsi="Arial Narrow"/>
                <w:sz w:val="20"/>
              </w:rPr>
              <w:t>from 1</w:t>
            </w:r>
            <w:r w:rsidRPr="00F2320A">
              <w:rPr>
                <w:rFonts w:ascii="Arial Narrow" w:hAnsi="Arial Narrow"/>
                <w:sz w:val="20"/>
                <w:vertAlign w:val="superscript"/>
              </w:rPr>
              <w:t>st</w:t>
            </w:r>
            <w:r>
              <w:rPr>
                <w:rFonts w:ascii="Arial Narrow" w:hAnsi="Arial Narrow"/>
                <w:sz w:val="20"/>
              </w:rPr>
              <w:t xml:space="preserve"> line ziprasidone</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r>
      <w:tr w:rsidR="00CD16E4" w:rsidRPr="00F2320A" w:rsidTr="008A6A8E">
        <w:tc>
          <w:tcPr>
            <w:tcW w:w="1614" w:type="pct"/>
            <w:shd w:val="clear" w:color="auto" w:fill="auto"/>
            <w:vAlign w:val="center"/>
          </w:tcPr>
          <w:p w:rsidR="00CD16E4" w:rsidRPr="00F2320A" w:rsidRDefault="00CD16E4" w:rsidP="008A6A8E">
            <w:pPr>
              <w:tabs>
                <w:tab w:val="left" w:pos="142"/>
              </w:tabs>
              <w:jc w:val="left"/>
              <w:rPr>
                <w:rFonts w:ascii="Arial Narrow" w:hAnsi="Arial Narrow"/>
                <w:color w:val="FF0000"/>
                <w:sz w:val="20"/>
              </w:rPr>
            </w:pPr>
            <w:r>
              <w:rPr>
                <w:rFonts w:ascii="Arial Narrow" w:hAnsi="Arial Narrow"/>
                <w:sz w:val="20"/>
              </w:rPr>
              <w:t>Pts</w:t>
            </w:r>
            <w:r w:rsidRPr="00F2320A">
              <w:rPr>
                <w:rFonts w:ascii="Arial Narrow" w:hAnsi="Arial Narrow"/>
                <w:sz w:val="20"/>
              </w:rPr>
              <w:t xml:space="preserve"> </w:t>
            </w:r>
            <w:r>
              <w:rPr>
                <w:rFonts w:ascii="Arial Narrow" w:hAnsi="Arial Narrow"/>
                <w:sz w:val="20"/>
              </w:rPr>
              <w:t>from subseq. line ziprasidone</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r>
      <w:tr w:rsidR="00CD16E4" w:rsidRPr="00F2320A" w:rsidTr="008A6A8E">
        <w:tc>
          <w:tcPr>
            <w:tcW w:w="1614" w:type="pct"/>
            <w:shd w:val="clear" w:color="auto" w:fill="auto"/>
            <w:vAlign w:val="center"/>
          </w:tcPr>
          <w:p w:rsidR="00CD16E4" w:rsidRPr="00F2320A" w:rsidRDefault="00CD16E4" w:rsidP="008A6A8E">
            <w:pPr>
              <w:tabs>
                <w:tab w:val="left" w:pos="142"/>
              </w:tabs>
              <w:jc w:val="left"/>
              <w:rPr>
                <w:rFonts w:ascii="Arial Narrow" w:hAnsi="Arial Narrow"/>
                <w:sz w:val="20"/>
              </w:rPr>
            </w:pPr>
            <w:r>
              <w:rPr>
                <w:rFonts w:ascii="Arial Narrow" w:hAnsi="Arial Narrow"/>
                <w:sz w:val="20"/>
              </w:rPr>
              <w:t>Pts</w:t>
            </w:r>
            <w:r w:rsidRPr="00F2320A">
              <w:rPr>
                <w:rFonts w:ascii="Arial Narrow" w:hAnsi="Arial Narrow"/>
                <w:sz w:val="20"/>
              </w:rPr>
              <w:t xml:space="preserve"> </w:t>
            </w:r>
            <w:r>
              <w:rPr>
                <w:rFonts w:ascii="Arial Narrow" w:hAnsi="Arial Narrow"/>
                <w:sz w:val="20"/>
              </w:rPr>
              <w:t>from 1</w:t>
            </w:r>
            <w:r w:rsidRPr="00F2320A">
              <w:rPr>
                <w:rFonts w:ascii="Arial Narrow" w:hAnsi="Arial Narrow"/>
                <w:sz w:val="20"/>
                <w:vertAlign w:val="superscript"/>
              </w:rPr>
              <w:t>st</w:t>
            </w:r>
            <w:r>
              <w:rPr>
                <w:rFonts w:ascii="Arial Narrow" w:hAnsi="Arial Narrow"/>
                <w:sz w:val="20"/>
              </w:rPr>
              <w:t xml:space="preserve"> line aripiprazole</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CD16E4" w:rsidRPr="000A4749" w:rsidRDefault="000A4749" w:rsidP="008A6A8E">
            <w:pPr>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r>
      <w:tr w:rsidR="00CD16E4" w:rsidRPr="00F2320A" w:rsidTr="008A6A8E">
        <w:tc>
          <w:tcPr>
            <w:tcW w:w="1614" w:type="pct"/>
            <w:shd w:val="clear" w:color="auto" w:fill="auto"/>
            <w:vAlign w:val="center"/>
          </w:tcPr>
          <w:p w:rsidR="00CD16E4" w:rsidRPr="00F2320A" w:rsidRDefault="00CD16E4" w:rsidP="008A6A8E">
            <w:pPr>
              <w:tabs>
                <w:tab w:val="left" w:pos="142"/>
              </w:tabs>
              <w:jc w:val="left"/>
              <w:rPr>
                <w:rFonts w:ascii="Arial Narrow" w:hAnsi="Arial Narrow"/>
                <w:color w:val="FF0000"/>
                <w:sz w:val="20"/>
              </w:rPr>
            </w:pPr>
            <w:r>
              <w:rPr>
                <w:rFonts w:ascii="Arial Narrow" w:hAnsi="Arial Narrow"/>
                <w:sz w:val="20"/>
              </w:rPr>
              <w:t>Pts</w:t>
            </w:r>
            <w:r w:rsidRPr="00F2320A">
              <w:rPr>
                <w:rFonts w:ascii="Arial Narrow" w:hAnsi="Arial Narrow"/>
                <w:sz w:val="20"/>
              </w:rPr>
              <w:t xml:space="preserve"> </w:t>
            </w:r>
            <w:r>
              <w:rPr>
                <w:rFonts w:ascii="Arial Narrow" w:hAnsi="Arial Narrow"/>
                <w:sz w:val="20"/>
              </w:rPr>
              <w:t>from subseq. line aripiprazole</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CD16E4" w:rsidRPr="000A4749" w:rsidRDefault="000A4749" w:rsidP="008A6A8E">
            <w:pPr>
              <w:ind w:right="93"/>
              <w:jc w:val="center"/>
              <w:rPr>
                <w:rFonts w:ascii="Arial Narrow" w:hAnsi="Arial Narrow"/>
                <w:color w:val="FF0000"/>
                <w:sz w:val="20"/>
                <w:highlight w:val="black"/>
              </w:rPr>
            </w:pPr>
            <w:r>
              <w:rPr>
                <w:rFonts w:ascii="Arial Narrow" w:hAnsi="Arial Narrow"/>
                <w:noProof/>
                <w:color w:val="000000"/>
                <w:sz w:val="20"/>
                <w:highlight w:val="black"/>
              </w:rPr>
              <w:t>'''''''''</w:t>
            </w:r>
          </w:p>
        </w:tc>
      </w:tr>
      <w:tr w:rsidR="00CD16E4" w:rsidRPr="00F2320A" w:rsidTr="008A6A8E">
        <w:tc>
          <w:tcPr>
            <w:tcW w:w="1614" w:type="pct"/>
            <w:shd w:val="clear" w:color="auto" w:fill="auto"/>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Total patients treated lurasidone</w:t>
            </w:r>
          </w:p>
        </w:tc>
        <w:tc>
          <w:tcPr>
            <w:tcW w:w="677" w:type="pct"/>
            <w:shd w:val="clear" w:color="auto" w:fill="auto"/>
            <w:vAlign w:val="bottom"/>
          </w:tcPr>
          <w:p w:rsidR="00CD16E4" w:rsidRPr="000A4749" w:rsidRDefault="000A4749" w:rsidP="008A6A8E">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bottom"/>
          </w:tcPr>
          <w:p w:rsidR="00CD16E4" w:rsidRPr="000A4749" w:rsidRDefault="000A4749" w:rsidP="008A6A8E">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bottom"/>
          </w:tcPr>
          <w:p w:rsidR="00CD16E4" w:rsidRPr="000A4749" w:rsidRDefault="000A4749" w:rsidP="008A6A8E">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bottom"/>
          </w:tcPr>
          <w:p w:rsidR="00CD16E4" w:rsidRPr="000A4749" w:rsidRDefault="000A4749" w:rsidP="008A6A8E">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bottom"/>
          </w:tcPr>
          <w:p w:rsidR="00CD16E4" w:rsidRPr="000A4749" w:rsidRDefault="000A4749" w:rsidP="008A6A8E">
            <w:pPr>
              <w:ind w:right="93"/>
              <w:jc w:val="center"/>
              <w:rPr>
                <w:rFonts w:ascii="Arial Narrow" w:hAnsi="Arial Narrow"/>
                <w:sz w:val="20"/>
                <w:highlight w:val="black"/>
              </w:rPr>
            </w:pPr>
            <w:r>
              <w:rPr>
                <w:rFonts w:ascii="Arial Narrow" w:hAnsi="Arial Narrow"/>
                <w:noProof/>
                <w:color w:val="000000"/>
                <w:sz w:val="20"/>
                <w:highlight w:val="black"/>
              </w:rPr>
              <w:t>'''''''''''</w:t>
            </w:r>
          </w:p>
        </w:tc>
      </w:tr>
      <w:tr w:rsidR="00CD16E4" w:rsidRPr="00F2320A" w:rsidTr="00892FFA">
        <w:tc>
          <w:tcPr>
            <w:tcW w:w="1614" w:type="pct"/>
            <w:shd w:val="clear" w:color="auto" w:fill="D9D9D9" w:themeFill="background1" w:themeFillShade="D9"/>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Number treated Mar 2014</w:t>
            </w:r>
          </w:p>
        </w:tc>
        <w:tc>
          <w:tcPr>
            <w:tcW w:w="677" w:type="pct"/>
            <w:shd w:val="clear" w:color="auto" w:fill="D9D9D9" w:themeFill="background1" w:themeFillShade="D9"/>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D9D9D9" w:themeFill="background1" w:themeFillShade="D9"/>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CD16E4" w:rsidRPr="00F2320A" w:rsidTr="008A6A8E">
        <w:tc>
          <w:tcPr>
            <w:tcW w:w="1614" w:type="pct"/>
            <w:shd w:val="clear" w:color="auto" w:fill="auto"/>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 xml:space="preserve">Scripts </w:t>
            </w:r>
            <w:r w:rsidRPr="00CB7D9C">
              <w:rPr>
                <w:rFonts w:ascii="Arial Narrow" w:hAnsi="Arial Narrow"/>
                <w:sz w:val="20"/>
                <w:vertAlign w:val="superscript"/>
              </w:rPr>
              <w:t>a</w:t>
            </w:r>
          </w:p>
        </w:tc>
        <w:tc>
          <w:tcPr>
            <w:tcW w:w="677" w:type="pct"/>
            <w:shd w:val="clear" w:color="auto" w:fill="auto"/>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CD16E4" w:rsidRPr="00F2320A" w:rsidTr="00892FFA">
        <w:tc>
          <w:tcPr>
            <w:tcW w:w="1614" w:type="pct"/>
            <w:shd w:val="clear" w:color="auto" w:fill="D9D9D9" w:themeFill="background1" w:themeFillShade="D9"/>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 xml:space="preserve">Scripts Mar 2014 </w:t>
            </w:r>
            <w:r w:rsidRPr="00CB7D9C">
              <w:rPr>
                <w:rFonts w:ascii="Arial Narrow" w:hAnsi="Arial Narrow"/>
                <w:sz w:val="20"/>
                <w:vertAlign w:val="superscript"/>
              </w:rPr>
              <w:t>b</w:t>
            </w:r>
          </w:p>
        </w:tc>
        <w:tc>
          <w:tcPr>
            <w:tcW w:w="677" w:type="pct"/>
            <w:shd w:val="clear" w:color="auto" w:fill="D9D9D9" w:themeFill="background1" w:themeFillShade="D9"/>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D9D9D9" w:themeFill="background1" w:themeFillShade="D9"/>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D9D9D9" w:themeFill="background1" w:themeFillShade="D9"/>
          </w:tcPr>
          <w:p w:rsidR="00CD16E4" w:rsidRPr="000A4749" w:rsidRDefault="000A4749" w:rsidP="008A6A8E">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CD16E4" w:rsidRPr="00F2320A" w:rsidTr="008A6A8E">
        <w:tc>
          <w:tcPr>
            <w:tcW w:w="5000" w:type="pct"/>
            <w:gridSpan w:val="6"/>
            <w:shd w:val="clear" w:color="auto" w:fill="auto"/>
            <w:vAlign w:val="center"/>
          </w:tcPr>
          <w:p w:rsidR="00CD16E4" w:rsidRPr="00CB7D9C" w:rsidRDefault="00CD16E4" w:rsidP="008A6A8E">
            <w:pPr>
              <w:ind w:right="93"/>
              <w:jc w:val="left"/>
              <w:rPr>
                <w:rFonts w:ascii="Arial Narrow" w:hAnsi="Arial Narrow"/>
                <w:b/>
                <w:bCs/>
                <w:sz w:val="20"/>
              </w:rPr>
            </w:pPr>
            <w:r w:rsidRPr="00CB7D9C">
              <w:rPr>
                <w:rFonts w:ascii="Arial Narrow" w:hAnsi="Arial Narrow"/>
                <w:b/>
                <w:bCs/>
                <w:sz w:val="20"/>
              </w:rPr>
              <w:t>Estimated cost to PBS</w:t>
            </w:r>
            <w:r w:rsidRPr="00CB7D9C">
              <w:rPr>
                <w:rFonts w:ascii="Arial Narrow" w:hAnsi="Arial Narrow"/>
                <w:b/>
                <w:sz w:val="20"/>
              </w:rPr>
              <w:t xml:space="preserve"> (excl </w:t>
            </w:r>
            <w:r w:rsidR="001A7EE8" w:rsidRPr="00CB7D9C">
              <w:rPr>
                <w:rFonts w:ascii="Arial Narrow" w:hAnsi="Arial Narrow"/>
                <w:b/>
                <w:sz w:val="20"/>
              </w:rPr>
              <w:t>co-payment</w:t>
            </w:r>
            <w:r w:rsidRPr="00CB7D9C">
              <w:rPr>
                <w:rFonts w:ascii="Arial Narrow" w:hAnsi="Arial Narrow"/>
                <w:b/>
                <w:sz w:val="20"/>
              </w:rPr>
              <w:t>)</w:t>
            </w:r>
          </w:p>
        </w:tc>
      </w:tr>
      <w:tr w:rsidR="00CD16E4" w:rsidRPr="00F2320A" w:rsidTr="008A6A8E">
        <w:tc>
          <w:tcPr>
            <w:tcW w:w="1614" w:type="pct"/>
            <w:shd w:val="clear" w:color="auto" w:fill="auto"/>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 xml:space="preserve">Drug cost to PBS </w:t>
            </w:r>
            <w:r w:rsidRPr="00CB7D9C">
              <w:rPr>
                <w:rFonts w:ascii="Arial Narrow" w:hAnsi="Arial Narrow"/>
                <w:sz w:val="20"/>
                <w:vertAlign w:val="superscript"/>
              </w:rPr>
              <w:t xml:space="preserve">c </w:t>
            </w:r>
          </w:p>
        </w:tc>
        <w:tc>
          <w:tcPr>
            <w:tcW w:w="677" w:type="pct"/>
            <w:shd w:val="clear" w:color="auto" w:fill="auto"/>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8" w:type="pct"/>
            <w:shd w:val="clear" w:color="auto" w:fill="auto"/>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sz w:val="20"/>
              </w:rPr>
              <w:t>$</w:t>
            </w:r>
            <w:r w:rsidR="000A4749">
              <w:rPr>
                <w:rFonts w:ascii="Arial Narrow" w:hAnsi="Arial Narrow"/>
                <w:noProof/>
                <w:color w:val="000000"/>
                <w:sz w:val="20"/>
                <w:highlight w:val="black"/>
              </w:rPr>
              <w:t>''''''''''''''''''''''''''</w:t>
            </w:r>
          </w:p>
        </w:tc>
      </w:tr>
      <w:tr w:rsidR="00CD16E4" w:rsidRPr="00F2320A" w:rsidTr="00892FFA">
        <w:tc>
          <w:tcPr>
            <w:tcW w:w="1614" w:type="pct"/>
            <w:shd w:val="clear" w:color="auto" w:fill="D9D9D9" w:themeFill="background1" w:themeFillShade="D9"/>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 xml:space="preserve">Drug cost to PBS Mar 2014 </w:t>
            </w:r>
            <w:r w:rsidRPr="00CB7D9C">
              <w:rPr>
                <w:rFonts w:ascii="Arial Narrow" w:hAnsi="Arial Narrow"/>
                <w:sz w:val="20"/>
                <w:vertAlign w:val="superscript"/>
              </w:rPr>
              <w:t>d</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8" w:type="pct"/>
            <w:shd w:val="clear" w:color="auto" w:fill="D9D9D9" w:themeFill="background1" w:themeFillShade="D9"/>
            <w:vAlign w:val="center"/>
          </w:tcPr>
          <w:p w:rsidR="00CD16E4" w:rsidRPr="00CB7D9C" w:rsidRDefault="00CD16E4" w:rsidP="008A6A8E">
            <w:pPr>
              <w:ind w:right="93"/>
              <w:jc w:val="center"/>
              <w:rPr>
                <w:rFonts w:ascii="Arial Narrow" w:hAnsi="Arial Narrow"/>
                <w:sz w:val="20"/>
              </w:rPr>
            </w:pPr>
            <w:r w:rsidRPr="00CB7D9C">
              <w:rPr>
                <w:rFonts w:ascii="Arial Narrow" w:hAnsi="Arial Narrow"/>
                <w:i/>
                <w:sz w:val="20"/>
              </w:rPr>
              <w:t>$</w:t>
            </w:r>
            <w:r w:rsidR="000A4749">
              <w:rPr>
                <w:rFonts w:ascii="Arial Narrow" w:hAnsi="Arial Narrow"/>
                <w:i/>
                <w:noProof/>
                <w:color w:val="000000"/>
                <w:sz w:val="20"/>
                <w:highlight w:val="black"/>
              </w:rPr>
              <w:t>''''''''''''''''''''''</w:t>
            </w:r>
          </w:p>
        </w:tc>
      </w:tr>
      <w:tr w:rsidR="00CD16E4" w:rsidRPr="00F2320A" w:rsidTr="008A6A8E">
        <w:tc>
          <w:tcPr>
            <w:tcW w:w="1614" w:type="pct"/>
            <w:shd w:val="clear" w:color="auto" w:fill="auto"/>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sz w:val="20"/>
              </w:rPr>
              <w:t>Net savings substitution</w:t>
            </w:r>
          </w:p>
        </w:tc>
        <w:tc>
          <w:tcPr>
            <w:tcW w:w="677" w:type="pct"/>
            <w:shd w:val="clear" w:color="auto" w:fill="auto"/>
            <w:vAlign w:val="center"/>
          </w:tcPr>
          <w:p w:rsidR="00CD16E4" w:rsidRPr="00CB7D9C" w:rsidRDefault="00CD16E4" w:rsidP="008A6A8E">
            <w:pPr>
              <w:ind w:right="93"/>
              <w:jc w:val="center"/>
              <w:rPr>
                <w:rFonts w:ascii="Arial Narrow" w:hAnsi="Arial Narrow"/>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sz w:val="20"/>
              </w:rPr>
            </w:pPr>
            <w:r w:rsidRPr="00CB7D9C">
              <w:rPr>
                <w:rFonts w:ascii="Arial Narrow" w:hAnsi="Arial Narrow"/>
                <w:sz w:val="20"/>
              </w:rPr>
              <w:t>$</w:t>
            </w:r>
            <w:r w:rsidR="000A4749">
              <w:rPr>
                <w:rFonts w:ascii="Arial Narrow" w:hAnsi="Arial Narrow"/>
                <w:noProof/>
                <w:color w:val="000000"/>
                <w:sz w:val="20"/>
                <w:highlight w:val="black"/>
              </w:rPr>
              <w:t>'''''''''''''''''''''''</w:t>
            </w:r>
          </w:p>
        </w:tc>
        <w:tc>
          <w:tcPr>
            <w:tcW w:w="678" w:type="pct"/>
            <w:shd w:val="clear" w:color="auto" w:fill="auto"/>
            <w:vAlign w:val="center"/>
          </w:tcPr>
          <w:p w:rsidR="00CD16E4" w:rsidRPr="00CB7D9C" w:rsidRDefault="00CD16E4" w:rsidP="008A6A8E">
            <w:pPr>
              <w:ind w:right="93"/>
              <w:jc w:val="center"/>
              <w:rPr>
                <w:rFonts w:ascii="Arial Narrow" w:hAnsi="Arial Narrow"/>
                <w:sz w:val="20"/>
              </w:rPr>
            </w:pPr>
            <w:r w:rsidRPr="00CB7D9C">
              <w:rPr>
                <w:rFonts w:ascii="Arial Narrow" w:hAnsi="Arial Narrow"/>
                <w:sz w:val="20"/>
              </w:rPr>
              <w:t>$</w:t>
            </w:r>
            <w:r w:rsidR="000A4749">
              <w:rPr>
                <w:rFonts w:ascii="Arial Narrow" w:hAnsi="Arial Narrow"/>
                <w:noProof/>
                <w:color w:val="000000"/>
                <w:sz w:val="20"/>
                <w:highlight w:val="black"/>
              </w:rPr>
              <w:t>''''''''''''''''''''''''''</w:t>
            </w:r>
          </w:p>
        </w:tc>
      </w:tr>
      <w:tr w:rsidR="00CD16E4" w:rsidRPr="00F2320A" w:rsidTr="00892FFA">
        <w:tc>
          <w:tcPr>
            <w:tcW w:w="1614" w:type="pct"/>
            <w:shd w:val="clear" w:color="auto" w:fill="D9D9D9" w:themeFill="background1" w:themeFillShade="D9"/>
            <w:vAlign w:val="center"/>
          </w:tcPr>
          <w:p w:rsidR="00CD16E4" w:rsidRPr="00CB7D9C" w:rsidRDefault="00CD16E4" w:rsidP="008A6A8E">
            <w:pPr>
              <w:tabs>
                <w:tab w:val="left" w:pos="142"/>
              </w:tabs>
              <w:ind w:right="-28"/>
              <w:jc w:val="left"/>
              <w:rPr>
                <w:rFonts w:ascii="Arial Narrow" w:hAnsi="Arial Narrow"/>
                <w:sz w:val="20"/>
              </w:rPr>
            </w:pPr>
            <w:r w:rsidRPr="00CB7D9C">
              <w:rPr>
                <w:rFonts w:ascii="Arial Narrow" w:hAnsi="Arial Narrow"/>
                <w:sz w:val="20"/>
              </w:rPr>
              <w:t>Net savings substitution Mar 2014</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8"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r>
      <w:tr w:rsidR="00CD16E4" w:rsidRPr="00F2320A" w:rsidTr="008A6A8E">
        <w:tc>
          <w:tcPr>
            <w:tcW w:w="5000" w:type="pct"/>
            <w:gridSpan w:val="6"/>
            <w:shd w:val="clear" w:color="auto" w:fill="auto"/>
            <w:vAlign w:val="center"/>
          </w:tcPr>
          <w:p w:rsidR="00CD16E4" w:rsidRPr="00CB7D9C" w:rsidRDefault="00CD16E4" w:rsidP="008A6A8E">
            <w:pPr>
              <w:ind w:right="93"/>
              <w:jc w:val="left"/>
              <w:rPr>
                <w:rFonts w:ascii="Arial Narrow" w:hAnsi="Arial Narrow"/>
                <w:b/>
                <w:sz w:val="20"/>
              </w:rPr>
            </w:pPr>
            <w:r w:rsidRPr="00CB7D9C">
              <w:rPr>
                <w:rFonts w:ascii="Arial Narrow" w:hAnsi="Arial Narrow"/>
                <w:b/>
                <w:sz w:val="20"/>
              </w:rPr>
              <w:t xml:space="preserve">Estimated total net cost (excl </w:t>
            </w:r>
            <w:r w:rsidR="001A7EE8" w:rsidRPr="00CB7D9C">
              <w:rPr>
                <w:rFonts w:ascii="Arial Narrow" w:hAnsi="Arial Narrow"/>
                <w:b/>
                <w:sz w:val="20"/>
              </w:rPr>
              <w:t>co-payment</w:t>
            </w:r>
            <w:r w:rsidRPr="00CB7D9C">
              <w:rPr>
                <w:rFonts w:ascii="Arial Narrow" w:hAnsi="Arial Narrow"/>
                <w:b/>
                <w:sz w:val="20"/>
              </w:rPr>
              <w:t>)</w:t>
            </w:r>
          </w:p>
        </w:tc>
      </w:tr>
      <w:tr w:rsidR="00CD16E4" w:rsidRPr="00F2320A" w:rsidTr="008A6A8E">
        <w:tc>
          <w:tcPr>
            <w:tcW w:w="1614" w:type="pct"/>
            <w:shd w:val="clear" w:color="auto" w:fill="auto"/>
            <w:vAlign w:val="center"/>
          </w:tcPr>
          <w:p w:rsidR="00CD16E4" w:rsidRPr="00CB7D9C" w:rsidRDefault="00CD16E4" w:rsidP="008A6A8E">
            <w:pPr>
              <w:tabs>
                <w:tab w:val="left" w:pos="142"/>
              </w:tabs>
              <w:ind w:right="93"/>
              <w:jc w:val="left"/>
              <w:rPr>
                <w:rFonts w:ascii="Arial Narrow" w:hAnsi="Arial Narrow"/>
                <w:b/>
                <w:sz w:val="20"/>
              </w:rPr>
            </w:pPr>
            <w:r w:rsidRPr="00CB7D9C">
              <w:rPr>
                <w:rFonts w:ascii="Arial Narrow" w:hAnsi="Arial Narrow"/>
                <w:b/>
                <w:bCs/>
                <w:sz w:val="20"/>
              </w:rPr>
              <w:t>Net cost PBS</w:t>
            </w:r>
          </w:p>
        </w:tc>
        <w:tc>
          <w:tcPr>
            <w:tcW w:w="677" w:type="pct"/>
            <w:shd w:val="clear" w:color="auto" w:fill="auto"/>
            <w:vAlign w:val="center"/>
          </w:tcPr>
          <w:p w:rsidR="00CD16E4" w:rsidRPr="00CB7D9C" w:rsidRDefault="00CD16E4" w:rsidP="008A6A8E">
            <w:pPr>
              <w:ind w:right="93"/>
              <w:jc w:val="center"/>
              <w:rPr>
                <w:rFonts w:ascii="Arial Narrow" w:hAnsi="Arial Narrow"/>
                <w:b/>
                <w:bCs/>
                <w:sz w:val="20"/>
              </w:rPr>
            </w:pPr>
            <w:r w:rsidRPr="00CB7D9C">
              <w:rPr>
                <w:rFonts w:ascii="Arial Narrow" w:hAnsi="Arial Narrow"/>
                <w:b/>
                <w:sz w:val="20"/>
              </w:rPr>
              <w:t>-$</w:t>
            </w:r>
            <w:r w:rsidR="000A4749">
              <w:rPr>
                <w:rFonts w:ascii="Arial Narrow" w:hAnsi="Arial Narrow"/>
                <w:b/>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
                <w:bCs/>
                <w:sz w:val="20"/>
              </w:rPr>
            </w:pPr>
            <w:r w:rsidRPr="00CB7D9C">
              <w:rPr>
                <w:rFonts w:ascii="Arial Narrow" w:hAnsi="Arial Narrow"/>
                <w:b/>
                <w:sz w:val="20"/>
              </w:rPr>
              <w:t>-$</w:t>
            </w:r>
            <w:r w:rsidR="000A4749">
              <w:rPr>
                <w:rFonts w:ascii="Arial Narrow" w:hAnsi="Arial Narrow"/>
                <w:b/>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
                <w:bCs/>
                <w:sz w:val="20"/>
              </w:rPr>
            </w:pPr>
            <w:r w:rsidRPr="00CB7D9C">
              <w:rPr>
                <w:rFonts w:ascii="Arial Narrow" w:hAnsi="Arial Narrow"/>
                <w:b/>
                <w:sz w:val="20"/>
              </w:rPr>
              <w:t>-$</w:t>
            </w:r>
            <w:r w:rsidR="000A4749">
              <w:rPr>
                <w:rFonts w:ascii="Arial Narrow" w:hAnsi="Arial Narrow"/>
                <w:b/>
                <w:noProof/>
                <w:color w:val="000000"/>
                <w:sz w:val="20"/>
                <w:highlight w:val="black"/>
              </w:rPr>
              <w:t>'''''''''''</w:t>
            </w:r>
          </w:p>
        </w:tc>
        <w:tc>
          <w:tcPr>
            <w:tcW w:w="677" w:type="pct"/>
            <w:shd w:val="clear" w:color="auto" w:fill="auto"/>
            <w:vAlign w:val="center"/>
          </w:tcPr>
          <w:p w:rsidR="00CD16E4" w:rsidRPr="00CB7D9C" w:rsidRDefault="00CD16E4" w:rsidP="008A6A8E">
            <w:pPr>
              <w:ind w:right="93"/>
              <w:jc w:val="center"/>
              <w:rPr>
                <w:rFonts w:ascii="Arial Narrow" w:hAnsi="Arial Narrow"/>
                <w:b/>
                <w:bCs/>
                <w:sz w:val="20"/>
              </w:rPr>
            </w:pPr>
            <w:r w:rsidRPr="00CB7D9C">
              <w:rPr>
                <w:rFonts w:ascii="Arial Narrow" w:hAnsi="Arial Narrow"/>
                <w:b/>
                <w:sz w:val="20"/>
              </w:rPr>
              <w:t>-$</w:t>
            </w:r>
            <w:r w:rsidR="000A4749">
              <w:rPr>
                <w:rFonts w:ascii="Arial Narrow" w:hAnsi="Arial Narrow"/>
                <w:b/>
                <w:noProof/>
                <w:color w:val="000000"/>
                <w:sz w:val="20"/>
                <w:highlight w:val="black"/>
              </w:rPr>
              <w:t>'''''''''''</w:t>
            </w:r>
          </w:p>
        </w:tc>
        <w:tc>
          <w:tcPr>
            <w:tcW w:w="678" w:type="pct"/>
            <w:shd w:val="clear" w:color="auto" w:fill="auto"/>
            <w:vAlign w:val="center"/>
          </w:tcPr>
          <w:p w:rsidR="00CD16E4" w:rsidRPr="00CB7D9C" w:rsidRDefault="00CD16E4" w:rsidP="008A6A8E">
            <w:pPr>
              <w:ind w:right="93"/>
              <w:jc w:val="center"/>
              <w:rPr>
                <w:rFonts w:ascii="Arial Narrow" w:hAnsi="Arial Narrow"/>
                <w:b/>
                <w:bCs/>
                <w:sz w:val="20"/>
              </w:rPr>
            </w:pPr>
            <w:r w:rsidRPr="00CB7D9C">
              <w:rPr>
                <w:rFonts w:ascii="Arial Narrow" w:hAnsi="Arial Narrow"/>
                <w:b/>
                <w:sz w:val="20"/>
              </w:rPr>
              <w:t>-$</w:t>
            </w:r>
            <w:r w:rsidR="000A4749">
              <w:rPr>
                <w:rFonts w:ascii="Arial Narrow" w:hAnsi="Arial Narrow"/>
                <w:b/>
                <w:noProof/>
                <w:color w:val="000000"/>
                <w:sz w:val="20"/>
                <w:highlight w:val="black"/>
              </w:rPr>
              <w:t>''''''''''</w:t>
            </w:r>
          </w:p>
        </w:tc>
      </w:tr>
      <w:tr w:rsidR="00CD16E4" w:rsidRPr="00F2320A" w:rsidTr="00892FFA">
        <w:tc>
          <w:tcPr>
            <w:tcW w:w="1614" w:type="pct"/>
            <w:shd w:val="clear" w:color="auto" w:fill="D9D9D9" w:themeFill="background1" w:themeFillShade="D9"/>
            <w:vAlign w:val="center"/>
          </w:tcPr>
          <w:p w:rsidR="00CD16E4" w:rsidRPr="00CB7D9C" w:rsidRDefault="00CD16E4" w:rsidP="008A6A8E">
            <w:pPr>
              <w:tabs>
                <w:tab w:val="left" w:pos="142"/>
              </w:tabs>
              <w:ind w:right="93"/>
              <w:jc w:val="left"/>
              <w:rPr>
                <w:rFonts w:ascii="Arial Narrow" w:hAnsi="Arial Narrow"/>
                <w:sz w:val="20"/>
              </w:rPr>
            </w:pPr>
            <w:r w:rsidRPr="00CB7D9C">
              <w:rPr>
                <w:rFonts w:ascii="Arial Narrow" w:hAnsi="Arial Narrow"/>
                <w:bCs/>
                <w:sz w:val="20"/>
              </w:rPr>
              <w:t xml:space="preserve">Net cost PBS </w:t>
            </w:r>
            <w:r w:rsidRPr="00CB7D9C">
              <w:rPr>
                <w:rFonts w:ascii="Arial Narrow" w:hAnsi="Arial Narrow"/>
                <w:sz w:val="20"/>
              </w:rPr>
              <w:t>Mar 2014</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7"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c>
          <w:tcPr>
            <w:tcW w:w="678" w:type="pct"/>
            <w:shd w:val="clear" w:color="auto" w:fill="D9D9D9" w:themeFill="background1" w:themeFillShade="D9"/>
            <w:vAlign w:val="center"/>
          </w:tcPr>
          <w:p w:rsidR="00CD16E4" w:rsidRPr="00CB7D9C" w:rsidRDefault="00CD16E4" w:rsidP="008A6A8E">
            <w:pPr>
              <w:ind w:right="93"/>
              <w:jc w:val="center"/>
              <w:rPr>
                <w:rFonts w:ascii="Arial Narrow" w:hAnsi="Arial Narrow"/>
                <w:bCs/>
                <w:sz w:val="20"/>
              </w:rPr>
            </w:pPr>
            <w:r w:rsidRPr="00CB7D9C">
              <w:rPr>
                <w:rFonts w:ascii="Arial Narrow" w:hAnsi="Arial Narrow"/>
                <w:i/>
                <w:sz w:val="20"/>
              </w:rPr>
              <w:t>$</w:t>
            </w:r>
            <w:r w:rsidR="000A4749">
              <w:rPr>
                <w:rFonts w:ascii="Arial Narrow" w:hAnsi="Arial Narrow"/>
                <w:i/>
                <w:noProof/>
                <w:color w:val="000000"/>
                <w:sz w:val="20"/>
                <w:highlight w:val="black"/>
              </w:rPr>
              <w:t>''''''''''''''''''''</w:t>
            </w:r>
          </w:p>
        </w:tc>
      </w:tr>
    </w:tbl>
    <w:p w:rsidR="00CD16E4" w:rsidRDefault="00CD16E4" w:rsidP="00CD16E4">
      <w:pPr>
        <w:pStyle w:val="TableFooter"/>
        <w:ind w:firstLine="709"/>
      </w:pPr>
      <w:r>
        <w:t xml:space="preserve">Abbreviations: </w:t>
      </w:r>
      <w:r w:rsidR="001A7EE8">
        <w:t>pts.</w:t>
      </w:r>
      <w:r>
        <w:t>, patients; subseq., subsequent</w:t>
      </w:r>
    </w:p>
    <w:p w:rsidR="00CD16E4" w:rsidRDefault="00CD16E4" w:rsidP="00CD16E4">
      <w:pPr>
        <w:pStyle w:val="TableFooter"/>
        <w:ind w:firstLine="709"/>
      </w:pPr>
      <w:r w:rsidRPr="00EB690C">
        <w:t xml:space="preserve">Source: </w:t>
      </w:r>
      <w:r>
        <w:t>Compiled during the evaluation.</w:t>
      </w:r>
    </w:p>
    <w:p w:rsidR="00CD16E4" w:rsidRDefault="00CD16E4" w:rsidP="00CD16E4">
      <w:pPr>
        <w:pStyle w:val="TableFooter"/>
        <w:ind w:firstLine="709"/>
      </w:pPr>
      <w:r w:rsidRPr="00DC59A0">
        <w:rPr>
          <w:vertAlign w:val="superscript"/>
        </w:rPr>
        <w:t>a</w:t>
      </w:r>
      <w:r>
        <w:t xml:space="preserve"> Includes persistence based on </w:t>
      </w:r>
      <w:r w:rsidR="006C6112">
        <w:t>NostraData</w:t>
      </w:r>
      <w:r>
        <w:t xml:space="preserve"> average time between scripts.</w:t>
      </w:r>
    </w:p>
    <w:p w:rsidR="00CD16E4" w:rsidRDefault="00CD16E4" w:rsidP="00CD16E4">
      <w:pPr>
        <w:pStyle w:val="TableFooter"/>
        <w:ind w:firstLine="709"/>
      </w:pPr>
      <w:r w:rsidRPr="00DC59A0">
        <w:rPr>
          <w:vertAlign w:val="superscript"/>
        </w:rPr>
        <w:t>b</w:t>
      </w:r>
      <w:r>
        <w:t xml:space="preserve"> Assumed 100% compliance.</w:t>
      </w:r>
    </w:p>
    <w:p w:rsidR="00CD16E4" w:rsidRDefault="00CD16E4" w:rsidP="00CD16E4">
      <w:pPr>
        <w:pStyle w:val="TableFooter"/>
        <w:ind w:firstLine="709"/>
      </w:pPr>
      <w:r w:rsidRPr="00DC59A0">
        <w:rPr>
          <w:vertAlign w:val="superscript"/>
        </w:rPr>
        <w:t>c</w:t>
      </w:r>
      <w:r>
        <w:t xml:space="preserve"> Assumed 50:50 distribution between 40mg and 80mg strengths.</w:t>
      </w:r>
    </w:p>
    <w:p w:rsidR="00CD16E4" w:rsidRDefault="00CD16E4" w:rsidP="00CD16E4">
      <w:pPr>
        <w:pStyle w:val="TableFooter"/>
        <w:ind w:firstLine="709"/>
        <w:rPr>
          <w:szCs w:val="22"/>
        </w:rPr>
      </w:pPr>
      <w:r w:rsidRPr="00DC59A0">
        <w:rPr>
          <w:vertAlign w:val="superscript"/>
        </w:rPr>
        <w:t>d</w:t>
      </w:r>
      <w:r>
        <w:t xml:space="preserve"> Assumed</w:t>
      </w:r>
      <w:r w:rsidRPr="00DC59A0">
        <w:t xml:space="preserve"> </w:t>
      </w:r>
      <w:r>
        <w:t>all scripts for 80mg strength.</w:t>
      </w:r>
    </w:p>
    <w:p w:rsidR="00CD16E4" w:rsidRPr="00CA0814" w:rsidRDefault="00CD16E4" w:rsidP="00CD16E4">
      <w:pPr>
        <w:widowControl/>
        <w:rPr>
          <w:szCs w:val="22"/>
        </w:rPr>
      </w:pPr>
    </w:p>
    <w:p w:rsidR="003F0406" w:rsidRDefault="003F0406" w:rsidP="00AC3A0F">
      <w:pPr>
        <w:pStyle w:val="ListParagraph"/>
        <w:widowControl/>
        <w:numPr>
          <w:ilvl w:val="1"/>
          <w:numId w:val="3"/>
        </w:numPr>
        <w:rPr>
          <w:szCs w:val="22"/>
        </w:rPr>
      </w:pPr>
      <w:r>
        <w:rPr>
          <w:szCs w:val="22"/>
        </w:rPr>
        <w:t xml:space="preserve">The redacted table above shows the estimated number of prescriptions of lurasidone is less than 10,000 per year and the financial implications are estimated to be a cost saving in each year. </w:t>
      </w:r>
    </w:p>
    <w:p w:rsidR="003F0406" w:rsidRPr="003F0406" w:rsidRDefault="003F0406" w:rsidP="003F0406">
      <w:pPr>
        <w:pStyle w:val="ListParagraph"/>
        <w:widowControl/>
        <w:rPr>
          <w:szCs w:val="22"/>
        </w:rPr>
      </w:pPr>
    </w:p>
    <w:p w:rsidR="00CD16E4" w:rsidRPr="00E77227" w:rsidRDefault="00BD4BDB" w:rsidP="00AC3A0F">
      <w:pPr>
        <w:pStyle w:val="ListParagraph"/>
        <w:widowControl/>
        <w:numPr>
          <w:ilvl w:val="1"/>
          <w:numId w:val="3"/>
        </w:numPr>
        <w:rPr>
          <w:szCs w:val="22"/>
        </w:rPr>
      </w:pPr>
      <w:r>
        <w:t>The evaluation considered that i</w:t>
      </w:r>
      <w:r w:rsidR="00CD16E4" w:rsidRPr="00E77227">
        <w:t xml:space="preserve">t </w:t>
      </w:r>
      <w:r w:rsidR="00A0749A">
        <w:t>wa</w:t>
      </w:r>
      <w:r w:rsidR="00A0749A" w:rsidRPr="00E77227">
        <w:t xml:space="preserve">s </w:t>
      </w:r>
      <w:r w:rsidR="00CD16E4" w:rsidRPr="00E77227">
        <w:t>unlikely that the resubmission’s estimated savings will be realised as uptake from and substitution of other (cheaper) antipsychotics have not been included.</w:t>
      </w:r>
    </w:p>
    <w:p w:rsidR="009D35BA" w:rsidRPr="00E77227" w:rsidRDefault="009D35BA" w:rsidP="009D35BA">
      <w:pPr>
        <w:widowControl/>
        <w:rPr>
          <w:szCs w:val="22"/>
        </w:rPr>
      </w:pPr>
    </w:p>
    <w:p w:rsidR="009D35BA" w:rsidRPr="00770C6A" w:rsidRDefault="009D35BA" w:rsidP="00AC3A0F">
      <w:pPr>
        <w:pStyle w:val="ListParagraph"/>
        <w:widowControl/>
        <w:numPr>
          <w:ilvl w:val="1"/>
          <w:numId w:val="3"/>
        </w:numPr>
        <w:rPr>
          <w:szCs w:val="22"/>
        </w:rPr>
      </w:pPr>
      <w:r w:rsidRPr="00770C6A">
        <w:rPr>
          <w:szCs w:val="22"/>
        </w:rPr>
        <w:t xml:space="preserve">The translation of ziprasidone and aripiprazole utilisation to lurasidone scripts relied on the equi-effective dose of lurasidone </w:t>
      </w:r>
      <w:r w:rsidR="00BD4BDB">
        <w:rPr>
          <w:szCs w:val="22"/>
        </w:rPr>
        <w:t xml:space="preserve">as </w:t>
      </w:r>
      <w:r w:rsidRPr="00770C6A">
        <w:rPr>
          <w:szCs w:val="22"/>
        </w:rPr>
        <w:t>calculated in Section D</w:t>
      </w:r>
      <w:r w:rsidR="00061CA5" w:rsidRPr="00770C6A">
        <w:rPr>
          <w:szCs w:val="22"/>
        </w:rPr>
        <w:t xml:space="preserve"> of the </w:t>
      </w:r>
      <w:r w:rsidR="00770C6A" w:rsidRPr="00770C6A">
        <w:rPr>
          <w:szCs w:val="22"/>
        </w:rPr>
        <w:t xml:space="preserve">submission. </w:t>
      </w:r>
    </w:p>
    <w:p w:rsidR="009D35BA" w:rsidRPr="00E77227" w:rsidRDefault="009D35BA" w:rsidP="009D35BA">
      <w:pPr>
        <w:pStyle w:val="ListParagraph"/>
        <w:widowControl/>
        <w:rPr>
          <w:szCs w:val="22"/>
        </w:rPr>
      </w:pPr>
    </w:p>
    <w:p w:rsidR="009D35BA" w:rsidRDefault="009D35BA" w:rsidP="00AC3A0F">
      <w:pPr>
        <w:pStyle w:val="ListParagraph"/>
        <w:widowControl/>
        <w:numPr>
          <w:ilvl w:val="1"/>
          <w:numId w:val="3"/>
        </w:numPr>
        <w:rPr>
          <w:szCs w:val="22"/>
        </w:rPr>
      </w:pPr>
      <w:r w:rsidRPr="00E77227">
        <w:rPr>
          <w:szCs w:val="22"/>
        </w:rPr>
        <w:t xml:space="preserve">Given that 80mg is the highest strength of lurasidone proposed for listing and that there is an uncertain dose response between the 40mg and 120mg dose regimens, a </w:t>
      </w:r>
      <w:r w:rsidRPr="00E77227">
        <w:rPr>
          <w:szCs w:val="22"/>
        </w:rPr>
        <w:lastRenderedPageBreak/>
        <w:t>substantial proportion of patients may be taking two tablets to achieve the prescribed dose. This is not accounted for in the estimates of financial implications.</w:t>
      </w:r>
    </w:p>
    <w:p w:rsidR="00EE4656" w:rsidRPr="00EE4656" w:rsidRDefault="00EE4656" w:rsidP="00EE4656">
      <w:pPr>
        <w:pStyle w:val="ListParagraph"/>
        <w:rPr>
          <w:szCs w:val="22"/>
        </w:rPr>
      </w:pPr>
    </w:p>
    <w:p w:rsidR="00EE4656" w:rsidRPr="000A4749" w:rsidRDefault="00EE4656" w:rsidP="00AC3A0F">
      <w:pPr>
        <w:pStyle w:val="ListParagraph"/>
        <w:widowControl/>
        <w:numPr>
          <w:ilvl w:val="1"/>
          <w:numId w:val="3"/>
        </w:numPr>
        <w:rPr>
          <w:szCs w:val="22"/>
        </w:rPr>
      </w:pPr>
      <w:r>
        <w:rPr>
          <w:szCs w:val="22"/>
        </w:rPr>
        <w:t>The PBAC noted that there is risk of lurasidone being used outside the proposed indication (e.g. bipolar disorder). Therefore, t</w:t>
      </w:r>
      <w:r w:rsidRPr="008A4BDF">
        <w:rPr>
          <w:szCs w:val="22"/>
        </w:rPr>
        <w:t xml:space="preserve">he PBAC considered that it may be appropriate for a </w:t>
      </w:r>
      <w:r w:rsidR="00A73790">
        <w:rPr>
          <w:szCs w:val="22"/>
        </w:rPr>
        <w:t>Risk Sharing Arrangement (RSA)</w:t>
      </w:r>
      <w:r w:rsidR="00BD4BDB">
        <w:rPr>
          <w:szCs w:val="22"/>
        </w:rPr>
        <w:t xml:space="preserve"> with </w:t>
      </w:r>
      <w:r w:rsidR="007B5080">
        <w:rPr>
          <w:szCs w:val="22"/>
        </w:rPr>
        <w:t xml:space="preserve">a </w:t>
      </w:r>
      <w:r w:rsidRPr="008A4BDF">
        <w:rPr>
          <w:szCs w:val="22"/>
        </w:rPr>
        <w:t>financial cap to be implemented based on</w:t>
      </w:r>
      <w:r w:rsidR="00A73790">
        <w:rPr>
          <w:szCs w:val="22"/>
        </w:rPr>
        <w:t xml:space="preserve"> utilization</w:t>
      </w:r>
      <w:r w:rsidRPr="008A4BDF">
        <w:rPr>
          <w:szCs w:val="22"/>
        </w:rPr>
        <w:t xml:space="preserve"> estimates </w:t>
      </w:r>
      <w:r w:rsidR="00A73790">
        <w:rPr>
          <w:szCs w:val="22"/>
        </w:rPr>
        <w:t xml:space="preserve">recalculated to take into account </w:t>
      </w:r>
      <w:r w:rsidR="0094419D">
        <w:rPr>
          <w:szCs w:val="22"/>
        </w:rPr>
        <w:t>changes proposed by the Committee</w:t>
      </w:r>
      <w:r w:rsidR="00A73790">
        <w:rPr>
          <w:szCs w:val="22"/>
        </w:rPr>
        <w:t xml:space="preserve">. </w:t>
      </w:r>
      <w:r w:rsidRPr="008A4BDF">
        <w:rPr>
          <w:szCs w:val="22"/>
        </w:rPr>
        <w:t xml:space="preserve"> </w:t>
      </w:r>
      <w:r w:rsidR="000A4749">
        <w:rPr>
          <w:noProof/>
          <w:color w:val="000000"/>
          <w:szCs w:val="22"/>
          <w:highlight w:val="black"/>
        </w:rPr>
        <w:t>''''''''' '''''''''''' '''''''''''''''' '''''''''''''''' '''''' '''''''' '''''''''''' ''''' ''''''''''''''''''''''''' ''''' ''''''' '''''''''''''''''' ''''' '''''''' '''''''''''''''''''''' '''''''''''' ''''' ''''''''''''''''''''''' ''''''' ''''''''' ''''''''''''''''''''' ''''''''''''''''''''''''' ''''''''''''''''' ''''''' '''''''''''</w:t>
      </w:r>
    </w:p>
    <w:p w:rsidR="00CD16E4" w:rsidRDefault="00CD16E4" w:rsidP="00CD16E4">
      <w:pPr>
        <w:widowControl/>
        <w:rPr>
          <w:szCs w:val="22"/>
        </w:rPr>
      </w:pPr>
    </w:p>
    <w:p w:rsidR="00281A34" w:rsidRPr="00281A34" w:rsidRDefault="00281A34" w:rsidP="00BB7E0F">
      <w:pPr>
        <w:pStyle w:val="Heading2"/>
      </w:pPr>
      <w:bookmarkStart w:id="20" w:name="_Toc409600052"/>
      <w:r w:rsidRPr="004E356D">
        <w:t>For more detail on PBAC’s view, see section 7 “PBAC outcome</w:t>
      </w:r>
    </w:p>
    <w:p w:rsidR="00281A34" w:rsidRPr="00281A34" w:rsidRDefault="00281A34" w:rsidP="00281A34"/>
    <w:bookmarkEnd w:id="20"/>
    <w:p w:rsidR="00C06F60" w:rsidRDefault="00C06F60" w:rsidP="00576972">
      <w:pPr>
        <w:widowControl/>
        <w:rPr>
          <w:szCs w:val="22"/>
        </w:rPr>
      </w:pPr>
    </w:p>
    <w:p w:rsidR="00C06F60" w:rsidRPr="00882085" w:rsidRDefault="00C06F60" w:rsidP="00AC3A0F">
      <w:pPr>
        <w:pStyle w:val="PBACHeading10"/>
        <w:numPr>
          <w:ilvl w:val="0"/>
          <w:numId w:val="3"/>
        </w:numPr>
        <w:rPr>
          <w:b w:val="0"/>
        </w:rPr>
      </w:pPr>
      <w:r w:rsidRPr="00882085">
        <w:t xml:space="preserve">PBAC Outcome </w:t>
      </w:r>
    </w:p>
    <w:p w:rsidR="00C06F60" w:rsidRPr="00BB7EC3" w:rsidRDefault="00C06F60" w:rsidP="00EA3B0F"/>
    <w:p w:rsidR="00C06F60" w:rsidRDefault="00C06F60" w:rsidP="00AC3A0F">
      <w:pPr>
        <w:pStyle w:val="ListParagraph"/>
        <w:widowControl/>
        <w:numPr>
          <w:ilvl w:val="1"/>
          <w:numId w:val="3"/>
        </w:numPr>
        <w:rPr>
          <w:szCs w:val="22"/>
        </w:rPr>
      </w:pPr>
      <w:r>
        <w:rPr>
          <w:szCs w:val="22"/>
        </w:rPr>
        <w:t xml:space="preserve">The PBAC recommended the listing of </w:t>
      </w:r>
      <w:r w:rsidR="00EA3B0F">
        <w:rPr>
          <w:szCs w:val="22"/>
        </w:rPr>
        <w:t>lurasidone</w:t>
      </w:r>
      <w:r>
        <w:rPr>
          <w:szCs w:val="22"/>
        </w:rPr>
        <w:t xml:space="preserve"> on the basis that it should be available </w:t>
      </w:r>
      <w:r w:rsidR="00EA3B0F">
        <w:rPr>
          <w:szCs w:val="22"/>
        </w:rPr>
        <w:t>as an Authority Required (STREAMLINED) listing on the General Schedule</w:t>
      </w:r>
      <w:r>
        <w:rPr>
          <w:szCs w:val="22"/>
        </w:rPr>
        <w:t>.</w:t>
      </w:r>
      <w:r w:rsidR="00EA3B0F">
        <w:rPr>
          <w:szCs w:val="22"/>
        </w:rPr>
        <w:t xml:space="preserve"> In making its recommendation, the PBAC considered that lurasidone should be cost-minimised to ziprasidone only. </w:t>
      </w:r>
      <w:r>
        <w:rPr>
          <w:szCs w:val="22"/>
        </w:rPr>
        <w:t xml:space="preserve">  </w:t>
      </w:r>
    </w:p>
    <w:p w:rsidR="00C06F60" w:rsidRPr="009F6B5D" w:rsidRDefault="00C06F60" w:rsidP="009F6B5D">
      <w:pPr>
        <w:rPr>
          <w:szCs w:val="22"/>
        </w:rPr>
      </w:pPr>
    </w:p>
    <w:p w:rsidR="00C06F60" w:rsidRPr="00EA3B0F" w:rsidRDefault="00EA3B0F" w:rsidP="00AC3A0F">
      <w:pPr>
        <w:pStyle w:val="ListParagraph"/>
        <w:widowControl/>
        <w:numPr>
          <w:ilvl w:val="1"/>
          <w:numId w:val="3"/>
        </w:numPr>
        <w:rPr>
          <w:szCs w:val="22"/>
        </w:rPr>
      </w:pPr>
      <w:r w:rsidRPr="00EA3B0F">
        <w:rPr>
          <w:szCs w:val="22"/>
        </w:rPr>
        <w:t xml:space="preserve">The PBAC </w:t>
      </w:r>
      <w:r w:rsidR="00EA2D2E">
        <w:rPr>
          <w:szCs w:val="22"/>
        </w:rPr>
        <w:t>considered</w:t>
      </w:r>
      <w:r w:rsidRPr="00EA3B0F">
        <w:rPr>
          <w:szCs w:val="22"/>
        </w:rPr>
        <w:t xml:space="preserve"> that</w:t>
      </w:r>
      <w:r w:rsidR="000833FE">
        <w:rPr>
          <w:szCs w:val="22"/>
        </w:rPr>
        <w:t xml:space="preserve"> the equi-effective doses are lurasidone 80mg:</w:t>
      </w:r>
      <w:r w:rsidRPr="00EA3B0F">
        <w:rPr>
          <w:szCs w:val="22"/>
        </w:rPr>
        <w:t xml:space="preserve"> ziprasidone 114.15mg, calculated relative to the common comparator, olanzapine</w:t>
      </w:r>
      <w:r w:rsidR="00EA2D2E">
        <w:rPr>
          <w:szCs w:val="22"/>
        </w:rPr>
        <w:t>.</w:t>
      </w:r>
      <w:r w:rsidRPr="00EA3B0F">
        <w:rPr>
          <w:szCs w:val="22"/>
        </w:rPr>
        <w:t xml:space="preserve"> </w:t>
      </w:r>
    </w:p>
    <w:p w:rsidR="00C06F60" w:rsidRDefault="00C06F60" w:rsidP="00C06F60">
      <w:pPr>
        <w:pStyle w:val="ListParagraph"/>
        <w:ind w:left="709"/>
        <w:rPr>
          <w:szCs w:val="22"/>
        </w:rPr>
      </w:pPr>
      <w:r>
        <w:rPr>
          <w:szCs w:val="22"/>
        </w:rPr>
        <w:t xml:space="preserve"> </w:t>
      </w:r>
    </w:p>
    <w:p w:rsidR="00C06F60" w:rsidRPr="00E135F1" w:rsidRDefault="00EA3B0F" w:rsidP="00AC3A0F">
      <w:pPr>
        <w:pStyle w:val="ListParagraph"/>
        <w:widowControl/>
        <w:numPr>
          <w:ilvl w:val="1"/>
          <w:numId w:val="3"/>
        </w:numPr>
        <w:rPr>
          <w:szCs w:val="22"/>
        </w:rPr>
      </w:pPr>
      <w:r w:rsidRPr="00E135F1">
        <w:rPr>
          <w:szCs w:val="22"/>
        </w:rPr>
        <w:t xml:space="preserve">The PBAC </w:t>
      </w:r>
      <w:r w:rsidR="00EA2D2E" w:rsidRPr="00E135F1">
        <w:rPr>
          <w:szCs w:val="22"/>
        </w:rPr>
        <w:t xml:space="preserve">agreed with the Secretariat that lurasidone should </w:t>
      </w:r>
      <w:r w:rsidRPr="00E135F1">
        <w:rPr>
          <w:szCs w:val="22"/>
        </w:rPr>
        <w:t>have the same restriction as for ziprasidone</w:t>
      </w:r>
      <w:r w:rsidR="00E135F1" w:rsidRPr="00E135F1">
        <w:rPr>
          <w:szCs w:val="22"/>
        </w:rPr>
        <w:t xml:space="preserve"> </w:t>
      </w:r>
      <w:r w:rsidR="00EA2D2E" w:rsidRPr="00E135F1">
        <w:rPr>
          <w:szCs w:val="22"/>
        </w:rPr>
        <w:t xml:space="preserve">for the treatment of schizophrenia. </w:t>
      </w:r>
      <w:r w:rsidR="003122AB" w:rsidRPr="00E135F1">
        <w:rPr>
          <w:szCs w:val="22"/>
        </w:rPr>
        <w:t xml:space="preserve">The PBAC considered that the restriction as proposed in the submission inappropriately </w:t>
      </w:r>
      <w:r w:rsidR="00E135F1" w:rsidRPr="00E135F1">
        <w:rPr>
          <w:szCs w:val="22"/>
        </w:rPr>
        <w:t>differentiates lurasidone from</w:t>
      </w:r>
      <w:r w:rsidR="003122AB" w:rsidRPr="00E135F1">
        <w:rPr>
          <w:szCs w:val="22"/>
        </w:rPr>
        <w:t xml:space="preserve"> other</w:t>
      </w:r>
      <w:r w:rsidR="00E135F1" w:rsidRPr="00E135F1">
        <w:rPr>
          <w:szCs w:val="22"/>
        </w:rPr>
        <w:t xml:space="preserve"> PBS listed</w:t>
      </w:r>
      <w:r w:rsidR="00D7671B" w:rsidRPr="00E135F1">
        <w:rPr>
          <w:szCs w:val="22"/>
        </w:rPr>
        <w:t xml:space="preserve"> anti-psychotic</w:t>
      </w:r>
      <w:r w:rsidR="003122AB" w:rsidRPr="00E135F1">
        <w:rPr>
          <w:szCs w:val="22"/>
        </w:rPr>
        <w:t xml:space="preserve"> therapies</w:t>
      </w:r>
      <w:r w:rsidR="00E135F1" w:rsidRPr="00E135F1">
        <w:rPr>
          <w:szCs w:val="22"/>
        </w:rPr>
        <w:t>, noting that currently the only anti-psychotic therapy PBS listed for schizophrenia with a differentiated restriction is clozapine.</w:t>
      </w:r>
    </w:p>
    <w:p w:rsidR="008A4BDF" w:rsidRPr="00E135F1" w:rsidRDefault="008A4BDF" w:rsidP="008A4BDF">
      <w:pPr>
        <w:pStyle w:val="ListParagraph"/>
        <w:rPr>
          <w:szCs w:val="22"/>
        </w:rPr>
      </w:pPr>
    </w:p>
    <w:p w:rsidR="008A4BDF" w:rsidRPr="00E135F1" w:rsidRDefault="00C768FB" w:rsidP="00AC3A0F">
      <w:pPr>
        <w:pStyle w:val="ListParagraph"/>
        <w:widowControl/>
        <w:numPr>
          <w:ilvl w:val="1"/>
          <w:numId w:val="3"/>
        </w:numPr>
        <w:rPr>
          <w:szCs w:val="22"/>
        </w:rPr>
      </w:pPr>
      <w:r w:rsidRPr="00E135F1">
        <w:rPr>
          <w:szCs w:val="22"/>
        </w:rPr>
        <w:t>Based on international utilisation data, t</w:t>
      </w:r>
      <w:r w:rsidR="008A4BDF" w:rsidRPr="00E135F1">
        <w:rPr>
          <w:szCs w:val="22"/>
        </w:rPr>
        <w:t xml:space="preserve">he PBAC considered </w:t>
      </w:r>
      <w:r w:rsidRPr="00E135F1">
        <w:rPr>
          <w:szCs w:val="22"/>
        </w:rPr>
        <w:t xml:space="preserve">the dose of lurasidone is unlikely to exceed the available doses of either 40mg or 80mg daily. Therefore, the PBAC agreed </w:t>
      </w:r>
      <w:r w:rsidR="008A4BDF" w:rsidRPr="00E135F1">
        <w:rPr>
          <w:szCs w:val="22"/>
        </w:rPr>
        <w:t xml:space="preserve">that the requested </w:t>
      </w:r>
      <w:r w:rsidR="00E135F1" w:rsidRPr="00E135F1">
        <w:rPr>
          <w:szCs w:val="22"/>
        </w:rPr>
        <w:t xml:space="preserve">maximum </w:t>
      </w:r>
      <w:r w:rsidR="008A4BDF" w:rsidRPr="00E135F1">
        <w:rPr>
          <w:szCs w:val="22"/>
        </w:rPr>
        <w:t xml:space="preserve">quantity and number of repeats </w:t>
      </w:r>
      <w:r w:rsidRPr="00E135F1">
        <w:rPr>
          <w:szCs w:val="22"/>
        </w:rPr>
        <w:t>are</w:t>
      </w:r>
      <w:r w:rsidR="008A4BDF" w:rsidRPr="00E135F1">
        <w:rPr>
          <w:szCs w:val="22"/>
        </w:rPr>
        <w:t xml:space="preserve"> appropriate</w:t>
      </w:r>
      <w:r w:rsidRPr="00E135F1">
        <w:rPr>
          <w:szCs w:val="22"/>
        </w:rPr>
        <w:t>.</w:t>
      </w:r>
    </w:p>
    <w:p w:rsidR="00C06F60" w:rsidRPr="00E135F1" w:rsidRDefault="00C06F60" w:rsidP="00C06F60">
      <w:pPr>
        <w:pStyle w:val="ListParagraph"/>
        <w:rPr>
          <w:szCs w:val="22"/>
        </w:rPr>
      </w:pPr>
    </w:p>
    <w:p w:rsidR="00C06F60" w:rsidRPr="00926EB8" w:rsidRDefault="00EA3B0F" w:rsidP="00AC3A0F">
      <w:pPr>
        <w:pStyle w:val="ListParagraph"/>
        <w:widowControl/>
        <w:numPr>
          <w:ilvl w:val="1"/>
          <w:numId w:val="3"/>
        </w:numPr>
        <w:rPr>
          <w:szCs w:val="22"/>
        </w:rPr>
      </w:pPr>
      <w:r w:rsidRPr="00E135F1">
        <w:rPr>
          <w:szCs w:val="22"/>
        </w:rPr>
        <w:t>The PBAC considered that</w:t>
      </w:r>
      <w:r w:rsidR="00B00828" w:rsidRPr="00E135F1">
        <w:rPr>
          <w:szCs w:val="22"/>
        </w:rPr>
        <w:t xml:space="preserve"> lurasidone will most likely be used</w:t>
      </w:r>
      <w:r w:rsidRPr="00E135F1">
        <w:rPr>
          <w:szCs w:val="22"/>
        </w:rPr>
        <w:t xml:space="preserve"> in patients w</w:t>
      </w:r>
      <w:r w:rsidR="00D7671B" w:rsidRPr="00E135F1">
        <w:rPr>
          <w:szCs w:val="22"/>
        </w:rPr>
        <w:t xml:space="preserve">ho initially achieve a clinical response from treatment with </w:t>
      </w:r>
      <w:r w:rsidR="005324FA">
        <w:rPr>
          <w:szCs w:val="22"/>
        </w:rPr>
        <w:t>other antipsychotics</w:t>
      </w:r>
      <w:r w:rsidR="00D7671B" w:rsidRPr="00E135F1">
        <w:rPr>
          <w:szCs w:val="22"/>
        </w:rPr>
        <w:t xml:space="preserve">, but </w:t>
      </w:r>
      <w:r w:rsidRPr="00E135F1">
        <w:rPr>
          <w:szCs w:val="22"/>
        </w:rPr>
        <w:t>who then switch to lurasidone once stabilised in order to manage weight gain. The PBAC considered it</w:t>
      </w:r>
      <w:r w:rsidR="001756CB" w:rsidRPr="00E135F1">
        <w:rPr>
          <w:szCs w:val="22"/>
        </w:rPr>
        <w:t xml:space="preserve"> is</w:t>
      </w:r>
      <w:r w:rsidRPr="00E135F1">
        <w:rPr>
          <w:szCs w:val="22"/>
        </w:rPr>
        <w:t xml:space="preserve"> unlikely that lurasidone will be used as second line therapy in non-responders or that </w:t>
      </w:r>
      <w:r w:rsidR="00722E65" w:rsidRPr="00926EB8">
        <w:rPr>
          <w:szCs w:val="22"/>
        </w:rPr>
        <w:t>lurasidone will substitute for clozapine</w:t>
      </w:r>
      <w:r w:rsidR="00B00828" w:rsidRPr="00926EB8">
        <w:rPr>
          <w:szCs w:val="22"/>
        </w:rPr>
        <w:t xml:space="preserve">. </w:t>
      </w:r>
    </w:p>
    <w:p w:rsidR="00C06F60" w:rsidRPr="00926EB8" w:rsidRDefault="00C06F60" w:rsidP="00C06F60">
      <w:pPr>
        <w:pStyle w:val="ListParagraph"/>
        <w:rPr>
          <w:szCs w:val="22"/>
        </w:rPr>
      </w:pPr>
    </w:p>
    <w:p w:rsidR="00EB0AF2" w:rsidRPr="00926EB8" w:rsidRDefault="00722E65" w:rsidP="00ED739D">
      <w:pPr>
        <w:pStyle w:val="ListParagraph"/>
        <w:widowControl/>
        <w:numPr>
          <w:ilvl w:val="1"/>
          <w:numId w:val="3"/>
        </w:numPr>
        <w:rPr>
          <w:szCs w:val="22"/>
        </w:rPr>
      </w:pPr>
      <w:r w:rsidRPr="00926EB8">
        <w:rPr>
          <w:szCs w:val="22"/>
        </w:rPr>
        <w:t xml:space="preserve">The PBAC considered that the </w:t>
      </w:r>
      <w:r w:rsidR="00EB0AF2" w:rsidRPr="00926EB8">
        <w:rPr>
          <w:szCs w:val="22"/>
        </w:rPr>
        <w:t>main comparator is ziprasidone as previously advised (March 2014 Minutes, para.5.1-5.2). The</w:t>
      </w:r>
      <w:r w:rsidR="00D77315" w:rsidRPr="00926EB8">
        <w:rPr>
          <w:szCs w:val="22"/>
        </w:rPr>
        <w:t xml:space="preserve"> </w:t>
      </w:r>
      <w:r w:rsidR="00EB0AF2" w:rsidRPr="00926EB8">
        <w:rPr>
          <w:szCs w:val="22"/>
        </w:rPr>
        <w:t xml:space="preserve">PBAC did not agree that a </w:t>
      </w:r>
      <w:r w:rsidRPr="00926EB8">
        <w:rPr>
          <w:szCs w:val="22"/>
        </w:rPr>
        <w:t xml:space="preserve">mixed comparator of aripiprazole and ziprasidone was appropriate. </w:t>
      </w:r>
      <w:r w:rsidR="00D77315" w:rsidRPr="00926EB8">
        <w:rPr>
          <w:szCs w:val="22"/>
        </w:rPr>
        <w:t xml:space="preserve"> Ziprasidone and lurasidone belong to the same pharmacological class whereas arip</w:t>
      </w:r>
      <w:r w:rsidR="00926EB8" w:rsidRPr="00926EB8">
        <w:rPr>
          <w:szCs w:val="22"/>
        </w:rPr>
        <w:t>ip</w:t>
      </w:r>
      <w:r w:rsidR="00D77315" w:rsidRPr="00926EB8">
        <w:rPr>
          <w:szCs w:val="22"/>
        </w:rPr>
        <w:t>razole belongs to a different pharmacological class. T</w:t>
      </w:r>
      <w:r w:rsidRPr="00926EB8">
        <w:rPr>
          <w:szCs w:val="22"/>
        </w:rPr>
        <w:t xml:space="preserve">here is </w:t>
      </w:r>
      <w:r w:rsidR="00D77315" w:rsidRPr="00926EB8">
        <w:rPr>
          <w:szCs w:val="22"/>
        </w:rPr>
        <w:t xml:space="preserve">additionally </w:t>
      </w:r>
      <w:r w:rsidRPr="00926EB8">
        <w:rPr>
          <w:szCs w:val="22"/>
        </w:rPr>
        <w:t xml:space="preserve">no data to establish a distinct group of patients in whom </w:t>
      </w:r>
      <w:r w:rsidR="00D77315" w:rsidRPr="00926EB8">
        <w:rPr>
          <w:szCs w:val="22"/>
        </w:rPr>
        <w:t>ziprasidone or aripiprazole</w:t>
      </w:r>
      <w:r w:rsidR="00B00828" w:rsidRPr="00926EB8">
        <w:rPr>
          <w:szCs w:val="22"/>
        </w:rPr>
        <w:t>, but not the other, is appropriate</w:t>
      </w:r>
      <w:r w:rsidR="00EB0AF2" w:rsidRPr="00926EB8">
        <w:rPr>
          <w:szCs w:val="22"/>
        </w:rPr>
        <w:t>.</w:t>
      </w:r>
    </w:p>
    <w:p w:rsidR="00C06F60" w:rsidRPr="00EB0AF2" w:rsidRDefault="00B00828" w:rsidP="00EB0AF2">
      <w:pPr>
        <w:pStyle w:val="ListParagraph"/>
        <w:widowControl/>
        <w:rPr>
          <w:szCs w:val="22"/>
        </w:rPr>
      </w:pPr>
      <w:r w:rsidRPr="00EB0AF2">
        <w:rPr>
          <w:szCs w:val="22"/>
        </w:rPr>
        <w:t xml:space="preserve"> </w:t>
      </w:r>
    </w:p>
    <w:p w:rsidR="00C06F60" w:rsidRDefault="00F05EA6" w:rsidP="00AC3A0F">
      <w:pPr>
        <w:pStyle w:val="ListParagraph"/>
        <w:widowControl/>
        <w:numPr>
          <w:ilvl w:val="1"/>
          <w:numId w:val="3"/>
        </w:numPr>
        <w:rPr>
          <w:szCs w:val="22"/>
        </w:rPr>
      </w:pPr>
      <w:r>
        <w:rPr>
          <w:szCs w:val="22"/>
        </w:rPr>
        <w:lastRenderedPageBreak/>
        <w:t xml:space="preserve">The PBAC </w:t>
      </w:r>
      <w:r w:rsidR="00375CB6">
        <w:rPr>
          <w:szCs w:val="22"/>
        </w:rPr>
        <w:t>accepted that</w:t>
      </w:r>
      <w:r>
        <w:rPr>
          <w:szCs w:val="22"/>
        </w:rPr>
        <w:t xml:space="preserve"> lurasidone </w:t>
      </w:r>
      <w:r w:rsidR="00375CB6">
        <w:rPr>
          <w:szCs w:val="22"/>
        </w:rPr>
        <w:t xml:space="preserve">is </w:t>
      </w:r>
      <w:r>
        <w:rPr>
          <w:szCs w:val="22"/>
        </w:rPr>
        <w:t xml:space="preserve">non-inferior </w:t>
      </w:r>
      <w:r w:rsidR="00375CB6">
        <w:rPr>
          <w:szCs w:val="22"/>
        </w:rPr>
        <w:t>in terms of efficacy and safety compared with</w:t>
      </w:r>
      <w:r>
        <w:rPr>
          <w:szCs w:val="22"/>
        </w:rPr>
        <w:t xml:space="preserve"> ziprasidone. </w:t>
      </w:r>
    </w:p>
    <w:p w:rsidR="00C06F60" w:rsidRPr="00BB7EC3" w:rsidRDefault="00C06F60" w:rsidP="00C06F60">
      <w:pPr>
        <w:pStyle w:val="ListParagraph"/>
        <w:rPr>
          <w:szCs w:val="22"/>
        </w:rPr>
      </w:pPr>
    </w:p>
    <w:p w:rsidR="00C06F60" w:rsidRDefault="00F05EA6" w:rsidP="00AC3A0F">
      <w:pPr>
        <w:pStyle w:val="ListParagraph"/>
        <w:widowControl/>
        <w:numPr>
          <w:ilvl w:val="1"/>
          <w:numId w:val="3"/>
        </w:numPr>
        <w:rPr>
          <w:szCs w:val="22"/>
        </w:rPr>
      </w:pPr>
      <w:r>
        <w:rPr>
          <w:szCs w:val="22"/>
        </w:rPr>
        <w:t xml:space="preserve">The PBAC noted that compared to olanzapine, lurasidone </w:t>
      </w:r>
      <w:r w:rsidR="001379D8">
        <w:rPr>
          <w:szCs w:val="22"/>
        </w:rPr>
        <w:t xml:space="preserve">may </w:t>
      </w:r>
      <w:r>
        <w:rPr>
          <w:szCs w:val="22"/>
        </w:rPr>
        <w:t xml:space="preserve">have an inferior efficacy profile but a superior safety profile with respect to weight gain and metabolic adverse effects, specifically noting that patients who experience weight gain while on olanzapine appear to lose </w:t>
      </w:r>
      <w:r w:rsidR="00D7671B">
        <w:rPr>
          <w:szCs w:val="22"/>
        </w:rPr>
        <w:t>excess</w:t>
      </w:r>
      <w:r>
        <w:rPr>
          <w:szCs w:val="22"/>
        </w:rPr>
        <w:t xml:space="preserve"> weight upon switching to lurasidone. </w:t>
      </w:r>
      <w:r w:rsidR="001379D8">
        <w:rPr>
          <w:szCs w:val="22"/>
        </w:rPr>
        <w:t>However, Trial 231 may not have been adequately powered for an active treatment comparison.</w:t>
      </w:r>
    </w:p>
    <w:p w:rsidR="00F05EA6" w:rsidRPr="00F05EA6" w:rsidRDefault="00F05EA6" w:rsidP="00F05EA6">
      <w:pPr>
        <w:pStyle w:val="ListParagraph"/>
        <w:rPr>
          <w:szCs w:val="22"/>
        </w:rPr>
      </w:pPr>
    </w:p>
    <w:p w:rsidR="00F05EA6" w:rsidRDefault="00F05EA6" w:rsidP="00AC3A0F">
      <w:pPr>
        <w:pStyle w:val="ListParagraph"/>
        <w:widowControl/>
        <w:numPr>
          <w:ilvl w:val="1"/>
          <w:numId w:val="3"/>
        </w:numPr>
        <w:rPr>
          <w:szCs w:val="22"/>
        </w:rPr>
      </w:pPr>
      <w:r>
        <w:rPr>
          <w:szCs w:val="22"/>
        </w:rPr>
        <w:t>The PBAC noted that the dose response of lurasidone was unclear, as ther</w:t>
      </w:r>
      <w:r w:rsidR="00D7671B">
        <w:rPr>
          <w:szCs w:val="22"/>
        </w:rPr>
        <w:t>e appears to be little difference in effect</w:t>
      </w:r>
      <w:r>
        <w:rPr>
          <w:szCs w:val="22"/>
        </w:rPr>
        <w:t xml:space="preserve"> between 40mg and 120mg doses. </w:t>
      </w:r>
    </w:p>
    <w:p w:rsidR="00C06F60" w:rsidRPr="00BB7EC3" w:rsidRDefault="00C06F60" w:rsidP="00C06F60">
      <w:pPr>
        <w:pStyle w:val="ListParagraph"/>
        <w:rPr>
          <w:szCs w:val="22"/>
        </w:rPr>
      </w:pPr>
    </w:p>
    <w:p w:rsidR="00EB0AF2" w:rsidRDefault="00F05EA6" w:rsidP="00C06F60">
      <w:pPr>
        <w:pStyle w:val="ListParagraph"/>
        <w:widowControl/>
        <w:numPr>
          <w:ilvl w:val="1"/>
          <w:numId w:val="3"/>
        </w:numPr>
        <w:rPr>
          <w:szCs w:val="22"/>
        </w:rPr>
      </w:pPr>
      <w:r w:rsidRPr="002D0C26">
        <w:rPr>
          <w:szCs w:val="22"/>
        </w:rPr>
        <w:t>The PBAC noted that it was inappropriate to conduct the cost-minimisation analysis against the mixed comparator of aripiprazole and ziprasidone</w:t>
      </w:r>
      <w:r w:rsidR="00EB0AF2">
        <w:rPr>
          <w:szCs w:val="22"/>
        </w:rPr>
        <w:t>,</w:t>
      </w:r>
      <w:r w:rsidRPr="002D0C26">
        <w:rPr>
          <w:szCs w:val="22"/>
        </w:rPr>
        <w:t xml:space="preserve"> as </w:t>
      </w:r>
      <w:r w:rsidR="002D0C26" w:rsidRPr="002D0C26">
        <w:rPr>
          <w:szCs w:val="22"/>
        </w:rPr>
        <w:t>aripi</w:t>
      </w:r>
      <w:r w:rsidR="00EB0AF2">
        <w:rPr>
          <w:szCs w:val="22"/>
        </w:rPr>
        <w:t>p</w:t>
      </w:r>
      <w:r w:rsidR="002D0C26" w:rsidRPr="002D0C26">
        <w:rPr>
          <w:szCs w:val="22"/>
        </w:rPr>
        <w:t>razole is not considered a relevant comparator.</w:t>
      </w:r>
      <w:r w:rsidRPr="002D0C26">
        <w:rPr>
          <w:szCs w:val="22"/>
        </w:rPr>
        <w:t xml:space="preserve"> </w:t>
      </w:r>
    </w:p>
    <w:p w:rsidR="00C06F60" w:rsidRPr="002D0C26" w:rsidRDefault="00C06F60" w:rsidP="00EB0AF2">
      <w:pPr>
        <w:pStyle w:val="ListParagraph"/>
        <w:widowControl/>
        <w:rPr>
          <w:szCs w:val="22"/>
        </w:rPr>
      </w:pPr>
    </w:p>
    <w:p w:rsidR="00091047" w:rsidRDefault="00091047" w:rsidP="00AC3A0F">
      <w:pPr>
        <w:pStyle w:val="ListParagraph"/>
        <w:widowControl/>
        <w:numPr>
          <w:ilvl w:val="1"/>
          <w:numId w:val="3"/>
        </w:numPr>
        <w:rPr>
          <w:szCs w:val="22"/>
        </w:rPr>
      </w:pPr>
      <w:r>
        <w:rPr>
          <w:szCs w:val="22"/>
        </w:rPr>
        <w:t xml:space="preserve">The </w:t>
      </w:r>
      <w:r w:rsidR="002D0C26">
        <w:rPr>
          <w:szCs w:val="22"/>
        </w:rPr>
        <w:t>PBAC noted that the financial estimates would need to be re</w:t>
      </w:r>
      <w:r w:rsidR="00EB0AF2">
        <w:rPr>
          <w:szCs w:val="22"/>
        </w:rPr>
        <w:t>calculated</w:t>
      </w:r>
      <w:r w:rsidR="002D0C26">
        <w:rPr>
          <w:szCs w:val="22"/>
        </w:rPr>
        <w:t xml:space="preserve"> to take into account the basis upon which lurasidone </w:t>
      </w:r>
      <w:r w:rsidR="00A400D6">
        <w:rPr>
          <w:szCs w:val="22"/>
        </w:rPr>
        <w:t>i</w:t>
      </w:r>
      <w:r w:rsidR="002D0C26">
        <w:rPr>
          <w:szCs w:val="22"/>
        </w:rPr>
        <w:t xml:space="preserve">s recommended for listing. </w:t>
      </w:r>
      <w:r w:rsidR="00926EB8">
        <w:rPr>
          <w:szCs w:val="22"/>
        </w:rPr>
        <w:t xml:space="preserve">The </w:t>
      </w:r>
      <w:r>
        <w:rPr>
          <w:szCs w:val="22"/>
        </w:rPr>
        <w:t xml:space="preserve">PBAC </w:t>
      </w:r>
      <w:r w:rsidR="002D0C26">
        <w:rPr>
          <w:szCs w:val="22"/>
        </w:rPr>
        <w:t xml:space="preserve">also </w:t>
      </w:r>
      <w:r w:rsidR="00D00AE8">
        <w:rPr>
          <w:szCs w:val="22"/>
        </w:rPr>
        <w:t>considered</w:t>
      </w:r>
      <w:r>
        <w:rPr>
          <w:szCs w:val="22"/>
        </w:rPr>
        <w:t xml:space="preserve"> that in the context of estimated use and financial implications, it was difficult to determine what therapies are likely to be replaced by lurasidone.</w:t>
      </w:r>
      <w:r w:rsidR="00D00AE8">
        <w:rPr>
          <w:szCs w:val="22"/>
        </w:rPr>
        <w:t xml:space="preserve"> The PBAC noted that </w:t>
      </w:r>
      <w:r w:rsidR="00A400D6">
        <w:rPr>
          <w:szCs w:val="22"/>
        </w:rPr>
        <w:t xml:space="preserve">the </w:t>
      </w:r>
      <w:r w:rsidR="00D00AE8">
        <w:rPr>
          <w:szCs w:val="22"/>
        </w:rPr>
        <w:t>financial estimates did not include other cheaper antipsychotics</w:t>
      </w:r>
      <w:r w:rsidR="002D0C26">
        <w:rPr>
          <w:szCs w:val="22"/>
        </w:rPr>
        <w:t>, and therefore the savings estimated by the submission are unlike to be realised.</w:t>
      </w:r>
    </w:p>
    <w:p w:rsidR="00C54C6E" w:rsidRPr="00C54C6E" w:rsidRDefault="00C54C6E" w:rsidP="00C54C6E">
      <w:pPr>
        <w:pStyle w:val="ListParagraph"/>
        <w:rPr>
          <w:szCs w:val="22"/>
        </w:rPr>
      </w:pPr>
    </w:p>
    <w:p w:rsidR="00C06F60" w:rsidRPr="000E0FAF" w:rsidRDefault="00C54C6E" w:rsidP="00C06F60">
      <w:pPr>
        <w:pStyle w:val="ListParagraph"/>
        <w:widowControl/>
        <w:numPr>
          <w:ilvl w:val="1"/>
          <w:numId w:val="3"/>
        </w:numPr>
        <w:rPr>
          <w:szCs w:val="22"/>
        </w:rPr>
      </w:pPr>
      <w:r>
        <w:rPr>
          <w:szCs w:val="22"/>
        </w:rPr>
        <w:t>The PBAC considered that it may be appropriate to review th</w:t>
      </w:r>
      <w:r w:rsidR="00D7671B">
        <w:rPr>
          <w:szCs w:val="22"/>
        </w:rPr>
        <w:t>e total price paid by</w:t>
      </w:r>
      <w:r>
        <w:rPr>
          <w:szCs w:val="22"/>
        </w:rPr>
        <w:t xml:space="preserve"> Government for anti-psychotic therapies</w:t>
      </w:r>
      <w:r w:rsidR="000F14E6">
        <w:rPr>
          <w:szCs w:val="22"/>
        </w:rPr>
        <w:t xml:space="preserve"> as </w:t>
      </w:r>
      <w:r w:rsidR="00895ACB">
        <w:rPr>
          <w:szCs w:val="22"/>
        </w:rPr>
        <w:t>prices of some of these medicines have been changed.</w:t>
      </w:r>
    </w:p>
    <w:p w:rsidR="000E0FAF" w:rsidRPr="000E0FAF" w:rsidRDefault="000E0FAF" w:rsidP="000E0FAF">
      <w:pPr>
        <w:pStyle w:val="ListParagraph"/>
        <w:rPr>
          <w:szCs w:val="22"/>
        </w:rPr>
      </w:pPr>
    </w:p>
    <w:p w:rsidR="000E0FAF" w:rsidRPr="000E0FAF" w:rsidRDefault="00D7671B" w:rsidP="000E0FAF">
      <w:pPr>
        <w:numPr>
          <w:ilvl w:val="1"/>
          <w:numId w:val="3"/>
        </w:numPr>
        <w:rPr>
          <w:bCs/>
          <w:szCs w:val="22"/>
          <w:u w:val="single"/>
        </w:rPr>
      </w:pPr>
      <w:r w:rsidRPr="00926EB8">
        <w:rPr>
          <w:szCs w:val="22"/>
        </w:rPr>
        <w:t xml:space="preserve"> </w:t>
      </w:r>
      <w:r w:rsidR="000E0FAF" w:rsidRPr="000E0FAF">
        <w:rPr>
          <w:bCs/>
          <w:szCs w:val="22"/>
          <w:u w:val="single"/>
        </w:rPr>
        <w:t>Advice to the Minister under subsection 101(3BA) of the Act</w:t>
      </w:r>
    </w:p>
    <w:p w:rsidR="000E0FAF" w:rsidRPr="000E0FAF" w:rsidRDefault="00CD0003" w:rsidP="000E0FAF">
      <w:pPr>
        <w:pStyle w:val="ListParagraph"/>
      </w:pPr>
      <w:r>
        <w:t>In accordance with</w:t>
      </w:r>
      <w:r w:rsidR="000E0FAF">
        <w:t xml:space="preserve"> subs</w:t>
      </w:r>
      <w:r w:rsidR="000E0FAF" w:rsidRPr="000E0FAF">
        <w:t xml:space="preserve">ection 101 (3BA) of the </w:t>
      </w:r>
      <w:r w:rsidR="00F77CF1">
        <w:t>Act</w:t>
      </w:r>
      <w:r>
        <w:t xml:space="preserve"> the PBAC advised that it is of the opinion that lurasidone</w:t>
      </w:r>
      <w:r w:rsidR="000E0FAF" w:rsidRPr="000E0FAF">
        <w:t xml:space="preserve"> should be treated as interchangeable on an individual patient basis</w:t>
      </w:r>
      <w:r>
        <w:t xml:space="preserve"> with </w:t>
      </w:r>
      <w:r w:rsidRPr="000E0FAF">
        <w:t>ziprasidone</w:t>
      </w:r>
      <w:r w:rsidR="000E0FAF" w:rsidRPr="000E0FAF">
        <w:t>.</w:t>
      </w:r>
    </w:p>
    <w:p w:rsidR="003122AB" w:rsidRPr="003122AB" w:rsidRDefault="003122AB" w:rsidP="000E0FAF">
      <w:pPr>
        <w:pStyle w:val="PBACheading1"/>
        <w:numPr>
          <w:ilvl w:val="0"/>
          <w:numId w:val="0"/>
        </w:numPr>
      </w:pPr>
    </w:p>
    <w:p w:rsidR="00C06F60" w:rsidRDefault="00F028B9" w:rsidP="00AC3A0F">
      <w:pPr>
        <w:pStyle w:val="ListParagraph"/>
        <w:widowControl/>
        <w:numPr>
          <w:ilvl w:val="1"/>
          <w:numId w:val="3"/>
        </w:numPr>
        <w:rPr>
          <w:szCs w:val="22"/>
        </w:rPr>
      </w:pPr>
      <w:r>
        <w:rPr>
          <w:szCs w:val="22"/>
        </w:rPr>
        <w:t>Similar to ziprasidone’s restriction for the treatment of schizophrenia, t</w:t>
      </w:r>
      <w:r w:rsidR="00C06F60">
        <w:rPr>
          <w:szCs w:val="22"/>
        </w:rPr>
        <w:t xml:space="preserve">he PBAC advised that </w:t>
      </w:r>
      <w:r w:rsidR="003122AB">
        <w:rPr>
          <w:szCs w:val="22"/>
        </w:rPr>
        <w:t>lurasidone</w:t>
      </w:r>
      <w:r w:rsidR="00C06F60">
        <w:rPr>
          <w:szCs w:val="22"/>
        </w:rPr>
        <w:t xml:space="preserve"> is suitable for prescribing by </w:t>
      </w:r>
      <w:r w:rsidR="00C06F60" w:rsidRPr="00882085">
        <w:rPr>
          <w:szCs w:val="22"/>
        </w:rPr>
        <w:t>nurse practitioner</w:t>
      </w:r>
      <w:r w:rsidR="00C06F60">
        <w:rPr>
          <w:szCs w:val="22"/>
        </w:rPr>
        <w:t>s</w:t>
      </w:r>
      <w:r w:rsidR="003122AB">
        <w:rPr>
          <w:szCs w:val="22"/>
        </w:rPr>
        <w:t xml:space="preserve"> under a shared care model</w:t>
      </w:r>
      <w:r w:rsidR="00C06F60">
        <w:rPr>
          <w:szCs w:val="22"/>
        </w:rPr>
        <w:t xml:space="preserve">. </w:t>
      </w:r>
      <w:r w:rsidR="00C06F60" w:rsidRPr="00882085">
        <w:rPr>
          <w:szCs w:val="22"/>
        </w:rPr>
        <w:t xml:space="preserve"> </w:t>
      </w:r>
    </w:p>
    <w:p w:rsidR="00C06F60" w:rsidRPr="00BB7EC3" w:rsidRDefault="00C06F60" w:rsidP="00C06F60">
      <w:pPr>
        <w:pStyle w:val="ListParagraph"/>
        <w:rPr>
          <w:szCs w:val="22"/>
        </w:rPr>
      </w:pPr>
    </w:p>
    <w:p w:rsidR="00C06F60" w:rsidRDefault="00C06F60" w:rsidP="00AC3A0F">
      <w:pPr>
        <w:pStyle w:val="ListParagraph"/>
        <w:widowControl/>
        <w:numPr>
          <w:ilvl w:val="1"/>
          <w:numId w:val="3"/>
        </w:numPr>
        <w:rPr>
          <w:szCs w:val="22"/>
        </w:rPr>
      </w:pPr>
      <w:r>
        <w:rPr>
          <w:szCs w:val="22"/>
        </w:rPr>
        <w:t>The PBAC recommended that the Safety Net 20 Day Rule should not apply.</w:t>
      </w:r>
      <w:r w:rsidRPr="00882085">
        <w:rPr>
          <w:szCs w:val="22"/>
        </w:rPr>
        <w:t xml:space="preserve"> </w:t>
      </w:r>
    </w:p>
    <w:p w:rsidR="003122AB" w:rsidRDefault="003122AB" w:rsidP="003122AB">
      <w:pPr>
        <w:widowControl/>
        <w:rPr>
          <w:b/>
          <w:szCs w:val="22"/>
        </w:rPr>
      </w:pPr>
    </w:p>
    <w:p w:rsidR="00C06F60" w:rsidRPr="003122AB" w:rsidRDefault="00C06F60" w:rsidP="003122AB">
      <w:pPr>
        <w:widowControl/>
        <w:rPr>
          <w:b/>
          <w:szCs w:val="22"/>
        </w:rPr>
      </w:pPr>
      <w:r w:rsidRPr="003122AB">
        <w:rPr>
          <w:b/>
          <w:szCs w:val="22"/>
        </w:rPr>
        <w:t>Outcome:</w:t>
      </w:r>
    </w:p>
    <w:p w:rsidR="00C06F60" w:rsidRDefault="00C06F60" w:rsidP="00C06F60">
      <w:pPr>
        <w:rPr>
          <w:szCs w:val="22"/>
        </w:rPr>
      </w:pPr>
      <w:r w:rsidRPr="00882085">
        <w:rPr>
          <w:szCs w:val="22"/>
        </w:rPr>
        <w:t xml:space="preserve">Recommended </w:t>
      </w:r>
    </w:p>
    <w:p w:rsidR="0040229F" w:rsidRDefault="0040229F" w:rsidP="00C06F60">
      <w:pPr>
        <w:rPr>
          <w:szCs w:val="22"/>
        </w:rPr>
      </w:pPr>
    </w:p>
    <w:p w:rsidR="001F7BC0" w:rsidRPr="00882085" w:rsidRDefault="001F7BC0" w:rsidP="00C06F60">
      <w:pPr>
        <w:rPr>
          <w:szCs w:val="22"/>
        </w:rPr>
      </w:pPr>
    </w:p>
    <w:p w:rsidR="00C06F60" w:rsidRPr="00882085" w:rsidRDefault="00C06F60" w:rsidP="00AC3A0F">
      <w:pPr>
        <w:pStyle w:val="PBACHeading10"/>
        <w:numPr>
          <w:ilvl w:val="0"/>
          <w:numId w:val="3"/>
        </w:numPr>
        <w:rPr>
          <w:b w:val="0"/>
          <w:i/>
        </w:rPr>
      </w:pPr>
      <w:r w:rsidRPr="00882085">
        <w:t>Recommended listing</w:t>
      </w:r>
    </w:p>
    <w:p w:rsidR="0040229F" w:rsidRDefault="0040229F" w:rsidP="00C06F60">
      <w:pPr>
        <w:rPr>
          <w:szCs w:val="22"/>
        </w:rPr>
      </w:pPr>
    </w:p>
    <w:p w:rsidR="0040229F" w:rsidRPr="00882085" w:rsidRDefault="0040229F" w:rsidP="00C06F60">
      <w:pPr>
        <w:rPr>
          <w:szCs w:val="22"/>
        </w:rPr>
      </w:pPr>
    </w:p>
    <w:p w:rsidR="00C06F60" w:rsidRDefault="00C06F60" w:rsidP="001F7BC0">
      <w:pPr>
        <w:pStyle w:val="ListParagraph"/>
        <w:widowControl/>
        <w:numPr>
          <w:ilvl w:val="1"/>
          <w:numId w:val="3"/>
        </w:numPr>
        <w:rPr>
          <w:szCs w:val="22"/>
        </w:rPr>
      </w:pPr>
      <w:r w:rsidRPr="001F7BC0">
        <w:rPr>
          <w:szCs w:val="22"/>
        </w:rPr>
        <w:t>Add new item:</w:t>
      </w:r>
    </w:p>
    <w:p w:rsidR="001F7BC0" w:rsidRDefault="001F7BC0" w:rsidP="001F7BC0">
      <w:pPr>
        <w:pStyle w:val="ListParagraph"/>
        <w:widowControl/>
        <w:rPr>
          <w:szCs w:val="22"/>
        </w:rPr>
      </w:pPr>
    </w:p>
    <w:p w:rsidR="0040229F" w:rsidRDefault="0040229F" w:rsidP="001F7BC0">
      <w:pPr>
        <w:pStyle w:val="ListParagraph"/>
        <w:widowControl/>
        <w:rPr>
          <w:szCs w:val="22"/>
        </w:rPr>
      </w:pPr>
    </w:p>
    <w:p w:rsidR="0040229F" w:rsidRDefault="0040229F" w:rsidP="001F7BC0">
      <w:pPr>
        <w:pStyle w:val="ListParagraph"/>
        <w:widowControl/>
        <w:rPr>
          <w:szCs w:val="22"/>
        </w:rPr>
      </w:pPr>
    </w:p>
    <w:p w:rsidR="0040229F" w:rsidRDefault="0040229F" w:rsidP="001F7BC0">
      <w:pPr>
        <w:pStyle w:val="ListParagraph"/>
        <w:widowControl/>
        <w:rPr>
          <w:szCs w:val="22"/>
        </w:rPr>
      </w:pPr>
    </w:p>
    <w:p w:rsidR="0040229F" w:rsidRPr="001F7BC0" w:rsidRDefault="0040229F" w:rsidP="001F7BC0">
      <w:pPr>
        <w:pStyle w:val="ListParagraph"/>
        <w:widowControl/>
        <w:rPr>
          <w:szCs w:val="22"/>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6"/>
        <w:gridCol w:w="567"/>
        <w:gridCol w:w="1134"/>
        <w:gridCol w:w="2126"/>
        <w:gridCol w:w="2126"/>
      </w:tblGrid>
      <w:tr w:rsidR="001F7BC0" w:rsidRPr="001F7BC0" w:rsidTr="00091047">
        <w:trPr>
          <w:cantSplit/>
          <w:trHeight w:val="471"/>
        </w:trPr>
        <w:tc>
          <w:tcPr>
            <w:tcW w:w="2552" w:type="dxa"/>
            <w:gridSpan w:val="2"/>
            <w:tcBorders>
              <w:top w:val="nil"/>
              <w:left w:val="nil"/>
              <w:bottom w:val="single" w:sz="4" w:space="0" w:color="auto"/>
              <w:right w:val="nil"/>
            </w:tcBorders>
          </w:tcPr>
          <w:p w:rsidR="001F7BC0" w:rsidRPr="001F7BC0" w:rsidRDefault="001F7BC0" w:rsidP="001F7BC0">
            <w:pPr>
              <w:pStyle w:val="PBACheading1"/>
              <w:numPr>
                <w:ilvl w:val="0"/>
                <w:numId w:val="0"/>
              </w:numPr>
              <w:rPr>
                <w:rFonts w:ascii="Arial Narrow" w:hAnsi="Arial Narrow"/>
                <w:sz w:val="20"/>
                <w:szCs w:val="20"/>
              </w:rPr>
            </w:pPr>
            <w:r w:rsidRPr="001F7BC0">
              <w:rPr>
                <w:rFonts w:ascii="Arial Narrow" w:hAnsi="Arial Narrow"/>
                <w:sz w:val="20"/>
                <w:szCs w:val="20"/>
              </w:rPr>
              <w:t>Name, Restriction,</w:t>
            </w:r>
          </w:p>
          <w:p w:rsidR="001F7BC0" w:rsidRPr="001F7BC0" w:rsidRDefault="001F7BC0" w:rsidP="001F7BC0">
            <w:pPr>
              <w:pStyle w:val="PBACheading1"/>
              <w:numPr>
                <w:ilvl w:val="0"/>
                <w:numId w:val="0"/>
              </w:numPr>
              <w:rPr>
                <w:rFonts w:ascii="Arial Narrow" w:hAnsi="Arial Narrow"/>
                <w:sz w:val="20"/>
                <w:szCs w:val="20"/>
              </w:rPr>
            </w:pPr>
            <w:r w:rsidRPr="001F7BC0">
              <w:rPr>
                <w:rFonts w:ascii="Arial Narrow" w:hAnsi="Arial Narrow"/>
                <w:sz w:val="20"/>
                <w:szCs w:val="20"/>
              </w:rPr>
              <w:t>Manner of administration and form</w:t>
            </w:r>
          </w:p>
        </w:tc>
        <w:tc>
          <w:tcPr>
            <w:tcW w:w="567" w:type="dxa"/>
            <w:tcBorders>
              <w:top w:val="nil"/>
              <w:left w:val="nil"/>
              <w:bottom w:val="single" w:sz="4" w:space="0" w:color="auto"/>
              <w:right w:val="nil"/>
            </w:tcBorders>
          </w:tcPr>
          <w:p w:rsidR="001F7BC0" w:rsidRPr="001F7BC0" w:rsidRDefault="001F7BC0" w:rsidP="00C671DC">
            <w:pPr>
              <w:keepNext/>
              <w:ind w:left="-108"/>
              <w:rPr>
                <w:rFonts w:ascii="Arial Narrow" w:hAnsi="Arial Narrow"/>
                <w:sz w:val="20"/>
              </w:rPr>
            </w:pPr>
            <w:r w:rsidRPr="001F7BC0">
              <w:rPr>
                <w:rFonts w:ascii="Arial Narrow" w:hAnsi="Arial Narrow"/>
                <w:sz w:val="20"/>
              </w:rPr>
              <w:t>Max.</w:t>
            </w:r>
          </w:p>
          <w:p w:rsidR="001F7BC0" w:rsidRPr="001F7BC0" w:rsidRDefault="001F7BC0" w:rsidP="00C671DC">
            <w:pPr>
              <w:keepNext/>
              <w:ind w:left="-108"/>
              <w:rPr>
                <w:rFonts w:ascii="Arial Narrow" w:hAnsi="Arial Narrow"/>
                <w:sz w:val="20"/>
              </w:rPr>
            </w:pPr>
            <w:r w:rsidRPr="001F7BC0">
              <w:rPr>
                <w:rFonts w:ascii="Arial Narrow" w:hAnsi="Arial Narrow"/>
                <w:sz w:val="20"/>
              </w:rPr>
              <w:t>Qty</w:t>
            </w:r>
          </w:p>
        </w:tc>
        <w:tc>
          <w:tcPr>
            <w:tcW w:w="1134" w:type="dxa"/>
            <w:tcBorders>
              <w:top w:val="nil"/>
              <w:left w:val="nil"/>
              <w:bottom w:val="single" w:sz="4" w:space="0" w:color="auto"/>
              <w:right w:val="nil"/>
            </w:tcBorders>
          </w:tcPr>
          <w:p w:rsidR="001F7BC0" w:rsidRPr="001F7BC0" w:rsidRDefault="001F7BC0" w:rsidP="00C671DC">
            <w:pPr>
              <w:keepNext/>
              <w:ind w:left="-108"/>
              <w:rPr>
                <w:rFonts w:ascii="Arial Narrow" w:hAnsi="Arial Narrow"/>
                <w:sz w:val="20"/>
              </w:rPr>
            </w:pPr>
            <w:r w:rsidRPr="001F7BC0">
              <w:rPr>
                <w:rFonts w:ascii="Arial Narrow" w:hAnsi="Arial Narrow"/>
                <w:sz w:val="20"/>
              </w:rPr>
              <w:t>№.of</w:t>
            </w:r>
          </w:p>
          <w:p w:rsidR="001F7BC0" w:rsidRPr="001F7BC0" w:rsidRDefault="001F7BC0" w:rsidP="00C671DC">
            <w:pPr>
              <w:keepNext/>
              <w:ind w:left="-108"/>
              <w:rPr>
                <w:rFonts w:ascii="Arial Narrow" w:hAnsi="Arial Narrow"/>
                <w:sz w:val="20"/>
              </w:rPr>
            </w:pPr>
            <w:r w:rsidRPr="001F7BC0">
              <w:rPr>
                <w:rFonts w:ascii="Arial Narrow" w:hAnsi="Arial Narrow"/>
                <w:sz w:val="20"/>
              </w:rPr>
              <w:t>Rpts</w:t>
            </w:r>
          </w:p>
        </w:tc>
        <w:tc>
          <w:tcPr>
            <w:tcW w:w="4252" w:type="dxa"/>
            <w:gridSpan w:val="2"/>
            <w:tcBorders>
              <w:top w:val="nil"/>
              <w:left w:val="nil"/>
              <w:bottom w:val="single" w:sz="4" w:space="0" w:color="auto"/>
              <w:right w:val="nil"/>
            </w:tcBorders>
          </w:tcPr>
          <w:p w:rsidR="001F7BC0" w:rsidRPr="001F7BC0" w:rsidRDefault="001F7BC0" w:rsidP="00C671DC">
            <w:pPr>
              <w:keepNext/>
              <w:rPr>
                <w:rFonts w:ascii="Arial Narrow" w:hAnsi="Arial Narrow"/>
                <w:sz w:val="20"/>
                <w:lang w:val="fr-FR"/>
              </w:rPr>
            </w:pPr>
            <w:r w:rsidRPr="001F7BC0">
              <w:rPr>
                <w:rFonts w:ascii="Arial Narrow" w:hAnsi="Arial Narrow"/>
                <w:sz w:val="20"/>
              </w:rPr>
              <w:t>Proprietary Name and Manufacturer</w:t>
            </w:r>
          </w:p>
        </w:tc>
      </w:tr>
      <w:tr w:rsidR="001F7BC0" w:rsidRPr="001F7BC0" w:rsidTr="00091047">
        <w:trPr>
          <w:cantSplit/>
          <w:trHeight w:val="577"/>
        </w:trPr>
        <w:tc>
          <w:tcPr>
            <w:tcW w:w="2552" w:type="dxa"/>
            <w:gridSpan w:val="2"/>
            <w:tcBorders>
              <w:left w:val="nil"/>
              <w:bottom w:val="nil"/>
              <w:right w:val="nil"/>
            </w:tcBorders>
          </w:tcPr>
          <w:p w:rsidR="001F7BC0" w:rsidRPr="001F7BC0" w:rsidRDefault="001F7BC0" w:rsidP="00C671DC">
            <w:pPr>
              <w:keepNext/>
              <w:ind w:left="-108"/>
              <w:rPr>
                <w:rFonts w:ascii="Arial Narrow" w:hAnsi="Arial Narrow"/>
                <w:sz w:val="20"/>
              </w:rPr>
            </w:pPr>
            <w:r>
              <w:rPr>
                <w:rFonts w:ascii="Arial Narrow" w:hAnsi="Arial Narrow"/>
                <w:smallCaps/>
                <w:sz w:val="20"/>
              </w:rPr>
              <w:t>LURASIDONE</w:t>
            </w:r>
          </w:p>
          <w:p w:rsidR="001F7BC0" w:rsidRDefault="001F7BC0" w:rsidP="00C671DC">
            <w:pPr>
              <w:keepNext/>
              <w:ind w:left="-108"/>
              <w:rPr>
                <w:rFonts w:ascii="Arial Narrow" w:hAnsi="Arial Narrow"/>
                <w:sz w:val="20"/>
              </w:rPr>
            </w:pPr>
            <w:r>
              <w:rPr>
                <w:rFonts w:ascii="Arial Narrow" w:hAnsi="Arial Narrow"/>
                <w:sz w:val="20"/>
              </w:rPr>
              <w:t>Tablet, 40mg, 30</w:t>
            </w:r>
          </w:p>
          <w:p w:rsidR="001F7BC0" w:rsidRPr="001F7BC0" w:rsidRDefault="001F7BC0" w:rsidP="00C671DC">
            <w:pPr>
              <w:keepNext/>
              <w:ind w:left="-108"/>
              <w:rPr>
                <w:rFonts w:ascii="Arial Narrow" w:hAnsi="Arial Narrow"/>
                <w:sz w:val="20"/>
              </w:rPr>
            </w:pPr>
            <w:r>
              <w:rPr>
                <w:rFonts w:ascii="Arial Narrow" w:hAnsi="Arial Narrow"/>
                <w:sz w:val="20"/>
              </w:rPr>
              <w:t>Tablet, 80mg, 30</w:t>
            </w:r>
          </w:p>
        </w:tc>
        <w:tc>
          <w:tcPr>
            <w:tcW w:w="567" w:type="dxa"/>
            <w:tcBorders>
              <w:left w:val="nil"/>
              <w:bottom w:val="nil"/>
              <w:right w:val="nil"/>
            </w:tcBorders>
          </w:tcPr>
          <w:p w:rsidR="001F7BC0" w:rsidRPr="001F7BC0" w:rsidRDefault="001F7BC0" w:rsidP="00C671DC">
            <w:pPr>
              <w:keepNext/>
              <w:ind w:left="-108"/>
              <w:rPr>
                <w:rFonts w:ascii="Arial Narrow" w:hAnsi="Arial Narrow"/>
                <w:sz w:val="20"/>
              </w:rPr>
            </w:pPr>
          </w:p>
          <w:p w:rsidR="001F7BC0" w:rsidRPr="001F7BC0" w:rsidRDefault="00091047" w:rsidP="00091047">
            <w:pPr>
              <w:keepNext/>
              <w:ind w:left="-108"/>
              <w:rPr>
                <w:rFonts w:ascii="Arial Narrow" w:hAnsi="Arial Narrow"/>
                <w:sz w:val="20"/>
              </w:rPr>
            </w:pPr>
            <w:r>
              <w:rPr>
                <w:rFonts w:ascii="Arial Narrow" w:hAnsi="Arial Narrow"/>
                <w:sz w:val="20"/>
              </w:rPr>
              <w:t>1</w:t>
            </w:r>
          </w:p>
        </w:tc>
        <w:tc>
          <w:tcPr>
            <w:tcW w:w="1134" w:type="dxa"/>
            <w:tcBorders>
              <w:left w:val="nil"/>
              <w:bottom w:val="nil"/>
              <w:right w:val="nil"/>
            </w:tcBorders>
          </w:tcPr>
          <w:p w:rsidR="00091047" w:rsidRDefault="00091047" w:rsidP="00C671DC">
            <w:pPr>
              <w:keepNext/>
              <w:ind w:left="-108"/>
              <w:rPr>
                <w:rFonts w:ascii="Arial Narrow" w:hAnsi="Arial Narrow"/>
                <w:sz w:val="20"/>
              </w:rPr>
            </w:pPr>
          </w:p>
          <w:p w:rsidR="001F7BC0" w:rsidRPr="001F7BC0" w:rsidRDefault="00091047" w:rsidP="00C671DC">
            <w:pPr>
              <w:keepNext/>
              <w:ind w:left="-108"/>
              <w:rPr>
                <w:rFonts w:ascii="Arial Narrow" w:hAnsi="Arial Narrow"/>
                <w:sz w:val="20"/>
              </w:rPr>
            </w:pPr>
            <w:r>
              <w:rPr>
                <w:rFonts w:ascii="Arial Narrow" w:hAnsi="Arial Narrow"/>
                <w:sz w:val="20"/>
              </w:rPr>
              <w:t>5</w:t>
            </w:r>
          </w:p>
        </w:tc>
        <w:tc>
          <w:tcPr>
            <w:tcW w:w="2126" w:type="dxa"/>
            <w:tcBorders>
              <w:left w:val="nil"/>
              <w:bottom w:val="nil"/>
              <w:right w:val="nil"/>
            </w:tcBorders>
          </w:tcPr>
          <w:p w:rsidR="00091047" w:rsidRDefault="00091047" w:rsidP="00C671DC">
            <w:pPr>
              <w:keepNext/>
              <w:rPr>
                <w:rFonts w:ascii="Arial Narrow" w:hAnsi="Arial Narrow"/>
                <w:sz w:val="20"/>
              </w:rPr>
            </w:pPr>
          </w:p>
          <w:p w:rsidR="001F7BC0" w:rsidRPr="001F7BC0" w:rsidRDefault="00091047" w:rsidP="00C671DC">
            <w:pPr>
              <w:keepNext/>
              <w:rPr>
                <w:rFonts w:ascii="Arial Narrow" w:hAnsi="Arial Narrow"/>
                <w:sz w:val="20"/>
              </w:rPr>
            </w:pPr>
            <w:r>
              <w:rPr>
                <w:rFonts w:ascii="Arial Narrow" w:hAnsi="Arial Narrow"/>
                <w:sz w:val="20"/>
              </w:rPr>
              <w:t>Latuda</w:t>
            </w:r>
            <w:r w:rsidRPr="00091047">
              <w:rPr>
                <w:rFonts w:ascii="Arial Narrow" w:hAnsi="Arial Narrow"/>
                <w:sz w:val="20"/>
                <w:vertAlign w:val="superscript"/>
              </w:rPr>
              <w:t>®</w:t>
            </w:r>
          </w:p>
        </w:tc>
        <w:tc>
          <w:tcPr>
            <w:tcW w:w="2126" w:type="dxa"/>
            <w:tcBorders>
              <w:left w:val="nil"/>
              <w:bottom w:val="nil"/>
              <w:right w:val="nil"/>
            </w:tcBorders>
          </w:tcPr>
          <w:p w:rsidR="001F7BC0" w:rsidRPr="001F7BC0" w:rsidRDefault="00091047" w:rsidP="00C671DC">
            <w:pPr>
              <w:keepNext/>
              <w:rPr>
                <w:rFonts w:ascii="Arial Narrow" w:hAnsi="Arial Narrow"/>
                <w:sz w:val="20"/>
              </w:rPr>
            </w:pPr>
            <w:r>
              <w:rPr>
                <w:rFonts w:ascii="Arial Narrow" w:hAnsi="Arial Narrow"/>
                <w:sz w:val="20"/>
              </w:rPr>
              <w:t>Dainippon Sumitomo Pharma Ltd</w:t>
            </w:r>
          </w:p>
        </w:tc>
      </w:tr>
      <w:tr w:rsidR="001F7BC0" w:rsidRPr="001F7BC0" w:rsidTr="00091047">
        <w:trPr>
          <w:cantSplit/>
          <w:trHeight w:val="360"/>
        </w:trPr>
        <w:tc>
          <w:tcPr>
            <w:tcW w:w="8505" w:type="dxa"/>
            <w:gridSpan w:val="6"/>
            <w:tcBorders>
              <w:top w:val="nil"/>
              <w:left w:val="nil"/>
              <w:bottom w:val="single" w:sz="4" w:space="0" w:color="auto"/>
              <w:right w:val="nil"/>
            </w:tcBorders>
          </w:tcPr>
          <w:p w:rsidR="001F7BC0" w:rsidRPr="001F7BC0" w:rsidRDefault="001F7BC0" w:rsidP="00C671DC">
            <w:pPr>
              <w:rPr>
                <w:rFonts w:ascii="Arial Narrow" w:hAnsi="Arial Narrow"/>
                <w:sz w:val="20"/>
              </w:rPr>
            </w:pPr>
          </w:p>
        </w:tc>
      </w:tr>
      <w:tr w:rsidR="001F7BC0" w:rsidRPr="001F7BC0" w:rsidTr="00091047">
        <w:trPr>
          <w:cantSplit/>
          <w:trHeight w:val="360"/>
        </w:trPr>
        <w:tc>
          <w:tcPr>
            <w:tcW w:w="2126" w:type="dxa"/>
            <w:tcBorders>
              <w:top w:val="single" w:sz="4" w:space="0" w:color="auto"/>
            </w:tcBorders>
          </w:tcPr>
          <w:p w:rsidR="001F7BC0" w:rsidRPr="001F7BC0" w:rsidRDefault="001F7BC0" w:rsidP="00C671DC">
            <w:pPr>
              <w:rPr>
                <w:rFonts w:ascii="Arial Narrow" w:hAnsi="Arial Narrow"/>
                <w:b/>
                <w:sz w:val="20"/>
              </w:rPr>
            </w:pPr>
            <w:r w:rsidRPr="001F7BC0">
              <w:rPr>
                <w:rFonts w:ascii="Arial Narrow" w:hAnsi="Arial Narrow"/>
                <w:b/>
                <w:sz w:val="20"/>
              </w:rPr>
              <w:t xml:space="preserve">Category / </w:t>
            </w:r>
          </w:p>
          <w:p w:rsidR="001F7BC0" w:rsidRPr="001F7BC0" w:rsidRDefault="001F7BC0" w:rsidP="00C671DC">
            <w:pPr>
              <w:rPr>
                <w:rFonts w:ascii="Arial Narrow" w:hAnsi="Arial Narrow"/>
                <w:b/>
                <w:sz w:val="20"/>
              </w:rPr>
            </w:pPr>
            <w:r w:rsidRPr="001F7BC0">
              <w:rPr>
                <w:rFonts w:ascii="Arial Narrow" w:hAnsi="Arial Narrow"/>
                <w:b/>
                <w:sz w:val="20"/>
              </w:rPr>
              <w:t>Program</w:t>
            </w:r>
          </w:p>
        </w:tc>
        <w:tc>
          <w:tcPr>
            <w:tcW w:w="6379" w:type="dxa"/>
            <w:gridSpan w:val="5"/>
            <w:tcBorders>
              <w:top w:val="single" w:sz="4" w:space="0" w:color="auto"/>
            </w:tcBorders>
          </w:tcPr>
          <w:p w:rsidR="001F7BC0" w:rsidRPr="001F7BC0" w:rsidRDefault="001F7BC0" w:rsidP="00C671DC">
            <w:pPr>
              <w:rPr>
                <w:rFonts w:ascii="Arial Narrow" w:hAnsi="Arial Narrow"/>
                <w:sz w:val="20"/>
              </w:rPr>
            </w:pPr>
            <w:r w:rsidRPr="001F7BC0">
              <w:rPr>
                <w:rFonts w:ascii="Arial Narrow" w:hAnsi="Arial Narrow"/>
                <w:sz w:val="20"/>
              </w:rPr>
              <w:t xml:space="preserve">GENERAL – General Schedule </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Prescriber type:</w:t>
            </w:r>
          </w:p>
          <w:p w:rsidR="001F7BC0" w:rsidRPr="001F7BC0" w:rsidRDefault="001F7BC0" w:rsidP="00C671DC">
            <w:pPr>
              <w:rPr>
                <w:rFonts w:ascii="Arial Narrow" w:hAnsi="Arial Narrow"/>
                <w:b/>
                <w:sz w:val="20"/>
              </w:rPr>
            </w:pPr>
          </w:p>
        </w:tc>
        <w:tc>
          <w:tcPr>
            <w:tcW w:w="6379" w:type="dxa"/>
            <w:gridSpan w:val="5"/>
          </w:tcPr>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Check1"/>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 xml:space="preserve">Dental  </w:t>
            </w:r>
            <w:r w:rsidR="00091047">
              <w:rPr>
                <w:rFonts w:ascii="Arial Narrow" w:hAnsi="Arial Narrow"/>
                <w:sz w:val="20"/>
              </w:rPr>
              <w:fldChar w:fldCharType="begin">
                <w:ffData>
                  <w:name w:val=""/>
                  <w:enabled/>
                  <w:calcOnExit w:val="0"/>
                  <w:checkBox>
                    <w:sizeAuto/>
                    <w:default w:val="1"/>
                  </w:checkBox>
                </w:ffData>
              </w:fldChar>
            </w:r>
            <w:r w:rsidR="00091047">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00091047">
              <w:rPr>
                <w:rFonts w:ascii="Arial Narrow" w:hAnsi="Arial Narrow"/>
                <w:sz w:val="20"/>
              </w:rPr>
              <w:fldChar w:fldCharType="end"/>
            </w:r>
            <w:r w:rsidRPr="001F7BC0">
              <w:rPr>
                <w:rFonts w:ascii="Arial Narrow" w:hAnsi="Arial Narrow"/>
                <w:sz w:val="20"/>
              </w:rPr>
              <w:t xml:space="preserve">Medical Practitioners  </w:t>
            </w:r>
            <w:r w:rsidR="00091047">
              <w:rPr>
                <w:rFonts w:ascii="Arial Narrow" w:hAnsi="Arial Narrow"/>
                <w:sz w:val="20"/>
              </w:rPr>
              <w:fldChar w:fldCharType="begin">
                <w:ffData>
                  <w:name w:val=""/>
                  <w:enabled/>
                  <w:calcOnExit w:val="0"/>
                  <w:checkBox>
                    <w:sizeAuto/>
                    <w:default w:val="1"/>
                  </w:checkBox>
                </w:ffData>
              </w:fldChar>
            </w:r>
            <w:r w:rsidR="00091047">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00091047">
              <w:rPr>
                <w:rFonts w:ascii="Arial Narrow" w:hAnsi="Arial Narrow"/>
                <w:sz w:val="20"/>
              </w:rPr>
              <w:fldChar w:fldCharType="end"/>
            </w:r>
            <w:r w:rsidRPr="001F7BC0">
              <w:rPr>
                <w:rFonts w:ascii="Arial Narrow" w:hAnsi="Arial Narrow"/>
                <w:sz w:val="20"/>
              </w:rPr>
              <w:t xml:space="preserve">Nurse practitioners  </w:t>
            </w:r>
            <w:r w:rsidRPr="001F7BC0">
              <w:rPr>
                <w:rFonts w:ascii="Arial Narrow" w:hAnsi="Arial Narrow"/>
                <w:sz w:val="20"/>
              </w:rPr>
              <w:fldChar w:fldCharType="begin">
                <w:ffData>
                  <w:name w:val=""/>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Optometrists</w:t>
            </w:r>
          </w:p>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Check5"/>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Midwives</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Episodicity:</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Severity:</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Condition:</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Schizophrenia</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PBS Indication:</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Schizophrenia</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Treatment phase:</w:t>
            </w:r>
          </w:p>
          <w:p w:rsidR="001F7BC0" w:rsidRPr="001F7BC0" w:rsidRDefault="001F7BC0" w:rsidP="00C671DC">
            <w:pPr>
              <w:rPr>
                <w:rFonts w:ascii="Arial Narrow" w:hAnsi="Arial Narrow"/>
                <w:i/>
                <w:sz w:val="20"/>
              </w:rPr>
            </w:pP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Restriction Level / Method:</w:t>
            </w:r>
          </w:p>
          <w:p w:rsidR="001F7BC0" w:rsidRPr="001F7BC0" w:rsidRDefault="001F7BC0" w:rsidP="00C671DC">
            <w:pPr>
              <w:rPr>
                <w:rFonts w:ascii="Arial Narrow" w:hAnsi="Arial Narrow"/>
                <w:i/>
                <w:sz w:val="20"/>
                <w:highlight w:val="yellow"/>
              </w:rPr>
            </w:pPr>
          </w:p>
          <w:p w:rsidR="001F7BC0" w:rsidRPr="001F7BC0" w:rsidRDefault="001F7BC0" w:rsidP="00C671DC">
            <w:pPr>
              <w:rPr>
                <w:rFonts w:ascii="Arial Narrow" w:hAnsi="Arial Narrow"/>
                <w:i/>
                <w:sz w:val="20"/>
              </w:rPr>
            </w:pPr>
          </w:p>
        </w:tc>
        <w:tc>
          <w:tcPr>
            <w:tcW w:w="6379" w:type="dxa"/>
            <w:gridSpan w:val="5"/>
          </w:tcPr>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Check1"/>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Restricted benefit</w:t>
            </w:r>
          </w:p>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Authority Required - In Writing</w:t>
            </w:r>
          </w:p>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Check3"/>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Authority Required - Telephone</w:t>
            </w:r>
          </w:p>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Authority Required – Emergency</w:t>
            </w:r>
          </w:p>
          <w:p w:rsidR="001F7BC0" w:rsidRPr="001F7BC0" w:rsidRDefault="001F7BC0" w:rsidP="00C671DC">
            <w:pPr>
              <w:rPr>
                <w:rFonts w:ascii="Arial Narrow" w:hAnsi="Arial Narrow"/>
                <w:sz w:val="20"/>
              </w:rPr>
            </w:pPr>
            <w:r w:rsidRPr="001F7BC0">
              <w:rPr>
                <w:rFonts w:ascii="Arial Narrow" w:hAnsi="Arial Narrow"/>
                <w:sz w:val="20"/>
              </w:rPr>
              <w:fldChar w:fldCharType="begin">
                <w:ffData>
                  <w:name w:val="Check5"/>
                  <w:enabled/>
                  <w:calcOnExit w:val="0"/>
                  <w:checkBox>
                    <w:sizeAuto/>
                    <w:default w:val="0"/>
                  </w:checkBox>
                </w:ffData>
              </w:fldChar>
            </w:r>
            <w:r w:rsidRPr="001F7BC0">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sidRPr="001F7BC0">
              <w:rPr>
                <w:rFonts w:ascii="Arial Narrow" w:hAnsi="Arial Narrow"/>
                <w:sz w:val="20"/>
              </w:rPr>
              <w:fldChar w:fldCharType="end"/>
            </w:r>
            <w:r w:rsidRPr="001F7BC0">
              <w:rPr>
                <w:rFonts w:ascii="Arial Narrow" w:hAnsi="Arial Narrow"/>
                <w:sz w:val="20"/>
              </w:rPr>
              <w:t>Authority Required - Electronic</w:t>
            </w:r>
          </w:p>
          <w:p w:rsidR="001F7BC0" w:rsidRPr="001F7BC0" w:rsidRDefault="00091047" w:rsidP="00C671D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06407">
              <w:rPr>
                <w:rFonts w:ascii="Arial Narrow" w:hAnsi="Arial Narrow"/>
                <w:sz w:val="20"/>
              </w:rPr>
            </w:r>
            <w:r w:rsidR="00606407">
              <w:rPr>
                <w:rFonts w:ascii="Arial Narrow" w:hAnsi="Arial Narrow"/>
                <w:sz w:val="20"/>
              </w:rPr>
              <w:fldChar w:fldCharType="separate"/>
            </w:r>
            <w:r>
              <w:rPr>
                <w:rFonts w:ascii="Arial Narrow" w:hAnsi="Arial Narrow"/>
                <w:sz w:val="20"/>
              </w:rPr>
              <w:fldChar w:fldCharType="end"/>
            </w:r>
            <w:r w:rsidR="001F7BC0" w:rsidRPr="001F7BC0">
              <w:rPr>
                <w:rFonts w:ascii="Arial Narrow" w:hAnsi="Arial Narrow"/>
                <w:sz w:val="20"/>
              </w:rPr>
              <w:t>Streamlined</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Treatment criteria:</w:t>
            </w:r>
          </w:p>
        </w:tc>
        <w:tc>
          <w:tcPr>
            <w:tcW w:w="6379" w:type="dxa"/>
            <w:gridSpan w:val="5"/>
          </w:tcPr>
          <w:p w:rsidR="001F7BC0" w:rsidRPr="001F7BC0" w:rsidRDefault="00091047" w:rsidP="00091047">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Clinical criteria:</w:t>
            </w:r>
          </w:p>
        </w:tc>
        <w:tc>
          <w:tcPr>
            <w:tcW w:w="6379" w:type="dxa"/>
            <w:gridSpan w:val="5"/>
          </w:tcPr>
          <w:p w:rsidR="001F7BC0" w:rsidRPr="001F7BC0" w:rsidRDefault="00091047" w:rsidP="00091047">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Population criteria:</w:t>
            </w:r>
          </w:p>
        </w:tc>
        <w:tc>
          <w:tcPr>
            <w:tcW w:w="6379" w:type="dxa"/>
            <w:gridSpan w:val="5"/>
          </w:tcPr>
          <w:p w:rsidR="001F7BC0" w:rsidRPr="001F7BC0" w:rsidRDefault="00091047" w:rsidP="00091047">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Foreword</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Definitions</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091047" w:rsidRDefault="001F7BC0" w:rsidP="00091047">
            <w:pPr>
              <w:rPr>
                <w:rFonts w:ascii="Arial Narrow" w:hAnsi="Arial Narrow"/>
                <w:b/>
                <w:sz w:val="20"/>
              </w:rPr>
            </w:pPr>
            <w:r w:rsidRPr="001F7BC0">
              <w:rPr>
                <w:rFonts w:ascii="Arial Narrow" w:hAnsi="Arial Narrow"/>
                <w:b/>
                <w:sz w:val="20"/>
              </w:rPr>
              <w:t>Prescriber Instructions</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r w:rsidR="001F7BC0" w:rsidRPr="001F7BC0" w:rsidTr="001F7BC0">
        <w:trPr>
          <w:cantSplit/>
          <w:trHeight w:val="360"/>
        </w:trPr>
        <w:tc>
          <w:tcPr>
            <w:tcW w:w="2126" w:type="dxa"/>
          </w:tcPr>
          <w:p w:rsidR="001F7BC0" w:rsidRPr="001F7BC0" w:rsidRDefault="001F7BC0" w:rsidP="00C671DC">
            <w:pPr>
              <w:rPr>
                <w:rFonts w:ascii="Arial Narrow" w:hAnsi="Arial Narrow"/>
                <w:b/>
                <w:sz w:val="20"/>
              </w:rPr>
            </w:pPr>
            <w:r w:rsidRPr="001F7BC0">
              <w:rPr>
                <w:rFonts w:ascii="Arial Narrow" w:hAnsi="Arial Narrow"/>
                <w:b/>
                <w:sz w:val="20"/>
              </w:rPr>
              <w:t>Administrative Advice</w:t>
            </w:r>
          </w:p>
          <w:p w:rsidR="001F7BC0" w:rsidRPr="001F7BC0" w:rsidRDefault="001F7BC0" w:rsidP="00091047">
            <w:pPr>
              <w:rPr>
                <w:rFonts w:ascii="Arial Narrow" w:hAnsi="Arial Narrow"/>
                <w:i/>
                <w:sz w:val="20"/>
              </w:rPr>
            </w:pPr>
          </w:p>
        </w:tc>
        <w:tc>
          <w:tcPr>
            <w:tcW w:w="6379" w:type="dxa"/>
            <w:gridSpan w:val="5"/>
          </w:tcPr>
          <w:p w:rsidR="001F7BC0" w:rsidRDefault="00091047" w:rsidP="00C671DC">
            <w:pPr>
              <w:rPr>
                <w:rFonts w:ascii="Arial Narrow" w:hAnsi="Arial Narrow"/>
                <w:sz w:val="20"/>
              </w:rPr>
            </w:pPr>
            <w:r>
              <w:rPr>
                <w:rFonts w:ascii="Arial Narrow" w:hAnsi="Arial Narrow"/>
                <w:sz w:val="20"/>
              </w:rPr>
              <w:t xml:space="preserve">Shared care model: </w:t>
            </w:r>
          </w:p>
          <w:p w:rsidR="00091047" w:rsidRPr="001F7BC0" w:rsidRDefault="00091047" w:rsidP="00C671DC">
            <w:pPr>
              <w:rPr>
                <w:rFonts w:ascii="Arial Narrow" w:hAnsi="Arial Narrow"/>
                <w:sz w:val="20"/>
              </w:rPr>
            </w:pPr>
            <w:r>
              <w:rPr>
                <w:rFonts w:ascii="Arial Narrow" w:hAnsi="Arial Narrow"/>
                <w:sz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tc>
      </w:tr>
      <w:tr w:rsidR="001F7BC0" w:rsidRPr="001F7BC0" w:rsidTr="001F7BC0">
        <w:trPr>
          <w:cantSplit/>
          <w:trHeight w:val="360"/>
        </w:trPr>
        <w:tc>
          <w:tcPr>
            <w:tcW w:w="2126" w:type="dxa"/>
          </w:tcPr>
          <w:p w:rsidR="001F7BC0" w:rsidRPr="00091047" w:rsidRDefault="001F7BC0" w:rsidP="00C671DC">
            <w:pPr>
              <w:rPr>
                <w:rFonts w:ascii="Arial Narrow" w:hAnsi="Arial Narrow"/>
                <w:b/>
                <w:sz w:val="20"/>
              </w:rPr>
            </w:pPr>
            <w:r w:rsidRPr="001F7BC0">
              <w:rPr>
                <w:rFonts w:ascii="Arial Narrow" w:hAnsi="Arial Narrow"/>
                <w:b/>
                <w:sz w:val="20"/>
              </w:rPr>
              <w:t>Cautions</w:t>
            </w:r>
          </w:p>
        </w:tc>
        <w:tc>
          <w:tcPr>
            <w:tcW w:w="6379" w:type="dxa"/>
            <w:gridSpan w:val="5"/>
          </w:tcPr>
          <w:p w:rsidR="001F7BC0" w:rsidRPr="001F7BC0" w:rsidRDefault="00091047" w:rsidP="00C671DC">
            <w:pPr>
              <w:rPr>
                <w:rFonts w:ascii="Arial Narrow" w:hAnsi="Arial Narrow"/>
                <w:sz w:val="20"/>
              </w:rPr>
            </w:pPr>
            <w:r>
              <w:rPr>
                <w:rFonts w:ascii="Arial Narrow" w:hAnsi="Arial Narrow"/>
                <w:sz w:val="20"/>
              </w:rPr>
              <w:t>-</w:t>
            </w:r>
          </w:p>
        </w:tc>
      </w:tr>
    </w:tbl>
    <w:p w:rsidR="00BA0D8A" w:rsidRPr="006D6EC7" w:rsidRDefault="00BA0D8A" w:rsidP="00C06F60">
      <w:pPr>
        <w:rPr>
          <w:rFonts w:ascii="Calibri" w:hAnsi="Calibri" w:cs="Calibri"/>
        </w:rPr>
      </w:pPr>
    </w:p>
    <w:p w:rsidR="00660E4E" w:rsidRPr="00D4207D" w:rsidRDefault="00660E4E" w:rsidP="00660E4E">
      <w:pPr>
        <w:pStyle w:val="PBACHeading10"/>
        <w:numPr>
          <w:ilvl w:val="0"/>
          <w:numId w:val="3"/>
        </w:numPr>
      </w:pPr>
      <w:r w:rsidRPr="00D4207D">
        <w:t>Context for Decision</w:t>
      </w:r>
    </w:p>
    <w:p w:rsidR="00660E4E" w:rsidRPr="00D4420F" w:rsidRDefault="00660E4E" w:rsidP="00660E4E">
      <w:pPr>
        <w:pStyle w:val="ListParagraph"/>
        <w:rPr>
          <w:b/>
        </w:rPr>
      </w:pPr>
    </w:p>
    <w:p w:rsidR="00660E4E" w:rsidRPr="00D4207D" w:rsidRDefault="00660E4E" w:rsidP="00660E4E">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60E4E" w:rsidRDefault="00660E4E" w:rsidP="00660E4E"/>
    <w:p w:rsidR="00D93B35" w:rsidRDefault="00D93B35" w:rsidP="00660E4E"/>
    <w:p w:rsidR="00D93B35" w:rsidRPr="00D4420F" w:rsidRDefault="00D93B35" w:rsidP="00660E4E"/>
    <w:p w:rsidR="00660E4E" w:rsidRPr="00D4207D" w:rsidRDefault="00660E4E" w:rsidP="00660E4E">
      <w:pPr>
        <w:pStyle w:val="PBACHeading10"/>
        <w:numPr>
          <w:ilvl w:val="0"/>
          <w:numId w:val="3"/>
        </w:numPr>
      </w:pPr>
      <w:r w:rsidRPr="00D4207D">
        <w:lastRenderedPageBreak/>
        <w:t>Sponsor’s Comment</w:t>
      </w:r>
    </w:p>
    <w:p w:rsidR="00660E4E" w:rsidRDefault="00660E4E" w:rsidP="00660E4E">
      <w:pPr>
        <w:ind w:left="720"/>
        <w:rPr>
          <w:b/>
          <w:bCs/>
          <w:szCs w:val="22"/>
        </w:rPr>
      </w:pPr>
    </w:p>
    <w:p w:rsidR="00281A34" w:rsidRDefault="00734AE9" w:rsidP="00734AE9">
      <w:pPr>
        <w:widowControl/>
        <w:ind w:left="720"/>
        <w:rPr>
          <w:szCs w:val="22"/>
        </w:rPr>
      </w:pPr>
      <w:r>
        <w:rPr>
          <w:szCs w:val="22"/>
        </w:rPr>
        <w:t xml:space="preserve">The Sponsor had no comment. </w:t>
      </w:r>
    </w:p>
    <w:sectPr w:rsidR="00281A34" w:rsidSect="00FA775F">
      <w:pgSz w:w="11906" w:h="16838"/>
      <w:pgMar w:top="1440" w:right="1440" w:bottom="1440" w:left="1440" w:header="1440" w:footer="144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07" w:rsidRDefault="00606407" w:rsidP="00124A51">
      <w:r>
        <w:separator/>
      </w:r>
    </w:p>
  </w:endnote>
  <w:endnote w:type="continuationSeparator" w:id="0">
    <w:p w:rsidR="00606407" w:rsidRDefault="0060640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203096"/>
      <w:docPartObj>
        <w:docPartGallery w:val="Page Numbers (Bottom of Page)"/>
        <w:docPartUnique/>
      </w:docPartObj>
    </w:sdtPr>
    <w:sdtEndPr>
      <w:rPr>
        <w:noProof/>
      </w:rPr>
    </w:sdtEndPr>
    <w:sdtContent>
      <w:p w:rsidR="00606407" w:rsidRDefault="00606407" w:rsidP="00281A34">
        <w:pPr>
          <w:pStyle w:val="Footer"/>
          <w:jc w:val="center"/>
        </w:pPr>
        <w:r>
          <w:fldChar w:fldCharType="begin"/>
        </w:r>
        <w:r>
          <w:instrText xml:space="preserve"> PAGE   \* MERGEFORMAT </w:instrText>
        </w:r>
        <w:r>
          <w:fldChar w:fldCharType="separate"/>
        </w:r>
        <w:r w:rsidR="000D2801">
          <w:rPr>
            <w:noProof/>
          </w:rPr>
          <w:t>1</w:t>
        </w:r>
        <w:r>
          <w:rPr>
            <w:noProof/>
          </w:rPr>
          <w:fldChar w:fldCharType="end"/>
        </w:r>
      </w:p>
    </w:sdtContent>
  </w:sdt>
  <w:p w:rsidR="00606407" w:rsidRDefault="00606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07" w:rsidRDefault="00606407" w:rsidP="00124A51">
      <w:r>
        <w:separator/>
      </w:r>
    </w:p>
  </w:footnote>
  <w:footnote w:type="continuationSeparator" w:id="0">
    <w:p w:rsidR="00606407" w:rsidRDefault="0060640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407" w:rsidRDefault="00606407" w:rsidP="00281A34">
    <w:pPr>
      <w:pStyle w:val="Header"/>
      <w:ind w:left="360"/>
      <w:jc w:val="center"/>
      <w:rPr>
        <w:i/>
        <w:color w:val="808080"/>
      </w:rPr>
    </w:pPr>
    <w:r>
      <w:rPr>
        <w:i/>
        <w:color w:val="808080"/>
      </w:rPr>
      <w:t>Public Summary Document – March 2015 PBAC Meeting</w:t>
    </w:r>
  </w:p>
  <w:p w:rsidR="00606407" w:rsidRDefault="00606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3">
    <w:nsid w:val="50CB5553"/>
    <w:multiLevelType w:val="hybridMultilevel"/>
    <w:tmpl w:val="95EC09B8"/>
    <w:lvl w:ilvl="0" w:tplc="BB84649E">
      <w:numFmt w:val="bullet"/>
      <w:lvlText w:val="•"/>
      <w:lvlJc w:val="left"/>
      <w:pPr>
        <w:ind w:left="360" w:hanging="360"/>
      </w:pPr>
      <w:rPr>
        <w:rFonts w:ascii="Arial Narrow" w:eastAsia="Times New Roman" w:hAnsi="Arial Narrow" w:cs="Aria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784D033C"/>
    <w:multiLevelType w:val="multilevel"/>
    <w:tmpl w:val="BEC6620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10624"/>
    <w:rsid w:val="00010986"/>
    <w:rsid w:val="00013247"/>
    <w:rsid w:val="00015886"/>
    <w:rsid w:val="000162EF"/>
    <w:rsid w:val="00021E49"/>
    <w:rsid w:val="00021F69"/>
    <w:rsid w:val="0002225F"/>
    <w:rsid w:val="00023763"/>
    <w:rsid w:val="00025E93"/>
    <w:rsid w:val="00026339"/>
    <w:rsid w:val="00026F17"/>
    <w:rsid w:val="0003047C"/>
    <w:rsid w:val="0003239A"/>
    <w:rsid w:val="00040895"/>
    <w:rsid w:val="00041946"/>
    <w:rsid w:val="0004231D"/>
    <w:rsid w:val="0004306D"/>
    <w:rsid w:val="00043C37"/>
    <w:rsid w:val="000463FF"/>
    <w:rsid w:val="00050137"/>
    <w:rsid w:val="00052AFB"/>
    <w:rsid w:val="0005468A"/>
    <w:rsid w:val="000546D7"/>
    <w:rsid w:val="0005717A"/>
    <w:rsid w:val="00060F62"/>
    <w:rsid w:val="00061CA5"/>
    <w:rsid w:val="00062B01"/>
    <w:rsid w:val="00065EFB"/>
    <w:rsid w:val="00066B5E"/>
    <w:rsid w:val="00071248"/>
    <w:rsid w:val="000720B9"/>
    <w:rsid w:val="00074C8F"/>
    <w:rsid w:val="000812CA"/>
    <w:rsid w:val="00082D67"/>
    <w:rsid w:val="000833FE"/>
    <w:rsid w:val="0008556F"/>
    <w:rsid w:val="00090C7E"/>
    <w:rsid w:val="00091047"/>
    <w:rsid w:val="00092F99"/>
    <w:rsid w:val="00096E60"/>
    <w:rsid w:val="000A1C2E"/>
    <w:rsid w:val="000A2834"/>
    <w:rsid w:val="000A4749"/>
    <w:rsid w:val="000A6A9D"/>
    <w:rsid w:val="000A7864"/>
    <w:rsid w:val="000B227D"/>
    <w:rsid w:val="000B2AE5"/>
    <w:rsid w:val="000B3B6E"/>
    <w:rsid w:val="000B43A7"/>
    <w:rsid w:val="000B6EB2"/>
    <w:rsid w:val="000B7B83"/>
    <w:rsid w:val="000C011B"/>
    <w:rsid w:val="000C150D"/>
    <w:rsid w:val="000C2B52"/>
    <w:rsid w:val="000C4D4A"/>
    <w:rsid w:val="000D1BFC"/>
    <w:rsid w:val="000D2801"/>
    <w:rsid w:val="000D3040"/>
    <w:rsid w:val="000D3A15"/>
    <w:rsid w:val="000D5D2D"/>
    <w:rsid w:val="000E0D6E"/>
    <w:rsid w:val="000E0FAF"/>
    <w:rsid w:val="000E25BE"/>
    <w:rsid w:val="000E391C"/>
    <w:rsid w:val="000F00C3"/>
    <w:rsid w:val="000F14E6"/>
    <w:rsid w:val="000F2C85"/>
    <w:rsid w:val="00100F8A"/>
    <w:rsid w:val="00101F71"/>
    <w:rsid w:val="0010234F"/>
    <w:rsid w:val="00102FF0"/>
    <w:rsid w:val="0010565C"/>
    <w:rsid w:val="00107AF0"/>
    <w:rsid w:val="0011032E"/>
    <w:rsid w:val="001109D9"/>
    <w:rsid w:val="0011203A"/>
    <w:rsid w:val="00112FC7"/>
    <w:rsid w:val="00120521"/>
    <w:rsid w:val="00120C43"/>
    <w:rsid w:val="00121799"/>
    <w:rsid w:val="001222FC"/>
    <w:rsid w:val="00124A51"/>
    <w:rsid w:val="00125093"/>
    <w:rsid w:val="00125A6F"/>
    <w:rsid w:val="00126621"/>
    <w:rsid w:val="001301E9"/>
    <w:rsid w:val="00132F99"/>
    <w:rsid w:val="001341EE"/>
    <w:rsid w:val="001342B0"/>
    <w:rsid w:val="001369A6"/>
    <w:rsid w:val="00137645"/>
    <w:rsid w:val="00137737"/>
    <w:rsid w:val="001379D8"/>
    <w:rsid w:val="0014015A"/>
    <w:rsid w:val="00140E99"/>
    <w:rsid w:val="00141FBD"/>
    <w:rsid w:val="00143416"/>
    <w:rsid w:val="001456B0"/>
    <w:rsid w:val="00146494"/>
    <w:rsid w:val="00152F61"/>
    <w:rsid w:val="00154C2B"/>
    <w:rsid w:val="0015543A"/>
    <w:rsid w:val="00156007"/>
    <w:rsid w:val="00157130"/>
    <w:rsid w:val="00157C6F"/>
    <w:rsid w:val="0016167B"/>
    <w:rsid w:val="001623B7"/>
    <w:rsid w:val="00162913"/>
    <w:rsid w:val="00163EFF"/>
    <w:rsid w:val="00165657"/>
    <w:rsid w:val="001661FB"/>
    <w:rsid w:val="00170565"/>
    <w:rsid w:val="001722D9"/>
    <w:rsid w:val="001756CB"/>
    <w:rsid w:val="0017790B"/>
    <w:rsid w:val="00182A46"/>
    <w:rsid w:val="00182BEE"/>
    <w:rsid w:val="00182FE0"/>
    <w:rsid w:val="001838B2"/>
    <w:rsid w:val="00190101"/>
    <w:rsid w:val="0019153C"/>
    <w:rsid w:val="00191D4C"/>
    <w:rsid w:val="0019278F"/>
    <w:rsid w:val="0019404C"/>
    <w:rsid w:val="001942E4"/>
    <w:rsid w:val="00194A9F"/>
    <w:rsid w:val="00195222"/>
    <w:rsid w:val="001971A6"/>
    <w:rsid w:val="001975D8"/>
    <w:rsid w:val="0019780E"/>
    <w:rsid w:val="001A0FF2"/>
    <w:rsid w:val="001A1CA6"/>
    <w:rsid w:val="001A71BB"/>
    <w:rsid w:val="001A7E02"/>
    <w:rsid w:val="001A7EE8"/>
    <w:rsid w:val="001B0BD7"/>
    <w:rsid w:val="001B2D68"/>
    <w:rsid w:val="001B3443"/>
    <w:rsid w:val="001B5030"/>
    <w:rsid w:val="001B550F"/>
    <w:rsid w:val="001B6188"/>
    <w:rsid w:val="001B6FD5"/>
    <w:rsid w:val="001B74B3"/>
    <w:rsid w:val="001C1030"/>
    <w:rsid w:val="001C13F6"/>
    <w:rsid w:val="001C1B01"/>
    <w:rsid w:val="001C29BA"/>
    <w:rsid w:val="001C5F82"/>
    <w:rsid w:val="001C6E54"/>
    <w:rsid w:val="001C6E66"/>
    <w:rsid w:val="001C7FF4"/>
    <w:rsid w:val="001D112E"/>
    <w:rsid w:val="001D18EB"/>
    <w:rsid w:val="001D2732"/>
    <w:rsid w:val="001D4DE8"/>
    <w:rsid w:val="001D5279"/>
    <w:rsid w:val="001D5CE1"/>
    <w:rsid w:val="001E0873"/>
    <w:rsid w:val="001E1586"/>
    <w:rsid w:val="001E238E"/>
    <w:rsid w:val="001E3950"/>
    <w:rsid w:val="001E3C70"/>
    <w:rsid w:val="001E52EB"/>
    <w:rsid w:val="001E62D1"/>
    <w:rsid w:val="001E740C"/>
    <w:rsid w:val="001F1235"/>
    <w:rsid w:val="001F1CB3"/>
    <w:rsid w:val="001F302B"/>
    <w:rsid w:val="001F4ADE"/>
    <w:rsid w:val="001F4C64"/>
    <w:rsid w:val="001F7361"/>
    <w:rsid w:val="001F7BC0"/>
    <w:rsid w:val="00200C0E"/>
    <w:rsid w:val="002025FE"/>
    <w:rsid w:val="00202B9A"/>
    <w:rsid w:val="00203EB0"/>
    <w:rsid w:val="00205C8B"/>
    <w:rsid w:val="002105C1"/>
    <w:rsid w:val="00210BCB"/>
    <w:rsid w:val="00223B49"/>
    <w:rsid w:val="00224B21"/>
    <w:rsid w:val="00224DD4"/>
    <w:rsid w:val="00226491"/>
    <w:rsid w:val="002273C8"/>
    <w:rsid w:val="002309CC"/>
    <w:rsid w:val="00234276"/>
    <w:rsid w:val="00237D67"/>
    <w:rsid w:val="0024053B"/>
    <w:rsid w:val="00241DFD"/>
    <w:rsid w:val="002428D9"/>
    <w:rsid w:val="00244996"/>
    <w:rsid w:val="002450B1"/>
    <w:rsid w:val="0025126B"/>
    <w:rsid w:val="00251533"/>
    <w:rsid w:val="00251C6E"/>
    <w:rsid w:val="00253F9E"/>
    <w:rsid w:val="0025534B"/>
    <w:rsid w:val="00255BB7"/>
    <w:rsid w:val="00255F78"/>
    <w:rsid w:val="002570C5"/>
    <w:rsid w:val="00262A87"/>
    <w:rsid w:val="00271EBE"/>
    <w:rsid w:val="0027218B"/>
    <w:rsid w:val="00275C5A"/>
    <w:rsid w:val="002769F5"/>
    <w:rsid w:val="00280575"/>
    <w:rsid w:val="00281A34"/>
    <w:rsid w:val="002823E6"/>
    <w:rsid w:val="0029192D"/>
    <w:rsid w:val="0029280E"/>
    <w:rsid w:val="00293760"/>
    <w:rsid w:val="002970A6"/>
    <w:rsid w:val="002A02CB"/>
    <w:rsid w:val="002A14AB"/>
    <w:rsid w:val="002A2898"/>
    <w:rsid w:val="002A4B7C"/>
    <w:rsid w:val="002B188A"/>
    <w:rsid w:val="002B1C1F"/>
    <w:rsid w:val="002B2335"/>
    <w:rsid w:val="002B349C"/>
    <w:rsid w:val="002B432F"/>
    <w:rsid w:val="002B6CCE"/>
    <w:rsid w:val="002C27C1"/>
    <w:rsid w:val="002C4D33"/>
    <w:rsid w:val="002D035F"/>
    <w:rsid w:val="002D0C26"/>
    <w:rsid w:val="002D0D0B"/>
    <w:rsid w:val="002D4F3F"/>
    <w:rsid w:val="002D718E"/>
    <w:rsid w:val="002E18C6"/>
    <w:rsid w:val="002E3CD0"/>
    <w:rsid w:val="002E44DA"/>
    <w:rsid w:val="002F1FD9"/>
    <w:rsid w:val="002F602A"/>
    <w:rsid w:val="002F7ED3"/>
    <w:rsid w:val="00300F68"/>
    <w:rsid w:val="00301017"/>
    <w:rsid w:val="003016CD"/>
    <w:rsid w:val="00307815"/>
    <w:rsid w:val="0030786C"/>
    <w:rsid w:val="00307B12"/>
    <w:rsid w:val="0031031A"/>
    <w:rsid w:val="00310C0C"/>
    <w:rsid w:val="0031132D"/>
    <w:rsid w:val="003122AB"/>
    <w:rsid w:val="00315498"/>
    <w:rsid w:val="0031571C"/>
    <w:rsid w:val="00316295"/>
    <w:rsid w:val="00320E2B"/>
    <w:rsid w:val="00320F06"/>
    <w:rsid w:val="003247A8"/>
    <w:rsid w:val="003340CE"/>
    <w:rsid w:val="003344BE"/>
    <w:rsid w:val="00335107"/>
    <w:rsid w:val="003366C9"/>
    <w:rsid w:val="003420A9"/>
    <w:rsid w:val="0034459E"/>
    <w:rsid w:val="003514B2"/>
    <w:rsid w:val="003556FC"/>
    <w:rsid w:val="0035620E"/>
    <w:rsid w:val="00356380"/>
    <w:rsid w:val="003578E7"/>
    <w:rsid w:val="0036204E"/>
    <w:rsid w:val="0036395B"/>
    <w:rsid w:val="00363F48"/>
    <w:rsid w:val="003640CE"/>
    <w:rsid w:val="00366374"/>
    <w:rsid w:val="00373C81"/>
    <w:rsid w:val="00375CB6"/>
    <w:rsid w:val="00376AD3"/>
    <w:rsid w:val="00376E7C"/>
    <w:rsid w:val="00381B50"/>
    <w:rsid w:val="0038365C"/>
    <w:rsid w:val="00387B53"/>
    <w:rsid w:val="00390622"/>
    <w:rsid w:val="00393F75"/>
    <w:rsid w:val="003952A7"/>
    <w:rsid w:val="00396FD0"/>
    <w:rsid w:val="003A1A7A"/>
    <w:rsid w:val="003A1C44"/>
    <w:rsid w:val="003A2C74"/>
    <w:rsid w:val="003A371D"/>
    <w:rsid w:val="003A7189"/>
    <w:rsid w:val="003A73C3"/>
    <w:rsid w:val="003A7570"/>
    <w:rsid w:val="003A7A15"/>
    <w:rsid w:val="003B0B7D"/>
    <w:rsid w:val="003B288D"/>
    <w:rsid w:val="003C698C"/>
    <w:rsid w:val="003D1828"/>
    <w:rsid w:val="003D1F49"/>
    <w:rsid w:val="003D2422"/>
    <w:rsid w:val="003D2E44"/>
    <w:rsid w:val="003D34D8"/>
    <w:rsid w:val="003D648A"/>
    <w:rsid w:val="003D6A89"/>
    <w:rsid w:val="003E3535"/>
    <w:rsid w:val="003F0406"/>
    <w:rsid w:val="003F0B62"/>
    <w:rsid w:val="003F10D4"/>
    <w:rsid w:val="003F1417"/>
    <w:rsid w:val="003F2377"/>
    <w:rsid w:val="003F26DD"/>
    <w:rsid w:val="003F4156"/>
    <w:rsid w:val="003F6965"/>
    <w:rsid w:val="00401EB3"/>
    <w:rsid w:val="0040229F"/>
    <w:rsid w:val="00404701"/>
    <w:rsid w:val="0040554C"/>
    <w:rsid w:val="004102AF"/>
    <w:rsid w:val="00410EC7"/>
    <w:rsid w:val="00414476"/>
    <w:rsid w:val="004145C5"/>
    <w:rsid w:val="00420B9F"/>
    <w:rsid w:val="00425CB2"/>
    <w:rsid w:val="00430759"/>
    <w:rsid w:val="004319F8"/>
    <w:rsid w:val="00431C97"/>
    <w:rsid w:val="00432991"/>
    <w:rsid w:val="00434222"/>
    <w:rsid w:val="00435BF8"/>
    <w:rsid w:val="004429F1"/>
    <w:rsid w:val="004443A7"/>
    <w:rsid w:val="004463D2"/>
    <w:rsid w:val="004464EB"/>
    <w:rsid w:val="00447A74"/>
    <w:rsid w:val="0045240F"/>
    <w:rsid w:val="00455D45"/>
    <w:rsid w:val="0046145A"/>
    <w:rsid w:val="0046340F"/>
    <w:rsid w:val="004636DD"/>
    <w:rsid w:val="00464595"/>
    <w:rsid w:val="0046486F"/>
    <w:rsid w:val="004662BF"/>
    <w:rsid w:val="00470AE1"/>
    <w:rsid w:val="00472359"/>
    <w:rsid w:val="0047392B"/>
    <w:rsid w:val="00473AC4"/>
    <w:rsid w:val="0047456A"/>
    <w:rsid w:val="00475A81"/>
    <w:rsid w:val="004763FF"/>
    <w:rsid w:val="0047674D"/>
    <w:rsid w:val="004844AB"/>
    <w:rsid w:val="004867E2"/>
    <w:rsid w:val="00491B3A"/>
    <w:rsid w:val="00494AD3"/>
    <w:rsid w:val="0049765E"/>
    <w:rsid w:val="00497F10"/>
    <w:rsid w:val="004A0DA1"/>
    <w:rsid w:val="004A378C"/>
    <w:rsid w:val="004A42D1"/>
    <w:rsid w:val="004A6460"/>
    <w:rsid w:val="004A6597"/>
    <w:rsid w:val="004A7338"/>
    <w:rsid w:val="004B2F18"/>
    <w:rsid w:val="004B371F"/>
    <w:rsid w:val="004B3DDB"/>
    <w:rsid w:val="004B44FD"/>
    <w:rsid w:val="004B5CFC"/>
    <w:rsid w:val="004B6653"/>
    <w:rsid w:val="004C3378"/>
    <w:rsid w:val="004C44C8"/>
    <w:rsid w:val="004C4AED"/>
    <w:rsid w:val="004C4C02"/>
    <w:rsid w:val="004C6490"/>
    <w:rsid w:val="004C65F0"/>
    <w:rsid w:val="004C6A08"/>
    <w:rsid w:val="004C6D57"/>
    <w:rsid w:val="004D0A6C"/>
    <w:rsid w:val="004D1828"/>
    <w:rsid w:val="004D251D"/>
    <w:rsid w:val="004E0EB8"/>
    <w:rsid w:val="004E2ADC"/>
    <w:rsid w:val="004E356D"/>
    <w:rsid w:val="004E4EB9"/>
    <w:rsid w:val="004F06EA"/>
    <w:rsid w:val="004F1D02"/>
    <w:rsid w:val="004F2679"/>
    <w:rsid w:val="004F371F"/>
    <w:rsid w:val="004F73C5"/>
    <w:rsid w:val="00500B69"/>
    <w:rsid w:val="0050188B"/>
    <w:rsid w:val="00501989"/>
    <w:rsid w:val="00502217"/>
    <w:rsid w:val="0050291A"/>
    <w:rsid w:val="005039B8"/>
    <w:rsid w:val="00504AA9"/>
    <w:rsid w:val="00506E16"/>
    <w:rsid w:val="00510C8D"/>
    <w:rsid w:val="00510FA5"/>
    <w:rsid w:val="005140B5"/>
    <w:rsid w:val="0051499C"/>
    <w:rsid w:val="005152B5"/>
    <w:rsid w:val="00521319"/>
    <w:rsid w:val="005221F3"/>
    <w:rsid w:val="00523C28"/>
    <w:rsid w:val="00524B37"/>
    <w:rsid w:val="005262EA"/>
    <w:rsid w:val="00526360"/>
    <w:rsid w:val="00530FDC"/>
    <w:rsid w:val="005324FA"/>
    <w:rsid w:val="00535DE9"/>
    <w:rsid w:val="0053646E"/>
    <w:rsid w:val="00536F6D"/>
    <w:rsid w:val="005378BA"/>
    <w:rsid w:val="00540936"/>
    <w:rsid w:val="00540BEA"/>
    <w:rsid w:val="0054130F"/>
    <w:rsid w:val="0054134E"/>
    <w:rsid w:val="0054172F"/>
    <w:rsid w:val="00547766"/>
    <w:rsid w:val="00553658"/>
    <w:rsid w:val="00554AA1"/>
    <w:rsid w:val="00555109"/>
    <w:rsid w:val="0056004B"/>
    <w:rsid w:val="005611CC"/>
    <w:rsid w:val="0056276A"/>
    <w:rsid w:val="0056696F"/>
    <w:rsid w:val="00570707"/>
    <w:rsid w:val="00573F79"/>
    <w:rsid w:val="00574172"/>
    <w:rsid w:val="005761E2"/>
    <w:rsid w:val="00576972"/>
    <w:rsid w:val="0057745C"/>
    <w:rsid w:val="00577717"/>
    <w:rsid w:val="005801E9"/>
    <w:rsid w:val="005811FD"/>
    <w:rsid w:val="00583699"/>
    <w:rsid w:val="00583B03"/>
    <w:rsid w:val="00584062"/>
    <w:rsid w:val="00586CC1"/>
    <w:rsid w:val="00590B64"/>
    <w:rsid w:val="00591112"/>
    <w:rsid w:val="00592493"/>
    <w:rsid w:val="00593F3C"/>
    <w:rsid w:val="005B48C0"/>
    <w:rsid w:val="005B5857"/>
    <w:rsid w:val="005B5DC0"/>
    <w:rsid w:val="005C1B83"/>
    <w:rsid w:val="005C2614"/>
    <w:rsid w:val="005C346B"/>
    <w:rsid w:val="005C4F63"/>
    <w:rsid w:val="005C5947"/>
    <w:rsid w:val="005D18AD"/>
    <w:rsid w:val="005D60A5"/>
    <w:rsid w:val="005D71D8"/>
    <w:rsid w:val="005D76EF"/>
    <w:rsid w:val="005D7E3E"/>
    <w:rsid w:val="005E0239"/>
    <w:rsid w:val="005E3B7C"/>
    <w:rsid w:val="005E3F2E"/>
    <w:rsid w:val="005E52C3"/>
    <w:rsid w:val="005F21D2"/>
    <w:rsid w:val="005F2706"/>
    <w:rsid w:val="005F4F77"/>
    <w:rsid w:val="005F5C15"/>
    <w:rsid w:val="005F6A8F"/>
    <w:rsid w:val="00600069"/>
    <w:rsid w:val="00601593"/>
    <w:rsid w:val="00606407"/>
    <w:rsid w:val="00607669"/>
    <w:rsid w:val="00611ECA"/>
    <w:rsid w:val="00612294"/>
    <w:rsid w:val="00612F97"/>
    <w:rsid w:val="0061302F"/>
    <w:rsid w:val="0061311E"/>
    <w:rsid w:val="00616802"/>
    <w:rsid w:val="00617D4B"/>
    <w:rsid w:val="00617E12"/>
    <w:rsid w:val="00621477"/>
    <w:rsid w:val="00624737"/>
    <w:rsid w:val="00627335"/>
    <w:rsid w:val="00630591"/>
    <w:rsid w:val="00630990"/>
    <w:rsid w:val="00631D6B"/>
    <w:rsid w:val="00631EE6"/>
    <w:rsid w:val="00632BCB"/>
    <w:rsid w:val="00633C30"/>
    <w:rsid w:val="0063479F"/>
    <w:rsid w:val="006364A1"/>
    <w:rsid w:val="00637BFD"/>
    <w:rsid w:val="00640425"/>
    <w:rsid w:val="0064120B"/>
    <w:rsid w:val="00643291"/>
    <w:rsid w:val="0064478A"/>
    <w:rsid w:val="006453EB"/>
    <w:rsid w:val="00645D7A"/>
    <w:rsid w:val="006471CC"/>
    <w:rsid w:val="0065079F"/>
    <w:rsid w:val="00651111"/>
    <w:rsid w:val="00657B4B"/>
    <w:rsid w:val="00660DE1"/>
    <w:rsid w:val="00660E4E"/>
    <w:rsid w:val="006615EE"/>
    <w:rsid w:val="00661775"/>
    <w:rsid w:val="0067062E"/>
    <w:rsid w:val="00674E42"/>
    <w:rsid w:val="00675FCF"/>
    <w:rsid w:val="006779D2"/>
    <w:rsid w:val="00682112"/>
    <w:rsid w:val="00683679"/>
    <w:rsid w:val="00683739"/>
    <w:rsid w:val="00683D30"/>
    <w:rsid w:val="0068549F"/>
    <w:rsid w:val="00685640"/>
    <w:rsid w:val="00685BF0"/>
    <w:rsid w:val="00686681"/>
    <w:rsid w:val="006901AE"/>
    <w:rsid w:val="00694F44"/>
    <w:rsid w:val="006A0FA3"/>
    <w:rsid w:val="006A1CC4"/>
    <w:rsid w:val="006A32A5"/>
    <w:rsid w:val="006A7626"/>
    <w:rsid w:val="006B0814"/>
    <w:rsid w:val="006B345B"/>
    <w:rsid w:val="006B47C1"/>
    <w:rsid w:val="006B50A8"/>
    <w:rsid w:val="006B51E9"/>
    <w:rsid w:val="006C0877"/>
    <w:rsid w:val="006C2A8E"/>
    <w:rsid w:val="006C5AA6"/>
    <w:rsid w:val="006C6112"/>
    <w:rsid w:val="006D0AFB"/>
    <w:rsid w:val="006D3C7D"/>
    <w:rsid w:val="006D47CF"/>
    <w:rsid w:val="006D67AD"/>
    <w:rsid w:val="006E1F7C"/>
    <w:rsid w:val="006E51D4"/>
    <w:rsid w:val="006E5FFA"/>
    <w:rsid w:val="006E653B"/>
    <w:rsid w:val="006E7420"/>
    <w:rsid w:val="006F06F8"/>
    <w:rsid w:val="006F1143"/>
    <w:rsid w:val="006F18E8"/>
    <w:rsid w:val="006F3D7B"/>
    <w:rsid w:val="006F63A5"/>
    <w:rsid w:val="0070276E"/>
    <w:rsid w:val="00704D40"/>
    <w:rsid w:val="00706D0C"/>
    <w:rsid w:val="00707AB4"/>
    <w:rsid w:val="00711A36"/>
    <w:rsid w:val="00711D73"/>
    <w:rsid w:val="007128F6"/>
    <w:rsid w:val="00716C84"/>
    <w:rsid w:val="007172AD"/>
    <w:rsid w:val="007172F4"/>
    <w:rsid w:val="007177DC"/>
    <w:rsid w:val="00722E65"/>
    <w:rsid w:val="00723C32"/>
    <w:rsid w:val="00726410"/>
    <w:rsid w:val="007265FB"/>
    <w:rsid w:val="007266C9"/>
    <w:rsid w:val="00731C07"/>
    <w:rsid w:val="00734541"/>
    <w:rsid w:val="00734AE9"/>
    <w:rsid w:val="00735328"/>
    <w:rsid w:val="0073685B"/>
    <w:rsid w:val="00740B28"/>
    <w:rsid w:val="007422A4"/>
    <w:rsid w:val="00743901"/>
    <w:rsid w:val="007468F8"/>
    <w:rsid w:val="00746905"/>
    <w:rsid w:val="00746E9E"/>
    <w:rsid w:val="007474AD"/>
    <w:rsid w:val="00750DB2"/>
    <w:rsid w:val="00751DD8"/>
    <w:rsid w:val="0076176F"/>
    <w:rsid w:val="00762BE2"/>
    <w:rsid w:val="00763BE1"/>
    <w:rsid w:val="00763E8C"/>
    <w:rsid w:val="007647C3"/>
    <w:rsid w:val="0076502E"/>
    <w:rsid w:val="00766C26"/>
    <w:rsid w:val="00770C6A"/>
    <w:rsid w:val="007739E7"/>
    <w:rsid w:val="00777625"/>
    <w:rsid w:val="007807C9"/>
    <w:rsid w:val="007840AF"/>
    <w:rsid w:val="00792268"/>
    <w:rsid w:val="00792814"/>
    <w:rsid w:val="0079281B"/>
    <w:rsid w:val="0079744D"/>
    <w:rsid w:val="00797DA6"/>
    <w:rsid w:val="00797FD7"/>
    <w:rsid w:val="007A1C11"/>
    <w:rsid w:val="007A30D5"/>
    <w:rsid w:val="007A3E1F"/>
    <w:rsid w:val="007A6D6E"/>
    <w:rsid w:val="007A6DA1"/>
    <w:rsid w:val="007B251D"/>
    <w:rsid w:val="007B5080"/>
    <w:rsid w:val="007B77D1"/>
    <w:rsid w:val="007B7CB7"/>
    <w:rsid w:val="007C0578"/>
    <w:rsid w:val="007C19BD"/>
    <w:rsid w:val="007C1FE2"/>
    <w:rsid w:val="007C3DB3"/>
    <w:rsid w:val="007C4349"/>
    <w:rsid w:val="007D0B38"/>
    <w:rsid w:val="007E196E"/>
    <w:rsid w:val="007E3DCD"/>
    <w:rsid w:val="007E5097"/>
    <w:rsid w:val="007E578B"/>
    <w:rsid w:val="007F1017"/>
    <w:rsid w:val="007F159D"/>
    <w:rsid w:val="007F3BC7"/>
    <w:rsid w:val="007F4A3F"/>
    <w:rsid w:val="007F5963"/>
    <w:rsid w:val="008036E5"/>
    <w:rsid w:val="0080458D"/>
    <w:rsid w:val="00805142"/>
    <w:rsid w:val="00805E0F"/>
    <w:rsid w:val="00807A8B"/>
    <w:rsid w:val="008115B0"/>
    <w:rsid w:val="00812149"/>
    <w:rsid w:val="008166EF"/>
    <w:rsid w:val="00816A36"/>
    <w:rsid w:val="00820146"/>
    <w:rsid w:val="0082227D"/>
    <w:rsid w:val="008264EB"/>
    <w:rsid w:val="00826779"/>
    <w:rsid w:val="00840CA2"/>
    <w:rsid w:val="00846B55"/>
    <w:rsid w:val="00847A6E"/>
    <w:rsid w:val="00847BF3"/>
    <w:rsid w:val="00850152"/>
    <w:rsid w:val="008502CD"/>
    <w:rsid w:val="00853214"/>
    <w:rsid w:val="00855184"/>
    <w:rsid w:val="00856CE6"/>
    <w:rsid w:val="00856E9A"/>
    <w:rsid w:val="00856EF2"/>
    <w:rsid w:val="00857075"/>
    <w:rsid w:val="008578CE"/>
    <w:rsid w:val="00861D1F"/>
    <w:rsid w:val="0086230B"/>
    <w:rsid w:val="00865A91"/>
    <w:rsid w:val="0086793F"/>
    <w:rsid w:val="00875A18"/>
    <w:rsid w:val="00876B59"/>
    <w:rsid w:val="00876F69"/>
    <w:rsid w:val="00877155"/>
    <w:rsid w:val="008812E2"/>
    <w:rsid w:val="00882874"/>
    <w:rsid w:val="00883305"/>
    <w:rsid w:val="00883787"/>
    <w:rsid w:val="00891A83"/>
    <w:rsid w:val="00892FFA"/>
    <w:rsid w:val="00895ACB"/>
    <w:rsid w:val="00895CE6"/>
    <w:rsid w:val="008963A5"/>
    <w:rsid w:val="00897051"/>
    <w:rsid w:val="008A190E"/>
    <w:rsid w:val="008A3C3E"/>
    <w:rsid w:val="008A47EC"/>
    <w:rsid w:val="008A4BDF"/>
    <w:rsid w:val="008A5BEC"/>
    <w:rsid w:val="008A6079"/>
    <w:rsid w:val="008A6A8E"/>
    <w:rsid w:val="008A79DE"/>
    <w:rsid w:val="008B7D7E"/>
    <w:rsid w:val="008C0985"/>
    <w:rsid w:val="008C4FBD"/>
    <w:rsid w:val="008C61B5"/>
    <w:rsid w:val="008C6CF2"/>
    <w:rsid w:val="008C7ECB"/>
    <w:rsid w:val="008D415B"/>
    <w:rsid w:val="008E1B9E"/>
    <w:rsid w:val="008E20D8"/>
    <w:rsid w:val="008E2D80"/>
    <w:rsid w:val="008E345C"/>
    <w:rsid w:val="008F1CCF"/>
    <w:rsid w:val="008F3E1B"/>
    <w:rsid w:val="008F48EB"/>
    <w:rsid w:val="008F4F0B"/>
    <w:rsid w:val="008F533C"/>
    <w:rsid w:val="00901560"/>
    <w:rsid w:val="00901FB0"/>
    <w:rsid w:val="009033EF"/>
    <w:rsid w:val="00904247"/>
    <w:rsid w:val="009062A5"/>
    <w:rsid w:val="0090792A"/>
    <w:rsid w:val="009101C1"/>
    <w:rsid w:val="00911272"/>
    <w:rsid w:val="00917994"/>
    <w:rsid w:val="009236C4"/>
    <w:rsid w:val="00924003"/>
    <w:rsid w:val="00924594"/>
    <w:rsid w:val="00924BDD"/>
    <w:rsid w:val="00925228"/>
    <w:rsid w:val="00926EB8"/>
    <w:rsid w:val="00940FAF"/>
    <w:rsid w:val="0094419D"/>
    <w:rsid w:val="009448F0"/>
    <w:rsid w:val="009452A7"/>
    <w:rsid w:val="009479EE"/>
    <w:rsid w:val="00952089"/>
    <w:rsid w:val="009533AC"/>
    <w:rsid w:val="00956572"/>
    <w:rsid w:val="00957C78"/>
    <w:rsid w:val="00961AF9"/>
    <w:rsid w:val="00962CB9"/>
    <w:rsid w:val="00964312"/>
    <w:rsid w:val="00967713"/>
    <w:rsid w:val="00970E52"/>
    <w:rsid w:val="00975FD0"/>
    <w:rsid w:val="00976C73"/>
    <w:rsid w:val="0098002F"/>
    <w:rsid w:val="0098009E"/>
    <w:rsid w:val="00983E57"/>
    <w:rsid w:val="00983FAA"/>
    <w:rsid w:val="009848EF"/>
    <w:rsid w:val="0098617D"/>
    <w:rsid w:val="00987CC2"/>
    <w:rsid w:val="00992BA1"/>
    <w:rsid w:val="00992FDC"/>
    <w:rsid w:val="0099602D"/>
    <w:rsid w:val="009960F6"/>
    <w:rsid w:val="009968F7"/>
    <w:rsid w:val="00996B1A"/>
    <w:rsid w:val="009A3DC7"/>
    <w:rsid w:val="009A522D"/>
    <w:rsid w:val="009B1A9E"/>
    <w:rsid w:val="009B3E26"/>
    <w:rsid w:val="009B5C94"/>
    <w:rsid w:val="009B6BC2"/>
    <w:rsid w:val="009C6C1E"/>
    <w:rsid w:val="009D04EB"/>
    <w:rsid w:val="009D338F"/>
    <w:rsid w:val="009D35BA"/>
    <w:rsid w:val="009D4F50"/>
    <w:rsid w:val="009D5B91"/>
    <w:rsid w:val="009E02D9"/>
    <w:rsid w:val="009E32C6"/>
    <w:rsid w:val="009E4027"/>
    <w:rsid w:val="009E4C07"/>
    <w:rsid w:val="009E51E6"/>
    <w:rsid w:val="009F04BF"/>
    <w:rsid w:val="009F092A"/>
    <w:rsid w:val="009F2F3D"/>
    <w:rsid w:val="009F4208"/>
    <w:rsid w:val="009F6B5D"/>
    <w:rsid w:val="009F7D97"/>
    <w:rsid w:val="00A03D43"/>
    <w:rsid w:val="00A04296"/>
    <w:rsid w:val="00A04380"/>
    <w:rsid w:val="00A065FC"/>
    <w:rsid w:val="00A0749A"/>
    <w:rsid w:val="00A10FAE"/>
    <w:rsid w:val="00A123BB"/>
    <w:rsid w:val="00A13948"/>
    <w:rsid w:val="00A16230"/>
    <w:rsid w:val="00A1728D"/>
    <w:rsid w:val="00A216DC"/>
    <w:rsid w:val="00A22D6C"/>
    <w:rsid w:val="00A24A6A"/>
    <w:rsid w:val="00A27AEC"/>
    <w:rsid w:val="00A31FA1"/>
    <w:rsid w:val="00A3242E"/>
    <w:rsid w:val="00A35CEE"/>
    <w:rsid w:val="00A35D16"/>
    <w:rsid w:val="00A400D6"/>
    <w:rsid w:val="00A43C59"/>
    <w:rsid w:val="00A4543A"/>
    <w:rsid w:val="00A45C59"/>
    <w:rsid w:val="00A46A0D"/>
    <w:rsid w:val="00A5072C"/>
    <w:rsid w:val="00A50ECD"/>
    <w:rsid w:val="00A52729"/>
    <w:rsid w:val="00A5276C"/>
    <w:rsid w:val="00A53675"/>
    <w:rsid w:val="00A537FA"/>
    <w:rsid w:val="00A53903"/>
    <w:rsid w:val="00A5545D"/>
    <w:rsid w:val="00A56B6A"/>
    <w:rsid w:val="00A578DC"/>
    <w:rsid w:val="00A602DD"/>
    <w:rsid w:val="00A60E06"/>
    <w:rsid w:val="00A62862"/>
    <w:rsid w:val="00A63C28"/>
    <w:rsid w:val="00A66E2A"/>
    <w:rsid w:val="00A6725B"/>
    <w:rsid w:val="00A73790"/>
    <w:rsid w:val="00A77A11"/>
    <w:rsid w:val="00A8044E"/>
    <w:rsid w:val="00A806AE"/>
    <w:rsid w:val="00A80D18"/>
    <w:rsid w:val="00A823D4"/>
    <w:rsid w:val="00A83CC3"/>
    <w:rsid w:val="00A86E8B"/>
    <w:rsid w:val="00A902ED"/>
    <w:rsid w:val="00A918DC"/>
    <w:rsid w:val="00A92972"/>
    <w:rsid w:val="00A93072"/>
    <w:rsid w:val="00A958D7"/>
    <w:rsid w:val="00A95A6B"/>
    <w:rsid w:val="00A97999"/>
    <w:rsid w:val="00AA0A07"/>
    <w:rsid w:val="00AA2C5F"/>
    <w:rsid w:val="00AA55FB"/>
    <w:rsid w:val="00AB042A"/>
    <w:rsid w:val="00AB0EDC"/>
    <w:rsid w:val="00AB164C"/>
    <w:rsid w:val="00AB18AB"/>
    <w:rsid w:val="00AB2DB9"/>
    <w:rsid w:val="00AB3430"/>
    <w:rsid w:val="00AB7CFA"/>
    <w:rsid w:val="00AC3A0F"/>
    <w:rsid w:val="00AD1028"/>
    <w:rsid w:val="00AD25E5"/>
    <w:rsid w:val="00AD48DF"/>
    <w:rsid w:val="00AD72A2"/>
    <w:rsid w:val="00AE18AF"/>
    <w:rsid w:val="00AE2708"/>
    <w:rsid w:val="00AE4F6B"/>
    <w:rsid w:val="00AE7AEF"/>
    <w:rsid w:val="00AF28B2"/>
    <w:rsid w:val="00AF3869"/>
    <w:rsid w:val="00B00828"/>
    <w:rsid w:val="00B01670"/>
    <w:rsid w:val="00B0197E"/>
    <w:rsid w:val="00B02837"/>
    <w:rsid w:val="00B049ED"/>
    <w:rsid w:val="00B057FE"/>
    <w:rsid w:val="00B0704E"/>
    <w:rsid w:val="00B10F6B"/>
    <w:rsid w:val="00B13A66"/>
    <w:rsid w:val="00B143CE"/>
    <w:rsid w:val="00B1509F"/>
    <w:rsid w:val="00B161C9"/>
    <w:rsid w:val="00B171AE"/>
    <w:rsid w:val="00B17C91"/>
    <w:rsid w:val="00B2374D"/>
    <w:rsid w:val="00B32BB1"/>
    <w:rsid w:val="00B3516C"/>
    <w:rsid w:val="00B424CE"/>
    <w:rsid w:val="00B42851"/>
    <w:rsid w:val="00B46194"/>
    <w:rsid w:val="00B4737C"/>
    <w:rsid w:val="00B508F8"/>
    <w:rsid w:val="00B52BE2"/>
    <w:rsid w:val="00B54B5B"/>
    <w:rsid w:val="00B5562E"/>
    <w:rsid w:val="00B5571D"/>
    <w:rsid w:val="00B57000"/>
    <w:rsid w:val="00B608CF"/>
    <w:rsid w:val="00B60939"/>
    <w:rsid w:val="00B60AFD"/>
    <w:rsid w:val="00B61EFC"/>
    <w:rsid w:val="00B62715"/>
    <w:rsid w:val="00B65748"/>
    <w:rsid w:val="00B70FF0"/>
    <w:rsid w:val="00B72877"/>
    <w:rsid w:val="00B75F3A"/>
    <w:rsid w:val="00B77A3A"/>
    <w:rsid w:val="00B80712"/>
    <w:rsid w:val="00B818A4"/>
    <w:rsid w:val="00B8649C"/>
    <w:rsid w:val="00B86650"/>
    <w:rsid w:val="00B86DC7"/>
    <w:rsid w:val="00B872B3"/>
    <w:rsid w:val="00B9263F"/>
    <w:rsid w:val="00B92D0B"/>
    <w:rsid w:val="00B935F3"/>
    <w:rsid w:val="00B94945"/>
    <w:rsid w:val="00B950BC"/>
    <w:rsid w:val="00BA0D8A"/>
    <w:rsid w:val="00BA195D"/>
    <w:rsid w:val="00BA1C09"/>
    <w:rsid w:val="00BA6E09"/>
    <w:rsid w:val="00BA6E4A"/>
    <w:rsid w:val="00BB1FC7"/>
    <w:rsid w:val="00BB2108"/>
    <w:rsid w:val="00BB2C89"/>
    <w:rsid w:val="00BB2FBC"/>
    <w:rsid w:val="00BB591A"/>
    <w:rsid w:val="00BB7E0F"/>
    <w:rsid w:val="00BC170F"/>
    <w:rsid w:val="00BC6507"/>
    <w:rsid w:val="00BD3771"/>
    <w:rsid w:val="00BD4422"/>
    <w:rsid w:val="00BD4BDB"/>
    <w:rsid w:val="00BD4CE6"/>
    <w:rsid w:val="00BD66A1"/>
    <w:rsid w:val="00BD70E7"/>
    <w:rsid w:val="00BD726C"/>
    <w:rsid w:val="00BE2180"/>
    <w:rsid w:val="00BE2EF9"/>
    <w:rsid w:val="00BE4275"/>
    <w:rsid w:val="00BF10E3"/>
    <w:rsid w:val="00BF205A"/>
    <w:rsid w:val="00BF23ED"/>
    <w:rsid w:val="00BF2433"/>
    <w:rsid w:val="00BF61C9"/>
    <w:rsid w:val="00BF7473"/>
    <w:rsid w:val="00C06F60"/>
    <w:rsid w:val="00C11F4D"/>
    <w:rsid w:val="00C25418"/>
    <w:rsid w:val="00C25561"/>
    <w:rsid w:val="00C25D9C"/>
    <w:rsid w:val="00C270DB"/>
    <w:rsid w:val="00C2752E"/>
    <w:rsid w:val="00C31649"/>
    <w:rsid w:val="00C32866"/>
    <w:rsid w:val="00C32D2D"/>
    <w:rsid w:val="00C34358"/>
    <w:rsid w:val="00C347D2"/>
    <w:rsid w:val="00C36459"/>
    <w:rsid w:val="00C40385"/>
    <w:rsid w:val="00C403B1"/>
    <w:rsid w:val="00C4254A"/>
    <w:rsid w:val="00C453C6"/>
    <w:rsid w:val="00C46FE8"/>
    <w:rsid w:val="00C54C6E"/>
    <w:rsid w:val="00C553D3"/>
    <w:rsid w:val="00C5779F"/>
    <w:rsid w:val="00C6230F"/>
    <w:rsid w:val="00C6311D"/>
    <w:rsid w:val="00C63DEC"/>
    <w:rsid w:val="00C65576"/>
    <w:rsid w:val="00C66165"/>
    <w:rsid w:val="00C671DC"/>
    <w:rsid w:val="00C70AB2"/>
    <w:rsid w:val="00C71DF7"/>
    <w:rsid w:val="00C7459F"/>
    <w:rsid w:val="00C75B3F"/>
    <w:rsid w:val="00C768FB"/>
    <w:rsid w:val="00C81054"/>
    <w:rsid w:val="00C8213F"/>
    <w:rsid w:val="00C82EE0"/>
    <w:rsid w:val="00C87007"/>
    <w:rsid w:val="00C8797A"/>
    <w:rsid w:val="00C902CC"/>
    <w:rsid w:val="00C919E5"/>
    <w:rsid w:val="00C9336C"/>
    <w:rsid w:val="00C93481"/>
    <w:rsid w:val="00C938CF"/>
    <w:rsid w:val="00C94B89"/>
    <w:rsid w:val="00C95012"/>
    <w:rsid w:val="00C9601B"/>
    <w:rsid w:val="00CA4635"/>
    <w:rsid w:val="00CA48B2"/>
    <w:rsid w:val="00CA5245"/>
    <w:rsid w:val="00CA6B4D"/>
    <w:rsid w:val="00CA7B09"/>
    <w:rsid w:val="00CB0D1E"/>
    <w:rsid w:val="00CB37CC"/>
    <w:rsid w:val="00CB563B"/>
    <w:rsid w:val="00CB5A22"/>
    <w:rsid w:val="00CB5B1A"/>
    <w:rsid w:val="00CB67F4"/>
    <w:rsid w:val="00CB747E"/>
    <w:rsid w:val="00CB7D9C"/>
    <w:rsid w:val="00CC18F9"/>
    <w:rsid w:val="00CC1C63"/>
    <w:rsid w:val="00CC238E"/>
    <w:rsid w:val="00CC2D92"/>
    <w:rsid w:val="00CC374E"/>
    <w:rsid w:val="00CC54F0"/>
    <w:rsid w:val="00CC58B8"/>
    <w:rsid w:val="00CD0003"/>
    <w:rsid w:val="00CD16E4"/>
    <w:rsid w:val="00CD3F6C"/>
    <w:rsid w:val="00CD57A8"/>
    <w:rsid w:val="00CD6ADC"/>
    <w:rsid w:val="00CD70CE"/>
    <w:rsid w:val="00CE6274"/>
    <w:rsid w:val="00CE6BB1"/>
    <w:rsid w:val="00CE7D13"/>
    <w:rsid w:val="00CF1E40"/>
    <w:rsid w:val="00CF456B"/>
    <w:rsid w:val="00CF5866"/>
    <w:rsid w:val="00CF5A22"/>
    <w:rsid w:val="00D00AE8"/>
    <w:rsid w:val="00D00E57"/>
    <w:rsid w:val="00D01D34"/>
    <w:rsid w:val="00D0262E"/>
    <w:rsid w:val="00D03B74"/>
    <w:rsid w:val="00D04C42"/>
    <w:rsid w:val="00D06FD4"/>
    <w:rsid w:val="00D110BD"/>
    <w:rsid w:val="00D12AF5"/>
    <w:rsid w:val="00D1439C"/>
    <w:rsid w:val="00D144B4"/>
    <w:rsid w:val="00D17BAE"/>
    <w:rsid w:val="00D17D6C"/>
    <w:rsid w:val="00D219DA"/>
    <w:rsid w:val="00D24A94"/>
    <w:rsid w:val="00D277FA"/>
    <w:rsid w:val="00D30C50"/>
    <w:rsid w:val="00D32792"/>
    <w:rsid w:val="00D33CF0"/>
    <w:rsid w:val="00D40753"/>
    <w:rsid w:val="00D417F7"/>
    <w:rsid w:val="00D41DC3"/>
    <w:rsid w:val="00D42F13"/>
    <w:rsid w:val="00D451C8"/>
    <w:rsid w:val="00D47527"/>
    <w:rsid w:val="00D515E3"/>
    <w:rsid w:val="00D52279"/>
    <w:rsid w:val="00D554A8"/>
    <w:rsid w:val="00D676C9"/>
    <w:rsid w:val="00D67FEC"/>
    <w:rsid w:val="00D7122A"/>
    <w:rsid w:val="00D71269"/>
    <w:rsid w:val="00D74354"/>
    <w:rsid w:val="00D74A8C"/>
    <w:rsid w:val="00D7671B"/>
    <w:rsid w:val="00D76A44"/>
    <w:rsid w:val="00D77315"/>
    <w:rsid w:val="00D8601F"/>
    <w:rsid w:val="00D93753"/>
    <w:rsid w:val="00D93B35"/>
    <w:rsid w:val="00DA03E5"/>
    <w:rsid w:val="00DA1209"/>
    <w:rsid w:val="00DA3575"/>
    <w:rsid w:val="00DA77A5"/>
    <w:rsid w:val="00DB22E8"/>
    <w:rsid w:val="00DB2AFB"/>
    <w:rsid w:val="00DB2E74"/>
    <w:rsid w:val="00DC43C4"/>
    <w:rsid w:val="00DC5501"/>
    <w:rsid w:val="00DC59A0"/>
    <w:rsid w:val="00DC6852"/>
    <w:rsid w:val="00DD2072"/>
    <w:rsid w:val="00DD3F28"/>
    <w:rsid w:val="00DD4537"/>
    <w:rsid w:val="00DD4E15"/>
    <w:rsid w:val="00DD62F7"/>
    <w:rsid w:val="00DD6C1A"/>
    <w:rsid w:val="00DD72D8"/>
    <w:rsid w:val="00DE1D88"/>
    <w:rsid w:val="00DE3626"/>
    <w:rsid w:val="00DE4FCB"/>
    <w:rsid w:val="00DF0558"/>
    <w:rsid w:val="00DF0676"/>
    <w:rsid w:val="00E0095E"/>
    <w:rsid w:val="00E04499"/>
    <w:rsid w:val="00E04E89"/>
    <w:rsid w:val="00E10149"/>
    <w:rsid w:val="00E127B8"/>
    <w:rsid w:val="00E135F1"/>
    <w:rsid w:val="00E154EC"/>
    <w:rsid w:val="00E16372"/>
    <w:rsid w:val="00E172B0"/>
    <w:rsid w:val="00E20ED6"/>
    <w:rsid w:val="00E21358"/>
    <w:rsid w:val="00E222C2"/>
    <w:rsid w:val="00E2249B"/>
    <w:rsid w:val="00E23D29"/>
    <w:rsid w:val="00E23F92"/>
    <w:rsid w:val="00E24C1C"/>
    <w:rsid w:val="00E2771E"/>
    <w:rsid w:val="00E27A8D"/>
    <w:rsid w:val="00E36800"/>
    <w:rsid w:val="00E37569"/>
    <w:rsid w:val="00E37B48"/>
    <w:rsid w:val="00E4190C"/>
    <w:rsid w:val="00E41E30"/>
    <w:rsid w:val="00E41F14"/>
    <w:rsid w:val="00E42C2F"/>
    <w:rsid w:val="00E449A7"/>
    <w:rsid w:val="00E469F4"/>
    <w:rsid w:val="00E47B2C"/>
    <w:rsid w:val="00E526BB"/>
    <w:rsid w:val="00E53792"/>
    <w:rsid w:val="00E55424"/>
    <w:rsid w:val="00E55E7A"/>
    <w:rsid w:val="00E561EC"/>
    <w:rsid w:val="00E56D9C"/>
    <w:rsid w:val="00E603CB"/>
    <w:rsid w:val="00E60B45"/>
    <w:rsid w:val="00E62495"/>
    <w:rsid w:val="00E65271"/>
    <w:rsid w:val="00E65E79"/>
    <w:rsid w:val="00E67416"/>
    <w:rsid w:val="00E71613"/>
    <w:rsid w:val="00E718B6"/>
    <w:rsid w:val="00E71959"/>
    <w:rsid w:val="00E723CA"/>
    <w:rsid w:val="00E73153"/>
    <w:rsid w:val="00E73581"/>
    <w:rsid w:val="00E758FE"/>
    <w:rsid w:val="00E76621"/>
    <w:rsid w:val="00E76AEE"/>
    <w:rsid w:val="00E77227"/>
    <w:rsid w:val="00E81678"/>
    <w:rsid w:val="00E8178F"/>
    <w:rsid w:val="00E82C68"/>
    <w:rsid w:val="00E83BDF"/>
    <w:rsid w:val="00E8471D"/>
    <w:rsid w:val="00E86F89"/>
    <w:rsid w:val="00E87608"/>
    <w:rsid w:val="00E900E9"/>
    <w:rsid w:val="00E928AA"/>
    <w:rsid w:val="00E9353B"/>
    <w:rsid w:val="00E947A3"/>
    <w:rsid w:val="00E959EE"/>
    <w:rsid w:val="00EA0AF5"/>
    <w:rsid w:val="00EA2D2E"/>
    <w:rsid w:val="00EA338F"/>
    <w:rsid w:val="00EA3539"/>
    <w:rsid w:val="00EA3864"/>
    <w:rsid w:val="00EA3B0F"/>
    <w:rsid w:val="00EB0AF2"/>
    <w:rsid w:val="00EB28F2"/>
    <w:rsid w:val="00EB4927"/>
    <w:rsid w:val="00EB531C"/>
    <w:rsid w:val="00EB548E"/>
    <w:rsid w:val="00EC00C9"/>
    <w:rsid w:val="00EC1538"/>
    <w:rsid w:val="00EC2EB6"/>
    <w:rsid w:val="00EC7FD6"/>
    <w:rsid w:val="00ED3EEA"/>
    <w:rsid w:val="00ED57F1"/>
    <w:rsid w:val="00ED739D"/>
    <w:rsid w:val="00ED7B15"/>
    <w:rsid w:val="00EE07D3"/>
    <w:rsid w:val="00EE0C23"/>
    <w:rsid w:val="00EE2F22"/>
    <w:rsid w:val="00EE4656"/>
    <w:rsid w:val="00EF08C8"/>
    <w:rsid w:val="00EF260D"/>
    <w:rsid w:val="00EF4C0C"/>
    <w:rsid w:val="00EF644D"/>
    <w:rsid w:val="00F028B9"/>
    <w:rsid w:val="00F04E1E"/>
    <w:rsid w:val="00F058C9"/>
    <w:rsid w:val="00F05AF5"/>
    <w:rsid w:val="00F05EA6"/>
    <w:rsid w:val="00F067A2"/>
    <w:rsid w:val="00F069EB"/>
    <w:rsid w:val="00F10B51"/>
    <w:rsid w:val="00F14342"/>
    <w:rsid w:val="00F14E55"/>
    <w:rsid w:val="00F1511F"/>
    <w:rsid w:val="00F15F1D"/>
    <w:rsid w:val="00F160BA"/>
    <w:rsid w:val="00F164DF"/>
    <w:rsid w:val="00F17E93"/>
    <w:rsid w:val="00F20FBC"/>
    <w:rsid w:val="00F2320A"/>
    <w:rsid w:val="00F232D3"/>
    <w:rsid w:val="00F24837"/>
    <w:rsid w:val="00F2575F"/>
    <w:rsid w:val="00F30220"/>
    <w:rsid w:val="00F338FF"/>
    <w:rsid w:val="00F33DE9"/>
    <w:rsid w:val="00F34AFE"/>
    <w:rsid w:val="00F3619A"/>
    <w:rsid w:val="00F40569"/>
    <w:rsid w:val="00F416B4"/>
    <w:rsid w:val="00F42C00"/>
    <w:rsid w:val="00F44F7F"/>
    <w:rsid w:val="00F46CB6"/>
    <w:rsid w:val="00F51D6C"/>
    <w:rsid w:val="00F52ADF"/>
    <w:rsid w:val="00F55629"/>
    <w:rsid w:val="00F55E73"/>
    <w:rsid w:val="00F61D95"/>
    <w:rsid w:val="00F6221A"/>
    <w:rsid w:val="00F679F5"/>
    <w:rsid w:val="00F67A68"/>
    <w:rsid w:val="00F77CF1"/>
    <w:rsid w:val="00F80E5D"/>
    <w:rsid w:val="00F83485"/>
    <w:rsid w:val="00F840A9"/>
    <w:rsid w:val="00F851CE"/>
    <w:rsid w:val="00F854F6"/>
    <w:rsid w:val="00F871AE"/>
    <w:rsid w:val="00F91425"/>
    <w:rsid w:val="00F9243B"/>
    <w:rsid w:val="00F952D6"/>
    <w:rsid w:val="00F97A78"/>
    <w:rsid w:val="00FA603F"/>
    <w:rsid w:val="00FA69A4"/>
    <w:rsid w:val="00FA775F"/>
    <w:rsid w:val="00FB2D5F"/>
    <w:rsid w:val="00FB2EB2"/>
    <w:rsid w:val="00FB2FCB"/>
    <w:rsid w:val="00FB6163"/>
    <w:rsid w:val="00FC1074"/>
    <w:rsid w:val="00FC1884"/>
    <w:rsid w:val="00FC1C27"/>
    <w:rsid w:val="00FC7334"/>
    <w:rsid w:val="00FD2100"/>
    <w:rsid w:val="00FD446D"/>
    <w:rsid w:val="00FD52D8"/>
    <w:rsid w:val="00FD6283"/>
    <w:rsid w:val="00FE449F"/>
    <w:rsid w:val="00FE70B2"/>
    <w:rsid w:val="00FF251F"/>
    <w:rsid w:val="00FF3DCF"/>
    <w:rsid w:val="00FF5AA3"/>
    <w:rsid w:val="00FF70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B7E0F"/>
    <w:pPr>
      <w:widowControl/>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B7E0F"/>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026F17"/>
    <w:rPr>
      <w:sz w:val="28"/>
    </w:rPr>
  </w:style>
  <w:style w:type="character" w:customStyle="1" w:styleId="TitleChar">
    <w:name w:val="Title Char"/>
    <w:basedOn w:val="DefaultParagraphFont"/>
    <w:link w:val="Title"/>
    <w:rsid w:val="00026F1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paragraph" w:customStyle="1" w:styleId="Table">
    <w:name w:val="Table"/>
    <w:basedOn w:val="Normal"/>
    <w:link w:val="TableChar"/>
    <w:qFormat/>
    <w:rsid w:val="00685640"/>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85640"/>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85640"/>
    <w:rPr>
      <w:rFonts w:ascii="Candara" w:hAnsi="Candara"/>
      <w:b/>
      <w:sz w:val="20"/>
      <w:lang w:val="en-AU"/>
    </w:rPr>
  </w:style>
  <w:style w:type="character" w:customStyle="1" w:styleId="Small">
    <w:name w:val="Small"/>
    <w:uiPriority w:val="4"/>
    <w:qFormat/>
    <w:rsid w:val="00C347D2"/>
    <w:rPr>
      <w:rFonts w:ascii="Candara" w:hAnsi="Candara"/>
      <w:sz w:val="20"/>
    </w:rPr>
  </w:style>
  <w:style w:type="paragraph" w:customStyle="1" w:styleId="TableCentre">
    <w:name w:val="Table Centre"/>
    <w:basedOn w:val="Table"/>
    <w:qFormat/>
    <w:rsid w:val="007C4349"/>
    <w:pPr>
      <w:widowControl w:val="0"/>
      <w:jc w:val="center"/>
    </w:pPr>
    <w:rPr>
      <w:rFonts w:eastAsia="Times New Roman" w:cs="Times New Roman"/>
    </w:rPr>
  </w:style>
  <w:style w:type="paragraph" w:customStyle="1" w:styleId="CaptionFootnote">
    <w:name w:val="Caption Footnote"/>
    <w:basedOn w:val="Caption"/>
    <w:qFormat/>
    <w:rsid w:val="00AD72A2"/>
    <w:pPr>
      <w:spacing w:after="0"/>
    </w:pPr>
    <w:rPr>
      <w:rFonts w:ascii="Candara" w:eastAsiaTheme="majorEastAsia" w:hAnsi="Candara" w:cstheme="majorBidi"/>
      <w:b w:val="0"/>
      <w:snapToGrid/>
      <w:color w:val="auto"/>
      <w:sz w:val="16"/>
      <w:lang w:bidi="en-US"/>
    </w:rPr>
  </w:style>
  <w:style w:type="paragraph" w:customStyle="1" w:styleId="PBACHeading10">
    <w:name w:val="PBAC Heading 1"/>
    <w:qFormat/>
    <w:rsid w:val="00C06F60"/>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99"/>
    <w:rsid w:val="00C06F60"/>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B7E0F"/>
    <w:pPr>
      <w:widowControl/>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B7E0F"/>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026F17"/>
    <w:rPr>
      <w:sz w:val="28"/>
    </w:rPr>
  </w:style>
  <w:style w:type="character" w:customStyle="1" w:styleId="TitleChar">
    <w:name w:val="Title Char"/>
    <w:basedOn w:val="DefaultParagraphFont"/>
    <w:link w:val="Title"/>
    <w:rsid w:val="00026F1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paragraph" w:customStyle="1" w:styleId="Table">
    <w:name w:val="Table"/>
    <w:basedOn w:val="Normal"/>
    <w:link w:val="TableChar"/>
    <w:qFormat/>
    <w:rsid w:val="00685640"/>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85640"/>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85640"/>
    <w:rPr>
      <w:rFonts w:ascii="Candara" w:hAnsi="Candara"/>
      <w:b/>
      <w:sz w:val="20"/>
      <w:lang w:val="en-AU"/>
    </w:rPr>
  </w:style>
  <w:style w:type="character" w:customStyle="1" w:styleId="Small">
    <w:name w:val="Small"/>
    <w:uiPriority w:val="4"/>
    <w:qFormat/>
    <w:rsid w:val="00C347D2"/>
    <w:rPr>
      <w:rFonts w:ascii="Candara" w:hAnsi="Candara"/>
      <w:sz w:val="20"/>
    </w:rPr>
  </w:style>
  <w:style w:type="paragraph" w:customStyle="1" w:styleId="TableCentre">
    <w:name w:val="Table Centre"/>
    <w:basedOn w:val="Table"/>
    <w:qFormat/>
    <w:rsid w:val="007C4349"/>
    <w:pPr>
      <w:widowControl w:val="0"/>
      <w:jc w:val="center"/>
    </w:pPr>
    <w:rPr>
      <w:rFonts w:eastAsia="Times New Roman" w:cs="Times New Roman"/>
    </w:rPr>
  </w:style>
  <w:style w:type="paragraph" w:customStyle="1" w:styleId="CaptionFootnote">
    <w:name w:val="Caption Footnote"/>
    <w:basedOn w:val="Caption"/>
    <w:qFormat/>
    <w:rsid w:val="00AD72A2"/>
    <w:pPr>
      <w:spacing w:after="0"/>
    </w:pPr>
    <w:rPr>
      <w:rFonts w:ascii="Candara" w:eastAsiaTheme="majorEastAsia" w:hAnsi="Candara" w:cstheme="majorBidi"/>
      <w:b w:val="0"/>
      <w:snapToGrid/>
      <w:color w:val="auto"/>
      <w:sz w:val="16"/>
      <w:lang w:bidi="en-US"/>
    </w:rPr>
  </w:style>
  <w:style w:type="paragraph" w:customStyle="1" w:styleId="PBACHeading10">
    <w:name w:val="PBAC Heading 1"/>
    <w:qFormat/>
    <w:rsid w:val="00C06F60"/>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99"/>
    <w:rsid w:val="00C06F60"/>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4519">
      <w:bodyDiv w:val="1"/>
      <w:marLeft w:val="0"/>
      <w:marRight w:val="0"/>
      <w:marTop w:val="0"/>
      <w:marBottom w:val="0"/>
      <w:divBdr>
        <w:top w:val="none" w:sz="0" w:space="0" w:color="auto"/>
        <w:left w:val="none" w:sz="0" w:space="0" w:color="auto"/>
        <w:bottom w:val="none" w:sz="0" w:space="0" w:color="auto"/>
        <w:right w:val="none" w:sz="0" w:space="0" w:color="auto"/>
      </w:divBdr>
    </w:div>
    <w:div w:id="496848966">
      <w:bodyDiv w:val="1"/>
      <w:marLeft w:val="0"/>
      <w:marRight w:val="0"/>
      <w:marTop w:val="0"/>
      <w:marBottom w:val="0"/>
      <w:divBdr>
        <w:top w:val="none" w:sz="0" w:space="0" w:color="auto"/>
        <w:left w:val="none" w:sz="0" w:space="0" w:color="auto"/>
        <w:bottom w:val="none" w:sz="0" w:space="0" w:color="auto"/>
        <w:right w:val="none" w:sz="0" w:space="0" w:color="auto"/>
      </w:divBdr>
    </w:div>
    <w:div w:id="802694981">
      <w:bodyDiv w:val="1"/>
      <w:marLeft w:val="0"/>
      <w:marRight w:val="0"/>
      <w:marTop w:val="0"/>
      <w:marBottom w:val="0"/>
      <w:divBdr>
        <w:top w:val="none" w:sz="0" w:space="0" w:color="auto"/>
        <w:left w:val="none" w:sz="0" w:space="0" w:color="auto"/>
        <w:bottom w:val="none" w:sz="0" w:space="0" w:color="auto"/>
        <w:right w:val="none" w:sz="0" w:space="0" w:color="auto"/>
      </w:divBdr>
    </w:div>
    <w:div w:id="868376462">
      <w:bodyDiv w:val="1"/>
      <w:marLeft w:val="0"/>
      <w:marRight w:val="0"/>
      <w:marTop w:val="0"/>
      <w:marBottom w:val="0"/>
      <w:divBdr>
        <w:top w:val="none" w:sz="0" w:space="0" w:color="auto"/>
        <w:left w:val="none" w:sz="0" w:space="0" w:color="auto"/>
        <w:bottom w:val="none" w:sz="0" w:space="0" w:color="auto"/>
        <w:right w:val="none" w:sz="0" w:space="0" w:color="auto"/>
      </w:divBdr>
    </w:div>
    <w:div w:id="1260602782">
      <w:bodyDiv w:val="1"/>
      <w:marLeft w:val="0"/>
      <w:marRight w:val="0"/>
      <w:marTop w:val="0"/>
      <w:marBottom w:val="0"/>
      <w:divBdr>
        <w:top w:val="none" w:sz="0" w:space="0" w:color="auto"/>
        <w:left w:val="none" w:sz="0" w:space="0" w:color="auto"/>
        <w:bottom w:val="none" w:sz="0" w:space="0" w:color="auto"/>
        <w:right w:val="none" w:sz="0" w:space="0" w:color="auto"/>
      </w:divBdr>
    </w:div>
    <w:div w:id="1476534338">
      <w:bodyDiv w:val="1"/>
      <w:marLeft w:val="0"/>
      <w:marRight w:val="0"/>
      <w:marTop w:val="0"/>
      <w:marBottom w:val="0"/>
      <w:divBdr>
        <w:top w:val="none" w:sz="0" w:space="0" w:color="auto"/>
        <w:left w:val="none" w:sz="0" w:space="0" w:color="auto"/>
        <w:bottom w:val="none" w:sz="0" w:space="0" w:color="auto"/>
        <w:right w:val="none" w:sz="0" w:space="0" w:color="auto"/>
      </w:divBdr>
    </w:div>
    <w:div w:id="1713074327">
      <w:bodyDiv w:val="1"/>
      <w:marLeft w:val="0"/>
      <w:marRight w:val="0"/>
      <w:marTop w:val="0"/>
      <w:marBottom w:val="0"/>
      <w:divBdr>
        <w:top w:val="none" w:sz="0" w:space="0" w:color="auto"/>
        <w:left w:val="none" w:sz="0" w:space="0" w:color="auto"/>
        <w:bottom w:val="none" w:sz="0" w:space="0" w:color="auto"/>
        <w:right w:val="none" w:sz="0" w:space="0" w:color="auto"/>
      </w:divBdr>
    </w:div>
    <w:div w:id="1750081359">
      <w:bodyDiv w:val="1"/>
      <w:marLeft w:val="0"/>
      <w:marRight w:val="0"/>
      <w:marTop w:val="0"/>
      <w:marBottom w:val="0"/>
      <w:divBdr>
        <w:top w:val="none" w:sz="0" w:space="0" w:color="auto"/>
        <w:left w:val="none" w:sz="0" w:space="0" w:color="auto"/>
        <w:bottom w:val="none" w:sz="0" w:space="0" w:color="auto"/>
        <w:right w:val="none" w:sz="0" w:space="0" w:color="auto"/>
      </w:divBdr>
    </w:div>
    <w:div w:id="1788968554">
      <w:bodyDiv w:val="1"/>
      <w:marLeft w:val="0"/>
      <w:marRight w:val="0"/>
      <w:marTop w:val="0"/>
      <w:marBottom w:val="0"/>
      <w:divBdr>
        <w:top w:val="none" w:sz="0" w:space="0" w:color="auto"/>
        <w:left w:val="none" w:sz="0" w:space="0" w:color="auto"/>
        <w:bottom w:val="none" w:sz="0" w:space="0" w:color="auto"/>
        <w:right w:val="none" w:sz="0" w:space="0" w:color="auto"/>
      </w:divBdr>
    </w:div>
    <w:div w:id="1856454682">
      <w:bodyDiv w:val="1"/>
      <w:marLeft w:val="0"/>
      <w:marRight w:val="0"/>
      <w:marTop w:val="0"/>
      <w:marBottom w:val="0"/>
      <w:divBdr>
        <w:top w:val="none" w:sz="0" w:space="0" w:color="auto"/>
        <w:left w:val="none" w:sz="0" w:space="0" w:color="auto"/>
        <w:bottom w:val="none" w:sz="0" w:space="0" w:color="auto"/>
        <w:right w:val="none" w:sz="0" w:space="0" w:color="auto"/>
      </w:divBdr>
    </w:div>
    <w:div w:id="1887449632">
      <w:bodyDiv w:val="1"/>
      <w:marLeft w:val="0"/>
      <w:marRight w:val="0"/>
      <w:marTop w:val="0"/>
      <w:marBottom w:val="0"/>
      <w:divBdr>
        <w:top w:val="none" w:sz="0" w:space="0" w:color="auto"/>
        <w:left w:val="none" w:sz="0" w:space="0" w:color="auto"/>
        <w:bottom w:val="none" w:sz="0" w:space="0" w:color="auto"/>
        <w:right w:val="none" w:sz="0" w:space="0" w:color="auto"/>
      </w:divBdr>
    </w:div>
    <w:div w:id="1970624572">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06860886">
      <w:bodyDiv w:val="1"/>
      <w:marLeft w:val="0"/>
      <w:marRight w:val="0"/>
      <w:marTop w:val="0"/>
      <w:marBottom w:val="0"/>
      <w:divBdr>
        <w:top w:val="none" w:sz="0" w:space="0" w:color="auto"/>
        <w:left w:val="none" w:sz="0" w:space="0" w:color="auto"/>
        <w:bottom w:val="none" w:sz="0" w:space="0" w:color="auto"/>
        <w:right w:val="none" w:sz="0" w:space="0" w:color="auto"/>
      </w:divBdr>
    </w:div>
    <w:div w:id="20739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3889-F64E-473D-A152-0432F290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5164</Words>
  <Characters>31874</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7.02 Lurasidone</vt:lpstr>
    </vt:vector>
  </TitlesOfParts>
  <LinksUpToDate>false</LinksUpToDate>
  <CharactersWithSpaces>36965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Lurasidone</dc:title>
  <dc:creator/>
  <cp:lastModifiedBy/>
  <cp:revision>1</cp:revision>
  <dcterms:created xsi:type="dcterms:W3CDTF">2015-06-29T05:20:00Z</dcterms:created>
  <dcterms:modified xsi:type="dcterms:W3CDTF">2015-06-30T01:27:00Z</dcterms:modified>
</cp:coreProperties>
</file>