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207D00" w:rsidRDefault="0023043B" w:rsidP="00947DFC">
      <w:pPr>
        <w:pStyle w:val="Heading1"/>
        <w:widowControl/>
        <w:jc w:val="left"/>
        <w:rPr>
          <w:sz w:val="28"/>
        </w:rPr>
      </w:pPr>
      <w:bookmarkStart w:id="0" w:name="_Toc409512482"/>
      <w:r>
        <w:rPr>
          <w:sz w:val="28"/>
        </w:rPr>
        <w:t>5.14</w:t>
      </w:r>
      <w:r w:rsidR="00B60939" w:rsidRPr="00207D00">
        <w:rPr>
          <w:sz w:val="28"/>
        </w:rPr>
        <w:tab/>
      </w:r>
      <w:r w:rsidR="00025643">
        <w:rPr>
          <w:sz w:val="28"/>
        </w:rPr>
        <w:t>L</w:t>
      </w:r>
      <w:r w:rsidR="00965E3B">
        <w:rPr>
          <w:sz w:val="28"/>
        </w:rPr>
        <w:t>ignocaine</w:t>
      </w:r>
      <w:r w:rsidR="00947DFC">
        <w:rPr>
          <w:sz w:val="28"/>
        </w:rPr>
        <w:br/>
      </w:r>
      <w:r>
        <w:rPr>
          <w:sz w:val="28"/>
        </w:rPr>
        <w:t xml:space="preserve">5% </w:t>
      </w:r>
      <w:r w:rsidR="00965E3B">
        <w:rPr>
          <w:caps w:val="0"/>
          <w:sz w:val="28"/>
        </w:rPr>
        <w:t>patch</w:t>
      </w:r>
      <w:r>
        <w:rPr>
          <w:caps w:val="0"/>
          <w:sz w:val="28"/>
        </w:rPr>
        <w:t>: dermal</w:t>
      </w:r>
      <w:r w:rsidR="00B60939" w:rsidRPr="00207D00">
        <w:rPr>
          <w:sz w:val="28"/>
        </w:rPr>
        <w:t xml:space="preserve">, </w:t>
      </w:r>
      <w:r>
        <w:rPr>
          <w:sz w:val="28"/>
        </w:rPr>
        <w:t>30</w:t>
      </w:r>
      <w:r w:rsidR="00947DFC">
        <w:rPr>
          <w:sz w:val="28"/>
        </w:rPr>
        <w:t xml:space="preserve"> </w:t>
      </w:r>
      <w:r w:rsidR="00947DFC">
        <w:rPr>
          <w:sz w:val="28"/>
        </w:rPr>
        <w:br/>
      </w:r>
      <w:r w:rsidR="00965E3B">
        <w:rPr>
          <w:caps w:val="0"/>
          <w:sz w:val="28"/>
        </w:rPr>
        <w:t>Versatis</w:t>
      </w:r>
      <w:r w:rsidR="00B60939" w:rsidRPr="00207D00">
        <w:rPr>
          <w:sz w:val="28"/>
          <w:vertAlign w:val="superscript"/>
        </w:rPr>
        <w:t>®</w:t>
      </w:r>
      <w:r w:rsidR="00B60939" w:rsidRPr="00207D00">
        <w:rPr>
          <w:sz w:val="28"/>
        </w:rPr>
        <w:t xml:space="preserve">, </w:t>
      </w:r>
      <w:r w:rsidR="00965E3B">
        <w:rPr>
          <w:caps w:val="0"/>
          <w:sz w:val="28"/>
        </w:rPr>
        <w:t>bioCSL</w:t>
      </w:r>
      <w:r>
        <w:rPr>
          <w:caps w:val="0"/>
          <w:sz w:val="28"/>
        </w:rPr>
        <w:t xml:space="preserve"> Pty Ltd</w:t>
      </w:r>
      <w:bookmarkEnd w:id="0"/>
    </w:p>
    <w:p w:rsidR="00275B0D" w:rsidRDefault="00275B0D" w:rsidP="00F34ABE">
      <w:pPr>
        <w:pStyle w:val="BodyText"/>
        <w:widowControl/>
      </w:pPr>
    </w:p>
    <w:p w:rsidR="00B60939" w:rsidRDefault="00B60939" w:rsidP="00F34ABE">
      <w:pPr>
        <w:widowControl/>
      </w:pPr>
    </w:p>
    <w:p w:rsidR="00B50DB8" w:rsidRPr="00407F2D" w:rsidRDefault="00B50DB8" w:rsidP="00F34ABE">
      <w:pPr>
        <w:pStyle w:val="PBACHeading1"/>
      </w:pPr>
      <w:bookmarkStart w:id="1" w:name="_Toc409512484"/>
      <w:r w:rsidRPr="00407F2D">
        <w:t>Purpose of Application</w:t>
      </w:r>
      <w:bookmarkEnd w:id="1"/>
    </w:p>
    <w:p w:rsidR="00B60939" w:rsidRPr="00882085" w:rsidRDefault="00B60939" w:rsidP="00F34ABE">
      <w:pPr>
        <w:widowControl/>
        <w:rPr>
          <w:szCs w:val="22"/>
        </w:rPr>
      </w:pPr>
    </w:p>
    <w:p w:rsidR="002C2775" w:rsidRPr="00B50DB8" w:rsidRDefault="009700CC" w:rsidP="00F34ABE">
      <w:pPr>
        <w:pStyle w:val="ListParagraph"/>
        <w:widowControl/>
        <w:numPr>
          <w:ilvl w:val="1"/>
          <w:numId w:val="7"/>
        </w:numPr>
        <w:rPr>
          <w:szCs w:val="22"/>
        </w:rPr>
      </w:pPr>
      <w:r>
        <w:t xml:space="preserve">To request </w:t>
      </w:r>
      <w:r w:rsidR="001E238E" w:rsidRPr="004B3DDB">
        <w:t>Authority Required</w:t>
      </w:r>
      <w:r w:rsidR="004664A2">
        <w:t xml:space="preserve"> (STREAMLINED)</w:t>
      </w:r>
      <w:r w:rsidR="001E238E" w:rsidRPr="004B3DDB">
        <w:t xml:space="preserve"> listing for </w:t>
      </w:r>
      <w:r w:rsidR="004664A2">
        <w:t xml:space="preserve">lignocaine 5% w/w dermal patch </w:t>
      </w:r>
      <w:r w:rsidR="001E238E" w:rsidRPr="004B3DDB">
        <w:t xml:space="preserve">for </w:t>
      </w:r>
      <w:r w:rsidR="00AA2CAA">
        <w:t xml:space="preserve">the </w:t>
      </w:r>
      <w:r w:rsidR="001E238E" w:rsidRPr="004B3DDB">
        <w:t xml:space="preserve">treatment of </w:t>
      </w:r>
      <w:r w:rsidR="004664A2">
        <w:t>post-herpetic neuralgia (PHN)</w:t>
      </w:r>
      <w:r w:rsidR="001E238E" w:rsidRPr="004B3DDB">
        <w:t>.</w:t>
      </w:r>
    </w:p>
    <w:p w:rsidR="004E43B2" w:rsidRDefault="004E43B2" w:rsidP="00F34ABE">
      <w:pPr>
        <w:widowControl/>
      </w:pPr>
    </w:p>
    <w:p w:rsidR="009700CC" w:rsidRPr="001C0FD8" w:rsidRDefault="009700CC" w:rsidP="00F34ABE">
      <w:pPr>
        <w:widowControl/>
      </w:pPr>
    </w:p>
    <w:p w:rsidR="00B50DB8" w:rsidRPr="001C0FD8" w:rsidRDefault="00B50DB8" w:rsidP="00F34ABE">
      <w:pPr>
        <w:pStyle w:val="PBACHeading1"/>
      </w:pPr>
      <w:bookmarkStart w:id="2" w:name="_Toc409512485"/>
      <w:r w:rsidRPr="001C0FD8">
        <w:t>Requested listing</w:t>
      </w:r>
      <w:bookmarkEnd w:id="2"/>
    </w:p>
    <w:p w:rsidR="00B60939" w:rsidRPr="001C0FD8" w:rsidRDefault="00B60939" w:rsidP="00F34ABE">
      <w:pPr>
        <w:widowControl/>
      </w:pPr>
    </w:p>
    <w:p w:rsidR="00617E12" w:rsidRPr="001C0FD8" w:rsidRDefault="00055958" w:rsidP="00F34ABE">
      <w:pPr>
        <w:pStyle w:val="ListParagraph"/>
        <w:widowControl/>
        <w:numPr>
          <w:ilvl w:val="1"/>
          <w:numId w:val="7"/>
        </w:numPr>
        <w:rPr>
          <w:szCs w:val="22"/>
        </w:rPr>
      </w:pPr>
      <w:r w:rsidRPr="001C0FD8">
        <w:t xml:space="preserve">The submission </w:t>
      </w:r>
      <w:r w:rsidR="00560905" w:rsidRPr="001C0FD8">
        <w:t>proposed two alternatives for consideration by the PBAC</w:t>
      </w:r>
      <w:r w:rsidR="0089655E" w:rsidRPr="001C0FD8">
        <w:t xml:space="preserve">, referred to </w:t>
      </w:r>
      <w:r w:rsidR="0089655E" w:rsidRPr="00811867">
        <w:t>as Option 1 and Option 2</w:t>
      </w:r>
      <w:r w:rsidR="000D4115" w:rsidRPr="00811867">
        <w:t>. Suggestions and additions proposed by the Secretariat to the requested listing are added in italics.</w:t>
      </w:r>
      <w:r w:rsidR="00096658">
        <w:t xml:space="preserve"> Option 1 is the same as the pregabalin restriction.</w:t>
      </w:r>
    </w:p>
    <w:p w:rsidR="00A167B8" w:rsidRDefault="00A167B8" w:rsidP="00F34ABE">
      <w:pPr>
        <w:widowControl/>
        <w:ind w:left="720"/>
        <w:rPr>
          <w:b/>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0D4115" w:rsidRPr="00260CE3" w:rsidTr="000D4115">
        <w:trPr>
          <w:cantSplit/>
          <w:trHeight w:val="471"/>
        </w:trPr>
        <w:tc>
          <w:tcPr>
            <w:tcW w:w="2552" w:type="dxa"/>
            <w:gridSpan w:val="2"/>
            <w:tcBorders>
              <w:bottom w:val="single" w:sz="4" w:space="0" w:color="auto"/>
            </w:tcBorders>
          </w:tcPr>
          <w:p w:rsidR="000D4115" w:rsidRPr="00260CE3" w:rsidRDefault="000D4115" w:rsidP="00F34ABE">
            <w:pPr>
              <w:keepNext/>
              <w:widowControl/>
              <w:ind w:left="-108"/>
              <w:rPr>
                <w:rFonts w:ascii="Arial Narrow" w:hAnsi="Arial Narrow"/>
                <w:sz w:val="20"/>
              </w:rPr>
            </w:pPr>
            <w:r w:rsidRPr="00260CE3">
              <w:rPr>
                <w:rFonts w:ascii="Arial Narrow" w:hAnsi="Arial Narrow"/>
                <w:sz w:val="20"/>
              </w:rPr>
              <w:t>Name, Restriction,</w:t>
            </w:r>
          </w:p>
          <w:p w:rsidR="000D4115" w:rsidRPr="00260CE3" w:rsidRDefault="000D4115" w:rsidP="00F34ABE">
            <w:pPr>
              <w:keepNext/>
              <w:widowControl/>
              <w:ind w:left="-108"/>
              <w:jc w:val="left"/>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0D4115" w:rsidRPr="00260CE3" w:rsidRDefault="000D4115" w:rsidP="00F34ABE">
            <w:pPr>
              <w:keepNext/>
              <w:widowControl/>
              <w:ind w:left="-108"/>
              <w:rPr>
                <w:rFonts w:ascii="Arial Narrow" w:hAnsi="Arial Narrow"/>
                <w:sz w:val="20"/>
              </w:rPr>
            </w:pPr>
            <w:r w:rsidRPr="00260CE3">
              <w:rPr>
                <w:rFonts w:ascii="Arial Narrow" w:hAnsi="Arial Narrow"/>
                <w:sz w:val="20"/>
              </w:rPr>
              <w:t>Max.</w:t>
            </w:r>
          </w:p>
          <w:p w:rsidR="000D4115" w:rsidRPr="00260CE3" w:rsidRDefault="000D4115" w:rsidP="00F34ABE">
            <w:pPr>
              <w:keepNext/>
              <w:widowControl/>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0D4115" w:rsidRPr="00260CE3" w:rsidRDefault="000D4115" w:rsidP="00F34ABE">
            <w:pPr>
              <w:keepNext/>
              <w:widowControl/>
              <w:ind w:left="-108"/>
              <w:rPr>
                <w:rFonts w:ascii="Arial Narrow" w:hAnsi="Arial Narrow"/>
                <w:sz w:val="20"/>
              </w:rPr>
            </w:pPr>
            <w:r w:rsidRPr="00260CE3">
              <w:rPr>
                <w:rFonts w:ascii="Arial Narrow" w:hAnsi="Arial Narrow"/>
                <w:sz w:val="20"/>
              </w:rPr>
              <w:t>№.of</w:t>
            </w:r>
          </w:p>
          <w:p w:rsidR="000D4115" w:rsidRPr="00260CE3" w:rsidRDefault="000D4115" w:rsidP="00F34ABE">
            <w:pPr>
              <w:keepNext/>
              <w:widowControl/>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0D4115" w:rsidRPr="00260CE3" w:rsidRDefault="000D4115" w:rsidP="00F34ABE">
            <w:pPr>
              <w:keepNext/>
              <w:widowControl/>
              <w:ind w:left="-108"/>
              <w:rPr>
                <w:rFonts w:ascii="Arial Narrow" w:hAnsi="Arial Narrow"/>
                <w:sz w:val="20"/>
              </w:rPr>
            </w:pPr>
            <w:r w:rsidRPr="00260CE3">
              <w:rPr>
                <w:rFonts w:ascii="Arial Narrow" w:hAnsi="Arial Narrow"/>
                <w:sz w:val="20"/>
              </w:rPr>
              <w:t>Dispensed Price for Max. Qty</w:t>
            </w:r>
          </w:p>
        </w:tc>
        <w:tc>
          <w:tcPr>
            <w:tcW w:w="2835" w:type="dxa"/>
            <w:gridSpan w:val="2"/>
            <w:tcBorders>
              <w:bottom w:val="single" w:sz="4" w:space="0" w:color="auto"/>
            </w:tcBorders>
          </w:tcPr>
          <w:p w:rsidR="000D4115" w:rsidRPr="00260CE3" w:rsidRDefault="000D4115" w:rsidP="00F34ABE">
            <w:pPr>
              <w:keepNext/>
              <w:widowControl/>
              <w:rPr>
                <w:rFonts w:ascii="Arial Narrow" w:hAnsi="Arial Narrow"/>
                <w:sz w:val="20"/>
                <w:lang w:val="fr-FR"/>
              </w:rPr>
            </w:pPr>
            <w:r w:rsidRPr="00260CE3">
              <w:rPr>
                <w:rFonts w:ascii="Arial Narrow" w:hAnsi="Arial Narrow"/>
                <w:sz w:val="20"/>
              </w:rPr>
              <w:t>Proprietary Name and Manufacturer</w:t>
            </w:r>
          </w:p>
        </w:tc>
      </w:tr>
      <w:tr w:rsidR="000D4115" w:rsidRPr="00260CE3" w:rsidTr="000D4115">
        <w:trPr>
          <w:cantSplit/>
          <w:trHeight w:val="577"/>
        </w:trPr>
        <w:tc>
          <w:tcPr>
            <w:tcW w:w="2552" w:type="dxa"/>
            <w:gridSpan w:val="2"/>
          </w:tcPr>
          <w:p w:rsidR="000D4115" w:rsidRPr="00260CE3" w:rsidRDefault="000D4115" w:rsidP="00F34ABE">
            <w:pPr>
              <w:keepNext/>
              <w:widowControl/>
              <w:ind w:left="-108"/>
              <w:rPr>
                <w:rFonts w:ascii="Arial Narrow" w:hAnsi="Arial Narrow"/>
                <w:sz w:val="20"/>
              </w:rPr>
            </w:pPr>
            <w:r>
              <w:rPr>
                <w:rFonts w:ascii="Arial Narrow" w:hAnsi="Arial Narrow"/>
                <w:smallCaps/>
                <w:sz w:val="20"/>
              </w:rPr>
              <w:t>LIGNOCAINE</w:t>
            </w:r>
          </w:p>
          <w:p w:rsidR="000D4115" w:rsidRPr="00260CE3" w:rsidRDefault="000D4115" w:rsidP="00F34ABE">
            <w:pPr>
              <w:keepNext/>
              <w:widowControl/>
              <w:ind w:left="-108"/>
              <w:rPr>
                <w:rFonts w:ascii="Arial Narrow" w:hAnsi="Arial Narrow"/>
                <w:sz w:val="20"/>
              </w:rPr>
            </w:pPr>
            <w:r>
              <w:rPr>
                <w:rFonts w:ascii="Arial Narrow" w:hAnsi="Arial Narrow"/>
                <w:sz w:val="20"/>
              </w:rPr>
              <w:t>5% patch: dermal, 30</w:t>
            </w:r>
          </w:p>
        </w:tc>
        <w:tc>
          <w:tcPr>
            <w:tcW w:w="567" w:type="dxa"/>
          </w:tcPr>
          <w:p w:rsidR="000D4115" w:rsidRPr="00260CE3" w:rsidRDefault="000D4115" w:rsidP="00F34ABE">
            <w:pPr>
              <w:keepNext/>
              <w:widowControl/>
              <w:ind w:left="-108"/>
              <w:rPr>
                <w:rFonts w:ascii="Arial Narrow" w:hAnsi="Arial Narrow"/>
                <w:sz w:val="20"/>
              </w:rPr>
            </w:pPr>
          </w:p>
          <w:p w:rsidR="000D4115" w:rsidRPr="00260CE3" w:rsidRDefault="000D4115" w:rsidP="00F34ABE">
            <w:pPr>
              <w:keepNext/>
              <w:widowControl/>
              <w:ind w:left="-108"/>
              <w:rPr>
                <w:rFonts w:ascii="Arial Narrow" w:hAnsi="Arial Narrow"/>
                <w:sz w:val="20"/>
              </w:rPr>
            </w:pPr>
            <w:r>
              <w:rPr>
                <w:rFonts w:ascii="Arial Narrow" w:hAnsi="Arial Narrow"/>
                <w:sz w:val="20"/>
              </w:rPr>
              <w:t>2</w:t>
            </w:r>
          </w:p>
        </w:tc>
        <w:tc>
          <w:tcPr>
            <w:tcW w:w="850" w:type="dxa"/>
          </w:tcPr>
          <w:p w:rsidR="000D4115" w:rsidRPr="00260CE3" w:rsidRDefault="000D4115" w:rsidP="00F34ABE">
            <w:pPr>
              <w:keepNext/>
              <w:widowControl/>
              <w:ind w:left="-108"/>
              <w:rPr>
                <w:rFonts w:ascii="Arial Narrow" w:hAnsi="Arial Narrow"/>
                <w:sz w:val="20"/>
              </w:rPr>
            </w:pPr>
          </w:p>
          <w:p w:rsidR="000D4115" w:rsidRPr="00260CE3" w:rsidRDefault="000D4115" w:rsidP="00F34ABE">
            <w:pPr>
              <w:keepNext/>
              <w:widowControl/>
              <w:ind w:left="-108"/>
              <w:rPr>
                <w:rFonts w:ascii="Arial Narrow" w:hAnsi="Arial Narrow"/>
                <w:sz w:val="20"/>
              </w:rPr>
            </w:pPr>
            <w:r>
              <w:rPr>
                <w:rFonts w:ascii="Arial Narrow" w:hAnsi="Arial Narrow"/>
                <w:sz w:val="20"/>
              </w:rPr>
              <w:t>5</w:t>
            </w:r>
          </w:p>
        </w:tc>
        <w:tc>
          <w:tcPr>
            <w:tcW w:w="1701" w:type="dxa"/>
          </w:tcPr>
          <w:p w:rsidR="000D4115" w:rsidRPr="00260CE3" w:rsidRDefault="000D4115" w:rsidP="00F34ABE">
            <w:pPr>
              <w:keepNext/>
              <w:widowControl/>
              <w:ind w:left="-108"/>
              <w:rPr>
                <w:rFonts w:ascii="Arial Narrow" w:hAnsi="Arial Narrow"/>
                <w:sz w:val="20"/>
              </w:rPr>
            </w:pPr>
          </w:p>
          <w:p w:rsidR="000D4115" w:rsidRPr="00260CE3" w:rsidRDefault="000D4115" w:rsidP="00F34ABE">
            <w:pPr>
              <w:keepNext/>
              <w:widowControl/>
              <w:ind w:left="-108"/>
              <w:rPr>
                <w:rFonts w:ascii="Arial Narrow" w:hAnsi="Arial Narrow"/>
                <w:sz w:val="20"/>
              </w:rPr>
            </w:pPr>
            <w:r>
              <w:rPr>
                <w:rFonts w:ascii="Arial Narrow" w:hAnsi="Arial Narrow"/>
                <w:sz w:val="20"/>
              </w:rPr>
              <w:t>$</w:t>
            </w:r>
            <w:r w:rsidR="00512AF9">
              <w:rPr>
                <w:rFonts w:ascii="Arial Narrow" w:hAnsi="Arial Narrow"/>
                <w:noProof/>
                <w:color w:val="000000"/>
                <w:sz w:val="20"/>
                <w:highlight w:val="black"/>
              </w:rPr>
              <w:t>'''''''''''''''''</w:t>
            </w:r>
          </w:p>
        </w:tc>
        <w:tc>
          <w:tcPr>
            <w:tcW w:w="1559" w:type="dxa"/>
          </w:tcPr>
          <w:p w:rsidR="000D4115" w:rsidRPr="00260CE3" w:rsidRDefault="000D4115" w:rsidP="00F34ABE">
            <w:pPr>
              <w:keepNext/>
              <w:widowControl/>
              <w:rPr>
                <w:rFonts w:ascii="Arial Narrow" w:hAnsi="Arial Narrow"/>
                <w:sz w:val="20"/>
              </w:rPr>
            </w:pPr>
            <w:r>
              <w:rPr>
                <w:rFonts w:ascii="Arial Narrow" w:hAnsi="Arial Narrow"/>
                <w:sz w:val="20"/>
              </w:rPr>
              <w:t>Versatis®</w:t>
            </w:r>
          </w:p>
        </w:tc>
        <w:tc>
          <w:tcPr>
            <w:tcW w:w="1276" w:type="dxa"/>
          </w:tcPr>
          <w:p w:rsidR="000D4115" w:rsidRPr="00260CE3" w:rsidRDefault="000D4115" w:rsidP="00F34ABE">
            <w:pPr>
              <w:keepNext/>
              <w:widowControl/>
              <w:rPr>
                <w:rFonts w:ascii="Arial Narrow" w:hAnsi="Arial Narrow"/>
                <w:sz w:val="20"/>
              </w:rPr>
            </w:pPr>
            <w:r>
              <w:rPr>
                <w:rFonts w:ascii="Arial Narrow" w:hAnsi="Arial Narrow"/>
                <w:sz w:val="20"/>
              </w:rPr>
              <w:t>CS</w:t>
            </w:r>
          </w:p>
        </w:tc>
      </w:tr>
      <w:tr w:rsidR="000D4115" w:rsidRPr="00A91D51" w:rsidTr="000D4115">
        <w:trPr>
          <w:cantSplit/>
          <w:trHeight w:val="360"/>
        </w:trPr>
        <w:tc>
          <w:tcPr>
            <w:tcW w:w="8505" w:type="dxa"/>
            <w:gridSpan w:val="7"/>
            <w:tcBorders>
              <w:bottom w:val="single" w:sz="4" w:space="0" w:color="auto"/>
            </w:tcBorders>
          </w:tcPr>
          <w:p w:rsidR="000D4115" w:rsidRPr="0002209C" w:rsidRDefault="000D4115" w:rsidP="00F34ABE">
            <w:pPr>
              <w:widowControl/>
              <w:rPr>
                <w:b/>
                <w:szCs w:val="22"/>
              </w:rPr>
            </w:pPr>
            <w:r w:rsidRPr="0002209C">
              <w:rPr>
                <w:b/>
                <w:szCs w:val="22"/>
              </w:rPr>
              <w:t>Option 1</w:t>
            </w: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b/>
                <w:sz w:val="20"/>
              </w:rPr>
            </w:pPr>
            <w:r w:rsidRPr="00260CE3">
              <w:rPr>
                <w:rFonts w:ascii="Arial Narrow" w:hAnsi="Arial Narrow"/>
                <w:b/>
                <w:sz w:val="20"/>
              </w:rPr>
              <w:t xml:space="preserve">Category / </w:t>
            </w:r>
          </w:p>
          <w:p w:rsidR="000D4115" w:rsidRPr="00260CE3" w:rsidRDefault="000D4115" w:rsidP="00F34ABE">
            <w:pPr>
              <w:widowControl/>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sz w:val="20"/>
              </w:rPr>
            </w:pPr>
            <w:r w:rsidRPr="00260CE3">
              <w:rPr>
                <w:rFonts w:ascii="Arial Narrow" w:hAnsi="Arial Narrow"/>
                <w:sz w:val="20"/>
              </w:rPr>
              <w:t>GENER</w:t>
            </w:r>
            <w:r>
              <w:rPr>
                <w:rFonts w:ascii="Arial Narrow" w:hAnsi="Arial Narrow"/>
                <w:sz w:val="20"/>
              </w:rPr>
              <w:t>AL – General Schedule (Code GE)</w:t>
            </w: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C37370">
              <w:rPr>
                <w:rFonts w:ascii="Arial Narrow" w:hAnsi="Arial Narrow"/>
                <w:i/>
                <w:sz w:val="20"/>
              </w:rPr>
              <w:fldChar w:fldCharType="begin">
                <w:ffData>
                  <w:name w:val="Check3"/>
                  <w:enabled/>
                  <w:calcOnExit w:val="0"/>
                  <w:checkBox>
                    <w:sizeAuto/>
                    <w:default w:val="1"/>
                  </w:checkBox>
                </w:ffData>
              </w:fldChar>
            </w:r>
            <w:bookmarkStart w:id="3" w:name="Check3"/>
            <w:r w:rsidRPr="00C37370">
              <w:rPr>
                <w:rFonts w:ascii="Arial Narrow" w:hAnsi="Arial Narrow"/>
                <w:i/>
                <w:sz w:val="20"/>
              </w:rPr>
              <w:instrText xml:space="preserve"> FORMCHECKBOX </w:instrText>
            </w:r>
            <w:r w:rsidR="00F31955">
              <w:rPr>
                <w:rFonts w:ascii="Arial Narrow" w:hAnsi="Arial Narrow"/>
                <w:i/>
                <w:sz w:val="20"/>
              </w:rPr>
            </w:r>
            <w:r w:rsidR="00F31955">
              <w:rPr>
                <w:rFonts w:ascii="Arial Narrow" w:hAnsi="Arial Narrow"/>
                <w:i/>
                <w:sz w:val="20"/>
              </w:rPr>
              <w:fldChar w:fldCharType="separate"/>
            </w:r>
            <w:r w:rsidRPr="00C37370">
              <w:rPr>
                <w:rFonts w:ascii="Arial Narrow" w:hAnsi="Arial Narrow"/>
                <w:i/>
                <w:sz w:val="20"/>
              </w:rPr>
              <w:fldChar w:fldCharType="end"/>
            </w:r>
            <w:bookmarkEnd w:id="3"/>
            <w:r w:rsidRPr="00C37370">
              <w:rPr>
                <w:rFonts w:ascii="Arial Narrow" w:hAnsi="Arial Narrow"/>
                <w:i/>
                <w:sz w:val="20"/>
              </w:rPr>
              <w:t>Nurse practitioners</w:t>
            </w:r>
            <w:r w:rsidRPr="00260CE3">
              <w:rPr>
                <w:rFonts w:ascii="Arial Narrow" w:hAnsi="Arial Narrow"/>
                <w:sz w:val="20"/>
              </w:rPr>
              <w:t xml:space="preserve">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0D4115" w:rsidRPr="00260CE3" w:rsidRDefault="000D4115" w:rsidP="00F34ABE">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sz w:val="20"/>
              </w:rPr>
            </w:pPr>
            <w:r>
              <w:rPr>
                <w:rFonts w:ascii="Arial Narrow" w:hAnsi="Arial Narrow"/>
                <w:sz w:val="20"/>
              </w:rPr>
              <w:t>Postherpetic neuralgia</w:t>
            </w: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sz w:val="20"/>
              </w:rPr>
            </w:pPr>
            <w:r>
              <w:rPr>
                <w:rFonts w:ascii="Arial Narrow" w:hAnsi="Arial Narrow"/>
                <w:sz w:val="20"/>
              </w:rPr>
              <w:t>Postherpetic neuralgia</w:t>
            </w: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jc w:val="left"/>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0D4115" w:rsidRPr="00260CE3" w:rsidRDefault="000D4115" w:rsidP="00F34ABE">
            <w:pPr>
              <w:widowControl/>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D4115" w:rsidRPr="00106BCF" w:rsidRDefault="000D4115" w:rsidP="00F34ABE">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0D4115" w:rsidRPr="00106BCF" w:rsidRDefault="000D4115" w:rsidP="00F34ABE">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0D4115" w:rsidRPr="00106BCF" w:rsidRDefault="000D4115" w:rsidP="00F34ABE">
            <w:pPr>
              <w:widowControl/>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0D4115" w:rsidRPr="00106BCF" w:rsidRDefault="000D4115" w:rsidP="00F34ABE">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0D4115" w:rsidRPr="00106BCF" w:rsidRDefault="000D4115" w:rsidP="00F34ABE">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0D4115" w:rsidRPr="00260CE3" w:rsidRDefault="000D4115" w:rsidP="00F34ABE">
            <w:pPr>
              <w:widowControl/>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4" w:name="Check5"/>
            <w:r>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Pr>
                <w:rFonts w:ascii="Arial Narrow" w:hAnsi="Arial Narrow"/>
                <w:sz w:val="20"/>
              </w:rPr>
              <w:fldChar w:fldCharType="end"/>
            </w:r>
            <w:bookmarkEnd w:id="4"/>
            <w:r w:rsidRPr="00106BCF">
              <w:rPr>
                <w:rFonts w:ascii="Arial Narrow" w:hAnsi="Arial Narrow"/>
                <w:sz w:val="20"/>
              </w:rPr>
              <w:t>Streamlined</w:t>
            </w: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3410D1" w:rsidRDefault="000D4115" w:rsidP="00F34ABE">
            <w:pPr>
              <w:widowControl/>
              <w:rPr>
                <w:rFonts w:ascii="Arial Narrow" w:hAnsi="Arial Narrow"/>
                <w:b/>
                <w:sz w:val="20"/>
              </w:rPr>
            </w:pPr>
            <w:r>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sz w:val="20"/>
              </w:rPr>
            </w:pPr>
            <w:r>
              <w:rPr>
                <w:rFonts w:ascii="Arial Narrow" w:hAnsi="Arial Narrow"/>
                <w:sz w:val="20"/>
              </w:rPr>
              <w:t>The condition must be refractory to treatment with other drugs.</w:t>
            </w: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Default="000D4115" w:rsidP="00F34ABE">
            <w:pPr>
              <w:widowControl/>
              <w:rPr>
                <w:rFonts w:ascii="Arial Narrow" w:hAnsi="Arial Narrow"/>
                <w:b/>
                <w:sz w:val="20"/>
              </w:rPr>
            </w:pPr>
            <w:r>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0D4115" w:rsidRPr="009D5B31" w:rsidRDefault="000D4115" w:rsidP="00F34ABE">
            <w:pPr>
              <w:widowControl/>
              <w:rPr>
                <w:rFonts w:ascii="Arial Narrow" w:hAnsi="Arial Narrow"/>
                <w:b/>
                <w:i/>
                <w:sz w:val="20"/>
              </w:rPr>
            </w:pPr>
            <w:r w:rsidRPr="009D5B31">
              <w:rPr>
                <w:rFonts w:ascii="Arial Narrow" w:hAnsi="Arial Narrow"/>
                <w:b/>
                <w:i/>
                <w:sz w:val="20"/>
              </w:rPr>
              <w:t>Continuing Therapy Only:</w:t>
            </w:r>
          </w:p>
          <w:p w:rsidR="000D4115" w:rsidRDefault="000D4115" w:rsidP="00F34ABE">
            <w:pPr>
              <w:widowControl/>
              <w:rPr>
                <w:rFonts w:ascii="Arial Narrow" w:hAnsi="Arial Narrow"/>
                <w:sz w:val="20"/>
              </w:rPr>
            </w:pPr>
            <w:r w:rsidRPr="009D5B31">
              <w:rPr>
                <w:rFonts w:ascii="Arial Narrow" w:hAnsi="Arial Narrow"/>
                <w:i/>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0D4115" w:rsidRPr="00260CE3" w:rsidTr="000D4115">
        <w:trPr>
          <w:cantSplit/>
          <w:trHeight w:val="360"/>
        </w:trPr>
        <w:tc>
          <w:tcPr>
            <w:tcW w:w="2126" w:type="dxa"/>
            <w:tcBorders>
              <w:top w:val="single" w:sz="4" w:space="0" w:color="auto"/>
              <w:bottom w:val="single" w:sz="4" w:space="0" w:color="auto"/>
            </w:tcBorders>
          </w:tcPr>
          <w:p w:rsidR="000D4115" w:rsidRPr="0002209C" w:rsidRDefault="000D4115" w:rsidP="00F34ABE">
            <w:pPr>
              <w:widowControl/>
              <w:spacing w:before="120" w:after="120"/>
              <w:rPr>
                <w:rFonts w:ascii="Arial Narrow" w:hAnsi="Arial Narrow"/>
                <w:b/>
                <w:sz w:val="20"/>
              </w:rPr>
            </w:pPr>
            <w:r w:rsidRPr="0002209C">
              <w:rPr>
                <w:b/>
                <w:szCs w:val="22"/>
              </w:rPr>
              <w:t>Option 2</w:t>
            </w:r>
          </w:p>
        </w:tc>
        <w:tc>
          <w:tcPr>
            <w:tcW w:w="6379" w:type="dxa"/>
            <w:gridSpan w:val="6"/>
            <w:tcBorders>
              <w:top w:val="single" w:sz="4" w:space="0" w:color="auto"/>
              <w:bottom w:val="single" w:sz="4" w:space="0" w:color="auto"/>
            </w:tcBorders>
          </w:tcPr>
          <w:p w:rsidR="000D4115" w:rsidRPr="00A91D51" w:rsidRDefault="000D4115" w:rsidP="00F34ABE">
            <w:pPr>
              <w:widowControl/>
              <w:spacing w:before="120" w:after="120"/>
              <w:rPr>
                <w:rFonts w:ascii="Arial Narrow" w:hAnsi="Arial Narrow"/>
                <w:i/>
                <w:sz w:val="20"/>
              </w:rPr>
            </w:pP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b/>
                <w:sz w:val="20"/>
              </w:rPr>
            </w:pPr>
            <w:r w:rsidRPr="00260CE3">
              <w:rPr>
                <w:rFonts w:ascii="Arial Narrow" w:hAnsi="Arial Narrow"/>
                <w:b/>
                <w:sz w:val="20"/>
              </w:rPr>
              <w:t xml:space="preserve">Category / </w:t>
            </w:r>
          </w:p>
          <w:p w:rsidR="000D4115" w:rsidRPr="00260CE3" w:rsidRDefault="000D4115" w:rsidP="00F34ABE">
            <w:pPr>
              <w:widowControl/>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0D4115" w:rsidRPr="00C37370" w:rsidRDefault="000D4115" w:rsidP="00F34ABE">
            <w:pPr>
              <w:widowControl/>
              <w:rPr>
                <w:rFonts w:ascii="Arial Narrow" w:hAnsi="Arial Narrow"/>
                <w:sz w:val="20"/>
              </w:rPr>
            </w:pPr>
            <w:r w:rsidRPr="00C37370">
              <w:rPr>
                <w:rFonts w:ascii="Arial Narrow" w:hAnsi="Arial Narrow"/>
                <w:sz w:val="20"/>
              </w:rPr>
              <w:t>GENERAL – General Schedule (Code GE)</w:t>
            </w: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0D4115" w:rsidRPr="00C37370" w:rsidRDefault="000D4115" w:rsidP="00F34ABE">
            <w:pPr>
              <w:widowControl/>
              <w:rPr>
                <w:rFonts w:ascii="Arial Narrow" w:hAnsi="Arial Narrow"/>
                <w:sz w:val="20"/>
              </w:rPr>
            </w:pPr>
            <w:r w:rsidRPr="00C37370">
              <w:rPr>
                <w:rFonts w:ascii="Arial Narrow" w:hAnsi="Arial Narrow"/>
                <w:sz w:val="20"/>
              </w:rPr>
              <w:fldChar w:fldCharType="begin">
                <w:ffData>
                  <w:name w:val="Check1"/>
                  <w:enabled/>
                  <w:calcOnExit w:val="0"/>
                  <w:checkBox>
                    <w:sizeAuto/>
                    <w:default w:val="0"/>
                  </w:checkBox>
                </w:ffData>
              </w:fldChar>
            </w:r>
            <w:r w:rsidRPr="00C37370">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C37370">
              <w:rPr>
                <w:rFonts w:ascii="Arial Narrow" w:hAnsi="Arial Narrow"/>
                <w:sz w:val="20"/>
              </w:rPr>
              <w:fldChar w:fldCharType="end"/>
            </w:r>
            <w:r w:rsidRPr="00C37370">
              <w:rPr>
                <w:rFonts w:ascii="Arial Narrow" w:hAnsi="Arial Narrow"/>
                <w:sz w:val="20"/>
              </w:rPr>
              <w:t xml:space="preserve">Dental  </w:t>
            </w:r>
            <w:r w:rsidRPr="00C37370">
              <w:rPr>
                <w:rFonts w:ascii="Arial Narrow" w:hAnsi="Arial Narrow"/>
                <w:sz w:val="20"/>
              </w:rPr>
              <w:fldChar w:fldCharType="begin">
                <w:ffData>
                  <w:name w:val=""/>
                  <w:enabled/>
                  <w:calcOnExit w:val="0"/>
                  <w:checkBox>
                    <w:sizeAuto/>
                    <w:default w:val="1"/>
                  </w:checkBox>
                </w:ffData>
              </w:fldChar>
            </w:r>
            <w:r w:rsidRPr="00C37370">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C37370">
              <w:rPr>
                <w:rFonts w:ascii="Arial Narrow" w:hAnsi="Arial Narrow"/>
                <w:sz w:val="20"/>
              </w:rPr>
              <w:fldChar w:fldCharType="end"/>
            </w:r>
            <w:r w:rsidRPr="00C37370">
              <w:rPr>
                <w:rFonts w:ascii="Arial Narrow" w:hAnsi="Arial Narrow"/>
                <w:sz w:val="20"/>
              </w:rPr>
              <w:t xml:space="preserve">Medical Practitioners  </w:t>
            </w:r>
            <w:r w:rsidRPr="00C37370">
              <w:rPr>
                <w:rFonts w:ascii="Arial Narrow" w:hAnsi="Arial Narrow"/>
                <w:i/>
                <w:sz w:val="20"/>
              </w:rPr>
              <w:fldChar w:fldCharType="begin">
                <w:ffData>
                  <w:name w:val=""/>
                  <w:enabled/>
                  <w:calcOnExit w:val="0"/>
                  <w:checkBox>
                    <w:sizeAuto/>
                    <w:default w:val="1"/>
                  </w:checkBox>
                </w:ffData>
              </w:fldChar>
            </w:r>
            <w:r w:rsidRPr="00C37370">
              <w:rPr>
                <w:rFonts w:ascii="Arial Narrow" w:hAnsi="Arial Narrow"/>
                <w:i/>
                <w:sz w:val="20"/>
              </w:rPr>
              <w:instrText xml:space="preserve"> FORMCHECKBOX </w:instrText>
            </w:r>
            <w:r w:rsidR="00F31955">
              <w:rPr>
                <w:rFonts w:ascii="Arial Narrow" w:hAnsi="Arial Narrow"/>
                <w:i/>
                <w:sz w:val="20"/>
              </w:rPr>
            </w:r>
            <w:r w:rsidR="00F31955">
              <w:rPr>
                <w:rFonts w:ascii="Arial Narrow" w:hAnsi="Arial Narrow"/>
                <w:i/>
                <w:sz w:val="20"/>
              </w:rPr>
              <w:fldChar w:fldCharType="separate"/>
            </w:r>
            <w:r w:rsidRPr="00C37370">
              <w:rPr>
                <w:rFonts w:ascii="Arial Narrow" w:hAnsi="Arial Narrow"/>
                <w:i/>
                <w:sz w:val="20"/>
              </w:rPr>
              <w:fldChar w:fldCharType="end"/>
            </w:r>
            <w:r w:rsidRPr="00C37370">
              <w:rPr>
                <w:rFonts w:ascii="Arial Narrow" w:hAnsi="Arial Narrow"/>
                <w:i/>
                <w:sz w:val="20"/>
              </w:rPr>
              <w:t>Nurse practitioners</w:t>
            </w:r>
            <w:r w:rsidRPr="00C37370">
              <w:rPr>
                <w:rFonts w:ascii="Arial Narrow" w:hAnsi="Arial Narrow"/>
                <w:sz w:val="20"/>
              </w:rPr>
              <w:t xml:space="preserve">  </w:t>
            </w:r>
            <w:r w:rsidRPr="00C37370">
              <w:rPr>
                <w:rFonts w:ascii="Arial Narrow" w:hAnsi="Arial Narrow"/>
                <w:sz w:val="20"/>
              </w:rPr>
              <w:fldChar w:fldCharType="begin">
                <w:ffData>
                  <w:name w:val=""/>
                  <w:enabled/>
                  <w:calcOnExit w:val="0"/>
                  <w:checkBox>
                    <w:sizeAuto/>
                    <w:default w:val="0"/>
                  </w:checkBox>
                </w:ffData>
              </w:fldChar>
            </w:r>
            <w:r w:rsidRPr="00C37370">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C37370">
              <w:rPr>
                <w:rFonts w:ascii="Arial Narrow" w:hAnsi="Arial Narrow"/>
                <w:sz w:val="20"/>
              </w:rPr>
              <w:fldChar w:fldCharType="end"/>
            </w:r>
            <w:r w:rsidRPr="00C37370">
              <w:rPr>
                <w:rFonts w:ascii="Arial Narrow" w:hAnsi="Arial Narrow"/>
                <w:sz w:val="20"/>
              </w:rPr>
              <w:t>Optometrists</w:t>
            </w:r>
          </w:p>
          <w:p w:rsidR="000D4115" w:rsidRPr="00C37370" w:rsidRDefault="000D4115" w:rsidP="00F34ABE">
            <w:pPr>
              <w:widowControl/>
              <w:rPr>
                <w:rFonts w:ascii="Arial Narrow" w:hAnsi="Arial Narrow"/>
                <w:sz w:val="20"/>
              </w:rPr>
            </w:pPr>
            <w:r w:rsidRPr="00C37370">
              <w:rPr>
                <w:rFonts w:ascii="Arial Narrow" w:hAnsi="Arial Narrow"/>
                <w:sz w:val="20"/>
              </w:rPr>
              <w:fldChar w:fldCharType="begin">
                <w:ffData>
                  <w:name w:val="Check5"/>
                  <w:enabled/>
                  <w:calcOnExit w:val="0"/>
                  <w:checkBox>
                    <w:sizeAuto/>
                    <w:default w:val="0"/>
                  </w:checkBox>
                </w:ffData>
              </w:fldChar>
            </w:r>
            <w:r w:rsidRPr="00C37370">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C37370">
              <w:rPr>
                <w:rFonts w:ascii="Arial Narrow" w:hAnsi="Arial Narrow"/>
                <w:sz w:val="20"/>
              </w:rPr>
              <w:fldChar w:fldCharType="end"/>
            </w:r>
            <w:r w:rsidRPr="00C37370">
              <w:rPr>
                <w:rFonts w:ascii="Arial Narrow" w:hAnsi="Arial Narrow"/>
                <w:sz w:val="20"/>
              </w:rPr>
              <w:t>Midwives</w:t>
            </w: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b/>
                <w:sz w:val="20"/>
              </w:rPr>
            </w:pPr>
            <w:r w:rsidRPr="00260CE3">
              <w:rPr>
                <w:rFonts w:ascii="Arial Narrow" w:hAnsi="Arial Narrow"/>
                <w:b/>
                <w:sz w:val="20"/>
              </w:rPr>
              <w:lastRenderedPageBreak/>
              <w:t>Condition:</w:t>
            </w:r>
          </w:p>
        </w:tc>
        <w:tc>
          <w:tcPr>
            <w:tcW w:w="6379" w:type="dxa"/>
            <w:gridSpan w:val="6"/>
            <w:tcBorders>
              <w:top w:val="single" w:sz="4" w:space="0" w:color="auto"/>
              <w:left w:val="single" w:sz="4" w:space="0" w:color="auto"/>
              <w:bottom w:val="single" w:sz="4" w:space="0" w:color="auto"/>
              <w:right w:val="single" w:sz="4" w:space="0" w:color="auto"/>
            </w:tcBorders>
          </w:tcPr>
          <w:p w:rsidR="000D4115" w:rsidRPr="00C37370" w:rsidRDefault="000D4115" w:rsidP="00F34ABE">
            <w:pPr>
              <w:widowControl/>
              <w:rPr>
                <w:rFonts w:ascii="Arial Narrow" w:hAnsi="Arial Narrow"/>
                <w:sz w:val="20"/>
              </w:rPr>
            </w:pPr>
            <w:r w:rsidRPr="00C37370">
              <w:rPr>
                <w:rFonts w:ascii="Arial Narrow" w:hAnsi="Arial Narrow"/>
                <w:sz w:val="20"/>
              </w:rPr>
              <w:t>Postherpetic neuralgia</w:t>
            </w: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0D4115" w:rsidRPr="00C37370" w:rsidRDefault="000D4115" w:rsidP="00F34ABE">
            <w:pPr>
              <w:widowControl/>
              <w:rPr>
                <w:rFonts w:ascii="Arial Narrow" w:hAnsi="Arial Narrow"/>
                <w:sz w:val="20"/>
              </w:rPr>
            </w:pPr>
            <w:r w:rsidRPr="00C37370">
              <w:rPr>
                <w:rFonts w:ascii="Arial Narrow" w:hAnsi="Arial Narrow"/>
                <w:sz w:val="20"/>
              </w:rPr>
              <w:t>Postherpetic neuralgia</w:t>
            </w: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260CE3" w:rsidRDefault="000D4115" w:rsidP="00F34ABE">
            <w:pPr>
              <w:widowControl/>
              <w:jc w:val="left"/>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0D4115" w:rsidRPr="00A91D51" w:rsidRDefault="000D4115" w:rsidP="00F34ABE">
            <w:pPr>
              <w:widowControl/>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D4115" w:rsidRPr="00C37370" w:rsidRDefault="000D4115" w:rsidP="00F34ABE">
            <w:pPr>
              <w:widowControl/>
              <w:rPr>
                <w:rFonts w:ascii="Arial Narrow" w:hAnsi="Arial Narrow"/>
                <w:sz w:val="20"/>
              </w:rPr>
            </w:pPr>
            <w:r w:rsidRPr="00C37370">
              <w:rPr>
                <w:rFonts w:ascii="Arial Narrow" w:hAnsi="Arial Narrow"/>
                <w:sz w:val="20"/>
              </w:rPr>
              <w:fldChar w:fldCharType="begin">
                <w:ffData>
                  <w:name w:val="Check1"/>
                  <w:enabled/>
                  <w:calcOnExit w:val="0"/>
                  <w:checkBox>
                    <w:sizeAuto/>
                    <w:default w:val="0"/>
                  </w:checkBox>
                </w:ffData>
              </w:fldChar>
            </w:r>
            <w:r w:rsidRPr="00C37370">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C37370">
              <w:rPr>
                <w:rFonts w:ascii="Arial Narrow" w:hAnsi="Arial Narrow"/>
                <w:sz w:val="20"/>
              </w:rPr>
              <w:fldChar w:fldCharType="end"/>
            </w:r>
            <w:r w:rsidRPr="00C37370">
              <w:rPr>
                <w:rFonts w:ascii="Arial Narrow" w:hAnsi="Arial Narrow"/>
                <w:sz w:val="20"/>
              </w:rPr>
              <w:t>Restricted benefit</w:t>
            </w:r>
          </w:p>
          <w:p w:rsidR="000D4115" w:rsidRPr="00C37370" w:rsidRDefault="000D4115" w:rsidP="00F34ABE">
            <w:pPr>
              <w:widowControl/>
              <w:rPr>
                <w:rFonts w:ascii="Arial Narrow" w:hAnsi="Arial Narrow"/>
                <w:sz w:val="20"/>
              </w:rPr>
            </w:pPr>
            <w:r w:rsidRPr="00C37370">
              <w:rPr>
                <w:rFonts w:ascii="Arial Narrow" w:hAnsi="Arial Narrow"/>
                <w:sz w:val="20"/>
              </w:rPr>
              <w:fldChar w:fldCharType="begin">
                <w:ffData>
                  <w:name w:val=""/>
                  <w:enabled/>
                  <w:calcOnExit w:val="0"/>
                  <w:checkBox>
                    <w:sizeAuto/>
                    <w:default w:val="0"/>
                  </w:checkBox>
                </w:ffData>
              </w:fldChar>
            </w:r>
            <w:r w:rsidRPr="00C37370">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C37370">
              <w:rPr>
                <w:rFonts w:ascii="Arial Narrow" w:hAnsi="Arial Narrow"/>
                <w:sz w:val="20"/>
              </w:rPr>
              <w:fldChar w:fldCharType="end"/>
            </w:r>
            <w:r w:rsidRPr="00C37370">
              <w:rPr>
                <w:rFonts w:ascii="Arial Narrow" w:hAnsi="Arial Narrow"/>
                <w:sz w:val="20"/>
              </w:rPr>
              <w:t>Authority Required - In Writing</w:t>
            </w:r>
          </w:p>
          <w:p w:rsidR="000D4115" w:rsidRPr="00C37370" w:rsidRDefault="000D4115" w:rsidP="00F34ABE">
            <w:pPr>
              <w:widowControl/>
              <w:rPr>
                <w:rFonts w:ascii="Arial Narrow" w:hAnsi="Arial Narrow"/>
                <w:sz w:val="20"/>
              </w:rPr>
            </w:pPr>
            <w:r w:rsidRPr="00C37370">
              <w:rPr>
                <w:rFonts w:ascii="Arial Narrow" w:hAnsi="Arial Narrow"/>
                <w:sz w:val="20"/>
              </w:rPr>
              <w:fldChar w:fldCharType="begin">
                <w:ffData>
                  <w:name w:val="Check3"/>
                  <w:enabled/>
                  <w:calcOnExit w:val="0"/>
                  <w:checkBox>
                    <w:sizeAuto/>
                    <w:default w:val="0"/>
                  </w:checkBox>
                </w:ffData>
              </w:fldChar>
            </w:r>
            <w:r w:rsidRPr="00C37370">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C37370">
              <w:rPr>
                <w:rFonts w:ascii="Arial Narrow" w:hAnsi="Arial Narrow"/>
                <w:sz w:val="20"/>
              </w:rPr>
              <w:fldChar w:fldCharType="end"/>
            </w:r>
            <w:r w:rsidRPr="00C37370">
              <w:rPr>
                <w:rFonts w:ascii="Arial Narrow" w:hAnsi="Arial Narrow"/>
                <w:sz w:val="20"/>
              </w:rPr>
              <w:t>Authority Required - Telephone</w:t>
            </w:r>
          </w:p>
          <w:p w:rsidR="000D4115" w:rsidRPr="00C37370" w:rsidRDefault="000D4115" w:rsidP="00F34ABE">
            <w:pPr>
              <w:widowControl/>
              <w:rPr>
                <w:rFonts w:ascii="Arial Narrow" w:hAnsi="Arial Narrow"/>
                <w:sz w:val="20"/>
              </w:rPr>
            </w:pPr>
            <w:r w:rsidRPr="00C37370">
              <w:rPr>
                <w:rFonts w:ascii="Arial Narrow" w:hAnsi="Arial Narrow"/>
                <w:sz w:val="20"/>
              </w:rPr>
              <w:fldChar w:fldCharType="begin">
                <w:ffData>
                  <w:name w:val=""/>
                  <w:enabled/>
                  <w:calcOnExit w:val="0"/>
                  <w:checkBox>
                    <w:sizeAuto/>
                    <w:default w:val="0"/>
                  </w:checkBox>
                </w:ffData>
              </w:fldChar>
            </w:r>
            <w:r w:rsidRPr="00C37370">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C37370">
              <w:rPr>
                <w:rFonts w:ascii="Arial Narrow" w:hAnsi="Arial Narrow"/>
                <w:sz w:val="20"/>
              </w:rPr>
              <w:fldChar w:fldCharType="end"/>
            </w:r>
            <w:r w:rsidRPr="00C37370">
              <w:rPr>
                <w:rFonts w:ascii="Arial Narrow" w:hAnsi="Arial Narrow"/>
                <w:sz w:val="20"/>
              </w:rPr>
              <w:t>Authority Required – Emergency</w:t>
            </w:r>
          </w:p>
          <w:p w:rsidR="000D4115" w:rsidRPr="00C37370" w:rsidRDefault="000D4115" w:rsidP="00F34ABE">
            <w:pPr>
              <w:widowControl/>
              <w:rPr>
                <w:rFonts w:ascii="Arial Narrow" w:hAnsi="Arial Narrow"/>
                <w:sz w:val="20"/>
              </w:rPr>
            </w:pPr>
            <w:r w:rsidRPr="00C37370">
              <w:rPr>
                <w:rFonts w:ascii="Arial Narrow" w:hAnsi="Arial Narrow"/>
                <w:sz w:val="20"/>
              </w:rPr>
              <w:fldChar w:fldCharType="begin">
                <w:ffData>
                  <w:name w:val="Check5"/>
                  <w:enabled/>
                  <w:calcOnExit w:val="0"/>
                  <w:checkBox>
                    <w:sizeAuto/>
                    <w:default w:val="0"/>
                  </w:checkBox>
                </w:ffData>
              </w:fldChar>
            </w:r>
            <w:r w:rsidRPr="00C37370">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C37370">
              <w:rPr>
                <w:rFonts w:ascii="Arial Narrow" w:hAnsi="Arial Narrow"/>
                <w:sz w:val="20"/>
              </w:rPr>
              <w:fldChar w:fldCharType="end"/>
            </w:r>
            <w:r w:rsidRPr="00C37370">
              <w:rPr>
                <w:rFonts w:ascii="Arial Narrow" w:hAnsi="Arial Narrow"/>
                <w:sz w:val="20"/>
              </w:rPr>
              <w:t>Authority Required - Electronic</w:t>
            </w:r>
          </w:p>
          <w:p w:rsidR="000D4115" w:rsidRPr="00C37370" w:rsidRDefault="000D4115" w:rsidP="00F34ABE">
            <w:pPr>
              <w:widowControl/>
              <w:rPr>
                <w:rFonts w:ascii="Arial Narrow" w:hAnsi="Arial Narrow"/>
                <w:sz w:val="20"/>
              </w:rPr>
            </w:pPr>
            <w:r w:rsidRPr="00C37370">
              <w:rPr>
                <w:rFonts w:ascii="Arial Narrow" w:hAnsi="Arial Narrow"/>
                <w:sz w:val="20"/>
              </w:rPr>
              <w:fldChar w:fldCharType="begin">
                <w:ffData>
                  <w:name w:val="Check5"/>
                  <w:enabled/>
                  <w:calcOnExit w:val="0"/>
                  <w:checkBox>
                    <w:sizeAuto/>
                    <w:default w:val="1"/>
                  </w:checkBox>
                </w:ffData>
              </w:fldChar>
            </w:r>
            <w:r w:rsidRPr="00C37370">
              <w:rPr>
                <w:rFonts w:ascii="Arial Narrow" w:hAnsi="Arial Narrow"/>
                <w:sz w:val="20"/>
              </w:rPr>
              <w:instrText xml:space="preserve"> FORMCHECKBOX </w:instrText>
            </w:r>
            <w:r w:rsidR="00F31955">
              <w:rPr>
                <w:rFonts w:ascii="Arial Narrow" w:hAnsi="Arial Narrow"/>
                <w:sz w:val="20"/>
              </w:rPr>
            </w:r>
            <w:r w:rsidR="00F31955">
              <w:rPr>
                <w:rFonts w:ascii="Arial Narrow" w:hAnsi="Arial Narrow"/>
                <w:sz w:val="20"/>
              </w:rPr>
              <w:fldChar w:fldCharType="separate"/>
            </w:r>
            <w:r w:rsidRPr="00C37370">
              <w:rPr>
                <w:rFonts w:ascii="Arial Narrow" w:hAnsi="Arial Narrow"/>
                <w:sz w:val="20"/>
              </w:rPr>
              <w:fldChar w:fldCharType="end"/>
            </w:r>
            <w:r w:rsidRPr="00C37370">
              <w:rPr>
                <w:rFonts w:ascii="Arial Narrow" w:hAnsi="Arial Narrow"/>
                <w:sz w:val="20"/>
              </w:rPr>
              <w:t>Streamlined</w:t>
            </w: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3410D1" w:rsidRDefault="000D4115" w:rsidP="00F34ABE">
            <w:pPr>
              <w:widowControl/>
              <w:rPr>
                <w:rFonts w:ascii="Arial Narrow" w:hAnsi="Arial Narrow"/>
                <w:b/>
                <w:sz w:val="20"/>
              </w:rPr>
            </w:pPr>
            <w:r>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0D4115" w:rsidRPr="00C37370" w:rsidRDefault="000D4115" w:rsidP="00F34ABE">
            <w:pPr>
              <w:widowControl/>
              <w:rPr>
                <w:rFonts w:ascii="Arial Narrow" w:hAnsi="Arial Narrow"/>
                <w:sz w:val="20"/>
              </w:rPr>
            </w:pPr>
            <w:r w:rsidRPr="00C37370">
              <w:rPr>
                <w:rFonts w:ascii="Arial Narrow" w:hAnsi="Arial Narrow"/>
                <w:sz w:val="20"/>
              </w:rPr>
              <w:t>The condition must be refractory to treatment with pregabalin, OR</w:t>
            </w:r>
          </w:p>
          <w:p w:rsidR="000D4115" w:rsidRPr="00C37370" w:rsidRDefault="000D4115" w:rsidP="00F34ABE">
            <w:pPr>
              <w:widowControl/>
              <w:rPr>
                <w:rFonts w:ascii="Arial Narrow" w:hAnsi="Arial Narrow"/>
                <w:sz w:val="20"/>
              </w:rPr>
            </w:pPr>
            <w:r w:rsidRPr="00C37370">
              <w:rPr>
                <w:rFonts w:ascii="Arial Narrow" w:hAnsi="Arial Narrow"/>
                <w:sz w:val="20"/>
              </w:rPr>
              <w:t>The patient must be unsuitable for or intolerant to treatment with pregabalin.</w:t>
            </w:r>
          </w:p>
          <w:p w:rsidR="000D4115" w:rsidRPr="00C37370" w:rsidRDefault="000D4115" w:rsidP="00F34ABE">
            <w:pPr>
              <w:widowControl/>
              <w:rPr>
                <w:rFonts w:ascii="Arial Narrow" w:hAnsi="Arial Narrow"/>
                <w:sz w:val="20"/>
              </w:rPr>
            </w:pPr>
          </w:p>
        </w:tc>
      </w:tr>
      <w:tr w:rsidR="000D4115" w:rsidRPr="00260CE3" w:rsidTr="000D4115">
        <w:trPr>
          <w:cantSplit/>
          <w:trHeight w:val="360"/>
        </w:trPr>
        <w:tc>
          <w:tcPr>
            <w:tcW w:w="2126" w:type="dxa"/>
            <w:tcBorders>
              <w:top w:val="single" w:sz="4" w:space="0" w:color="auto"/>
              <w:left w:val="single" w:sz="4" w:space="0" w:color="auto"/>
              <w:bottom w:val="single" w:sz="4" w:space="0" w:color="auto"/>
              <w:right w:val="single" w:sz="4" w:space="0" w:color="auto"/>
            </w:tcBorders>
          </w:tcPr>
          <w:p w:rsidR="000D4115" w:rsidRPr="003410D1" w:rsidRDefault="000D4115" w:rsidP="00F34ABE">
            <w:pPr>
              <w:widowControl/>
              <w:rPr>
                <w:rFonts w:ascii="Arial Narrow" w:hAnsi="Arial Narrow"/>
                <w:b/>
                <w:sz w:val="20"/>
              </w:rPr>
            </w:pPr>
            <w:r>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0D4115" w:rsidRPr="00533895" w:rsidRDefault="000D4115" w:rsidP="00F34ABE">
            <w:pPr>
              <w:widowControl/>
              <w:rPr>
                <w:rFonts w:ascii="Arial Narrow" w:hAnsi="Arial Narrow"/>
                <w:b/>
                <w:i/>
                <w:sz w:val="20"/>
              </w:rPr>
            </w:pPr>
            <w:r w:rsidRPr="00533895">
              <w:rPr>
                <w:rFonts w:ascii="Arial Narrow" w:hAnsi="Arial Narrow"/>
                <w:b/>
                <w:i/>
                <w:sz w:val="20"/>
              </w:rPr>
              <w:t>Continuing Therapy Only:</w:t>
            </w:r>
          </w:p>
          <w:p w:rsidR="000D4115" w:rsidRPr="00A91D51" w:rsidRDefault="000D4115" w:rsidP="00F34ABE">
            <w:pPr>
              <w:widowControl/>
              <w:rPr>
                <w:rFonts w:ascii="Arial Narrow" w:hAnsi="Arial Narrow"/>
                <w:i/>
                <w:sz w:val="20"/>
              </w:rPr>
            </w:pPr>
            <w:r w:rsidRPr="00A91D51">
              <w:rPr>
                <w:rFonts w:ascii="Arial Narrow" w:hAnsi="Arial Narrow"/>
                <w:i/>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791184" w:rsidRPr="00EA030C" w:rsidRDefault="00791184" w:rsidP="00F34ABE">
      <w:pPr>
        <w:widowControl/>
        <w:rPr>
          <w:rFonts w:ascii="Calibri" w:hAnsi="Calibri" w:cs="Times New Roman"/>
          <w:sz w:val="21"/>
          <w:szCs w:val="21"/>
          <w:lang w:eastAsia="en-AU"/>
        </w:rPr>
      </w:pPr>
      <w:r w:rsidRPr="00EA030C">
        <w:rPr>
          <w:rFonts w:ascii="Calibri" w:hAnsi="Calibri" w:cs="Times New Roman"/>
          <w:sz w:val="21"/>
          <w:szCs w:val="21"/>
          <w:lang w:eastAsia="en-AU"/>
        </w:rPr>
        <w:t>   </w:t>
      </w:r>
    </w:p>
    <w:p w:rsidR="002C2775" w:rsidRDefault="00E51049" w:rsidP="00F34ABE">
      <w:pPr>
        <w:pStyle w:val="ListParagraph"/>
        <w:widowControl/>
        <w:numPr>
          <w:ilvl w:val="1"/>
          <w:numId w:val="7"/>
        </w:numPr>
        <w:rPr>
          <w:szCs w:val="22"/>
        </w:rPr>
      </w:pPr>
      <w:r w:rsidRPr="00EA030C">
        <w:rPr>
          <w:szCs w:val="22"/>
        </w:rPr>
        <w:t>L</w:t>
      </w:r>
      <w:r w:rsidR="00B60939" w:rsidRPr="00EA030C">
        <w:rPr>
          <w:szCs w:val="22"/>
        </w:rPr>
        <w:t xml:space="preserve">isting </w:t>
      </w:r>
      <w:r w:rsidR="00FC62BC" w:rsidRPr="00EA030C">
        <w:rPr>
          <w:szCs w:val="22"/>
        </w:rPr>
        <w:t xml:space="preserve">was </w:t>
      </w:r>
      <w:r w:rsidRPr="00EA030C">
        <w:rPr>
          <w:szCs w:val="22"/>
        </w:rPr>
        <w:t xml:space="preserve">requested on a </w:t>
      </w:r>
      <w:r w:rsidR="00BA1489" w:rsidRPr="00EA030C">
        <w:rPr>
          <w:szCs w:val="22"/>
        </w:rPr>
        <w:t xml:space="preserve">cost-effectiveness basis </w:t>
      </w:r>
      <w:r w:rsidR="00E975D7" w:rsidRPr="00E975D7">
        <w:rPr>
          <w:szCs w:val="22"/>
        </w:rPr>
        <w:t>comparing treatment algorithms where lignocaine patch was PBS listed to an algorithm where lignocaine patch was not</w:t>
      </w:r>
      <w:r w:rsidR="00B60939" w:rsidRPr="00EA030C">
        <w:rPr>
          <w:szCs w:val="22"/>
        </w:rPr>
        <w:t>.</w:t>
      </w:r>
    </w:p>
    <w:p w:rsidR="001550B0" w:rsidRDefault="001550B0" w:rsidP="00F34ABE">
      <w:pPr>
        <w:pStyle w:val="ListParagraph"/>
        <w:widowControl/>
        <w:rPr>
          <w:szCs w:val="22"/>
        </w:rPr>
      </w:pPr>
    </w:p>
    <w:p w:rsidR="001550B0" w:rsidRPr="00F226CE" w:rsidRDefault="001550B0" w:rsidP="00F34ABE">
      <w:pPr>
        <w:pStyle w:val="ListParagraph"/>
        <w:widowControl/>
        <w:numPr>
          <w:ilvl w:val="1"/>
          <w:numId w:val="7"/>
        </w:numPr>
        <w:rPr>
          <w:szCs w:val="22"/>
        </w:rPr>
      </w:pPr>
      <w:r>
        <w:t>The sponsor stated a preference for Option 1, as this would allow more flexibility.</w:t>
      </w:r>
      <w:r w:rsidR="004439EF">
        <w:t xml:space="preserve"> </w:t>
      </w:r>
    </w:p>
    <w:p w:rsidR="00F226CE" w:rsidRPr="00F226CE" w:rsidRDefault="00F226CE" w:rsidP="00F34ABE">
      <w:pPr>
        <w:pStyle w:val="ListParagraph"/>
        <w:widowControl/>
        <w:rPr>
          <w:szCs w:val="22"/>
        </w:rPr>
      </w:pPr>
    </w:p>
    <w:p w:rsidR="00E1372F" w:rsidRPr="009700CC" w:rsidRDefault="00F226CE" w:rsidP="00F34ABE">
      <w:pPr>
        <w:pStyle w:val="ListParagraph"/>
        <w:widowControl/>
        <w:numPr>
          <w:ilvl w:val="1"/>
          <w:numId w:val="7"/>
        </w:numPr>
        <w:rPr>
          <w:i/>
          <w:szCs w:val="22"/>
        </w:rPr>
      </w:pPr>
      <w:r w:rsidRPr="00980C60">
        <w:rPr>
          <w:szCs w:val="22"/>
        </w:rPr>
        <w:t>The wording of both proposed PBS-listings was ambiguous. Option 2</w:t>
      </w:r>
      <w:r w:rsidR="004C69B3">
        <w:rPr>
          <w:szCs w:val="22"/>
        </w:rPr>
        <w:t xml:space="preserve"> </w:t>
      </w:r>
      <w:r w:rsidRPr="00980C60">
        <w:rPr>
          <w:szCs w:val="22"/>
        </w:rPr>
        <w:t xml:space="preserve">implicitly assumed that clinicians are aware that pregabalin is PBS-listed for neuropathic pain refractory to treatment with other drugs. The ‘other drugs’ were not specified in </w:t>
      </w:r>
      <w:r w:rsidR="003B6D63" w:rsidRPr="00980C60">
        <w:rPr>
          <w:szCs w:val="22"/>
        </w:rPr>
        <w:t xml:space="preserve">the </w:t>
      </w:r>
      <w:r w:rsidRPr="00980C60">
        <w:rPr>
          <w:szCs w:val="22"/>
        </w:rPr>
        <w:t xml:space="preserve">pregabalin restriction nor the proposed listing. </w:t>
      </w:r>
      <w:r w:rsidR="003C55BF" w:rsidRPr="00980C60">
        <w:rPr>
          <w:szCs w:val="22"/>
        </w:rPr>
        <w:t>E</w:t>
      </w:r>
      <w:r w:rsidRPr="00980C60">
        <w:rPr>
          <w:szCs w:val="22"/>
        </w:rPr>
        <w:t xml:space="preserve">xpert opinion (six respondents) indicated a range of medications </w:t>
      </w:r>
      <w:r w:rsidR="00234CF4" w:rsidRPr="00980C60">
        <w:rPr>
          <w:szCs w:val="22"/>
        </w:rPr>
        <w:t>we</w:t>
      </w:r>
      <w:r w:rsidRPr="00980C60">
        <w:rPr>
          <w:szCs w:val="22"/>
        </w:rPr>
        <w:t xml:space="preserve">re considered as </w:t>
      </w:r>
      <w:r w:rsidR="00886739" w:rsidRPr="00980C60">
        <w:rPr>
          <w:szCs w:val="22"/>
        </w:rPr>
        <w:t>‘</w:t>
      </w:r>
      <w:r w:rsidRPr="00980C60">
        <w:rPr>
          <w:szCs w:val="22"/>
        </w:rPr>
        <w:t>other drugs</w:t>
      </w:r>
      <w:r w:rsidR="00886739" w:rsidRPr="00980C60">
        <w:rPr>
          <w:szCs w:val="22"/>
        </w:rPr>
        <w:t>’</w:t>
      </w:r>
      <w:r w:rsidRPr="00980C60">
        <w:rPr>
          <w:szCs w:val="22"/>
        </w:rPr>
        <w:t>, from simple analgesics to opioids</w:t>
      </w:r>
      <w:r w:rsidR="00456DE7">
        <w:rPr>
          <w:szCs w:val="22"/>
        </w:rPr>
        <w:t xml:space="preserve">, </w:t>
      </w:r>
      <w:r w:rsidRPr="00980C60">
        <w:rPr>
          <w:szCs w:val="22"/>
        </w:rPr>
        <w:t>adjuvant</w:t>
      </w:r>
      <w:r w:rsidR="003363BA" w:rsidRPr="00980C60">
        <w:rPr>
          <w:szCs w:val="22"/>
        </w:rPr>
        <w:t xml:space="preserve"> analgesics</w:t>
      </w:r>
      <w:r w:rsidR="00AE2902">
        <w:rPr>
          <w:szCs w:val="22"/>
        </w:rPr>
        <w:t xml:space="preserve"> </w:t>
      </w:r>
      <w:r w:rsidR="00AE2902" w:rsidRPr="00C31434">
        <w:rPr>
          <w:szCs w:val="22"/>
        </w:rPr>
        <w:t>and tricyclic antidepressants (TCAs)</w:t>
      </w:r>
      <w:r w:rsidRPr="00C31434">
        <w:rPr>
          <w:szCs w:val="22"/>
        </w:rPr>
        <w:t>.</w:t>
      </w:r>
    </w:p>
    <w:p w:rsidR="009700CC" w:rsidRPr="009700CC" w:rsidRDefault="009700CC" w:rsidP="00F34ABE">
      <w:pPr>
        <w:pStyle w:val="ListParagraph"/>
        <w:widowControl/>
        <w:rPr>
          <w:i/>
          <w:szCs w:val="22"/>
        </w:rPr>
      </w:pPr>
    </w:p>
    <w:p w:rsidR="009700CC" w:rsidRPr="009700CC" w:rsidRDefault="009700CC" w:rsidP="00F34ABE">
      <w:pPr>
        <w:pStyle w:val="ListParagraph"/>
        <w:widowControl/>
        <w:numPr>
          <w:ilvl w:val="1"/>
          <w:numId w:val="7"/>
        </w:numPr>
        <w:rPr>
          <w:szCs w:val="22"/>
        </w:rPr>
      </w:pPr>
      <w:r w:rsidRPr="009700CC">
        <w:rPr>
          <w:szCs w:val="22"/>
        </w:rPr>
        <w:t xml:space="preserve">The Pre-PBAC Response </w:t>
      </w:r>
      <w:r w:rsidR="008E3AE6">
        <w:rPr>
          <w:szCs w:val="22"/>
        </w:rPr>
        <w:t>indicated</w:t>
      </w:r>
      <w:r w:rsidR="00052535">
        <w:rPr>
          <w:szCs w:val="22"/>
        </w:rPr>
        <w:t xml:space="preserve"> that the sponsor would be </w:t>
      </w:r>
      <w:r w:rsidR="00E66D84">
        <w:rPr>
          <w:szCs w:val="22"/>
        </w:rPr>
        <w:t>willing</w:t>
      </w:r>
      <w:r w:rsidR="00052535">
        <w:rPr>
          <w:szCs w:val="22"/>
        </w:rPr>
        <w:t xml:space="preserve"> </w:t>
      </w:r>
      <w:r w:rsidR="00E66D84">
        <w:rPr>
          <w:szCs w:val="22"/>
        </w:rPr>
        <w:t xml:space="preserve">for the </w:t>
      </w:r>
      <w:r w:rsidRPr="009700CC">
        <w:rPr>
          <w:szCs w:val="22"/>
        </w:rPr>
        <w:t xml:space="preserve">restriction </w:t>
      </w:r>
      <w:r w:rsidR="00052535">
        <w:rPr>
          <w:szCs w:val="22"/>
        </w:rPr>
        <w:t xml:space="preserve">to </w:t>
      </w:r>
      <w:r w:rsidR="00E66D84">
        <w:rPr>
          <w:szCs w:val="22"/>
        </w:rPr>
        <w:t xml:space="preserve">be </w:t>
      </w:r>
      <w:r w:rsidRPr="009700CC">
        <w:rPr>
          <w:szCs w:val="22"/>
        </w:rPr>
        <w:t xml:space="preserve">Authority Required </w:t>
      </w:r>
      <w:r w:rsidR="00052535">
        <w:rPr>
          <w:szCs w:val="22"/>
        </w:rPr>
        <w:t xml:space="preserve">to </w:t>
      </w:r>
      <w:r w:rsidR="008E3AE6">
        <w:rPr>
          <w:szCs w:val="22"/>
        </w:rPr>
        <w:t xml:space="preserve">manage the risk of leakage outside of the </w:t>
      </w:r>
      <w:r w:rsidR="00052535">
        <w:rPr>
          <w:szCs w:val="22"/>
        </w:rPr>
        <w:t>small PHN patient population</w:t>
      </w:r>
      <w:r w:rsidRPr="009700CC">
        <w:rPr>
          <w:szCs w:val="22"/>
        </w:rPr>
        <w:t>.</w:t>
      </w:r>
    </w:p>
    <w:p w:rsidR="004E43B2" w:rsidRDefault="004E43B2" w:rsidP="00F34ABE">
      <w:pPr>
        <w:widowControl/>
      </w:pPr>
    </w:p>
    <w:p w:rsidR="00A13C80" w:rsidRPr="00BB7EC3" w:rsidRDefault="00A13C80" w:rsidP="00F34ABE">
      <w:pPr>
        <w:pStyle w:val="ListParagraph"/>
        <w:widowControl/>
        <w:ind w:left="709"/>
        <w:rPr>
          <w:i/>
          <w:szCs w:val="22"/>
        </w:rPr>
      </w:pPr>
      <w:r w:rsidRPr="00E66D84">
        <w:rPr>
          <w:i/>
          <w:szCs w:val="22"/>
        </w:rPr>
        <w:t>For more detail on PBAC’s view, see section 7 “PBAC outcome”</w:t>
      </w:r>
    </w:p>
    <w:p w:rsidR="00A13C80" w:rsidRPr="00882085" w:rsidRDefault="00A13C80" w:rsidP="00F34ABE">
      <w:pPr>
        <w:widowControl/>
      </w:pPr>
    </w:p>
    <w:p w:rsidR="00B50DB8" w:rsidRPr="00ED0FCB" w:rsidRDefault="00B50DB8" w:rsidP="00F34ABE">
      <w:pPr>
        <w:pStyle w:val="PBACHeading1"/>
        <w:keepNext/>
      </w:pPr>
      <w:bookmarkStart w:id="5" w:name="_Toc409512486"/>
      <w:r w:rsidRPr="00407F2D">
        <w:t>Background</w:t>
      </w:r>
      <w:bookmarkEnd w:id="5"/>
    </w:p>
    <w:p w:rsidR="00B60939" w:rsidRPr="00ED0FCB" w:rsidRDefault="00B60939" w:rsidP="00F34ABE">
      <w:pPr>
        <w:keepNext/>
        <w:widowControl/>
        <w:rPr>
          <w:szCs w:val="22"/>
        </w:rPr>
      </w:pPr>
    </w:p>
    <w:p w:rsidR="006374F3" w:rsidRDefault="00980C60" w:rsidP="00F34ABE">
      <w:pPr>
        <w:pStyle w:val="ListParagraph"/>
        <w:widowControl/>
        <w:numPr>
          <w:ilvl w:val="1"/>
          <w:numId w:val="7"/>
        </w:numPr>
        <w:rPr>
          <w:szCs w:val="22"/>
        </w:rPr>
      </w:pPr>
      <w:r w:rsidRPr="00390081">
        <w:rPr>
          <w:b/>
          <w:bCs/>
          <w:szCs w:val="22"/>
        </w:rPr>
        <w:t>TGA status:</w:t>
      </w:r>
      <w:r w:rsidRPr="00390081">
        <w:rPr>
          <w:bCs/>
          <w:szCs w:val="22"/>
        </w:rPr>
        <w:t xml:space="preserve"> </w:t>
      </w:r>
      <w:r w:rsidR="003C12A1">
        <w:rPr>
          <w:szCs w:val="22"/>
        </w:rPr>
        <w:t>Lignocaine patch</w:t>
      </w:r>
      <w:r w:rsidR="0007505E" w:rsidRPr="00ED0FCB">
        <w:rPr>
          <w:szCs w:val="22"/>
        </w:rPr>
        <w:t xml:space="preserve"> was registered by the TGA for the symptomatic relief of neuropathic pain associated with previous herpes zoster infection (</w:t>
      </w:r>
      <w:r w:rsidR="00AF3116">
        <w:rPr>
          <w:szCs w:val="22"/>
        </w:rPr>
        <w:t>PHN) on 16 </w:t>
      </w:r>
      <w:r w:rsidR="0007505E" w:rsidRPr="00ED0FCB">
        <w:rPr>
          <w:szCs w:val="22"/>
        </w:rPr>
        <w:t>March 2012.</w:t>
      </w:r>
    </w:p>
    <w:p w:rsidR="006374F3" w:rsidRDefault="006374F3" w:rsidP="00F34ABE">
      <w:pPr>
        <w:pStyle w:val="ListParagraph"/>
        <w:widowControl/>
        <w:rPr>
          <w:szCs w:val="22"/>
        </w:rPr>
      </w:pPr>
    </w:p>
    <w:p w:rsidR="00B60939" w:rsidRPr="002E51F4" w:rsidRDefault="005F3F2D" w:rsidP="00F34ABE">
      <w:pPr>
        <w:pStyle w:val="ListParagraph"/>
        <w:widowControl/>
        <w:numPr>
          <w:ilvl w:val="1"/>
          <w:numId w:val="7"/>
        </w:numPr>
        <w:rPr>
          <w:szCs w:val="22"/>
        </w:rPr>
      </w:pPr>
      <w:r>
        <w:rPr>
          <w:szCs w:val="22"/>
        </w:rPr>
        <w:t>This drug has</w:t>
      </w:r>
      <w:r w:rsidR="006374F3" w:rsidRPr="006374F3">
        <w:rPr>
          <w:szCs w:val="22"/>
        </w:rPr>
        <w:t xml:space="preserve"> not </w:t>
      </w:r>
      <w:r w:rsidR="006374F3" w:rsidRPr="00F00F7E">
        <w:rPr>
          <w:szCs w:val="22"/>
        </w:rPr>
        <w:t xml:space="preserve">previously been </w:t>
      </w:r>
      <w:r w:rsidR="006374F3" w:rsidRPr="002E51F4">
        <w:rPr>
          <w:szCs w:val="22"/>
        </w:rPr>
        <w:t>considered by the PBAC.</w:t>
      </w:r>
    </w:p>
    <w:p w:rsidR="006374F3" w:rsidRDefault="006374F3" w:rsidP="00F34ABE">
      <w:pPr>
        <w:pStyle w:val="ListParagraph"/>
        <w:widowControl/>
        <w:rPr>
          <w:szCs w:val="22"/>
        </w:rPr>
      </w:pPr>
    </w:p>
    <w:p w:rsidR="00A13C80" w:rsidRPr="002E51F4" w:rsidRDefault="00A13C80" w:rsidP="00F34ABE">
      <w:pPr>
        <w:pStyle w:val="ListParagraph"/>
        <w:widowControl/>
        <w:rPr>
          <w:szCs w:val="22"/>
        </w:rPr>
      </w:pPr>
    </w:p>
    <w:p w:rsidR="00B50DB8" w:rsidRPr="002E51F4" w:rsidRDefault="00B50DB8" w:rsidP="00F34ABE">
      <w:pPr>
        <w:pStyle w:val="PBACHeading1"/>
      </w:pPr>
      <w:bookmarkStart w:id="6" w:name="_Toc409512487"/>
      <w:r w:rsidRPr="002E51F4">
        <w:t>Clinical place for the proposed therapy</w:t>
      </w:r>
      <w:bookmarkEnd w:id="6"/>
    </w:p>
    <w:p w:rsidR="00B60939" w:rsidRPr="002E51F4" w:rsidRDefault="00B60939" w:rsidP="00F34ABE">
      <w:pPr>
        <w:widowControl/>
        <w:rPr>
          <w:szCs w:val="22"/>
        </w:rPr>
      </w:pPr>
    </w:p>
    <w:p w:rsidR="00894489" w:rsidRPr="002E51F4" w:rsidRDefault="00F34ABE" w:rsidP="00F34ABE">
      <w:pPr>
        <w:pStyle w:val="ListParagraph"/>
        <w:widowControl/>
        <w:numPr>
          <w:ilvl w:val="1"/>
          <w:numId w:val="7"/>
        </w:numPr>
        <w:rPr>
          <w:szCs w:val="22"/>
        </w:rPr>
      </w:pPr>
      <w:r>
        <w:t>PHN</w:t>
      </w:r>
      <w:r w:rsidR="00C03622">
        <w:t xml:space="preserve"> </w:t>
      </w:r>
      <w:r w:rsidR="00CD661B" w:rsidRPr="002E51F4">
        <w:t xml:space="preserve">is </w:t>
      </w:r>
      <w:r w:rsidR="00C03622">
        <w:t xml:space="preserve">neuropathic </w:t>
      </w:r>
      <w:r w:rsidR="00CD661B" w:rsidRPr="002E51F4">
        <w:t>pain that persists after the shingles rash has healed</w:t>
      </w:r>
      <w:r w:rsidR="001518A6">
        <w:t>, generally in the original distribution of the rash</w:t>
      </w:r>
      <w:r w:rsidR="00CD661B" w:rsidRPr="002E51F4">
        <w:t xml:space="preserve">. </w:t>
      </w:r>
    </w:p>
    <w:p w:rsidR="00CD661B" w:rsidRPr="002E51F4" w:rsidRDefault="00CD661B" w:rsidP="00F34ABE">
      <w:pPr>
        <w:pStyle w:val="ListParagraph"/>
        <w:widowControl/>
        <w:rPr>
          <w:szCs w:val="22"/>
        </w:rPr>
      </w:pPr>
    </w:p>
    <w:p w:rsidR="003C49AA" w:rsidRPr="002E51F4" w:rsidRDefault="00841FA5" w:rsidP="00F34ABE">
      <w:pPr>
        <w:pStyle w:val="ListParagraph"/>
        <w:widowControl/>
        <w:numPr>
          <w:ilvl w:val="1"/>
          <w:numId w:val="7"/>
        </w:numPr>
        <w:rPr>
          <w:szCs w:val="22"/>
        </w:rPr>
      </w:pPr>
      <w:r>
        <w:rPr>
          <w:szCs w:val="22"/>
        </w:rPr>
        <w:lastRenderedPageBreak/>
        <w:t>F</w:t>
      </w:r>
      <w:r w:rsidRPr="002E51F4">
        <w:rPr>
          <w:szCs w:val="22"/>
        </w:rPr>
        <w:t xml:space="preserve">or </w:t>
      </w:r>
      <w:r w:rsidR="00C03622">
        <w:rPr>
          <w:szCs w:val="22"/>
        </w:rPr>
        <w:t xml:space="preserve">listing </w:t>
      </w:r>
      <w:r w:rsidRPr="002E51F4">
        <w:rPr>
          <w:szCs w:val="22"/>
        </w:rPr>
        <w:t>Option 1</w:t>
      </w:r>
      <w:r>
        <w:rPr>
          <w:szCs w:val="22"/>
        </w:rPr>
        <w:t xml:space="preserve">, </w:t>
      </w:r>
      <w:r w:rsidR="004E2101">
        <w:rPr>
          <w:szCs w:val="22"/>
        </w:rPr>
        <w:t>t</w:t>
      </w:r>
      <w:r w:rsidR="00015352" w:rsidRPr="002E51F4">
        <w:rPr>
          <w:szCs w:val="22"/>
        </w:rPr>
        <w:t xml:space="preserve">he submission </w:t>
      </w:r>
      <w:r w:rsidR="00BB5404">
        <w:rPr>
          <w:szCs w:val="22"/>
        </w:rPr>
        <w:t>positioned</w:t>
      </w:r>
      <w:r w:rsidR="004E2101">
        <w:rPr>
          <w:szCs w:val="22"/>
        </w:rPr>
        <w:t xml:space="preserve"> </w:t>
      </w:r>
      <w:r w:rsidR="00015352" w:rsidRPr="002E51F4">
        <w:rPr>
          <w:szCs w:val="22"/>
        </w:rPr>
        <w:t xml:space="preserve">lignocaine patch as an </w:t>
      </w:r>
      <w:r w:rsidR="00C03622">
        <w:rPr>
          <w:szCs w:val="22"/>
        </w:rPr>
        <w:t xml:space="preserve">alternative treatment, </w:t>
      </w:r>
      <w:r w:rsidR="00015352" w:rsidRPr="002E51F4">
        <w:rPr>
          <w:szCs w:val="22"/>
        </w:rPr>
        <w:t xml:space="preserve">alongside pregabalin and gabapentin </w:t>
      </w:r>
      <w:r w:rsidR="007E3C89">
        <w:rPr>
          <w:szCs w:val="22"/>
        </w:rPr>
        <w:t>in</w:t>
      </w:r>
      <w:r w:rsidR="00015352" w:rsidRPr="002E51F4">
        <w:rPr>
          <w:szCs w:val="22"/>
        </w:rPr>
        <w:t xml:space="preserve"> patients with PHN refractory to other drugs (</w:t>
      </w:r>
      <w:r w:rsidR="008B798A">
        <w:rPr>
          <w:szCs w:val="22"/>
        </w:rPr>
        <w:t>e.g.</w:t>
      </w:r>
      <w:r w:rsidR="00015352" w:rsidRPr="002E51F4">
        <w:rPr>
          <w:szCs w:val="22"/>
        </w:rPr>
        <w:t xml:space="preserve"> analgesics and </w:t>
      </w:r>
      <w:r w:rsidR="008B798A">
        <w:rPr>
          <w:szCs w:val="22"/>
        </w:rPr>
        <w:t>TCAs</w:t>
      </w:r>
      <w:r w:rsidR="00A0181E" w:rsidRPr="002E51F4">
        <w:rPr>
          <w:szCs w:val="22"/>
        </w:rPr>
        <w:t>)</w:t>
      </w:r>
      <w:r w:rsidR="00015352" w:rsidRPr="002E51F4">
        <w:rPr>
          <w:szCs w:val="22"/>
        </w:rPr>
        <w:t xml:space="preserve">. </w:t>
      </w:r>
    </w:p>
    <w:p w:rsidR="003C49AA" w:rsidRPr="002E51F4" w:rsidRDefault="003C49AA" w:rsidP="00F34ABE">
      <w:pPr>
        <w:pStyle w:val="ListParagraph"/>
        <w:widowControl/>
        <w:rPr>
          <w:szCs w:val="22"/>
        </w:rPr>
      </w:pPr>
    </w:p>
    <w:p w:rsidR="00B60939" w:rsidRPr="00DB2F6E" w:rsidRDefault="00547CDC" w:rsidP="00F34ABE">
      <w:pPr>
        <w:pStyle w:val="ListParagraph"/>
        <w:widowControl/>
        <w:numPr>
          <w:ilvl w:val="1"/>
          <w:numId w:val="7"/>
        </w:numPr>
        <w:rPr>
          <w:szCs w:val="22"/>
        </w:rPr>
      </w:pPr>
      <w:r>
        <w:rPr>
          <w:szCs w:val="22"/>
        </w:rPr>
        <w:t>For Option 2, t</w:t>
      </w:r>
      <w:r w:rsidR="00015352" w:rsidRPr="002E51F4">
        <w:rPr>
          <w:szCs w:val="22"/>
        </w:rPr>
        <w:t xml:space="preserve">he submission </w:t>
      </w:r>
      <w:r w:rsidR="00BB5404">
        <w:rPr>
          <w:szCs w:val="22"/>
        </w:rPr>
        <w:t xml:space="preserve">proposed </w:t>
      </w:r>
      <w:r w:rsidR="00015352" w:rsidRPr="002E51F4">
        <w:rPr>
          <w:szCs w:val="22"/>
        </w:rPr>
        <w:t xml:space="preserve">lignocaine patch </w:t>
      </w:r>
      <w:r w:rsidR="00F226CE">
        <w:rPr>
          <w:szCs w:val="22"/>
        </w:rPr>
        <w:t>as</w:t>
      </w:r>
      <w:r w:rsidR="00015352" w:rsidRPr="002E51F4">
        <w:rPr>
          <w:szCs w:val="22"/>
        </w:rPr>
        <w:t xml:space="preserve"> an option (as monotherapy or in combination with pregabalin), along</w:t>
      </w:r>
      <w:r w:rsidR="00BB5404">
        <w:rPr>
          <w:szCs w:val="22"/>
        </w:rPr>
        <w:t>side</w:t>
      </w:r>
      <w:r w:rsidR="00015352" w:rsidRPr="002E51F4">
        <w:rPr>
          <w:szCs w:val="22"/>
        </w:rPr>
        <w:t xml:space="preserve"> pregabalin, opioids (including tramadol) and topical capsaicin </w:t>
      </w:r>
      <w:r w:rsidR="006C6B0C">
        <w:rPr>
          <w:szCs w:val="22"/>
        </w:rPr>
        <w:t>for</w:t>
      </w:r>
      <w:r w:rsidR="00015352" w:rsidRPr="002E51F4">
        <w:rPr>
          <w:szCs w:val="22"/>
        </w:rPr>
        <w:t xml:space="preserve"> </w:t>
      </w:r>
      <w:r w:rsidR="00015352" w:rsidRPr="00EC0BCC">
        <w:rPr>
          <w:szCs w:val="22"/>
        </w:rPr>
        <w:t>patient</w:t>
      </w:r>
      <w:r w:rsidR="006466BF">
        <w:rPr>
          <w:szCs w:val="22"/>
        </w:rPr>
        <w:t>s</w:t>
      </w:r>
      <w:r w:rsidR="00015352" w:rsidRPr="00EC0BCC">
        <w:rPr>
          <w:szCs w:val="22"/>
        </w:rPr>
        <w:t xml:space="preserve"> who fail or do not tolerate earlier-line therap</w:t>
      </w:r>
      <w:r w:rsidR="00015352" w:rsidRPr="008E3AE6">
        <w:rPr>
          <w:szCs w:val="22"/>
        </w:rPr>
        <w:t>ies</w:t>
      </w:r>
      <w:r w:rsidR="004C69B3" w:rsidRPr="008E3AE6">
        <w:rPr>
          <w:szCs w:val="22"/>
        </w:rPr>
        <w:t>, including pregabalin</w:t>
      </w:r>
      <w:r w:rsidR="00015352" w:rsidRPr="00EC0BCC">
        <w:rPr>
          <w:szCs w:val="22"/>
        </w:rPr>
        <w:t>.</w:t>
      </w:r>
      <w:r w:rsidR="00902C31">
        <w:rPr>
          <w:szCs w:val="22"/>
        </w:rPr>
        <w:t xml:space="preserve"> </w:t>
      </w:r>
      <w:r w:rsidR="00FC0E9B">
        <w:t>The submission stated that patients eligible for treatment under the more restrictive Option 2 would also be eligible for treatment under Option 1.</w:t>
      </w:r>
    </w:p>
    <w:p w:rsidR="00DB2F6E" w:rsidRPr="00DB2F6E" w:rsidRDefault="00DB2F6E" w:rsidP="00F34ABE">
      <w:pPr>
        <w:pStyle w:val="ListParagraph"/>
        <w:widowControl/>
        <w:rPr>
          <w:szCs w:val="22"/>
        </w:rPr>
      </w:pPr>
    </w:p>
    <w:p w:rsidR="00DB2F6E" w:rsidRPr="00811867" w:rsidRDefault="00DB2F6E" w:rsidP="00F34ABE">
      <w:pPr>
        <w:pStyle w:val="ListParagraph"/>
        <w:widowControl/>
        <w:numPr>
          <w:ilvl w:val="1"/>
          <w:numId w:val="7"/>
        </w:numPr>
        <w:rPr>
          <w:szCs w:val="22"/>
        </w:rPr>
      </w:pPr>
      <w:r w:rsidRPr="00811867">
        <w:rPr>
          <w:szCs w:val="22"/>
        </w:rPr>
        <w:t xml:space="preserve">The ESC noted that in practice, </w:t>
      </w:r>
      <w:r w:rsidR="007C1764" w:rsidRPr="00811867">
        <w:rPr>
          <w:szCs w:val="22"/>
        </w:rPr>
        <w:t>when patients fail or do not tolerate these therapies clinicians will change t</w:t>
      </w:r>
      <w:r w:rsidR="00AE2902" w:rsidRPr="00811867">
        <w:rPr>
          <w:szCs w:val="22"/>
        </w:rPr>
        <w:t>rea</w:t>
      </w:r>
      <w:r w:rsidR="007C1764" w:rsidRPr="00811867">
        <w:rPr>
          <w:szCs w:val="22"/>
        </w:rPr>
        <w:t>t</w:t>
      </w:r>
      <w:r w:rsidR="00C03622" w:rsidRPr="00811867">
        <w:rPr>
          <w:szCs w:val="22"/>
        </w:rPr>
        <w:t xml:space="preserve">ment rather than add </w:t>
      </w:r>
      <w:r w:rsidR="00AE2902" w:rsidRPr="00811867">
        <w:rPr>
          <w:szCs w:val="22"/>
        </w:rPr>
        <w:t>on new treatments. I</w:t>
      </w:r>
      <w:r w:rsidRPr="00811867">
        <w:rPr>
          <w:szCs w:val="22"/>
        </w:rPr>
        <w:t xml:space="preserve">f the condition was refractory to treatment with pregabalin, </w:t>
      </w:r>
      <w:r w:rsidR="003D1D0F" w:rsidRPr="00811867">
        <w:rPr>
          <w:szCs w:val="22"/>
        </w:rPr>
        <w:t xml:space="preserve">a prescriber </w:t>
      </w:r>
      <w:r w:rsidR="00EF6531" w:rsidRPr="00811867">
        <w:rPr>
          <w:szCs w:val="22"/>
        </w:rPr>
        <w:t>may</w:t>
      </w:r>
      <w:r w:rsidR="003D1D0F" w:rsidRPr="00811867">
        <w:rPr>
          <w:szCs w:val="22"/>
        </w:rPr>
        <w:t xml:space="preserve"> be more likely to</w:t>
      </w:r>
      <w:r w:rsidRPr="00811867">
        <w:rPr>
          <w:szCs w:val="22"/>
        </w:rPr>
        <w:t xml:space="preserve"> replace pregabalin with lignocaine, rather than </w:t>
      </w:r>
      <w:r w:rsidR="003D1D0F" w:rsidRPr="00811867">
        <w:rPr>
          <w:szCs w:val="22"/>
        </w:rPr>
        <w:t xml:space="preserve">prescribe </w:t>
      </w:r>
      <w:r w:rsidRPr="00811867">
        <w:rPr>
          <w:szCs w:val="22"/>
        </w:rPr>
        <w:t xml:space="preserve">lignocaine </w:t>
      </w:r>
      <w:r w:rsidR="003D1D0F" w:rsidRPr="00811867">
        <w:rPr>
          <w:szCs w:val="22"/>
        </w:rPr>
        <w:t xml:space="preserve">in combination with pregabalin. </w:t>
      </w:r>
    </w:p>
    <w:p w:rsidR="00E55BB5" w:rsidRDefault="00E55BB5" w:rsidP="00F34ABE">
      <w:pPr>
        <w:pStyle w:val="Header"/>
        <w:widowControl/>
        <w:rPr>
          <w:szCs w:val="22"/>
        </w:rPr>
      </w:pPr>
    </w:p>
    <w:p w:rsidR="00A13C80" w:rsidRPr="00BB7EC3" w:rsidRDefault="00A13C80" w:rsidP="00F34ABE">
      <w:pPr>
        <w:pStyle w:val="ListParagraph"/>
        <w:widowControl/>
        <w:ind w:left="709"/>
        <w:rPr>
          <w:i/>
          <w:szCs w:val="22"/>
        </w:rPr>
      </w:pPr>
      <w:r w:rsidRPr="003B7794">
        <w:rPr>
          <w:i/>
          <w:szCs w:val="22"/>
        </w:rPr>
        <w:t>For more detail on PBAC’s view, see section 7 “PBAC outcome”</w:t>
      </w:r>
    </w:p>
    <w:p w:rsidR="00A13C80" w:rsidRDefault="00A13C80" w:rsidP="00F34ABE">
      <w:pPr>
        <w:pStyle w:val="Header"/>
        <w:widowControl/>
        <w:rPr>
          <w:szCs w:val="22"/>
        </w:rPr>
      </w:pPr>
    </w:p>
    <w:p w:rsidR="003B7794" w:rsidRPr="00EC0BCC" w:rsidRDefault="003B7794" w:rsidP="00F34ABE">
      <w:pPr>
        <w:pStyle w:val="Header"/>
        <w:widowControl/>
        <w:rPr>
          <w:szCs w:val="22"/>
        </w:rPr>
      </w:pPr>
    </w:p>
    <w:p w:rsidR="00B50DB8" w:rsidRPr="00EC0BCC" w:rsidRDefault="00B50DB8" w:rsidP="00F34ABE">
      <w:pPr>
        <w:pStyle w:val="Header"/>
        <w:keepNext/>
        <w:widowControl/>
        <w:numPr>
          <w:ilvl w:val="0"/>
          <w:numId w:val="7"/>
        </w:numPr>
        <w:tabs>
          <w:tab w:val="clear" w:pos="4513"/>
          <w:tab w:val="clear" w:pos="9026"/>
        </w:tabs>
        <w:rPr>
          <w:b/>
          <w:szCs w:val="22"/>
        </w:rPr>
      </w:pPr>
      <w:r w:rsidRPr="00EC0BCC">
        <w:rPr>
          <w:b/>
          <w:szCs w:val="22"/>
        </w:rPr>
        <w:t>Comparator</w:t>
      </w:r>
    </w:p>
    <w:p w:rsidR="00B60939" w:rsidRPr="00EC0BCC" w:rsidRDefault="00B60939" w:rsidP="00F34ABE">
      <w:pPr>
        <w:keepNext/>
        <w:widowControl/>
      </w:pPr>
    </w:p>
    <w:p w:rsidR="0012028D" w:rsidRPr="00EC0BCC" w:rsidRDefault="00E7494E" w:rsidP="00F34ABE">
      <w:pPr>
        <w:pStyle w:val="ListParagraph"/>
        <w:widowControl/>
        <w:numPr>
          <w:ilvl w:val="1"/>
          <w:numId w:val="7"/>
        </w:numPr>
      </w:pPr>
      <w:r w:rsidRPr="00EC0BCC">
        <w:t>The submission nominated pregabalin as the active comparator</w:t>
      </w:r>
      <w:r w:rsidR="006F1506" w:rsidRPr="00EC0BCC">
        <w:t xml:space="preserve"> (Option 1)</w:t>
      </w:r>
      <w:r w:rsidRPr="00EC0BCC">
        <w:t>, and placebo as a proxy for best supportive care as an additional comparator</w:t>
      </w:r>
      <w:r w:rsidR="006F1506" w:rsidRPr="00EC0BCC">
        <w:t xml:space="preserve"> (Option 2). </w:t>
      </w:r>
    </w:p>
    <w:p w:rsidR="00E55C21" w:rsidRDefault="00E55C21" w:rsidP="00F34ABE">
      <w:pPr>
        <w:pStyle w:val="ListParagraph"/>
        <w:widowControl/>
      </w:pPr>
    </w:p>
    <w:p w:rsidR="00EC0BCC" w:rsidRPr="00551360" w:rsidRDefault="00EC0BCC" w:rsidP="00F34ABE">
      <w:pPr>
        <w:pStyle w:val="ListParagraph"/>
        <w:widowControl/>
        <w:numPr>
          <w:ilvl w:val="1"/>
          <w:numId w:val="7"/>
        </w:numPr>
      </w:pPr>
      <w:r w:rsidRPr="00EC0BCC">
        <w:t xml:space="preserve">The clinical </w:t>
      </w:r>
      <w:r w:rsidRPr="00551360">
        <w:t>management algorithm identified opioids (including tramadol) and capsaicin as best supportive care. The economic model assumed that best supportive care comprised therapies of unknown or poor efficacy, accounting only for a ‘placebo-response’.</w:t>
      </w:r>
    </w:p>
    <w:p w:rsidR="00EC0BCC" w:rsidRPr="00551360" w:rsidRDefault="00EC0BCC" w:rsidP="00F34ABE">
      <w:pPr>
        <w:pStyle w:val="ListParagraph"/>
        <w:widowControl/>
      </w:pPr>
    </w:p>
    <w:p w:rsidR="0012028D" w:rsidRDefault="00302EAF" w:rsidP="00F34ABE">
      <w:pPr>
        <w:pStyle w:val="ListParagraph"/>
        <w:widowControl/>
        <w:numPr>
          <w:ilvl w:val="1"/>
          <w:numId w:val="7"/>
        </w:numPr>
      </w:pPr>
      <w:r>
        <w:t>The Evaluation suggested i</w:t>
      </w:r>
      <w:r w:rsidR="00EC0BCC" w:rsidRPr="00980C60">
        <w:t>t is unclear</w:t>
      </w:r>
      <w:r w:rsidR="0012028D" w:rsidRPr="00980C60">
        <w:t xml:space="preserve"> </w:t>
      </w:r>
      <w:r w:rsidR="00EC0BCC" w:rsidRPr="00980C60">
        <w:t xml:space="preserve">whether other comparators including TCAs like amitriptyline and opioids could be appropriate </w:t>
      </w:r>
      <w:r w:rsidR="00B80D0A" w:rsidRPr="00980C60">
        <w:t xml:space="preserve">comparators </w:t>
      </w:r>
      <w:r w:rsidR="00EC0BCC" w:rsidRPr="00980C60">
        <w:t>and whether the submission’s various definitions and assumptions relating to best supportive care are reasonable.</w:t>
      </w:r>
    </w:p>
    <w:p w:rsidR="00E473AD" w:rsidRDefault="00E473AD" w:rsidP="00F34ABE">
      <w:pPr>
        <w:pStyle w:val="ListParagraph"/>
        <w:widowControl/>
      </w:pPr>
    </w:p>
    <w:p w:rsidR="00E473AD" w:rsidRPr="00811867" w:rsidRDefault="00E473AD" w:rsidP="00F34ABE">
      <w:pPr>
        <w:pStyle w:val="ListParagraph"/>
        <w:widowControl/>
        <w:numPr>
          <w:ilvl w:val="1"/>
          <w:numId w:val="7"/>
        </w:numPr>
      </w:pPr>
      <w:r w:rsidRPr="00811867">
        <w:t>The PSCR (p2) notes that</w:t>
      </w:r>
      <w:r w:rsidR="00A223F4" w:rsidRPr="00811867">
        <w:t xml:space="preserve"> pregabalin was proposed as the active comparator as it is currently </w:t>
      </w:r>
      <w:r w:rsidRPr="00811867">
        <w:t xml:space="preserve">prescribed in 38% </w:t>
      </w:r>
      <w:r w:rsidR="00A223F4" w:rsidRPr="00811867">
        <w:t>of GP consultations for PHN (between its PBS listing and June 2014). This compares with 10</w:t>
      </w:r>
      <w:r w:rsidRPr="00811867">
        <w:t xml:space="preserve">% for </w:t>
      </w:r>
      <w:r w:rsidR="00426F63" w:rsidRPr="00811867">
        <w:t>amitriptyline</w:t>
      </w:r>
      <w:r w:rsidRPr="00811867">
        <w:t xml:space="preserve"> and 3.4% for gabapentin.</w:t>
      </w:r>
      <w:r w:rsidR="00602B38" w:rsidRPr="00811867">
        <w:t xml:space="preserve"> </w:t>
      </w:r>
    </w:p>
    <w:p w:rsidR="00602B38" w:rsidRPr="00811867" w:rsidRDefault="00602B38" w:rsidP="00F34ABE">
      <w:pPr>
        <w:pStyle w:val="ListParagraph"/>
        <w:widowControl/>
      </w:pPr>
    </w:p>
    <w:p w:rsidR="00B60939" w:rsidRPr="00811867" w:rsidRDefault="00602B38" w:rsidP="00F34ABE">
      <w:pPr>
        <w:pStyle w:val="ListParagraph"/>
        <w:widowControl/>
        <w:numPr>
          <w:ilvl w:val="1"/>
          <w:numId w:val="7"/>
        </w:numPr>
        <w:rPr>
          <w:szCs w:val="22"/>
        </w:rPr>
      </w:pPr>
      <w:r w:rsidRPr="00811867">
        <w:t xml:space="preserve">The ESC agreed with the chosen comparators for each treatment option, </w:t>
      </w:r>
      <w:r w:rsidR="00302EAF" w:rsidRPr="00811867">
        <w:t>noting</w:t>
      </w:r>
      <w:r w:rsidRPr="00811867">
        <w:t xml:space="preserve"> that pregabalin is positioned after failure of other treatments and lignocaine is requesting the same place in therapy as pregabalin</w:t>
      </w:r>
      <w:r w:rsidR="00302EAF" w:rsidRPr="00811867">
        <w:t xml:space="preserve"> (Option 1).</w:t>
      </w:r>
    </w:p>
    <w:p w:rsidR="00302EAF" w:rsidRPr="00302EAF" w:rsidRDefault="00302EAF" w:rsidP="00F34ABE">
      <w:pPr>
        <w:pStyle w:val="ListParagraph"/>
        <w:widowControl/>
        <w:rPr>
          <w:szCs w:val="22"/>
        </w:rPr>
      </w:pPr>
    </w:p>
    <w:p w:rsidR="00A13C80" w:rsidRPr="00BB7EC3" w:rsidRDefault="00A13C80" w:rsidP="00F34ABE">
      <w:pPr>
        <w:pStyle w:val="ListParagraph"/>
        <w:widowControl/>
        <w:ind w:left="709"/>
        <w:rPr>
          <w:i/>
          <w:szCs w:val="22"/>
        </w:rPr>
      </w:pPr>
      <w:r w:rsidRPr="009A0FCA">
        <w:rPr>
          <w:i/>
          <w:szCs w:val="22"/>
        </w:rPr>
        <w:t>For more detail on PBAC’s view, see section 7 “PBAC outcome”</w:t>
      </w:r>
    </w:p>
    <w:p w:rsidR="00302EAF" w:rsidRDefault="00302EAF" w:rsidP="00F34ABE">
      <w:pPr>
        <w:pStyle w:val="ListParagraph"/>
        <w:widowControl/>
        <w:rPr>
          <w:szCs w:val="22"/>
        </w:rPr>
      </w:pPr>
    </w:p>
    <w:p w:rsidR="00E73BE9" w:rsidRDefault="00E73BE9" w:rsidP="00F34ABE">
      <w:pPr>
        <w:pStyle w:val="ListParagraph"/>
        <w:widowControl/>
        <w:rPr>
          <w:szCs w:val="22"/>
        </w:rPr>
      </w:pPr>
    </w:p>
    <w:p w:rsidR="00E73BE9" w:rsidRDefault="00E73BE9" w:rsidP="00F34ABE">
      <w:pPr>
        <w:pStyle w:val="ListParagraph"/>
        <w:widowControl/>
        <w:rPr>
          <w:szCs w:val="22"/>
        </w:rPr>
      </w:pPr>
    </w:p>
    <w:p w:rsidR="00C661FC" w:rsidRDefault="00C661FC">
      <w:pPr>
        <w:widowControl/>
        <w:jc w:val="left"/>
        <w:rPr>
          <w:b/>
          <w:szCs w:val="22"/>
        </w:rPr>
      </w:pPr>
      <w:bookmarkStart w:id="7" w:name="_Toc409512488"/>
      <w:r>
        <w:br w:type="page"/>
      </w:r>
    </w:p>
    <w:p w:rsidR="00B50DB8" w:rsidRPr="00407F2D" w:rsidRDefault="00BD6CF3" w:rsidP="00F34ABE">
      <w:pPr>
        <w:pStyle w:val="PBACHeading1"/>
        <w:keepNext/>
      </w:pPr>
      <w:r w:rsidRPr="00551360">
        <w:lastRenderedPageBreak/>
        <w:t>C</w:t>
      </w:r>
      <w:r w:rsidR="00B50DB8" w:rsidRPr="00551360">
        <w:t xml:space="preserve">onsideration of the </w:t>
      </w:r>
      <w:r w:rsidR="00B50DB8" w:rsidRPr="00407F2D">
        <w:t>evidence</w:t>
      </w:r>
      <w:bookmarkEnd w:id="7"/>
    </w:p>
    <w:p w:rsidR="00B60939" w:rsidRDefault="00B60939" w:rsidP="00F34ABE">
      <w:pPr>
        <w:keepNext/>
        <w:widowControl/>
      </w:pPr>
    </w:p>
    <w:p w:rsidR="007C0FBD" w:rsidRPr="00E73BE9" w:rsidRDefault="007C0FBD" w:rsidP="00E73BE9">
      <w:pPr>
        <w:pStyle w:val="Heading2"/>
      </w:pPr>
      <w:r w:rsidRPr="00E73BE9">
        <w:t>Sponsor hearing</w:t>
      </w:r>
    </w:p>
    <w:p w:rsidR="007C0FBD" w:rsidRPr="00882085" w:rsidRDefault="007C0FBD" w:rsidP="00F34ABE">
      <w:pPr>
        <w:widowControl/>
        <w:ind w:left="709"/>
        <w:rPr>
          <w:b/>
          <w:szCs w:val="22"/>
        </w:rPr>
      </w:pPr>
    </w:p>
    <w:p w:rsidR="00BA49B4" w:rsidRPr="00BC5BA4" w:rsidRDefault="00BA49B4" w:rsidP="00F34ABE">
      <w:pPr>
        <w:pStyle w:val="ListParagraph"/>
        <w:widowControl/>
        <w:numPr>
          <w:ilvl w:val="1"/>
          <w:numId w:val="7"/>
        </w:numPr>
        <w:rPr>
          <w:szCs w:val="22"/>
        </w:rPr>
      </w:pPr>
      <w:r w:rsidRPr="00BC5BA4">
        <w:rPr>
          <w:szCs w:val="22"/>
        </w:rPr>
        <w:t>The sponsor requested a hearing for this item. The clinician discussed how the drug would be used in practice, addressed concerns regarding the model structure and addressed other matters in response to the Committee’s questions.</w:t>
      </w:r>
      <w:r>
        <w:rPr>
          <w:szCs w:val="22"/>
        </w:rPr>
        <w:t xml:space="preserve"> The clinician stressed the side effects related to other agents used for PHN </w:t>
      </w:r>
      <w:r w:rsidR="00F34ABE">
        <w:rPr>
          <w:szCs w:val="22"/>
        </w:rPr>
        <w:t>(</w:t>
      </w:r>
      <w:r>
        <w:rPr>
          <w:szCs w:val="22"/>
        </w:rPr>
        <w:t>such as pregabalin</w:t>
      </w:r>
      <w:r w:rsidR="00F34ABE">
        <w:rPr>
          <w:szCs w:val="22"/>
        </w:rPr>
        <w:t>)</w:t>
      </w:r>
      <w:r>
        <w:rPr>
          <w:szCs w:val="22"/>
        </w:rPr>
        <w:t xml:space="preserve"> </w:t>
      </w:r>
      <w:r w:rsidR="00834461">
        <w:rPr>
          <w:szCs w:val="22"/>
        </w:rPr>
        <w:t xml:space="preserve">being a particular problem in the elderly due to risk of falls, </w:t>
      </w:r>
      <w:r>
        <w:rPr>
          <w:szCs w:val="22"/>
        </w:rPr>
        <w:t xml:space="preserve">and the relationship to the higher rate of discontinuations with these agents compared with lignocaine. A preference for listing </w:t>
      </w:r>
      <w:r w:rsidR="001F4F32">
        <w:rPr>
          <w:szCs w:val="22"/>
        </w:rPr>
        <w:t xml:space="preserve">restriction </w:t>
      </w:r>
      <w:r>
        <w:rPr>
          <w:szCs w:val="22"/>
        </w:rPr>
        <w:t>option 1 was indicated by the clinician.</w:t>
      </w:r>
    </w:p>
    <w:p w:rsidR="007C0FBD" w:rsidRPr="00B92879" w:rsidRDefault="007C0FBD" w:rsidP="00F34ABE">
      <w:pPr>
        <w:pStyle w:val="ListParagraph"/>
        <w:widowControl/>
        <w:ind w:left="709"/>
        <w:rPr>
          <w:szCs w:val="22"/>
        </w:rPr>
      </w:pPr>
    </w:p>
    <w:p w:rsidR="00FE082F" w:rsidRPr="00FE082F" w:rsidRDefault="00FE082F" w:rsidP="00F34ABE">
      <w:pPr>
        <w:pStyle w:val="ListParagraph"/>
        <w:widowControl/>
        <w:ind w:left="709"/>
        <w:rPr>
          <w:i/>
          <w:szCs w:val="22"/>
        </w:rPr>
      </w:pPr>
      <w:r w:rsidRPr="00B92879">
        <w:rPr>
          <w:i/>
          <w:szCs w:val="22"/>
        </w:rPr>
        <w:t>For more detail on PBAC’s view, see section 7 “PBAC outcome”</w:t>
      </w:r>
    </w:p>
    <w:p w:rsidR="00FE082F" w:rsidRPr="001F4F32" w:rsidRDefault="00FE082F" w:rsidP="00F34ABE">
      <w:pPr>
        <w:widowControl/>
        <w:rPr>
          <w:szCs w:val="22"/>
        </w:rPr>
      </w:pPr>
    </w:p>
    <w:p w:rsidR="007C0FBD" w:rsidRPr="00FF4023" w:rsidRDefault="007C0FBD" w:rsidP="00E73BE9">
      <w:pPr>
        <w:pStyle w:val="Heading2"/>
      </w:pPr>
      <w:r w:rsidRPr="00FF4023">
        <w:t>Consumer comments</w:t>
      </w:r>
    </w:p>
    <w:p w:rsidR="007C0FBD" w:rsidRPr="00FE082F" w:rsidRDefault="007C0FBD" w:rsidP="00F34ABE">
      <w:pPr>
        <w:widowControl/>
        <w:rPr>
          <w:szCs w:val="22"/>
        </w:rPr>
      </w:pPr>
    </w:p>
    <w:p w:rsidR="00885451" w:rsidRPr="00BB7EC3" w:rsidRDefault="00885451" w:rsidP="00885451">
      <w:pPr>
        <w:pStyle w:val="ListParagraph"/>
        <w:widowControl/>
        <w:numPr>
          <w:ilvl w:val="1"/>
          <w:numId w:val="7"/>
        </w:numPr>
        <w:rPr>
          <w:szCs w:val="22"/>
        </w:rPr>
      </w:pPr>
      <w:r>
        <w:rPr>
          <w:szCs w:val="22"/>
        </w:rPr>
        <w:t>The PBAC noted and welcomed the input from individuals (1) and health care professionals (3) via the Consumer Comments facility on the PBS website. The comments emphasised that lignocaine is associated with fewer side effects compared with alternative therapies.</w:t>
      </w:r>
    </w:p>
    <w:p w:rsidR="007C0FBD" w:rsidRPr="00882085" w:rsidRDefault="007C0FBD" w:rsidP="00F34ABE">
      <w:pPr>
        <w:keepNext/>
        <w:widowControl/>
      </w:pPr>
    </w:p>
    <w:p w:rsidR="00B60939" w:rsidRPr="00FF4023" w:rsidRDefault="00B60939" w:rsidP="00E73BE9">
      <w:pPr>
        <w:pStyle w:val="Heading2"/>
      </w:pPr>
      <w:bookmarkStart w:id="8" w:name="_Toc409512489"/>
      <w:r w:rsidRPr="00FF4023">
        <w:t>Clinical trials</w:t>
      </w:r>
      <w:bookmarkEnd w:id="8"/>
    </w:p>
    <w:p w:rsidR="00B60939" w:rsidRPr="00882085" w:rsidRDefault="00B60939" w:rsidP="00F34ABE">
      <w:pPr>
        <w:widowControl/>
        <w:rPr>
          <w:szCs w:val="22"/>
        </w:rPr>
      </w:pPr>
    </w:p>
    <w:p w:rsidR="008F03C3" w:rsidRPr="008F03C3" w:rsidRDefault="008F03C3" w:rsidP="00F34ABE">
      <w:pPr>
        <w:pStyle w:val="ListParagraph"/>
        <w:widowControl/>
        <w:numPr>
          <w:ilvl w:val="1"/>
          <w:numId w:val="7"/>
        </w:numPr>
        <w:rPr>
          <w:szCs w:val="22"/>
        </w:rPr>
      </w:pPr>
      <w:r>
        <w:t xml:space="preserve">The submission was based on: </w:t>
      </w:r>
    </w:p>
    <w:p w:rsidR="008F03C3" w:rsidRDefault="006E4EF6" w:rsidP="00F34ABE">
      <w:pPr>
        <w:pStyle w:val="ListParagraph"/>
        <w:widowControl/>
        <w:numPr>
          <w:ilvl w:val="0"/>
          <w:numId w:val="8"/>
        </w:numPr>
      </w:pPr>
      <w:r>
        <w:t xml:space="preserve">An </w:t>
      </w:r>
      <w:r w:rsidR="008F03C3">
        <w:t xml:space="preserve">open-label head-to-head randomised </w:t>
      </w:r>
      <w:r w:rsidR="000F5DA2">
        <w:t xml:space="preserve">non-inferiority </w:t>
      </w:r>
      <w:r w:rsidR="008F03C3">
        <w:t>trial comparing lignocaine patch to pregabalin (</w:t>
      </w:r>
      <w:r w:rsidR="008F03C3" w:rsidRPr="00093C87">
        <w:t>KF10004/03</w:t>
      </w:r>
      <w:r w:rsidR="008F03C3">
        <w:t>), referred to as the pivotal evidence</w:t>
      </w:r>
      <w:r w:rsidR="002A1148">
        <w:t xml:space="preserve">. </w:t>
      </w:r>
      <w:r w:rsidRPr="006E4EF6">
        <w:rPr>
          <w:i/>
        </w:rPr>
        <w:t>The key data relied on from this trial are for the subgroup of patients with PHN.</w:t>
      </w:r>
      <w:r w:rsidR="006670FD">
        <w:rPr>
          <w:i/>
        </w:rPr>
        <w:t xml:space="preserve"> </w:t>
      </w:r>
      <w:r w:rsidR="002A1148" w:rsidRPr="006670FD">
        <w:t>Data from the overall population</w:t>
      </w:r>
      <w:r w:rsidR="00AA2FFB" w:rsidRPr="006670FD">
        <w:t>, including patients with diabetic polyneuropathy (DPN),</w:t>
      </w:r>
      <w:r w:rsidR="002A1148" w:rsidRPr="006670FD">
        <w:t xml:space="preserve"> </w:t>
      </w:r>
      <w:r w:rsidR="00DE27BD">
        <w:t xml:space="preserve">are </w:t>
      </w:r>
      <w:r w:rsidR="00302EAF">
        <w:t xml:space="preserve">also </w:t>
      </w:r>
      <w:r w:rsidR="006670FD">
        <w:t xml:space="preserve">presented </w:t>
      </w:r>
      <w:r w:rsidR="00302EAF">
        <w:t>below</w:t>
      </w:r>
      <w:r w:rsidR="008F03C3" w:rsidRPr="006670FD">
        <w:t>;</w:t>
      </w:r>
      <w:r w:rsidR="008F03C3" w:rsidRPr="00980C60">
        <w:t xml:space="preserve"> </w:t>
      </w:r>
    </w:p>
    <w:p w:rsidR="008F03C3" w:rsidRDefault="008F03C3" w:rsidP="00F34ABE">
      <w:pPr>
        <w:pStyle w:val="ListParagraph"/>
        <w:widowControl/>
        <w:numPr>
          <w:ilvl w:val="0"/>
          <w:numId w:val="8"/>
        </w:numPr>
      </w:pPr>
      <w:r>
        <w:t xml:space="preserve">One enriched randomised withdrawal trial comparing lignocaine patch to placebo patch (Binder 2009); </w:t>
      </w:r>
    </w:p>
    <w:p w:rsidR="008F03C3" w:rsidRDefault="008F03C3" w:rsidP="00F34ABE">
      <w:pPr>
        <w:pStyle w:val="ListParagraph"/>
        <w:widowControl/>
        <w:numPr>
          <w:ilvl w:val="0"/>
          <w:numId w:val="8"/>
        </w:numPr>
      </w:pPr>
      <w:r>
        <w:t xml:space="preserve">One cross-over enriched randomised withdrawal trial comparing lignocaine patch to placebo patch (Galer 1999); </w:t>
      </w:r>
    </w:p>
    <w:p w:rsidR="008F03C3" w:rsidRDefault="008F03C3" w:rsidP="00F34ABE">
      <w:pPr>
        <w:pStyle w:val="ListParagraph"/>
        <w:widowControl/>
        <w:numPr>
          <w:ilvl w:val="0"/>
          <w:numId w:val="8"/>
        </w:numPr>
      </w:pPr>
      <w:r>
        <w:t>One head-to-head randomised trial comparing lignocaine patch to placebo patch (Galer 2002); and</w:t>
      </w:r>
    </w:p>
    <w:p w:rsidR="008F03C3" w:rsidRDefault="008F03C3" w:rsidP="00F34ABE">
      <w:pPr>
        <w:pStyle w:val="ListParagraph"/>
        <w:widowControl/>
        <w:numPr>
          <w:ilvl w:val="0"/>
          <w:numId w:val="8"/>
        </w:numPr>
      </w:pPr>
      <w:r>
        <w:t xml:space="preserve">Two supportive systematic reviews </w:t>
      </w:r>
      <w:r w:rsidRPr="00E30DC2">
        <w:t>(Snedecor 2014</w:t>
      </w:r>
      <w:r>
        <w:t>,</w:t>
      </w:r>
      <w:r w:rsidRPr="00E30DC2">
        <w:t xml:space="preserve"> Wolff 2011)</w:t>
      </w:r>
      <w:r>
        <w:t>.</w:t>
      </w:r>
    </w:p>
    <w:p w:rsidR="00862502" w:rsidRPr="00862502" w:rsidRDefault="00862502" w:rsidP="00F34ABE">
      <w:pPr>
        <w:widowControl/>
        <w:rPr>
          <w:szCs w:val="22"/>
        </w:rPr>
      </w:pPr>
    </w:p>
    <w:p w:rsidR="00862502" w:rsidRPr="00B50DB8" w:rsidRDefault="00862502" w:rsidP="00F34ABE">
      <w:pPr>
        <w:pStyle w:val="ListParagraph"/>
        <w:widowControl/>
        <w:numPr>
          <w:ilvl w:val="1"/>
          <w:numId w:val="7"/>
        </w:numPr>
        <w:rPr>
          <w:szCs w:val="22"/>
        </w:rPr>
      </w:pPr>
      <w:r w:rsidRPr="00B50DB8">
        <w:rPr>
          <w:szCs w:val="22"/>
        </w:rPr>
        <w:t>Details of the trials presented in the submission ar</w:t>
      </w:r>
      <w:r w:rsidR="00A83EB3">
        <w:rPr>
          <w:szCs w:val="22"/>
        </w:rPr>
        <w:t xml:space="preserve">e provided in the table below. </w:t>
      </w:r>
    </w:p>
    <w:p w:rsidR="00B92879" w:rsidRDefault="00B92879" w:rsidP="00F34ABE">
      <w:pPr>
        <w:keepNext/>
        <w:widowControl/>
        <w:ind w:firstLine="720"/>
        <w:rPr>
          <w:rStyle w:val="CommentReference"/>
        </w:rPr>
      </w:pPr>
    </w:p>
    <w:p w:rsidR="008F120A" w:rsidRDefault="008F120A" w:rsidP="00F34ABE">
      <w:pPr>
        <w:keepNext/>
        <w:widowControl/>
        <w:ind w:firstLine="720"/>
        <w:rPr>
          <w:rStyle w:val="CommentReference"/>
        </w:rPr>
      </w:pPr>
      <w:r w:rsidRPr="000812CA">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w:tblPr>
      <w:tblGrid>
        <w:gridCol w:w="992"/>
        <w:gridCol w:w="5529"/>
        <w:gridCol w:w="1824"/>
      </w:tblGrid>
      <w:tr w:rsidR="008F120A" w:rsidRPr="004E2ADC" w:rsidTr="006670FD">
        <w:trPr>
          <w:cantSplit/>
          <w:tblHeader/>
        </w:trPr>
        <w:tc>
          <w:tcPr>
            <w:tcW w:w="594" w:type="pct"/>
          </w:tcPr>
          <w:p w:rsidR="008F120A" w:rsidRPr="004E2ADC" w:rsidRDefault="008F120A" w:rsidP="00F34ABE">
            <w:pPr>
              <w:keepNext/>
              <w:widowControl/>
              <w:jc w:val="left"/>
              <w:rPr>
                <w:rFonts w:ascii="Arial Narrow" w:hAnsi="Arial Narrow"/>
                <w:b/>
                <w:sz w:val="20"/>
              </w:rPr>
            </w:pPr>
            <w:r w:rsidRPr="004E2ADC">
              <w:rPr>
                <w:rFonts w:ascii="Arial Narrow" w:hAnsi="Arial Narrow"/>
                <w:b/>
                <w:sz w:val="20"/>
              </w:rPr>
              <w:t>Trial ID</w:t>
            </w:r>
            <w:r w:rsidR="00BC5BA4">
              <w:rPr>
                <w:rFonts w:ascii="Arial Narrow" w:hAnsi="Arial Narrow"/>
                <w:b/>
                <w:sz w:val="20"/>
              </w:rPr>
              <w:t>/ First Author</w:t>
            </w:r>
          </w:p>
        </w:tc>
        <w:tc>
          <w:tcPr>
            <w:tcW w:w="3313" w:type="pct"/>
          </w:tcPr>
          <w:p w:rsidR="008F120A" w:rsidRPr="004E2ADC" w:rsidRDefault="008F120A" w:rsidP="00F34ABE">
            <w:pPr>
              <w:keepNext/>
              <w:widowControl/>
              <w:jc w:val="center"/>
              <w:rPr>
                <w:rFonts w:ascii="Arial Narrow" w:hAnsi="Arial Narrow"/>
                <w:b/>
                <w:sz w:val="20"/>
              </w:rPr>
            </w:pPr>
            <w:r w:rsidRPr="004E2ADC">
              <w:rPr>
                <w:rFonts w:ascii="Arial Narrow" w:hAnsi="Arial Narrow"/>
                <w:b/>
                <w:sz w:val="20"/>
              </w:rPr>
              <w:t>Protocol title/ Publication title</w:t>
            </w:r>
          </w:p>
        </w:tc>
        <w:tc>
          <w:tcPr>
            <w:tcW w:w="1093" w:type="pct"/>
          </w:tcPr>
          <w:p w:rsidR="008F120A" w:rsidRPr="004E2ADC" w:rsidRDefault="008F120A" w:rsidP="00F34ABE">
            <w:pPr>
              <w:keepNext/>
              <w:widowControl/>
              <w:jc w:val="center"/>
              <w:rPr>
                <w:rFonts w:ascii="Arial Narrow" w:hAnsi="Arial Narrow"/>
                <w:b/>
                <w:sz w:val="20"/>
              </w:rPr>
            </w:pPr>
            <w:r w:rsidRPr="004E2ADC">
              <w:rPr>
                <w:rFonts w:ascii="Arial Narrow" w:hAnsi="Arial Narrow"/>
                <w:b/>
                <w:sz w:val="20"/>
              </w:rPr>
              <w:t>Publication citation</w:t>
            </w:r>
          </w:p>
        </w:tc>
      </w:tr>
      <w:tr w:rsidR="009A0FCA" w:rsidRPr="004E2ADC" w:rsidTr="00980C60">
        <w:trPr>
          <w:cantSplit/>
        </w:trPr>
        <w:tc>
          <w:tcPr>
            <w:tcW w:w="5000" w:type="pct"/>
            <w:gridSpan w:val="3"/>
          </w:tcPr>
          <w:p w:rsidR="009A0FCA" w:rsidRDefault="009A0FCA" w:rsidP="00F34ABE">
            <w:pPr>
              <w:keepNext/>
              <w:widowControl/>
              <w:jc w:val="left"/>
              <w:rPr>
                <w:rFonts w:ascii="Arial Narrow" w:hAnsi="Arial Narrow"/>
                <w:b/>
                <w:sz w:val="20"/>
              </w:rPr>
            </w:pPr>
            <w:r>
              <w:rPr>
                <w:rFonts w:ascii="Arial Narrow" w:hAnsi="Arial Narrow"/>
                <w:b/>
                <w:sz w:val="20"/>
              </w:rPr>
              <w:t>Direct randomised trials</w:t>
            </w:r>
          </w:p>
        </w:tc>
      </w:tr>
      <w:tr w:rsidR="00EE4F5F" w:rsidRPr="004E2ADC" w:rsidTr="00980C60">
        <w:trPr>
          <w:cantSplit/>
        </w:trPr>
        <w:tc>
          <w:tcPr>
            <w:tcW w:w="5000" w:type="pct"/>
            <w:gridSpan w:val="3"/>
          </w:tcPr>
          <w:p w:rsidR="00EE4F5F" w:rsidRPr="009A0FCA" w:rsidRDefault="003C12A1" w:rsidP="00F34ABE">
            <w:pPr>
              <w:keepNext/>
              <w:widowControl/>
              <w:jc w:val="left"/>
              <w:rPr>
                <w:rFonts w:ascii="Arial Narrow" w:hAnsi="Arial Narrow"/>
                <w:i/>
                <w:sz w:val="20"/>
              </w:rPr>
            </w:pPr>
            <w:r w:rsidRPr="009A0FCA">
              <w:rPr>
                <w:rFonts w:ascii="Arial Narrow" w:hAnsi="Arial Narrow"/>
                <w:i/>
                <w:sz w:val="20"/>
              </w:rPr>
              <w:t>Lignocaine patch</w:t>
            </w:r>
            <w:r w:rsidR="00EE4F5F" w:rsidRPr="009A0FCA">
              <w:rPr>
                <w:rFonts w:ascii="Arial Narrow" w:hAnsi="Arial Narrow"/>
                <w:i/>
                <w:sz w:val="20"/>
              </w:rPr>
              <w:t xml:space="preserve"> vs. pregabalin</w:t>
            </w:r>
          </w:p>
        </w:tc>
      </w:tr>
      <w:tr w:rsidR="00EE4F5F" w:rsidRPr="004E2ADC" w:rsidTr="00980C60">
        <w:trPr>
          <w:cantSplit/>
        </w:trPr>
        <w:tc>
          <w:tcPr>
            <w:tcW w:w="594" w:type="pct"/>
          </w:tcPr>
          <w:p w:rsidR="00EE4F5F" w:rsidRPr="004E2ADC" w:rsidRDefault="00EE4F5F" w:rsidP="00F34ABE">
            <w:pPr>
              <w:widowControl/>
              <w:jc w:val="left"/>
              <w:rPr>
                <w:rFonts w:ascii="Arial Narrow" w:hAnsi="Arial Narrow"/>
                <w:sz w:val="20"/>
              </w:rPr>
            </w:pPr>
            <w:r w:rsidRPr="00982972">
              <w:rPr>
                <w:rFonts w:ascii="Arial Narrow" w:hAnsi="Arial Narrow"/>
                <w:sz w:val="20"/>
              </w:rPr>
              <w:t>KF10004/03 (PHN subgroup)</w:t>
            </w:r>
          </w:p>
        </w:tc>
        <w:tc>
          <w:tcPr>
            <w:tcW w:w="3313" w:type="pct"/>
          </w:tcPr>
          <w:p w:rsidR="00EE4F5F" w:rsidRPr="00982972" w:rsidRDefault="00EE4F5F" w:rsidP="00F34ABE">
            <w:pPr>
              <w:widowControl/>
              <w:jc w:val="left"/>
              <w:rPr>
                <w:rFonts w:ascii="Arial Narrow" w:hAnsi="Arial Narrow"/>
                <w:sz w:val="20"/>
              </w:rPr>
            </w:pPr>
            <w:r w:rsidRPr="00982972">
              <w:rPr>
                <w:rFonts w:ascii="Arial Narrow" w:hAnsi="Arial Narrow"/>
                <w:sz w:val="20"/>
              </w:rPr>
              <w:t xml:space="preserve">KF10004/03/PHN (sub-report) CSR.  Safety and efficacy of lidocaine 5% medicated plaster in comparison with pregabalin in postherpetic neuralgia and diabetic polyneuropathic pain.  </w:t>
            </w:r>
          </w:p>
          <w:p w:rsidR="00EE4F5F" w:rsidRPr="00982972" w:rsidRDefault="00EE4F5F" w:rsidP="00F34ABE">
            <w:pPr>
              <w:widowControl/>
              <w:jc w:val="left"/>
              <w:rPr>
                <w:rFonts w:ascii="Arial Narrow" w:hAnsi="Arial Narrow"/>
                <w:sz w:val="20"/>
              </w:rPr>
            </w:pPr>
            <w:r w:rsidRPr="00982972">
              <w:rPr>
                <w:rFonts w:ascii="Arial Narrow" w:hAnsi="Arial Narrow"/>
                <w:sz w:val="20"/>
              </w:rPr>
              <w:t xml:space="preserve">Baron R, Mayoral V, Leijon G, Binder A, Steigerwald I, Serpell M. 5% lidocaine medicated plaster versus pregabalin in postherpetic neuralgia and diabetic polyneuropathy: an open-label, non-inferiority two-stage RCT study. </w:t>
            </w:r>
          </w:p>
          <w:p w:rsidR="00EE4F5F" w:rsidRPr="00982972" w:rsidRDefault="00EE4F5F" w:rsidP="00F34ABE">
            <w:pPr>
              <w:widowControl/>
              <w:jc w:val="left"/>
              <w:rPr>
                <w:rFonts w:ascii="Arial Narrow" w:hAnsi="Arial Narrow"/>
                <w:sz w:val="20"/>
              </w:rPr>
            </w:pPr>
            <w:r w:rsidRPr="00982972">
              <w:rPr>
                <w:rFonts w:ascii="Arial Narrow" w:hAnsi="Arial Narrow"/>
                <w:sz w:val="20"/>
              </w:rPr>
              <w:t xml:space="preserve">Baron R, Mayoral V, Leijon G, Binder A, Steigerwald I, Serpell M. Efficacy and safety of combination therapy with 5% lidocaine medicated plaster and pregabalin in postherpetic neuralgia and diabetic polyneuropathy. </w:t>
            </w:r>
          </w:p>
          <w:p w:rsidR="00EE4F5F" w:rsidRPr="00982972" w:rsidRDefault="00EE4F5F" w:rsidP="00F34ABE">
            <w:pPr>
              <w:widowControl/>
              <w:jc w:val="left"/>
              <w:rPr>
                <w:rFonts w:ascii="Arial Narrow" w:hAnsi="Arial Narrow"/>
                <w:sz w:val="20"/>
              </w:rPr>
            </w:pPr>
            <w:r w:rsidRPr="00982972">
              <w:rPr>
                <w:rFonts w:ascii="Arial Narrow" w:hAnsi="Arial Narrow"/>
                <w:sz w:val="20"/>
              </w:rPr>
              <w:t xml:space="preserve">Baron R, Mayoral V, Leijon G, Binder A, Steigerwald I, Serpell M. Efficacy and safety of 5% lidocaine (lignocaine) medicated plaster in comparison with pregabalin in patients with postherpetic neuralgia and diabetic polyneuropathy. Interim analysis from an open-label, two-stage adaptive, randomized controlled trial.  </w:t>
            </w:r>
          </w:p>
          <w:p w:rsidR="00EE4F5F" w:rsidRPr="00982972" w:rsidRDefault="00EE4F5F" w:rsidP="00F34ABE">
            <w:pPr>
              <w:widowControl/>
              <w:jc w:val="left"/>
              <w:rPr>
                <w:rFonts w:ascii="Arial Narrow" w:hAnsi="Arial Narrow"/>
                <w:sz w:val="20"/>
                <w:u w:val="single"/>
              </w:rPr>
            </w:pPr>
            <w:r w:rsidRPr="00982972">
              <w:rPr>
                <w:rFonts w:ascii="Arial Narrow" w:hAnsi="Arial Narrow"/>
                <w:sz w:val="20"/>
                <w:u w:val="single"/>
              </w:rPr>
              <w:t>Combination phase</w:t>
            </w:r>
          </w:p>
          <w:p w:rsidR="00EE4F5F" w:rsidRPr="004E2ADC" w:rsidRDefault="00EE4F5F" w:rsidP="00F34ABE">
            <w:pPr>
              <w:widowControl/>
              <w:jc w:val="left"/>
              <w:rPr>
                <w:rFonts w:ascii="Arial Narrow" w:hAnsi="Arial Narrow"/>
                <w:b/>
                <w:sz w:val="20"/>
              </w:rPr>
            </w:pPr>
            <w:r w:rsidRPr="00982972">
              <w:rPr>
                <w:rFonts w:ascii="Arial Narrow" w:hAnsi="Arial Narrow"/>
                <w:sz w:val="20"/>
              </w:rPr>
              <w:t xml:space="preserve">Rehm S, Binder A, Baron R. Postherpetic neuralgia: 5% lidocaine medicated plaster, pregabalin, or a combination of both? A randomized, open, clinical effectiveness study. </w:t>
            </w:r>
          </w:p>
        </w:tc>
        <w:tc>
          <w:tcPr>
            <w:tcW w:w="1093" w:type="pct"/>
          </w:tcPr>
          <w:p w:rsidR="00EE4F5F" w:rsidRPr="00982972" w:rsidRDefault="00EE4F5F" w:rsidP="00F34ABE">
            <w:pPr>
              <w:widowControl/>
              <w:jc w:val="left"/>
              <w:rPr>
                <w:rFonts w:ascii="Arial Narrow" w:hAnsi="Arial Narrow"/>
                <w:sz w:val="20"/>
              </w:rPr>
            </w:pPr>
            <w:r w:rsidRPr="00982972">
              <w:rPr>
                <w:rFonts w:ascii="Arial Narrow" w:hAnsi="Arial Narrow"/>
                <w:sz w:val="20"/>
              </w:rPr>
              <w:t>25 September 2009</w:t>
            </w:r>
          </w:p>
          <w:p w:rsidR="00EE4F5F" w:rsidRPr="00982972" w:rsidRDefault="00EE4F5F" w:rsidP="00F34ABE">
            <w:pPr>
              <w:widowControl/>
              <w:jc w:val="left"/>
              <w:rPr>
                <w:rFonts w:ascii="Arial Narrow" w:hAnsi="Arial Narrow"/>
                <w:sz w:val="20"/>
              </w:rPr>
            </w:pPr>
          </w:p>
          <w:p w:rsidR="00EE4F5F" w:rsidRPr="00982972" w:rsidRDefault="00EE4F5F" w:rsidP="00F34ABE">
            <w:pPr>
              <w:widowControl/>
              <w:jc w:val="left"/>
              <w:rPr>
                <w:rFonts w:ascii="Arial Narrow" w:hAnsi="Arial Narrow"/>
                <w:sz w:val="20"/>
              </w:rPr>
            </w:pPr>
          </w:p>
          <w:p w:rsidR="00EE4F5F" w:rsidRPr="00982972" w:rsidRDefault="00EE4F5F" w:rsidP="00F34ABE">
            <w:pPr>
              <w:widowControl/>
              <w:jc w:val="left"/>
              <w:rPr>
                <w:rFonts w:ascii="Arial Narrow" w:hAnsi="Arial Narrow"/>
                <w:sz w:val="20"/>
              </w:rPr>
            </w:pPr>
            <w:r w:rsidRPr="00982972">
              <w:rPr>
                <w:rFonts w:ascii="Arial Narrow" w:hAnsi="Arial Narrow"/>
                <w:i/>
                <w:sz w:val="20"/>
              </w:rPr>
              <w:t>Current Medical Research and Opinion</w:t>
            </w:r>
            <w:r w:rsidRPr="00982972">
              <w:rPr>
                <w:rFonts w:ascii="Arial Narrow" w:hAnsi="Arial Narrow"/>
                <w:sz w:val="20"/>
              </w:rPr>
              <w:t xml:space="preserve"> 2009a; 25(7):1663-76.</w:t>
            </w:r>
          </w:p>
          <w:p w:rsidR="00EE4F5F" w:rsidRDefault="00EE4F5F" w:rsidP="00F34ABE">
            <w:pPr>
              <w:widowControl/>
              <w:jc w:val="left"/>
              <w:rPr>
                <w:rFonts w:ascii="Arial Narrow" w:hAnsi="Arial Narrow"/>
                <w:i/>
                <w:sz w:val="20"/>
              </w:rPr>
            </w:pPr>
          </w:p>
          <w:p w:rsidR="00EE4F5F" w:rsidRPr="00982972" w:rsidRDefault="00EE4F5F" w:rsidP="00F34ABE">
            <w:pPr>
              <w:widowControl/>
              <w:jc w:val="left"/>
              <w:rPr>
                <w:rFonts w:ascii="Arial Narrow" w:hAnsi="Arial Narrow"/>
                <w:i/>
                <w:sz w:val="20"/>
              </w:rPr>
            </w:pPr>
            <w:r w:rsidRPr="00982972">
              <w:rPr>
                <w:rFonts w:ascii="Arial Narrow" w:hAnsi="Arial Narrow"/>
                <w:i/>
                <w:sz w:val="20"/>
              </w:rPr>
              <w:t>Current Medical Research and Opinion</w:t>
            </w:r>
            <w:r w:rsidRPr="00982972">
              <w:rPr>
                <w:rFonts w:ascii="Arial Narrow" w:hAnsi="Arial Narrow"/>
                <w:sz w:val="20"/>
              </w:rPr>
              <w:t xml:space="preserve"> 2009b; 25(7): 1677-87.</w:t>
            </w:r>
          </w:p>
          <w:p w:rsidR="00EE4F5F" w:rsidRPr="00982972" w:rsidRDefault="00EE4F5F" w:rsidP="00F34ABE">
            <w:pPr>
              <w:widowControl/>
              <w:jc w:val="left"/>
              <w:rPr>
                <w:rFonts w:ascii="Arial Narrow" w:hAnsi="Arial Narrow"/>
                <w:sz w:val="20"/>
              </w:rPr>
            </w:pPr>
            <w:r w:rsidRPr="00982972">
              <w:rPr>
                <w:rFonts w:ascii="Arial Narrow" w:hAnsi="Arial Narrow"/>
                <w:i/>
                <w:sz w:val="20"/>
              </w:rPr>
              <w:t>Clinical Drug Investigation</w:t>
            </w:r>
            <w:r w:rsidRPr="00982972">
              <w:rPr>
                <w:rFonts w:ascii="Arial Narrow" w:hAnsi="Arial Narrow"/>
                <w:sz w:val="20"/>
              </w:rPr>
              <w:t xml:space="preserve"> 2009c; 29(4):231-41. </w:t>
            </w:r>
          </w:p>
          <w:p w:rsidR="00EE4F5F" w:rsidRDefault="00EE4F5F" w:rsidP="00F34ABE">
            <w:pPr>
              <w:widowControl/>
              <w:jc w:val="left"/>
              <w:rPr>
                <w:rFonts w:ascii="Arial Narrow" w:hAnsi="Arial Narrow"/>
                <w:sz w:val="20"/>
              </w:rPr>
            </w:pPr>
          </w:p>
          <w:p w:rsidR="00686EBB" w:rsidRDefault="00686EBB" w:rsidP="00F34ABE">
            <w:pPr>
              <w:widowControl/>
              <w:jc w:val="left"/>
              <w:rPr>
                <w:rFonts w:ascii="Arial Narrow" w:hAnsi="Arial Narrow"/>
                <w:sz w:val="20"/>
              </w:rPr>
            </w:pPr>
          </w:p>
          <w:p w:rsidR="00EE4F5F" w:rsidRPr="00982972" w:rsidRDefault="00EE4F5F" w:rsidP="00F34ABE">
            <w:pPr>
              <w:widowControl/>
              <w:jc w:val="left"/>
              <w:rPr>
                <w:rFonts w:ascii="Arial Narrow" w:hAnsi="Arial Narrow"/>
                <w:sz w:val="20"/>
              </w:rPr>
            </w:pPr>
          </w:p>
          <w:p w:rsidR="00EE4F5F" w:rsidRPr="004E2ADC" w:rsidRDefault="00EE4F5F" w:rsidP="00F34ABE">
            <w:pPr>
              <w:widowControl/>
              <w:jc w:val="left"/>
              <w:rPr>
                <w:rFonts w:ascii="Arial Narrow" w:hAnsi="Arial Narrow"/>
                <w:b/>
                <w:sz w:val="20"/>
              </w:rPr>
            </w:pPr>
            <w:r w:rsidRPr="00982972">
              <w:rPr>
                <w:rFonts w:ascii="Arial Narrow" w:hAnsi="Arial Narrow"/>
                <w:i/>
                <w:sz w:val="20"/>
              </w:rPr>
              <w:t>Current Medical Research and Opinion</w:t>
            </w:r>
            <w:r w:rsidRPr="00982972">
              <w:rPr>
                <w:rFonts w:ascii="Arial Narrow" w:hAnsi="Arial Narrow"/>
                <w:sz w:val="20"/>
              </w:rPr>
              <w:t xml:space="preserve"> 2010; 26(7):1607-19.</w:t>
            </w:r>
          </w:p>
        </w:tc>
      </w:tr>
      <w:tr w:rsidR="00EE4F5F" w:rsidRPr="004E2ADC" w:rsidTr="00980C60">
        <w:trPr>
          <w:cantSplit/>
        </w:trPr>
        <w:tc>
          <w:tcPr>
            <w:tcW w:w="5000" w:type="pct"/>
            <w:gridSpan w:val="3"/>
          </w:tcPr>
          <w:p w:rsidR="00EE4F5F" w:rsidRPr="009A0FCA" w:rsidRDefault="003C12A1" w:rsidP="00F34ABE">
            <w:pPr>
              <w:keepNext/>
              <w:widowControl/>
              <w:jc w:val="left"/>
              <w:rPr>
                <w:rFonts w:ascii="Arial Narrow" w:hAnsi="Arial Narrow"/>
                <w:i/>
                <w:sz w:val="20"/>
              </w:rPr>
            </w:pPr>
            <w:r w:rsidRPr="009A0FCA">
              <w:rPr>
                <w:rFonts w:ascii="Arial Narrow" w:hAnsi="Arial Narrow"/>
                <w:i/>
                <w:sz w:val="20"/>
              </w:rPr>
              <w:t>Lignocaine patch</w:t>
            </w:r>
            <w:r w:rsidR="00EE4F5F" w:rsidRPr="009A0FCA">
              <w:rPr>
                <w:rFonts w:ascii="Arial Narrow" w:hAnsi="Arial Narrow"/>
                <w:i/>
                <w:sz w:val="20"/>
              </w:rPr>
              <w:t xml:space="preserve"> vs. placebo</w:t>
            </w:r>
          </w:p>
        </w:tc>
      </w:tr>
      <w:tr w:rsidR="00EE4F5F" w:rsidRPr="004E2ADC" w:rsidTr="00980C60">
        <w:trPr>
          <w:cantSplit/>
        </w:trPr>
        <w:tc>
          <w:tcPr>
            <w:tcW w:w="594" w:type="pct"/>
          </w:tcPr>
          <w:p w:rsidR="00EE4F5F" w:rsidRPr="004E2ADC" w:rsidRDefault="00EE4F5F" w:rsidP="00F34ABE">
            <w:pPr>
              <w:widowControl/>
              <w:jc w:val="left"/>
              <w:rPr>
                <w:rFonts w:ascii="Arial Narrow" w:hAnsi="Arial Narrow"/>
                <w:sz w:val="20"/>
              </w:rPr>
            </w:pPr>
            <w:r w:rsidRPr="00982972">
              <w:rPr>
                <w:rFonts w:ascii="Arial Narrow" w:hAnsi="Arial Narrow"/>
                <w:sz w:val="20"/>
              </w:rPr>
              <w:t xml:space="preserve">Binder </w:t>
            </w:r>
            <w:r>
              <w:rPr>
                <w:rFonts w:ascii="Arial Narrow" w:hAnsi="Arial Narrow"/>
                <w:sz w:val="20"/>
              </w:rPr>
              <w:t>(</w:t>
            </w:r>
            <w:r w:rsidRPr="00982972">
              <w:rPr>
                <w:rFonts w:ascii="Arial Narrow" w:hAnsi="Arial Narrow"/>
                <w:sz w:val="20"/>
              </w:rPr>
              <w:t>2009</w:t>
            </w:r>
            <w:r>
              <w:rPr>
                <w:rFonts w:ascii="Arial Narrow" w:hAnsi="Arial Narrow"/>
                <w:sz w:val="20"/>
              </w:rPr>
              <w:t>)</w:t>
            </w:r>
          </w:p>
        </w:tc>
        <w:tc>
          <w:tcPr>
            <w:tcW w:w="3313" w:type="pct"/>
          </w:tcPr>
          <w:p w:rsidR="00EE4F5F" w:rsidRPr="00982972" w:rsidRDefault="00EE4F5F" w:rsidP="00F34ABE">
            <w:pPr>
              <w:pStyle w:val="TableTextleftalign"/>
              <w:rPr>
                <w:rFonts w:ascii="Arial Narrow" w:hAnsi="Arial Narrow"/>
                <w:sz w:val="20"/>
              </w:rPr>
            </w:pPr>
            <w:r w:rsidRPr="00982972">
              <w:rPr>
                <w:rFonts w:ascii="Arial Narrow" w:hAnsi="Arial Narrow"/>
                <w:sz w:val="20"/>
              </w:rPr>
              <w:t xml:space="preserve">KF10004/01 CSR. A double-blind, multicentre, multiple-dose, enriched enrolment, randomized-withdrawal, parallel-group phase III study with Lido-Patch and corresponding placebo plaster in patients suffering from postherpetic neuralgia (PHN). </w:t>
            </w:r>
          </w:p>
          <w:p w:rsidR="00EE4F5F" w:rsidRPr="004E2ADC" w:rsidRDefault="00EE4F5F" w:rsidP="00F34ABE">
            <w:pPr>
              <w:widowControl/>
              <w:jc w:val="left"/>
              <w:rPr>
                <w:rFonts w:ascii="Arial Narrow" w:hAnsi="Arial Narrow"/>
                <w:b/>
                <w:sz w:val="20"/>
              </w:rPr>
            </w:pPr>
            <w:r w:rsidRPr="00982972">
              <w:rPr>
                <w:rFonts w:ascii="Arial Narrow" w:hAnsi="Arial Narrow"/>
                <w:sz w:val="20"/>
              </w:rPr>
              <w:t>Binder A, Bruxelle J, Rogers P, Hans G, Bösl I, Baron R. Topical 5% lidocaine (</w:t>
            </w:r>
            <w:r w:rsidR="0095617B">
              <w:rPr>
                <w:rFonts w:ascii="Arial Narrow" w:hAnsi="Arial Narrow"/>
                <w:sz w:val="20"/>
              </w:rPr>
              <w:t>V</w:t>
            </w:r>
            <w:r w:rsidR="0095617B" w:rsidRPr="00982972">
              <w:rPr>
                <w:rFonts w:ascii="Arial Narrow" w:hAnsi="Arial Narrow"/>
                <w:sz w:val="20"/>
              </w:rPr>
              <w:t>ersatis</w:t>
            </w:r>
            <w:r w:rsidRPr="00982972">
              <w:rPr>
                <w:rFonts w:ascii="Arial Narrow" w:hAnsi="Arial Narrow"/>
                <w:sz w:val="20"/>
              </w:rPr>
              <w:t xml:space="preserve">) medicated plaster treatment for postherpetic neuralgia: results of a double-blind, placebo-controlled, multinational efficacy and safety trial. </w:t>
            </w:r>
          </w:p>
        </w:tc>
        <w:tc>
          <w:tcPr>
            <w:tcW w:w="1093" w:type="pct"/>
          </w:tcPr>
          <w:p w:rsidR="00EE4F5F" w:rsidRPr="00982972" w:rsidRDefault="00EE4F5F" w:rsidP="00F34ABE">
            <w:pPr>
              <w:widowControl/>
              <w:jc w:val="left"/>
              <w:rPr>
                <w:rFonts w:ascii="Arial Narrow" w:hAnsi="Arial Narrow"/>
                <w:b/>
                <w:sz w:val="20"/>
              </w:rPr>
            </w:pPr>
            <w:r w:rsidRPr="00982972">
              <w:rPr>
                <w:rFonts w:ascii="Arial Narrow" w:hAnsi="Arial Narrow"/>
                <w:sz w:val="20"/>
              </w:rPr>
              <w:t>2 September 2005.</w:t>
            </w:r>
          </w:p>
          <w:p w:rsidR="00EE4F5F" w:rsidRPr="00982972" w:rsidRDefault="00EE4F5F" w:rsidP="00F34ABE">
            <w:pPr>
              <w:widowControl/>
              <w:jc w:val="left"/>
              <w:rPr>
                <w:rFonts w:ascii="Arial Narrow" w:hAnsi="Arial Narrow"/>
                <w:sz w:val="20"/>
              </w:rPr>
            </w:pPr>
          </w:p>
          <w:p w:rsidR="00EE4F5F" w:rsidRPr="00982972" w:rsidRDefault="00EE4F5F" w:rsidP="00F34ABE">
            <w:pPr>
              <w:widowControl/>
              <w:jc w:val="left"/>
              <w:rPr>
                <w:rFonts w:ascii="Arial Narrow" w:hAnsi="Arial Narrow"/>
                <w:sz w:val="20"/>
              </w:rPr>
            </w:pPr>
          </w:p>
          <w:p w:rsidR="00EE4F5F" w:rsidRPr="00982972" w:rsidRDefault="00EE4F5F" w:rsidP="00F34ABE">
            <w:pPr>
              <w:widowControl/>
              <w:jc w:val="left"/>
              <w:rPr>
                <w:rFonts w:ascii="Arial Narrow" w:hAnsi="Arial Narrow"/>
                <w:sz w:val="20"/>
              </w:rPr>
            </w:pPr>
          </w:p>
          <w:p w:rsidR="00EE4F5F" w:rsidRPr="004E2ADC" w:rsidRDefault="00EE4F5F" w:rsidP="00F34ABE">
            <w:pPr>
              <w:widowControl/>
              <w:jc w:val="left"/>
              <w:rPr>
                <w:rFonts w:ascii="Arial Narrow" w:hAnsi="Arial Narrow"/>
                <w:b/>
                <w:sz w:val="20"/>
              </w:rPr>
            </w:pPr>
            <w:r w:rsidRPr="00982972">
              <w:rPr>
                <w:rFonts w:ascii="Arial Narrow" w:hAnsi="Arial Narrow"/>
                <w:i/>
                <w:sz w:val="20"/>
              </w:rPr>
              <w:t>Clinical Drug Investigation</w:t>
            </w:r>
            <w:r w:rsidRPr="00982972">
              <w:rPr>
                <w:rFonts w:ascii="Arial Narrow" w:hAnsi="Arial Narrow"/>
                <w:sz w:val="20"/>
              </w:rPr>
              <w:t xml:space="preserve"> 2009; 29(6):393-408.</w:t>
            </w:r>
          </w:p>
        </w:tc>
      </w:tr>
      <w:tr w:rsidR="00EE4F5F" w:rsidRPr="004E2ADC" w:rsidTr="00980C60">
        <w:trPr>
          <w:cantSplit/>
        </w:trPr>
        <w:tc>
          <w:tcPr>
            <w:tcW w:w="594" w:type="pct"/>
          </w:tcPr>
          <w:p w:rsidR="00EE4F5F" w:rsidRPr="004E2ADC" w:rsidRDefault="00EE4F5F" w:rsidP="00F34ABE">
            <w:pPr>
              <w:widowControl/>
              <w:jc w:val="left"/>
              <w:rPr>
                <w:rFonts w:ascii="Arial Narrow" w:hAnsi="Arial Narrow"/>
                <w:sz w:val="20"/>
              </w:rPr>
            </w:pPr>
            <w:r w:rsidRPr="00982972">
              <w:rPr>
                <w:rFonts w:ascii="Arial Narrow" w:hAnsi="Arial Narrow"/>
                <w:sz w:val="20"/>
              </w:rPr>
              <w:t xml:space="preserve">Galer </w:t>
            </w:r>
            <w:r>
              <w:rPr>
                <w:rFonts w:ascii="Arial Narrow" w:hAnsi="Arial Narrow"/>
                <w:sz w:val="20"/>
              </w:rPr>
              <w:t>(</w:t>
            </w:r>
            <w:r w:rsidRPr="00982972">
              <w:rPr>
                <w:rFonts w:ascii="Arial Narrow" w:hAnsi="Arial Narrow"/>
                <w:sz w:val="20"/>
              </w:rPr>
              <w:t>1999</w:t>
            </w:r>
            <w:r>
              <w:rPr>
                <w:rFonts w:ascii="Arial Narrow" w:hAnsi="Arial Narrow"/>
                <w:sz w:val="20"/>
              </w:rPr>
              <w:t>)</w:t>
            </w:r>
          </w:p>
        </w:tc>
        <w:tc>
          <w:tcPr>
            <w:tcW w:w="3313" w:type="pct"/>
          </w:tcPr>
          <w:p w:rsidR="00EE4F5F" w:rsidRPr="00982972" w:rsidRDefault="00EE4F5F" w:rsidP="00F34ABE">
            <w:pPr>
              <w:pStyle w:val="TableTextleftalign"/>
              <w:rPr>
                <w:rFonts w:ascii="Arial Narrow" w:hAnsi="Arial Narrow"/>
                <w:sz w:val="20"/>
              </w:rPr>
            </w:pPr>
            <w:r w:rsidRPr="00982972">
              <w:rPr>
                <w:rFonts w:ascii="Arial Narrow" w:hAnsi="Arial Narrow"/>
                <w:sz w:val="20"/>
              </w:rPr>
              <w:t>KF10004/H32 CS</w:t>
            </w:r>
            <w:r>
              <w:rPr>
                <w:rFonts w:ascii="Arial Narrow" w:hAnsi="Arial Narrow"/>
                <w:sz w:val="20"/>
              </w:rPr>
              <w:t>R</w:t>
            </w:r>
            <w:r w:rsidRPr="00982972">
              <w:rPr>
                <w:rFonts w:ascii="Arial Narrow" w:hAnsi="Arial Narrow"/>
                <w:sz w:val="20"/>
              </w:rPr>
              <w:t xml:space="preserve">.  A randomized, double-blind, cross-over study of the analgesic efficacy of lidocaine dds (dermal delivery system) compared to placebo dds in postherpetic neuralgia. </w:t>
            </w:r>
          </w:p>
          <w:p w:rsidR="00EE4F5F" w:rsidRPr="004E2ADC" w:rsidRDefault="00EE4F5F" w:rsidP="00F34ABE">
            <w:pPr>
              <w:widowControl/>
              <w:jc w:val="left"/>
              <w:rPr>
                <w:rFonts w:ascii="Arial Narrow" w:hAnsi="Arial Narrow"/>
                <w:b/>
                <w:sz w:val="20"/>
              </w:rPr>
            </w:pPr>
            <w:r w:rsidRPr="00982972">
              <w:rPr>
                <w:rFonts w:ascii="Arial Narrow" w:hAnsi="Arial Narrow"/>
                <w:sz w:val="20"/>
              </w:rPr>
              <w:t xml:space="preserve">Galer BS, Rowbotham MC, Perander J, Friedman E. Topical lidocaine patch relieves postherpetic neuralgia more effectively than a vehicle topical patch: results of an enriched enrolment study. </w:t>
            </w:r>
          </w:p>
        </w:tc>
        <w:tc>
          <w:tcPr>
            <w:tcW w:w="1093" w:type="pct"/>
          </w:tcPr>
          <w:p w:rsidR="00EE4F5F" w:rsidRPr="00982972" w:rsidRDefault="00EE4F5F" w:rsidP="00F34ABE">
            <w:pPr>
              <w:widowControl/>
              <w:jc w:val="left"/>
              <w:rPr>
                <w:rFonts w:ascii="Arial Narrow" w:hAnsi="Arial Narrow"/>
                <w:sz w:val="20"/>
              </w:rPr>
            </w:pPr>
            <w:r w:rsidRPr="00982972">
              <w:rPr>
                <w:rFonts w:ascii="Arial Narrow" w:hAnsi="Arial Narrow"/>
                <w:sz w:val="20"/>
              </w:rPr>
              <w:t xml:space="preserve">22 October 2004. </w:t>
            </w:r>
          </w:p>
          <w:p w:rsidR="00EE4F5F" w:rsidRPr="00982972" w:rsidRDefault="00EE4F5F" w:rsidP="00F34ABE">
            <w:pPr>
              <w:widowControl/>
              <w:jc w:val="left"/>
              <w:rPr>
                <w:rFonts w:ascii="Arial Narrow" w:hAnsi="Arial Narrow"/>
                <w:sz w:val="20"/>
              </w:rPr>
            </w:pPr>
          </w:p>
          <w:p w:rsidR="00EE4F5F" w:rsidRPr="00982972" w:rsidRDefault="00EE4F5F" w:rsidP="00F34ABE">
            <w:pPr>
              <w:widowControl/>
              <w:jc w:val="left"/>
              <w:rPr>
                <w:rFonts w:ascii="Arial Narrow" w:hAnsi="Arial Narrow"/>
                <w:sz w:val="20"/>
              </w:rPr>
            </w:pPr>
          </w:p>
          <w:p w:rsidR="00EE4F5F" w:rsidRPr="004E2ADC" w:rsidRDefault="00EE4F5F" w:rsidP="00F34ABE">
            <w:pPr>
              <w:widowControl/>
              <w:jc w:val="left"/>
              <w:rPr>
                <w:rFonts w:ascii="Arial Narrow" w:hAnsi="Arial Narrow"/>
                <w:b/>
                <w:sz w:val="20"/>
              </w:rPr>
            </w:pPr>
            <w:r w:rsidRPr="00982972">
              <w:rPr>
                <w:rFonts w:ascii="Arial Narrow" w:hAnsi="Arial Narrow"/>
                <w:i/>
                <w:sz w:val="20"/>
              </w:rPr>
              <w:t>Pain</w:t>
            </w:r>
            <w:r w:rsidRPr="00982972">
              <w:rPr>
                <w:rFonts w:ascii="Arial Narrow" w:hAnsi="Arial Narrow"/>
                <w:sz w:val="20"/>
              </w:rPr>
              <w:t xml:space="preserve"> 1999; 80(3):533-8.</w:t>
            </w:r>
          </w:p>
        </w:tc>
      </w:tr>
      <w:tr w:rsidR="00EE4F5F" w:rsidRPr="004E2ADC" w:rsidTr="00980C60">
        <w:trPr>
          <w:cantSplit/>
        </w:trPr>
        <w:tc>
          <w:tcPr>
            <w:tcW w:w="594" w:type="pct"/>
          </w:tcPr>
          <w:p w:rsidR="00EE4F5F" w:rsidRPr="004E2ADC" w:rsidRDefault="00EE4F5F" w:rsidP="00F34ABE">
            <w:pPr>
              <w:widowControl/>
              <w:jc w:val="left"/>
              <w:rPr>
                <w:rFonts w:ascii="Arial Narrow" w:hAnsi="Arial Narrow"/>
                <w:sz w:val="20"/>
              </w:rPr>
            </w:pPr>
            <w:r w:rsidRPr="00982972">
              <w:rPr>
                <w:rFonts w:ascii="Arial Narrow" w:hAnsi="Arial Narrow"/>
                <w:sz w:val="20"/>
              </w:rPr>
              <w:t xml:space="preserve">Galer </w:t>
            </w:r>
            <w:r>
              <w:rPr>
                <w:rFonts w:ascii="Arial Narrow" w:hAnsi="Arial Narrow"/>
                <w:sz w:val="20"/>
              </w:rPr>
              <w:t>(</w:t>
            </w:r>
            <w:r w:rsidRPr="00982972">
              <w:rPr>
                <w:rFonts w:ascii="Arial Narrow" w:hAnsi="Arial Narrow"/>
                <w:sz w:val="20"/>
              </w:rPr>
              <w:t>2002</w:t>
            </w:r>
            <w:r>
              <w:rPr>
                <w:rFonts w:ascii="Arial Narrow" w:hAnsi="Arial Narrow"/>
                <w:sz w:val="20"/>
              </w:rPr>
              <w:t>)</w:t>
            </w:r>
          </w:p>
        </w:tc>
        <w:tc>
          <w:tcPr>
            <w:tcW w:w="3313" w:type="pct"/>
          </w:tcPr>
          <w:p w:rsidR="00EE4F5F" w:rsidRPr="00982972" w:rsidRDefault="00EE4F5F" w:rsidP="00F34ABE">
            <w:pPr>
              <w:pStyle w:val="TableTextleftalign"/>
              <w:rPr>
                <w:rFonts w:ascii="Arial Narrow" w:hAnsi="Arial Narrow"/>
                <w:sz w:val="20"/>
              </w:rPr>
            </w:pPr>
            <w:r w:rsidRPr="00982972">
              <w:rPr>
                <w:rFonts w:ascii="Arial Narrow" w:hAnsi="Arial Narrow"/>
                <w:sz w:val="20"/>
              </w:rPr>
              <w:t xml:space="preserve">KF10004/H31.  Multicentre randomized, double-blind study of the analgesic efficacy and safety during 30 days of as needed use of topical lidocaine patches in patients with postherpetic neuralgia.  </w:t>
            </w:r>
          </w:p>
          <w:p w:rsidR="00EE4F5F" w:rsidRDefault="00EE4F5F" w:rsidP="00F34ABE">
            <w:pPr>
              <w:widowControl/>
              <w:jc w:val="left"/>
              <w:rPr>
                <w:rFonts w:ascii="Arial Narrow" w:hAnsi="Arial Narrow"/>
                <w:sz w:val="20"/>
              </w:rPr>
            </w:pPr>
            <w:r w:rsidRPr="00982972">
              <w:rPr>
                <w:rFonts w:ascii="Arial Narrow" w:hAnsi="Arial Narrow"/>
                <w:sz w:val="20"/>
              </w:rPr>
              <w:t xml:space="preserve">Galer BS, Jensen MP, Ma T, Davies PS, Rowbotham MC. The lidocaine patch 5% effectively treats all neuropathic pain qualities: results of a randomized, double-blind, vehicle-controlled, 3-week efficacy study with use of the neuropathic pain scale. </w:t>
            </w:r>
          </w:p>
          <w:p w:rsidR="004E3A01" w:rsidRPr="004E3A01" w:rsidRDefault="004E3A01" w:rsidP="00F34ABE">
            <w:pPr>
              <w:widowControl/>
              <w:jc w:val="left"/>
              <w:rPr>
                <w:rFonts w:ascii="Arial Narrow" w:hAnsi="Arial Narrow"/>
                <w:sz w:val="20"/>
              </w:rPr>
            </w:pPr>
            <w:r w:rsidRPr="004E3A01">
              <w:rPr>
                <w:rFonts w:ascii="Arial Narrow" w:hAnsi="Arial Narrow"/>
                <w:sz w:val="20"/>
              </w:rPr>
              <w:t xml:space="preserve">Rowbotham MC, Davies PS, Galer BS. Multicentre, double-blind, vehicle-controlled trial of long term use of lidocaine patches for postherpetic neuralgia. Abstracts of the 8th World Congress of the International Association for the Study of Pain (Vancouver, British Columbia, Canada, August 17-22, 1996). </w:t>
            </w:r>
          </w:p>
        </w:tc>
        <w:tc>
          <w:tcPr>
            <w:tcW w:w="1093" w:type="pct"/>
          </w:tcPr>
          <w:p w:rsidR="00EE4F5F" w:rsidRPr="00982972" w:rsidRDefault="00EE4F5F" w:rsidP="00F34ABE">
            <w:pPr>
              <w:widowControl/>
              <w:jc w:val="left"/>
              <w:rPr>
                <w:rFonts w:ascii="Arial Narrow" w:hAnsi="Arial Narrow"/>
                <w:sz w:val="20"/>
              </w:rPr>
            </w:pPr>
            <w:r w:rsidRPr="00982972">
              <w:rPr>
                <w:rFonts w:ascii="Arial Narrow" w:hAnsi="Arial Narrow"/>
                <w:sz w:val="20"/>
              </w:rPr>
              <w:t xml:space="preserve">2 October 2004. </w:t>
            </w:r>
          </w:p>
          <w:p w:rsidR="00EE4F5F" w:rsidRPr="00982972" w:rsidRDefault="00EE4F5F" w:rsidP="00F34ABE">
            <w:pPr>
              <w:widowControl/>
              <w:jc w:val="left"/>
              <w:rPr>
                <w:rFonts w:ascii="Arial Narrow" w:hAnsi="Arial Narrow"/>
                <w:sz w:val="20"/>
              </w:rPr>
            </w:pPr>
          </w:p>
          <w:p w:rsidR="00EE4F5F" w:rsidRPr="00982972" w:rsidRDefault="00EE4F5F" w:rsidP="00F34ABE">
            <w:pPr>
              <w:widowControl/>
              <w:jc w:val="left"/>
              <w:rPr>
                <w:rFonts w:ascii="Arial Narrow" w:hAnsi="Arial Narrow"/>
                <w:sz w:val="20"/>
              </w:rPr>
            </w:pPr>
          </w:p>
          <w:p w:rsidR="004E3A01" w:rsidRDefault="00EE4F5F" w:rsidP="00F34ABE">
            <w:pPr>
              <w:widowControl/>
              <w:jc w:val="left"/>
              <w:rPr>
                <w:rFonts w:ascii="Arial Narrow" w:hAnsi="Arial Narrow"/>
                <w:sz w:val="20"/>
              </w:rPr>
            </w:pPr>
            <w:r w:rsidRPr="00982972">
              <w:rPr>
                <w:rFonts w:ascii="Arial Narrow" w:hAnsi="Arial Narrow"/>
                <w:i/>
                <w:sz w:val="20"/>
              </w:rPr>
              <w:t>Clinical Journal of Pain</w:t>
            </w:r>
            <w:r w:rsidRPr="00982972">
              <w:rPr>
                <w:rFonts w:ascii="Arial Narrow" w:hAnsi="Arial Narrow"/>
                <w:sz w:val="20"/>
              </w:rPr>
              <w:t xml:space="preserve"> 2002; 18(5):297-301.</w:t>
            </w:r>
            <w:r w:rsidR="004E3A01" w:rsidRPr="004E3A01">
              <w:rPr>
                <w:rFonts w:ascii="Arial Narrow" w:hAnsi="Arial Narrow"/>
                <w:sz w:val="20"/>
              </w:rPr>
              <w:t xml:space="preserve"> </w:t>
            </w:r>
          </w:p>
          <w:p w:rsidR="004E3A01" w:rsidRDefault="004E3A01" w:rsidP="00F34ABE">
            <w:pPr>
              <w:widowControl/>
              <w:jc w:val="left"/>
              <w:rPr>
                <w:rFonts w:ascii="Arial Narrow" w:hAnsi="Arial Narrow"/>
                <w:sz w:val="20"/>
              </w:rPr>
            </w:pPr>
          </w:p>
          <w:p w:rsidR="004E3A01" w:rsidRDefault="004E3A01" w:rsidP="00F34ABE">
            <w:pPr>
              <w:widowControl/>
              <w:jc w:val="left"/>
              <w:rPr>
                <w:rFonts w:ascii="Arial Narrow" w:hAnsi="Arial Narrow"/>
                <w:sz w:val="20"/>
              </w:rPr>
            </w:pPr>
          </w:p>
          <w:p w:rsidR="00EE4F5F" w:rsidRPr="004E2ADC" w:rsidRDefault="004E3A01" w:rsidP="00F34ABE">
            <w:pPr>
              <w:widowControl/>
              <w:jc w:val="left"/>
              <w:rPr>
                <w:rFonts w:ascii="Arial Narrow" w:hAnsi="Arial Narrow"/>
                <w:b/>
                <w:sz w:val="20"/>
              </w:rPr>
            </w:pPr>
            <w:r w:rsidRPr="004E3A01">
              <w:rPr>
                <w:rFonts w:ascii="Arial Narrow" w:hAnsi="Arial Narrow"/>
                <w:sz w:val="20"/>
              </w:rPr>
              <w:t>Abstract 184:274.</w:t>
            </w:r>
          </w:p>
        </w:tc>
      </w:tr>
      <w:tr w:rsidR="00EE4F5F" w:rsidRPr="004E2ADC" w:rsidTr="00980C60">
        <w:trPr>
          <w:cantSplit/>
        </w:trPr>
        <w:tc>
          <w:tcPr>
            <w:tcW w:w="5000" w:type="pct"/>
            <w:gridSpan w:val="3"/>
          </w:tcPr>
          <w:p w:rsidR="00EE4F5F" w:rsidRPr="00982972" w:rsidRDefault="004A7CEE" w:rsidP="00F34ABE">
            <w:pPr>
              <w:widowControl/>
              <w:jc w:val="left"/>
              <w:rPr>
                <w:rFonts w:ascii="Arial Narrow" w:hAnsi="Arial Narrow"/>
                <w:i/>
                <w:sz w:val="20"/>
              </w:rPr>
            </w:pPr>
            <w:r>
              <w:rPr>
                <w:rFonts w:ascii="Arial Narrow" w:hAnsi="Arial Narrow"/>
                <w:b/>
                <w:sz w:val="20"/>
              </w:rPr>
              <w:t>Supportive s</w:t>
            </w:r>
            <w:r w:rsidR="00EE4F5F" w:rsidRPr="00982972">
              <w:rPr>
                <w:rFonts w:ascii="Arial Narrow" w:hAnsi="Arial Narrow"/>
                <w:b/>
                <w:sz w:val="20"/>
              </w:rPr>
              <w:t>ystematic reviews</w:t>
            </w:r>
          </w:p>
        </w:tc>
      </w:tr>
      <w:tr w:rsidR="00EE4F5F" w:rsidRPr="004E2ADC" w:rsidTr="00980C60">
        <w:trPr>
          <w:cantSplit/>
        </w:trPr>
        <w:tc>
          <w:tcPr>
            <w:tcW w:w="594" w:type="pct"/>
          </w:tcPr>
          <w:p w:rsidR="00EE4F5F" w:rsidRPr="00982972" w:rsidRDefault="00EE4F5F" w:rsidP="00F34ABE">
            <w:pPr>
              <w:widowControl/>
              <w:jc w:val="left"/>
              <w:rPr>
                <w:rFonts w:ascii="Arial Narrow" w:hAnsi="Arial Narrow"/>
                <w:sz w:val="20"/>
              </w:rPr>
            </w:pPr>
            <w:r w:rsidRPr="00982972">
              <w:rPr>
                <w:rFonts w:ascii="Arial Narrow" w:hAnsi="Arial Narrow"/>
                <w:sz w:val="20"/>
              </w:rPr>
              <w:lastRenderedPageBreak/>
              <w:t xml:space="preserve">Snedecor </w:t>
            </w:r>
            <w:r>
              <w:rPr>
                <w:rFonts w:ascii="Arial Narrow" w:hAnsi="Arial Narrow"/>
                <w:sz w:val="20"/>
              </w:rPr>
              <w:t>(</w:t>
            </w:r>
            <w:r w:rsidRPr="00982972">
              <w:rPr>
                <w:rFonts w:ascii="Arial Narrow" w:hAnsi="Arial Narrow"/>
                <w:sz w:val="20"/>
              </w:rPr>
              <w:t>2014</w:t>
            </w:r>
            <w:r>
              <w:rPr>
                <w:rFonts w:ascii="Arial Narrow" w:hAnsi="Arial Narrow"/>
                <w:sz w:val="20"/>
              </w:rPr>
              <w:t>)</w:t>
            </w:r>
          </w:p>
        </w:tc>
        <w:tc>
          <w:tcPr>
            <w:tcW w:w="3313" w:type="pct"/>
          </w:tcPr>
          <w:p w:rsidR="00EE4F5F" w:rsidRPr="00982972" w:rsidRDefault="00EE4F5F" w:rsidP="00F34ABE">
            <w:pPr>
              <w:pStyle w:val="TableTextleftalign"/>
              <w:rPr>
                <w:rFonts w:ascii="Arial Narrow" w:hAnsi="Arial Narrow"/>
                <w:sz w:val="20"/>
              </w:rPr>
            </w:pPr>
            <w:r w:rsidRPr="00982972">
              <w:rPr>
                <w:rFonts w:ascii="Arial Narrow" w:hAnsi="Arial Narrow"/>
                <w:sz w:val="20"/>
              </w:rPr>
              <w:t xml:space="preserve">Snedecor SJ, Suharshan L, Cappelleri JC, Sadosky A, Desai P, Jalundhwala Y, Botteman M. Systematic </w:t>
            </w:r>
            <w:r w:rsidR="0046331B" w:rsidRPr="00982972">
              <w:rPr>
                <w:rFonts w:ascii="Arial Narrow" w:hAnsi="Arial Narrow"/>
                <w:sz w:val="20"/>
              </w:rPr>
              <w:t>review</w:t>
            </w:r>
            <w:r w:rsidRPr="00982972">
              <w:rPr>
                <w:rFonts w:ascii="Arial Narrow" w:hAnsi="Arial Narrow"/>
                <w:sz w:val="20"/>
              </w:rPr>
              <w:t xml:space="preserve"> and meta-analysis of pharmacological therapies for pain associated with postherpetic neuralgia and less common neuropathic conditions. </w:t>
            </w:r>
          </w:p>
        </w:tc>
        <w:tc>
          <w:tcPr>
            <w:tcW w:w="1093" w:type="pct"/>
          </w:tcPr>
          <w:p w:rsidR="00EE4F5F" w:rsidRPr="00EC2DE6" w:rsidRDefault="003B0B80" w:rsidP="00F34ABE">
            <w:pPr>
              <w:widowControl/>
              <w:jc w:val="left"/>
              <w:rPr>
                <w:rFonts w:ascii="Arial Narrow" w:hAnsi="Arial Narrow"/>
                <w:i/>
                <w:sz w:val="20"/>
              </w:rPr>
            </w:pPr>
            <w:r w:rsidRPr="003B0B80">
              <w:rPr>
                <w:rFonts w:ascii="Arial Narrow" w:hAnsi="Arial Narrow"/>
                <w:i/>
                <w:sz w:val="20"/>
              </w:rPr>
              <w:t xml:space="preserve">International Journal of Clinical Practice </w:t>
            </w:r>
            <w:r w:rsidR="00EE4F5F">
              <w:rPr>
                <w:rFonts w:ascii="Arial Narrow" w:hAnsi="Arial Narrow"/>
                <w:sz w:val="20"/>
              </w:rPr>
              <w:t xml:space="preserve">2014; </w:t>
            </w:r>
            <w:r w:rsidR="00EE4F5F" w:rsidRPr="00982972">
              <w:rPr>
                <w:rFonts w:ascii="Arial Narrow" w:hAnsi="Arial Narrow"/>
                <w:sz w:val="20"/>
              </w:rPr>
              <w:t>68(7):900-18.</w:t>
            </w:r>
          </w:p>
        </w:tc>
      </w:tr>
      <w:tr w:rsidR="00EE4F5F" w:rsidRPr="004E2ADC" w:rsidTr="00980C60">
        <w:trPr>
          <w:cantSplit/>
        </w:trPr>
        <w:tc>
          <w:tcPr>
            <w:tcW w:w="594" w:type="pct"/>
          </w:tcPr>
          <w:p w:rsidR="00EE4F5F" w:rsidRPr="00982972" w:rsidRDefault="00EE4F5F" w:rsidP="00F34ABE">
            <w:pPr>
              <w:widowControl/>
              <w:jc w:val="left"/>
              <w:rPr>
                <w:rFonts w:ascii="Arial Narrow" w:hAnsi="Arial Narrow"/>
                <w:sz w:val="20"/>
              </w:rPr>
            </w:pPr>
            <w:r w:rsidRPr="00982972">
              <w:rPr>
                <w:rFonts w:ascii="Arial Narrow" w:hAnsi="Arial Narrow"/>
                <w:sz w:val="20"/>
              </w:rPr>
              <w:t xml:space="preserve">Wolff </w:t>
            </w:r>
            <w:r>
              <w:rPr>
                <w:rFonts w:ascii="Arial Narrow" w:hAnsi="Arial Narrow"/>
                <w:sz w:val="20"/>
              </w:rPr>
              <w:t>(</w:t>
            </w:r>
            <w:r w:rsidRPr="00982972">
              <w:rPr>
                <w:rFonts w:ascii="Arial Narrow" w:hAnsi="Arial Narrow"/>
                <w:sz w:val="20"/>
              </w:rPr>
              <w:t>2011</w:t>
            </w:r>
            <w:r>
              <w:rPr>
                <w:rFonts w:ascii="Arial Narrow" w:hAnsi="Arial Narrow"/>
                <w:sz w:val="20"/>
              </w:rPr>
              <w:t>)</w:t>
            </w:r>
          </w:p>
        </w:tc>
        <w:tc>
          <w:tcPr>
            <w:tcW w:w="3313" w:type="pct"/>
          </w:tcPr>
          <w:p w:rsidR="00EE4F5F" w:rsidRPr="00982972" w:rsidRDefault="00EE4F5F" w:rsidP="00F34ABE">
            <w:pPr>
              <w:pStyle w:val="TableTextleftalign"/>
              <w:rPr>
                <w:rFonts w:ascii="Arial Narrow" w:hAnsi="Arial Narrow"/>
                <w:sz w:val="20"/>
              </w:rPr>
            </w:pPr>
            <w:r w:rsidRPr="00982972">
              <w:rPr>
                <w:rFonts w:ascii="Arial Narrow" w:hAnsi="Arial Narrow"/>
                <w:sz w:val="20"/>
              </w:rPr>
              <w:t xml:space="preserve">Wolff RF, Bala MM, Westwood M, Kessels AG, Kleijnen J. 5% lidocaine-medicated plaster vs other relevant interventions and placebo for postherpetic neuralgia (PHN): a systematic review. </w:t>
            </w:r>
          </w:p>
        </w:tc>
        <w:tc>
          <w:tcPr>
            <w:tcW w:w="1093" w:type="pct"/>
          </w:tcPr>
          <w:p w:rsidR="00EE4F5F" w:rsidRPr="0059389F" w:rsidRDefault="00F3229B" w:rsidP="00F34ABE">
            <w:pPr>
              <w:widowControl/>
              <w:jc w:val="left"/>
              <w:rPr>
                <w:rFonts w:ascii="Arial Narrow" w:hAnsi="Arial Narrow"/>
                <w:i/>
                <w:sz w:val="20"/>
              </w:rPr>
            </w:pPr>
            <w:r w:rsidRPr="00F3229B">
              <w:rPr>
                <w:rFonts w:ascii="Arial Narrow" w:hAnsi="Arial Narrow"/>
                <w:i/>
                <w:sz w:val="20"/>
              </w:rPr>
              <w:t xml:space="preserve">Acta Neurologica Scandinavica </w:t>
            </w:r>
            <w:r w:rsidR="00EE4F5F">
              <w:rPr>
                <w:rFonts w:ascii="Arial Narrow" w:hAnsi="Arial Narrow"/>
                <w:sz w:val="20"/>
              </w:rPr>
              <w:t>2011;</w:t>
            </w:r>
            <w:r w:rsidR="00EE4F5F" w:rsidRPr="00982972">
              <w:rPr>
                <w:rFonts w:ascii="Arial Narrow" w:hAnsi="Arial Narrow"/>
                <w:sz w:val="20"/>
              </w:rPr>
              <w:t xml:space="preserve"> 123:295-309.</w:t>
            </w:r>
          </w:p>
        </w:tc>
      </w:tr>
    </w:tbl>
    <w:p w:rsidR="00862502" w:rsidRDefault="006231E6" w:rsidP="00F34ABE">
      <w:pPr>
        <w:widowControl/>
        <w:ind w:left="709"/>
        <w:rPr>
          <w:rFonts w:ascii="Arial Narrow" w:hAnsi="Arial Narrow"/>
          <w:sz w:val="18"/>
          <w:szCs w:val="18"/>
        </w:rPr>
      </w:pPr>
      <w:r w:rsidRPr="00250A86">
        <w:rPr>
          <w:rFonts w:ascii="Arial Narrow" w:hAnsi="Arial Narrow"/>
          <w:sz w:val="18"/>
          <w:szCs w:val="18"/>
        </w:rPr>
        <w:t xml:space="preserve">Source: </w:t>
      </w:r>
      <w:r>
        <w:rPr>
          <w:rFonts w:ascii="Arial Narrow" w:hAnsi="Arial Narrow"/>
          <w:sz w:val="18"/>
          <w:szCs w:val="18"/>
        </w:rPr>
        <w:t xml:space="preserve">Adapted from </w:t>
      </w:r>
      <w:r w:rsidRPr="00250A86">
        <w:rPr>
          <w:rFonts w:ascii="Arial Narrow" w:hAnsi="Arial Narrow"/>
          <w:sz w:val="18"/>
          <w:szCs w:val="18"/>
        </w:rPr>
        <w:t>Tables B.2.3 (p68-9) and B.2.5 (p70) of the submission</w:t>
      </w:r>
    </w:p>
    <w:p w:rsidR="006231E6" w:rsidRPr="008F120A" w:rsidRDefault="006231E6" w:rsidP="00F34ABE">
      <w:pPr>
        <w:widowControl/>
        <w:rPr>
          <w:szCs w:val="22"/>
        </w:rPr>
      </w:pPr>
    </w:p>
    <w:p w:rsidR="00862502" w:rsidRPr="00B50DB8" w:rsidRDefault="008F120A" w:rsidP="00F34ABE">
      <w:pPr>
        <w:pStyle w:val="ListParagraph"/>
        <w:widowControl/>
        <w:numPr>
          <w:ilvl w:val="1"/>
          <w:numId w:val="7"/>
        </w:numPr>
        <w:rPr>
          <w:szCs w:val="22"/>
        </w:rPr>
      </w:pPr>
      <w:r w:rsidRPr="00B50DB8">
        <w:rPr>
          <w:szCs w:val="22"/>
        </w:rPr>
        <w:t>The key features of the randomised trial</w:t>
      </w:r>
      <w:r w:rsidR="00087F0A">
        <w:rPr>
          <w:szCs w:val="22"/>
        </w:rPr>
        <w:t>s</w:t>
      </w:r>
      <w:r w:rsidRPr="00B50DB8">
        <w:rPr>
          <w:szCs w:val="22"/>
        </w:rPr>
        <w:t xml:space="preserve"> are summarised in the table below.  </w:t>
      </w:r>
    </w:p>
    <w:p w:rsidR="007F1017" w:rsidRDefault="007F1017" w:rsidP="00F34ABE">
      <w:pPr>
        <w:widowControl/>
        <w:rPr>
          <w:szCs w:val="22"/>
        </w:rPr>
      </w:pPr>
    </w:p>
    <w:p w:rsidR="007F1017" w:rsidRPr="00E2771E" w:rsidRDefault="007F1017" w:rsidP="00F34ABE">
      <w:pPr>
        <w:keepNext/>
        <w:widowControl/>
        <w:ind w:firstLine="720"/>
        <w:rPr>
          <w:rStyle w:val="CommentReference"/>
        </w:rPr>
      </w:pPr>
      <w:r w:rsidRPr="00E2771E">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randomised trials)"/>
      </w:tblPr>
      <w:tblGrid>
        <w:gridCol w:w="992"/>
        <w:gridCol w:w="567"/>
        <w:gridCol w:w="1701"/>
        <w:gridCol w:w="567"/>
        <w:gridCol w:w="1419"/>
        <w:gridCol w:w="1559"/>
        <w:gridCol w:w="1540"/>
      </w:tblGrid>
      <w:tr w:rsidR="007109EB" w:rsidRPr="00E2771E" w:rsidTr="007109EB">
        <w:tc>
          <w:tcPr>
            <w:tcW w:w="594" w:type="pct"/>
            <w:shd w:val="clear" w:color="auto" w:fill="auto"/>
            <w:vAlign w:val="center"/>
          </w:tcPr>
          <w:p w:rsidR="007F1017" w:rsidRPr="00E2771E" w:rsidRDefault="007F1017" w:rsidP="00F34ABE">
            <w:pPr>
              <w:keepNext/>
              <w:widowControl/>
              <w:jc w:val="left"/>
              <w:rPr>
                <w:rFonts w:ascii="Arial Narrow" w:hAnsi="Arial Narrow"/>
                <w:b/>
                <w:sz w:val="20"/>
                <w:lang w:val="en-US"/>
              </w:rPr>
            </w:pPr>
            <w:r w:rsidRPr="00E2771E">
              <w:rPr>
                <w:rFonts w:ascii="Arial Narrow" w:hAnsi="Arial Narrow"/>
                <w:b/>
                <w:sz w:val="20"/>
                <w:lang w:val="en-US"/>
              </w:rPr>
              <w:t>Trial</w:t>
            </w:r>
          </w:p>
        </w:tc>
        <w:tc>
          <w:tcPr>
            <w:tcW w:w="340" w:type="pct"/>
            <w:shd w:val="clear" w:color="auto" w:fill="auto"/>
            <w:vAlign w:val="center"/>
          </w:tcPr>
          <w:p w:rsidR="007F1017" w:rsidRPr="00E2771E" w:rsidRDefault="007F1017" w:rsidP="00F34ABE">
            <w:pPr>
              <w:keepNext/>
              <w:widowControl/>
              <w:jc w:val="center"/>
              <w:rPr>
                <w:rFonts w:ascii="Arial Narrow" w:hAnsi="Arial Narrow"/>
                <w:b/>
                <w:sz w:val="20"/>
                <w:lang w:val="en-US"/>
              </w:rPr>
            </w:pPr>
            <w:r w:rsidRPr="00E2771E">
              <w:rPr>
                <w:rFonts w:ascii="Arial Narrow" w:hAnsi="Arial Narrow"/>
                <w:b/>
                <w:sz w:val="20"/>
                <w:lang w:val="en-US"/>
              </w:rPr>
              <w:t>N</w:t>
            </w:r>
          </w:p>
        </w:tc>
        <w:tc>
          <w:tcPr>
            <w:tcW w:w="1019" w:type="pct"/>
            <w:shd w:val="clear" w:color="auto" w:fill="auto"/>
            <w:vAlign w:val="center"/>
          </w:tcPr>
          <w:p w:rsidR="007F1017" w:rsidRPr="00E2771E" w:rsidRDefault="007F1017" w:rsidP="00F34ABE">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340" w:type="pct"/>
            <w:shd w:val="clear" w:color="auto" w:fill="auto"/>
            <w:vAlign w:val="center"/>
          </w:tcPr>
          <w:p w:rsidR="007F1017" w:rsidRPr="00E2771E" w:rsidRDefault="007F1017" w:rsidP="00F34ABE">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850" w:type="pct"/>
            <w:shd w:val="clear" w:color="auto" w:fill="auto"/>
            <w:vAlign w:val="center"/>
          </w:tcPr>
          <w:p w:rsidR="007F1017" w:rsidRPr="00E2771E" w:rsidRDefault="007F1017" w:rsidP="00F34ABE">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934" w:type="pct"/>
            <w:shd w:val="clear" w:color="auto" w:fill="auto"/>
            <w:vAlign w:val="center"/>
          </w:tcPr>
          <w:p w:rsidR="007F1017" w:rsidRPr="00E2771E" w:rsidRDefault="005970A1" w:rsidP="00F34ABE">
            <w:pPr>
              <w:keepNext/>
              <w:widowControl/>
              <w:jc w:val="center"/>
              <w:rPr>
                <w:rFonts w:ascii="Arial Narrow" w:hAnsi="Arial Narrow"/>
                <w:b/>
                <w:sz w:val="20"/>
                <w:lang w:val="en-US"/>
              </w:rPr>
            </w:pPr>
            <w:r>
              <w:rPr>
                <w:rFonts w:ascii="Arial Narrow" w:hAnsi="Arial Narrow"/>
                <w:b/>
                <w:sz w:val="20"/>
                <w:lang w:val="en-US"/>
              </w:rPr>
              <w:t>O</w:t>
            </w:r>
            <w:r w:rsidR="007F1017" w:rsidRPr="00E2771E">
              <w:rPr>
                <w:rFonts w:ascii="Arial Narrow" w:hAnsi="Arial Narrow"/>
                <w:b/>
                <w:sz w:val="20"/>
                <w:lang w:val="en-US"/>
              </w:rPr>
              <w:t>utcome(s)</w:t>
            </w:r>
          </w:p>
        </w:tc>
        <w:tc>
          <w:tcPr>
            <w:tcW w:w="923" w:type="pct"/>
            <w:shd w:val="clear" w:color="auto" w:fill="auto"/>
            <w:vAlign w:val="center"/>
          </w:tcPr>
          <w:p w:rsidR="007F1017" w:rsidRPr="00E2771E" w:rsidRDefault="007F1017" w:rsidP="00F34ABE">
            <w:pPr>
              <w:keepNext/>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7F1017" w:rsidRPr="00E2771E" w:rsidTr="00E22A0D">
        <w:tc>
          <w:tcPr>
            <w:tcW w:w="5000" w:type="pct"/>
            <w:gridSpan w:val="7"/>
            <w:shd w:val="clear" w:color="auto" w:fill="auto"/>
            <w:vAlign w:val="center"/>
          </w:tcPr>
          <w:p w:rsidR="007F1017" w:rsidRPr="00E2771E" w:rsidRDefault="000C15BE" w:rsidP="00F34ABE">
            <w:pPr>
              <w:keepNext/>
              <w:widowControl/>
              <w:jc w:val="left"/>
              <w:rPr>
                <w:rFonts w:ascii="Arial Narrow" w:hAnsi="Arial Narrow"/>
                <w:b/>
                <w:sz w:val="20"/>
                <w:lang w:val="en-US"/>
              </w:rPr>
            </w:pPr>
            <w:r>
              <w:rPr>
                <w:rFonts w:ascii="Arial Narrow" w:hAnsi="Arial Narrow"/>
                <w:b/>
                <w:sz w:val="20"/>
              </w:rPr>
              <w:t>Lignocaine patch</w:t>
            </w:r>
            <w:r w:rsidRPr="00982972">
              <w:rPr>
                <w:rFonts w:ascii="Arial Narrow" w:hAnsi="Arial Narrow"/>
                <w:b/>
                <w:sz w:val="20"/>
              </w:rPr>
              <w:t xml:space="preserve"> vs. pregabalin</w:t>
            </w:r>
          </w:p>
        </w:tc>
      </w:tr>
      <w:tr w:rsidR="00C55D04" w:rsidRPr="00E2771E" w:rsidTr="000573DF">
        <w:tc>
          <w:tcPr>
            <w:tcW w:w="594" w:type="pct"/>
            <w:shd w:val="clear" w:color="auto" w:fill="auto"/>
            <w:vAlign w:val="center"/>
          </w:tcPr>
          <w:p w:rsidR="00C55D04" w:rsidRPr="00E2771E" w:rsidRDefault="00C55D04" w:rsidP="00F34ABE">
            <w:pPr>
              <w:keepNext/>
              <w:widowControl/>
              <w:jc w:val="left"/>
              <w:rPr>
                <w:rFonts w:ascii="Arial Narrow" w:hAnsi="Arial Narrow"/>
                <w:sz w:val="20"/>
                <w:lang w:val="en-US"/>
              </w:rPr>
            </w:pPr>
            <w:r w:rsidRPr="00982972">
              <w:rPr>
                <w:rFonts w:ascii="Arial Narrow" w:hAnsi="Arial Narrow"/>
                <w:sz w:val="20"/>
              </w:rPr>
              <w:t>KF10004/03</w:t>
            </w:r>
          </w:p>
        </w:tc>
        <w:tc>
          <w:tcPr>
            <w:tcW w:w="340" w:type="pct"/>
            <w:shd w:val="clear" w:color="auto" w:fill="auto"/>
            <w:vAlign w:val="center"/>
          </w:tcPr>
          <w:p w:rsidR="00C55D04" w:rsidRPr="00E2771E" w:rsidRDefault="00C55D04" w:rsidP="00F34ABE">
            <w:pPr>
              <w:keepNext/>
              <w:widowControl/>
              <w:jc w:val="center"/>
              <w:rPr>
                <w:rFonts w:ascii="Arial Narrow" w:hAnsi="Arial Narrow"/>
                <w:sz w:val="20"/>
                <w:lang w:val="en-US"/>
              </w:rPr>
            </w:pPr>
            <w:r>
              <w:rPr>
                <w:rFonts w:ascii="Arial Narrow" w:hAnsi="Arial Narrow"/>
                <w:sz w:val="20"/>
                <w:lang w:val="en-US"/>
              </w:rPr>
              <w:t>311</w:t>
            </w:r>
          </w:p>
        </w:tc>
        <w:tc>
          <w:tcPr>
            <w:tcW w:w="1019" w:type="pct"/>
            <w:vMerge w:val="restart"/>
            <w:shd w:val="clear" w:color="auto" w:fill="auto"/>
            <w:vAlign w:val="center"/>
          </w:tcPr>
          <w:p w:rsidR="00C55D04" w:rsidRDefault="00C55D04" w:rsidP="00F34ABE">
            <w:pPr>
              <w:keepNext/>
              <w:widowControl/>
              <w:jc w:val="center"/>
              <w:rPr>
                <w:rFonts w:ascii="Arial Narrow" w:hAnsi="Arial Narrow"/>
                <w:sz w:val="20"/>
                <w:lang w:val="en-US"/>
              </w:rPr>
            </w:pPr>
            <w:r>
              <w:rPr>
                <w:rFonts w:ascii="Arial Narrow" w:hAnsi="Arial Narrow"/>
                <w:sz w:val="20"/>
                <w:lang w:val="en-US"/>
              </w:rPr>
              <w:t xml:space="preserve">Adaptive 2-stage, OL, R, MC, non-inferiority </w:t>
            </w:r>
          </w:p>
          <w:p w:rsidR="00C55D04" w:rsidRPr="00E2771E" w:rsidRDefault="0054253B" w:rsidP="00F34ABE">
            <w:pPr>
              <w:keepNext/>
              <w:widowControl/>
              <w:jc w:val="center"/>
              <w:rPr>
                <w:rFonts w:ascii="Arial Narrow" w:hAnsi="Arial Narrow"/>
                <w:sz w:val="20"/>
                <w:lang w:val="en-US"/>
              </w:rPr>
            </w:pPr>
            <w:r>
              <w:rPr>
                <w:rFonts w:ascii="Arial Narrow" w:hAnsi="Arial Narrow"/>
                <w:sz w:val="20"/>
                <w:lang w:val="en-US"/>
              </w:rPr>
              <w:t>4</w:t>
            </w:r>
            <w:r w:rsidR="00A277E1">
              <w:rPr>
                <w:rFonts w:ascii="Arial Narrow" w:hAnsi="Arial Narrow"/>
                <w:sz w:val="20"/>
                <w:lang w:val="en-US"/>
              </w:rPr>
              <w:t xml:space="preserve"> </w:t>
            </w:r>
            <w:r w:rsidR="0095617B">
              <w:rPr>
                <w:rFonts w:ascii="Arial Narrow" w:hAnsi="Arial Narrow"/>
                <w:sz w:val="20"/>
                <w:lang w:val="en-US"/>
              </w:rPr>
              <w:t>wk.</w:t>
            </w:r>
            <w:r w:rsidR="00C55D04">
              <w:rPr>
                <w:rFonts w:ascii="Arial Narrow" w:hAnsi="Arial Narrow"/>
                <w:sz w:val="20"/>
                <w:lang w:val="en-US"/>
              </w:rPr>
              <w:t xml:space="preserve"> comparative, 8</w:t>
            </w:r>
            <w:r w:rsidR="00A277E1">
              <w:rPr>
                <w:rFonts w:ascii="Arial Narrow" w:hAnsi="Arial Narrow"/>
                <w:sz w:val="20"/>
                <w:lang w:val="en-US"/>
              </w:rPr>
              <w:t xml:space="preserve"> </w:t>
            </w:r>
            <w:r w:rsidR="0095617B">
              <w:rPr>
                <w:rFonts w:ascii="Arial Narrow" w:hAnsi="Arial Narrow"/>
                <w:sz w:val="20"/>
                <w:lang w:val="en-US"/>
              </w:rPr>
              <w:t>wk.</w:t>
            </w:r>
            <w:r w:rsidR="00C55D04">
              <w:rPr>
                <w:rFonts w:ascii="Arial Narrow" w:hAnsi="Arial Narrow"/>
                <w:sz w:val="20"/>
                <w:lang w:val="en-US"/>
              </w:rPr>
              <w:t xml:space="preserve"> combination, 4 </w:t>
            </w:r>
            <w:r w:rsidR="0095617B">
              <w:rPr>
                <w:rFonts w:ascii="Arial Narrow" w:hAnsi="Arial Narrow"/>
                <w:sz w:val="20"/>
                <w:lang w:val="en-US"/>
              </w:rPr>
              <w:t>wk.</w:t>
            </w:r>
            <w:r w:rsidR="00C55D04">
              <w:rPr>
                <w:rFonts w:ascii="Arial Narrow" w:hAnsi="Arial Narrow"/>
                <w:sz w:val="20"/>
                <w:lang w:val="en-US"/>
              </w:rPr>
              <w:t xml:space="preserve"> downtitration</w:t>
            </w:r>
            <w:r w:rsidR="00C55D04" w:rsidRPr="00E2771E">
              <w:rPr>
                <w:rFonts w:ascii="Arial Narrow" w:hAnsi="Arial Narrow"/>
                <w:sz w:val="20"/>
                <w:lang w:val="en-US"/>
              </w:rPr>
              <w:t xml:space="preserve"> </w:t>
            </w:r>
          </w:p>
        </w:tc>
        <w:tc>
          <w:tcPr>
            <w:tcW w:w="340" w:type="pct"/>
            <w:shd w:val="clear" w:color="auto" w:fill="auto"/>
            <w:vAlign w:val="center"/>
          </w:tcPr>
          <w:p w:rsidR="00C55D04" w:rsidRPr="00980C60" w:rsidRDefault="00C55D04" w:rsidP="00F34ABE">
            <w:pPr>
              <w:keepNext/>
              <w:widowControl/>
              <w:jc w:val="center"/>
              <w:rPr>
                <w:rFonts w:ascii="Arial Narrow" w:hAnsi="Arial Narrow"/>
                <w:sz w:val="20"/>
                <w:lang w:val="en-US"/>
              </w:rPr>
            </w:pPr>
            <w:r w:rsidRPr="00980C60">
              <w:rPr>
                <w:rFonts w:ascii="Arial Narrow" w:hAnsi="Arial Narrow"/>
                <w:sz w:val="20"/>
                <w:lang w:val="en-US"/>
              </w:rPr>
              <w:t xml:space="preserve">High </w:t>
            </w:r>
          </w:p>
        </w:tc>
        <w:tc>
          <w:tcPr>
            <w:tcW w:w="850" w:type="pct"/>
            <w:shd w:val="clear" w:color="auto" w:fill="auto"/>
            <w:vAlign w:val="center"/>
          </w:tcPr>
          <w:p w:rsidR="00C55D04" w:rsidRPr="00E2771E" w:rsidRDefault="00C55D04" w:rsidP="00F34ABE">
            <w:pPr>
              <w:keepNext/>
              <w:widowControl/>
              <w:jc w:val="center"/>
              <w:rPr>
                <w:rFonts w:ascii="Arial Narrow" w:hAnsi="Arial Narrow"/>
                <w:sz w:val="20"/>
                <w:lang w:val="en-US"/>
              </w:rPr>
            </w:pPr>
            <w:r>
              <w:rPr>
                <w:rFonts w:ascii="Arial Narrow" w:hAnsi="Arial Narrow"/>
                <w:sz w:val="20"/>
                <w:lang w:val="en-US"/>
              </w:rPr>
              <w:t>DPN and PHN with NRS-3 &gt;4</w:t>
            </w:r>
          </w:p>
        </w:tc>
        <w:tc>
          <w:tcPr>
            <w:tcW w:w="934" w:type="pct"/>
            <w:vMerge w:val="restart"/>
            <w:shd w:val="clear" w:color="auto" w:fill="auto"/>
            <w:vAlign w:val="center"/>
          </w:tcPr>
          <w:p w:rsidR="00C55D04" w:rsidRPr="00E2771E" w:rsidRDefault="00C55D04" w:rsidP="00F34ABE">
            <w:pPr>
              <w:keepNext/>
              <w:widowControl/>
              <w:jc w:val="center"/>
              <w:rPr>
                <w:rFonts w:ascii="Arial Narrow" w:hAnsi="Arial Narrow"/>
                <w:sz w:val="20"/>
                <w:lang w:val="en-US"/>
              </w:rPr>
            </w:pPr>
            <w:r>
              <w:rPr>
                <w:rFonts w:ascii="Arial Narrow" w:hAnsi="Arial Narrow"/>
                <w:sz w:val="20"/>
                <w:lang w:val="en-US"/>
              </w:rPr>
              <w:t>%</w:t>
            </w:r>
            <w:r w:rsidRPr="005C774E">
              <w:rPr>
                <w:rFonts w:ascii="Arial Narrow" w:hAnsi="Arial Narrow"/>
                <w:sz w:val="20"/>
                <w:lang w:val="en-US"/>
              </w:rPr>
              <w:t xml:space="preserve"> </w:t>
            </w:r>
            <w:r>
              <w:rPr>
                <w:rFonts w:ascii="Arial Narrow" w:hAnsi="Arial Narrow"/>
                <w:sz w:val="20"/>
                <w:lang w:val="en-US"/>
              </w:rPr>
              <w:t xml:space="preserve">achieved response at </w:t>
            </w:r>
            <w:r w:rsidR="0095617B">
              <w:rPr>
                <w:rFonts w:ascii="Arial Narrow" w:hAnsi="Arial Narrow"/>
                <w:sz w:val="20"/>
                <w:lang w:val="en-US"/>
              </w:rPr>
              <w:t>wk.</w:t>
            </w:r>
            <w:r w:rsidRPr="005C774E">
              <w:rPr>
                <w:rFonts w:ascii="Arial Narrow" w:hAnsi="Arial Narrow"/>
                <w:sz w:val="20"/>
                <w:lang w:val="en-US"/>
              </w:rPr>
              <w:t xml:space="preserve"> 4 (reduction of </w:t>
            </w:r>
            <w:r>
              <w:rPr>
                <w:rFonts w:ascii="Arial Narrow" w:hAnsi="Arial Narrow"/>
                <w:sz w:val="20"/>
                <w:lang w:val="en-US"/>
              </w:rPr>
              <w:t>≥</w:t>
            </w:r>
            <w:r w:rsidRPr="005C774E">
              <w:rPr>
                <w:rFonts w:ascii="Arial Narrow" w:hAnsi="Arial Narrow"/>
                <w:sz w:val="20"/>
                <w:lang w:val="en-US"/>
              </w:rPr>
              <w:t>2 or an absolute value ≤4</w:t>
            </w:r>
            <w:r>
              <w:rPr>
                <w:rFonts w:ascii="Arial Narrow" w:hAnsi="Arial Narrow"/>
                <w:sz w:val="20"/>
                <w:lang w:val="en-US"/>
              </w:rPr>
              <w:t xml:space="preserve"> on NRS-3)</w:t>
            </w:r>
            <w:r w:rsidR="00DD70AD">
              <w:rPr>
                <w:rFonts w:ascii="Arial Narrow" w:hAnsi="Arial Narrow"/>
                <w:sz w:val="20"/>
                <w:lang w:val="en-US"/>
              </w:rPr>
              <w:t>; EQ</w:t>
            </w:r>
            <w:r w:rsidR="00CB7795">
              <w:rPr>
                <w:rFonts w:ascii="Arial Narrow" w:hAnsi="Arial Narrow"/>
                <w:sz w:val="20"/>
                <w:lang w:val="en-US"/>
              </w:rPr>
              <w:noBreakHyphen/>
            </w:r>
            <w:r w:rsidR="00DD70AD">
              <w:rPr>
                <w:rFonts w:ascii="Arial Narrow" w:hAnsi="Arial Narrow"/>
                <w:sz w:val="20"/>
                <w:lang w:val="en-US"/>
              </w:rPr>
              <w:t>5D</w:t>
            </w:r>
            <w:r w:rsidR="00CB7795">
              <w:rPr>
                <w:rFonts w:ascii="Arial Narrow" w:hAnsi="Arial Narrow"/>
                <w:sz w:val="20"/>
                <w:lang w:val="en-US"/>
              </w:rPr>
              <w:t>-5L</w:t>
            </w:r>
          </w:p>
        </w:tc>
        <w:tc>
          <w:tcPr>
            <w:tcW w:w="923" w:type="pct"/>
            <w:shd w:val="clear" w:color="auto" w:fill="auto"/>
            <w:vAlign w:val="center"/>
          </w:tcPr>
          <w:p w:rsidR="00C55D04" w:rsidRPr="00E2771E" w:rsidRDefault="00C55D04" w:rsidP="00F34ABE">
            <w:pPr>
              <w:keepNext/>
              <w:widowControl/>
              <w:jc w:val="center"/>
              <w:rPr>
                <w:rFonts w:ascii="Arial Narrow" w:hAnsi="Arial Narrow"/>
                <w:sz w:val="20"/>
                <w:lang w:val="en-US"/>
              </w:rPr>
            </w:pPr>
            <w:r w:rsidRPr="00E2771E">
              <w:rPr>
                <w:rFonts w:ascii="Arial Narrow" w:hAnsi="Arial Narrow"/>
                <w:sz w:val="20"/>
                <w:lang w:val="en-US"/>
              </w:rPr>
              <w:t>Not used</w:t>
            </w:r>
          </w:p>
        </w:tc>
      </w:tr>
      <w:tr w:rsidR="00C55D04" w:rsidRPr="00E2771E" w:rsidTr="000573DF">
        <w:tc>
          <w:tcPr>
            <w:tcW w:w="594" w:type="pct"/>
            <w:shd w:val="clear" w:color="auto" w:fill="auto"/>
            <w:vAlign w:val="center"/>
          </w:tcPr>
          <w:p w:rsidR="00C55D04" w:rsidRPr="00E2771E" w:rsidRDefault="00C55D04" w:rsidP="00F34ABE">
            <w:pPr>
              <w:keepNext/>
              <w:widowControl/>
              <w:jc w:val="left"/>
              <w:rPr>
                <w:rFonts w:ascii="Arial Narrow" w:hAnsi="Arial Narrow"/>
                <w:sz w:val="20"/>
                <w:lang w:val="en-US"/>
              </w:rPr>
            </w:pPr>
            <w:r>
              <w:rPr>
                <w:rFonts w:ascii="Arial Narrow" w:hAnsi="Arial Narrow"/>
                <w:sz w:val="20"/>
              </w:rPr>
              <w:t xml:space="preserve">- </w:t>
            </w:r>
            <w:r w:rsidRPr="00982972">
              <w:rPr>
                <w:rFonts w:ascii="Arial Narrow" w:hAnsi="Arial Narrow"/>
                <w:sz w:val="20"/>
              </w:rPr>
              <w:t>PHN subgroup</w:t>
            </w:r>
          </w:p>
        </w:tc>
        <w:tc>
          <w:tcPr>
            <w:tcW w:w="340" w:type="pct"/>
            <w:shd w:val="clear" w:color="auto" w:fill="auto"/>
            <w:vAlign w:val="center"/>
          </w:tcPr>
          <w:p w:rsidR="00C55D04" w:rsidRPr="00E2771E" w:rsidRDefault="00C55D04" w:rsidP="00F34ABE">
            <w:pPr>
              <w:keepNext/>
              <w:widowControl/>
              <w:jc w:val="center"/>
              <w:rPr>
                <w:rFonts w:ascii="Arial Narrow" w:hAnsi="Arial Narrow"/>
                <w:sz w:val="20"/>
                <w:lang w:val="en-US"/>
              </w:rPr>
            </w:pPr>
            <w:r>
              <w:rPr>
                <w:rFonts w:ascii="Arial Narrow" w:hAnsi="Arial Narrow"/>
                <w:sz w:val="20"/>
                <w:lang w:val="en-US"/>
              </w:rPr>
              <w:t>98</w:t>
            </w:r>
          </w:p>
        </w:tc>
        <w:tc>
          <w:tcPr>
            <w:tcW w:w="1019" w:type="pct"/>
            <w:vMerge/>
            <w:shd w:val="clear" w:color="auto" w:fill="auto"/>
            <w:vAlign w:val="center"/>
          </w:tcPr>
          <w:p w:rsidR="00C55D04" w:rsidRPr="00E2771E" w:rsidRDefault="00C55D04" w:rsidP="00F34ABE">
            <w:pPr>
              <w:keepNext/>
              <w:widowControl/>
              <w:jc w:val="center"/>
              <w:rPr>
                <w:rFonts w:ascii="Arial Narrow" w:hAnsi="Arial Narrow"/>
                <w:sz w:val="20"/>
                <w:lang w:val="en-US"/>
              </w:rPr>
            </w:pPr>
          </w:p>
        </w:tc>
        <w:tc>
          <w:tcPr>
            <w:tcW w:w="340" w:type="pct"/>
            <w:shd w:val="clear" w:color="auto" w:fill="auto"/>
            <w:vAlign w:val="center"/>
          </w:tcPr>
          <w:p w:rsidR="00C55D04" w:rsidRPr="00980C60" w:rsidRDefault="00C55D04" w:rsidP="00F34ABE">
            <w:pPr>
              <w:keepNext/>
              <w:widowControl/>
              <w:jc w:val="center"/>
              <w:rPr>
                <w:rFonts w:ascii="Arial Narrow" w:hAnsi="Arial Narrow"/>
                <w:sz w:val="20"/>
                <w:lang w:val="en-US"/>
              </w:rPr>
            </w:pPr>
            <w:r w:rsidRPr="00980C60">
              <w:rPr>
                <w:rFonts w:ascii="Arial Narrow" w:hAnsi="Arial Narrow"/>
                <w:sz w:val="20"/>
                <w:lang w:val="en-US"/>
              </w:rPr>
              <w:t>High</w:t>
            </w:r>
          </w:p>
        </w:tc>
        <w:tc>
          <w:tcPr>
            <w:tcW w:w="850" w:type="pct"/>
            <w:shd w:val="clear" w:color="auto" w:fill="auto"/>
            <w:vAlign w:val="center"/>
          </w:tcPr>
          <w:p w:rsidR="00C55D04" w:rsidRPr="00E2771E" w:rsidRDefault="00C55D04" w:rsidP="00F34ABE">
            <w:pPr>
              <w:keepNext/>
              <w:widowControl/>
              <w:jc w:val="center"/>
              <w:rPr>
                <w:rFonts w:ascii="Arial Narrow" w:hAnsi="Arial Narrow"/>
                <w:sz w:val="20"/>
                <w:lang w:val="en-US"/>
              </w:rPr>
            </w:pPr>
            <w:r>
              <w:rPr>
                <w:rFonts w:ascii="Arial Narrow" w:hAnsi="Arial Narrow"/>
                <w:sz w:val="20"/>
                <w:lang w:val="en-US"/>
              </w:rPr>
              <w:t>PHN with NRS-3 &gt;4</w:t>
            </w:r>
          </w:p>
        </w:tc>
        <w:tc>
          <w:tcPr>
            <w:tcW w:w="934" w:type="pct"/>
            <w:vMerge/>
            <w:shd w:val="clear" w:color="auto" w:fill="auto"/>
            <w:vAlign w:val="center"/>
          </w:tcPr>
          <w:p w:rsidR="00C55D04" w:rsidRPr="00E2771E" w:rsidRDefault="00C55D04" w:rsidP="00F34ABE">
            <w:pPr>
              <w:keepNext/>
              <w:widowControl/>
              <w:jc w:val="center"/>
              <w:rPr>
                <w:rFonts w:ascii="Arial Narrow" w:hAnsi="Arial Narrow"/>
                <w:sz w:val="20"/>
                <w:lang w:val="en-US"/>
              </w:rPr>
            </w:pPr>
          </w:p>
        </w:tc>
        <w:tc>
          <w:tcPr>
            <w:tcW w:w="923" w:type="pct"/>
            <w:shd w:val="clear" w:color="auto" w:fill="auto"/>
            <w:vAlign w:val="center"/>
          </w:tcPr>
          <w:p w:rsidR="00C55D04" w:rsidRPr="00E2771E" w:rsidRDefault="00C55D04" w:rsidP="00F34ABE">
            <w:pPr>
              <w:keepNext/>
              <w:widowControl/>
              <w:jc w:val="center"/>
              <w:rPr>
                <w:rFonts w:ascii="Arial Narrow" w:hAnsi="Arial Narrow"/>
                <w:sz w:val="20"/>
                <w:lang w:val="en-US"/>
              </w:rPr>
            </w:pPr>
            <w:r>
              <w:rPr>
                <w:rFonts w:ascii="Arial Narrow" w:hAnsi="Arial Narrow"/>
                <w:sz w:val="20"/>
                <w:lang w:val="en-US"/>
              </w:rPr>
              <w:t xml:space="preserve">% discontinue (AE), % add-on therapy </w:t>
            </w:r>
            <w:r w:rsidR="004F640F">
              <w:rPr>
                <w:rFonts w:ascii="Arial Narrow" w:hAnsi="Arial Narrow"/>
                <w:sz w:val="20"/>
                <w:lang w:val="en-US"/>
              </w:rPr>
              <w:t xml:space="preserve">in </w:t>
            </w:r>
            <w:r>
              <w:rPr>
                <w:rFonts w:ascii="Arial Narrow" w:hAnsi="Arial Narrow"/>
                <w:sz w:val="20"/>
                <w:lang w:val="en-US"/>
              </w:rPr>
              <w:t>combination phase, utility value</w:t>
            </w:r>
          </w:p>
        </w:tc>
      </w:tr>
      <w:tr w:rsidR="00BD7CFC" w:rsidRPr="00E2771E" w:rsidTr="00BD7CFC">
        <w:tc>
          <w:tcPr>
            <w:tcW w:w="5000" w:type="pct"/>
            <w:gridSpan w:val="7"/>
            <w:shd w:val="clear" w:color="auto" w:fill="auto"/>
            <w:vAlign w:val="center"/>
          </w:tcPr>
          <w:p w:rsidR="00BD7CFC" w:rsidRPr="00E2771E" w:rsidRDefault="00BD7CFC" w:rsidP="00F34ABE">
            <w:pPr>
              <w:keepNext/>
              <w:widowControl/>
              <w:jc w:val="left"/>
              <w:rPr>
                <w:rFonts w:ascii="Arial Narrow" w:hAnsi="Arial Narrow"/>
                <w:sz w:val="20"/>
                <w:lang w:val="en-US"/>
              </w:rPr>
            </w:pPr>
            <w:r>
              <w:rPr>
                <w:rFonts w:ascii="Arial Narrow" w:hAnsi="Arial Narrow"/>
                <w:b/>
                <w:sz w:val="20"/>
              </w:rPr>
              <w:t>Lignocaine patch</w:t>
            </w:r>
            <w:r w:rsidRPr="00982972">
              <w:rPr>
                <w:rFonts w:ascii="Arial Narrow" w:hAnsi="Arial Narrow"/>
                <w:b/>
                <w:sz w:val="20"/>
              </w:rPr>
              <w:t xml:space="preserve"> vs. placebo</w:t>
            </w:r>
            <w:r>
              <w:rPr>
                <w:rFonts w:ascii="Arial Narrow" w:hAnsi="Arial Narrow"/>
                <w:b/>
                <w:sz w:val="20"/>
              </w:rPr>
              <w:t xml:space="preserve"> patch</w:t>
            </w:r>
          </w:p>
        </w:tc>
      </w:tr>
      <w:tr w:rsidR="006371FA" w:rsidRPr="00E2771E" w:rsidTr="000573DF">
        <w:tc>
          <w:tcPr>
            <w:tcW w:w="594" w:type="pct"/>
            <w:shd w:val="clear" w:color="auto" w:fill="auto"/>
            <w:vAlign w:val="center"/>
          </w:tcPr>
          <w:p w:rsidR="006371FA" w:rsidRPr="00E2771E" w:rsidRDefault="006371FA" w:rsidP="00F34ABE">
            <w:pPr>
              <w:keepNext/>
              <w:widowControl/>
              <w:jc w:val="left"/>
              <w:rPr>
                <w:rFonts w:ascii="Arial Narrow" w:hAnsi="Arial Narrow"/>
                <w:sz w:val="20"/>
                <w:lang w:val="en-US"/>
              </w:rPr>
            </w:pPr>
            <w:r w:rsidRPr="00982972">
              <w:rPr>
                <w:rFonts w:ascii="Arial Narrow" w:hAnsi="Arial Narrow"/>
                <w:sz w:val="20"/>
              </w:rPr>
              <w:t xml:space="preserve">Binder </w:t>
            </w:r>
            <w:r>
              <w:rPr>
                <w:rFonts w:ascii="Arial Narrow" w:hAnsi="Arial Narrow"/>
                <w:sz w:val="20"/>
              </w:rPr>
              <w:t>(</w:t>
            </w:r>
            <w:r w:rsidRPr="00982972">
              <w:rPr>
                <w:rFonts w:ascii="Arial Narrow" w:hAnsi="Arial Narrow"/>
                <w:sz w:val="20"/>
              </w:rPr>
              <w:t>2009</w:t>
            </w:r>
            <w:r>
              <w:rPr>
                <w:rFonts w:ascii="Arial Narrow" w:hAnsi="Arial Narrow"/>
                <w:sz w:val="20"/>
              </w:rPr>
              <w:t>)</w:t>
            </w:r>
          </w:p>
        </w:tc>
        <w:tc>
          <w:tcPr>
            <w:tcW w:w="340" w:type="pct"/>
            <w:shd w:val="clear" w:color="auto" w:fill="auto"/>
            <w:vAlign w:val="center"/>
          </w:tcPr>
          <w:p w:rsidR="006371FA" w:rsidRPr="00E2771E" w:rsidRDefault="006371FA" w:rsidP="00F34ABE">
            <w:pPr>
              <w:keepNext/>
              <w:widowControl/>
              <w:jc w:val="center"/>
              <w:rPr>
                <w:rFonts w:ascii="Arial Narrow" w:hAnsi="Arial Narrow"/>
                <w:sz w:val="20"/>
                <w:lang w:val="en-US"/>
              </w:rPr>
            </w:pPr>
            <w:r>
              <w:rPr>
                <w:rFonts w:ascii="Arial Narrow" w:hAnsi="Arial Narrow"/>
                <w:sz w:val="20"/>
                <w:lang w:val="en-US"/>
              </w:rPr>
              <w:t>71</w:t>
            </w:r>
          </w:p>
        </w:tc>
        <w:tc>
          <w:tcPr>
            <w:tcW w:w="1019" w:type="pct"/>
            <w:shd w:val="clear" w:color="auto" w:fill="auto"/>
            <w:vAlign w:val="center"/>
          </w:tcPr>
          <w:p w:rsidR="006371FA" w:rsidRPr="00E2771E" w:rsidRDefault="006371FA" w:rsidP="00F34ABE">
            <w:pPr>
              <w:keepNext/>
              <w:widowControl/>
              <w:jc w:val="center"/>
              <w:rPr>
                <w:rFonts w:ascii="Arial Narrow" w:hAnsi="Arial Narrow"/>
                <w:sz w:val="20"/>
                <w:lang w:val="en-US"/>
              </w:rPr>
            </w:pPr>
            <w:r>
              <w:rPr>
                <w:rFonts w:ascii="Arial Narrow" w:hAnsi="Arial Narrow"/>
                <w:sz w:val="20"/>
                <w:lang w:val="en-US"/>
              </w:rPr>
              <w:t xml:space="preserve">Enriched, DB, R, MC, withdrawal; 8-wk OL run-in to determine response, 2 </w:t>
            </w:r>
            <w:r w:rsidR="0095617B">
              <w:rPr>
                <w:rFonts w:ascii="Arial Narrow" w:hAnsi="Arial Narrow"/>
                <w:sz w:val="20"/>
                <w:lang w:val="en-US"/>
              </w:rPr>
              <w:t>wk.</w:t>
            </w:r>
            <w:r>
              <w:rPr>
                <w:rFonts w:ascii="Arial Narrow" w:hAnsi="Arial Narrow"/>
                <w:sz w:val="20"/>
                <w:lang w:val="en-US"/>
              </w:rPr>
              <w:t xml:space="preserve"> DB </w:t>
            </w:r>
          </w:p>
        </w:tc>
        <w:tc>
          <w:tcPr>
            <w:tcW w:w="340" w:type="pct"/>
            <w:shd w:val="clear" w:color="auto" w:fill="auto"/>
            <w:vAlign w:val="center"/>
          </w:tcPr>
          <w:p w:rsidR="006371FA" w:rsidRPr="00980C60" w:rsidRDefault="006371FA" w:rsidP="00F34ABE">
            <w:pPr>
              <w:keepNext/>
              <w:widowControl/>
              <w:jc w:val="center"/>
              <w:rPr>
                <w:rFonts w:ascii="Arial Narrow" w:hAnsi="Arial Narrow"/>
                <w:sz w:val="20"/>
                <w:lang w:val="en-US"/>
              </w:rPr>
            </w:pPr>
            <w:r w:rsidRPr="00980C60">
              <w:rPr>
                <w:rFonts w:ascii="Arial Narrow" w:hAnsi="Arial Narrow"/>
                <w:sz w:val="20"/>
                <w:lang w:val="en-US"/>
              </w:rPr>
              <w:t xml:space="preserve">High </w:t>
            </w:r>
          </w:p>
        </w:tc>
        <w:tc>
          <w:tcPr>
            <w:tcW w:w="850" w:type="pct"/>
            <w:shd w:val="clear" w:color="auto" w:fill="auto"/>
            <w:vAlign w:val="center"/>
          </w:tcPr>
          <w:p w:rsidR="006371FA" w:rsidRPr="00E2771E" w:rsidRDefault="006371FA" w:rsidP="00F34ABE">
            <w:pPr>
              <w:keepNext/>
              <w:widowControl/>
              <w:jc w:val="center"/>
              <w:rPr>
                <w:rFonts w:ascii="Arial Narrow" w:hAnsi="Arial Narrow"/>
                <w:sz w:val="20"/>
                <w:lang w:val="en-US"/>
              </w:rPr>
            </w:pPr>
            <w:r>
              <w:rPr>
                <w:rFonts w:ascii="Arial Narrow" w:hAnsi="Arial Narrow"/>
                <w:sz w:val="20"/>
                <w:lang w:val="en-US"/>
              </w:rPr>
              <w:t>PHN NRS ≥ 4 &amp; adequate response after 8-wk run-in</w:t>
            </w:r>
          </w:p>
        </w:tc>
        <w:tc>
          <w:tcPr>
            <w:tcW w:w="934" w:type="pct"/>
            <w:shd w:val="clear" w:color="auto" w:fill="auto"/>
            <w:vAlign w:val="center"/>
          </w:tcPr>
          <w:p w:rsidR="006371FA" w:rsidRPr="00E2771E" w:rsidRDefault="009A2385" w:rsidP="00F34ABE">
            <w:pPr>
              <w:keepNext/>
              <w:widowControl/>
              <w:jc w:val="center"/>
              <w:rPr>
                <w:rFonts w:ascii="Arial Narrow" w:hAnsi="Arial Narrow"/>
                <w:sz w:val="20"/>
                <w:lang w:val="en-US"/>
              </w:rPr>
            </w:pPr>
            <w:r>
              <w:rPr>
                <w:rFonts w:ascii="Arial Narrow" w:hAnsi="Arial Narrow"/>
                <w:sz w:val="20"/>
                <w:lang w:val="en-US"/>
              </w:rPr>
              <w:t>T</w:t>
            </w:r>
            <w:r w:rsidRPr="009A2385">
              <w:rPr>
                <w:rFonts w:ascii="Arial Narrow" w:hAnsi="Arial Narrow"/>
                <w:sz w:val="20"/>
                <w:lang w:val="en-US"/>
              </w:rPr>
              <w:t>ime to exit due to lack of efficacy</w:t>
            </w:r>
          </w:p>
        </w:tc>
        <w:tc>
          <w:tcPr>
            <w:tcW w:w="923" w:type="pct"/>
            <w:shd w:val="clear" w:color="auto" w:fill="auto"/>
            <w:vAlign w:val="center"/>
          </w:tcPr>
          <w:p w:rsidR="006371FA" w:rsidRPr="00E2771E" w:rsidRDefault="006371FA" w:rsidP="00F34ABE">
            <w:pPr>
              <w:keepNext/>
              <w:widowControl/>
              <w:jc w:val="center"/>
              <w:rPr>
                <w:rFonts w:ascii="Arial Narrow" w:hAnsi="Arial Narrow"/>
                <w:sz w:val="20"/>
                <w:lang w:val="en-US"/>
              </w:rPr>
            </w:pPr>
            <w:r w:rsidRPr="00C6541E">
              <w:rPr>
                <w:rFonts w:ascii="Arial Narrow" w:hAnsi="Arial Narrow"/>
                <w:sz w:val="20"/>
                <w:lang w:val="en-US"/>
              </w:rPr>
              <w:t>Not used</w:t>
            </w:r>
          </w:p>
        </w:tc>
      </w:tr>
      <w:tr w:rsidR="00C818CF" w:rsidRPr="00E2771E" w:rsidTr="000573DF">
        <w:tc>
          <w:tcPr>
            <w:tcW w:w="594" w:type="pct"/>
            <w:shd w:val="clear" w:color="auto" w:fill="auto"/>
            <w:vAlign w:val="center"/>
          </w:tcPr>
          <w:p w:rsidR="00C818CF" w:rsidRPr="00E2771E" w:rsidRDefault="00C818CF" w:rsidP="00F34ABE">
            <w:pPr>
              <w:keepNext/>
              <w:widowControl/>
              <w:jc w:val="left"/>
              <w:rPr>
                <w:rFonts w:ascii="Arial Narrow" w:hAnsi="Arial Narrow"/>
                <w:sz w:val="20"/>
                <w:lang w:val="en-US"/>
              </w:rPr>
            </w:pPr>
            <w:r w:rsidRPr="00982972">
              <w:rPr>
                <w:rFonts w:ascii="Arial Narrow" w:hAnsi="Arial Narrow"/>
                <w:sz w:val="20"/>
              </w:rPr>
              <w:t xml:space="preserve">Galer </w:t>
            </w:r>
            <w:r>
              <w:rPr>
                <w:rFonts w:ascii="Arial Narrow" w:hAnsi="Arial Narrow"/>
                <w:sz w:val="20"/>
              </w:rPr>
              <w:t>(</w:t>
            </w:r>
            <w:r w:rsidRPr="00982972">
              <w:rPr>
                <w:rFonts w:ascii="Arial Narrow" w:hAnsi="Arial Narrow"/>
                <w:sz w:val="20"/>
              </w:rPr>
              <w:t>1999</w:t>
            </w:r>
            <w:r>
              <w:rPr>
                <w:rFonts w:ascii="Arial Narrow" w:hAnsi="Arial Narrow"/>
                <w:sz w:val="20"/>
              </w:rPr>
              <w:t>)</w:t>
            </w:r>
          </w:p>
        </w:tc>
        <w:tc>
          <w:tcPr>
            <w:tcW w:w="340" w:type="pct"/>
            <w:shd w:val="clear" w:color="auto" w:fill="auto"/>
            <w:vAlign w:val="center"/>
          </w:tcPr>
          <w:p w:rsidR="00C818CF" w:rsidRPr="00E2771E" w:rsidRDefault="00C818CF" w:rsidP="00F34ABE">
            <w:pPr>
              <w:keepNext/>
              <w:widowControl/>
              <w:jc w:val="center"/>
              <w:rPr>
                <w:rFonts w:ascii="Arial Narrow" w:hAnsi="Arial Narrow"/>
                <w:sz w:val="20"/>
                <w:lang w:val="en-US"/>
              </w:rPr>
            </w:pPr>
            <w:r>
              <w:rPr>
                <w:rFonts w:ascii="Arial Narrow" w:hAnsi="Arial Narrow"/>
                <w:sz w:val="20"/>
                <w:lang w:val="en-US"/>
              </w:rPr>
              <w:t>33</w:t>
            </w:r>
          </w:p>
        </w:tc>
        <w:tc>
          <w:tcPr>
            <w:tcW w:w="1019" w:type="pct"/>
            <w:shd w:val="clear" w:color="auto" w:fill="auto"/>
            <w:vAlign w:val="center"/>
          </w:tcPr>
          <w:p w:rsidR="00C818CF" w:rsidRPr="00E2771E" w:rsidRDefault="00C818CF" w:rsidP="00F34ABE">
            <w:pPr>
              <w:keepNext/>
              <w:widowControl/>
              <w:jc w:val="center"/>
              <w:rPr>
                <w:rFonts w:ascii="Arial Narrow" w:hAnsi="Arial Narrow"/>
                <w:sz w:val="20"/>
                <w:lang w:val="en-US"/>
              </w:rPr>
            </w:pPr>
            <w:r>
              <w:rPr>
                <w:rFonts w:ascii="Arial Narrow" w:hAnsi="Arial Narrow"/>
                <w:sz w:val="20"/>
                <w:lang w:val="en-US"/>
              </w:rPr>
              <w:t xml:space="preserve">Enriched, DB, R, CO withdrawal, 2 centres; each phase: 2-14d </w:t>
            </w:r>
          </w:p>
        </w:tc>
        <w:tc>
          <w:tcPr>
            <w:tcW w:w="340" w:type="pct"/>
            <w:shd w:val="clear" w:color="auto" w:fill="auto"/>
            <w:vAlign w:val="center"/>
          </w:tcPr>
          <w:p w:rsidR="00C818CF" w:rsidRPr="00980C60" w:rsidRDefault="00C818CF" w:rsidP="00F34ABE">
            <w:pPr>
              <w:keepNext/>
              <w:widowControl/>
              <w:jc w:val="center"/>
              <w:rPr>
                <w:rFonts w:ascii="Arial Narrow" w:hAnsi="Arial Narrow"/>
                <w:sz w:val="20"/>
                <w:lang w:val="en-US"/>
              </w:rPr>
            </w:pPr>
            <w:r w:rsidRPr="00980C60">
              <w:rPr>
                <w:rFonts w:ascii="Arial Narrow" w:hAnsi="Arial Narrow"/>
                <w:sz w:val="20"/>
                <w:lang w:val="en-US"/>
              </w:rPr>
              <w:t>High</w:t>
            </w:r>
          </w:p>
        </w:tc>
        <w:tc>
          <w:tcPr>
            <w:tcW w:w="850" w:type="pct"/>
            <w:shd w:val="clear" w:color="auto" w:fill="auto"/>
            <w:vAlign w:val="center"/>
          </w:tcPr>
          <w:p w:rsidR="00C818CF" w:rsidRPr="00E2771E" w:rsidRDefault="00C818CF" w:rsidP="00F34ABE">
            <w:pPr>
              <w:keepNext/>
              <w:widowControl/>
              <w:jc w:val="center"/>
              <w:rPr>
                <w:rFonts w:ascii="Arial Narrow" w:hAnsi="Arial Narrow"/>
                <w:sz w:val="20"/>
                <w:lang w:val="en-US"/>
              </w:rPr>
            </w:pPr>
            <w:r>
              <w:rPr>
                <w:rFonts w:ascii="Arial Narrow" w:hAnsi="Arial Narrow"/>
                <w:sz w:val="20"/>
                <w:lang w:val="en-US"/>
              </w:rPr>
              <w:t xml:space="preserve">PHN &amp; adequate response (supply via OL CUP) </w:t>
            </w:r>
          </w:p>
        </w:tc>
        <w:tc>
          <w:tcPr>
            <w:tcW w:w="934" w:type="pct"/>
            <w:shd w:val="clear" w:color="auto" w:fill="auto"/>
            <w:vAlign w:val="center"/>
          </w:tcPr>
          <w:p w:rsidR="00C818CF" w:rsidRPr="00E2771E" w:rsidRDefault="00C818CF" w:rsidP="00F34ABE">
            <w:pPr>
              <w:keepNext/>
              <w:widowControl/>
              <w:jc w:val="center"/>
              <w:rPr>
                <w:rFonts w:ascii="Arial Narrow" w:hAnsi="Arial Narrow"/>
                <w:sz w:val="20"/>
                <w:lang w:val="en-US"/>
              </w:rPr>
            </w:pPr>
            <w:r>
              <w:rPr>
                <w:rFonts w:ascii="Arial Narrow" w:hAnsi="Arial Narrow"/>
                <w:sz w:val="20"/>
                <w:lang w:val="en-US"/>
              </w:rPr>
              <w:t>T</w:t>
            </w:r>
            <w:r w:rsidRPr="009A2385">
              <w:rPr>
                <w:rFonts w:ascii="Arial Narrow" w:hAnsi="Arial Narrow"/>
                <w:sz w:val="20"/>
                <w:lang w:val="en-US"/>
              </w:rPr>
              <w:t>ime to exit due to lack of efficacy</w:t>
            </w:r>
          </w:p>
        </w:tc>
        <w:tc>
          <w:tcPr>
            <w:tcW w:w="923" w:type="pct"/>
            <w:shd w:val="clear" w:color="auto" w:fill="auto"/>
            <w:vAlign w:val="center"/>
          </w:tcPr>
          <w:p w:rsidR="00C818CF" w:rsidRPr="00E2771E" w:rsidRDefault="00C818CF" w:rsidP="00F34ABE">
            <w:pPr>
              <w:keepNext/>
              <w:widowControl/>
              <w:jc w:val="center"/>
              <w:rPr>
                <w:rFonts w:ascii="Arial Narrow" w:hAnsi="Arial Narrow"/>
                <w:sz w:val="20"/>
                <w:lang w:val="en-US"/>
              </w:rPr>
            </w:pPr>
            <w:r w:rsidRPr="00C6541E">
              <w:rPr>
                <w:rFonts w:ascii="Arial Narrow" w:hAnsi="Arial Narrow"/>
                <w:sz w:val="20"/>
                <w:lang w:val="en-US"/>
              </w:rPr>
              <w:t>Not used</w:t>
            </w:r>
          </w:p>
        </w:tc>
      </w:tr>
      <w:tr w:rsidR="00C818CF" w:rsidRPr="00E2771E" w:rsidTr="000573DF">
        <w:tc>
          <w:tcPr>
            <w:tcW w:w="594" w:type="pct"/>
            <w:shd w:val="clear" w:color="auto" w:fill="auto"/>
            <w:vAlign w:val="center"/>
          </w:tcPr>
          <w:p w:rsidR="00C818CF" w:rsidRPr="00E2771E" w:rsidRDefault="00C818CF" w:rsidP="00F34ABE">
            <w:pPr>
              <w:keepNext/>
              <w:widowControl/>
              <w:jc w:val="left"/>
              <w:rPr>
                <w:rFonts w:ascii="Arial Narrow" w:hAnsi="Arial Narrow"/>
                <w:sz w:val="20"/>
                <w:lang w:val="en-US"/>
              </w:rPr>
            </w:pPr>
            <w:r w:rsidRPr="00982972">
              <w:rPr>
                <w:rFonts w:ascii="Arial Narrow" w:hAnsi="Arial Narrow"/>
                <w:sz w:val="20"/>
              </w:rPr>
              <w:t xml:space="preserve">Galer </w:t>
            </w:r>
            <w:r>
              <w:rPr>
                <w:rFonts w:ascii="Arial Narrow" w:hAnsi="Arial Narrow"/>
                <w:sz w:val="20"/>
              </w:rPr>
              <w:t>(</w:t>
            </w:r>
            <w:r w:rsidRPr="00982972">
              <w:rPr>
                <w:rFonts w:ascii="Arial Narrow" w:hAnsi="Arial Narrow"/>
                <w:sz w:val="20"/>
              </w:rPr>
              <w:t>2002</w:t>
            </w:r>
            <w:r>
              <w:rPr>
                <w:rFonts w:ascii="Arial Narrow" w:hAnsi="Arial Narrow"/>
                <w:sz w:val="20"/>
              </w:rPr>
              <w:t>)</w:t>
            </w:r>
          </w:p>
        </w:tc>
        <w:tc>
          <w:tcPr>
            <w:tcW w:w="340" w:type="pct"/>
            <w:shd w:val="clear" w:color="auto" w:fill="auto"/>
            <w:vAlign w:val="center"/>
          </w:tcPr>
          <w:p w:rsidR="00C818CF" w:rsidRPr="00E2771E" w:rsidRDefault="00C818CF" w:rsidP="00F34ABE">
            <w:pPr>
              <w:keepNext/>
              <w:widowControl/>
              <w:jc w:val="center"/>
              <w:rPr>
                <w:rFonts w:ascii="Arial Narrow" w:hAnsi="Arial Narrow"/>
                <w:sz w:val="20"/>
                <w:lang w:val="en-US"/>
              </w:rPr>
            </w:pPr>
            <w:r>
              <w:rPr>
                <w:rFonts w:ascii="Arial Narrow" w:hAnsi="Arial Narrow"/>
                <w:sz w:val="20"/>
                <w:lang w:val="en-US"/>
              </w:rPr>
              <w:t>1</w:t>
            </w:r>
            <w:r w:rsidR="00CC6442">
              <w:rPr>
                <w:rFonts w:ascii="Arial Narrow" w:hAnsi="Arial Narrow"/>
                <w:sz w:val="20"/>
                <w:lang w:val="en-US"/>
              </w:rPr>
              <w:t>67</w:t>
            </w:r>
          </w:p>
        </w:tc>
        <w:tc>
          <w:tcPr>
            <w:tcW w:w="1019" w:type="pct"/>
            <w:shd w:val="clear" w:color="auto" w:fill="auto"/>
            <w:vAlign w:val="center"/>
          </w:tcPr>
          <w:p w:rsidR="00C818CF" w:rsidRDefault="00C818CF" w:rsidP="00F34ABE">
            <w:pPr>
              <w:keepNext/>
              <w:widowControl/>
              <w:jc w:val="center"/>
              <w:rPr>
                <w:rFonts w:ascii="Arial Narrow" w:hAnsi="Arial Narrow"/>
                <w:sz w:val="20"/>
                <w:lang w:val="en-US"/>
              </w:rPr>
            </w:pPr>
            <w:r>
              <w:rPr>
                <w:rFonts w:ascii="Arial Narrow" w:hAnsi="Arial Narrow"/>
                <w:sz w:val="20"/>
                <w:lang w:val="en-US"/>
              </w:rPr>
              <w:t xml:space="preserve">DB, R, 2 centres; </w:t>
            </w:r>
          </w:p>
          <w:p w:rsidR="00C818CF" w:rsidRPr="00E2771E" w:rsidRDefault="00C818CF" w:rsidP="00F34ABE">
            <w:pPr>
              <w:keepNext/>
              <w:widowControl/>
              <w:jc w:val="center"/>
              <w:rPr>
                <w:rFonts w:ascii="Arial Narrow" w:hAnsi="Arial Narrow"/>
                <w:sz w:val="20"/>
                <w:lang w:val="en-US"/>
              </w:rPr>
            </w:pPr>
            <w:r>
              <w:rPr>
                <w:rFonts w:ascii="Arial Narrow" w:hAnsi="Arial Narrow"/>
                <w:sz w:val="20"/>
                <w:lang w:val="en-US"/>
              </w:rPr>
              <w:t xml:space="preserve">2 single application sessions prior, 3 </w:t>
            </w:r>
            <w:r w:rsidR="0095617B">
              <w:rPr>
                <w:rFonts w:ascii="Arial Narrow" w:hAnsi="Arial Narrow"/>
                <w:sz w:val="20"/>
                <w:lang w:val="en-US"/>
              </w:rPr>
              <w:t>wks.</w:t>
            </w:r>
            <w:r w:rsidR="00B43E7E">
              <w:rPr>
                <w:rFonts w:ascii="Arial Narrow" w:hAnsi="Arial Narrow"/>
                <w:sz w:val="20"/>
                <w:lang w:val="en-US"/>
              </w:rPr>
              <w:t xml:space="preserve"> in-house</w:t>
            </w:r>
            <w:r>
              <w:rPr>
                <w:rFonts w:ascii="Arial Narrow" w:hAnsi="Arial Narrow"/>
                <w:sz w:val="20"/>
                <w:lang w:val="en-US"/>
              </w:rPr>
              <w:t xml:space="preserve"> </w:t>
            </w:r>
          </w:p>
        </w:tc>
        <w:tc>
          <w:tcPr>
            <w:tcW w:w="340" w:type="pct"/>
            <w:shd w:val="clear" w:color="auto" w:fill="auto"/>
            <w:vAlign w:val="center"/>
          </w:tcPr>
          <w:p w:rsidR="00C818CF" w:rsidRPr="00980C60" w:rsidRDefault="00C818CF" w:rsidP="00F34ABE">
            <w:pPr>
              <w:keepNext/>
              <w:widowControl/>
              <w:jc w:val="center"/>
              <w:rPr>
                <w:rFonts w:ascii="Arial Narrow" w:hAnsi="Arial Narrow"/>
                <w:sz w:val="20"/>
                <w:lang w:val="en-US"/>
              </w:rPr>
            </w:pPr>
            <w:r w:rsidRPr="00980C60">
              <w:rPr>
                <w:rFonts w:ascii="Arial Narrow" w:hAnsi="Arial Narrow"/>
                <w:sz w:val="20"/>
                <w:lang w:val="en-US"/>
              </w:rPr>
              <w:t xml:space="preserve">High </w:t>
            </w:r>
          </w:p>
        </w:tc>
        <w:tc>
          <w:tcPr>
            <w:tcW w:w="850" w:type="pct"/>
            <w:shd w:val="clear" w:color="auto" w:fill="auto"/>
            <w:vAlign w:val="center"/>
          </w:tcPr>
          <w:p w:rsidR="00C818CF" w:rsidRPr="00E2771E" w:rsidRDefault="00C818CF" w:rsidP="00F34ABE">
            <w:pPr>
              <w:keepNext/>
              <w:widowControl/>
              <w:jc w:val="center"/>
              <w:rPr>
                <w:rFonts w:ascii="Arial Narrow" w:hAnsi="Arial Narrow"/>
                <w:sz w:val="20"/>
                <w:lang w:val="en-US"/>
              </w:rPr>
            </w:pPr>
            <w:r>
              <w:rPr>
                <w:rFonts w:ascii="Arial Narrow" w:hAnsi="Arial Narrow"/>
                <w:sz w:val="20"/>
                <w:lang w:val="en-US"/>
              </w:rPr>
              <w:t>Torso PHN ≥ 1 mth with allodynia</w:t>
            </w:r>
          </w:p>
        </w:tc>
        <w:tc>
          <w:tcPr>
            <w:tcW w:w="934" w:type="pct"/>
            <w:shd w:val="clear" w:color="auto" w:fill="auto"/>
            <w:vAlign w:val="center"/>
          </w:tcPr>
          <w:p w:rsidR="00C818CF" w:rsidRPr="00980C60" w:rsidRDefault="00C818CF" w:rsidP="00F34ABE">
            <w:pPr>
              <w:keepNext/>
              <w:widowControl/>
              <w:jc w:val="center"/>
              <w:rPr>
                <w:rFonts w:ascii="Arial Narrow" w:hAnsi="Arial Narrow"/>
                <w:sz w:val="20"/>
                <w:lang w:val="en-US"/>
              </w:rPr>
            </w:pPr>
            <w:r w:rsidRPr="00980C60">
              <w:rPr>
                <w:rFonts w:ascii="Arial Narrow" w:hAnsi="Arial Narrow"/>
                <w:sz w:val="20"/>
                <w:lang w:val="en-US"/>
              </w:rPr>
              <w:t>Pain relief : VAS &amp; 6-point scale (single application sessions 1 and 2)</w:t>
            </w:r>
          </w:p>
        </w:tc>
        <w:tc>
          <w:tcPr>
            <w:tcW w:w="923" w:type="pct"/>
            <w:shd w:val="clear" w:color="auto" w:fill="auto"/>
            <w:vAlign w:val="center"/>
          </w:tcPr>
          <w:p w:rsidR="00C818CF" w:rsidRPr="00E2771E" w:rsidRDefault="00C818CF" w:rsidP="00F34ABE">
            <w:pPr>
              <w:keepNext/>
              <w:widowControl/>
              <w:jc w:val="center"/>
              <w:rPr>
                <w:rFonts w:ascii="Arial Narrow" w:hAnsi="Arial Narrow"/>
                <w:sz w:val="20"/>
                <w:lang w:val="en-US"/>
              </w:rPr>
            </w:pPr>
            <w:r w:rsidRPr="00C6541E">
              <w:rPr>
                <w:rFonts w:ascii="Arial Narrow" w:hAnsi="Arial Narrow"/>
                <w:sz w:val="20"/>
                <w:lang w:val="en-US"/>
              </w:rPr>
              <w:t>Not used</w:t>
            </w:r>
          </w:p>
        </w:tc>
      </w:tr>
    </w:tbl>
    <w:p w:rsidR="006231E6" w:rsidRDefault="006231E6" w:rsidP="00F34ABE">
      <w:pPr>
        <w:pStyle w:val="TableFooter"/>
        <w:keepNext/>
        <w:widowControl/>
        <w:ind w:left="720"/>
      </w:pPr>
      <w:r w:rsidRPr="006231E6">
        <w:t>Source: Complied during the evaluation using data from Tables B.2.6 (pp72-3), B.4.1 (pp82-3)</w:t>
      </w:r>
      <w:r w:rsidR="002E51F3">
        <w:t>, and B.5.1 (pp89-90), and pp74</w:t>
      </w:r>
      <w:r w:rsidR="002E51F3">
        <w:noBreakHyphen/>
      </w:r>
      <w:r w:rsidRPr="006231E6">
        <w:t>81 of the submission. Additional data from the CSR for Galer (2002) included.</w:t>
      </w:r>
    </w:p>
    <w:p w:rsidR="00E86FD2" w:rsidRPr="0072416F" w:rsidRDefault="000C15BE" w:rsidP="00F34ABE">
      <w:pPr>
        <w:pStyle w:val="TableFooter"/>
        <w:keepNext/>
        <w:widowControl/>
        <w:ind w:left="720"/>
      </w:pPr>
      <w:r>
        <w:t xml:space="preserve">Abbreviations: </w:t>
      </w:r>
      <w:r w:rsidR="00D62E5D">
        <w:t>AE, adverse event;</w:t>
      </w:r>
      <w:r w:rsidR="009F2E96">
        <w:t xml:space="preserve"> </w:t>
      </w:r>
      <w:r w:rsidR="00A00924">
        <w:t xml:space="preserve">CO, cross-over; </w:t>
      </w:r>
      <w:r w:rsidR="009F2E96">
        <w:t xml:space="preserve">CUP, </w:t>
      </w:r>
      <w:r w:rsidR="009F2E96" w:rsidRPr="009F2E96">
        <w:t>compassionate use program</w:t>
      </w:r>
      <w:r w:rsidR="009F2E96">
        <w:t>;</w:t>
      </w:r>
      <w:r w:rsidR="00D62E5D">
        <w:t xml:space="preserve"> DB, double blind; </w:t>
      </w:r>
      <w:r w:rsidR="00E86FD2" w:rsidRPr="00E86FD2">
        <w:t xml:space="preserve">DPN, diabetic polyneuropathy; </w:t>
      </w:r>
      <w:r w:rsidR="00D62E5D">
        <w:t xml:space="preserve">MC, multi-centre; </w:t>
      </w:r>
      <w:r w:rsidR="00D618F2" w:rsidRPr="00E86FD2">
        <w:t xml:space="preserve">NRS, 11-point numerical rating scale; NRS-3, recall of pain over the preceding 3 days; </w:t>
      </w:r>
      <w:r w:rsidR="00D62E5D">
        <w:t xml:space="preserve">OL, </w:t>
      </w:r>
      <w:r w:rsidR="007F1017" w:rsidRPr="0072416F">
        <w:t xml:space="preserve">open label; </w:t>
      </w:r>
      <w:r w:rsidR="00D618F2" w:rsidRPr="00E86FD2">
        <w:t>PHN, post-herpetic neuralgia</w:t>
      </w:r>
      <w:r w:rsidR="00D618F2">
        <w:t xml:space="preserve"> </w:t>
      </w:r>
      <w:r w:rsidR="00D62E5D">
        <w:t xml:space="preserve">R, </w:t>
      </w:r>
      <w:r w:rsidR="00E86FD2">
        <w:t>randomised</w:t>
      </w:r>
      <w:r w:rsidR="00801084">
        <w:t>; VAS, visual analogue scale</w:t>
      </w:r>
    </w:p>
    <w:p w:rsidR="00A13C80" w:rsidRDefault="00A13C80" w:rsidP="00F34ABE">
      <w:pPr>
        <w:pStyle w:val="ListParagraph"/>
        <w:widowControl/>
        <w:ind w:left="709"/>
        <w:rPr>
          <w:i/>
          <w:szCs w:val="22"/>
        </w:rPr>
      </w:pPr>
    </w:p>
    <w:p w:rsidR="00A13C80" w:rsidRPr="00BB7EC3" w:rsidRDefault="00A13C80" w:rsidP="00F34ABE">
      <w:pPr>
        <w:pStyle w:val="ListParagraph"/>
        <w:widowControl/>
        <w:ind w:left="709"/>
        <w:rPr>
          <w:i/>
          <w:szCs w:val="22"/>
        </w:rPr>
      </w:pPr>
      <w:r>
        <w:rPr>
          <w:i/>
          <w:szCs w:val="22"/>
        </w:rPr>
        <w:t>For more detail on PBAC’s view, see section 7 “PBAC outcome”</w:t>
      </w:r>
    </w:p>
    <w:p w:rsidR="00A13C80" w:rsidRPr="00882085" w:rsidRDefault="00A13C80" w:rsidP="00F34ABE">
      <w:pPr>
        <w:widowControl/>
        <w:rPr>
          <w:szCs w:val="22"/>
        </w:rPr>
      </w:pPr>
    </w:p>
    <w:p w:rsidR="00E73BE9" w:rsidRDefault="00E73BE9" w:rsidP="00E73BE9">
      <w:pPr>
        <w:pStyle w:val="Heading2"/>
      </w:pPr>
      <w:bookmarkStart w:id="9" w:name="_Toc409512490"/>
    </w:p>
    <w:p w:rsidR="00E73BE9" w:rsidRDefault="00E73BE9" w:rsidP="00E73BE9">
      <w:pPr>
        <w:pStyle w:val="Heading2"/>
      </w:pPr>
    </w:p>
    <w:p w:rsidR="00E73BE9" w:rsidRDefault="00E73BE9" w:rsidP="00E73BE9">
      <w:pPr>
        <w:pStyle w:val="Heading2"/>
      </w:pPr>
    </w:p>
    <w:p w:rsidR="00E73BE9" w:rsidRDefault="00E73BE9" w:rsidP="00E73BE9">
      <w:pPr>
        <w:pStyle w:val="Heading2"/>
      </w:pPr>
    </w:p>
    <w:p w:rsidR="00E73BE9" w:rsidRDefault="00E73BE9" w:rsidP="00E73BE9">
      <w:pPr>
        <w:pStyle w:val="Heading2"/>
      </w:pPr>
    </w:p>
    <w:p w:rsidR="00E73BE9" w:rsidRDefault="00E73BE9" w:rsidP="00E73BE9">
      <w:pPr>
        <w:pStyle w:val="Heading2"/>
      </w:pPr>
    </w:p>
    <w:p w:rsidR="00E73BE9" w:rsidRDefault="00E73BE9" w:rsidP="00E73BE9">
      <w:pPr>
        <w:pStyle w:val="Heading2"/>
      </w:pPr>
    </w:p>
    <w:p w:rsidR="00E73BE9" w:rsidRDefault="00E73BE9" w:rsidP="00E73BE9">
      <w:pPr>
        <w:pStyle w:val="Heading2"/>
      </w:pPr>
    </w:p>
    <w:p w:rsidR="00B60939" w:rsidRPr="00FF4023" w:rsidRDefault="00B60939" w:rsidP="00E73BE9">
      <w:pPr>
        <w:pStyle w:val="Heading2"/>
      </w:pPr>
      <w:r w:rsidRPr="00FF4023">
        <w:lastRenderedPageBreak/>
        <w:t>Comparative effectiveness</w:t>
      </w:r>
      <w:bookmarkEnd w:id="9"/>
    </w:p>
    <w:p w:rsidR="00B60939" w:rsidRPr="00882085" w:rsidRDefault="00B60939" w:rsidP="00F34ABE">
      <w:pPr>
        <w:keepNext/>
        <w:widowControl/>
        <w:rPr>
          <w:szCs w:val="22"/>
        </w:rPr>
      </w:pPr>
    </w:p>
    <w:p w:rsidR="007524CB" w:rsidRPr="007524CB" w:rsidRDefault="007524CB" w:rsidP="00F34ABE">
      <w:pPr>
        <w:pStyle w:val="ListParagraph"/>
        <w:keepNext/>
        <w:widowControl/>
        <w:rPr>
          <w:szCs w:val="22"/>
        </w:rPr>
      </w:pPr>
      <w:r w:rsidRPr="007524CB">
        <w:rPr>
          <w:rFonts w:ascii="Arial Narrow" w:hAnsi="Arial Narrow"/>
          <w:b/>
          <w:sz w:val="20"/>
        </w:rPr>
        <w:t>Patients achieving reduction of ≥2 points or an absolute value of ≤4 on the NRS-3 scale at Week 4 (end of comparative phase)</w:t>
      </w:r>
      <w:r>
        <w:rPr>
          <w:rFonts w:ascii="Arial Narrow" w:hAnsi="Arial Narrow"/>
          <w:b/>
          <w:sz w:val="20"/>
        </w:rPr>
        <w:t xml:space="preserve"> in Trial KF10004/03</w:t>
      </w:r>
    </w:p>
    <w:tbl>
      <w:tblPr>
        <w:tblW w:w="452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277"/>
        <w:gridCol w:w="1277"/>
        <w:gridCol w:w="989"/>
        <w:gridCol w:w="865"/>
        <w:gridCol w:w="1205"/>
        <w:gridCol w:w="1196"/>
      </w:tblGrid>
      <w:tr w:rsidR="002E7921" w:rsidRPr="00937EDE" w:rsidTr="006231E6">
        <w:trPr>
          <w:trHeight w:val="20"/>
          <w:tblHeader/>
        </w:trPr>
        <w:tc>
          <w:tcPr>
            <w:tcW w:w="931" w:type="pct"/>
            <w:tcBorders>
              <w:top w:val="single" w:sz="4" w:space="0" w:color="auto"/>
              <w:left w:val="single" w:sz="4" w:space="0" w:color="auto"/>
              <w:bottom w:val="single" w:sz="4" w:space="0" w:color="auto"/>
              <w:right w:val="single" w:sz="4" w:space="0" w:color="auto"/>
            </w:tcBorders>
            <w:shd w:val="clear" w:color="auto" w:fill="auto"/>
          </w:tcPr>
          <w:p w:rsidR="007524CB" w:rsidRPr="00937EDE" w:rsidRDefault="007524CB" w:rsidP="00F34ABE">
            <w:pPr>
              <w:keepNext/>
              <w:widowControl/>
              <w:rPr>
                <w:rFonts w:ascii="Arial Narrow" w:hAnsi="Arial Narrow"/>
                <w:sz w:val="20"/>
              </w:rPr>
            </w:pPr>
          </w:p>
        </w:tc>
        <w:tc>
          <w:tcPr>
            <w:tcW w:w="763" w:type="pct"/>
            <w:tcBorders>
              <w:top w:val="single" w:sz="4" w:space="0" w:color="auto"/>
              <w:left w:val="single" w:sz="4" w:space="0" w:color="auto"/>
              <w:bottom w:val="single" w:sz="4" w:space="0" w:color="auto"/>
            </w:tcBorders>
            <w:shd w:val="clear" w:color="auto" w:fill="auto"/>
          </w:tcPr>
          <w:p w:rsidR="007524CB" w:rsidRPr="0004354F" w:rsidRDefault="007524CB" w:rsidP="00F34ABE">
            <w:pPr>
              <w:keepNext/>
              <w:widowControl/>
              <w:jc w:val="center"/>
              <w:rPr>
                <w:rFonts w:ascii="Arial Narrow" w:hAnsi="Arial Narrow"/>
                <w:b/>
                <w:sz w:val="20"/>
              </w:rPr>
            </w:pPr>
            <w:r w:rsidRPr="0004354F">
              <w:rPr>
                <w:rFonts w:ascii="Arial Narrow" w:hAnsi="Arial Narrow"/>
                <w:b/>
                <w:sz w:val="20"/>
              </w:rPr>
              <w:t>Lignocaine</w:t>
            </w:r>
            <w:r>
              <w:rPr>
                <w:rFonts w:ascii="Arial Narrow" w:hAnsi="Arial Narrow"/>
                <w:b/>
                <w:sz w:val="20"/>
              </w:rPr>
              <w:t xml:space="preserve"> patch </w:t>
            </w:r>
            <w:r w:rsidRPr="0004354F">
              <w:rPr>
                <w:rFonts w:ascii="Arial Narrow" w:hAnsi="Arial Narrow"/>
                <w:b/>
                <w:sz w:val="20"/>
              </w:rPr>
              <w:t>n/N (%)</w:t>
            </w:r>
          </w:p>
        </w:tc>
        <w:tc>
          <w:tcPr>
            <w:tcW w:w="763" w:type="pct"/>
            <w:tcBorders>
              <w:top w:val="single" w:sz="4" w:space="0" w:color="auto"/>
              <w:bottom w:val="single" w:sz="4" w:space="0" w:color="auto"/>
            </w:tcBorders>
            <w:shd w:val="clear" w:color="auto" w:fill="auto"/>
          </w:tcPr>
          <w:p w:rsidR="007524CB" w:rsidRPr="0004354F" w:rsidRDefault="007524CB" w:rsidP="00F34ABE">
            <w:pPr>
              <w:keepNext/>
              <w:widowControl/>
              <w:jc w:val="center"/>
              <w:rPr>
                <w:rFonts w:ascii="Arial Narrow" w:hAnsi="Arial Narrow"/>
                <w:b/>
                <w:sz w:val="20"/>
              </w:rPr>
            </w:pPr>
            <w:r w:rsidRPr="0004354F">
              <w:rPr>
                <w:rFonts w:ascii="Arial Narrow" w:hAnsi="Arial Narrow"/>
                <w:b/>
                <w:sz w:val="20"/>
              </w:rPr>
              <w:t>Pregabalin</w:t>
            </w:r>
          </w:p>
          <w:p w:rsidR="007524CB" w:rsidRPr="0004354F" w:rsidRDefault="007524CB" w:rsidP="00F34ABE">
            <w:pPr>
              <w:keepNext/>
              <w:widowControl/>
              <w:jc w:val="center"/>
              <w:rPr>
                <w:rFonts w:ascii="Arial Narrow" w:hAnsi="Arial Narrow"/>
                <w:b/>
                <w:sz w:val="20"/>
              </w:rPr>
            </w:pPr>
            <w:r w:rsidRPr="0004354F">
              <w:rPr>
                <w:rFonts w:ascii="Arial Narrow" w:hAnsi="Arial Narrow"/>
                <w:b/>
                <w:sz w:val="20"/>
              </w:rPr>
              <w:t>n/N (%)</w:t>
            </w:r>
          </w:p>
        </w:tc>
        <w:tc>
          <w:tcPr>
            <w:tcW w:w="591" w:type="pct"/>
            <w:tcBorders>
              <w:top w:val="single" w:sz="4" w:space="0" w:color="auto"/>
              <w:bottom w:val="single" w:sz="4" w:space="0" w:color="auto"/>
            </w:tcBorders>
          </w:tcPr>
          <w:p w:rsidR="007524CB" w:rsidRPr="0004354F" w:rsidRDefault="007524CB" w:rsidP="00F34ABE">
            <w:pPr>
              <w:keepNext/>
              <w:widowControl/>
              <w:jc w:val="center"/>
              <w:rPr>
                <w:rFonts w:ascii="Arial Narrow" w:hAnsi="Arial Narrow"/>
                <w:b/>
                <w:sz w:val="20"/>
                <w:vertAlign w:val="superscript"/>
              </w:rPr>
            </w:pPr>
            <w:r w:rsidRPr="0004354F">
              <w:rPr>
                <w:rFonts w:ascii="Arial Narrow" w:hAnsi="Arial Narrow"/>
                <w:b/>
                <w:sz w:val="20"/>
              </w:rPr>
              <w:t>Lower limit CI</w:t>
            </w:r>
            <w:r>
              <w:rPr>
                <w:rFonts w:ascii="Arial Narrow" w:hAnsi="Arial Narrow"/>
                <w:b/>
                <w:sz w:val="20"/>
                <w:vertAlign w:val="superscript"/>
              </w:rPr>
              <w:t>a</w:t>
            </w:r>
          </w:p>
        </w:tc>
        <w:tc>
          <w:tcPr>
            <w:tcW w:w="517" w:type="pct"/>
            <w:tcBorders>
              <w:top w:val="single" w:sz="4" w:space="0" w:color="auto"/>
              <w:bottom w:val="single" w:sz="4" w:space="0" w:color="auto"/>
              <w:right w:val="double" w:sz="4" w:space="0" w:color="auto"/>
            </w:tcBorders>
          </w:tcPr>
          <w:p w:rsidR="007524CB" w:rsidRDefault="007524CB" w:rsidP="00F34ABE">
            <w:pPr>
              <w:keepNext/>
              <w:widowControl/>
              <w:jc w:val="center"/>
              <w:rPr>
                <w:rFonts w:ascii="Arial Narrow" w:hAnsi="Arial Narrow"/>
                <w:b/>
                <w:sz w:val="20"/>
              </w:rPr>
            </w:pPr>
            <w:r>
              <w:rPr>
                <w:rFonts w:ascii="Arial Narrow" w:hAnsi="Arial Narrow"/>
                <w:b/>
                <w:sz w:val="20"/>
              </w:rPr>
              <w:t>p-</w:t>
            </w:r>
            <w:r w:rsidRPr="0004354F">
              <w:rPr>
                <w:rFonts w:ascii="Arial Narrow" w:hAnsi="Arial Narrow"/>
                <w:b/>
                <w:sz w:val="20"/>
              </w:rPr>
              <w:t xml:space="preserve">value </w:t>
            </w:r>
          </w:p>
          <w:p w:rsidR="007524CB" w:rsidRPr="00301908" w:rsidRDefault="00CD77A3" w:rsidP="00F34ABE">
            <w:pPr>
              <w:keepNext/>
              <w:widowControl/>
              <w:jc w:val="center"/>
              <w:rPr>
                <w:rFonts w:ascii="Arial Narrow" w:hAnsi="Arial Narrow"/>
                <w:b/>
                <w:sz w:val="20"/>
                <w:vertAlign w:val="superscript"/>
              </w:rPr>
            </w:pPr>
            <w:r>
              <w:rPr>
                <w:rFonts w:ascii="Arial Narrow" w:hAnsi="Arial Narrow"/>
                <w:b/>
                <w:sz w:val="20"/>
              </w:rPr>
              <w:t>NI</w:t>
            </w:r>
            <w:r w:rsidR="007524CB" w:rsidRPr="0004354F">
              <w:rPr>
                <w:rFonts w:ascii="Arial Narrow" w:hAnsi="Arial Narrow"/>
                <w:b/>
                <w:sz w:val="20"/>
              </w:rPr>
              <w:t xml:space="preserve"> test</w:t>
            </w:r>
            <w:r w:rsidR="007524CB">
              <w:rPr>
                <w:rFonts w:ascii="Arial Narrow" w:hAnsi="Arial Narrow"/>
                <w:b/>
                <w:sz w:val="20"/>
                <w:vertAlign w:val="superscript"/>
              </w:rPr>
              <w:t>a</w:t>
            </w:r>
          </w:p>
        </w:tc>
        <w:tc>
          <w:tcPr>
            <w:tcW w:w="720" w:type="pct"/>
            <w:tcBorders>
              <w:top w:val="single" w:sz="4" w:space="0" w:color="auto"/>
              <w:left w:val="double" w:sz="4" w:space="0" w:color="auto"/>
              <w:bottom w:val="single" w:sz="4" w:space="0" w:color="auto"/>
            </w:tcBorders>
          </w:tcPr>
          <w:p w:rsidR="007524CB" w:rsidRDefault="002E7921" w:rsidP="00F34ABE">
            <w:pPr>
              <w:keepNext/>
              <w:widowControl/>
              <w:jc w:val="center"/>
              <w:rPr>
                <w:rFonts w:ascii="Arial Narrow" w:hAnsi="Arial Narrow"/>
                <w:b/>
                <w:sz w:val="20"/>
              </w:rPr>
            </w:pPr>
            <w:r>
              <w:rPr>
                <w:rFonts w:ascii="Arial Narrow" w:hAnsi="Arial Narrow"/>
                <w:b/>
                <w:sz w:val="20"/>
              </w:rPr>
              <w:t>R</w:t>
            </w:r>
            <w:r w:rsidR="00A4044B">
              <w:rPr>
                <w:rFonts w:ascii="Arial Narrow" w:hAnsi="Arial Narrow"/>
                <w:b/>
                <w:sz w:val="20"/>
              </w:rPr>
              <w:t>R</w:t>
            </w:r>
          </w:p>
          <w:p w:rsidR="007524CB" w:rsidRPr="002B47DF" w:rsidRDefault="007524CB" w:rsidP="00F34ABE">
            <w:pPr>
              <w:keepNext/>
              <w:widowControl/>
              <w:jc w:val="center"/>
              <w:rPr>
                <w:rFonts w:ascii="Arial Narrow" w:hAnsi="Arial Narrow"/>
                <w:b/>
                <w:sz w:val="20"/>
                <w:vertAlign w:val="superscript"/>
              </w:rPr>
            </w:pPr>
            <w:r>
              <w:rPr>
                <w:rFonts w:ascii="Arial Narrow" w:hAnsi="Arial Narrow"/>
                <w:b/>
                <w:sz w:val="20"/>
              </w:rPr>
              <w:t>(95% CI)</w:t>
            </w:r>
            <w:r>
              <w:rPr>
                <w:rFonts w:ascii="Arial Narrow" w:hAnsi="Arial Narrow"/>
                <w:b/>
                <w:sz w:val="20"/>
                <w:vertAlign w:val="superscript"/>
              </w:rPr>
              <w:t>b</w:t>
            </w:r>
          </w:p>
        </w:tc>
        <w:tc>
          <w:tcPr>
            <w:tcW w:w="715" w:type="pct"/>
            <w:tcBorders>
              <w:top w:val="single" w:sz="4" w:space="0" w:color="auto"/>
              <w:bottom w:val="single" w:sz="4" w:space="0" w:color="auto"/>
            </w:tcBorders>
          </w:tcPr>
          <w:p w:rsidR="001D66E7" w:rsidRDefault="002E7921" w:rsidP="00F34ABE">
            <w:pPr>
              <w:keepNext/>
              <w:widowControl/>
              <w:jc w:val="center"/>
              <w:rPr>
                <w:rFonts w:ascii="Arial Narrow" w:hAnsi="Arial Narrow"/>
                <w:b/>
                <w:sz w:val="20"/>
              </w:rPr>
            </w:pPr>
            <w:r>
              <w:rPr>
                <w:rFonts w:ascii="Arial Narrow" w:hAnsi="Arial Narrow"/>
                <w:b/>
                <w:sz w:val="20"/>
              </w:rPr>
              <w:t>RD</w:t>
            </w:r>
            <w:r w:rsidR="007524CB" w:rsidRPr="0004354F">
              <w:rPr>
                <w:rFonts w:ascii="Arial Narrow" w:hAnsi="Arial Narrow"/>
                <w:b/>
                <w:sz w:val="20"/>
              </w:rPr>
              <w:t xml:space="preserve"> </w:t>
            </w:r>
          </w:p>
          <w:p w:rsidR="007524CB" w:rsidRPr="002B47DF" w:rsidRDefault="007524CB" w:rsidP="00F34ABE">
            <w:pPr>
              <w:keepNext/>
              <w:widowControl/>
              <w:jc w:val="center"/>
              <w:rPr>
                <w:rFonts w:ascii="Arial Narrow" w:hAnsi="Arial Narrow"/>
                <w:b/>
                <w:sz w:val="20"/>
                <w:vertAlign w:val="superscript"/>
              </w:rPr>
            </w:pPr>
            <w:r>
              <w:rPr>
                <w:rFonts w:ascii="Arial Narrow" w:hAnsi="Arial Narrow"/>
                <w:b/>
                <w:sz w:val="20"/>
              </w:rPr>
              <w:t>(95% CI)</w:t>
            </w:r>
            <w:r>
              <w:rPr>
                <w:rFonts w:ascii="Arial Narrow" w:hAnsi="Arial Narrow"/>
                <w:b/>
                <w:sz w:val="20"/>
                <w:vertAlign w:val="superscript"/>
              </w:rPr>
              <w:t>b</w:t>
            </w:r>
          </w:p>
        </w:tc>
      </w:tr>
      <w:tr w:rsidR="007524CB" w:rsidRPr="00937EDE" w:rsidTr="00AA2F7A">
        <w:trPr>
          <w:trHeight w:val="20"/>
        </w:trPr>
        <w:tc>
          <w:tcPr>
            <w:tcW w:w="5000" w:type="pct"/>
            <w:gridSpan w:val="7"/>
            <w:tcBorders>
              <w:top w:val="single" w:sz="4" w:space="0" w:color="auto"/>
              <w:bottom w:val="single" w:sz="4" w:space="0" w:color="auto"/>
            </w:tcBorders>
            <w:shd w:val="clear" w:color="auto" w:fill="auto"/>
          </w:tcPr>
          <w:p w:rsidR="007524CB" w:rsidRPr="00937EDE" w:rsidRDefault="007524CB" w:rsidP="00F34ABE">
            <w:pPr>
              <w:keepNext/>
              <w:widowControl/>
              <w:jc w:val="left"/>
              <w:rPr>
                <w:rFonts w:ascii="Arial Narrow" w:hAnsi="Arial Narrow"/>
                <w:sz w:val="20"/>
              </w:rPr>
            </w:pPr>
            <w:r w:rsidRPr="00EB2F52">
              <w:rPr>
                <w:rFonts w:ascii="Arial Narrow" w:hAnsi="Arial Narrow"/>
                <w:b/>
                <w:sz w:val="20"/>
              </w:rPr>
              <w:t>Overall population (DPN and PHN)</w:t>
            </w:r>
          </w:p>
        </w:tc>
      </w:tr>
      <w:tr w:rsidR="002E7921" w:rsidRPr="00937EDE" w:rsidTr="006231E6">
        <w:trPr>
          <w:trHeight w:val="20"/>
        </w:trPr>
        <w:tc>
          <w:tcPr>
            <w:tcW w:w="931" w:type="pct"/>
            <w:tcBorders>
              <w:top w:val="single" w:sz="4" w:space="0" w:color="auto"/>
              <w:bottom w:val="single" w:sz="4" w:space="0" w:color="auto"/>
            </w:tcBorders>
            <w:shd w:val="clear" w:color="auto" w:fill="auto"/>
            <w:vAlign w:val="center"/>
          </w:tcPr>
          <w:p w:rsidR="007524CB" w:rsidRPr="00937EDE" w:rsidRDefault="007524CB" w:rsidP="00F34ABE">
            <w:pPr>
              <w:keepNext/>
              <w:widowControl/>
              <w:jc w:val="left"/>
              <w:rPr>
                <w:rFonts w:ascii="Arial Narrow" w:hAnsi="Arial Narrow"/>
                <w:sz w:val="20"/>
              </w:rPr>
            </w:pPr>
            <w:r>
              <w:rPr>
                <w:rFonts w:ascii="Arial Narrow" w:hAnsi="Arial Narrow"/>
                <w:sz w:val="20"/>
              </w:rPr>
              <w:t xml:space="preserve">Per protocol – confirmatory </w:t>
            </w:r>
          </w:p>
        </w:tc>
        <w:tc>
          <w:tcPr>
            <w:tcW w:w="763" w:type="pct"/>
            <w:tcBorders>
              <w:bottom w:val="single" w:sz="4" w:space="0" w:color="auto"/>
            </w:tcBorders>
            <w:shd w:val="clear" w:color="auto" w:fill="auto"/>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94/144 (65.3)</w:t>
            </w:r>
          </w:p>
        </w:tc>
        <w:tc>
          <w:tcPr>
            <w:tcW w:w="763" w:type="pct"/>
            <w:tcBorders>
              <w:bottom w:val="single" w:sz="4" w:space="0" w:color="auto"/>
            </w:tcBorders>
            <w:shd w:val="clear" w:color="auto" w:fill="auto"/>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85/137 (62.0)</w:t>
            </w:r>
          </w:p>
        </w:tc>
        <w:tc>
          <w:tcPr>
            <w:tcW w:w="591" w:type="pct"/>
            <w:tcBorders>
              <w:bottom w:val="single" w:sz="4" w:space="0" w:color="auto"/>
            </w:tcBorders>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-9.15</w:t>
            </w:r>
            <w:r w:rsidR="009D4E2C">
              <w:rPr>
                <w:rFonts w:ascii="Arial Narrow" w:hAnsi="Arial Narrow"/>
                <w:sz w:val="20"/>
              </w:rPr>
              <w:t>%</w:t>
            </w:r>
          </w:p>
        </w:tc>
        <w:tc>
          <w:tcPr>
            <w:tcW w:w="517" w:type="pct"/>
            <w:tcBorders>
              <w:bottom w:val="single" w:sz="4" w:space="0" w:color="auto"/>
              <w:right w:val="double" w:sz="4" w:space="0" w:color="auto"/>
            </w:tcBorders>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0.00656</w:t>
            </w:r>
          </w:p>
        </w:tc>
        <w:tc>
          <w:tcPr>
            <w:tcW w:w="720" w:type="pct"/>
            <w:tcBorders>
              <w:left w:val="double" w:sz="4" w:space="0" w:color="auto"/>
              <w:bottom w:val="single" w:sz="4" w:space="0" w:color="auto"/>
            </w:tcBorders>
            <w:vAlign w:val="center"/>
          </w:tcPr>
          <w:p w:rsidR="007524CB" w:rsidRDefault="007524CB" w:rsidP="00F34ABE">
            <w:pPr>
              <w:keepNext/>
              <w:widowControl/>
              <w:jc w:val="center"/>
              <w:rPr>
                <w:rFonts w:ascii="Arial Narrow" w:hAnsi="Arial Narrow"/>
                <w:i/>
                <w:sz w:val="20"/>
              </w:rPr>
            </w:pPr>
            <w:r w:rsidRPr="00E24052">
              <w:rPr>
                <w:rFonts w:ascii="Arial Narrow" w:hAnsi="Arial Narrow"/>
                <w:i/>
                <w:sz w:val="20"/>
              </w:rPr>
              <w:t xml:space="preserve">1.05 </w:t>
            </w:r>
          </w:p>
          <w:p w:rsidR="007524CB" w:rsidRPr="00616C54" w:rsidRDefault="007524CB" w:rsidP="00F34ABE">
            <w:pPr>
              <w:keepNext/>
              <w:widowControl/>
              <w:jc w:val="center"/>
              <w:rPr>
                <w:rFonts w:ascii="Arial Narrow" w:hAnsi="Arial Narrow"/>
                <w:i/>
                <w:sz w:val="20"/>
              </w:rPr>
            </w:pPr>
            <w:r>
              <w:rPr>
                <w:rFonts w:ascii="Arial Narrow" w:hAnsi="Arial Narrow"/>
                <w:i/>
                <w:sz w:val="20"/>
              </w:rPr>
              <w:t>(</w:t>
            </w:r>
            <w:r w:rsidRPr="00E24052">
              <w:rPr>
                <w:rFonts w:ascii="Arial Narrow" w:hAnsi="Arial Narrow"/>
                <w:i/>
                <w:sz w:val="20"/>
              </w:rPr>
              <w:t>0.88, 1.26</w:t>
            </w:r>
            <w:r>
              <w:rPr>
                <w:rFonts w:ascii="Arial Narrow" w:hAnsi="Arial Narrow"/>
                <w:i/>
                <w:sz w:val="20"/>
              </w:rPr>
              <w:t>)</w:t>
            </w:r>
          </w:p>
        </w:tc>
        <w:tc>
          <w:tcPr>
            <w:tcW w:w="715" w:type="pct"/>
            <w:tcBorders>
              <w:bottom w:val="single" w:sz="4" w:space="0" w:color="auto"/>
            </w:tcBorders>
            <w:vAlign w:val="center"/>
          </w:tcPr>
          <w:p w:rsidR="007524CB" w:rsidRDefault="007524CB" w:rsidP="00F34ABE">
            <w:pPr>
              <w:keepNext/>
              <w:widowControl/>
              <w:jc w:val="center"/>
              <w:rPr>
                <w:rFonts w:ascii="Arial Narrow" w:hAnsi="Arial Narrow"/>
                <w:i/>
                <w:sz w:val="20"/>
              </w:rPr>
            </w:pPr>
            <w:r>
              <w:rPr>
                <w:rFonts w:ascii="Arial Narrow" w:hAnsi="Arial Narrow"/>
                <w:i/>
                <w:sz w:val="20"/>
              </w:rPr>
              <w:t xml:space="preserve">0.03 </w:t>
            </w:r>
          </w:p>
          <w:p w:rsidR="007524CB" w:rsidRPr="00616C54" w:rsidRDefault="007524CB" w:rsidP="00F34ABE">
            <w:pPr>
              <w:keepNext/>
              <w:widowControl/>
              <w:jc w:val="center"/>
              <w:rPr>
                <w:rFonts w:ascii="Arial Narrow" w:hAnsi="Arial Narrow"/>
                <w:i/>
                <w:sz w:val="20"/>
              </w:rPr>
            </w:pPr>
            <w:r>
              <w:rPr>
                <w:rFonts w:ascii="Arial Narrow" w:hAnsi="Arial Narrow"/>
                <w:i/>
                <w:sz w:val="20"/>
              </w:rPr>
              <w:t>(</w:t>
            </w:r>
            <w:r w:rsidRPr="00E24052">
              <w:rPr>
                <w:rFonts w:ascii="Arial Narrow" w:hAnsi="Arial Narrow"/>
                <w:i/>
                <w:sz w:val="20"/>
              </w:rPr>
              <w:t>-0.08, 0.14</w:t>
            </w:r>
            <w:r>
              <w:rPr>
                <w:rFonts w:ascii="Arial Narrow" w:hAnsi="Arial Narrow"/>
                <w:i/>
                <w:sz w:val="20"/>
              </w:rPr>
              <w:t>)</w:t>
            </w:r>
          </w:p>
        </w:tc>
      </w:tr>
      <w:tr w:rsidR="002E7921" w:rsidRPr="00937EDE" w:rsidTr="006231E6">
        <w:trPr>
          <w:trHeight w:val="163"/>
        </w:trPr>
        <w:tc>
          <w:tcPr>
            <w:tcW w:w="931" w:type="pct"/>
            <w:tcBorders>
              <w:top w:val="single" w:sz="4" w:space="0" w:color="auto"/>
              <w:bottom w:val="single" w:sz="4" w:space="0" w:color="auto"/>
            </w:tcBorders>
            <w:shd w:val="clear" w:color="auto" w:fill="auto"/>
            <w:vAlign w:val="center"/>
          </w:tcPr>
          <w:p w:rsidR="007524CB" w:rsidRPr="00937EDE" w:rsidRDefault="007524CB" w:rsidP="00F34ABE">
            <w:pPr>
              <w:keepNext/>
              <w:widowControl/>
              <w:jc w:val="left"/>
              <w:rPr>
                <w:rFonts w:ascii="Arial Narrow" w:hAnsi="Arial Narrow"/>
                <w:sz w:val="20"/>
              </w:rPr>
            </w:pPr>
            <w:r w:rsidRPr="00937EDE">
              <w:rPr>
                <w:rFonts w:ascii="Arial Narrow" w:hAnsi="Arial Narrow"/>
                <w:sz w:val="20"/>
              </w:rPr>
              <w:t>F</w:t>
            </w:r>
            <w:r>
              <w:rPr>
                <w:rFonts w:ascii="Arial Narrow" w:hAnsi="Arial Narrow"/>
                <w:sz w:val="20"/>
              </w:rPr>
              <w:t xml:space="preserve">ull </w:t>
            </w:r>
            <w:r w:rsidRPr="00937EDE">
              <w:rPr>
                <w:rFonts w:ascii="Arial Narrow" w:hAnsi="Arial Narrow"/>
                <w:sz w:val="20"/>
              </w:rPr>
              <w:t>A</w:t>
            </w:r>
            <w:r>
              <w:rPr>
                <w:rFonts w:ascii="Arial Narrow" w:hAnsi="Arial Narrow"/>
                <w:sz w:val="20"/>
              </w:rPr>
              <w:t xml:space="preserve">nalysis </w:t>
            </w:r>
            <w:r w:rsidRPr="00937EDE">
              <w:rPr>
                <w:rFonts w:ascii="Arial Narrow" w:hAnsi="Arial Narrow"/>
                <w:sz w:val="20"/>
              </w:rPr>
              <w:t>S</w:t>
            </w:r>
            <w:r>
              <w:rPr>
                <w:rFonts w:ascii="Arial Narrow" w:hAnsi="Arial Narrow"/>
                <w:sz w:val="20"/>
              </w:rPr>
              <w:t xml:space="preserve">et – supportive </w:t>
            </w:r>
          </w:p>
        </w:tc>
        <w:tc>
          <w:tcPr>
            <w:tcW w:w="763" w:type="pct"/>
            <w:tcBorders>
              <w:bottom w:val="single" w:sz="4" w:space="0" w:color="auto"/>
            </w:tcBorders>
            <w:shd w:val="clear" w:color="auto" w:fill="auto"/>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101/152</w:t>
            </w:r>
            <w:r>
              <w:rPr>
                <w:rFonts w:ascii="Arial Narrow" w:hAnsi="Arial Narrow"/>
                <w:sz w:val="20"/>
              </w:rPr>
              <w:t xml:space="preserve"> </w:t>
            </w:r>
            <w:r w:rsidRPr="00937EDE">
              <w:rPr>
                <w:rFonts w:ascii="Arial Narrow" w:hAnsi="Arial Narrow"/>
                <w:sz w:val="20"/>
              </w:rPr>
              <w:t>(66.4)</w:t>
            </w:r>
          </w:p>
        </w:tc>
        <w:tc>
          <w:tcPr>
            <w:tcW w:w="763" w:type="pct"/>
            <w:tcBorders>
              <w:bottom w:val="single" w:sz="4" w:space="0" w:color="auto"/>
            </w:tcBorders>
            <w:shd w:val="clear" w:color="auto" w:fill="auto"/>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91/148 (61.5)</w:t>
            </w:r>
          </w:p>
        </w:tc>
        <w:tc>
          <w:tcPr>
            <w:tcW w:w="591" w:type="pct"/>
            <w:tcBorders>
              <w:bottom w:val="single" w:sz="4" w:space="0" w:color="auto"/>
            </w:tcBorders>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-7.03</w:t>
            </w:r>
            <w:r w:rsidR="009D4E2C">
              <w:rPr>
                <w:rFonts w:ascii="Arial Narrow" w:hAnsi="Arial Narrow"/>
                <w:sz w:val="20"/>
              </w:rPr>
              <w:t>%</w:t>
            </w:r>
          </w:p>
        </w:tc>
        <w:tc>
          <w:tcPr>
            <w:tcW w:w="517" w:type="pct"/>
            <w:tcBorders>
              <w:bottom w:val="single" w:sz="4" w:space="0" w:color="auto"/>
              <w:right w:val="double" w:sz="4" w:space="0" w:color="auto"/>
            </w:tcBorders>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0.00229</w:t>
            </w:r>
          </w:p>
        </w:tc>
        <w:tc>
          <w:tcPr>
            <w:tcW w:w="720" w:type="pct"/>
            <w:tcBorders>
              <w:left w:val="double" w:sz="4" w:space="0" w:color="auto"/>
              <w:bottom w:val="single" w:sz="4" w:space="0" w:color="auto"/>
            </w:tcBorders>
            <w:vAlign w:val="center"/>
          </w:tcPr>
          <w:p w:rsidR="007524CB" w:rsidRDefault="007524CB" w:rsidP="00F34ABE">
            <w:pPr>
              <w:keepNext/>
              <w:widowControl/>
              <w:jc w:val="center"/>
              <w:rPr>
                <w:rFonts w:ascii="Arial Narrow" w:hAnsi="Arial Narrow"/>
                <w:i/>
                <w:sz w:val="20"/>
              </w:rPr>
            </w:pPr>
            <w:r w:rsidRPr="00267DFB">
              <w:rPr>
                <w:rFonts w:ascii="Arial Narrow" w:hAnsi="Arial Narrow"/>
                <w:i/>
                <w:sz w:val="20"/>
              </w:rPr>
              <w:t xml:space="preserve">1.08 </w:t>
            </w:r>
          </w:p>
          <w:p w:rsidR="007524CB" w:rsidRPr="00616C54" w:rsidRDefault="007524CB" w:rsidP="00F34ABE">
            <w:pPr>
              <w:keepNext/>
              <w:widowControl/>
              <w:jc w:val="center"/>
              <w:rPr>
                <w:rFonts w:ascii="Arial Narrow" w:hAnsi="Arial Narrow"/>
                <w:i/>
                <w:sz w:val="20"/>
              </w:rPr>
            </w:pPr>
            <w:r>
              <w:rPr>
                <w:rFonts w:ascii="Arial Narrow" w:hAnsi="Arial Narrow"/>
                <w:i/>
                <w:sz w:val="20"/>
              </w:rPr>
              <w:t>(</w:t>
            </w:r>
            <w:r w:rsidRPr="00267DFB">
              <w:rPr>
                <w:rFonts w:ascii="Arial Narrow" w:hAnsi="Arial Narrow"/>
                <w:i/>
                <w:sz w:val="20"/>
              </w:rPr>
              <w:t>0.91, 1.28</w:t>
            </w:r>
            <w:r>
              <w:rPr>
                <w:rFonts w:ascii="Arial Narrow" w:hAnsi="Arial Narrow"/>
                <w:i/>
                <w:sz w:val="20"/>
              </w:rPr>
              <w:t>)</w:t>
            </w:r>
          </w:p>
        </w:tc>
        <w:tc>
          <w:tcPr>
            <w:tcW w:w="715" w:type="pct"/>
            <w:tcBorders>
              <w:bottom w:val="single" w:sz="4" w:space="0" w:color="auto"/>
            </w:tcBorders>
            <w:vAlign w:val="center"/>
          </w:tcPr>
          <w:p w:rsidR="007524CB" w:rsidRDefault="007524CB" w:rsidP="00F34ABE">
            <w:pPr>
              <w:keepNext/>
              <w:widowControl/>
              <w:jc w:val="center"/>
              <w:rPr>
                <w:rFonts w:ascii="Arial Narrow" w:hAnsi="Arial Narrow"/>
                <w:i/>
                <w:sz w:val="20"/>
              </w:rPr>
            </w:pPr>
            <w:r w:rsidRPr="007872B4">
              <w:rPr>
                <w:rFonts w:ascii="Arial Narrow" w:hAnsi="Arial Narrow"/>
                <w:i/>
                <w:sz w:val="20"/>
              </w:rPr>
              <w:t xml:space="preserve">0.05 </w:t>
            </w:r>
          </w:p>
          <w:p w:rsidR="007524CB" w:rsidRPr="00616C54" w:rsidRDefault="007524CB" w:rsidP="00F34ABE">
            <w:pPr>
              <w:keepNext/>
              <w:widowControl/>
              <w:jc w:val="center"/>
              <w:rPr>
                <w:rFonts w:ascii="Arial Narrow" w:hAnsi="Arial Narrow"/>
                <w:i/>
                <w:sz w:val="20"/>
              </w:rPr>
            </w:pPr>
            <w:r>
              <w:rPr>
                <w:rFonts w:ascii="Arial Narrow" w:hAnsi="Arial Narrow"/>
                <w:i/>
                <w:sz w:val="20"/>
              </w:rPr>
              <w:t>(</w:t>
            </w:r>
            <w:r w:rsidRPr="007872B4">
              <w:rPr>
                <w:rFonts w:ascii="Arial Narrow" w:hAnsi="Arial Narrow"/>
                <w:i/>
                <w:sz w:val="20"/>
              </w:rPr>
              <w:t>-0.06, 0.16</w:t>
            </w:r>
            <w:r>
              <w:rPr>
                <w:rFonts w:ascii="Arial Narrow" w:hAnsi="Arial Narrow"/>
                <w:i/>
                <w:sz w:val="20"/>
              </w:rPr>
              <w:t>)</w:t>
            </w:r>
          </w:p>
        </w:tc>
      </w:tr>
      <w:tr w:rsidR="007524CB" w:rsidRPr="00937EDE" w:rsidTr="00AA2F7A">
        <w:trPr>
          <w:trHeight w:val="20"/>
        </w:trPr>
        <w:tc>
          <w:tcPr>
            <w:tcW w:w="5000" w:type="pct"/>
            <w:gridSpan w:val="7"/>
            <w:tcBorders>
              <w:top w:val="single" w:sz="4" w:space="0" w:color="auto"/>
            </w:tcBorders>
            <w:shd w:val="clear" w:color="auto" w:fill="auto"/>
          </w:tcPr>
          <w:p w:rsidR="007524CB" w:rsidRPr="00937EDE" w:rsidRDefault="007524CB" w:rsidP="00F34ABE">
            <w:pPr>
              <w:keepNext/>
              <w:widowControl/>
              <w:jc w:val="left"/>
              <w:rPr>
                <w:rFonts w:ascii="Arial Narrow" w:hAnsi="Arial Narrow"/>
                <w:sz w:val="20"/>
              </w:rPr>
            </w:pPr>
            <w:r w:rsidRPr="00EB2F52">
              <w:rPr>
                <w:rFonts w:ascii="Arial Narrow" w:hAnsi="Arial Narrow"/>
                <w:b/>
                <w:sz w:val="20"/>
              </w:rPr>
              <w:t>PHN subgroup</w:t>
            </w:r>
          </w:p>
        </w:tc>
      </w:tr>
      <w:tr w:rsidR="002E7921" w:rsidRPr="00937EDE" w:rsidTr="006231E6">
        <w:trPr>
          <w:trHeight w:val="20"/>
        </w:trPr>
        <w:tc>
          <w:tcPr>
            <w:tcW w:w="931" w:type="pct"/>
            <w:tcBorders>
              <w:top w:val="single" w:sz="4" w:space="0" w:color="auto"/>
              <w:bottom w:val="single" w:sz="4" w:space="0" w:color="auto"/>
            </w:tcBorders>
            <w:shd w:val="clear" w:color="auto" w:fill="auto"/>
            <w:vAlign w:val="center"/>
          </w:tcPr>
          <w:p w:rsidR="007524CB" w:rsidRPr="00937EDE" w:rsidRDefault="007524CB" w:rsidP="00F34ABE">
            <w:pPr>
              <w:keepNext/>
              <w:widowControl/>
              <w:jc w:val="left"/>
              <w:rPr>
                <w:rFonts w:ascii="Arial Narrow" w:hAnsi="Arial Narrow"/>
                <w:sz w:val="20"/>
              </w:rPr>
            </w:pPr>
            <w:r>
              <w:rPr>
                <w:rFonts w:ascii="Arial Narrow" w:hAnsi="Arial Narrow"/>
                <w:sz w:val="20"/>
              </w:rPr>
              <w:t>Per protocol</w:t>
            </w:r>
          </w:p>
        </w:tc>
        <w:tc>
          <w:tcPr>
            <w:tcW w:w="763" w:type="pct"/>
            <w:shd w:val="clear" w:color="auto" w:fill="auto"/>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28/45 (62.2)</w:t>
            </w:r>
          </w:p>
        </w:tc>
        <w:tc>
          <w:tcPr>
            <w:tcW w:w="763" w:type="pct"/>
            <w:shd w:val="clear" w:color="auto" w:fill="auto"/>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20/43 (46.5)</w:t>
            </w:r>
          </w:p>
        </w:tc>
        <w:tc>
          <w:tcPr>
            <w:tcW w:w="591" w:type="pct"/>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w:t>
            </w:r>
          </w:p>
        </w:tc>
        <w:tc>
          <w:tcPr>
            <w:tcW w:w="517" w:type="pct"/>
            <w:tcBorders>
              <w:right w:val="double" w:sz="4" w:space="0" w:color="auto"/>
            </w:tcBorders>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w:t>
            </w:r>
          </w:p>
        </w:tc>
        <w:tc>
          <w:tcPr>
            <w:tcW w:w="720" w:type="pct"/>
            <w:tcBorders>
              <w:left w:val="double" w:sz="4" w:space="0" w:color="auto"/>
            </w:tcBorders>
            <w:vAlign w:val="center"/>
          </w:tcPr>
          <w:p w:rsidR="007524CB" w:rsidRDefault="007524CB" w:rsidP="00F34ABE">
            <w:pPr>
              <w:keepNext/>
              <w:widowControl/>
              <w:jc w:val="center"/>
              <w:rPr>
                <w:rFonts w:ascii="Arial Narrow" w:hAnsi="Arial Narrow"/>
                <w:sz w:val="20"/>
              </w:rPr>
            </w:pPr>
            <w:r>
              <w:rPr>
                <w:rFonts w:ascii="Arial Narrow" w:hAnsi="Arial Narrow"/>
                <w:sz w:val="20"/>
              </w:rPr>
              <w:t>1.34</w:t>
            </w:r>
          </w:p>
          <w:p w:rsidR="007524CB" w:rsidRPr="00937EDE" w:rsidRDefault="007524CB" w:rsidP="00F34ABE">
            <w:pPr>
              <w:keepNext/>
              <w:widowControl/>
              <w:jc w:val="center"/>
              <w:rPr>
                <w:rFonts w:ascii="Arial Narrow" w:hAnsi="Arial Narrow"/>
                <w:sz w:val="20"/>
              </w:rPr>
            </w:pPr>
            <w:r>
              <w:rPr>
                <w:rFonts w:ascii="Arial Narrow" w:hAnsi="Arial Narrow"/>
                <w:sz w:val="20"/>
              </w:rPr>
              <w:t>(0.90, 1.98)</w:t>
            </w:r>
          </w:p>
        </w:tc>
        <w:tc>
          <w:tcPr>
            <w:tcW w:w="715" w:type="pct"/>
            <w:vAlign w:val="center"/>
          </w:tcPr>
          <w:p w:rsidR="007524CB" w:rsidRDefault="007524CB" w:rsidP="00F34ABE">
            <w:pPr>
              <w:keepNext/>
              <w:widowControl/>
              <w:jc w:val="center"/>
              <w:rPr>
                <w:rFonts w:ascii="Arial Narrow" w:hAnsi="Arial Narrow"/>
                <w:sz w:val="20"/>
              </w:rPr>
            </w:pPr>
            <w:r>
              <w:rPr>
                <w:rFonts w:ascii="Arial Narrow" w:hAnsi="Arial Narrow"/>
                <w:sz w:val="20"/>
              </w:rPr>
              <w:t>0.16</w:t>
            </w:r>
          </w:p>
          <w:p w:rsidR="007524CB" w:rsidRPr="00937EDE" w:rsidRDefault="007524CB" w:rsidP="00F34ABE">
            <w:pPr>
              <w:keepNext/>
              <w:widowControl/>
              <w:jc w:val="center"/>
              <w:rPr>
                <w:rFonts w:ascii="Arial Narrow" w:hAnsi="Arial Narrow"/>
                <w:sz w:val="20"/>
              </w:rPr>
            </w:pPr>
            <w:r>
              <w:rPr>
                <w:rFonts w:ascii="Arial Narrow" w:hAnsi="Arial Narrow"/>
                <w:sz w:val="20"/>
              </w:rPr>
              <w:t>(-0.05, 0.36)</w:t>
            </w:r>
          </w:p>
        </w:tc>
      </w:tr>
      <w:tr w:rsidR="002E7921" w:rsidRPr="00937EDE" w:rsidTr="006231E6">
        <w:trPr>
          <w:trHeight w:val="20"/>
        </w:trPr>
        <w:tc>
          <w:tcPr>
            <w:tcW w:w="931" w:type="pct"/>
            <w:tcBorders>
              <w:top w:val="single" w:sz="4" w:space="0" w:color="auto"/>
              <w:bottom w:val="single" w:sz="4" w:space="0" w:color="auto"/>
            </w:tcBorders>
            <w:shd w:val="clear" w:color="auto" w:fill="auto"/>
            <w:vAlign w:val="center"/>
          </w:tcPr>
          <w:p w:rsidR="007524CB" w:rsidRPr="00937EDE" w:rsidRDefault="007524CB" w:rsidP="00F34ABE">
            <w:pPr>
              <w:keepNext/>
              <w:widowControl/>
              <w:jc w:val="left"/>
              <w:rPr>
                <w:rFonts w:ascii="Arial Narrow" w:hAnsi="Arial Narrow"/>
                <w:sz w:val="20"/>
              </w:rPr>
            </w:pPr>
            <w:r w:rsidRPr="00937EDE">
              <w:rPr>
                <w:rFonts w:ascii="Arial Narrow" w:hAnsi="Arial Narrow"/>
                <w:sz w:val="20"/>
              </w:rPr>
              <w:t>F</w:t>
            </w:r>
            <w:r>
              <w:rPr>
                <w:rFonts w:ascii="Arial Narrow" w:hAnsi="Arial Narrow"/>
                <w:sz w:val="20"/>
              </w:rPr>
              <w:t xml:space="preserve">ull </w:t>
            </w:r>
            <w:r w:rsidRPr="00937EDE">
              <w:rPr>
                <w:rFonts w:ascii="Arial Narrow" w:hAnsi="Arial Narrow"/>
                <w:sz w:val="20"/>
              </w:rPr>
              <w:t>A</w:t>
            </w:r>
            <w:r>
              <w:rPr>
                <w:rFonts w:ascii="Arial Narrow" w:hAnsi="Arial Narrow"/>
                <w:sz w:val="20"/>
              </w:rPr>
              <w:t xml:space="preserve">nalysis </w:t>
            </w:r>
            <w:r w:rsidRPr="00937EDE">
              <w:rPr>
                <w:rFonts w:ascii="Arial Narrow" w:hAnsi="Arial Narrow"/>
                <w:sz w:val="20"/>
              </w:rPr>
              <w:t>S</w:t>
            </w:r>
            <w:r>
              <w:rPr>
                <w:rFonts w:ascii="Arial Narrow" w:hAnsi="Arial Narrow"/>
                <w:sz w:val="20"/>
              </w:rPr>
              <w:t>et</w:t>
            </w:r>
          </w:p>
        </w:tc>
        <w:tc>
          <w:tcPr>
            <w:tcW w:w="763" w:type="pct"/>
            <w:shd w:val="clear" w:color="auto" w:fill="auto"/>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31/49 (63.3)</w:t>
            </w:r>
          </w:p>
        </w:tc>
        <w:tc>
          <w:tcPr>
            <w:tcW w:w="763" w:type="pct"/>
            <w:shd w:val="clear" w:color="auto" w:fill="auto"/>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22/47 (46.8)</w:t>
            </w:r>
          </w:p>
        </w:tc>
        <w:tc>
          <w:tcPr>
            <w:tcW w:w="591" w:type="pct"/>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w:t>
            </w:r>
          </w:p>
        </w:tc>
        <w:tc>
          <w:tcPr>
            <w:tcW w:w="517" w:type="pct"/>
            <w:tcBorders>
              <w:right w:val="double" w:sz="4" w:space="0" w:color="auto"/>
            </w:tcBorders>
            <w:vAlign w:val="center"/>
          </w:tcPr>
          <w:p w:rsidR="007524CB" w:rsidRPr="00937EDE" w:rsidRDefault="007524CB" w:rsidP="00F34ABE">
            <w:pPr>
              <w:keepNext/>
              <w:widowControl/>
              <w:jc w:val="center"/>
              <w:rPr>
                <w:rFonts w:ascii="Arial Narrow" w:hAnsi="Arial Narrow"/>
                <w:sz w:val="20"/>
              </w:rPr>
            </w:pPr>
            <w:r w:rsidRPr="00937EDE">
              <w:rPr>
                <w:rFonts w:ascii="Arial Narrow" w:hAnsi="Arial Narrow"/>
                <w:sz w:val="20"/>
              </w:rPr>
              <w:t>–</w:t>
            </w:r>
          </w:p>
        </w:tc>
        <w:tc>
          <w:tcPr>
            <w:tcW w:w="720" w:type="pct"/>
            <w:tcBorders>
              <w:left w:val="double" w:sz="4" w:space="0" w:color="auto"/>
            </w:tcBorders>
            <w:vAlign w:val="center"/>
          </w:tcPr>
          <w:p w:rsidR="007524CB" w:rsidRDefault="007524CB" w:rsidP="00F34ABE">
            <w:pPr>
              <w:keepNext/>
              <w:widowControl/>
              <w:jc w:val="center"/>
              <w:rPr>
                <w:rFonts w:ascii="Arial Narrow" w:hAnsi="Arial Narrow"/>
                <w:sz w:val="20"/>
              </w:rPr>
            </w:pPr>
            <w:r>
              <w:rPr>
                <w:rFonts w:ascii="Arial Narrow" w:hAnsi="Arial Narrow"/>
                <w:sz w:val="20"/>
              </w:rPr>
              <w:t>1.35</w:t>
            </w:r>
          </w:p>
          <w:p w:rsidR="007524CB" w:rsidRPr="00937EDE" w:rsidRDefault="007524CB" w:rsidP="00F34ABE">
            <w:pPr>
              <w:keepNext/>
              <w:widowControl/>
              <w:jc w:val="center"/>
              <w:rPr>
                <w:rFonts w:ascii="Arial Narrow" w:hAnsi="Arial Narrow"/>
                <w:sz w:val="20"/>
              </w:rPr>
            </w:pPr>
            <w:r>
              <w:rPr>
                <w:rFonts w:ascii="Arial Narrow" w:hAnsi="Arial Narrow"/>
                <w:sz w:val="20"/>
              </w:rPr>
              <w:t>(0.93, 1.96)</w:t>
            </w:r>
          </w:p>
        </w:tc>
        <w:tc>
          <w:tcPr>
            <w:tcW w:w="715" w:type="pct"/>
            <w:vAlign w:val="center"/>
          </w:tcPr>
          <w:p w:rsidR="007524CB" w:rsidRDefault="007524CB" w:rsidP="00F34ABE">
            <w:pPr>
              <w:keepNext/>
              <w:widowControl/>
              <w:jc w:val="center"/>
              <w:rPr>
                <w:rFonts w:ascii="Arial Narrow" w:hAnsi="Arial Narrow"/>
                <w:sz w:val="20"/>
              </w:rPr>
            </w:pPr>
            <w:r>
              <w:rPr>
                <w:rFonts w:ascii="Arial Narrow" w:hAnsi="Arial Narrow"/>
                <w:sz w:val="20"/>
              </w:rPr>
              <w:t>0.16</w:t>
            </w:r>
          </w:p>
          <w:p w:rsidR="007524CB" w:rsidRPr="00937EDE" w:rsidRDefault="007524CB" w:rsidP="00F34ABE">
            <w:pPr>
              <w:keepNext/>
              <w:widowControl/>
              <w:jc w:val="center"/>
              <w:rPr>
                <w:rFonts w:ascii="Arial Narrow" w:hAnsi="Arial Narrow"/>
                <w:sz w:val="20"/>
              </w:rPr>
            </w:pPr>
            <w:r>
              <w:rPr>
                <w:rFonts w:ascii="Arial Narrow" w:hAnsi="Arial Narrow"/>
                <w:sz w:val="20"/>
              </w:rPr>
              <w:t>(-0.03, 0.36)</w:t>
            </w:r>
          </w:p>
        </w:tc>
      </w:tr>
    </w:tbl>
    <w:p w:rsidR="006231E6" w:rsidRDefault="006231E6" w:rsidP="00F34ABE">
      <w:pPr>
        <w:keepNext/>
        <w:widowControl/>
        <w:ind w:left="720"/>
        <w:rPr>
          <w:rFonts w:ascii="Arial Narrow" w:hAnsi="Arial Narrow"/>
          <w:sz w:val="18"/>
        </w:rPr>
      </w:pPr>
      <w:r w:rsidRPr="006231E6">
        <w:rPr>
          <w:rFonts w:ascii="Arial Narrow" w:hAnsi="Arial Narrow"/>
          <w:sz w:val="18"/>
        </w:rPr>
        <w:t>Source: Adapted from Tables B.6.1 (p99) and B.6.2 (p99) of the submission</w:t>
      </w:r>
    </w:p>
    <w:p w:rsidR="007524CB" w:rsidRDefault="007524CB" w:rsidP="00F34ABE">
      <w:pPr>
        <w:keepNext/>
        <w:widowControl/>
        <w:ind w:left="720"/>
        <w:rPr>
          <w:rFonts w:ascii="Arial Narrow" w:hAnsi="Arial Narrow"/>
          <w:sz w:val="18"/>
        </w:rPr>
      </w:pPr>
      <w:r>
        <w:rPr>
          <w:rFonts w:ascii="Arial Narrow" w:hAnsi="Arial Narrow"/>
          <w:sz w:val="18"/>
        </w:rPr>
        <w:t>Abbreviations: CI, confidence interval; DPN, d</w:t>
      </w:r>
      <w:r w:rsidRPr="00A124B1">
        <w:rPr>
          <w:rFonts w:ascii="Arial Narrow" w:hAnsi="Arial Narrow"/>
          <w:sz w:val="18"/>
        </w:rPr>
        <w:t>iabetic polyneuropathy</w:t>
      </w:r>
      <w:r>
        <w:rPr>
          <w:rFonts w:ascii="Arial Narrow" w:hAnsi="Arial Narrow"/>
          <w:sz w:val="18"/>
        </w:rPr>
        <w:t xml:space="preserve">; </w:t>
      </w:r>
      <w:r w:rsidR="001C4347">
        <w:rPr>
          <w:rFonts w:ascii="Arial Narrow" w:hAnsi="Arial Narrow"/>
          <w:sz w:val="18"/>
        </w:rPr>
        <w:t xml:space="preserve">NI, non-inferiority </w:t>
      </w:r>
      <w:r>
        <w:rPr>
          <w:rFonts w:ascii="Arial Narrow" w:hAnsi="Arial Narrow"/>
          <w:sz w:val="18"/>
        </w:rPr>
        <w:t>NRS-3, recall of pain over the preceding 3 days on the 11-point numerical rating scale; PHN, post-herpetic neuralgia</w:t>
      </w:r>
      <w:r w:rsidR="00D34A47">
        <w:rPr>
          <w:rFonts w:ascii="Arial Narrow" w:hAnsi="Arial Narrow"/>
          <w:sz w:val="18"/>
        </w:rPr>
        <w:t>; RD, risk difference; RR, relative risk</w:t>
      </w:r>
    </w:p>
    <w:p w:rsidR="007524CB" w:rsidRDefault="007524CB" w:rsidP="00F34ABE">
      <w:pPr>
        <w:keepNext/>
        <w:widowControl/>
        <w:ind w:left="720"/>
        <w:rPr>
          <w:rFonts w:ascii="Arial Narrow" w:hAnsi="Arial Narrow"/>
          <w:sz w:val="18"/>
        </w:rPr>
      </w:pPr>
      <w:r>
        <w:rPr>
          <w:rFonts w:ascii="Arial Narrow" w:hAnsi="Arial Narrow"/>
          <w:sz w:val="18"/>
          <w:vertAlign w:val="superscript"/>
        </w:rPr>
        <w:t xml:space="preserve">a </w:t>
      </w:r>
      <w:r>
        <w:rPr>
          <w:rFonts w:ascii="Arial Narrow" w:hAnsi="Arial Narrow"/>
          <w:sz w:val="18"/>
        </w:rPr>
        <w:t>p-value and confidence interval limit from a non-inferiority test of lignocaine patch versus pregabalin, with the non-inferiority margin set at 8%. The overall (combined) p-value was calcul</w:t>
      </w:r>
      <w:r w:rsidR="00642A25">
        <w:rPr>
          <w:rFonts w:ascii="Arial Narrow" w:hAnsi="Arial Narrow"/>
          <w:sz w:val="18"/>
        </w:rPr>
        <w:t>ated as the product of the two p-</w:t>
      </w:r>
      <w:r>
        <w:rPr>
          <w:rFonts w:ascii="Arial Narrow" w:hAnsi="Arial Narrow"/>
          <w:sz w:val="18"/>
        </w:rPr>
        <w:t>values from the first and second stages of the trial, and has significance value of 0.0038.</w:t>
      </w:r>
    </w:p>
    <w:p w:rsidR="007524CB" w:rsidRPr="00616C54" w:rsidRDefault="007524CB" w:rsidP="00F34ABE">
      <w:pPr>
        <w:widowControl/>
        <w:ind w:left="720"/>
        <w:rPr>
          <w:rFonts w:ascii="Arial Narrow" w:hAnsi="Arial Narrow"/>
          <w:i/>
          <w:sz w:val="18"/>
        </w:rPr>
      </w:pPr>
      <w:r>
        <w:rPr>
          <w:rFonts w:ascii="Arial Narrow" w:hAnsi="Arial Narrow"/>
          <w:sz w:val="18"/>
          <w:vertAlign w:val="superscript"/>
        </w:rPr>
        <w:t>b</w:t>
      </w:r>
      <w:r>
        <w:rPr>
          <w:rFonts w:ascii="Arial Narrow" w:hAnsi="Arial Narrow"/>
          <w:sz w:val="18"/>
        </w:rPr>
        <w:t xml:space="preserve"> Calculated by the submission using RevMan. </w:t>
      </w:r>
      <w:r w:rsidRPr="00980C60">
        <w:rPr>
          <w:rFonts w:ascii="Arial Narrow" w:hAnsi="Arial Narrow"/>
          <w:sz w:val="18"/>
        </w:rPr>
        <w:t>The same approach was used during the evaluation to populate the table.</w:t>
      </w:r>
    </w:p>
    <w:p w:rsidR="007524CB" w:rsidRDefault="007524CB" w:rsidP="00F34ABE">
      <w:pPr>
        <w:pStyle w:val="ListParagraph"/>
        <w:widowControl/>
        <w:rPr>
          <w:szCs w:val="22"/>
        </w:rPr>
      </w:pPr>
    </w:p>
    <w:p w:rsidR="00A37472" w:rsidRPr="00A37472" w:rsidRDefault="002A6071" w:rsidP="00F34ABE">
      <w:pPr>
        <w:pStyle w:val="ListParagraph"/>
        <w:widowControl/>
        <w:numPr>
          <w:ilvl w:val="1"/>
          <w:numId w:val="7"/>
        </w:numPr>
        <w:rPr>
          <w:szCs w:val="22"/>
        </w:rPr>
      </w:pPr>
      <w:r>
        <w:rPr>
          <w:szCs w:val="22"/>
        </w:rPr>
        <w:t xml:space="preserve">Non-inferiority between </w:t>
      </w:r>
      <w:r w:rsidR="001E012A">
        <w:rPr>
          <w:szCs w:val="22"/>
        </w:rPr>
        <w:t xml:space="preserve">lignocaine patch and pregabalin </w:t>
      </w:r>
      <w:r w:rsidR="0046655B">
        <w:rPr>
          <w:szCs w:val="22"/>
        </w:rPr>
        <w:t xml:space="preserve">was not </w:t>
      </w:r>
      <w:r w:rsidR="002E69A2">
        <w:rPr>
          <w:szCs w:val="22"/>
        </w:rPr>
        <w:t>demonstrated</w:t>
      </w:r>
      <w:r w:rsidR="001E012A">
        <w:rPr>
          <w:szCs w:val="22"/>
        </w:rPr>
        <w:t xml:space="preserve"> </w:t>
      </w:r>
      <w:r w:rsidR="00810903">
        <w:rPr>
          <w:szCs w:val="22"/>
        </w:rPr>
        <w:t xml:space="preserve">as </w:t>
      </w:r>
      <w:r w:rsidR="00810903" w:rsidRPr="00C70403">
        <w:rPr>
          <w:szCs w:val="22"/>
        </w:rPr>
        <w:t>the lower limit of the confidence interval</w:t>
      </w:r>
      <w:r w:rsidR="00AF3116">
        <w:rPr>
          <w:szCs w:val="22"/>
        </w:rPr>
        <w:t xml:space="preserve"> (CI)</w:t>
      </w:r>
      <w:r w:rsidR="00810903" w:rsidRPr="00C70403">
        <w:rPr>
          <w:szCs w:val="22"/>
        </w:rPr>
        <w:t xml:space="preserve"> (-9.15%) </w:t>
      </w:r>
      <w:r w:rsidR="00AF3116">
        <w:rPr>
          <w:szCs w:val="22"/>
        </w:rPr>
        <w:t>did not meet the pre</w:t>
      </w:r>
      <w:r w:rsidR="006670FD">
        <w:rPr>
          <w:szCs w:val="22"/>
        </w:rPr>
        <w:t>-</w:t>
      </w:r>
      <w:r w:rsidR="00AF3116">
        <w:rPr>
          <w:szCs w:val="22"/>
        </w:rPr>
        <w:t>defined non</w:t>
      </w:r>
      <w:r w:rsidR="00AF3116">
        <w:rPr>
          <w:szCs w:val="22"/>
        </w:rPr>
        <w:noBreakHyphen/>
      </w:r>
      <w:r w:rsidR="00810903" w:rsidRPr="00C70403">
        <w:rPr>
          <w:szCs w:val="22"/>
        </w:rPr>
        <w:t>inferiority margin (-8%) and the combined p-value was more than the pre-defined critical value of 0.0038 (0.00656)</w:t>
      </w:r>
      <w:r w:rsidR="00810903">
        <w:rPr>
          <w:szCs w:val="22"/>
        </w:rPr>
        <w:t>, based</w:t>
      </w:r>
      <w:r w:rsidR="00C70403" w:rsidRPr="00C70403">
        <w:rPr>
          <w:szCs w:val="22"/>
        </w:rPr>
        <w:t xml:space="preserve"> on the main analysis in the per protocol population </w:t>
      </w:r>
      <w:r w:rsidR="00624E82">
        <w:rPr>
          <w:szCs w:val="22"/>
        </w:rPr>
        <w:t xml:space="preserve">of the pivotal </w:t>
      </w:r>
      <w:r w:rsidR="00B838D4">
        <w:rPr>
          <w:szCs w:val="22"/>
        </w:rPr>
        <w:t>T</w:t>
      </w:r>
      <w:r w:rsidR="00624E82">
        <w:rPr>
          <w:szCs w:val="22"/>
        </w:rPr>
        <w:t>rial</w:t>
      </w:r>
      <w:r w:rsidR="00B838D4">
        <w:rPr>
          <w:szCs w:val="22"/>
        </w:rPr>
        <w:t xml:space="preserve"> KF10004/03</w:t>
      </w:r>
      <w:r w:rsidR="00624E82">
        <w:rPr>
          <w:szCs w:val="22"/>
        </w:rPr>
        <w:t xml:space="preserve"> </w:t>
      </w:r>
      <w:r w:rsidR="00C70403" w:rsidRPr="00C70403">
        <w:rPr>
          <w:szCs w:val="22"/>
        </w:rPr>
        <w:t>(i</w:t>
      </w:r>
      <w:r w:rsidR="00810903">
        <w:rPr>
          <w:szCs w:val="22"/>
        </w:rPr>
        <w:t>ncluding DPN and PHN patients).</w:t>
      </w:r>
    </w:p>
    <w:p w:rsidR="009F363B" w:rsidRPr="00A37472" w:rsidRDefault="009F363B" w:rsidP="00F34ABE">
      <w:pPr>
        <w:pStyle w:val="ListParagraph"/>
        <w:widowControl/>
        <w:rPr>
          <w:szCs w:val="22"/>
        </w:rPr>
      </w:pPr>
    </w:p>
    <w:p w:rsidR="009F363B" w:rsidRDefault="009F363B" w:rsidP="00F34ABE">
      <w:pPr>
        <w:pStyle w:val="ListParagraph"/>
        <w:widowControl/>
        <w:numPr>
          <w:ilvl w:val="1"/>
          <w:numId w:val="7"/>
        </w:numPr>
        <w:rPr>
          <w:szCs w:val="22"/>
        </w:rPr>
      </w:pPr>
      <w:r>
        <w:rPr>
          <w:szCs w:val="22"/>
        </w:rPr>
        <w:t>However, t</w:t>
      </w:r>
      <w:r w:rsidRPr="009F363B">
        <w:rPr>
          <w:szCs w:val="22"/>
        </w:rPr>
        <w:t xml:space="preserve">he lower limit of the </w:t>
      </w:r>
      <w:r w:rsidR="00AF3116">
        <w:rPr>
          <w:szCs w:val="22"/>
        </w:rPr>
        <w:t>CI</w:t>
      </w:r>
      <w:r w:rsidRPr="009F363B">
        <w:rPr>
          <w:szCs w:val="22"/>
        </w:rPr>
        <w:t xml:space="preserve"> of the supportive analysis in the full analysis set was -7.03%, which met the predefined non-inferiority margin of -8%.</w:t>
      </w:r>
    </w:p>
    <w:p w:rsidR="00C70403" w:rsidRDefault="00C70403" w:rsidP="00F34ABE">
      <w:pPr>
        <w:pStyle w:val="ListParagraph"/>
        <w:widowControl/>
        <w:rPr>
          <w:szCs w:val="22"/>
        </w:rPr>
      </w:pPr>
    </w:p>
    <w:p w:rsidR="007524CB" w:rsidRDefault="00C70403" w:rsidP="00F34ABE">
      <w:pPr>
        <w:pStyle w:val="ListParagraph"/>
        <w:widowControl/>
        <w:numPr>
          <w:ilvl w:val="1"/>
          <w:numId w:val="7"/>
        </w:numPr>
        <w:rPr>
          <w:szCs w:val="22"/>
        </w:rPr>
      </w:pPr>
      <w:r w:rsidRPr="00980C60">
        <w:rPr>
          <w:szCs w:val="22"/>
        </w:rPr>
        <w:t xml:space="preserve">The submission argued that the trial was </w:t>
      </w:r>
      <w:r w:rsidR="00AF3116" w:rsidRPr="00980C60">
        <w:rPr>
          <w:szCs w:val="22"/>
        </w:rPr>
        <w:t>underpowered to demonstrate non</w:t>
      </w:r>
      <w:r w:rsidR="00AF3116" w:rsidRPr="00980C60">
        <w:rPr>
          <w:szCs w:val="22"/>
        </w:rPr>
        <w:noBreakHyphen/>
      </w:r>
      <w:r w:rsidRPr="00980C60">
        <w:rPr>
          <w:szCs w:val="22"/>
        </w:rPr>
        <w:t>inferiority, given that the pre-planned interim analysis estimated a sample size of 1,212 was required and the trial was stopped due to lack of feasibility.</w:t>
      </w:r>
    </w:p>
    <w:p w:rsidR="00A37472" w:rsidRPr="00A37472" w:rsidRDefault="00A37472" w:rsidP="00F34ABE">
      <w:pPr>
        <w:pStyle w:val="ListParagraph"/>
        <w:widowControl/>
        <w:rPr>
          <w:szCs w:val="22"/>
        </w:rPr>
      </w:pPr>
    </w:p>
    <w:p w:rsidR="00114505" w:rsidRPr="00811867" w:rsidRDefault="00A37472" w:rsidP="00F34ABE">
      <w:pPr>
        <w:pStyle w:val="ListParagraph"/>
        <w:widowControl/>
        <w:numPr>
          <w:ilvl w:val="1"/>
          <w:numId w:val="7"/>
        </w:numPr>
        <w:rPr>
          <w:szCs w:val="22"/>
        </w:rPr>
      </w:pPr>
      <w:r w:rsidRPr="00811867">
        <w:rPr>
          <w:szCs w:val="22"/>
        </w:rPr>
        <w:t xml:space="preserve">The </w:t>
      </w:r>
      <w:r w:rsidR="00E473AD" w:rsidRPr="00811867">
        <w:rPr>
          <w:szCs w:val="22"/>
        </w:rPr>
        <w:t>PSCR</w:t>
      </w:r>
      <w:r w:rsidRPr="00811867">
        <w:rPr>
          <w:szCs w:val="22"/>
        </w:rPr>
        <w:t xml:space="preserve"> </w:t>
      </w:r>
      <w:r w:rsidR="00E473AD" w:rsidRPr="00811867">
        <w:rPr>
          <w:szCs w:val="22"/>
        </w:rPr>
        <w:t xml:space="preserve">(p1) </w:t>
      </w:r>
      <w:r w:rsidRPr="00811867">
        <w:rPr>
          <w:szCs w:val="22"/>
        </w:rPr>
        <w:t>argue</w:t>
      </w:r>
      <w:r w:rsidR="00FC229B" w:rsidRPr="00811867">
        <w:rPr>
          <w:szCs w:val="22"/>
        </w:rPr>
        <w:t>d</w:t>
      </w:r>
      <w:r w:rsidRPr="00811867">
        <w:rPr>
          <w:szCs w:val="22"/>
        </w:rPr>
        <w:t xml:space="preserve"> that the results for DPN patients are not relevant for PBAC consideration</w:t>
      </w:r>
      <w:r w:rsidR="00114505" w:rsidRPr="00811867">
        <w:rPr>
          <w:szCs w:val="22"/>
        </w:rPr>
        <w:t>.</w:t>
      </w:r>
    </w:p>
    <w:p w:rsidR="00C70403" w:rsidRPr="00C70403" w:rsidRDefault="00A37472" w:rsidP="00F34ABE">
      <w:pPr>
        <w:pStyle w:val="ListParagraph"/>
        <w:widowControl/>
        <w:rPr>
          <w:i/>
          <w:szCs w:val="22"/>
        </w:rPr>
      </w:pPr>
      <w:r w:rsidRPr="00FC229B">
        <w:rPr>
          <w:i/>
          <w:szCs w:val="22"/>
        </w:rPr>
        <w:t xml:space="preserve"> </w:t>
      </w:r>
    </w:p>
    <w:p w:rsidR="00C70403" w:rsidRDefault="000165D5" w:rsidP="00F34ABE">
      <w:pPr>
        <w:pStyle w:val="ListParagraph"/>
        <w:widowControl/>
        <w:numPr>
          <w:ilvl w:val="1"/>
          <w:numId w:val="7"/>
        </w:numPr>
        <w:rPr>
          <w:i/>
          <w:szCs w:val="22"/>
        </w:rPr>
      </w:pPr>
      <w:r>
        <w:rPr>
          <w:szCs w:val="22"/>
        </w:rPr>
        <w:t>N</w:t>
      </w:r>
      <w:r w:rsidR="00DE3682" w:rsidRPr="00C70403">
        <w:rPr>
          <w:szCs w:val="22"/>
        </w:rPr>
        <w:t xml:space="preserve">o combined p-value </w:t>
      </w:r>
      <w:r w:rsidR="00C70403" w:rsidRPr="00C70403">
        <w:rPr>
          <w:szCs w:val="22"/>
        </w:rPr>
        <w:t xml:space="preserve">for the PHN subgroup </w:t>
      </w:r>
      <w:r w:rsidR="00DE3682">
        <w:rPr>
          <w:szCs w:val="22"/>
        </w:rPr>
        <w:t>was</w:t>
      </w:r>
      <w:r w:rsidR="00C70403" w:rsidRPr="00C70403">
        <w:rPr>
          <w:szCs w:val="22"/>
        </w:rPr>
        <w:t xml:space="preserve"> presented in the </w:t>
      </w:r>
      <w:r w:rsidR="00096E4D">
        <w:rPr>
          <w:szCs w:val="22"/>
        </w:rPr>
        <w:t>trial report</w:t>
      </w:r>
      <w:r w:rsidR="00C70403" w:rsidRPr="00C70403">
        <w:rPr>
          <w:szCs w:val="22"/>
        </w:rPr>
        <w:t>.</w:t>
      </w:r>
      <w:r w:rsidR="00C70403" w:rsidRPr="00C70403">
        <w:rPr>
          <w:i/>
          <w:szCs w:val="22"/>
        </w:rPr>
        <w:t xml:space="preserve"> </w:t>
      </w:r>
      <w:r w:rsidR="00C70403" w:rsidRPr="00C70403">
        <w:rPr>
          <w:szCs w:val="22"/>
        </w:rPr>
        <w:t xml:space="preserve">The submission argued that should the combined p-value </w:t>
      </w:r>
      <w:r w:rsidR="008236A3">
        <w:rPr>
          <w:szCs w:val="22"/>
        </w:rPr>
        <w:t xml:space="preserve">for the PHN subgroup </w:t>
      </w:r>
      <w:r w:rsidR="00C70403" w:rsidRPr="00C70403">
        <w:rPr>
          <w:szCs w:val="22"/>
        </w:rPr>
        <w:t>have been calculated, non-inferiority would have been demonstrated despite the lack of power.</w:t>
      </w:r>
      <w:r w:rsidR="00C70403" w:rsidRPr="00C70403">
        <w:rPr>
          <w:i/>
          <w:szCs w:val="22"/>
        </w:rPr>
        <w:t xml:space="preserve"> </w:t>
      </w:r>
      <w:r w:rsidR="003A1658">
        <w:t xml:space="preserve">The submission further argued that overall response rates at week 4 were ‘numerically higher’ in the lignocaine patch arm versus pregabalin. </w:t>
      </w:r>
      <w:r w:rsidR="00C70403" w:rsidRPr="00980C60">
        <w:rPr>
          <w:szCs w:val="22"/>
        </w:rPr>
        <w:t xml:space="preserve">Given that the trial failed the primary outcome, subgroup analyses </w:t>
      </w:r>
      <w:r w:rsidR="00EA5174" w:rsidRPr="00EE79C2">
        <w:rPr>
          <w:szCs w:val="22"/>
        </w:rPr>
        <w:t>and analyses of secondary outcomes</w:t>
      </w:r>
      <w:r w:rsidR="00EA5174">
        <w:rPr>
          <w:szCs w:val="22"/>
        </w:rPr>
        <w:t xml:space="preserve"> </w:t>
      </w:r>
      <w:r w:rsidR="00C70403" w:rsidRPr="00980C60">
        <w:rPr>
          <w:szCs w:val="22"/>
        </w:rPr>
        <w:t>are unreliable and should be interpreted with caution.</w:t>
      </w:r>
    </w:p>
    <w:p w:rsidR="008A6897" w:rsidRPr="008A6897" w:rsidRDefault="008A6897" w:rsidP="00F34ABE">
      <w:pPr>
        <w:pStyle w:val="ListParagraph"/>
        <w:widowControl/>
        <w:rPr>
          <w:i/>
          <w:szCs w:val="22"/>
        </w:rPr>
      </w:pPr>
    </w:p>
    <w:p w:rsidR="00A204FF" w:rsidRPr="00A12403" w:rsidRDefault="008A6897" w:rsidP="000411DE">
      <w:pPr>
        <w:pStyle w:val="ListParagraph"/>
        <w:keepNext/>
        <w:keepLines/>
        <w:widowControl/>
        <w:numPr>
          <w:ilvl w:val="1"/>
          <w:numId w:val="7"/>
        </w:numPr>
        <w:rPr>
          <w:i/>
          <w:szCs w:val="22"/>
        </w:rPr>
      </w:pPr>
      <w:r w:rsidRPr="008A6897">
        <w:rPr>
          <w:szCs w:val="22"/>
        </w:rPr>
        <w:lastRenderedPageBreak/>
        <w:t>The submission calculated the proportion of ‘responders’ in the economic model using the proportions of patients who remained on monotherapy during the combination phase (alloca</w:t>
      </w:r>
      <w:r w:rsidR="009F6232">
        <w:rPr>
          <w:szCs w:val="22"/>
        </w:rPr>
        <w:t>ted to monotherapy arm if NRS</w:t>
      </w:r>
      <w:r w:rsidR="009F6232">
        <w:rPr>
          <w:szCs w:val="22"/>
        </w:rPr>
        <w:noBreakHyphen/>
        <w:t>3 </w:t>
      </w:r>
      <w:r w:rsidRPr="008A6897">
        <w:rPr>
          <w:szCs w:val="22"/>
        </w:rPr>
        <w:t>≤4 points)</w:t>
      </w:r>
      <w:r w:rsidR="00997C00">
        <w:rPr>
          <w:szCs w:val="22"/>
        </w:rPr>
        <w:t xml:space="preserve"> </w:t>
      </w:r>
      <w:r w:rsidR="00997C00" w:rsidRPr="001F4F32">
        <w:rPr>
          <w:szCs w:val="22"/>
        </w:rPr>
        <w:t>(</w:t>
      </w:r>
      <w:r w:rsidR="001F4F32" w:rsidRPr="001F4F32">
        <w:rPr>
          <w:szCs w:val="22"/>
        </w:rPr>
        <w:t>s</w:t>
      </w:r>
      <w:r w:rsidR="001F4F32">
        <w:rPr>
          <w:szCs w:val="22"/>
        </w:rPr>
        <w:t xml:space="preserve">ee the table of </w:t>
      </w:r>
      <w:r w:rsidR="001F4F32" w:rsidRPr="001F4F32">
        <w:rPr>
          <w:szCs w:val="22"/>
        </w:rPr>
        <w:t>comparative benefits and harms for lignocaine patch and pregabalin</w:t>
      </w:r>
      <w:r w:rsidR="001F4F32">
        <w:rPr>
          <w:szCs w:val="22"/>
        </w:rPr>
        <w:t>).</w:t>
      </w:r>
      <w:r w:rsidR="00AC76F8">
        <w:rPr>
          <w:szCs w:val="22"/>
        </w:rPr>
        <w:t xml:space="preserve"> </w:t>
      </w:r>
      <w:r w:rsidR="00AC76F8" w:rsidRPr="00980C60">
        <w:rPr>
          <w:szCs w:val="22"/>
        </w:rPr>
        <w:t xml:space="preserve">The post hoc analysis using </w:t>
      </w:r>
      <w:r w:rsidR="00F42C26" w:rsidRPr="00980C60">
        <w:rPr>
          <w:szCs w:val="22"/>
        </w:rPr>
        <w:t>this</w:t>
      </w:r>
      <w:r w:rsidR="00AC76F8" w:rsidRPr="00980C60">
        <w:rPr>
          <w:szCs w:val="22"/>
        </w:rPr>
        <w:t xml:space="preserve"> responder threshold presented in Section B </w:t>
      </w:r>
      <w:r w:rsidR="005C1221">
        <w:rPr>
          <w:szCs w:val="22"/>
        </w:rPr>
        <w:t xml:space="preserve">of the submission </w:t>
      </w:r>
      <w:r w:rsidR="00AC76F8" w:rsidRPr="00980C60">
        <w:rPr>
          <w:szCs w:val="22"/>
        </w:rPr>
        <w:t xml:space="preserve">suggested that more patients in the lignocaine arm remained on monotherapy during </w:t>
      </w:r>
      <w:r w:rsidR="002E69A2" w:rsidRPr="00980C60">
        <w:rPr>
          <w:szCs w:val="22"/>
        </w:rPr>
        <w:t>the</w:t>
      </w:r>
      <w:r w:rsidR="00161E3C" w:rsidRPr="00980C60">
        <w:rPr>
          <w:szCs w:val="22"/>
        </w:rPr>
        <w:t xml:space="preserve"> subsequent</w:t>
      </w:r>
      <w:r w:rsidR="002E69A2" w:rsidRPr="00980C60">
        <w:rPr>
          <w:szCs w:val="22"/>
        </w:rPr>
        <w:t xml:space="preserve"> combination</w:t>
      </w:r>
      <w:r w:rsidR="00AC76F8" w:rsidRPr="00980C60">
        <w:rPr>
          <w:szCs w:val="22"/>
        </w:rPr>
        <w:t xml:space="preserve"> phase compared to pregabalin, with the 95% CI not including the null value. </w:t>
      </w:r>
      <w:r w:rsidR="00F744A3" w:rsidRPr="00980C60">
        <w:rPr>
          <w:szCs w:val="22"/>
        </w:rPr>
        <w:t>However, t</w:t>
      </w:r>
      <w:r w:rsidR="00AC76F8" w:rsidRPr="00980C60">
        <w:rPr>
          <w:szCs w:val="22"/>
        </w:rPr>
        <w:t xml:space="preserve">he </w:t>
      </w:r>
      <w:r w:rsidR="00F744A3" w:rsidRPr="00980C60">
        <w:rPr>
          <w:szCs w:val="22"/>
        </w:rPr>
        <w:t xml:space="preserve">results used in the model </w:t>
      </w:r>
      <w:r w:rsidR="007A64C3" w:rsidRPr="00980C60">
        <w:rPr>
          <w:szCs w:val="22"/>
        </w:rPr>
        <w:t>were not consistent</w:t>
      </w:r>
      <w:r w:rsidR="00AC76F8" w:rsidRPr="00980C60">
        <w:rPr>
          <w:szCs w:val="22"/>
        </w:rPr>
        <w:t xml:space="preserve"> as the 95% CI of the modelled incremental difference included the null value.</w:t>
      </w:r>
      <w:r w:rsidR="00F744A3" w:rsidRPr="00980C60">
        <w:rPr>
          <w:szCs w:val="22"/>
        </w:rPr>
        <w:t xml:space="preserve"> </w:t>
      </w:r>
      <w:r w:rsidR="00AC76F8" w:rsidRPr="00980C60">
        <w:rPr>
          <w:szCs w:val="22"/>
        </w:rPr>
        <w:t>The post hoc exploratory results were fragile to the selected denominator.</w:t>
      </w:r>
      <w:r w:rsidR="00533848" w:rsidRPr="00980C60">
        <w:t xml:space="preserve"> </w:t>
      </w:r>
      <w:r w:rsidR="003E0429" w:rsidRPr="00980C60">
        <w:t>There were no differences between arm</w:t>
      </w:r>
      <w:r w:rsidR="002E2C5A" w:rsidRPr="00980C60">
        <w:t>s</w:t>
      </w:r>
      <w:r w:rsidR="003E0429" w:rsidRPr="00980C60">
        <w:t xml:space="preserve"> for the pre-specified responder thresholds of ≥30% and ≥50% reduction in pain.</w:t>
      </w:r>
    </w:p>
    <w:p w:rsidR="004651A5" w:rsidRPr="004651A5" w:rsidRDefault="004651A5" w:rsidP="00F34ABE">
      <w:pPr>
        <w:pStyle w:val="ListParagraph"/>
        <w:widowControl/>
        <w:rPr>
          <w:szCs w:val="22"/>
        </w:rPr>
      </w:pPr>
    </w:p>
    <w:p w:rsidR="006B6369" w:rsidRPr="006B6369" w:rsidRDefault="006B6369" w:rsidP="00F34ABE">
      <w:pPr>
        <w:pStyle w:val="ListParagraph"/>
        <w:keepNext/>
        <w:widowControl/>
        <w:rPr>
          <w:szCs w:val="22"/>
        </w:rPr>
      </w:pPr>
      <w:r w:rsidRPr="006B6369">
        <w:rPr>
          <w:rFonts w:ascii="Arial Narrow" w:hAnsi="Arial Narrow"/>
          <w:b/>
          <w:sz w:val="20"/>
        </w:rPr>
        <w:t>Mean (SD) change in EQ-5D</w:t>
      </w:r>
      <w:r w:rsidR="00EA5174">
        <w:rPr>
          <w:rFonts w:ascii="Arial Narrow" w:hAnsi="Arial Narrow"/>
          <w:b/>
          <w:sz w:val="20"/>
        </w:rPr>
        <w:t>-5L</w:t>
      </w:r>
      <w:r w:rsidRPr="006B6369">
        <w:rPr>
          <w:rFonts w:ascii="Arial Narrow" w:hAnsi="Arial Narrow"/>
          <w:b/>
          <w:sz w:val="20"/>
        </w:rPr>
        <w:t xml:space="preserve"> (estimated health state) from baseline to week 4 (per protocol population) in Trial KF10004/03</w:t>
      </w:r>
    </w:p>
    <w:tbl>
      <w:tblPr>
        <w:tblStyle w:val="TableGrid"/>
        <w:tblW w:w="8488" w:type="dxa"/>
        <w:tblInd w:w="817" w:type="dxa"/>
        <w:tblLook w:val="04A0" w:firstRow="1" w:lastRow="0" w:firstColumn="1" w:lastColumn="0" w:noHBand="0" w:noVBand="1"/>
      </w:tblPr>
      <w:tblGrid>
        <w:gridCol w:w="1276"/>
        <w:gridCol w:w="1191"/>
        <w:gridCol w:w="1192"/>
        <w:gridCol w:w="1191"/>
        <w:gridCol w:w="1192"/>
        <w:gridCol w:w="1191"/>
        <w:gridCol w:w="1255"/>
      </w:tblGrid>
      <w:tr w:rsidR="006B6369" w:rsidRPr="00114505" w:rsidTr="00A37DD9">
        <w:tc>
          <w:tcPr>
            <w:tcW w:w="1276" w:type="dxa"/>
            <w:vMerge w:val="restart"/>
            <w:vAlign w:val="center"/>
          </w:tcPr>
          <w:p w:rsidR="006B6369" w:rsidRPr="00114505" w:rsidRDefault="006B6369" w:rsidP="00F34ABE">
            <w:pPr>
              <w:keepNext/>
              <w:widowControl/>
              <w:jc w:val="left"/>
              <w:rPr>
                <w:rFonts w:ascii="Arial Narrow" w:hAnsi="Arial Narrow"/>
                <w:sz w:val="20"/>
              </w:rPr>
            </w:pPr>
          </w:p>
        </w:tc>
        <w:tc>
          <w:tcPr>
            <w:tcW w:w="3574" w:type="dxa"/>
            <w:gridSpan w:val="3"/>
            <w:tcBorders>
              <w:right w:val="double" w:sz="4" w:space="0" w:color="auto"/>
            </w:tcBorders>
            <w:vAlign w:val="center"/>
          </w:tcPr>
          <w:p w:rsidR="006B6369" w:rsidRPr="00114505" w:rsidRDefault="006B6369" w:rsidP="00F34ABE">
            <w:pPr>
              <w:keepNext/>
              <w:widowControl/>
              <w:jc w:val="center"/>
              <w:rPr>
                <w:rFonts w:ascii="Arial Narrow" w:hAnsi="Arial Narrow"/>
                <w:sz w:val="20"/>
              </w:rPr>
            </w:pPr>
            <w:r w:rsidRPr="00114505">
              <w:rPr>
                <w:rFonts w:ascii="Arial Narrow" w:hAnsi="Arial Narrow"/>
                <w:b/>
                <w:sz w:val="20"/>
              </w:rPr>
              <w:t>Overall population (DPN and PHN)</w:t>
            </w:r>
          </w:p>
        </w:tc>
        <w:tc>
          <w:tcPr>
            <w:tcW w:w="3638" w:type="dxa"/>
            <w:gridSpan w:val="3"/>
            <w:tcBorders>
              <w:left w:val="double" w:sz="4" w:space="0" w:color="auto"/>
            </w:tcBorders>
            <w:vAlign w:val="center"/>
          </w:tcPr>
          <w:p w:rsidR="006B6369" w:rsidRPr="00114505" w:rsidRDefault="006B6369" w:rsidP="00F34ABE">
            <w:pPr>
              <w:keepNext/>
              <w:widowControl/>
              <w:jc w:val="center"/>
              <w:rPr>
                <w:rFonts w:ascii="Arial Narrow" w:hAnsi="Arial Narrow"/>
                <w:sz w:val="20"/>
              </w:rPr>
            </w:pPr>
            <w:r w:rsidRPr="00114505">
              <w:rPr>
                <w:rFonts w:ascii="Arial Narrow" w:hAnsi="Arial Narrow"/>
                <w:b/>
                <w:sz w:val="20"/>
              </w:rPr>
              <w:t>PHN subgroup</w:t>
            </w:r>
          </w:p>
        </w:tc>
      </w:tr>
      <w:tr w:rsidR="006B6369" w:rsidRPr="00114505" w:rsidTr="00A37DD9">
        <w:tc>
          <w:tcPr>
            <w:tcW w:w="1276" w:type="dxa"/>
            <w:vMerge/>
            <w:vAlign w:val="center"/>
          </w:tcPr>
          <w:p w:rsidR="006B6369" w:rsidRPr="00114505" w:rsidRDefault="006B6369" w:rsidP="00F34ABE">
            <w:pPr>
              <w:keepNext/>
              <w:widowControl/>
              <w:jc w:val="left"/>
              <w:rPr>
                <w:rFonts w:ascii="Arial Narrow" w:hAnsi="Arial Narrow"/>
                <w:sz w:val="20"/>
              </w:rPr>
            </w:pPr>
          </w:p>
        </w:tc>
        <w:tc>
          <w:tcPr>
            <w:tcW w:w="1191" w:type="dxa"/>
            <w:vAlign w:val="center"/>
          </w:tcPr>
          <w:p w:rsidR="006B6369" w:rsidRPr="00114505" w:rsidRDefault="006B6369" w:rsidP="00F34ABE">
            <w:pPr>
              <w:keepNext/>
              <w:widowControl/>
              <w:jc w:val="center"/>
              <w:rPr>
                <w:rFonts w:ascii="Arial Narrow" w:hAnsi="Arial Narrow"/>
                <w:b/>
                <w:sz w:val="20"/>
              </w:rPr>
            </w:pPr>
            <w:r w:rsidRPr="00114505">
              <w:rPr>
                <w:rFonts w:ascii="Arial Narrow" w:hAnsi="Arial Narrow"/>
                <w:b/>
                <w:sz w:val="20"/>
              </w:rPr>
              <w:t>Lignocaine patch N=144</w:t>
            </w:r>
          </w:p>
        </w:tc>
        <w:tc>
          <w:tcPr>
            <w:tcW w:w="1192" w:type="dxa"/>
            <w:vAlign w:val="center"/>
          </w:tcPr>
          <w:p w:rsidR="006B6369" w:rsidRPr="00114505" w:rsidRDefault="006B6369" w:rsidP="00F34ABE">
            <w:pPr>
              <w:keepNext/>
              <w:widowControl/>
              <w:jc w:val="center"/>
              <w:rPr>
                <w:rFonts w:ascii="Arial Narrow" w:hAnsi="Arial Narrow"/>
                <w:b/>
                <w:sz w:val="20"/>
              </w:rPr>
            </w:pPr>
            <w:r w:rsidRPr="00114505">
              <w:rPr>
                <w:rFonts w:ascii="Arial Narrow" w:hAnsi="Arial Narrow"/>
                <w:b/>
                <w:sz w:val="20"/>
              </w:rPr>
              <w:t>Pregabalin</w:t>
            </w:r>
          </w:p>
          <w:p w:rsidR="006B6369" w:rsidRPr="00114505" w:rsidRDefault="006B6369" w:rsidP="00F34ABE">
            <w:pPr>
              <w:keepNext/>
              <w:widowControl/>
              <w:jc w:val="center"/>
              <w:rPr>
                <w:rFonts w:ascii="Arial Narrow" w:hAnsi="Arial Narrow"/>
                <w:b/>
                <w:sz w:val="20"/>
              </w:rPr>
            </w:pPr>
            <w:r w:rsidRPr="00114505">
              <w:rPr>
                <w:rFonts w:ascii="Arial Narrow" w:hAnsi="Arial Narrow"/>
                <w:b/>
                <w:sz w:val="20"/>
              </w:rPr>
              <w:t>N=137</w:t>
            </w:r>
          </w:p>
        </w:tc>
        <w:tc>
          <w:tcPr>
            <w:tcW w:w="1191" w:type="dxa"/>
            <w:tcBorders>
              <w:bottom w:val="single" w:sz="4" w:space="0" w:color="auto"/>
              <w:right w:val="double" w:sz="4" w:space="0" w:color="auto"/>
            </w:tcBorders>
            <w:vAlign w:val="center"/>
          </w:tcPr>
          <w:p w:rsidR="006B6369" w:rsidRPr="00114505" w:rsidRDefault="006B6369" w:rsidP="00F34ABE">
            <w:pPr>
              <w:keepNext/>
              <w:widowControl/>
              <w:jc w:val="center"/>
              <w:rPr>
                <w:rFonts w:ascii="Arial Narrow" w:hAnsi="Arial Narrow"/>
                <w:b/>
                <w:sz w:val="20"/>
              </w:rPr>
            </w:pPr>
            <w:r w:rsidRPr="00114505">
              <w:rPr>
                <w:rFonts w:ascii="Arial Narrow" w:hAnsi="Arial Narrow"/>
                <w:b/>
                <w:sz w:val="20"/>
              </w:rPr>
              <w:t>Statistical analysis</w:t>
            </w:r>
          </w:p>
        </w:tc>
        <w:tc>
          <w:tcPr>
            <w:tcW w:w="1192" w:type="dxa"/>
            <w:tcBorders>
              <w:left w:val="double" w:sz="4" w:space="0" w:color="auto"/>
            </w:tcBorders>
            <w:vAlign w:val="center"/>
          </w:tcPr>
          <w:p w:rsidR="006B6369" w:rsidRPr="00114505" w:rsidRDefault="006B6369" w:rsidP="00F34ABE">
            <w:pPr>
              <w:keepNext/>
              <w:widowControl/>
              <w:jc w:val="center"/>
              <w:rPr>
                <w:rFonts w:ascii="Arial Narrow" w:hAnsi="Arial Narrow"/>
                <w:b/>
                <w:sz w:val="20"/>
              </w:rPr>
            </w:pPr>
            <w:r w:rsidRPr="00114505">
              <w:rPr>
                <w:rFonts w:ascii="Arial Narrow" w:hAnsi="Arial Narrow"/>
                <w:b/>
                <w:sz w:val="20"/>
              </w:rPr>
              <w:t>Lignocaine patch N=45</w:t>
            </w:r>
          </w:p>
        </w:tc>
        <w:tc>
          <w:tcPr>
            <w:tcW w:w="1191" w:type="dxa"/>
            <w:vAlign w:val="center"/>
          </w:tcPr>
          <w:p w:rsidR="006B6369" w:rsidRPr="00114505" w:rsidRDefault="006B6369" w:rsidP="00F34ABE">
            <w:pPr>
              <w:keepNext/>
              <w:widowControl/>
              <w:jc w:val="center"/>
              <w:rPr>
                <w:rFonts w:ascii="Arial Narrow" w:hAnsi="Arial Narrow"/>
                <w:b/>
                <w:sz w:val="20"/>
              </w:rPr>
            </w:pPr>
            <w:r w:rsidRPr="00114505">
              <w:rPr>
                <w:rFonts w:ascii="Arial Narrow" w:hAnsi="Arial Narrow"/>
                <w:b/>
                <w:sz w:val="20"/>
              </w:rPr>
              <w:t>Pregabalin N=43</w:t>
            </w:r>
          </w:p>
        </w:tc>
        <w:tc>
          <w:tcPr>
            <w:tcW w:w="1255" w:type="dxa"/>
            <w:vAlign w:val="center"/>
          </w:tcPr>
          <w:p w:rsidR="006B6369" w:rsidRPr="00114505" w:rsidRDefault="006B6369" w:rsidP="00F34ABE">
            <w:pPr>
              <w:keepNext/>
              <w:widowControl/>
              <w:jc w:val="center"/>
              <w:rPr>
                <w:rFonts w:ascii="Arial Narrow" w:hAnsi="Arial Narrow"/>
                <w:sz w:val="20"/>
              </w:rPr>
            </w:pPr>
            <w:r w:rsidRPr="00114505">
              <w:rPr>
                <w:rFonts w:ascii="Arial Narrow" w:hAnsi="Arial Narrow"/>
                <w:b/>
                <w:sz w:val="20"/>
              </w:rPr>
              <w:t>MD (95% CI)</w:t>
            </w:r>
          </w:p>
        </w:tc>
      </w:tr>
      <w:tr w:rsidR="006B6369" w:rsidRPr="00114505" w:rsidTr="00A37DD9">
        <w:tc>
          <w:tcPr>
            <w:tcW w:w="1276" w:type="dxa"/>
            <w:vAlign w:val="center"/>
          </w:tcPr>
          <w:p w:rsidR="006B6369" w:rsidRPr="00114505" w:rsidRDefault="006B6369" w:rsidP="00F34ABE">
            <w:pPr>
              <w:keepNext/>
              <w:widowControl/>
              <w:jc w:val="left"/>
              <w:rPr>
                <w:rFonts w:ascii="Arial Narrow" w:hAnsi="Arial Narrow"/>
                <w:sz w:val="20"/>
              </w:rPr>
            </w:pPr>
            <w:r w:rsidRPr="00114505">
              <w:rPr>
                <w:rFonts w:ascii="Arial Narrow" w:hAnsi="Arial Narrow"/>
                <w:sz w:val="20"/>
              </w:rPr>
              <w:t>Baseline</w:t>
            </w:r>
          </w:p>
        </w:tc>
        <w:tc>
          <w:tcPr>
            <w:tcW w:w="1191" w:type="dxa"/>
            <w:vAlign w:val="center"/>
          </w:tcPr>
          <w:p w:rsidR="006B6369" w:rsidRPr="00114505" w:rsidRDefault="006B6369" w:rsidP="00F34ABE">
            <w:pPr>
              <w:keepNext/>
              <w:widowControl/>
              <w:jc w:val="center"/>
              <w:rPr>
                <w:rFonts w:ascii="Arial Narrow" w:hAnsi="Arial Narrow"/>
                <w:sz w:val="20"/>
              </w:rPr>
            </w:pPr>
            <w:r w:rsidRPr="00114505">
              <w:rPr>
                <w:rFonts w:ascii="Arial Narrow" w:hAnsi="Arial Narrow"/>
                <w:sz w:val="20"/>
              </w:rPr>
              <w:t>0.53 (0.294)</w:t>
            </w:r>
          </w:p>
          <w:p w:rsidR="006B6369" w:rsidRPr="00114505" w:rsidRDefault="006B6369" w:rsidP="00F34ABE">
            <w:pPr>
              <w:keepNext/>
              <w:widowControl/>
              <w:jc w:val="center"/>
              <w:rPr>
                <w:rFonts w:ascii="Arial Narrow" w:hAnsi="Arial Narrow"/>
                <w:sz w:val="20"/>
              </w:rPr>
            </w:pPr>
            <w:r w:rsidRPr="00114505">
              <w:rPr>
                <w:rFonts w:ascii="Arial Narrow" w:hAnsi="Arial Narrow"/>
                <w:sz w:val="20"/>
              </w:rPr>
              <w:t>n=142</w:t>
            </w:r>
          </w:p>
        </w:tc>
        <w:tc>
          <w:tcPr>
            <w:tcW w:w="1192" w:type="dxa"/>
            <w:vAlign w:val="center"/>
          </w:tcPr>
          <w:p w:rsidR="006B6369" w:rsidRPr="00114505" w:rsidRDefault="006B6369" w:rsidP="00F34ABE">
            <w:pPr>
              <w:keepNext/>
              <w:widowControl/>
              <w:jc w:val="center"/>
              <w:rPr>
                <w:rFonts w:ascii="Arial Narrow" w:hAnsi="Arial Narrow"/>
                <w:sz w:val="20"/>
              </w:rPr>
            </w:pPr>
            <w:r w:rsidRPr="00114505">
              <w:rPr>
                <w:rFonts w:ascii="Arial Narrow" w:hAnsi="Arial Narrow"/>
                <w:sz w:val="20"/>
              </w:rPr>
              <w:t>0.56 (0.272)</w:t>
            </w:r>
          </w:p>
          <w:p w:rsidR="006B6369" w:rsidRPr="00114505" w:rsidRDefault="006B6369" w:rsidP="00F34ABE">
            <w:pPr>
              <w:keepNext/>
              <w:widowControl/>
              <w:jc w:val="center"/>
              <w:rPr>
                <w:rFonts w:ascii="Arial Narrow" w:hAnsi="Arial Narrow"/>
                <w:sz w:val="20"/>
              </w:rPr>
            </w:pPr>
            <w:r w:rsidRPr="00114505">
              <w:rPr>
                <w:rFonts w:ascii="Arial Narrow" w:hAnsi="Arial Narrow"/>
                <w:sz w:val="20"/>
              </w:rPr>
              <w:t>n=NR</w:t>
            </w:r>
          </w:p>
        </w:tc>
        <w:tc>
          <w:tcPr>
            <w:tcW w:w="1191" w:type="dxa"/>
            <w:tcBorders>
              <w:right w:val="double" w:sz="4" w:space="0" w:color="auto"/>
            </w:tcBorders>
            <w:vAlign w:val="center"/>
          </w:tcPr>
          <w:p w:rsidR="006B6369" w:rsidRPr="00114505" w:rsidRDefault="006B6369" w:rsidP="00F34ABE">
            <w:pPr>
              <w:keepNext/>
              <w:widowControl/>
              <w:jc w:val="center"/>
              <w:rPr>
                <w:rFonts w:ascii="Arial Narrow" w:hAnsi="Arial Narrow"/>
                <w:sz w:val="20"/>
              </w:rPr>
            </w:pPr>
            <w:r w:rsidRPr="00114505">
              <w:rPr>
                <w:rFonts w:ascii="Arial Narrow" w:hAnsi="Arial Narrow"/>
                <w:sz w:val="20"/>
              </w:rPr>
              <w:t>-</w:t>
            </w:r>
          </w:p>
        </w:tc>
        <w:tc>
          <w:tcPr>
            <w:tcW w:w="1192" w:type="dxa"/>
            <w:tcBorders>
              <w:left w:val="double" w:sz="4" w:space="0" w:color="auto"/>
            </w:tcBorders>
          </w:tcPr>
          <w:p w:rsidR="006B6369" w:rsidRPr="00114505" w:rsidRDefault="006B6369" w:rsidP="00F34ABE">
            <w:pPr>
              <w:keepNext/>
              <w:widowControl/>
              <w:jc w:val="center"/>
              <w:rPr>
                <w:rFonts w:ascii="Arial Narrow" w:hAnsi="Arial Narrow"/>
                <w:sz w:val="20"/>
              </w:rPr>
            </w:pPr>
            <w:r w:rsidRPr="00114505">
              <w:rPr>
                <w:rFonts w:ascii="Arial Narrow" w:hAnsi="Arial Narrow"/>
                <w:sz w:val="20"/>
              </w:rPr>
              <w:t>0.61 (0.288)</w:t>
            </w:r>
          </w:p>
          <w:p w:rsidR="006B6369" w:rsidRPr="00114505" w:rsidRDefault="006B6369" w:rsidP="00F34ABE">
            <w:pPr>
              <w:keepNext/>
              <w:widowControl/>
              <w:jc w:val="center"/>
              <w:rPr>
                <w:rFonts w:ascii="Arial Narrow" w:hAnsi="Arial Narrow"/>
                <w:sz w:val="20"/>
              </w:rPr>
            </w:pPr>
            <w:r w:rsidRPr="00114505">
              <w:rPr>
                <w:rFonts w:ascii="Arial Narrow" w:hAnsi="Arial Narrow"/>
                <w:sz w:val="20"/>
              </w:rPr>
              <w:t>n=45</w:t>
            </w:r>
          </w:p>
        </w:tc>
        <w:tc>
          <w:tcPr>
            <w:tcW w:w="1191" w:type="dxa"/>
          </w:tcPr>
          <w:p w:rsidR="006B6369" w:rsidRPr="00114505" w:rsidRDefault="006B6369" w:rsidP="00F34ABE">
            <w:pPr>
              <w:keepNext/>
              <w:widowControl/>
              <w:jc w:val="center"/>
              <w:rPr>
                <w:rFonts w:ascii="Arial Narrow" w:hAnsi="Arial Narrow"/>
                <w:sz w:val="20"/>
              </w:rPr>
            </w:pPr>
            <w:r w:rsidRPr="00114505">
              <w:rPr>
                <w:rFonts w:ascii="Arial Narrow" w:hAnsi="Arial Narrow"/>
                <w:sz w:val="20"/>
              </w:rPr>
              <w:t>0.58 (0.319)</w:t>
            </w:r>
          </w:p>
          <w:p w:rsidR="006B6369" w:rsidRPr="00114505" w:rsidRDefault="006B6369" w:rsidP="00F34ABE">
            <w:pPr>
              <w:keepNext/>
              <w:widowControl/>
              <w:jc w:val="center"/>
              <w:rPr>
                <w:rFonts w:ascii="Arial Narrow" w:hAnsi="Arial Narrow"/>
                <w:sz w:val="20"/>
              </w:rPr>
            </w:pPr>
            <w:r w:rsidRPr="00114505">
              <w:rPr>
                <w:rFonts w:ascii="Arial Narrow" w:hAnsi="Arial Narrow"/>
                <w:sz w:val="20"/>
              </w:rPr>
              <w:t>n=42</w:t>
            </w:r>
          </w:p>
        </w:tc>
        <w:tc>
          <w:tcPr>
            <w:tcW w:w="1255" w:type="dxa"/>
            <w:vAlign w:val="center"/>
          </w:tcPr>
          <w:p w:rsidR="006B6369" w:rsidRPr="00114505" w:rsidRDefault="006B6369" w:rsidP="00F34ABE">
            <w:pPr>
              <w:keepNext/>
              <w:widowControl/>
              <w:jc w:val="center"/>
              <w:rPr>
                <w:rFonts w:ascii="Arial Narrow" w:hAnsi="Arial Narrow"/>
                <w:sz w:val="20"/>
              </w:rPr>
            </w:pPr>
            <w:r w:rsidRPr="00114505">
              <w:rPr>
                <w:rFonts w:ascii="Arial Narrow" w:hAnsi="Arial Narrow"/>
                <w:sz w:val="20"/>
              </w:rPr>
              <w:t>-</w:t>
            </w:r>
          </w:p>
        </w:tc>
      </w:tr>
      <w:tr w:rsidR="006B6369" w:rsidRPr="00114505" w:rsidTr="00A37DD9">
        <w:tc>
          <w:tcPr>
            <w:tcW w:w="1276" w:type="dxa"/>
            <w:vAlign w:val="center"/>
          </w:tcPr>
          <w:p w:rsidR="006B6369" w:rsidRPr="00114505" w:rsidRDefault="006B6369" w:rsidP="00F34ABE">
            <w:pPr>
              <w:keepNext/>
              <w:widowControl/>
              <w:jc w:val="left"/>
              <w:rPr>
                <w:rFonts w:ascii="Arial Narrow" w:hAnsi="Arial Narrow"/>
                <w:sz w:val="20"/>
              </w:rPr>
            </w:pPr>
            <w:r w:rsidRPr="00114505">
              <w:rPr>
                <w:rFonts w:ascii="Arial Narrow" w:hAnsi="Arial Narrow"/>
                <w:sz w:val="20"/>
                <w:szCs w:val="18"/>
              </w:rPr>
              <w:t>Mean ∆</w:t>
            </w:r>
            <w:r w:rsidRPr="00114505">
              <w:rPr>
                <w:rFonts w:ascii="Arial Narrow" w:hAnsi="Arial Narrow"/>
                <w:b/>
                <w:sz w:val="20"/>
                <w:szCs w:val="18"/>
              </w:rPr>
              <w:t xml:space="preserve"> </w:t>
            </w:r>
            <w:r w:rsidR="009F6232" w:rsidRPr="00114505">
              <w:rPr>
                <w:rFonts w:ascii="Arial Narrow" w:hAnsi="Arial Narrow"/>
                <w:sz w:val="20"/>
              </w:rPr>
              <w:t xml:space="preserve">at </w:t>
            </w:r>
            <w:r w:rsidR="0095617B" w:rsidRPr="00114505">
              <w:rPr>
                <w:rFonts w:ascii="Arial Narrow" w:hAnsi="Arial Narrow"/>
                <w:sz w:val="20"/>
              </w:rPr>
              <w:t>Wk.</w:t>
            </w:r>
            <w:r w:rsidR="009F6232" w:rsidRPr="00114505">
              <w:rPr>
                <w:rFonts w:ascii="Arial Narrow" w:hAnsi="Arial Narrow"/>
                <w:sz w:val="20"/>
              </w:rPr>
              <w:t> </w:t>
            </w:r>
            <w:r w:rsidRPr="00114505">
              <w:rPr>
                <w:rFonts w:ascii="Arial Narrow" w:hAnsi="Arial Narrow"/>
                <w:sz w:val="20"/>
              </w:rPr>
              <w:t>4</w:t>
            </w:r>
          </w:p>
        </w:tc>
        <w:tc>
          <w:tcPr>
            <w:tcW w:w="1191" w:type="dxa"/>
            <w:vAlign w:val="center"/>
          </w:tcPr>
          <w:p w:rsidR="006B6369" w:rsidRPr="00114505" w:rsidRDefault="006B6369" w:rsidP="00F34ABE">
            <w:pPr>
              <w:keepNext/>
              <w:widowControl/>
              <w:jc w:val="center"/>
              <w:rPr>
                <w:rFonts w:ascii="Arial Narrow" w:hAnsi="Arial Narrow"/>
                <w:sz w:val="20"/>
              </w:rPr>
            </w:pPr>
            <w:r w:rsidRPr="00114505">
              <w:rPr>
                <w:rFonts w:ascii="Arial Narrow" w:hAnsi="Arial Narrow"/>
                <w:sz w:val="20"/>
              </w:rPr>
              <w:t>0.12 (0.240)</w:t>
            </w:r>
          </w:p>
          <w:p w:rsidR="006B6369" w:rsidRPr="00114505" w:rsidRDefault="006B6369" w:rsidP="00F34ABE">
            <w:pPr>
              <w:keepNext/>
              <w:widowControl/>
              <w:jc w:val="center"/>
              <w:rPr>
                <w:rFonts w:ascii="Arial Narrow" w:hAnsi="Arial Narrow"/>
                <w:sz w:val="20"/>
              </w:rPr>
            </w:pPr>
            <w:r w:rsidRPr="00114505">
              <w:rPr>
                <w:rFonts w:ascii="Arial Narrow" w:hAnsi="Arial Narrow"/>
                <w:sz w:val="20"/>
              </w:rPr>
              <w:t>n=136</w:t>
            </w:r>
          </w:p>
        </w:tc>
        <w:tc>
          <w:tcPr>
            <w:tcW w:w="1192" w:type="dxa"/>
            <w:vAlign w:val="center"/>
          </w:tcPr>
          <w:p w:rsidR="006B6369" w:rsidRPr="00114505" w:rsidRDefault="006B6369" w:rsidP="00F34ABE">
            <w:pPr>
              <w:keepNext/>
              <w:widowControl/>
              <w:jc w:val="center"/>
              <w:rPr>
                <w:rFonts w:ascii="Arial Narrow" w:hAnsi="Arial Narrow"/>
                <w:sz w:val="20"/>
              </w:rPr>
            </w:pPr>
            <w:r w:rsidRPr="00114505">
              <w:rPr>
                <w:rFonts w:ascii="Arial Narrow" w:hAnsi="Arial Narrow"/>
                <w:sz w:val="20"/>
              </w:rPr>
              <w:t>0.04 (0.235)</w:t>
            </w:r>
          </w:p>
          <w:p w:rsidR="006B6369" w:rsidRPr="00114505" w:rsidRDefault="006B6369" w:rsidP="00F34ABE">
            <w:pPr>
              <w:keepNext/>
              <w:widowControl/>
              <w:jc w:val="center"/>
              <w:rPr>
                <w:rFonts w:ascii="Arial Narrow" w:hAnsi="Arial Narrow"/>
                <w:sz w:val="20"/>
              </w:rPr>
            </w:pPr>
            <w:r w:rsidRPr="00114505">
              <w:rPr>
                <w:rFonts w:ascii="Arial Narrow" w:hAnsi="Arial Narrow"/>
                <w:sz w:val="20"/>
              </w:rPr>
              <w:t>n=NR</w:t>
            </w:r>
          </w:p>
        </w:tc>
        <w:tc>
          <w:tcPr>
            <w:tcW w:w="1191" w:type="dxa"/>
            <w:tcBorders>
              <w:right w:val="double" w:sz="4" w:space="0" w:color="auto"/>
            </w:tcBorders>
            <w:vAlign w:val="center"/>
          </w:tcPr>
          <w:p w:rsidR="006B6369" w:rsidRPr="00114505" w:rsidRDefault="006B6369" w:rsidP="00F34ABE">
            <w:pPr>
              <w:keepNext/>
              <w:widowControl/>
              <w:jc w:val="center"/>
              <w:rPr>
                <w:rFonts w:ascii="Arial Narrow" w:hAnsi="Arial Narrow"/>
                <w:sz w:val="20"/>
              </w:rPr>
            </w:pPr>
            <w:r w:rsidRPr="00114505">
              <w:rPr>
                <w:rFonts w:ascii="Arial Narrow" w:hAnsi="Arial Narrow"/>
                <w:sz w:val="20"/>
              </w:rPr>
              <w:t>NE</w:t>
            </w:r>
          </w:p>
        </w:tc>
        <w:tc>
          <w:tcPr>
            <w:tcW w:w="1192" w:type="dxa"/>
            <w:tcBorders>
              <w:left w:val="double" w:sz="4" w:space="0" w:color="auto"/>
            </w:tcBorders>
            <w:vAlign w:val="center"/>
          </w:tcPr>
          <w:p w:rsidR="006B6369" w:rsidRPr="00114505" w:rsidRDefault="006B6369" w:rsidP="00F34ABE">
            <w:pPr>
              <w:keepNext/>
              <w:widowControl/>
              <w:jc w:val="center"/>
              <w:rPr>
                <w:rFonts w:ascii="Arial Narrow" w:hAnsi="Arial Narrow"/>
                <w:sz w:val="20"/>
              </w:rPr>
            </w:pPr>
            <w:r w:rsidRPr="00114505">
              <w:rPr>
                <w:rFonts w:ascii="Arial Narrow" w:hAnsi="Arial Narrow"/>
                <w:sz w:val="20"/>
              </w:rPr>
              <w:t>0.12 (0.231)</w:t>
            </w:r>
          </w:p>
          <w:p w:rsidR="006B6369" w:rsidRPr="00114505" w:rsidRDefault="006B6369" w:rsidP="00F34ABE">
            <w:pPr>
              <w:keepNext/>
              <w:widowControl/>
              <w:jc w:val="center"/>
              <w:rPr>
                <w:rFonts w:ascii="Arial Narrow" w:hAnsi="Arial Narrow"/>
                <w:sz w:val="20"/>
              </w:rPr>
            </w:pPr>
            <w:r w:rsidRPr="00114505">
              <w:rPr>
                <w:rFonts w:ascii="Arial Narrow" w:hAnsi="Arial Narrow"/>
                <w:sz w:val="20"/>
              </w:rPr>
              <w:t>n=40</w:t>
            </w:r>
          </w:p>
        </w:tc>
        <w:tc>
          <w:tcPr>
            <w:tcW w:w="1191" w:type="dxa"/>
            <w:vAlign w:val="center"/>
          </w:tcPr>
          <w:p w:rsidR="006B6369" w:rsidRPr="00114505" w:rsidRDefault="006B6369" w:rsidP="00F34ABE">
            <w:pPr>
              <w:keepNext/>
              <w:widowControl/>
              <w:jc w:val="center"/>
              <w:rPr>
                <w:rFonts w:ascii="Arial Narrow" w:hAnsi="Arial Narrow"/>
                <w:sz w:val="20"/>
              </w:rPr>
            </w:pPr>
            <w:r w:rsidRPr="00114505">
              <w:rPr>
                <w:rFonts w:ascii="Arial Narrow" w:hAnsi="Arial Narrow"/>
                <w:sz w:val="20"/>
              </w:rPr>
              <w:t>-0.00 (0.276)</w:t>
            </w:r>
          </w:p>
          <w:p w:rsidR="006B6369" w:rsidRPr="00114505" w:rsidRDefault="006B6369" w:rsidP="00F34ABE">
            <w:pPr>
              <w:keepNext/>
              <w:widowControl/>
              <w:jc w:val="center"/>
              <w:rPr>
                <w:rFonts w:ascii="Arial Narrow" w:hAnsi="Arial Narrow"/>
                <w:sz w:val="20"/>
              </w:rPr>
            </w:pPr>
            <w:r w:rsidRPr="00114505">
              <w:rPr>
                <w:rFonts w:ascii="Arial Narrow" w:hAnsi="Arial Narrow"/>
                <w:sz w:val="20"/>
              </w:rPr>
              <w:t>n=42</w:t>
            </w:r>
          </w:p>
        </w:tc>
        <w:tc>
          <w:tcPr>
            <w:tcW w:w="1255" w:type="dxa"/>
          </w:tcPr>
          <w:p w:rsidR="006B6369" w:rsidRPr="00114505" w:rsidRDefault="006B6369" w:rsidP="00F34ABE">
            <w:pPr>
              <w:keepNext/>
              <w:widowControl/>
              <w:jc w:val="center"/>
              <w:rPr>
                <w:rFonts w:ascii="Arial Narrow" w:hAnsi="Arial Narrow"/>
                <w:sz w:val="20"/>
              </w:rPr>
            </w:pPr>
            <w:r w:rsidRPr="00114505">
              <w:rPr>
                <w:rFonts w:ascii="Arial Narrow" w:hAnsi="Arial Narrow"/>
                <w:sz w:val="20"/>
              </w:rPr>
              <w:t xml:space="preserve">0.12 </w:t>
            </w:r>
          </w:p>
          <w:p w:rsidR="006B6369" w:rsidRPr="00114505" w:rsidRDefault="006B6369" w:rsidP="00F34ABE">
            <w:pPr>
              <w:keepNext/>
              <w:widowControl/>
              <w:jc w:val="center"/>
              <w:rPr>
                <w:rFonts w:ascii="Arial Narrow" w:hAnsi="Arial Narrow"/>
                <w:sz w:val="20"/>
              </w:rPr>
            </w:pPr>
            <w:r w:rsidRPr="00114505">
              <w:rPr>
                <w:rFonts w:ascii="Arial Narrow" w:hAnsi="Arial Narrow"/>
                <w:sz w:val="20"/>
              </w:rPr>
              <w:t>(0.01, 0.23)</w:t>
            </w:r>
            <w:r w:rsidRPr="00114505">
              <w:rPr>
                <w:rFonts w:ascii="Arial Narrow" w:hAnsi="Arial Narrow"/>
                <w:sz w:val="20"/>
                <w:vertAlign w:val="superscript"/>
              </w:rPr>
              <w:t>a</w:t>
            </w:r>
          </w:p>
        </w:tc>
      </w:tr>
    </w:tbl>
    <w:p w:rsidR="006231E6" w:rsidRDefault="006231E6" w:rsidP="00F34ABE">
      <w:pPr>
        <w:keepNext/>
        <w:widowControl/>
        <w:ind w:firstLine="720"/>
        <w:rPr>
          <w:rFonts w:ascii="Arial Narrow" w:hAnsi="Arial Narrow"/>
          <w:sz w:val="18"/>
        </w:rPr>
      </w:pPr>
      <w:r w:rsidRPr="006231E6">
        <w:rPr>
          <w:rFonts w:ascii="Arial Narrow" w:hAnsi="Arial Narrow"/>
          <w:sz w:val="18"/>
        </w:rPr>
        <w:t>Source: Tables B.6.9 (109) of the submission; Table 11-24 (p159) and pp11-12 of the full CSR of KF10004/03; Baron (2009a)</w:t>
      </w:r>
    </w:p>
    <w:p w:rsidR="006B6369" w:rsidRDefault="006B6369" w:rsidP="00F34ABE">
      <w:pPr>
        <w:keepNext/>
        <w:widowControl/>
        <w:ind w:firstLine="720"/>
        <w:rPr>
          <w:rFonts w:ascii="Arial Narrow" w:hAnsi="Arial Narrow"/>
          <w:sz w:val="18"/>
        </w:rPr>
      </w:pPr>
      <w:r>
        <w:rPr>
          <w:rFonts w:ascii="Arial Narrow" w:hAnsi="Arial Narrow"/>
          <w:sz w:val="18"/>
        </w:rPr>
        <w:t>Abbreviations: CI, confidence interval; DPN, d</w:t>
      </w:r>
      <w:r w:rsidRPr="00A124B1">
        <w:rPr>
          <w:rFonts w:ascii="Arial Narrow" w:hAnsi="Arial Narrow"/>
          <w:sz w:val="18"/>
        </w:rPr>
        <w:t>iabetic polyneuropathy</w:t>
      </w:r>
      <w:r>
        <w:rPr>
          <w:rFonts w:ascii="Arial Narrow" w:hAnsi="Arial Narrow"/>
          <w:sz w:val="18"/>
        </w:rPr>
        <w:t>; MD, mean difference; PHN, post-herpetic neuralgia</w:t>
      </w:r>
    </w:p>
    <w:p w:rsidR="006B6369" w:rsidRDefault="006B6369" w:rsidP="00F34ABE">
      <w:pPr>
        <w:widowControl/>
        <w:ind w:firstLine="720"/>
        <w:rPr>
          <w:rFonts w:ascii="Arial Narrow" w:hAnsi="Arial Narrow"/>
          <w:sz w:val="18"/>
        </w:rPr>
      </w:pPr>
      <w:r>
        <w:rPr>
          <w:rFonts w:ascii="Arial Narrow" w:hAnsi="Arial Narrow"/>
          <w:sz w:val="18"/>
          <w:vertAlign w:val="superscript"/>
        </w:rPr>
        <w:t xml:space="preserve">a </w:t>
      </w:r>
      <w:r>
        <w:rPr>
          <w:rFonts w:ascii="Arial Narrow" w:hAnsi="Arial Narrow"/>
          <w:sz w:val="18"/>
        </w:rPr>
        <w:t>Calculated in the submission using RevMan.</w:t>
      </w:r>
    </w:p>
    <w:p w:rsidR="00551A5C" w:rsidRDefault="00551A5C" w:rsidP="00F34ABE">
      <w:pPr>
        <w:widowControl/>
      </w:pPr>
    </w:p>
    <w:p w:rsidR="004651A5" w:rsidRPr="00E30C97" w:rsidRDefault="00A12403" w:rsidP="00F34ABE">
      <w:pPr>
        <w:pStyle w:val="ListParagraph"/>
        <w:widowControl/>
        <w:numPr>
          <w:ilvl w:val="1"/>
          <w:numId w:val="7"/>
        </w:numPr>
        <w:rPr>
          <w:szCs w:val="22"/>
        </w:rPr>
      </w:pPr>
      <w:r w:rsidRPr="00A12403">
        <w:rPr>
          <w:szCs w:val="22"/>
        </w:rPr>
        <w:t>The submission cl</w:t>
      </w:r>
      <w:r w:rsidR="00E70A81">
        <w:rPr>
          <w:szCs w:val="22"/>
        </w:rPr>
        <w:t xml:space="preserve">aimed that lignocaine patch was </w:t>
      </w:r>
      <w:r w:rsidRPr="00A12403">
        <w:rPr>
          <w:szCs w:val="22"/>
        </w:rPr>
        <w:t xml:space="preserve">‘statistically significantly’ </w:t>
      </w:r>
      <w:r w:rsidR="00932374">
        <w:rPr>
          <w:szCs w:val="22"/>
        </w:rPr>
        <w:t xml:space="preserve">superior </w:t>
      </w:r>
      <w:r w:rsidRPr="00A12403">
        <w:rPr>
          <w:szCs w:val="22"/>
        </w:rPr>
        <w:t xml:space="preserve">to </w:t>
      </w:r>
      <w:r w:rsidRPr="00811867">
        <w:rPr>
          <w:szCs w:val="22"/>
        </w:rPr>
        <w:t xml:space="preserve">pregabalin in terms of quality of life among PHN patients, </w:t>
      </w:r>
      <w:r w:rsidR="00E70A81" w:rsidRPr="00811867">
        <w:rPr>
          <w:szCs w:val="22"/>
        </w:rPr>
        <w:t>with a patient relevant utility gain</w:t>
      </w:r>
      <w:r w:rsidR="00EA5174" w:rsidRPr="00811867">
        <w:rPr>
          <w:szCs w:val="22"/>
        </w:rPr>
        <w:t xml:space="preserve"> as measured by the EQ-5D-5L</w:t>
      </w:r>
      <w:r w:rsidRPr="00811867">
        <w:rPr>
          <w:szCs w:val="22"/>
        </w:rPr>
        <w:t xml:space="preserve">. While the data suggested a short-term gain in quality of life (4 weeks), the results were not robust given the small number of patients </w:t>
      </w:r>
      <w:r w:rsidR="001518A6">
        <w:rPr>
          <w:szCs w:val="22"/>
        </w:rPr>
        <w:t>in</w:t>
      </w:r>
      <w:r w:rsidRPr="00811867">
        <w:rPr>
          <w:szCs w:val="22"/>
        </w:rPr>
        <w:t xml:space="preserve"> the exploratory post hoc subgroup analysis from a trial </w:t>
      </w:r>
      <w:r w:rsidR="001518A6">
        <w:rPr>
          <w:szCs w:val="22"/>
        </w:rPr>
        <w:t xml:space="preserve">that </w:t>
      </w:r>
      <w:r w:rsidRPr="00811867">
        <w:rPr>
          <w:szCs w:val="22"/>
        </w:rPr>
        <w:t>failed the primary endpoint and was at high risk of bias.</w:t>
      </w:r>
      <w:r w:rsidR="00EA5174" w:rsidRPr="00811867">
        <w:rPr>
          <w:szCs w:val="22"/>
        </w:rPr>
        <w:t xml:space="preserve"> In addition, the ESC noted that the range of utility values at baseline </w:t>
      </w:r>
      <w:r w:rsidR="005D1CBB" w:rsidRPr="00811867">
        <w:rPr>
          <w:szCs w:val="22"/>
        </w:rPr>
        <w:t xml:space="preserve">and at 4 weeks </w:t>
      </w:r>
      <w:r w:rsidR="00EA5174" w:rsidRPr="00811867">
        <w:rPr>
          <w:szCs w:val="22"/>
        </w:rPr>
        <w:t xml:space="preserve">was from </w:t>
      </w:r>
      <w:r w:rsidR="00DA7EC1" w:rsidRPr="00811867">
        <w:rPr>
          <w:szCs w:val="22"/>
        </w:rPr>
        <w:noBreakHyphen/>
      </w:r>
      <w:r w:rsidR="00EA5174" w:rsidRPr="00811867">
        <w:rPr>
          <w:szCs w:val="22"/>
        </w:rPr>
        <w:t xml:space="preserve">0.18 to 1.0. This suggests considerable heterogeneity in quality of life, and also that the results may be sensitive to changes in </w:t>
      </w:r>
      <w:r w:rsidR="00CE0AA2" w:rsidRPr="00811867">
        <w:rPr>
          <w:szCs w:val="22"/>
        </w:rPr>
        <w:t>quality of life</w:t>
      </w:r>
      <w:r w:rsidR="00EA5174" w:rsidRPr="00811867">
        <w:rPr>
          <w:szCs w:val="22"/>
        </w:rPr>
        <w:t xml:space="preserve"> for a small number of patients, which may not be robust. The submission presents a qualitative description of SF-36 results </w:t>
      </w:r>
      <w:r w:rsidR="00C03622" w:rsidRPr="00811867">
        <w:rPr>
          <w:szCs w:val="22"/>
        </w:rPr>
        <w:t>that</w:t>
      </w:r>
      <w:r w:rsidR="00EA5174" w:rsidRPr="00811867">
        <w:rPr>
          <w:szCs w:val="22"/>
        </w:rPr>
        <w:t xml:space="preserve"> suggests that improvements were observed in most dimensions across both treatments, but with no clear pattern of greater gain in </w:t>
      </w:r>
      <w:r w:rsidR="00CE0AA2" w:rsidRPr="00811867">
        <w:rPr>
          <w:szCs w:val="22"/>
        </w:rPr>
        <w:t>quality of life</w:t>
      </w:r>
      <w:r w:rsidR="00EA5174" w:rsidRPr="00811867">
        <w:rPr>
          <w:szCs w:val="22"/>
        </w:rPr>
        <w:t xml:space="preserve"> for lignocaine compared with pregabalin.</w:t>
      </w:r>
    </w:p>
    <w:p w:rsidR="00E30C97" w:rsidRPr="00E30C97" w:rsidRDefault="00E30C97" w:rsidP="00F34ABE">
      <w:pPr>
        <w:pStyle w:val="ListParagraph"/>
        <w:widowControl/>
        <w:rPr>
          <w:szCs w:val="22"/>
        </w:rPr>
      </w:pPr>
    </w:p>
    <w:p w:rsidR="00E30C97" w:rsidRDefault="00E30C97" w:rsidP="004636CA">
      <w:pPr>
        <w:pStyle w:val="ListParagraph"/>
        <w:widowControl/>
        <w:numPr>
          <w:ilvl w:val="1"/>
          <w:numId w:val="7"/>
        </w:numPr>
        <w:rPr>
          <w:szCs w:val="22"/>
        </w:rPr>
      </w:pPr>
      <w:r>
        <w:rPr>
          <w:szCs w:val="22"/>
        </w:rPr>
        <w:t>The</w:t>
      </w:r>
      <w:r w:rsidR="004B36D4">
        <w:rPr>
          <w:szCs w:val="22"/>
        </w:rPr>
        <w:t xml:space="preserve"> results of the</w:t>
      </w:r>
      <w:r>
        <w:rPr>
          <w:szCs w:val="22"/>
        </w:rPr>
        <w:t xml:space="preserve"> </w:t>
      </w:r>
      <w:r w:rsidR="00061E26">
        <w:rPr>
          <w:szCs w:val="22"/>
        </w:rPr>
        <w:t xml:space="preserve">primary outcomes </w:t>
      </w:r>
      <w:r w:rsidR="000D498B">
        <w:rPr>
          <w:szCs w:val="22"/>
        </w:rPr>
        <w:t>of the placebo-</w:t>
      </w:r>
      <w:r>
        <w:rPr>
          <w:szCs w:val="22"/>
        </w:rPr>
        <w:t xml:space="preserve">controlled trials </w:t>
      </w:r>
      <w:r w:rsidR="004636CA">
        <w:rPr>
          <w:szCs w:val="22"/>
        </w:rPr>
        <w:t>are presented below</w:t>
      </w:r>
      <w:r w:rsidR="00E64C32">
        <w:rPr>
          <w:szCs w:val="22"/>
        </w:rPr>
        <w:t xml:space="preserve"> in</w:t>
      </w:r>
      <w:r w:rsidR="00505EC1">
        <w:rPr>
          <w:szCs w:val="22"/>
        </w:rPr>
        <w:t xml:space="preserve"> </w:t>
      </w:r>
      <w:r w:rsidR="004636CA">
        <w:rPr>
          <w:szCs w:val="22"/>
        </w:rPr>
        <w:t xml:space="preserve">the table of the </w:t>
      </w:r>
      <w:r w:rsidR="004636CA" w:rsidRPr="004636CA">
        <w:rPr>
          <w:szCs w:val="22"/>
        </w:rPr>
        <w:t>comparative benefits and harms for lignocaine patch and placebo</w:t>
      </w:r>
      <w:r w:rsidR="004636CA">
        <w:rPr>
          <w:szCs w:val="22"/>
        </w:rPr>
        <w:t>. In summary</w:t>
      </w:r>
      <w:r>
        <w:rPr>
          <w:szCs w:val="22"/>
        </w:rPr>
        <w:t>:</w:t>
      </w:r>
    </w:p>
    <w:p w:rsidR="00E30C97" w:rsidRPr="000065DA" w:rsidRDefault="00E30C97" w:rsidP="00F34ABE">
      <w:pPr>
        <w:pStyle w:val="ListParagraph"/>
        <w:widowControl/>
        <w:numPr>
          <w:ilvl w:val="0"/>
          <w:numId w:val="18"/>
        </w:numPr>
        <w:rPr>
          <w:szCs w:val="22"/>
        </w:rPr>
      </w:pPr>
      <w:r>
        <w:rPr>
          <w:szCs w:val="22"/>
          <w:u w:val="single"/>
        </w:rPr>
        <w:t>Binder (2009):</w:t>
      </w:r>
      <w:r w:rsidRPr="00A1657F">
        <w:rPr>
          <w:szCs w:val="22"/>
        </w:rPr>
        <w:t xml:space="preserve"> </w:t>
      </w:r>
      <w:r w:rsidR="00A1657F" w:rsidRPr="00A1657F">
        <w:rPr>
          <w:szCs w:val="22"/>
        </w:rPr>
        <w:t xml:space="preserve">There was no statistically significant difference between </w:t>
      </w:r>
      <w:r w:rsidR="00C03622">
        <w:rPr>
          <w:szCs w:val="22"/>
        </w:rPr>
        <w:t>treatment groups</w:t>
      </w:r>
      <w:r w:rsidR="00A1657F" w:rsidRPr="00A1657F">
        <w:rPr>
          <w:szCs w:val="22"/>
        </w:rPr>
        <w:t xml:space="preserve"> </w:t>
      </w:r>
      <w:r w:rsidR="00252E68">
        <w:rPr>
          <w:szCs w:val="22"/>
        </w:rPr>
        <w:t xml:space="preserve">in </w:t>
      </w:r>
      <w:r w:rsidR="009D1EDF">
        <w:rPr>
          <w:szCs w:val="22"/>
        </w:rPr>
        <w:t xml:space="preserve">the </w:t>
      </w:r>
      <w:r w:rsidR="00A1657F" w:rsidRPr="00A1657F">
        <w:rPr>
          <w:szCs w:val="22"/>
        </w:rPr>
        <w:t xml:space="preserve">time to exit </w:t>
      </w:r>
      <w:r w:rsidR="00252E68">
        <w:rPr>
          <w:szCs w:val="22"/>
        </w:rPr>
        <w:t xml:space="preserve">due to lack of efficacy </w:t>
      </w:r>
      <w:r w:rsidR="00252E68" w:rsidRPr="00252E68">
        <w:rPr>
          <w:szCs w:val="22"/>
        </w:rPr>
        <w:t xml:space="preserve">for the main analysis in the full analysis set </w:t>
      </w:r>
      <w:r w:rsidR="00A1657F">
        <w:rPr>
          <w:szCs w:val="22"/>
        </w:rPr>
        <w:t>(</w:t>
      </w:r>
      <w:r w:rsidR="00507FFC" w:rsidRPr="00A1657F">
        <w:rPr>
          <w:szCs w:val="22"/>
        </w:rPr>
        <w:t xml:space="preserve">median time to exit was 13.5 </w:t>
      </w:r>
      <w:r w:rsidR="00507FFC" w:rsidRPr="000065DA">
        <w:rPr>
          <w:szCs w:val="22"/>
        </w:rPr>
        <w:t xml:space="preserve">days for the lignocaine patch arm versus 9.0 days in the placebo arm; </w:t>
      </w:r>
      <w:r w:rsidR="00A1657F" w:rsidRPr="000065DA">
        <w:rPr>
          <w:szCs w:val="22"/>
        </w:rPr>
        <w:t>p=0.1510)</w:t>
      </w:r>
      <w:r w:rsidR="00FB26A9" w:rsidRPr="000065DA">
        <w:rPr>
          <w:szCs w:val="22"/>
        </w:rPr>
        <w:t xml:space="preserve">. </w:t>
      </w:r>
      <w:r w:rsidR="00CC2757" w:rsidRPr="000065DA">
        <w:rPr>
          <w:szCs w:val="22"/>
        </w:rPr>
        <w:t>H</w:t>
      </w:r>
      <w:r w:rsidR="002539CA" w:rsidRPr="000065DA">
        <w:rPr>
          <w:szCs w:val="22"/>
        </w:rPr>
        <w:t>owever</w:t>
      </w:r>
      <w:r w:rsidR="00A322B3" w:rsidRPr="000065DA">
        <w:rPr>
          <w:szCs w:val="22"/>
        </w:rPr>
        <w:t xml:space="preserve">, </w:t>
      </w:r>
      <w:r w:rsidR="00A322B3" w:rsidRPr="000065DA">
        <w:t xml:space="preserve">the </w:t>
      </w:r>
      <w:r w:rsidR="00B16860" w:rsidRPr="000065DA">
        <w:t xml:space="preserve">supportive </w:t>
      </w:r>
      <w:r w:rsidR="00A322B3" w:rsidRPr="000065DA">
        <w:t>analysis in the per protocol population found a statistically significant difference between arms in the median time to exit (14 days versus 6 days; p=0.0398)</w:t>
      </w:r>
      <w:r w:rsidR="00335575" w:rsidRPr="000065DA">
        <w:t xml:space="preserve">. </w:t>
      </w:r>
    </w:p>
    <w:p w:rsidR="00A322B3" w:rsidRPr="007D2190" w:rsidRDefault="00551666" w:rsidP="00F34ABE">
      <w:pPr>
        <w:pStyle w:val="ListParagraph"/>
        <w:widowControl/>
        <w:numPr>
          <w:ilvl w:val="0"/>
          <w:numId w:val="18"/>
        </w:numPr>
        <w:rPr>
          <w:szCs w:val="22"/>
        </w:rPr>
      </w:pPr>
      <w:r w:rsidRPr="00551666">
        <w:rPr>
          <w:szCs w:val="22"/>
          <w:u w:val="single"/>
        </w:rPr>
        <w:lastRenderedPageBreak/>
        <w:t xml:space="preserve">Galer </w:t>
      </w:r>
      <w:r w:rsidR="0024294B">
        <w:rPr>
          <w:szCs w:val="22"/>
          <w:u w:val="single"/>
        </w:rPr>
        <w:t>(</w:t>
      </w:r>
      <w:r w:rsidRPr="00551666">
        <w:rPr>
          <w:szCs w:val="22"/>
          <w:u w:val="single"/>
        </w:rPr>
        <w:t>1999</w:t>
      </w:r>
      <w:r w:rsidR="0024294B">
        <w:rPr>
          <w:szCs w:val="22"/>
          <w:u w:val="single"/>
        </w:rPr>
        <w:t>)</w:t>
      </w:r>
      <w:r w:rsidR="001C006A">
        <w:rPr>
          <w:szCs w:val="22"/>
          <w:u w:val="single"/>
        </w:rPr>
        <w:t xml:space="preserve"> (cross-over)</w:t>
      </w:r>
      <w:r w:rsidRPr="00551666">
        <w:rPr>
          <w:szCs w:val="22"/>
          <w:u w:val="single"/>
        </w:rPr>
        <w:t>:</w:t>
      </w:r>
      <w:r>
        <w:rPr>
          <w:szCs w:val="22"/>
        </w:rPr>
        <w:t xml:space="preserve"> </w:t>
      </w:r>
      <w:r w:rsidRPr="00551666">
        <w:rPr>
          <w:szCs w:val="22"/>
        </w:rPr>
        <w:t xml:space="preserve">The median time to exit for patients treated with lignocaine patches (&gt;14 days) was statistically significantly longer than the </w:t>
      </w:r>
      <w:r w:rsidR="00EF3FCA">
        <w:rPr>
          <w:szCs w:val="22"/>
        </w:rPr>
        <w:t>median</w:t>
      </w:r>
      <w:r w:rsidR="0085726D">
        <w:rPr>
          <w:szCs w:val="22"/>
        </w:rPr>
        <w:t xml:space="preserve"> time of </w:t>
      </w:r>
      <w:r w:rsidRPr="00551666">
        <w:rPr>
          <w:szCs w:val="22"/>
        </w:rPr>
        <w:t>3.8 days for those using placebo patches</w:t>
      </w:r>
      <w:r w:rsidR="000F3F78">
        <w:rPr>
          <w:szCs w:val="22"/>
        </w:rPr>
        <w:t xml:space="preserve"> (p&lt;0.001)</w:t>
      </w:r>
      <w:r w:rsidRPr="00551666">
        <w:rPr>
          <w:szCs w:val="22"/>
        </w:rPr>
        <w:t>.</w:t>
      </w:r>
      <w:r w:rsidR="00A20836">
        <w:rPr>
          <w:szCs w:val="22"/>
        </w:rPr>
        <w:t xml:space="preserve"> </w:t>
      </w:r>
    </w:p>
    <w:p w:rsidR="007D2190" w:rsidRPr="00567A2B" w:rsidRDefault="007D2190" w:rsidP="00F34ABE">
      <w:pPr>
        <w:pStyle w:val="ListParagraph"/>
        <w:widowControl/>
        <w:numPr>
          <w:ilvl w:val="0"/>
          <w:numId w:val="18"/>
        </w:numPr>
        <w:rPr>
          <w:szCs w:val="22"/>
        </w:rPr>
      </w:pPr>
      <w:r w:rsidRPr="007D2190">
        <w:rPr>
          <w:szCs w:val="22"/>
          <w:u w:val="single"/>
        </w:rPr>
        <w:t>Galer (2002):</w:t>
      </w:r>
      <w:r w:rsidR="00C83DDB" w:rsidRPr="008917CE">
        <w:rPr>
          <w:szCs w:val="22"/>
        </w:rPr>
        <w:t xml:space="preserve"> </w:t>
      </w:r>
      <w:r w:rsidR="00C83DDB" w:rsidRPr="00980C60">
        <w:rPr>
          <w:szCs w:val="22"/>
        </w:rPr>
        <w:t xml:space="preserve">There were no statistically significant differences between </w:t>
      </w:r>
      <w:r w:rsidR="00C03622">
        <w:rPr>
          <w:szCs w:val="22"/>
        </w:rPr>
        <w:t>treatment groups</w:t>
      </w:r>
      <w:r w:rsidR="00C83DDB" w:rsidRPr="00980C60">
        <w:rPr>
          <w:szCs w:val="22"/>
        </w:rPr>
        <w:t xml:space="preserve"> for pain intensity reduction using </w:t>
      </w:r>
      <w:r w:rsidR="00C62470">
        <w:rPr>
          <w:szCs w:val="22"/>
        </w:rPr>
        <w:t>visual analogue scale</w:t>
      </w:r>
      <w:r w:rsidR="003701DC">
        <w:rPr>
          <w:szCs w:val="22"/>
        </w:rPr>
        <w:t xml:space="preserve"> (VAS)</w:t>
      </w:r>
      <w:r w:rsidR="00C62470" w:rsidRPr="00980C60">
        <w:rPr>
          <w:szCs w:val="22"/>
        </w:rPr>
        <w:t xml:space="preserve"> </w:t>
      </w:r>
      <w:r w:rsidR="00C83DDB" w:rsidRPr="00980C60">
        <w:rPr>
          <w:szCs w:val="22"/>
        </w:rPr>
        <w:t>(except at 2 hours during session 2) and pain relief scores (except at 10 hours during session 1).</w:t>
      </w:r>
      <w:r w:rsidR="00567A2B" w:rsidRPr="00980C60">
        <w:rPr>
          <w:szCs w:val="22"/>
        </w:rPr>
        <w:t xml:space="preserve"> The submission stated that two of the three primary outcomes </w:t>
      </w:r>
      <w:r w:rsidR="00DB1945" w:rsidRPr="00980C60">
        <w:rPr>
          <w:szCs w:val="22"/>
        </w:rPr>
        <w:t xml:space="preserve">subsequently chosen by the trial report </w:t>
      </w:r>
      <w:r w:rsidR="00567A2B" w:rsidRPr="00567A2B">
        <w:rPr>
          <w:szCs w:val="22"/>
        </w:rPr>
        <w:t>were only assessed during the in-clinic sessions. Therefore, the submission only presented one outcome as the primary outcome (pain relief using a 6-point scale after the in-house period of 21-24 days).</w:t>
      </w:r>
      <w:r w:rsidR="00DC2557">
        <w:rPr>
          <w:szCs w:val="22"/>
        </w:rPr>
        <w:t xml:space="preserve"> </w:t>
      </w:r>
      <w:r w:rsidR="00DC2557">
        <w:t xml:space="preserve">There was a statistically significant difference between </w:t>
      </w:r>
      <w:r w:rsidR="00C03622">
        <w:t>treatment groups</w:t>
      </w:r>
      <w:r w:rsidR="00DC2557">
        <w:t xml:space="preserve"> in mean pain relief scale scores favouring lignocaine patch over placebo patch (p=0.021)</w:t>
      </w:r>
      <w:r w:rsidR="00DC2557" w:rsidRPr="00BC1749">
        <w:t>.</w:t>
      </w:r>
    </w:p>
    <w:p w:rsidR="00B60939" w:rsidRDefault="00B60939" w:rsidP="00F34ABE">
      <w:pPr>
        <w:widowControl/>
        <w:rPr>
          <w:szCs w:val="22"/>
        </w:rPr>
      </w:pPr>
    </w:p>
    <w:p w:rsidR="00A13C80" w:rsidRPr="00BB7EC3" w:rsidRDefault="00A13C80" w:rsidP="00F34ABE">
      <w:pPr>
        <w:pStyle w:val="ListParagraph"/>
        <w:widowControl/>
        <w:ind w:left="709" w:firstLine="11"/>
        <w:rPr>
          <w:i/>
          <w:szCs w:val="22"/>
        </w:rPr>
      </w:pPr>
      <w:r>
        <w:rPr>
          <w:i/>
          <w:szCs w:val="22"/>
        </w:rPr>
        <w:t>For more detail on PBAC’s view, see section 7 “PBAC outcome”</w:t>
      </w:r>
    </w:p>
    <w:p w:rsidR="00A13C80" w:rsidRPr="00882085" w:rsidRDefault="00A13C80" w:rsidP="00F34ABE">
      <w:pPr>
        <w:widowControl/>
        <w:rPr>
          <w:szCs w:val="22"/>
        </w:rPr>
      </w:pPr>
    </w:p>
    <w:p w:rsidR="00B60939" w:rsidRPr="00FF4023" w:rsidRDefault="00B60939" w:rsidP="00E73BE9">
      <w:pPr>
        <w:pStyle w:val="Heading2"/>
      </w:pPr>
      <w:bookmarkStart w:id="10" w:name="_Toc409512491"/>
      <w:r w:rsidRPr="00FF4023">
        <w:t>Comparative harms</w:t>
      </w:r>
      <w:bookmarkEnd w:id="10"/>
    </w:p>
    <w:p w:rsidR="00B60939" w:rsidRPr="0088455B" w:rsidRDefault="00B60939" w:rsidP="00F34ABE">
      <w:pPr>
        <w:widowControl/>
        <w:ind w:left="720" w:hanging="720"/>
        <w:rPr>
          <w:szCs w:val="22"/>
        </w:rPr>
      </w:pPr>
    </w:p>
    <w:p w:rsidR="00C37370" w:rsidRPr="00C37370" w:rsidRDefault="001B1EAA" w:rsidP="00F34ABE">
      <w:pPr>
        <w:pStyle w:val="ListParagraph"/>
        <w:widowControl/>
        <w:numPr>
          <w:ilvl w:val="1"/>
          <w:numId w:val="7"/>
        </w:numPr>
        <w:rPr>
          <w:szCs w:val="22"/>
        </w:rPr>
      </w:pPr>
      <w:r w:rsidRPr="0088455B">
        <w:t xml:space="preserve">During the </w:t>
      </w:r>
      <w:r w:rsidR="008225C1">
        <w:t>four</w:t>
      </w:r>
      <w:r w:rsidR="00C03622">
        <w:t>-</w:t>
      </w:r>
      <w:r w:rsidR="001469EF" w:rsidRPr="0088455B">
        <w:t xml:space="preserve">week </w:t>
      </w:r>
      <w:r w:rsidRPr="0088455B">
        <w:t>comparative phase</w:t>
      </w:r>
      <w:r w:rsidR="00071B7F">
        <w:t xml:space="preserve"> of Trial KF10004/03</w:t>
      </w:r>
      <w:r w:rsidRPr="0088455B">
        <w:t>, more patients on pregabalin in the overall population (DPN and PHN) experienced treatment</w:t>
      </w:r>
      <w:r w:rsidR="009A0FCA">
        <w:noBreakHyphen/>
      </w:r>
      <w:r w:rsidRPr="0088455B">
        <w:t xml:space="preserve">emergent </w:t>
      </w:r>
      <w:r w:rsidR="0088455B">
        <w:t xml:space="preserve">adverse </w:t>
      </w:r>
      <w:r w:rsidRPr="0088455B">
        <w:t xml:space="preserve">events (descriptive p-value &lt;0.0001), and discontinued treatment due to adverse events compared to those who received lignocaine patches. </w:t>
      </w:r>
      <w:r w:rsidRPr="00980C60">
        <w:rPr>
          <w:i/>
        </w:rPr>
        <w:t xml:space="preserve">Post hoc </w:t>
      </w:r>
      <w:r w:rsidRPr="0088455B">
        <w:t>statistical analyses presented in the submission indicated that these differences were statistically significant in the PHN subgroup (</w:t>
      </w:r>
      <w:r w:rsidR="00505EC1">
        <w:t>s</w:t>
      </w:r>
      <w:r w:rsidR="00E32ED5" w:rsidRPr="0088455B">
        <w:t xml:space="preserve">ee Table </w:t>
      </w:r>
      <w:r w:rsidR="00CF137C">
        <w:t>5</w:t>
      </w:r>
      <w:r w:rsidRPr="0088455B">
        <w:t xml:space="preserve">). </w:t>
      </w:r>
      <w:r w:rsidR="00E11E6B" w:rsidRPr="00980C60">
        <w:t xml:space="preserve">The open-label design of the trial may have biased the reporting of adverse events. </w:t>
      </w:r>
      <w:r w:rsidR="005F01D3" w:rsidRPr="00980C60">
        <w:t>Additionally, patients who discontinue</w:t>
      </w:r>
      <w:r w:rsidR="00AE3F19" w:rsidRPr="00980C60">
        <w:t>d</w:t>
      </w:r>
      <w:r w:rsidR="005F01D3" w:rsidRPr="00980C60">
        <w:t xml:space="preserve"> randomised pregabalin due to adverse events during the comparative phase were allowed to </w:t>
      </w:r>
      <w:r w:rsidR="00C03622">
        <w:t>switch to</w:t>
      </w:r>
      <w:r w:rsidR="005F01D3" w:rsidRPr="00980C60">
        <w:t xml:space="preserve"> lignocaine</w:t>
      </w:r>
      <w:r w:rsidR="00C03622">
        <w:t>.</w:t>
      </w:r>
      <w:r w:rsidR="00574CEB">
        <w:t xml:space="preserve"> </w:t>
      </w:r>
      <w:r w:rsidR="00130D61">
        <w:t xml:space="preserve">This trial had an accelerated titration of </w:t>
      </w:r>
      <w:r w:rsidR="003F3ABE">
        <w:t xml:space="preserve">the </w:t>
      </w:r>
      <w:r w:rsidR="00130D61">
        <w:t>pregabal</w:t>
      </w:r>
      <w:r w:rsidR="00EB04A8">
        <w:t>i</w:t>
      </w:r>
      <w:r w:rsidR="00130D61">
        <w:t xml:space="preserve">n </w:t>
      </w:r>
      <w:r w:rsidR="003F3ABE">
        <w:t xml:space="preserve">dose </w:t>
      </w:r>
      <w:r w:rsidR="00130D61">
        <w:t>which was not reflective of clinical practice and may have contributed to the increased side effects.</w:t>
      </w:r>
    </w:p>
    <w:p w:rsidR="00C37370" w:rsidRPr="00980C60" w:rsidRDefault="00C37370" w:rsidP="00F34ABE">
      <w:pPr>
        <w:pStyle w:val="ListParagraph"/>
        <w:widowControl/>
        <w:rPr>
          <w:szCs w:val="22"/>
        </w:rPr>
      </w:pPr>
    </w:p>
    <w:p w:rsidR="00C37370" w:rsidRDefault="003B35A1" w:rsidP="00F34ABE">
      <w:pPr>
        <w:pStyle w:val="ListParagraph"/>
        <w:widowControl/>
        <w:numPr>
          <w:ilvl w:val="1"/>
          <w:numId w:val="7"/>
        </w:numPr>
        <w:rPr>
          <w:szCs w:val="22"/>
        </w:rPr>
      </w:pPr>
      <w:r w:rsidRPr="008225C1">
        <w:rPr>
          <w:szCs w:val="22"/>
        </w:rPr>
        <w:t xml:space="preserve">Limited safety data were </w:t>
      </w:r>
      <w:r w:rsidR="00B17AD7" w:rsidRPr="008225C1">
        <w:rPr>
          <w:szCs w:val="22"/>
        </w:rPr>
        <w:t>available</w:t>
      </w:r>
      <w:r w:rsidRPr="008225C1">
        <w:rPr>
          <w:szCs w:val="22"/>
        </w:rPr>
        <w:t xml:space="preserve"> </w:t>
      </w:r>
      <w:r w:rsidR="00B17AD7" w:rsidRPr="008225C1">
        <w:rPr>
          <w:szCs w:val="22"/>
        </w:rPr>
        <w:t xml:space="preserve">from </w:t>
      </w:r>
      <w:r w:rsidRPr="008225C1">
        <w:rPr>
          <w:szCs w:val="22"/>
        </w:rPr>
        <w:t xml:space="preserve">the </w:t>
      </w:r>
      <w:r w:rsidR="00FC12AA" w:rsidRPr="008225C1">
        <w:rPr>
          <w:szCs w:val="22"/>
        </w:rPr>
        <w:t xml:space="preserve">placebo-controlled trials. </w:t>
      </w:r>
      <w:r w:rsidR="003A617E" w:rsidRPr="008225C1">
        <w:rPr>
          <w:szCs w:val="22"/>
        </w:rPr>
        <w:t xml:space="preserve">Many patients </w:t>
      </w:r>
      <w:r w:rsidR="00C03622">
        <w:rPr>
          <w:szCs w:val="22"/>
        </w:rPr>
        <w:t>assessed for</w:t>
      </w:r>
      <w:r w:rsidR="003A617E" w:rsidRPr="008225C1">
        <w:rPr>
          <w:szCs w:val="22"/>
        </w:rPr>
        <w:t xml:space="preserve"> comparative </w:t>
      </w:r>
      <w:r w:rsidR="00597103" w:rsidRPr="008225C1">
        <w:rPr>
          <w:szCs w:val="22"/>
        </w:rPr>
        <w:t>data (lignocaine patch versus</w:t>
      </w:r>
      <w:r w:rsidR="00434974" w:rsidRPr="008225C1">
        <w:rPr>
          <w:szCs w:val="22"/>
        </w:rPr>
        <w:t xml:space="preserve"> placebo patch</w:t>
      </w:r>
      <w:r w:rsidR="00597103" w:rsidRPr="008225C1">
        <w:rPr>
          <w:szCs w:val="22"/>
        </w:rPr>
        <w:t>)</w:t>
      </w:r>
      <w:r w:rsidR="00434974" w:rsidRPr="008225C1">
        <w:rPr>
          <w:szCs w:val="22"/>
        </w:rPr>
        <w:t xml:space="preserve"> </w:t>
      </w:r>
      <w:r w:rsidR="003A617E" w:rsidRPr="008225C1">
        <w:rPr>
          <w:szCs w:val="22"/>
        </w:rPr>
        <w:t xml:space="preserve">during the double-blind period were </w:t>
      </w:r>
      <w:r w:rsidR="00990AAA" w:rsidRPr="008225C1">
        <w:rPr>
          <w:szCs w:val="22"/>
        </w:rPr>
        <w:t xml:space="preserve">lignocaine patch </w:t>
      </w:r>
      <w:r w:rsidR="003A617E" w:rsidRPr="008225C1">
        <w:rPr>
          <w:szCs w:val="22"/>
        </w:rPr>
        <w:t xml:space="preserve">treatment-experienced. Placebo patches </w:t>
      </w:r>
      <w:r w:rsidR="00C03622">
        <w:rPr>
          <w:szCs w:val="22"/>
        </w:rPr>
        <w:t>can also</w:t>
      </w:r>
      <w:r w:rsidR="003A617E" w:rsidRPr="008225C1">
        <w:rPr>
          <w:szCs w:val="22"/>
        </w:rPr>
        <w:t xml:space="preserve"> induce localised skin reactions. Therefore, safety results were likely biase</w:t>
      </w:r>
      <w:r w:rsidR="00505EC1" w:rsidRPr="008225C1">
        <w:rPr>
          <w:szCs w:val="22"/>
        </w:rPr>
        <w:t>d in favour of lignocaine patch.</w:t>
      </w:r>
    </w:p>
    <w:p w:rsidR="009A0FCA" w:rsidRPr="009A0FCA" w:rsidRDefault="009A0FCA" w:rsidP="00F34ABE">
      <w:pPr>
        <w:pStyle w:val="ListParagraph"/>
        <w:widowControl/>
        <w:rPr>
          <w:szCs w:val="22"/>
        </w:rPr>
      </w:pPr>
    </w:p>
    <w:p w:rsidR="007B1D3D" w:rsidRDefault="007B1D3D" w:rsidP="00F34ABE">
      <w:pPr>
        <w:pStyle w:val="ListParagraph"/>
        <w:widowControl/>
        <w:numPr>
          <w:ilvl w:val="1"/>
          <w:numId w:val="7"/>
        </w:numPr>
        <w:rPr>
          <w:szCs w:val="22"/>
        </w:rPr>
      </w:pPr>
      <w:r w:rsidRPr="00980C60">
        <w:rPr>
          <w:szCs w:val="22"/>
        </w:rPr>
        <w:t>Lignocaine patches were associated with localised application site reactions, but the frequency was unclear from the trial report</w:t>
      </w:r>
      <w:r w:rsidR="00D30F32" w:rsidRPr="00980C60">
        <w:rPr>
          <w:szCs w:val="22"/>
        </w:rPr>
        <w:t>s</w:t>
      </w:r>
      <w:r w:rsidRPr="00980C60">
        <w:rPr>
          <w:szCs w:val="22"/>
        </w:rPr>
        <w:t>.</w:t>
      </w:r>
      <w:r w:rsidR="003853F6" w:rsidRPr="00980C60">
        <w:rPr>
          <w:szCs w:val="22"/>
        </w:rPr>
        <w:t xml:space="preserve"> </w:t>
      </w:r>
      <w:r w:rsidR="00D30F32" w:rsidRPr="00980C60">
        <w:rPr>
          <w:szCs w:val="22"/>
        </w:rPr>
        <w:t>The proportion of patients with skin reactions was reported as 12.4% in the TGA clinical evaluator report, a</w:t>
      </w:r>
      <w:r w:rsidR="00505EC1" w:rsidRPr="00980C60">
        <w:rPr>
          <w:szCs w:val="22"/>
        </w:rPr>
        <w:t>pparently based on Hans (2009).</w:t>
      </w:r>
    </w:p>
    <w:p w:rsidR="00C37370" w:rsidRPr="00811867" w:rsidRDefault="00C37370" w:rsidP="00F34ABE">
      <w:pPr>
        <w:pStyle w:val="ListParagraph"/>
        <w:widowControl/>
        <w:rPr>
          <w:szCs w:val="22"/>
        </w:rPr>
      </w:pPr>
    </w:p>
    <w:p w:rsidR="00C37370" w:rsidRPr="00811867" w:rsidRDefault="00C03622" w:rsidP="000411DE">
      <w:pPr>
        <w:pStyle w:val="ListParagraph"/>
        <w:keepNext/>
        <w:keepLines/>
        <w:widowControl/>
        <w:numPr>
          <w:ilvl w:val="1"/>
          <w:numId w:val="7"/>
        </w:numPr>
        <w:rPr>
          <w:szCs w:val="22"/>
        </w:rPr>
      </w:pPr>
      <w:r w:rsidRPr="00811867">
        <w:rPr>
          <w:szCs w:val="22"/>
        </w:rPr>
        <w:lastRenderedPageBreak/>
        <w:t>The m</w:t>
      </w:r>
      <w:r w:rsidR="003701DC" w:rsidRPr="00811867">
        <w:rPr>
          <w:szCs w:val="22"/>
        </w:rPr>
        <w:t>ajority of PHN cases occur in those aged over 70 years and t</w:t>
      </w:r>
      <w:r w:rsidR="005F07BD" w:rsidRPr="00811867">
        <w:rPr>
          <w:szCs w:val="22"/>
        </w:rPr>
        <w:t xml:space="preserve">he </w:t>
      </w:r>
      <w:r w:rsidR="00C37370" w:rsidRPr="00811867">
        <w:rPr>
          <w:szCs w:val="22"/>
        </w:rPr>
        <w:t>ESC consider</w:t>
      </w:r>
      <w:r w:rsidR="003701DC" w:rsidRPr="00811867">
        <w:rPr>
          <w:szCs w:val="22"/>
        </w:rPr>
        <w:t>ed</w:t>
      </w:r>
      <w:r w:rsidR="00C37370" w:rsidRPr="00811867">
        <w:rPr>
          <w:szCs w:val="22"/>
        </w:rPr>
        <w:t xml:space="preserve"> the patches may be complicated to use</w:t>
      </w:r>
      <w:r w:rsidR="003701DC" w:rsidRPr="00811867">
        <w:rPr>
          <w:szCs w:val="22"/>
        </w:rPr>
        <w:t xml:space="preserve"> in this patient group.</w:t>
      </w:r>
      <w:r w:rsidR="0061248C" w:rsidRPr="00811867">
        <w:rPr>
          <w:szCs w:val="22"/>
        </w:rPr>
        <w:t xml:space="preserve"> </w:t>
      </w:r>
      <w:r w:rsidR="00C37370" w:rsidRPr="00811867">
        <w:rPr>
          <w:szCs w:val="22"/>
        </w:rPr>
        <w:t xml:space="preserve">In particular, </w:t>
      </w:r>
      <w:r w:rsidR="005F07BD" w:rsidRPr="00811867">
        <w:rPr>
          <w:szCs w:val="22"/>
        </w:rPr>
        <w:t xml:space="preserve">the </w:t>
      </w:r>
      <w:r w:rsidR="00C37370" w:rsidRPr="00811867">
        <w:rPr>
          <w:szCs w:val="22"/>
        </w:rPr>
        <w:t xml:space="preserve">ESC was concerned about </w:t>
      </w:r>
      <w:r w:rsidR="003701DC" w:rsidRPr="00811867">
        <w:rPr>
          <w:szCs w:val="22"/>
        </w:rPr>
        <w:t>a patient’s</w:t>
      </w:r>
      <w:r w:rsidR="00C37370" w:rsidRPr="00811867">
        <w:rPr>
          <w:szCs w:val="22"/>
        </w:rPr>
        <w:t xml:space="preserve"> ability to cut the patches to size, frequent use on </w:t>
      </w:r>
      <w:r w:rsidR="008225C1" w:rsidRPr="00811867">
        <w:rPr>
          <w:szCs w:val="22"/>
        </w:rPr>
        <w:t>fragile</w:t>
      </w:r>
      <w:r w:rsidR="00C37370" w:rsidRPr="00811867">
        <w:rPr>
          <w:szCs w:val="22"/>
        </w:rPr>
        <w:t xml:space="preserve"> skin and incorrect use which </w:t>
      </w:r>
      <w:r w:rsidR="00930699" w:rsidRPr="00811867">
        <w:rPr>
          <w:szCs w:val="22"/>
        </w:rPr>
        <w:t>could</w:t>
      </w:r>
      <w:r w:rsidR="00C37370" w:rsidRPr="00811867">
        <w:rPr>
          <w:szCs w:val="22"/>
        </w:rPr>
        <w:t xml:space="preserve"> result in a greater </w:t>
      </w:r>
      <w:r w:rsidR="00F656CF" w:rsidRPr="00811867">
        <w:rPr>
          <w:szCs w:val="22"/>
        </w:rPr>
        <w:t xml:space="preserve">than intended </w:t>
      </w:r>
      <w:r w:rsidR="00C37370" w:rsidRPr="00811867">
        <w:rPr>
          <w:szCs w:val="22"/>
        </w:rPr>
        <w:t>dose of lignocaine</w:t>
      </w:r>
      <w:r w:rsidR="00930699" w:rsidRPr="00811867">
        <w:rPr>
          <w:szCs w:val="22"/>
        </w:rPr>
        <w:t xml:space="preserve"> being absorbed</w:t>
      </w:r>
      <w:r w:rsidR="00C37370" w:rsidRPr="00811867">
        <w:rPr>
          <w:szCs w:val="22"/>
        </w:rPr>
        <w:t>.</w:t>
      </w:r>
      <w:r w:rsidR="007E5538">
        <w:rPr>
          <w:szCs w:val="22"/>
        </w:rPr>
        <w:t xml:space="preserve"> The Pre-PBAC Response disagreed with the ESC, stating that safety concerns regarding patch application are not supported by the available clinical trial or post-marketing safety data. Furt</w:t>
      </w:r>
      <w:r w:rsidR="001F4F32">
        <w:rPr>
          <w:szCs w:val="22"/>
        </w:rPr>
        <w:t>hermore, the Pre</w:t>
      </w:r>
      <w:r w:rsidR="001F4F32">
        <w:rPr>
          <w:szCs w:val="22"/>
        </w:rPr>
        <w:noBreakHyphen/>
        <w:t xml:space="preserve">PBAC Response </w:t>
      </w:r>
      <w:r w:rsidR="007E5538">
        <w:rPr>
          <w:szCs w:val="22"/>
        </w:rPr>
        <w:t>argued that the potential safety and quality use of medicines concerns highlighted by ESC are relatively minor and manageable and should be interpreted in the context of the safety profile of pregabalin.</w:t>
      </w:r>
    </w:p>
    <w:p w:rsidR="00CB74D9" w:rsidRPr="00980C60" w:rsidRDefault="00CB74D9" w:rsidP="00F34ABE">
      <w:pPr>
        <w:pStyle w:val="ListParagraph"/>
        <w:widowControl/>
        <w:rPr>
          <w:szCs w:val="22"/>
        </w:rPr>
      </w:pPr>
    </w:p>
    <w:p w:rsidR="00CB74D9" w:rsidRPr="00980C60" w:rsidRDefault="007B1D3D" w:rsidP="00F34ABE">
      <w:pPr>
        <w:pStyle w:val="ListParagraph"/>
        <w:widowControl/>
        <w:numPr>
          <w:ilvl w:val="1"/>
          <w:numId w:val="7"/>
        </w:numPr>
        <w:rPr>
          <w:szCs w:val="22"/>
        </w:rPr>
      </w:pPr>
      <w:r w:rsidRPr="00980C60">
        <w:rPr>
          <w:szCs w:val="22"/>
        </w:rPr>
        <w:t>T</w:t>
      </w:r>
      <w:r w:rsidR="00CB74D9" w:rsidRPr="00980C60">
        <w:rPr>
          <w:szCs w:val="22"/>
        </w:rPr>
        <w:t xml:space="preserve">he commonly reported adverse events </w:t>
      </w:r>
      <w:r w:rsidRPr="00980C60">
        <w:rPr>
          <w:szCs w:val="22"/>
        </w:rPr>
        <w:t xml:space="preserve">associated with pregabalin </w:t>
      </w:r>
      <w:r w:rsidR="00CB74D9" w:rsidRPr="00980C60">
        <w:rPr>
          <w:szCs w:val="22"/>
        </w:rPr>
        <w:t>included dizziness, fatigue, headache, somnolence, and vertigo.</w:t>
      </w:r>
      <w:r w:rsidR="004315E1" w:rsidRPr="00980C60">
        <w:rPr>
          <w:szCs w:val="22"/>
        </w:rPr>
        <w:t xml:space="preserve"> The December 2014 Medicines Safety Update by the </w:t>
      </w:r>
      <w:r w:rsidR="00D30F32" w:rsidRPr="00980C60">
        <w:rPr>
          <w:szCs w:val="22"/>
        </w:rPr>
        <w:t>TGA</w:t>
      </w:r>
      <w:r w:rsidR="004315E1" w:rsidRPr="00980C60">
        <w:rPr>
          <w:szCs w:val="22"/>
        </w:rPr>
        <w:t xml:space="preserve"> included a reminder of the suicidality risk associated with pregabalin use.</w:t>
      </w:r>
    </w:p>
    <w:p w:rsidR="00B60939" w:rsidRDefault="00B60939" w:rsidP="00F34ABE">
      <w:pPr>
        <w:pStyle w:val="ListParagraph"/>
        <w:widowControl/>
        <w:ind w:left="0"/>
        <w:rPr>
          <w:szCs w:val="22"/>
        </w:rPr>
      </w:pPr>
    </w:p>
    <w:p w:rsidR="00A13C80" w:rsidRPr="00BB7EC3" w:rsidRDefault="00A13C80" w:rsidP="00F34ABE">
      <w:pPr>
        <w:pStyle w:val="ListParagraph"/>
        <w:widowControl/>
        <w:ind w:left="709"/>
        <w:rPr>
          <w:i/>
          <w:szCs w:val="22"/>
        </w:rPr>
      </w:pPr>
      <w:r>
        <w:rPr>
          <w:i/>
          <w:szCs w:val="22"/>
        </w:rPr>
        <w:t>For more detail on PBAC’s view, see section 7 “PBAC outcome”</w:t>
      </w:r>
    </w:p>
    <w:p w:rsidR="00A13C80" w:rsidRDefault="00A13C80" w:rsidP="00F34ABE">
      <w:pPr>
        <w:pStyle w:val="ListParagraph"/>
        <w:widowControl/>
        <w:ind w:left="0"/>
        <w:rPr>
          <w:szCs w:val="22"/>
        </w:rPr>
      </w:pPr>
    </w:p>
    <w:p w:rsidR="007F1017" w:rsidRPr="00FF4023" w:rsidRDefault="007F1017" w:rsidP="00E73BE9">
      <w:pPr>
        <w:pStyle w:val="Heading2"/>
      </w:pPr>
      <w:bookmarkStart w:id="11" w:name="_Toc409512492"/>
      <w:r w:rsidRPr="00FF4023">
        <w:t>Benefits/harms</w:t>
      </w:r>
      <w:bookmarkEnd w:id="11"/>
    </w:p>
    <w:p w:rsidR="007F1017" w:rsidRPr="007F1017" w:rsidRDefault="007F1017" w:rsidP="00F34ABE">
      <w:pPr>
        <w:pStyle w:val="ListParagraph"/>
        <w:keepNext/>
        <w:widowControl/>
        <w:ind w:left="0"/>
        <w:rPr>
          <w:szCs w:val="22"/>
        </w:rPr>
      </w:pPr>
    </w:p>
    <w:p w:rsidR="00EC00C9" w:rsidRPr="00B50DB8" w:rsidRDefault="00EC00C9" w:rsidP="00F34ABE">
      <w:pPr>
        <w:pStyle w:val="ListParagraph"/>
        <w:widowControl/>
        <w:numPr>
          <w:ilvl w:val="1"/>
          <w:numId w:val="7"/>
        </w:numPr>
        <w:rPr>
          <w:szCs w:val="22"/>
        </w:rPr>
      </w:pPr>
      <w:r w:rsidRPr="00B50DB8">
        <w:rPr>
          <w:szCs w:val="22"/>
        </w:rPr>
        <w:t>A summary of the comparative benefits and harms for</w:t>
      </w:r>
      <w:r w:rsidR="003E6744">
        <w:rPr>
          <w:szCs w:val="22"/>
        </w:rPr>
        <w:t xml:space="preserve"> lignocaine patch</w:t>
      </w:r>
      <w:r w:rsidRPr="00B50DB8">
        <w:rPr>
          <w:szCs w:val="22"/>
        </w:rPr>
        <w:t xml:space="preserve"> versus </w:t>
      </w:r>
      <w:r w:rsidR="003E6744">
        <w:rPr>
          <w:szCs w:val="22"/>
        </w:rPr>
        <w:t>pregabalin</w:t>
      </w:r>
      <w:r w:rsidRPr="00B50DB8">
        <w:rPr>
          <w:szCs w:val="22"/>
        </w:rPr>
        <w:t xml:space="preserve"> is presented in the </w:t>
      </w:r>
      <w:r w:rsidR="00505EC1">
        <w:rPr>
          <w:szCs w:val="22"/>
        </w:rPr>
        <w:t xml:space="preserve">following </w:t>
      </w:r>
      <w:r w:rsidRPr="00B50DB8">
        <w:rPr>
          <w:szCs w:val="22"/>
        </w:rPr>
        <w:t>table.</w:t>
      </w:r>
      <w:r w:rsidR="00410708" w:rsidRPr="00B50DB8">
        <w:rPr>
          <w:szCs w:val="22"/>
        </w:rPr>
        <w:t xml:space="preserve"> </w:t>
      </w:r>
    </w:p>
    <w:p w:rsidR="00162913" w:rsidRDefault="00162913" w:rsidP="00F34ABE">
      <w:pPr>
        <w:widowControl/>
      </w:pPr>
    </w:p>
    <w:p w:rsidR="00B62715" w:rsidRPr="00A578DC" w:rsidRDefault="00B62715" w:rsidP="00F34ABE">
      <w:pPr>
        <w:keepNext/>
        <w:keepLines/>
        <w:widowControl/>
        <w:ind w:left="720"/>
        <w:rPr>
          <w:rStyle w:val="CommentReference"/>
        </w:rPr>
      </w:pPr>
      <w:r w:rsidRPr="00A578DC">
        <w:rPr>
          <w:rStyle w:val="CommentReference"/>
        </w:rPr>
        <w:lastRenderedPageBreak/>
        <w:t xml:space="preserve">Summary of comparative benefits and harms for </w:t>
      </w:r>
      <w:r w:rsidR="00C2072D">
        <w:rPr>
          <w:rStyle w:val="CommentReference"/>
        </w:rPr>
        <w:t>lignocaine patch</w:t>
      </w:r>
      <w:r w:rsidRPr="00A578DC">
        <w:rPr>
          <w:rStyle w:val="CommentReference"/>
        </w:rPr>
        <w:t xml:space="preserve"> and </w:t>
      </w:r>
      <w:r w:rsidR="00C2072D">
        <w:rPr>
          <w:rStyle w:val="CommentReference"/>
        </w:rPr>
        <w:t>pregabalin</w:t>
      </w:r>
      <w:r w:rsidR="00492D7C">
        <w:rPr>
          <w:rStyle w:val="CommentReference"/>
        </w:rPr>
        <w:t xml:space="preserve"> (PHN subgroup of Trial KF10004/03</w:t>
      </w:r>
      <w:r w:rsidR="00D821DE">
        <w:rPr>
          <w:rStyle w:val="CommentReference"/>
        </w:rPr>
        <w:t xml:space="preserve"> during the comparative phase</w:t>
      </w:r>
      <w:r w:rsidR="00492D7C">
        <w:rPr>
          <w:rStyle w:val="CommentReference"/>
        </w:rPr>
        <w:t>)</w:t>
      </w:r>
    </w:p>
    <w:tbl>
      <w:tblPr>
        <w:tblStyle w:val="TableGrid"/>
        <w:tblW w:w="4700" w:type="pct"/>
        <w:tblInd w:w="698" w:type="dxa"/>
        <w:tblLayout w:type="fixed"/>
        <w:tblCellMar>
          <w:left w:w="28" w:type="dxa"/>
          <w:right w:w="28" w:type="dxa"/>
        </w:tblCellMar>
        <w:tblLook w:val="04A0" w:firstRow="1" w:lastRow="0" w:firstColumn="1" w:lastColumn="0" w:noHBand="0" w:noVBand="1"/>
        <w:tblCaption w:val="Comparative benefits and harms"/>
      </w:tblPr>
      <w:tblGrid>
        <w:gridCol w:w="1601"/>
        <w:gridCol w:w="994"/>
        <w:gridCol w:w="996"/>
        <w:gridCol w:w="39"/>
        <w:gridCol w:w="1395"/>
        <w:gridCol w:w="1072"/>
        <w:gridCol w:w="9"/>
        <w:gridCol w:w="1069"/>
        <w:gridCol w:w="14"/>
        <w:gridCol w:w="1349"/>
      </w:tblGrid>
      <w:tr w:rsidR="00EE179A" w:rsidRPr="00980C60" w:rsidTr="00957DC5">
        <w:trPr>
          <w:trHeight w:val="150"/>
        </w:trPr>
        <w:tc>
          <w:tcPr>
            <w:tcW w:w="938" w:type="pct"/>
            <w:vMerge w:val="restart"/>
            <w:shd w:val="clear" w:color="auto" w:fill="auto"/>
            <w:vAlign w:val="center"/>
          </w:tcPr>
          <w:p w:rsidR="00B62715" w:rsidRPr="00980C60" w:rsidRDefault="00B62715" w:rsidP="00F34ABE">
            <w:pPr>
              <w:keepNext/>
              <w:widowControl/>
              <w:rPr>
                <w:rFonts w:ascii="Arial Narrow" w:hAnsi="Arial Narrow"/>
                <w:b/>
                <w:color w:val="000000"/>
                <w:sz w:val="20"/>
                <w:szCs w:val="18"/>
              </w:rPr>
            </w:pPr>
            <w:r w:rsidRPr="00980C60">
              <w:rPr>
                <w:rFonts w:ascii="Arial Narrow" w:hAnsi="Arial Narrow"/>
                <w:b/>
                <w:color w:val="000000"/>
                <w:sz w:val="20"/>
                <w:szCs w:val="18"/>
              </w:rPr>
              <w:t>Trial</w:t>
            </w:r>
          </w:p>
        </w:tc>
        <w:tc>
          <w:tcPr>
            <w:tcW w:w="582" w:type="pct"/>
            <w:vMerge w:val="restart"/>
            <w:vAlign w:val="center"/>
          </w:tcPr>
          <w:p w:rsidR="00B62715" w:rsidRPr="00980C60" w:rsidRDefault="00896894"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Lignocaine patch</w:t>
            </w:r>
          </w:p>
        </w:tc>
        <w:tc>
          <w:tcPr>
            <w:tcW w:w="583" w:type="pct"/>
            <w:vMerge w:val="restart"/>
            <w:vAlign w:val="center"/>
          </w:tcPr>
          <w:p w:rsidR="00B62715" w:rsidRPr="00980C60" w:rsidRDefault="00896894"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Pregabalin</w:t>
            </w:r>
          </w:p>
        </w:tc>
        <w:tc>
          <w:tcPr>
            <w:tcW w:w="840" w:type="pct"/>
            <w:gridSpan w:val="2"/>
            <w:vMerge w:val="restart"/>
            <w:vAlign w:val="center"/>
          </w:tcPr>
          <w:p w:rsidR="00B62715" w:rsidRPr="00980C60" w:rsidRDefault="00B6271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RR</w:t>
            </w:r>
          </w:p>
          <w:p w:rsidR="00B62715" w:rsidRPr="00980C60" w:rsidRDefault="00B6271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(95% CI)</w:t>
            </w:r>
          </w:p>
        </w:tc>
        <w:tc>
          <w:tcPr>
            <w:tcW w:w="1259" w:type="pct"/>
            <w:gridSpan w:val="3"/>
            <w:vAlign w:val="center"/>
          </w:tcPr>
          <w:p w:rsidR="00B62715" w:rsidRPr="00980C60" w:rsidRDefault="00B6271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Event rate/100 patients</w:t>
            </w:r>
            <w:r w:rsidR="00653552" w:rsidRPr="00980C60">
              <w:rPr>
                <w:rFonts w:ascii="Arial Narrow" w:hAnsi="Arial Narrow"/>
                <w:b/>
                <w:color w:val="000000"/>
                <w:sz w:val="20"/>
                <w:szCs w:val="18"/>
                <w:vertAlign w:val="superscript"/>
              </w:rPr>
              <w:t>a</w:t>
            </w:r>
          </w:p>
        </w:tc>
        <w:tc>
          <w:tcPr>
            <w:tcW w:w="798" w:type="pct"/>
            <w:gridSpan w:val="2"/>
            <w:vMerge w:val="restart"/>
            <w:vAlign w:val="center"/>
          </w:tcPr>
          <w:p w:rsidR="00B62715" w:rsidRPr="00980C60" w:rsidRDefault="00B6271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RD</w:t>
            </w:r>
          </w:p>
          <w:p w:rsidR="00B62715" w:rsidRPr="00980C60" w:rsidRDefault="00B6271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(95% CI)</w:t>
            </w:r>
          </w:p>
        </w:tc>
      </w:tr>
      <w:tr w:rsidR="00EE179A" w:rsidRPr="00980C60" w:rsidTr="00957DC5">
        <w:trPr>
          <w:trHeight w:val="315"/>
        </w:trPr>
        <w:tc>
          <w:tcPr>
            <w:tcW w:w="938" w:type="pct"/>
            <w:vMerge/>
            <w:shd w:val="clear" w:color="auto" w:fill="auto"/>
            <w:vAlign w:val="center"/>
          </w:tcPr>
          <w:p w:rsidR="00977884" w:rsidRPr="00980C60" w:rsidRDefault="00977884" w:rsidP="00F34ABE">
            <w:pPr>
              <w:keepNext/>
              <w:widowControl/>
              <w:rPr>
                <w:rFonts w:ascii="Arial Narrow" w:hAnsi="Arial Narrow"/>
                <w:b/>
                <w:color w:val="000000"/>
                <w:sz w:val="20"/>
                <w:szCs w:val="18"/>
              </w:rPr>
            </w:pPr>
          </w:p>
        </w:tc>
        <w:tc>
          <w:tcPr>
            <w:tcW w:w="582" w:type="pct"/>
            <w:vMerge/>
            <w:vAlign w:val="center"/>
          </w:tcPr>
          <w:p w:rsidR="00977884" w:rsidRPr="00980C60" w:rsidRDefault="00977884" w:rsidP="00F34ABE">
            <w:pPr>
              <w:keepNext/>
              <w:widowControl/>
              <w:jc w:val="center"/>
              <w:rPr>
                <w:rFonts w:ascii="Arial Narrow" w:hAnsi="Arial Narrow"/>
                <w:b/>
                <w:color w:val="000000"/>
                <w:sz w:val="20"/>
                <w:szCs w:val="18"/>
              </w:rPr>
            </w:pPr>
          </w:p>
        </w:tc>
        <w:tc>
          <w:tcPr>
            <w:tcW w:w="583" w:type="pct"/>
            <w:vMerge/>
            <w:vAlign w:val="center"/>
          </w:tcPr>
          <w:p w:rsidR="00977884" w:rsidRPr="00980C60" w:rsidRDefault="00977884" w:rsidP="00F34ABE">
            <w:pPr>
              <w:keepNext/>
              <w:widowControl/>
              <w:jc w:val="center"/>
              <w:rPr>
                <w:rFonts w:ascii="Arial Narrow" w:hAnsi="Arial Narrow"/>
                <w:b/>
                <w:color w:val="000000"/>
                <w:sz w:val="20"/>
                <w:szCs w:val="18"/>
              </w:rPr>
            </w:pPr>
          </w:p>
        </w:tc>
        <w:tc>
          <w:tcPr>
            <w:tcW w:w="840" w:type="pct"/>
            <w:gridSpan w:val="2"/>
            <w:vMerge/>
            <w:vAlign w:val="center"/>
          </w:tcPr>
          <w:p w:rsidR="00977884" w:rsidRPr="00980C60" w:rsidRDefault="00977884" w:rsidP="00F34ABE">
            <w:pPr>
              <w:keepNext/>
              <w:widowControl/>
              <w:jc w:val="center"/>
              <w:rPr>
                <w:rFonts w:ascii="Arial Narrow" w:hAnsi="Arial Narrow"/>
                <w:b/>
                <w:color w:val="000000"/>
                <w:sz w:val="20"/>
                <w:szCs w:val="18"/>
              </w:rPr>
            </w:pPr>
          </w:p>
        </w:tc>
        <w:tc>
          <w:tcPr>
            <w:tcW w:w="628" w:type="pct"/>
            <w:vAlign w:val="center"/>
          </w:tcPr>
          <w:p w:rsidR="00977884" w:rsidRPr="00980C60" w:rsidRDefault="00977884"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Lignocaine patch</w:t>
            </w:r>
          </w:p>
        </w:tc>
        <w:tc>
          <w:tcPr>
            <w:tcW w:w="631" w:type="pct"/>
            <w:gridSpan w:val="2"/>
            <w:vAlign w:val="center"/>
          </w:tcPr>
          <w:p w:rsidR="00977884" w:rsidRPr="00980C60" w:rsidRDefault="00977884"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Pregabalin</w:t>
            </w:r>
          </w:p>
        </w:tc>
        <w:tc>
          <w:tcPr>
            <w:tcW w:w="798" w:type="pct"/>
            <w:gridSpan w:val="2"/>
            <w:vMerge/>
            <w:vAlign w:val="center"/>
          </w:tcPr>
          <w:p w:rsidR="00977884" w:rsidRPr="00980C60" w:rsidRDefault="00977884" w:rsidP="00F34ABE">
            <w:pPr>
              <w:keepNext/>
              <w:widowControl/>
              <w:jc w:val="center"/>
              <w:rPr>
                <w:rFonts w:ascii="Arial Narrow" w:hAnsi="Arial Narrow"/>
                <w:b/>
                <w:color w:val="000000"/>
                <w:sz w:val="20"/>
                <w:szCs w:val="18"/>
              </w:rPr>
            </w:pPr>
          </w:p>
        </w:tc>
      </w:tr>
      <w:tr w:rsidR="00B62715" w:rsidRPr="00980C60" w:rsidTr="00552BD3">
        <w:tc>
          <w:tcPr>
            <w:tcW w:w="5000" w:type="pct"/>
            <w:gridSpan w:val="10"/>
            <w:shd w:val="clear" w:color="auto" w:fill="auto"/>
            <w:vAlign w:val="center"/>
          </w:tcPr>
          <w:p w:rsidR="00B62715" w:rsidRPr="00980C60" w:rsidRDefault="00B62715" w:rsidP="00F34ABE">
            <w:pPr>
              <w:keepNext/>
              <w:widowControl/>
              <w:rPr>
                <w:rFonts w:ascii="Arial Narrow" w:hAnsi="Arial Narrow"/>
                <w:b/>
                <w:color w:val="000000"/>
                <w:sz w:val="20"/>
                <w:szCs w:val="18"/>
              </w:rPr>
            </w:pPr>
            <w:r w:rsidRPr="00980C60">
              <w:rPr>
                <w:rFonts w:ascii="Arial Narrow" w:hAnsi="Arial Narrow"/>
                <w:b/>
                <w:color w:val="000000"/>
                <w:sz w:val="20"/>
                <w:szCs w:val="18"/>
              </w:rPr>
              <w:t>Benefits</w:t>
            </w:r>
          </w:p>
        </w:tc>
      </w:tr>
      <w:tr w:rsidR="00B62715" w:rsidRPr="00980C60" w:rsidTr="00552BD3">
        <w:tc>
          <w:tcPr>
            <w:tcW w:w="5000" w:type="pct"/>
            <w:gridSpan w:val="10"/>
            <w:shd w:val="clear" w:color="auto" w:fill="auto"/>
            <w:vAlign w:val="center"/>
          </w:tcPr>
          <w:p w:rsidR="00B62715" w:rsidRPr="00980C60" w:rsidRDefault="007733F4" w:rsidP="00F34ABE">
            <w:pPr>
              <w:keepNext/>
              <w:widowControl/>
              <w:rPr>
                <w:rFonts w:ascii="Arial Narrow" w:hAnsi="Arial Narrow"/>
                <w:color w:val="000000"/>
                <w:sz w:val="20"/>
                <w:szCs w:val="18"/>
              </w:rPr>
            </w:pPr>
            <w:r w:rsidRPr="00980C60">
              <w:rPr>
                <w:rFonts w:ascii="Arial Narrow" w:hAnsi="Arial Narrow"/>
                <w:sz w:val="20"/>
              </w:rPr>
              <w:t>Patients achieving reduction of ≥2 points or an absolute value of ≤4 on the NRS-3 scale at Week 4</w:t>
            </w:r>
            <w:r w:rsidR="00A3259D" w:rsidRPr="00980C60">
              <w:rPr>
                <w:rFonts w:ascii="Arial Narrow" w:hAnsi="Arial Narrow"/>
                <w:sz w:val="20"/>
              </w:rPr>
              <w:t xml:space="preserve"> (PP)</w:t>
            </w:r>
          </w:p>
        </w:tc>
      </w:tr>
      <w:tr w:rsidR="00BA1AC0" w:rsidRPr="00980C60" w:rsidTr="003743D5">
        <w:tc>
          <w:tcPr>
            <w:tcW w:w="938" w:type="pct"/>
            <w:shd w:val="clear" w:color="auto" w:fill="auto"/>
            <w:vAlign w:val="center"/>
          </w:tcPr>
          <w:p w:rsidR="00BA1AC0" w:rsidRPr="00980C60" w:rsidRDefault="00BA1AC0" w:rsidP="00F34ABE">
            <w:pPr>
              <w:keepNext/>
              <w:widowControl/>
              <w:rPr>
                <w:rFonts w:ascii="Arial Narrow" w:hAnsi="Arial Narrow"/>
                <w:color w:val="000000"/>
                <w:sz w:val="20"/>
                <w:szCs w:val="18"/>
              </w:rPr>
            </w:pPr>
            <w:r w:rsidRPr="00980C60">
              <w:rPr>
                <w:rFonts w:ascii="Arial Narrow" w:hAnsi="Arial Narrow"/>
                <w:color w:val="000000"/>
                <w:sz w:val="20"/>
                <w:szCs w:val="18"/>
              </w:rPr>
              <w:t>KF10004/03</w:t>
            </w:r>
          </w:p>
        </w:tc>
        <w:tc>
          <w:tcPr>
            <w:tcW w:w="582" w:type="pct"/>
            <w:vAlign w:val="center"/>
          </w:tcPr>
          <w:p w:rsidR="00BA1AC0" w:rsidRPr="00980C60" w:rsidRDefault="00D7721F" w:rsidP="00F34ABE">
            <w:pPr>
              <w:keepNext/>
              <w:widowControl/>
              <w:jc w:val="center"/>
              <w:rPr>
                <w:rFonts w:ascii="Arial Narrow" w:hAnsi="Arial Narrow"/>
                <w:sz w:val="20"/>
              </w:rPr>
            </w:pPr>
            <w:r w:rsidRPr="00980C60">
              <w:rPr>
                <w:rFonts w:ascii="Arial Narrow" w:hAnsi="Arial Narrow"/>
                <w:sz w:val="20"/>
              </w:rPr>
              <w:t>94/144</w:t>
            </w:r>
          </w:p>
        </w:tc>
        <w:tc>
          <w:tcPr>
            <w:tcW w:w="583" w:type="pct"/>
            <w:vAlign w:val="center"/>
          </w:tcPr>
          <w:p w:rsidR="00BA1AC0" w:rsidRPr="00980C60" w:rsidRDefault="00D7721F" w:rsidP="00F34ABE">
            <w:pPr>
              <w:keepNext/>
              <w:widowControl/>
              <w:jc w:val="center"/>
              <w:rPr>
                <w:rFonts w:ascii="Arial Narrow" w:hAnsi="Arial Narrow"/>
                <w:sz w:val="20"/>
              </w:rPr>
            </w:pPr>
            <w:r w:rsidRPr="00980C60">
              <w:rPr>
                <w:rFonts w:ascii="Arial Narrow" w:hAnsi="Arial Narrow"/>
                <w:sz w:val="20"/>
              </w:rPr>
              <w:t>85/137</w:t>
            </w:r>
          </w:p>
        </w:tc>
        <w:tc>
          <w:tcPr>
            <w:tcW w:w="840" w:type="pct"/>
            <w:gridSpan w:val="2"/>
            <w:vAlign w:val="center"/>
          </w:tcPr>
          <w:p w:rsidR="00BA1AC0" w:rsidRPr="00980C60" w:rsidRDefault="00D7721F" w:rsidP="00F34ABE">
            <w:pPr>
              <w:keepNext/>
              <w:widowControl/>
              <w:jc w:val="center"/>
              <w:rPr>
                <w:rFonts w:ascii="Arial Narrow" w:hAnsi="Arial Narrow"/>
                <w:sz w:val="20"/>
              </w:rPr>
            </w:pPr>
            <w:r w:rsidRPr="00980C60">
              <w:rPr>
                <w:rFonts w:ascii="Arial Narrow" w:hAnsi="Arial Narrow"/>
                <w:sz w:val="20"/>
              </w:rPr>
              <w:t>1.05 (0.88, 1.26)</w:t>
            </w:r>
          </w:p>
        </w:tc>
        <w:tc>
          <w:tcPr>
            <w:tcW w:w="628" w:type="pct"/>
            <w:vAlign w:val="center"/>
          </w:tcPr>
          <w:p w:rsidR="00BA1AC0" w:rsidRPr="00980C60" w:rsidRDefault="00D7721F" w:rsidP="00F34ABE">
            <w:pPr>
              <w:keepNext/>
              <w:widowControl/>
              <w:jc w:val="center"/>
              <w:rPr>
                <w:rFonts w:ascii="Arial Narrow" w:hAnsi="Arial Narrow"/>
                <w:sz w:val="20"/>
              </w:rPr>
            </w:pPr>
            <w:r w:rsidRPr="00980C60">
              <w:rPr>
                <w:rFonts w:ascii="Arial Narrow" w:hAnsi="Arial Narrow"/>
                <w:sz w:val="20"/>
              </w:rPr>
              <w:t>65.3</w:t>
            </w:r>
          </w:p>
        </w:tc>
        <w:tc>
          <w:tcPr>
            <w:tcW w:w="631" w:type="pct"/>
            <w:gridSpan w:val="2"/>
            <w:vAlign w:val="center"/>
          </w:tcPr>
          <w:p w:rsidR="00BA1AC0" w:rsidRPr="00980C60" w:rsidRDefault="00D7721F" w:rsidP="00F34ABE">
            <w:pPr>
              <w:keepNext/>
              <w:widowControl/>
              <w:jc w:val="center"/>
              <w:rPr>
                <w:rFonts w:ascii="Arial Narrow" w:hAnsi="Arial Narrow"/>
                <w:sz w:val="20"/>
              </w:rPr>
            </w:pPr>
            <w:r w:rsidRPr="00980C60">
              <w:rPr>
                <w:rFonts w:ascii="Arial Narrow" w:hAnsi="Arial Narrow"/>
                <w:sz w:val="20"/>
              </w:rPr>
              <w:t>62.0</w:t>
            </w:r>
          </w:p>
        </w:tc>
        <w:tc>
          <w:tcPr>
            <w:tcW w:w="798" w:type="pct"/>
            <w:gridSpan w:val="2"/>
            <w:vAlign w:val="center"/>
          </w:tcPr>
          <w:p w:rsidR="00BA1AC0" w:rsidRPr="00980C60" w:rsidRDefault="00D7721F" w:rsidP="00F34ABE">
            <w:pPr>
              <w:keepNext/>
              <w:widowControl/>
              <w:jc w:val="center"/>
              <w:rPr>
                <w:rFonts w:ascii="Arial Narrow" w:hAnsi="Arial Narrow"/>
                <w:sz w:val="20"/>
              </w:rPr>
            </w:pPr>
            <w:r w:rsidRPr="00980C60">
              <w:rPr>
                <w:rFonts w:ascii="Arial Narrow" w:hAnsi="Arial Narrow"/>
                <w:sz w:val="20"/>
              </w:rPr>
              <w:t>0.03 (-0.08, 0.14)</w:t>
            </w:r>
          </w:p>
        </w:tc>
      </w:tr>
      <w:tr w:rsidR="009E3DAA" w:rsidRPr="00980C60" w:rsidTr="00066064">
        <w:tc>
          <w:tcPr>
            <w:tcW w:w="938" w:type="pct"/>
            <w:shd w:val="clear" w:color="auto" w:fill="auto"/>
            <w:vAlign w:val="center"/>
          </w:tcPr>
          <w:p w:rsidR="00B62715" w:rsidRPr="00980C60" w:rsidRDefault="00D7721F" w:rsidP="00F34ABE">
            <w:pPr>
              <w:keepNext/>
              <w:widowControl/>
              <w:rPr>
                <w:rFonts w:ascii="Arial Narrow" w:hAnsi="Arial Narrow"/>
                <w:color w:val="000000"/>
                <w:sz w:val="20"/>
                <w:szCs w:val="18"/>
              </w:rPr>
            </w:pPr>
            <w:r w:rsidRPr="00980C60">
              <w:rPr>
                <w:rFonts w:ascii="Arial Narrow" w:hAnsi="Arial Narrow"/>
                <w:color w:val="000000"/>
                <w:sz w:val="20"/>
                <w:szCs w:val="18"/>
              </w:rPr>
              <w:t>-</w:t>
            </w:r>
            <w:r w:rsidR="00BA1AC0" w:rsidRPr="00980C60">
              <w:rPr>
                <w:rFonts w:ascii="Arial Narrow" w:hAnsi="Arial Narrow"/>
                <w:color w:val="000000"/>
                <w:sz w:val="20"/>
                <w:szCs w:val="18"/>
              </w:rPr>
              <w:t xml:space="preserve">KF10004/03 </w:t>
            </w:r>
            <w:r w:rsidR="00F97BA9" w:rsidRPr="00980C60">
              <w:rPr>
                <w:rFonts w:ascii="Arial Narrow" w:hAnsi="Arial Narrow"/>
                <w:color w:val="000000"/>
                <w:sz w:val="20"/>
                <w:szCs w:val="18"/>
              </w:rPr>
              <w:t>(PHN)</w:t>
            </w:r>
          </w:p>
        </w:tc>
        <w:tc>
          <w:tcPr>
            <w:tcW w:w="582" w:type="pct"/>
            <w:vAlign w:val="center"/>
          </w:tcPr>
          <w:p w:rsidR="00B62715" w:rsidRPr="00980C60" w:rsidRDefault="00535EBE" w:rsidP="00F34ABE">
            <w:pPr>
              <w:keepNext/>
              <w:widowControl/>
              <w:jc w:val="center"/>
              <w:rPr>
                <w:rFonts w:ascii="Arial Narrow" w:hAnsi="Arial Narrow"/>
                <w:color w:val="000000"/>
                <w:sz w:val="20"/>
                <w:szCs w:val="18"/>
              </w:rPr>
            </w:pPr>
            <w:r w:rsidRPr="00980C60">
              <w:rPr>
                <w:rFonts w:ascii="Arial Narrow" w:hAnsi="Arial Narrow"/>
                <w:sz w:val="20"/>
              </w:rPr>
              <w:t>28/45</w:t>
            </w:r>
          </w:p>
        </w:tc>
        <w:tc>
          <w:tcPr>
            <w:tcW w:w="583" w:type="pct"/>
            <w:vAlign w:val="center"/>
          </w:tcPr>
          <w:p w:rsidR="00B62715" w:rsidRPr="00980C60" w:rsidRDefault="00535EBE" w:rsidP="00F34ABE">
            <w:pPr>
              <w:keepNext/>
              <w:widowControl/>
              <w:jc w:val="center"/>
              <w:rPr>
                <w:rFonts w:ascii="Arial Narrow" w:hAnsi="Arial Narrow"/>
                <w:color w:val="000000"/>
                <w:sz w:val="20"/>
                <w:szCs w:val="18"/>
              </w:rPr>
            </w:pPr>
            <w:r w:rsidRPr="00980C60">
              <w:rPr>
                <w:rFonts w:ascii="Arial Narrow" w:hAnsi="Arial Narrow"/>
                <w:sz w:val="20"/>
              </w:rPr>
              <w:t>20/43</w:t>
            </w:r>
          </w:p>
        </w:tc>
        <w:tc>
          <w:tcPr>
            <w:tcW w:w="840" w:type="pct"/>
            <w:gridSpan w:val="2"/>
            <w:vAlign w:val="center"/>
          </w:tcPr>
          <w:p w:rsidR="00B62715" w:rsidRPr="00980C60" w:rsidRDefault="00535EBE" w:rsidP="00F34ABE">
            <w:pPr>
              <w:keepNext/>
              <w:widowControl/>
              <w:jc w:val="center"/>
              <w:rPr>
                <w:rFonts w:ascii="Arial Narrow" w:hAnsi="Arial Narrow"/>
                <w:color w:val="000000"/>
                <w:sz w:val="20"/>
                <w:szCs w:val="18"/>
              </w:rPr>
            </w:pPr>
            <w:r w:rsidRPr="00980C60">
              <w:rPr>
                <w:rFonts w:ascii="Arial Narrow" w:hAnsi="Arial Narrow"/>
                <w:sz w:val="20"/>
              </w:rPr>
              <w:t>1.34 (0.90, 1.98)</w:t>
            </w:r>
          </w:p>
        </w:tc>
        <w:tc>
          <w:tcPr>
            <w:tcW w:w="628" w:type="pct"/>
            <w:vAlign w:val="center"/>
          </w:tcPr>
          <w:p w:rsidR="00B62715" w:rsidRPr="00980C60" w:rsidRDefault="00535EBE" w:rsidP="00F34ABE">
            <w:pPr>
              <w:keepNext/>
              <w:widowControl/>
              <w:jc w:val="center"/>
              <w:rPr>
                <w:rFonts w:ascii="Arial Narrow" w:hAnsi="Arial Narrow"/>
                <w:color w:val="000000"/>
                <w:sz w:val="20"/>
                <w:szCs w:val="18"/>
              </w:rPr>
            </w:pPr>
            <w:r w:rsidRPr="00980C60">
              <w:rPr>
                <w:rFonts w:ascii="Arial Narrow" w:hAnsi="Arial Narrow"/>
                <w:sz w:val="20"/>
              </w:rPr>
              <w:t>62.2</w:t>
            </w:r>
          </w:p>
        </w:tc>
        <w:tc>
          <w:tcPr>
            <w:tcW w:w="631" w:type="pct"/>
            <w:gridSpan w:val="2"/>
            <w:vAlign w:val="center"/>
          </w:tcPr>
          <w:p w:rsidR="00B62715" w:rsidRPr="00980C60" w:rsidRDefault="00535EBE" w:rsidP="00F34ABE">
            <w:pPr>
              <w:keepNext/>
              <w:widowControl/>
              <w:jc w:val="center"/>
              <w:rPr>
                <w:rFonts w:ascii="Arial Narrow" w:hAnsi="Arial Narrow"/>
                <w:color w:val="000000"/>
                <w:sz w:val="20"/>
                <w:szCs w:val="18"/>
              </w:rPr>
            </w:pPr>
            <w:r w:rsidRPr="00980C60">
              <w:rPr>
                <w:rFonts w:ascii="Arial Narrow" w:hAnsi="Arial Narrow"/>
                <w:sz w:val="20"/>
              </w:rPr>
              <w:t>46.5</w:t>
            </w:r>
          </w:p>
        </w:tc>
        <w:tc>
          <w:tcPr>
            <w:tcW w:w="798" w:type="pct"/>
            <w:gridSpan w:val="2"/>
            <w:vAlign w:val="center"/>
          </w:tcPr>
          <w:p w:rsidR="00B62715" w:rsidRPr="00980C60" w:rsidRDefault="00535EBE" w:rsidP="00F34ABE">
            <w:pPr>
              <w:keepNext/>
              <w:widowControl/>
              <w:jc w:val="center"/>
              <w:rPr>
                <w:rFonts w:ascii="Arial Narrow" w:hAnsi="Arial Narrow"/>
                <w:color w:val="000000"/>
                <w:sz w:val="20"/>
                <w:szCs w:val="18"/>
              </w:rPr>
            </w:pPr>
            <w:r w:rsidRPr="00980C60">
              <w:rPr>
                <w:rFonts w:ascii="Arial Narrow" w:hAnsi="Arial Narrow"/>
                <w:sz w:val="20"/>
              </w:rPr>
              <w:t>0.16 (-0.05, 0.36)</w:t>
            </w:r>
          </w:p>
        </w:tc>
      </w:tr>
      <w:tr w:rsidR="002B09E4" w:rsidRPr="00980C60" w:rsidTr="002B09E4">
        <w:tc>
          <w:tcPr>
            <w:tcW w:w="5000" w:type="pct"/>
            <w:gridSpan w:val="10"/>
            <w:shd w:val="clear" w:color="auto" w:fill="auto"/>
            <w:vAlign w:val="center"/>
          </w:tcPr>
          <w:p w:rsidR="002B09E4" w:rsidRPr="00980C60" w:rsidRDefault="002B09E4" w:rsidP="00F34ABE">
            <w:pPr>
              <w:keepNext/>
              <w:widowControl/>
              <w:jc w:val="left"/>
              <w:rPr>
                <w:rFonts w:ascii="Arial Narrow" w:hAnsi="Arial Narrow"/>
                <w:sz w:val="20"/>
              </w:rPr>
            </w:pPr>
            <w:r w:rsidRPr="00980C60">
              <w:rPr>
                <w:rFonts w:ascii="Arial Narrow" w:hAnsi="Arial Narrow"/>
                <w:sz w:val="20"/>
              </w:rPr>
              <w:t>Patients achieving ≥ 50% reduction in pain (NRS-3) at Week 4</w:t>
            </w:r>
            <w:r w:rsidR="00A3259D" w:rsidRPr="00980C60">
              <w:rPr>
                <w:rFonts w:ascii="Arial Narrow" w:hAnsi="Arial Narrow"/>
                <w:sz w:val="20"/>
              </w:rPr>
              <w:t xml:space="preserve"> (PP)</w:t>
            </w:r>
          </w:p>
        </w:tc>
      </w:tr>
      <w:tr w:rsidR="00BA1AC0" w:rsidRPr="00980C60" w:rsidTr="00046771">
        <w:tc>
          <w:tcPr>
            <w:tcW w:w="938" w:type="pct"/>
            <w:shd w:val="clear" w:color="auto" w:fill="auto"/>
            <w:vAlign w:val="center"/>
          </w:tcPr>
          <w:p w:rsidR="00BA1AC0" w:rsidRPr="00980C60" w:rsidRDefault="00BA1AC0" w:rsidP="00F34ABE">
            <w:pPr>
              <w:keepNext/>
              <w:widowControl/>
              <w:rPr>
                <w:rFonts w:ascii="Arial Narrow" w:hAnsi="Arial Narrow"/>
                <w:color w:val="000000"/>
                <w:sz w:val="20"/>
                <w:szCs w:val="18"/>
              </w:rPr>
            </w:pPr>
            <w:r w:rsidRPr="00980C60">
              <w:rPr>
                <w:rFonts w:ascii="Arial Narrow" w:hAnsi="Arial Narrow"/>
                <w:color w:val="000000"/>
                <w:sz w:val="20"/>
                <w:szCs w:val="18"/>
              </w:rPr>
              <w:t>KF10004/03</w:t>
            </w:r>
          </w:p>
        </w:tc>
        <w:tc>
          <w:tcPr>
            <w:tcW w:w="582" w:type="pct"/>
            <w:vAlign w:val="center"/>
          </w:tcPr>
          <w:p w:rsidR="00BA1AC0" w:rsidRPr="00980C60" w:rsidRDefault="00CA1321" w:rsidP="00F34ABE">
            <w:pPr>
              <w:keepNext/>
              <w:widowControl/>
              <w:jc w:val="center"/>
              <w:rPr>
                <w:rFonts w:ascii="Arial Narrow" w:hAnsi="Arial Narrow"/>
                <w:sz w:val="20"/>
              </w:rPr>
            </w:pPr>
            <w:r w:rsidRPr="00980C60">
              <w:rPr>
                <w:rFonts w:ascii="Arial Narrow" w:hAnsi="Arial Narrow"/>
                <w:sz w:val="20"/>
              </w:rPr>
              <w:t>56/144</w:t>
            </w:r>
          </w:p>
        </w:tc>
        <w:tc>
          <w:tcPr>
            <w:tcW w:w="583" w:type="pct"/>
            <w:vAlign w:val="center"/>
          </w:tcPr>
          <w:p w:rsidR="00BA1AC0" w:rsidRPr="00980C60" w:rsidRDefault="00CA1321" w:rsidP="00F34ABE">
            <w:pPr>
              <w:keepNext/>
              <w:widowControl/>
              <w:jc w:val="center"/>
              <w:rPr>
                <w:rFonts w:ascii="Arial Narrow" w:hAnsi="Arial Narrow"/>
                <w:sz w:val="20"/>
              </w:rPr>
            </w:pPr>
            <w:r w:rsidRPr="00980C60">
              <w:rPr>
                <w:rFonts w:ascii="Arial Narrow" w:hAnsi="Arial Narrow"/>
                <w:sz w:val="20"/>
              </w:rPr>
              <w:t>44/137</w:t>
            </w:r>
          </w:p>
        </w:tc>
        <w:tc>
          <w:tcPr>
            <w:tcW w:w="840" w:type="pct"/>
            <w:gridSpan w:val="2"/>
          </w:tcPr>
          <w:p w:rsidR="00BA1AC0" w:rsidRPr="00980C60" w:rsidRDefault="00CA1321" w:rsidP="00F34ABE">
            <w:pPr>
              <w:keepNext/>
              <w:widowControl/>
              <w:jc w:val="center"/>
              <w:rPr>
                <w:rFonts w:ascii="Arial Narrow" w:hAnsi="Arial Narrow"/>
                <w:sz w:val="20"/>
              </w:rPr>
            </w:pPr>
            <w:r w:rsidRPr="00980C60">
              <w:rPr>
                <w:rFonts w:ascii="Arial Narrow" w:hAnsi="Arial Narrow"/>
                <w:sz w:val="20"/>
              </w:rPr>
              <w:t>NE</w:t>
            </w:r>
          </w:p>
        </w:tc>
        <w:tc>
          <w:tcPr>
            <w:tcW w:w="628" w:type="pct"/>
            <w:vAlign w:val="center"/>
          </w:tcPr>
          <w:p w:rsidR="00BA1AC0" w:rsidRPr="00980C60" w:rsidRDefault="00030B6D" w:rsidP="00F34ABE">
            <w:pPr>
              <w:keepNext/>
              <w:widowControl/>
              <w:jc w:val="center"/>
              <w:rPr>
                <w:rFonts w:ascii="Arial Narrow" w:hAnsi="Arial Narrow"/>
                <w:sz w:val="20"/>
              </w:rPr>
            </w:pPr>
            <w:r w:rsidRPr="00980C60">
              <w:rPr>
                <w:rFonts w:ascii="Arial Narrow" w:hAnsi="Arial Narrow"/>
                <w:sz w:val="20"/>
              </w:rPr>
              <w:t>38.9</w:t>
            </w:r>
          </w:p>
        </w:tc>
        <w:tc>
          <w:tcPr>
            <w:tcW w:w="631" w:type="pct"/>
            <w:gridSpan w:val="2"/>
            <w:vAlign w:val="center"/>
          </w:tcPr>
          <w:p w:rsidR="00BA1AC0" w:rsidRPr="00980C60" w:rsidRDefault="00030B6D" w:rsidP="00F34ABE">
            <w:pPr>
              <w:keepNext/>
              <w:widowControl/>
              <w:jc w:val="center"/>
              <w:rPr>
                <w:rFonts w:ascii="Arial Narrow" w:hAnsi="Arial Narrow"/>
                <w:sz w:val="20"/>
              </w:rPr>
            </w:pPr>
            <w:r w:rsidRPr="00980C60">
              <w:rPr>
                <w:rFonts w:ascii="Arial Narrow" w:hAnsi="Arial Narrow"/>
                <w:sz w:val="20"/>
              </w:rPr>
              <w:t>32.1</w:t>
            </w:r>
          </w:p>
        </w:tc>
        <w:tc>
          <w:tcPr>
            <w:tcW w:w="798" w:type="pct"/>
            <w:gridSpan w:val="2"/>
          </w:tcPr>
          <w:p w:rsidR="00BA1AC0" w:rsidRPr="00980C60" w:rsidRDefault="00CA1321" w:rsidP="00F34ABE">
            <w:pPr>
              <w:keepNext/>
              <w:widowControl/>
              <w:jc w:val="center"/>
              <w:rPr>
                <w:rFonts w:ascii="Arial Narrow" w:hAnsi="Arial Narrow"/>
                <w:sz w:val="20"/>
              </w:rPr>
            </w:pPr>
            <w:r w:rsidRPr="00980C60">
              <w:rPr>
                <w:rFonts w:ascii="Arial Narrow" w:hAnsi="Arial Narrow"/>
                <w:sz w:val="20"/>
              </w:rPr>
              <w:t>NE</w:t>
            </w:r>
          </w:p>
        </w:tc>
      </w:tr>
      <w:tr w:rsidR="00932AD2" w:rsidRPr="00980C60" w:rsidTr="00DA6DB0">
        <w:tc>
          <w:tcPr>
            <w:tcW w:w="938" w:type="pct"/>
            <w:shd w:val="clear" w:color="auto" w:fill="auto"/>
            <w:vAlign w:val="center"/>
          </w:tcPr>
          <w:p w:rsidR="00932AD2" w:rsidRPr="00980C60" w:rsidRDefault="00D7721F" w:rsidP="00F34ABE">
            <w:pPr>
              <w:keepNext/>
              <w:widowControl/>
              <w:rPr>
                <w:rFonts w:ascii="Arial Narrow" w:hAnsi="Arial Narrow"/>
                <w:color w:val="000000"/>
                <w:sz w:val="20"/>
                <w:szCs w:val="18"/>
              </w:rPr>
            </w:pPr>
            <w:r w:rsidRPr="00980C60">
              <w:rPr>
                <w:rFonts w:ascii="Arial Narrow" w:hAnsi="Arial Narrow"/>
                <w:color w:val="000000"/>
                <w:sz w:val="20"/>
                <w:szCs w:val="18"/>
              </w:rPr>
              <w:t>-</w:t>
            </w:r>
            <w:r w:rsidR="00932AD2" w:rsidRPr="00980C60">
              <w:rPr>
                <w:rFonts w:ascii="Arial Narrow" w:hAnsi="Arial Narrow"/>
                <w:color w:val="000000"/>
                <w:sz w:val="20"/>
                <w:szCs w:val="18"/>
              </w:rPr>
              <w:t>KF10004/03 (PHN)</w:t>
            </w:r>
          </w:p>
        </w:tc>
        <w:tc>
          <w:tcPr>
            <w:tcW w:w="582" w:type="pct"/>
            <w:vAlign w:val="center"/>
          </w:tcPr>
          <w:p w:rsidR="00932AD2" w:rsidRPr="00980C60" w:rsidRDefault="00932AD2" w:rsidP="00F34ABE">
            <w:pPr>
              <w:keepNext/>
              <w:widowControl/>
              <w:jc w:val="center"/>
              <w:rPr>
                <w:rFonts w:ascii="Arial Narrow" w:hAnsi="Arial Narrow"/>
                <w:sz w:val="20"/>
              </w:rPr>
            </w:pPr>
            <w:r w:rsidRPr="00980C60">
              <w:rPr>
                <w:rFonts w:ascii="Arial Narrow" w:hAnsi="Arial Narrow"/>
                <w:sz w:val="20"/>
              </w:rPr>
              <w:t>16/45</w:t>
            </w:r>
          </w:p>
        </w:tc>
        <w:tc>
          <w:tcPr>
            <w:tcW w:w="583" w:type="pct"/>
            <w:vAlign w:val="center"/>
          </w:tcPr>
          <w:p w:rsidR="00932AD2" w:rsidRPr="00980C60" w:rsidRDefault="00932AD2" w:rsidP="00F34ABE">
            <w:pPr>
              <w:keepNext/>
              <w:widowControl/>
              <w:jc w:val="center"/>
              <w:rPr>
                <w:rFonts w:ascii="Arial Narrow" w:hAnsi="Arial Narrow"/>
                <w:sz w:val="20"/>
              </w:rPr>
            </w:pPr>
            <w:r w:rsidRPr="00980C60">
              <w:rPr>
                <w:rFonts w:ascii="Arial Narrow" w:hAnsi="Arial Narrow"/>
                <w:sz w:val="20"/>
              </w:rPr>
              <w:t>9/43</w:t>
            </w:r>
          </w:p>
        </w:tc>
        <w:tc>
          <w:tcPr>
            <w:tcW w:w="840" w:type="pct"/>
            <w:gridSpan w:val="2"/>
          </w:tcPr>
          <w:p w:rsidR="00932AD2" w:rsidRPr="00980C60" w:rsidRDefault="00932AD2" w:rsidP="00F34ABE">
            <w:pPr>
              <w:keepNext/>
              <w:widowControl/>
              <w:jc w:val="center"/>
              <w:rPr>
                <w:rFonts w:ascii="Arial Narrow" w:hAnsi="Arial Narrow"/>
                <w:sz w:val="20"/>
              </w:rPr>
            </w:pPr>
            <w:r w:rsidRPr="00980C60">
              <w:rPr>
                <w:rFonts w:ascii="Arial Narrow" w:hAnsi="Arial Narrow"/>
                <w:sz w:val="20"/>
              </w:rPr>
              <w:t>1.70 (0.84, 3.43)</w:t>
            </w:r>
          </w:p>
        </w:tc>
        <w:tc>
          <w:tcPr>
            <w:tcW w:w="628" w:type="pct"/>
            <w:vAlign w:val="center"/>
          </w:tcPr>
          <w:p w:rsidR="00932AD2" w:rsidRPr="00980C60" w:rsidRDefault="00932AD2" w:rsidP="00F34ABE">
            <w:pPr>
              <w:keepNext/>
              <w:widowControl/>
              <w:jc w:val="center"/>
              <w:rPr>
                <w:rFonts w:ascii="Arial Narrow" w:hAnsi="Arial Narrow"/>
                <w:sz w:val="20"/>
              </w:rPr>
            </w:pPr>
            <w:r w:rsidRPr="00980C60">
              <w:rPr>
                <w:rFonts w:ascii="Arial Narrow" w:hAnsi="Arial Narrow"/>
                <w:sz w:val="20"/>
              </w:rPr>
              <w:t>35.6</w:t>
            </w:r>
          </w:p>
        </w:tc>
        <w:tc>
          <w:tcPr>
            <w:tcW w:w="631" w:type="pct"/>
            <w:gridSpan w:val="2"/>
            <w:vAlign w:val="center"/>
          </w:tcPr>
          <w:p w:rsidR="00932AD2" w:rsidRPr="00980C60" w:rsidRDefault="00932AD2" w:rsidP="00F34ABE">
            <w:pPr>
              <w:keepNext/>
              <w:widowControl/>
              <w:jc w:val="center"/>
              <w:rPr>
                <w:rFonts w:ascii="Arial Narrow" w:hAnsi="Arial Narrow"/>
                <w:sz w:val="20"/>
              </w:rPr>
            </w:pPr>
            <w:r w:rsidRPr="00980C60">
              <w:rPr>
                <w:rFonts w:ascii="Arial Narrow" w:hAnsi="Arial Narrow"/>
                <w:sz w:val="20"/>
              </w:rPr>
              <w:t>20.9</w:t>
            </w:r>
          </w:p>
        </w:tc>
        <w:tc>
          <w:tcPr>
            <w:tcW w:w="798" w:type="pct"/>
            <w:gridSpan w:val="2"/>
          </w:tcPr>
          <w:p w:rsidR="00932AD2" w:rsidRPr="00980C60" w:rsidRDefault="00932AD2" w:rsidP="00F34ABE">
            <w:pPr>
              <w:keepNext/>
              <w:widowControl/>
              <w:jc w:val="center"/>
              <w:rPr>
                <w:rFonts w:ascii="Arial Narrow" w:hAnsi="Arial Narrow"/>
                <w:sz w:val="20"/>
              </w:rPr>
            </w:pPr>
            <w:r w:rsidRPr="00980C60">
              <w:rPr>
                <w:rFonts w:ascii="Arial Narrow" w:hAnsi="Arial Narrow"/>
                <w:sz w:val="20"/>
              </w:rPr>
              <w:t>0.15 (-0.04, 0.33)</w:t>
            </w:r>
          </w:p>
        </w:tc>
      </w:tr>
      <w:tr w:rsidR="00932AD2" w:rsidRPr="00980C60" w:rsidTr="00537484">
        <w:tc>
          <w:tcPr>
            <w:tcW w:w="5000" w:type="pct"/>
            <w:gridSpan w:val="10"/>
            <w:shd w:val="clear" w:color="auto" w:fill="auto"/>
            <w:vAlign w:val="center"/>
          </w:tcPr>
          <w:p w:rsidR="00932AD2" w:rsidRPr="00980C60" w:rsidRDefault="00932AD2" w:rsidP="00F34ABE">
            <w:pPr>
              <w:keepNext/>
              <w:widowControl/>
              <w:jc w:val="left"/>
              <w:rPr>
                <w:rFonts w:ascii="Arial Narrow" w:hAnsi="Arial Narrow"/>
                <w:color w:val="000000"/>
                <w:sz w:val="20"/>
                <w:szCs w:val="18"/>
              </w:rPr>
            </w:pPr>
            <w:r w:rsidRPr="00980C60">
              <w:rPr>
                <w:rFonts w:ascii="Arial Narrow" w:hAnsi="Arial Narrow"/>
                <w:sz w:val="20"/>
              </w:rPr>
              <w:t>Post hoc: Patients achieving NRS-3 ≤ 4 points and remaining on monotherapy during the combination phase</w:t>
            </w:r>
          </w:p>
        </w:tc>
      </w:tr>
      <w:tr w:rsidR="00D152C9" w:rsidRPr="00980C60" w:rsidTr="00DA6DB0">
        <w:tc>
          <w:tcPr>
            <w:tcW w:w="938" w:type="pct"/>
            <w:shd w:val="clear" w:color="auto" w:fill="auto"/>
            <w:vAlign w:val="center"/>
          </w:tcPr>
          <w:p w:rsidR="00D152C9" w:rsidRPr="00980C60" w:rsidRDefault="00D152C9" w:rsidP="00F34ABE">
            <w:pPr>
              <w:keepNext/>
              <w:widowControl/>
              <w:rPr>
                <w:rFonts w:ascii="Arial Narrow" w:hAnsi="Arial Narrow"/>
                <w:color w:val="000000"/>
                <w:sz w:val="20"/>
                <w:szCs w:val="18"/>
              </w:rPr>
            </w:pPr>
            <w:r w:rsidRPr="00980C60">
              <w:rPr>
                <w:rFonts w:ascii="Arial Narrow" w:hAnsi="Arial Narrow"/>
                <w:color w:val="000000"/>
                <w:sz w:val="20"/>
                <w:szCs w:val="18"/>
              </w:rPr>
              <w:t>KF10004/03</w:t>
            </w:r>
          </w:p>
        </w:tc>
        <w:tc>
          <w:tcPr>
            <w:tcW w:w="582" w:type="pct"/>
            <w:vAlign w:val="center"/>
          </w:tcPr>
          <w:p w:rsidR="00D152C9" w:rsidRPr="00980C60" w:rsidRDefault="00D152C9" w:rsidP="00F34ABE">
            <w:pPr>
              <w:keepNext/>
              <w:widowControl/>
              <w:jc w:val="center"/>
              <w:rPr>
                <w:rFonts w:ascii="Arial Narrow" w:hAnsi="Arial Narrow"/>
                <w:sz w:val="20"/>
              </w:rPr>
            </w:pPr>
            <w:r w:rsidRPr="00980C60">
              <w:rPr>
                <w:rFonts w:ascii="Arial Narrow" w:hAnsi="Arial Narrow"/>
                <w:sz w:val="20"/>
              </w:rPr>
              <w:t>NR</w:t>
            </w:r>
          </w:p>
        </w:tc>
        <w:tc>
          <w:tcPr>
            <w:tcW w:w="583" w:type="pct"/>
            <w:vAlign w:val="center"/>
          </w:tcPr>
          <w:p w:rsidR="00D152C9" w:rsidRPr="00980C60" w:rsidRDefault="00D152C9" w:rsidP="00F34ABE">
            <w:pPr>
              <w:keepNext/>
              <w:widowControl/>
              <w:jc w:val="center"/>
              <w:rPr>
                <w:rFonts w:ascii="Arial Narrow" w:hAnsi="Arial Narrow"/>
                <w:sz w:val="20"/>
              </w:rPr>
            </w:pPr>
            <w:r w:rsidRPr="00980C60">
              <w:rPr>
                <w:rFonts w:ascii="Arial Narrow" w:hAnsi="Arial Narrow"/>
                <w:sz w:val="20"/>
              </w:rPr>
              <w:t>NR</w:t>
            </w:r>
          </w:p>
        </w:tc>
        <w:tc>
          <w:tcPr>
            <w:tcW w:w="840" w:type="pct"/>
            <w:gridSpan w:val="2"/>
            <w:vAlign w:val="center"/>
          </w:tcPr>
          <w:p w:rsidR="00D152C9" w:rsidRPr="00980C60" w:rsidRDefault="00D152C9" w:rsidP="00F34ABE">
            <w:pPr>
              <w:keepNext/>
              <w:widowControl/>
              <w:jc w:val="center"/>
              <w:rPr>
                <w:rFonts w:ascii="Arial Narrow" w:hAnsi="Arial Narrow"/>
                <w:sz w:val="20"/>
              </w:rPr>
            </w:pPr>
            <w:r w:rsidRPr="00980C60">
              <w:rPr>
                <w:rFonts w:ascii="Arial Narrow" w:hAnsi="Arial Narrow"/>
                <w:sz w:val="20"/>
              </w:rPr>
              <w:t>NR</w:t>
            </w:r>
          </w:p>
        </w:tc>
        <w:tc>
          <w:tcPr>
            <w:tcW w:w="628" w:type="pct"/>
            <w:vAlign w:val="center"/>
          </w:tcPr>
          <w:p w:rsidR="00D152C9" w:rsidRPr="00980C60" w:rsidRDefault="00D152C9" w:rsidP="00F34ABE">
            <w:pPr>
              <w:keepNext/>
              <w:widowControl/>
              <w:jc w:val="center"/>
              <w:rPr>
                <w:rFonts w:ascii="Arial Narrow" w:hAnsi="Arial Narrow"/>
                <w:sz w:val="20"/>
              </w:rPr>
            </w:pPr>
            <w:r w:rsidRPr="00980C60">
              <w:rPr>
                <w:rFonts w:ascii="Arial Narrow" w:hAnsi="Arial Narrow"/>
                <w:sz w:val="20"/>
              </w:rPr>
              <w:t>NR</w:t>
            </w:r>
          </w:p>
        </w:tc>
        <w:tc>
          <w:tcPr>
            <w:tcW w:w="631" w:type="pct"/>
            <w:gridSpan w:val="2"/>
            <w:vAlign w:val="center"/>
          </w:tcPr>
          <w:p w:rsidR="00D152C9" w:rsidRPr="00980C60" w:rsidRDefault="00D152C9" w:rsidP="00F34ABE">
            <w:pPr>
              <w:keepNext/>
              <w:widowControl/>
              <w:jc w:val="center"/>
              <w:rPr>
                <w:rFonts w:ascii="Arial Narrow" w:hAnsi="Arial Narrow"/>
                <w:sz w:val="20"/>
              </w:rPr>
            </w:pPr>
            <w:r w:rsidRPr="00980C60">
              <w:rPr>
                <w:rFonts w:ascii="Arial Narrow" w:hAnsi="Arial Narrow"/>
                <w:sz w:val="20"/>
              </w:rPr>
              <w:t>NR</w:t>
            </w:r>
          </w:p>
        </w:tc>
        <w:tc>
          <w:tcPr>
            <w:tcW w:w="798" w:type="pct"/>
            <w:gridSpan w:val="2"/>
            <w:vAlign w:val="center"/>
          </w:tcPr>
          <w:p w:rsidR="00D152C9" w:rsidRPr="00980C60" w:rsidRDefault="00D152C9" w:rsidP="00F34ABE">
            <w:pPr>
              <w:keepNext/>
              <w:widowControl/>
              <w:jc w:val="center"/>
              <w:rPr>
                <w:rFonts w:ascii="Arial Narrow" w:hAnsi="Arial Narrow"/>
                <w:sz w:val="20"/>
              </w:rPr>
            </w:pPr>
            <w:r w:rsidRPr="00980C60">
              <w:rPr>
                <w:rFonts w:ascii="Arial Narrow" w:hAnsi="Arial Narrow"/>
                <w:sz w:val="20"/>
              </w:rPr>
              <w:t>NR</w:t>
            </w:r>
          </w:p>
        </w:tc>
      </w:tr>
      <w:tr w:rsidR="00932AD2" w:rsidRPr="00980C60" w:rsidTr="00DA6DB0">
        <w:tc>
          <w:tcPr>
            <w:tcW w:w="938" w:type="pct"/>
            <w:shd w:val="clear" w:color="auto" w:fill="auto"/>
            <w:vAlign w:val="center"/>
          </w:tcPr>
          <w:p w:rsidR="00932AD2" w:rsidRPr="00980C60" w:rsidRDefault="00DA4214" w:rsidP="00F34ABE">
            <w:pPr>
              <w:keepNext/>
              <w:widowControl/>
              <w:rPr>
                <w:rFonts w:ascii="Arial Narrow" w:hAnsi="Arial Narrow"/>
                <w:color w:val="000000"/>
                <w:sz w:val="20"/>
                <w:szCs w:val="18"/>
              </w:rPr>
            </w:pPr>
            <w:r w:rsidRPr="00980C60">
              <w:rPr>
                <w:rFonts w:ascii="Arial Narrow" w:hAnsi="Arial Narrow"/>
                <w:color w:val="000000"/>
                <w:sz w:val="20"/>
                <w:szCs w:val="18"/>
              </w:rPr>
              <w:t>-</w:t>
            </w:r>
            <w:r w:rsidR="00932AD2" w:rsidRPr="00980C60">
              <w:rPr>
                <w:rFonts w:ascii="Arial Narrow" w:hAnsi="Arial Narrow"/>
                <w:color w:val="000000"/>
                <w:sz w:val="20"/>
                <w:szCs w:val="18"/>
              </w:rPr>
              <w:t>KF10004/03 (PHN)</w:t>
            </w:r>
          </w:p>
          <w:p w:rsidR="00932AD2" w:rsidRPr="00980C60" w:rsidRDefault="00932AD2" w:rsidP="00F34ABE">
            <w:pPr>
              <w:keepNext/>
              <w:widowControl/>
              <w:rPr>
                <w:rFonts w:ascii="Arial Narrow" w:hAnsi="Arial Narrow"/>
                <w:color w:val="000000"/>
                <w:sz w:val="20"/>
                <w:szCs w:val="18"/>
              </w:rPr>
            </w:pPr>
            <w:r w:rsidRPr="00980C60">
              <w:rPr>
                <w:rFonts w:ascii="Arial Narrow" w:hAnsi="Arial Narrow"/>
                <w:color w:val="000000"/>
                <w:sz w:val="20"/>
                <w:szCs w:val="18"/>
              </w:rPr>
              <w:t>Sect B</w:t>
            </w:r>
          </w:p>
        </w:tc>
        <w:tc>
          <w:tcPr>
            <w:tcW w:w="582" w:type="pct"/>
            <w:vAlign w:val="center"/>
          </w:tcPr>
          <w:p w:rsidR="00932AD2" w:rsidRPr="00980C60" w:rsidRDefault="00932AD2" w:rsidP="00F34ABE">
            <w:pPr>
              <w:keepNext/>
              <w:widowControl/>
              <w:jc w:val="center"/>
              <w:rPr>
                <w:rFonts w:ascii="Arial Narrow" w:hAnsi="Arial Narrow"/>
                <w:color w:val="000000"/>
                <w:sz w:val="20"/>
                <w:szCs w:val="18"/>
              </w:rPr>
            </w:pPr>
            <w:r w:rsidRPr="00980C60">
              <w:rPr>
                <w:rFonts w:ascii="Arial Narrow" w:hAnsi="Arial Narrow"/>
                <w:sz w:val="20"/>
              </w:rPr>
              <w:t>25/50</w:t>
            </w:r>
          </w:p>
        </w:tc>
        <w:tc>
          <w:tcPr>
            <w:tcW w:w="583" w:type="pct"/>
            <w:vAlign w:val="center"/>
          </w:tcPr>
          <w:p w:rsidR="00932AD2" w:rsidRPr="00980C60" w:rsidRDefault="00932AD2" w:rsidP="00F34ABE">
            <w:pPr>
              <w:keepNext/>
              <w:widowControl/>
              <w:jc w:val="center"/>
              <w:rPr>
                <w:rFonts w:ascii="Arial Narrow" w:hAnsi="Arial Narrow"/>
                <w:color w:val="000000"/>
                <w:sz w:val="20"/>
                <w:szCs w:val="18"/>
              </w:rPr>
            </w:pPr>
            <w:r w:rsidRPr="00980C60">
              <w:rPr>
                <w:rFonts w:ascii="Arial Narrow" w:hAnsi="Arial Narrow"/>
                <w:sz w:val="20"/>
              </w:rPr>
              <w:t>14/48</w:t>
            </w:r>
          </w:p>
        </w:tc>
        <w:tc>
          <w:tcPr>
            <w:tcW w:w="840" w:type="pct"/>
            <w:gridSpan w:val="2"/>
            <w:vAlign w:val="center"/>
          </w:tcPr>
          <w:p w:rsidR="00932AD2" w:rsidRPr="00980C60" w:rsidRDefault="00932AD2" w:rsidP="00F34ABE">
            <w:pPr>
              <w:keepNext/>
              <w:widowControl/>
              <w:jc w:val="center"/>
              <w:rPr>
                <w:rFonts w:ascii="Arial Narrow" w:hAnsi="Arial Narrow"/>
                <w:color w:val="000000"/>
                <w:sz w:val="20"/>
                <w:szCs w:val="18"/>
              </w:rPr>
            </w:pPr>
            <w:r w:rsidRPr="00980C60">
              <w:rPr>
                <w:rFonts w:ascii="Arial Narrow" w:hAnsi="Arial Narrow"/>
                <w:sz w:val="20"/>
              </w:rPr>
              <w:t>1.71 (1.02, 2.89)</w:t>
            </w:r>
          </w:p>
        </w:tc>
        <w:tc>
          <w:tcPr>
            <w:tcW w:w="628" w:type="pct"/>
            <w:vAlign w:val="center"/>
          </w:tcPr>
          <w:p w:rsidR="00932AD2" w:rsidRPr="00980C60" w:rsidRDefault="00932AD2" w:rsidP="00F34ABE">
            <w:pPr>
              <w:keepNext/>
              <w:widowControl/>
              <w:jc w:val="center"/>
              <w:rPr>
                <w:rFonts w:ascii="Arial Narrow" w:hAnsi="Arial Narrow"/>
                <w:color w:val="000000"/>
                <w:sz w:val="20"/>
                <w:szCs w:val="18"/>
              </w:rPr>
            </w:pPr>
            <w:r w:rsidRPr="00980C60">
              <w:rPr>
                <w:rFonts w:ascii="Arial Narrow" w:hAnsi="Arial Narrow"/>
                <w:sz w:val="20"/>
              </w:rPr>
              <w:t>50.0</w:t>
            </w:r>
          </w:p>
        </w:tc>
        <w:tc>
          <w:tcPr>
            <w:tcW w:w="631" w:type="pct"/>
            <w:gridSpan w:val="2"/>
            <w:vAlign w:val="center"/>
          </w:tcPr>
          <w:p w:rsidR="00932AD2" w:rsidRPr="00980C60" w:rsidRDefault="00932AD2" w:rsidP="00F34ABE">
            <w:pPr>
              <w:keepNext/>
              <w:widowControl/>
              <w:jc w:val="center"/>
              <w:rPr>
                <w:rFonts w:ascii="Arial Narrow" w:hAnsi="Arial Narrow"/>
                <w:color w:val="000000"/>
                <w:sz w:val="20"/>
                <w:szCs w:val="18"/>
              </w:rPr>
            </w:pPr>
            <w:r w:rsidRPr="00980C60">
              <w:rPr>
                <w:rFonts w:ascii="Arial Narrow" w:hAnsi="Arial Narrow"/>
                <w:sz w:val="20"/>
              </w:rPr>
              <w:t>29.2</w:t>
            </w:r>
          </w:p>
        </w:tc>
        <w:tc>
          <w:tcPr>
            <w:tcW w:w="798" w:type="pct"/>
            <w:gridSpan w:val="2"/>
            <w:vAlign w:val="center"/>
          </w:tcPr>
          <w:p w:rsidR="00932AD2" w:rsidRPr="00980C60" w:rsidRDefault="00932AD2" w:rsidP="00F34ABE">
            <w:pPr>
              <w:keepNext/>
              <w:widowControl/>
              <w:jc w:val="center"/>
              <w:rPr>
                <w:rFonts w:ascii="Arial Narrow" w:hAnsi="Arial Narrow"/>
                <w:color w:val="000000"/>
                <w:sz w:val="20"/>
                <w:szCs w:val="18"/>
              </w:rPr>
            </w:pPr>
            <w:r w:rsidRPr="00980C60">
              <w:rPr>
                <w:rFonts w:ascii="Arial Narrow" w:hAnsi="Arial Narrow"/>
                <w:sz w:val="20"/>
              </w:rPr>
              <w:t>0.21 (0.02, 0.40)</w:t>
            </w:r>
          </w:p>
        </w:tc>
      </w:tr>
      <w:tr w:rsidR="00932AD2" w:rsidRPr="00980C60" w:rsidTr="00DA6DB0">
        <w:tc>
          <w:tcPr>
            <w:tcW w:w="938" w:type="pct"/>
            <w:shd w:val="clear" w:color="auto" w:fill="auto"/>
            <w:vAlign w:val="center"/>
          </w:tcPr>
          <w:p w:rsidR="00932AD2" w:rsidRPr="00980C60" w:rsidRDefault="00DA4214" w:rsidP="00F34ABE">
            <w:pPr>
              <w:keepNext/>
              <w:widowControl/>
              <w:rPr>
                <w:rFonts w:ascii="Arial Narrow" w:hAnsi="Arial Narrow"/>
                <w:color w:val="000000"/>
                <w:sz w:val="20"/>
                <w:szCs w:val="18"/>
              </w:rPr>
            </w:pPr>
            <w:r w:rsidRPr="00980C60">
              <w:rPr>
                <w:rFonts w:ascii="Arial Narrow" w:hAnsi="Arial Narrow"/>
                <w:color w:val="000000"/>
                <w:sz w:val="20"/>
                <w:szCs w:val="18"/>
              </w:rPr>
              <w:t>-</w:t>
            </w:r>
            <w:r w:rsidR="00932AD2" w:rsidRPr="00980C60">
              <w:rPr>
                <w:rFonts w:ascii="Arial Narrow" w:hAnsi="Arial Narrow"/>
                <w:color w:val="000000"/>
                <w:sz w:val="20"/>
                <w:szCs w:val="18"/>
              </w:rPr>
              <w:t>KF10004/03 (PHN)</w:t>
            </w:r>
          </w:p>
          <w:p w:rsidR="00932AD2" w:rsidRPr="00980C60" w:rsidRDefault="00932AD2" w:rsidP="00F34ABE">
            <w:pPr>
              <w:keepNext/>
              <w:widowControl/>
              <w:rPr>
                <w:rFonts w:ascii="Arial Narrow" w:hAnsi="Arial Narrow"/>
                <w:color w:val="000000"/>
                <w:sz w:val="20"/>
                <w:szCs w:val="18"/>
              </w:rPr>
            </w:pPr>
            <w:r w:rsidRPr="00980C60">
              <w:rPr>
                <w:rFonts w:ascii="Arial Narrow" w:hAnsi="Arial Narrow"/>
                <w:color w:val="000000"/>
                <w:sz w:val="20"/>
                <w:szCs w:val="18"/>
              </w:rPr>
              <w:t>Sect D</w:t>
            </w:r>
          </w:p>
        </w:tc>
        <w:tc>
          <w:tcPr>
            <w:tcW w:w="582" w:type="pct"/>
            <w:vAlign w:val="center"/>
          </w:tcPr>
          <w:p w:rsidR="00932AD2" w:rsidRPr="00980C60" w:rsidRDefault="00932AD2" w:rsidP="00F34ABE">
            <w:pPr>
              <w:keepNext/>
              <w:widowControl/>
              <w:jc w:val="center"/>
              <w:rPr>
                <w:rFonts w:ascii="Arial Narrow" w:hAnsi="Arial Narrow"/>
                <w:color w:val="000000"/>
                <w:sz w:val="20"/>
                <w:szCs w:val="18"/>
              </w:rPr>
            </w:pPr>
            <w:r w:rsidRPr="00980C60">
              <w:rPr>
                <w:rFonts w:ascii="Arial Narrow" w:hAnsi="Arial Narrow"/>
                <w:sz w:val="20"/>
              </w:rPr>
              <w:t>NR</w:t>
            </w:r>
          </w:p>
        </w:tc>
        <w:tc>
          <w:tcPr>
            <w:tcW w:w="583" w:type="pct"/>
            <w:vAlign w:val="center"/>
          </w:tcPr>
          <w:p w:rsidR="00932AD2" w:rsidRPr="00980C60" w:rsidRDefault="00932AD2" w:rsidP="00F34ABE">
            <w:pPr>
              <w:keepNext/>
              <w:widowControl/>
              <w:jc w:val="center"/>
              <w:rPr>
                <w:rFonts w:ascii="Arial Narrow" w:hAnsi="Arial Narrow"/>
                <w:color w:val="000000"/>
                <w:sz w:val="20"/>
                <w:szCs w:val="18"/>
              </w:rPr>
            </w:pPr>
            <w:r w:rsidRPr="00980C60">
              <w:rPr>
                <w:rFonts w:ascii="Arial Narrow" w:hAnsi="Arial Narrow"/>
                <w:sz w:val="20"/>
              </w:rPr>
              <w:t>NR</w:t>
            </w:r>
          </w:p>
        </w:tc>
        <w:tc>
          <w:tcPr>
            <w:tcW w:w="840" w:type="pct"/>
            <w:gridSpan w:val="2"/>
            <w:vAlign w:val="center"/>
          </w:tcPr>
          <w:p w:rsidR="00932AD2" w:rsidRPr="00980C60" w:rsidRDefault="00932AD2" w:rsidP="00F34ABE">
            <w:pPr>
              <w:keepNext/>
              <w:widowControl/>
              <w:jc w:val="center"/>
              <w:rPr>
                <w:rFonts w:ascii="Arial Narrow" w:hAnsi="Arial Narrow"/>
                <w:color w:val="000000"/>
                <w:sz w:val="20"/>
                <w:szCs w:val="18"/>
              </w:rPr>
            </w:pPr>
            <w:r w:rsidRPr="00980C60">
              <w:rPr>
                <w:rFonts w:ascii="Arial Narrow" w:hAnsi="Arial Narrow"/>
                <w:sz w:val="20"/>
              </w:rPr>
              <w:t>NR</w:t>
            </w:r>
          </w:p>
        </w:tc>
        <w:tc>
          <w:tcPr>
            <w:tcW w:w="628" w:type="pct"/>
            <w:vAlign w:val="center"/>
          </w:tcPr>
          <w:p w:rsidR="00932AD2" w:rsidRPr="00980C60" w:rsidRDefault="00932AD2"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61.7</w:t>
            </w:r>
          </w:p>
        </w:tc>
        <w:tc>
          <w:tcPr>
            <w:tcW w:w="631" w:type="pct"/>
            <w:gridSpan w:val="2"/>
            <w:vAlign w:val="center"/>
          </w:tcPr>
          <w:p w:rsidR="00932AD2" w:rsidRPr="00980C60" w:rsidRDefault="00932AD2"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48.5</w:t>
            </w:r>
          </w:p>
        </w:tc>
        <w:tc>
          <w:tcPr>
            <w:tcW w:w="798" w:type="pct"/>
            <w:gridSpan w:val="2"/>
            <w:vAlign w:val="center"/>
          </w:tcPr>
          <w:p w:rsidR="00932AD2" w:rsidRPr="00980C60" w:rsidRDefault="00932AD2" w:rsidP="00F34ABE">
            <w:pPr>
              <w:keepNext/>
              <w:widowControl/>
              <w:jc w:val="center"/>
              <w:rPr>
                <w:rFonts w:ascii="Arial Narrow" w:hAnsi="Arial Narrow"/>
                <w:color w:val="000000"/>
                <w:sz w:val="20"/>
                <w:szCs w:val="18"/>
              </w:rPr>
            </w:pPr>
            <w:r w:rsidRPr="00980C60">
              <w:rPr>
                <w:rFonts w:ascii="Arial Narrow" w:hAnsi="Arial Narrow"/>
                <w:sz w:val="20"/>
              </w:rPr>
              <w:t>0.13 (-0.09, 0.35)</w:t>
            </w:r>
          </w:p>
        </w:tc>
      </w:tr>
      <w:tr w:rsidR="00932AD2" w:rsidRPr="00980C60" w:rsidTr="00552BD3">
        <w:tc>
          <w:tcPr>
            <w:tcW w:w="5000" w:type="pct"/>
            <w:gridSpan w:val="10"/>
            <w:tcBorders>
              <w:top w:val="double" w:sz="4" w:space="0" w:color="auto"/>
            </w:tcBorders>
            <w:shd w:val="clear" w:color="auto" w:fill="auto"/>
            <w:vAlign w:val="center"/>
          </w:tcPr>
          <w:p w:rsidR="00932AD2" w:rsidRPr="00980C60" w:rsidRDefault="00932AD2" w:rsidP="00F34ABE">
            <w:pPr>
              <w:keepNext/>
              <w:widowControl/>
              <w:rPr>
                <w:rFonts w:ascii="Arial Narrow" w:hAnsi="Arial Narrow"/>
                <w:b/>
                <w:color w:val="000000"/>
                <w:sz w:val="20"/>
                <w:szCs w:val="18"/>
              </w:rPr>
            </w:pPr>
            <w:r w:rsidRPr="00980C60">
              <w:rPr>
                <w:rFonts w:ascii="Arial Narrow" w:hAnsi="Arial Narrow"/>
                <w:b/>
                <w:color w:val="000000"/>
                <w:sz w:val="20"/>
                <w:szCs w:val="18"/>
              </w:rPr>
              <w:t xml:space="preserve">Harms </w:t>
            </w:r>
          </w:p>
        </w:tc>
      </w:tr>
      <w:tr w:rsidR="00957DC5" w:rsidRPr="00980C60" w:rsidTr="00DA6DB0">
        <w:trPr>
          <w:trHeight w:val="70"/>
        </w:trPr>
        <w:tc>
          <w:tcPr>
            <w:tcW w:w="938" w:type="pct"/>
            <w:vMerge w:val="restart"/>
            <w:shd w:val="clear" w:color="auto" w:fill="auto"/>
            <w:vAlign w:val="center"/>
          </w:tcPr>
          <w:p w:rsidR="00957DC5" w:rsidRPr="00980C60" w:rsidRDefault="00957DC5" w:rsidP="00F34ABE">
            <w:pPr>
              <w:keepNext/>
              <w:widowControl/>
              <w:rPr>
                <w:rFonts w:ascii="Arial Narrow" w:hAnsi="Arial Narrow"/>
                <w:b/>
                <w:color w:val="000000"/>
                <w:sz w:val="20"/>
                <w:szCs w:val="18"/>
              </w:rPr>
            </w:pPr>
          </w:p>
        </w:tc>
        <w:tc>
          <w:tcPr>
            <w:tcW w:w="582" w:type="pct"/>
            <w:vMerge w:val="restart"/>
            <w:vAlign w:val="center"/>
          </w:tcPr>
          <w:p w:rsidR="00957DC5" w:rsidRPr="00980C60" w:rsidRDefault="00957DC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Lignocaine patch</w:t>
            </w:r>
          </w:p>
        </w:tc>
        <w:tc>
          <w:tcPr>
            <w:tcW w:w="606" w:type="pct"/>
            <w:gridSpan w:val="2"/>
            <w:vMerge w:val="restart"/>
            <w:vAlign w:val="center"/>
          </w:tcPr>
          <w:p w:rsidR="00957DC5" w:rsidRPr="00980C60" w:rsidRDefault="00957DC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Pregabalin</w:t>
            </w:r>
          </w:p>
        </w:tc>
        <w:tc>
          <w:tcPr>
            <w:tcW w:w="817" w:type="pct"/>
            <w:vMerge w:val="restart"/>
            <w:vAlign w:val="center"/>
          </w:tcPr>
          <w:p w:rsidR="00957DC5" w:rsidRPr="00980C60" w:rsidRDefault="00957DC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RR</w:t>
            </w:r>
          </w:p>
          <w:p w:rsidR="00957DC5" w:rsidRPr="00980C60" w:rsidRDefault="00957DC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(95% CI)</w:t>
            </w:r>
          </w:p>
        </w:tc>
        <w:tc>
          <w:tcPr>
            <w:tcW w:w="1259" w:type="pct"/>
            <w:gridSpan w:val="3"/>
            <w:vAlign w:val="center"/>
          </w:tcPr>
          <w:p w:rsidR="00957DC5" w:rsidRPr="00980C60" w:rsidRDefault="00957DC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Event rate/100 patients</w:t>
            </w:r>
            <w:r w:rsidR="00E035D3" w:rsidRPr="00980C60">
              <w:rPr>
                <w:rFonts w:ascii="Arial Narrow" w:hAnsi="Arial Narrow"/>
                <w:b/>
                <w:color w:val="000000"/>
                <w:sz w:val="20"/>
                <w:szCs w:val="18"/>
                <w:vertAlign w:val="superscript"/>
              </w:rPr>
              <w:t>a</w:t>
            </w:r>
            <w:r w:rsidRPr="00980C60">
              <w:rPr>
                <w:rFonts w:ascii="Arial Narrow" w:hAnsi="Arial Narrow"/>
                <w:b/>
                <w:color w:val="000000"/>
                <w:sz w:val="20"/>
                <w:szCs w:val="18"/>
              </w:rPr>
              <w:t xml:space="preserve"> </w:t>
            </w:r>
          </w:p>
        </w:tc>
        <w:tc>
          <w:tcPr>
            <w:tcW w:w="798" w:type="pct"/>
            <w:gridSpan w:val="2"/>
            <w:vMerge w:val="restart"/>
            <w:vAlign w:val="center"/>
          </w:tcPr>
          <w:p w:rsidR="00957DC5" w:rsidRPr="00980C60" w:rsidRDefault="00957DC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RD</w:t>
            </w:r>
          </w:p>
          <w:p w:rsidR="00957DC5" w:rsidRPr="00980C60" w:rsidRDefault="00957DC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(95% CI)</w:t>
            </w:r>
          </w:p>
        </w:tc>
      </w:tr>
      <w:tr w:rsidR="00957DC5" w:rsidRPr="00980C60" w:rsidTr="00957DC5">
        <w:trPr>
          <w:trHeight w:val="390"/>
        </w:trPr>
        <w:tc>
          <w:tcPr>
            <w:tcW w:w="938" w:type="pct"/>
            <w:vMerge/>
            <w:shd w:val="clear" w:color="auto" w:fill="auto"/>
            <w:vAlign w:val="center"/>
          </w:tcPr>
          <w:p w:rsidR="00957DC5" w:rsidRPr="00980C60" w:rsidRDefault="00957DC5" w:rsidP="00F34ABE">
            <w:pPr>
              <w:keepNext/>
              <w:widowControl/>
              <w:rPr>
                <w:rFonts w:ascii="Arial Narrow" w:hAnsi="Arial Narrow"/>
                <w:b/>
                <w:color w:val="000000"/>
                <w:sz w:val="20"/>
                <w:szCs w:val="18"/>
              </w:rPr>
            </w:pPr>
          </w:p>
        </w:tc>
        <w:tc>
          <w:tcPr>
            <w:tcW w:w="582" w:type="pct"/>
            <w:vMerge/>
            <w:vAlign w:val="center"/>
          </w:tcPr>
          <w:p w:rsidR="00957DC5" w:rsidRPr="00980C60" w:rsidRDefault="00957DC5" w:rsidP="00F34ABE">
            <w:pPr>
              <w:keepNext/>
              <w:widowControl/>
              <w:jc w:val="center"/>
              <w:rPr>
                <w:rFonts w:ascii="Arial Narrow" w:hAnsi="Arial Narrow"/>
                <w:b/>
                <w:color w:val="000000"/>
                <w:sz w:val="20"/>
                <w:szCs w:val="18"/>
              </w:rPr>
            </w:pPr>
          </w:p>
        </w:tc>
        <w:tc>
          <w:tcPr>
            <w:tcW w:w="606" w:type="pct"/>
            <w:gridSpan w:val="2"/>
            <w:vMerge/>
            <w:vAlign w:val="center"/>
          </w:tcPr>
          <w:p w:rsidR="00957DC5" w:rsidRPr="00980C60" w:rsidRDefault="00957DC5" w:rsidP="00F34ABE">
            <w:pPr>
              <w:keepNext/>
              <w:widowControl/>
              <w:jc w:val="center"/>
              <w:rPr>
                <w:rFonts w:ascii="Arial Narrow" w:hAnsi="Arial Narrow"/>
                <w:b/>
                <w:color w:val="000000"/>
                <w:sz w:val="20"/>
                <w:szCs w:val="18"/>
              </w:rPr>
            </w:pPr>
          </w:p>
        </w:tc>
        <w:tc>
          <w:tcPr>
            <w:tcW w:w="817" w:type="pct"/>
            <w:vMerge/>
            <w:vAlign w:val="center"/>
          </w:tcPr>
          <w:p w:rsidR="00957DC5" w:rsidRPr="00980C60" w:rsidRDefault="00957DC5" w:rsidP="00F34ABE">
            <w:pPr>
              <w:keepNext/>
              <w:widowControl/>
              <w:jc w:val="center"/>
              <w:rPr>
                <w:rFonts w:ascii="Arial Narrow" w:hAnsi="Arial Narrow"/>
                <w:b/>
                <w:color w:val="000000"/>
                <w:sz w:val="20"/>
                <w:szCs w:val="18"/>
              </w:rPr>
            </w:pPr>
          </w:p>
        </w:tc>
        <w:tc>
          <w:tcPr>
            <w:tcW w:w="628" w:type="pct"/>
            <w:vAlign w:val="center"/>
          </w:tcPr>
          <w:p w:rsidR="00957DC5" w:rsidRPr="00980C60" w:rsidRDefault="00957DC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Lignocaine patch</w:t>
            </w:r>
          </w:p>
        </w:tc>
        <w:tc>
          <w:tcPr>
            <w:tcW w:w="631" w:type="pct"/>
            <w:gridSpan w:val="2"/>
            <w:vAlign w:val="center"/>
          </w:tcPr>
          <w:p w:rsidR="00957DC5" w:rsidRPr="00980C60" w:rsidRDefault="00957DC5" w:rsidP="00F34ABE">
            <w:pPr>
              <w:keepNext/>
              <w:widowControl/>
              <w:jc w:val="center"/>
              <w:rPr>
                <w:rFonts w:ascii="Arial Narrow" w:hAnsi="Arial Narrow"/>
                <w:b/>
                <w:color w:val="000000"/>
                <w:sz w:val="20"/>
                <w:szCs w:val="18"/>
              </w:rPr>
            </w:pPr>
            <w:r w:rsidRPr="00980C60">
              <w:rPr>
                <w:rFonts w:ascii="Arial Narrow" w:hAnsi="Arial Narrow"/>
                <w:b/>
                <w:color w:val="000000"/>
                <w:sz w:val="20"/>
                <w:szCs w:val="18"/>
              </w:rPr>
              <w:t>Pregabalin</w:t>
            </w:r>
          </w:p>
        </w:tc>
        <w:tc>
          <w:tcPr>
            <w:tcW w:w="798" w:type="pct"/>
            <w:gridSpan w:val="2"/>
            <w:vMerge/>
            <w:vAlign w:val="center"/>
          </w:tcPr>
          <w:p w:rsidR="00957DC5" w:rsidRPr="00980C60" w:rsidRDefault="00957DC5" w:rsidP="00F34ABE">
            <w:pPr>
              <w:keepNext/>
              <w:widowControl/>
              <w:jc w:val="center"/>
              <w:rPr>
                <w:rFonts w:ascii="Arial Narrow" w:hAnsi="Arial Narrow"/>
                <w:b/>
                <w:color w:val="000000"/>
                <w:sz w:val="20"/>
                <w:szCs w:val="18"/>
              </w:rPr>
            </w:pPr>
          </w:p>
        </w:tc>
      </w:tr>
      <w:tr w:rsidR="00932AD2" w:rsidRPr="00980C60" w:rsidTr="00552BD3">
        <w:tc>
          <w:tcPr>
            <w:tcW w:w="5000" w:type="pct"/>
            <w:gridSpan w:val="10"/>
            <w:shd w:val="clear" w:color="auto" w:fill="auto"/>
            <w:vAlign w:val="center"/>
          </w:tcPr>
          <w:p w:rsidR="00932AD2" w:rsidRPr="00980C60" w:rsidRDefault="00066064" w:rsidP="00F34ABE">
            <w:pPr>
              <w:keepNext/>
              <w:widowControl/>
              <w:rPr>
                <w:rFonts w:ascii="Arial Narrow" w:hAnsi="Arial Narrow"/>
                <w:b/>
                <w:color w:val="000000"/>
                <w:sz w:val="20"/>
                <w:szCs w:val="18"/>
              </w:rPr>
            </w:pPr>
            <w:r w:rsidRPr="00980C60">
              <w:rPr>
                <w:rFonts w:ascii="Arial Narrow" w:hAnsi="Arial Narrow"/>
                <w:b/>
                <w:color w:val="000000"/>
                <w:sz w:val="20"/>
                <w:szCs w:val="18"/>
              </w:rPr>
              <w:t>Treatment-emergent adverse events</w:t>
            </w:r>
          </w:p>
        </w:tc>
      </w:tr>
      <w:tr w:rsidR="003743D5" w:rsidRPr="00980C60" w:rsidTr="00957DC5">
        <w:tc>
          <w:tcPr>
            <w:tcW w:w="938" w:type="pct"/>
            <w:shd w:val="clear" w:color="auto" w:fill="auto"/>
            <w:vAlign w:val="center"/>
          </w:tcPr>
          <w:p w:rsidR="003743D5" w:rsidRPr="00980C60" w:rsidRDefault="003743D5" w:rsidP="00F34ABE">
            <w:pPr>
              <w:keepNext/>
              <w:widowControl/>
              <w:rPr>
                <w:rFonts w:ascii="Arial Narrow" w:hAnsi="Arial Narrow"/>
                <w:color w:val="000000"/>
                <w:sz w:val="20"/>
                <w:szCs w:val="18"/>
              </w:rPr>
            </w:pPr>
            <w:r w:rsidRPr="00980C60">
              <w:rPr>
                <w:rFonts w:ascii="Arial Narrow" w:hAnsi="Arial Narrow"/>
                <w:color w:val="000000"/>
                <w:sz w:val="20"/>
                <w:szCs w:val="18"/>
              </w:rPr>
              <w:t>KF10004/03</w:t>
            </w:r>
          </w:p>
        </w:tc>
        <w:tc>
          <w:tcPr>
            <w:tcW w:w="582" w:type="pct"/>
            <w:vAlign w:val="center"/>
          </w:tcPr>
          <w:p w:rsidR="003743D5" w:rsidRPr="00980C60" w:rsidRDefault="00A32C5B"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29/155</w:t>
            </w:r>
          </w:p>
        </w:tc>
        <w:tc>
          <w:tcPr>
            <w:tcW w:w="606" w:type="pct"/>
            <w:gridSpan w:val="2"/>
            <w:vAlign w:val="center"/>
          </w:tcPr>
          <w:p w:rsidR="003743D5" w:rsidRPr="00980C60" w:rsidRDefault="00A32C5B"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71/153</w:t>
            </w:r>
          </w:p>
        </w:tc>
        <w:tc>
          <w:tcPr>
            <w:tcW w:w="817" w:type="pct"/>
            <w:vAlign w:val="center"/>
          </w:tcPr>
          <w:p w:rsidR="003743D5" w:rsidRPr="00980C60" w:rsidRDefault="00A32C5B"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NE</w:t>
            </w:r>
          </w:p>
        </w:tc>
        <w:tc>
          <w:tcPr>
            <w:tcW w:w="633" w:type="pct"/>
            <w:gridSpan w:val="2"/>
            <w:vAlign w:val="center"/>
          </w:tcPr>
          <w:p w:rsidR="003743D5" w:rsidRPr="00980C60" w:rsidRDefault="004F1A35" w:rsidP="00F34ABE">
            <w:pPr>
              <w:keepNext/>
              <w:widowControl/>
              <w:jc w:val="center"/>
              <w:rPr>
                <w:rFonts w:ascii="Arial Narrow" w:hAnsi="Arial Narrow"/>
                <w:color w:val="000000"/>
                <w:sz w:val="20"/>
                <w:szCs w:val="18"/>
              </w:rPr>
            </w:pPr>
            <w:r w:rsidRPr="00980C60">
              <w:rPr>
                <w:rStyle w:val="CommentReference"/>
                <w:b w:val="0"/>
                <w:szCs w:val="20"/>
              </w:rPr>
              <w:t>18.7</w:t>
            </w:r>
          </w:p>
        </w:tc>
        <w:tc>
          <w:tcPr>
            <w:tcW w:w="634" w:type="pct"/>
            <w:gridSpan w:val="2"/>
            <w:vAlign w:val="center"/>
          </w:tcPr>
          <w:p w:rsidR="003743D5" w:rsidRPr="00980C60" w:rsidRDefault="004F1A35" w:rsidP="00F34ABE">
            <w:pPr>
              <w:keepNext/>
              <w:widowControl/>
              <w:jc w:val="center"/>
              <w:rPr>
                <w:rFonts w:ascii="Arial Narrow" w:hAnsi="Arial Narrow"/>
                <w:color w:val="000000"/>
                <w:sz w:val="20"/>
                <w:szCs w:val="18"/>
              </w:rPr>
            </w:pPr>
            <w:r w:rsidRPr="00980C60">
              <w:rPr>
                <w:rStyle w:val="CommentReference"/>
                <w:b w:val="0"/>
                <w:szCs w:val="20"/>
              </w:rPr>
              <w:t>46.4</w:t>
            </w:r>
          </w:p>
        </w:tc>
        <w:tc>
          <w:tcPr>
            <w:tcW w:w="790" w:type="pct"/>
            <w:vAlign w:val="center"/>
          </w:tcPr>
          <w:p w:rsidR="003743D5" w:rsidRPr="00980C60" w:rsidRDefault="00A32C5B"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NE</w:t>
            </w:r>
          </w:p>
        </w:tc>
      </w:tr>
      <w:tr w:rsidR="003743D5" w:rsidRPr="00980C60" w:rsidTr="00957DC5">
        <w:tc>
          <w:tcPr>
            <w:tcW w:w="938" w:type="pct"/>
            <w:shd w:val="clear" w:color="auto" w:fill="auto"/>
            <w:vAlign w:val="center"/>
          </w:tcPr>
          <w:p w:rsidR="003743D5" w:rsidRPr="00980C60" w:rsidRDefault="00505EC1" w:rsidP="00F34ABE">
            <w:pPr>
              <w:keepNext/>
              <w:widowControl/>
              <w:rPr>
                <w:rFonts w:ascii="Arial Narrow" w:hAnsi="Arial Narrow"/>
                <w:color w:val="000000"/>
                <w:sz w:val="20"/>
                <w:szCs w:val="18"/>
              </w:rPr>
            </w:pPr>
            <w:r w:rsidRPr="00980C60">
              <w:rPr>
                <w:rFonts w:ascii="Arial Narrow" w:hAnsi="Arial Narrow"/>
                <w:color w:val="000000"/>
                <w:sz w:val="20"/>
                <w:szCs w:val="18"/>
              </w:rPr>
              <w:t>-</w:t>
            </w:r>
            <w:r w:rsidR="003743D5" w:rsidRPr="00980C60">
              <w:rPr>
                <w:rFonts w:ascii="Arial Narrow" w:hAnsi="Arial Narrow"/>
                <w:color w:val="000000"/>
                <w:sz w:val="20"/>
                <w:szCs w:val="18"/>
              </w:rPr>
              <w:t>KF10004/03 (PHN)</w:t>
            </w:r>
          </w:p>
        </w:tc>
        <w:tc>
          <w:tcPr>
            <w:tcW w:w="582" w:type="pct"/>
            <w:vAlign w:val="center"/>
          </w:tcPr>
          <w:p w:rsidR="003743D5" w:rsidRPr="00980C60" w:rsidRDefault="007A2203"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5/50</w:t>
            </w:r>
          </w:p>
        </w:tc>
        <w:tc>
          <w:tcPr>
            <w:tcW w:w="606" w:type="pct"/>
            <w:gridSpan w:val="2"/>
            <w:vAlign w:val="center"/>
          </w:tcPr>
          <w:p w:rsidR="003743D5" w:rsidRPr="00980C60" w:rsidRDefault="007A2203"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25/45</w:t>
            </w:r>
          </w:p>
        </w:tc>
        <w:tc>
          <w:tcPr>
            <w:tcW w:w="817" w:type="pct"/>
            <w:vAlign w:val="center"/>
          </w:tcPr>
          <w:p w:rsidR="003743D5" w:rsidRPr="00980C60" w:rsidRDefault="009B1F0C" w:rsidP="00F34ABE">
            <w:pPr>
              <w:keepNext/>
              <w:widowControl/>
              <w:jc w:val="center"/>
              <w:rPr>
                <w:rFonts w:ascii="Arial Narrow" w:hAnsi="Arial Narrow"/>
                <w:color w:val="000000"/>
                <w:sz w:val="20"/>
                <w:szCs w:val="18"/>
              </w:rPr>
            </w:pPr>
            <w:r w:rsidRPr="00980C60">
              <w:rPr>
                <w:rFonts w:ascii="Arial Narrow" w:hAnsi="Arial Narrow"/>
                <w:sz w:val="20"/>
              </w:rPr>
              <w:t>0.46 (0.26, 0.81)</w:t>
            </w:r>
          </w:p>
        </w:tc>
        <w:tc>
          <w:tcPr>
            <w:tcW w:w="633" w:type="pct"/>
            <w:gridSpan w:val="2"/>
            <w:vAlign w:val="center"/>
          </w:tcPr>
          <w:p w:rsidR="003743D5" w:rsidRPr="00980C60" w:rsidRDefault="00E035D3"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24.0</w:t>
            </w:r>
          </w:p>
        </w:tc>
        <w:tc>
          <w:tcPr>
            <w:tcW w:w="634" w:type="pct"/>
            <w:gridSpan w:val="2"/>
            <w:vAlign w:val="center"/>
          </w:tcPr>
          <w:p w:rsidR="003743D5" w:rsidRPr="00980C60" w:rsidRDefault="003348DC"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52.1</w:t>
            </w:r>
          </w:p>
        </w:tc>
        <w:tc>
          <w:tcPr>
            <w:tcW w:w="790" w:type="pct"/>
            <w:vAlign w:val="center"/>
          </w:tcPr>
          <w:p w:rsidR="009B1F0C" w:rsidRPr="00980C60" w:rsidRDefault="009B1F0C" w:rsidP="00F34ABE">
            <w:pPr>
              <w:keepNext/>
              <w:widowControl/>
              <w:jc w:val="center"/>
              <w:rPr>
                <w:rFonts w:ascii="Arial Narrow" w:hAnsi="Arial Narrow"/>
                <w:sz w:val="20"/>
              </w:rPr>
            </w:pPr>
            <w:r w:rsidRPr="00980C60">
              <w:rPr>
                <w:rFonts w:ascii="Arial Narrow" w:hAnsi="Arial Narrow"/>
                <w:sz w:val="20"/>
              </w:rPr>
              <w:t xml:space="preserve">-0.28 </w:t>
            </w:r>
          </w:p>
          <w:p w:rsidR="003743D5" w:rsidRPr="00980C60" w:rsidRDefault="009B1F0C" w:rsidP="00F34ABE">
            <w:pPr>
              <w:keepNext/>
              <w:widowControl/>
              <w:jc w:val="center"/>
              <w:rPr>
                <w:rFonts w:ascii="Arial Narrow" w:hAnsi="Arial Narrow"/>
                <w:color w:val="000000"/>
                <w:sz w:val="20"/>
                <w:szCs w:val="18"/>
              </w:rPr>
            </w:pPr>
            <w:r w:rsidRPr="00980C60">
              <w:rPr>
                <w:rFonts w:ascii="Arial Narrow" w:hAnsi="Arial Narrow"/>
                <w:sz w:val="20"/>
              </w:rPr>
              <w:t>(-0.47, -0.10)</w:t>
            </w:r>
          </w:p>
        </w:tc>
      </w:tr>
      <w:tr w:rsidR="00932AD2" w:rsidRPr="00980C60" w:rsidTr="00552BD3">
        <w:tc>
          <w:tcPr>
            <w:tcW w:w="5000" w:type="pct"/>
            <w:gridSpan w:val="10"/>
            <w:shd w:val="clear" w:color="auto" w:fill="auto"/>
            <w:vAlign w:val="center"/>
          </w:tcPr>
          <w:p w:rsidR="00932AD2" w:rsidRPr="00980C60" w:rsidRDefault="00066064" w:rsidP="00F34ABE">
            <w:pPr>
              <w:keepNext/>
              <w:widowControl/>
              <w:rPr>
                <w:rFonts w:ascii="Arial Narrow" w:hAnsi="Arial Narrow"/>
                <w:b/>
                <w:color w:val="000000"/>
                <w:sz w:val="20"/>
                <w:szCs w:val="18"/>
              </w:rPr>
            </w:pPr>
            <w:r w:rsidRPr="00980C60">
              <w:rPr>
                <w:rFonts w:ascii="Arial Narrow" w:hAnsi="Arial Narrow"/>
                <w:b/>
                <w:color w:val="000000"/>
                <w:sz w:val="20"/>
                <w:szCs w:val="18"/>
              </w:rPr>
              <w:t>Discontinuation due to adverse event</w:t>
            </w:r>
          </w:p>
        </w:tc>
      </w:tr>
      <w:tr w:rsidR="00046771" w:rsidRPr="00980C60" w:rsidTr="00957DC5">
        <w:tc>
          <w:tcPr>
            <w:tcW w:w="938" w:type="pct"/>
            <w:shd w:val="clear" w:color="auto" w:fill="auto"/>
            <w:vAlign w:val="center"/>
          </w:tcPr>
          <w:p w:rsidR="00046771" w:rsidRPr="00980C60" w:rsidRDefault="00046771" w:rsidP="00F34ABE">
            <w:pPr>
              <w:keepNext/>
              <w:widowControl/>
              <w:rPr>
                <w:rFonts w:ascii="Arial Narrow" w:hAnsi="Arial Narrow"/>
                <w:color w:val="000000"/>
                <w:sz w:val="20"/>
                <w:szCs w:val="18"/>
              </w:rPr>
            </w:pPr>
            <w:r w:rsidRPr="00980C60">
              <w:rPr>
                <w:rFonts w:ascii="Arial Narrow" w:hAnsi="Arial Narrow"/>
                <w:color w:val="000000"/>
                <w:sz w:val="20"/>
                <w:szCs w:val="18"/>
              </w:rPr>
              <w:t>KF10004/03</w:t>
            </w:r>
          </w:p>
        </w:tc>
        <w:tc>
          <w:tcPr>
            <w:tcW w:w="582" w:type="pct"/>
            <w:vAlign w:val="center"/>
          </w:tcPr>
          <w:p w:rsidR="00046771" w:rsidRPr="00980C60" w:rsidRDefault="00046771"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9/155</w:t>
            </w:r>
          </w:p>
        </w:tc>
        <w:tc>
          <w:tcPr>
            <w:tcW w:w="606" w:type="pct"/>
            <w:gridSpan w:val="2"/>
            <w:vAlign w:val="center"/>
          </w:tcPr>
          <w:p w:rsidR="00046771" w:rsidRPr="00980C60" w:rsidRDefault="004B39D8"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39/153</w:t>
            </w:r>
          </w:p>
        </w:tc>
        <w:tc>
          <w:tcPr>
            <w:tcW w:w="817" w:type="pct"/>
            <w:vAlign w:val="center"/>
          </w:tcPr>
          <w:p w:rsidR="00046771" w:rsidRPr="00980C60" w:rsidRDefault="00046771" w:rsidP="00F34ABE">
            <w:pPr>
              <w:keepNext/>
              <w:widowControl/>
              <w:jc w:val="center"/>
              <w:rPr>
                <w:rFonts w:ascii="Arial Narrow" w:hAnsi="Arial Narrow"/>
                <w:sz w:val="20"/>
              </w:rPr>
            </w:pPr>
            <w:r w:rsidRPr="00980C60">
              <w:rPr>
                <w:rFonts w:ascii="Arial Narrow" w:hAnsi="Arial Narrow"/>
                <w:color w:val="000000"/>
                <w:sz w:val="20"/>
                <w:szCs w:val="18"/>
              </w:rPr>
              <w:t>NE</w:t>
            </w:r>
          </w:p>
        </w:tc>
        <w:tc>
          <w:tcPr>
            <w:tcW w:w="633" w:type="pct"/>
            <w:gridSpan w:val="2"/>
            <w:vAlign w:val="center"/>
          </w:tcPr>
          <w:p w:rsidR="00046771" w:rsidRPr="00980C60" w:rsidRDefault="00046771" w:rsidP="00F34ABE">
            <w:pPr>
              <w:keepNext/>
              <w:widowControl/>
              <w:jc w:val="center"/>
              <w:rPr>
                <w:rFonts w:ascii="Arial Narrow" w:hAnsi="Arial Narrow"/>
                <w:sz w:val="20"/>
              </w:rPr>
            </w:pPr>
            <w:r w:rsidRPr="00980C60">
              <w:rPr>
                <w:rFonts w:ascii="Arial Narrow" w:hAnsi="Arial Narrow"/>
                <w:sz w:val="20"/>
              </w:rPr>
              <w:t>5.8</w:t>
            </w:r>
          </w:p>
        </w:tc>
        <w:tc>
          <w:tcPr>
            <w:tcW w:w="634" w:type="pct"/>
            <w:gridSpan w:val="2"/>
            <w:vAlign w:val="center"/>
          </w:tcPr>
          <w:p w:rsidR="00046771" w:rsidRPr="00980C60" w:rsidRDefault="00046771" w:rsidP="00F34ABE">
            <w:pPr>
              <w:keepNext/>
              <w:widowControl/>
              <w:jc w:val="center"/>
              <w:rPr>
                <w:rFonts w:ascii="Arial Narrow" w:hAnsi="Arial Narrow"/>
                <w:sz w:val="20"/>
              </w:rPr>
            </w:pPr>
            <w:r w:rsidRPr="00980C60">
              <w:rPr>
                <w:rFonts w:ascii="Arial Narrow" w:hAnsi="Arial Narrow"/>
                <w:sz w:val="20"/>
              </w:rPr>
              <w:t>25.5</w:t>
            </w:r>
          </w:p>
        </w:tc>
        <w:tc>
          <w:tcPr>
            <w:tcW w:w="790" w:type="pct"/>
            <w:vAlign w:val="center"/>
          </w:tcPr>
          <w:p w:rsidR="00046771" w:rsidRPr="00980C60" w:rsidRDefault="00046771" w:rsidP="00F34ABE">
            <w:pPr>
              <w:keepNext/>
              <w:widowControl/>
              <w:jc w:val="center"/>
              <w:rPr>
                <w:rFonts w:ascii="Arial Narrow" w:hAnsi="Arial Narrow"/>
                <w:sz w:val="20"/>
              </w:rPr>
            </w:pPr>
            <w:r w:rsidRPr="00980C60">
              <w:rPr>
                <w:rFonts w:ascii="Arial Narrow" w:hAnsi="Arial Narrow"/>
                <w:color w:val="000000"/>
                <w:sz w:val="20"/>
                <w:szCs w:val="18"/>
              </w:rPr>
              <w:t>NE</w:t>
            </w:r>
          </w:p>
        </w:tc>
      </w:tr>
      <w:tr w:rsidR="00066064" w:rsidRPr="00980C60" w:rsidTr="00957DC5">
        <w:tc>
          <w:tcPr>
            <w:tcW w:w="938" w:type="pct"/>
            <w:shd w:val="clear" w:color="auto" w:fill="auto"/>
            <w:vAlign w:val="center"/>
          </w:tcPr>
          <w:p w:rsidR="00066064" w:rsidRPr="00980C60" w:rsidRDefault="00505EC1" w:rsidP="00F34ABE">
            <w:pPr>
              <w:keepNext/>
              <w:widowControl/>
              <w:rPr>
                <w:rFonts w:ascii="Arial Narrow" w:hAnsi="Arial Narrow"/>
                <w:color w:val="000000"/>
                <w:sz w:val="20"/>
                <w:szCs w:val="18"/>
              </w:rPr>
            </w:pPr>
            <w:r w:rsidRPr="00980C60">
              <w:rPr>
                <w:rFonts w:ascii="Arial Narrow" w:hAnsi="Arial Narrow"/>
                <w:color w:val="000000"/>
                <w:sz w:val="20"/>
                <w:szCs w:val="18"/>
              </w:rPr>
              <w:t>-</w:t>
            </w:r>
            <w:r w:rsidR="00066064" w:rsidRPr="00980C60">
              <w:rPr>
                <w:rFonts w:ascii="Arial Narrow" w:hAnsi="Arial Narrow"/>
                <w:color w:val="000000"/>
                <w:sz w:val="20"/>
                <w:szCs w:val="18"/>
              </w:rPr>
              <w:t>KF10004/03 (PHN)</w:t>
            </w:r>
          </w:p>
        </w:tc>
        <w:tc>
          <w:tcPr>
            <w:tcW w:w="582" w:type="pct"/>
            <w:vAlign w:val="center"/>
          </w:tcPr>
          <w:p w:rsidR="00066064" w:rsidRPr="00980C60" w:rsidRDefault="00066064"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3/50</w:t>
            </w:r>
          </w:p>
        </w:tc>
        <w:tc>
          <w:tcPr>
            <w:tcW w:w="606" w:type="pct"/>
            <w:gridSpan w:val="2"/>
            <w:vAlign w:val="center"/>
          </w:tcPr>
          <w:p w:rsidR="00066064" w:rsidRPr="00980C60" w:rsidRDefault="00066064" w:rsidP="00F34ABE">
            <w:pPr>
              <w:keepNext/>
              <w:widowControl/>
              <w:jc w:val="center"/>
              <w:rPr>
                <w:rFonts w:ascii="Arial Narrow" w:hAnsi="Arial Narrow"/>
                <w:color w:val="000000"/>
                <w:sz w:val="20"/>
                <w:szCs w:val="18"/>
              </w:rPr>
            </w:pPr>
            <w:r w:rsidRPr="00980C60">
              <w:rPr>
                <w:rFonts w:ascii="Arial Narrow" w:hAnsi="Arial Narrow"/>
                <w:color w:val="000000"/>
                <w:sz w:val="20"/>
                <w:szCs w:val="18"/>
              </w:rPr>
              <w:t>15/45</w:t>
            </w:r>
          </w:p>
        </w:tc>
        <w:tc>
          <w:tcPr>
            <w:tcW w:w="817" w:type="pct"/>
            <w:vAlign w:val="center"/>
          </w:tcPr>
          <w:p w:rsidR="00066064" w:rsidRPr="00980C60" w:rsidRDefault="00066064" w:rsidP="00F34ABE">
            <w:pPr>
              <w:keepNext/>
              <w:widowControl/>
              <w:jc w:val="center"/>
              <w:rPr>
                <w:rFonts w:ascii="Arial Narrow" w:hAnsi="Arial Narrow"/>
                <w:color w:val="000000"/>
                <w:sz w:val="20"/>
                <w:szCs w:val="18"/>
              </w:rPr>
            </w:pPr>
            <w:r w:rsidRPr="00980C60">
              <w:rPr>
                <w:rFonts w:ascii="Arial Narrow" w:hAnsi="Arial Narrow"/>
                <w:sz w:val="20"/>
              </w:rPr>
              <w:t>0.19 (0.06, 0.62)</w:t>
            </w:r>
          </w:p>
        </w:tc>
        <w:tc>
          <w:tcPr>
            <w:tcW w:w="633" w:type="pct"/>
            <w:gridSpan w:val="2"/>
            <w:vAlign w:val="center"/>
          </w:tcPr>
          <w:p w:rsidR="00066064" w:rsidRPr="00980C60" w:rsidRDefault="00066064" w:rsidP="00F34ABE">
            <w:pPr>
              <w:keepNext/>
              <w:widowControl/>
              <w:jc w:val="center"/>
              <w:rPr>
                <w:rFonts w:ascii="Arial Narrow" w:hAnsi="Arial Narrow"/>
                <w:color w:val="000000"/>
                <w:sz w:val="20"/>
                <w:szCs w:val="18"/>
              </w:rPr>
            </w:pPr>
            <w:r w:rsidRPr="00980C60">
              <w:rPr>
                <w:rFonts w:ascii="Arial Narrow" w:hAnsi="Arial Narrow"/>
                <w:sz w:val="20"/>
              </w:rPr>
              <w:t>6.0</w:t>
            </w:r>
          </w:p>
        </w:tc>
        <w:tc>
          <w:tcPr>
            <w:tcW w:w="634" w:type="pct"/>
            <w:gridSpan w:val="2"/>
            <w:vAlign w:val="center"/>
          </w:tcPr>
          <w:p w:rsidR="00066064" w:rsidRPr="00980C60" w:rsidRDefault="00066064" w:rsidP="00F34ABE">
            <w:pPr>
              <w:keepNext/>
              <w:widowControl/>
              <w:jc w:val="center"/>
              <w:rPr>
                <w:rFonts w:ascii="Arial Narrow" w:hAnsi="Arial Narrow"/>
                <w:color w:val="000000"/>
                <w:sz w:val="20"/>
                <w:szCs w:val="18"/>
              </w:rPr>
            </w:pPr>
            <w:r w:rsidRPr="00980C60">
              <w:rPr>
                <w:rFonts w:ascii="Arial Narrow" w:hAnsi="Arial Narrow"/>
                <w:sz w:val="20"/>
              </w:rPr>
              <w:t>31.3</w:t>
            </w:r>
          </w:p>
        </w:tc>
        <w:tc>
          <w:tcPr>
            <w:tcW w:w="790" w:type="pct"/>
            <w:vAlign w:val="center"/>
          </w:tcPr>
          <w:p w:rsidR="00066064" w:rsidRPr="00980C60" w:rsidRDefault="00066064" w:rsidP="00F34ABE">
            <w:pPr>
              <w:keepNext/>
              <w:widowControl/>
              <w:jc w:val="center"/>
              <w:rPr>
                <w:rFonts w:ascii="Arial Narrow" w:hAnsi="Arial Narrow"/>
                <w:sz w:val="20"/>
              </w:rPr>
            </w:pPr>
            <w:r w:rsidRPr="00980C60">
              <w:rPr>
                <w:rFonts w:ascii="Arial Narrow" w:hAnsi="Arial Narrow"/>
                <w:sz w:val="20"/>
              </w:rPr>
              <w:t xml:space="preserve">-0.25 </w:t>
            </w:r>
          </w:p>
          <w:p w:rsidR="00066064" w:rsidRPr="00980C60" w:rsidRDefault="00066064" w:rsidP="00F34ABE">
            <w:pPr>
              <w:keepNext/>
              <w:widowControl/>
              <w:jc w:val="center"/>
              <w:rPr>
                <w:rFonts w:ascii="Arial Narrow" w:hAnsi="Arial Narrow"/>
                <w:color w:val="000000"/>
                <w:sz w:val="20"/>
                <w:szCs w:val="18"/>
              </w:rPr>
            </w:pPr>
            <w:r w:rsidRPr="00980C60">
              <w:rPr>
                <w:rFonts w:ascii="Arial Narrow" w:hAnsi="Arial Narrow"/>
                <w:sz w:val="20"/>
              </w:rPr>
              <w:t>(-0.40, -0.11)</w:t>
            </w:r>
          </w:p>
        </w:tc>
      </w:tr>
    </w:tbl>
    <w:p w:rsidR="006231E6" w:rsidRPr="006231E6" w:rsidRDefault="006231E6" w:rsidP="00F34ABE">
      <w:pPr>
        <w:pStyle w:val="TableFooter"/>
        <w:keepNext/>
        <w:widowControl/>
        <w:ind w:left="720"/>
      </w:pPr>
      <w:r w:rsidRPr="006231E6">
        <w:t>Source: Compiled during the evaluation using data from Tables B.6.1 (p99), B.6.2 (p99), B.6.3 (p100), B.6.4 (p101), B.6.15 (p108) and D.4.1 (p141) of the submission; Table 12-2 (p246) and p11 of the full CSR of KF10004/03; 6C - ModelData_VERSATIS_30Oct14.xlsx</w:t>
      </w:r>
    </w:p>
    <w:p w:rsidR="00653552" w:rsidRPr="00653552" w:rsidRDefault="00653552" w:rsidP="00F34ABE">
      <w:pPr>
        <w:pStyle w:val="TableFooter"/>
        <w:widowControl/>
        <w:ind w:left="720"/>
      </w:pPr>
      <w:r>
        <w:rPr>
          <w:vertAlign w:val="superscript"/>
        </w:rPr>
        <w:t>a</w:t>
      </w:r>
      <w:r>
        <w:t xml:space="preserve"> 4 weeks duration of follow-up</w:t>
      </w:r>
    </w:p>
    <w:p w:rsidR="00B62715" w:rsidRPr="0072416F" w:rsidRDefault="00B62715" w:rsidP="00F34ABE">
      <w:pPr>
        <w:pStyle w:val="TableFooter"/>
        <w:widowControl/>
        <w:ind w:firstLine="720"/>
      </w:pPr>
      <w:r w:rsidRPr="0072416F">
        <w:t>Abbreviations:</w:t>
      </w:r>
      <w:r w:rsidR="00155A92">
        <w:t xml:space="preserve"> PHN, post-herpetic neuralgia;</w:t>
      </w:r>
      <w:r w:rsidR="007C7EE5">
        <w:t xml:space="preserve"> PP, per protocol;</w:t>
      </w:r>
      <w:r w:rsidRPr="0072416F">
        <w:t xml:space="preserve"> </w:t>
      </w:r>
      <w:r w:rsidR="00E47D34">
        <w:t>RD</w:t>
      </w:r>
      <w:r w:rsidR="00102127">
        <w:t>, risk</w:t>
      </w:r>
      <w:r w:rsidR="00E47D34">
        <w:t xml:space="preserve"> difference; RR</w:t>
      </w:r>
      <w:r w:rsidR="00102127">
        <w:t xml:space="preserve">, </w:t>
      </w:r>
      <w:r w:rsidR="00102127" w:rsidRPr="0072416F">
        <w:t>risk</w:t>
      </w:r>
      <w:r w:rsidRPr="0072416F">
        <w:t xml:space="preserve"> ratio</w:t>
      </w:r>
    </w:p>
    <w:p w:rsidR="00B62715" w:rsidRDefault="00B62715" w:rsidP="00F34ABE">
      <w:pPr>
        <w:widowControl/>
      </w:pPr>
    </w:p>
    <w:p w:rsidR="00FC1884" w:rsidRPr="00B50DB8" w:rsidRDefault="007174F8" w:rsidP="00F34ABE">
      <w:pPr>
        <w:pStyle w:val="ListParagraph"/>
        <w:widowControl/>
        <w:numPr>
          <w:ilvl w:val="1"/>
          <w:numId w:val="7"/>
        </w:numPr>
        <w:rPr>
          <w:szCs w:val="22"/>
        </w:rPr>
      </w:pPr>
      <w:r>
        <w:t xml:space="preserve">On the basis of </w:t>
      </w:r>
      <w:r w:rsidR="00EC00C9" w:rsidRPr="00CF6EE4">
        <w:t>direct</w:t>
      </w:r>
      <w:r>
        <w:t xml:space="preserve"> </w:t>
      </w:r>
      <w:r w:rsidR="00EC00C9" w:rsidRPr="00CF6EE4">
        <w:t xml:space="preserve">evidence presented by the submission, for every 100 patients </w:t>
      </w:r>
      <w:r w:rsidR="00A60DDE">
        <w:t xml:space="preserve">with PHN </w:t>
      </w:r>
      <w:r w:rsidR="00EC00C9" w:rsidRPr="00CF6EE4">
        <w:t xml:space="preserve">treated with </w:t>
      </w:r>
      <w:r w:rsidR="003A369B">
        <w:t>lignocaine patch</w:t>
      </w:r>
      <w:r w:rsidR="00EC00C9" w:rsidRPr="00CF6EE4">
        <w:t xml:space="preserve"> in comparison to </w:t>
      </w:r>
      <w:r w:rsidR="003A369B">
        <w:t>pregabalin</w:t>
      </w:r>
      <w:r w:rsidR="00A60DDE">
        <w:t>:</w:t>
      </w:r>
    </w:p>
    <w:p w:rsidR="00104B81" w:rsidRDefault="00AF4176" w:rsidP="00F34ABE">
      <w:pPr>
        <w:pStyle w:val="ListParagraph"/>
        <w:widowControl/>
        <w:numPr>
          <w:ilvl w:val="0"/>
          <w:numId w:val="6"/>
        </w:numPr>
        <w:ind w:left="993" w:hanging="284"/>
      </w:pPr>
      <w:r>
        <w:t xml:space="preserve">There were no differences in the proportions of patients </w:t>
      </w:r>
      <w:r w:rsidR="00505EC1">
        <w:t xml:space="preserve">who had </w:t>
      </w:r>
      <w:r w:rsidR="000E5B95" w:rsidRPr="001773BF">
        <w:t>an improvement in pain reduction over 4 weeks</w:t>
      </w:r>
      <w:r w:rsidR="000E5B95">
        <w:rPr>
          <w:i/>
        </w:rPr>
        <w:t>.</w:t>
      </w:r>
    </w:p>
    <w:p w:rsidR="005D2770" w:rsidRDefault="000A3213" w:rsidP="00F34ABE">
      <w:pPr>
        <w:pStyle w:val="ListParagraph"/>
        <w:widowControl/>
        <w:numPr>
          <w:ilvl w:val="0"/>
          <w:numId w:val="6"/>
        </w:numPr>
        <w:ind w:left="993" w:hanging="284"/>
      </w:pPr>
      <w:r>
        <w:t xml:space="preserve">Approximately </w:t>
      </w:r>
      <w:r w:rsidR="00C337CC">
        <w:t xml:space="preserve">21 </w:t>
      </w:r>
      <w:r w:rsidR="000E5B95">
        <w:t xml:space="preserve">more </w:t>
      </w:r>
      <w:r w:rsidR="00E83FD3">
        <w:t xml:space="preserve">patients </w:t>
      </w:r>
      <w:r w:rsidR="000E5B95">
        <w:t>remained</w:t>
      </w:r>
      <w:r w:rsidR="00C337CC">
        <w:t xml:space="preserve"> on </w:t>
      </w:r>
      <w:r w:rsidR="000E5B95">
        <w:t>lignocaine</w:t>
      </w:r>
      <w:r w:rsidR="00C337CC">
        <w:t xml:space="preserve"> </w:t>
      </w:r>
      <w:r w:rsidR="00A60DDE">
        <w:t xml:space="preserve">than remained on pregabalin </w:t>
      </w:r>
      <w:r w:rsidR="000E5B95">
        <w:t>after</w:t>
      </w:r>
      <w:r w:rsidR="007C7EE5">
        <w:t xml:space="preserve"> the</w:t>
      </w:r>
      <w:r w:rsidR="000E5B95">
        <w:t xml:space="preserve"> initial</w:t>
      </w:r>
      <w:r w:rsidR="007C7EE5">
        <w:t xml:space="preserve"> trial </w:t>
      </w:r>
      <w:r w:rsidR="000E5B95">
        <w:t xml:space="preserve">period </w:t>
      </w:r>
      <w:r w:rsidR="00C41D7E">
        <w:t>and had a pain score of ≤4 (measured using a scale where 0 is no pain and 10 is the worst pain i</w:t>
      </w:r>
      <w:r w:rsidR="00505EC1">
        <w:t xml:space="preserve">maginable) over a duration of </w:t>
      </w:r>
      <w:r w:rsidR="003B5787">
        <w:t>4</w:t>
      </w:r>
      <w:r w:rsidR="00F70883">
        <w:t> </w:t>
      </w:r>
      <w:r w:rsidR="00C41D7E">
        <w:t>weeks.</w:t>
      </w:r>
    </w:p>
    <w:p w:rsidR="00FC1884" w:rsidRPr="00CF6EE4" w:rsidRDefault="0082783F" w:rsidP="00F34ABE">
      <w:pPr>
        <w:pStyle w:val="ListParagraph"/>
        <w:widowControl/>
        <w:numPr>
          <w:ilvl w:val="0"/>
          <w:numId w:val="6"/>
        </w:numPr>
        <w:ind w:left="993" w:hanging="284"/>
      </w:pPr>
      <w:r>
        <w:t>Approximately 28</w:t>
      </w:r>
      <w:r w:rsidR="00FC1884" w:rsidRPr="00CF6EE4">
        <w:t xml:space="preserve"> fewer patients </w:t>
      </w:r>
      <w:r w:rsidR="00535E1B">
        <w:t xml:space="preserve">with PHN </w:t>
      </w:r>
      <w:r w:rsidR="00FC1884" w:rsidRPr="00CF6EE4">
        <w:t xml:space="preserve">would have </w:t>
      </w:r>
      <w:r>
        <w:t>treatment-emergent adverse events (side effects)</w:t>
      </w:r>
      <w:r w:rsidR="00FC1884" w:rsidRPr="00CF6EE4">
        <w:t xml:space="preserve"> over a </w:t>
      </w:r>
      <w:r>
        <w:t xml:space="preserve">4 week </w:t>
      </w:r>
      <w:r w:rsidR="00FC1884" w:rsidRPr="00CF6EE4">
        <w:t>duration of follow-up</w:t>
      </w:r>
      <w:r>
        <w:t>.</w:t>
      </w:r>
      <w:r w:rsidR="00FC1884" w:rsidRPr="00CF6EE4">
        <w:t xml:space="preserve"> </w:t>
      </w:r>
    </w:p>
    <w:p w:rsidR="00FC1884" w:rsidRPr="00CF6EE4" w:rsidRDefault="00FC1884" w:rsidP="00F34ABE">
      <w:pPr>
        <w:pStyle w:val="ListParagraph"/>
        <w:widowControl/>
        <w:numPr>
          <w:ilvl w:val="0"/>
          <w:numId w:val="6"/>
        </w:numPr>
        <w:ind w:left="993" w:hanging="284"/>
      </w:pPr>
      <w:r w:rsidRPr="00CF6EE4">
        <w:t xml:space="preserve">Approximately </w:t>
      </w:r>
      <w:r w:rsidR="0082783F">
        <w:t>25</w:t>
      </w:r>
      <w:r w:rsidRPr="00CF6EE4">
        <w:t xml:space="preserve"> </w:t>
      </w:r>
      <w:r w:rsidR="007F753D">
        <w:t>fewer</w:t>
      </w:r>
      <w:r w:rsidRPr="00CF6EE4">
        <w:t xml:space="preserve"> </w:t>
      </w:r>
      <w:r w:rsidR="007F753D">
        <w:t xml:space="preserve">patients </w:t>
      </w:r>
      <w:r w:rsidR="00535E1B">
        <w:t xml:space="preserve">with PHN </w:t>
      </w:r>
      <w:r w:rsidR="007F753D">
        <w:t xml:space="preserve">would discontinue treatment due to adverse events (side effects) </w:t>
      </w:r>
      <w:r w:rsidRPr="00CF6EE4">
        <w:t xml:space="preserve">over a </w:t>
      </w:r>
      <w:r w:rsidR="007F753D">
        <w:t>4 week</w:t>
      </w:r>
      <w:r w:rsidRPr="00CF6EE4">
        <w:t xml:space="preserve"> duration of follow-up</w:t>
      </w:r>
      <w:r w:rsidR="007F753D">
        <w:t>.</w:t>
      </w:r>
    </w:p>
    <w:p w:rsidR="00B60939" w:rsidRDefault="00B60939" w:rsidP="00F34ABE">
      <w:pPr>
        <w:pStyle w:val="ListParagraph"/>
        <w:widowControl/>
        <w:rPr>
          <w:szCs w:val="22"/>
        </w:rPr>
      </w:pPr>
    </w:p>
    <w:p w:rsidR="00664EC9" w:rsidRPr="00B50DB8" w:rsidRDefault="00664EC9" w:rsidP="00F34ABE">
      <w:pPr>
        <w:pStyle w:val="ListParagraph"/>
        <w:widowControl/>
        <w:numPr>
          <w:ilvl w:val="1"/>
          <w:numId w:val="7"/>
        </w:numPr>
        <w:rPr>
          <w:szCs w:val="22"/>
        </w:rPr>
      </w:pPr>
      <w:r w:rsidRPr="00B50DB8">
        <w:rPr>
          <w:szCs w:val="22"/>
        </w:rPr>
        <w:t xml:space="preserve">A summary of the comparative benefits and harms for </w:t>
      </w:r>
      <w:r w:rsidR="00B74DE6">
        <w:rPr>
          <w:szCs w:val="22"/>
        </w:rPr>
        <w:t>lignocaine patch</w:t>
      </w:r>
      <w:r w:rsidRPr="00B50DB8">
        <w:rPr>
          <w:szCs w:val="22"/>
        </w:rPr>
        <w:t xml:space="preserve"> versus</w:t>
      </w:r>
      <w:r w:rsidR="00B74DE6">
        <w:rPr>
          <w:szCs w:val="22"/>
        </w:rPr>
        <w:t xml:space="preserve"> placebo</w:t>
      </w:r>
      <w:r w:rsidRPr="00B50DB8">
        <w:rPr>
          <w:szCs w:val="22"/>
        </w:rPr>
        <w:t xml:space="preserve"> is presented in the table below. </w:t>
      </w:r>
    </w:p>
    <w:p w:rsidR="00664EC9" w:rsidRDefault="00664EC9" w:rsidP="00F34ABE">
      <w:pPr>
        <w:widowControl/>
      </w:pPr>
    </w:p>
    <w:p w:rsidR="00664EC9" w:rsidRPr="00A578DC" w:rsidRDefault="00A86965" w:rsidP="00F34ABE">
      <w:pPr>
        <w:keepNext/>
        <w:widowControl/>
        <w:ind w:firstLine="720"/>
        <w:rPr>
          <w:rStyle w:val="CommentReference"/>
        </w:rPr>
      </w:pPr>
      <w:r w:rsidRPr="00A578DC">
        <w:rPr>
          <w:rStyle w:val="CommentReference"/>
        </w:rPr>
        <w:lastRenderedPageBreak/>
        <w:t xml:space="preserve">Summary of comparative benefits and harms for </w:t>
      </w:r>
      <w:r>
        <w:rPr>
          <w:rStyle w:val="CommentReference"/>
        </w:rPr>
        <w:t>lignocaine patch</w:t>
      </w:r>
      <w:r w:rsidRPr="00A578DC">
        <w:rPr>
          <w:rStyle w:val="CommentReference"/>
        </w:rPr>
        <w:t xml:space="preserve"> and </w:t>
      </w:r>
      <w:r>
        <w:rPr>
          <w:rStyle w:val="CommentReference"/>
        </w:rPr>
        <w:t>placebo</w:t>
      </w:r>
    </w:p>
    <w:tbl>
      <w:tblPr>
        <w:tblStyle w:val="TableGrid"/>
        <w:tblW w:w="4700" w:type="pct"/>
        <w:tblInd w:w="698" w:type="dxa"/>
        <w:tblLayout w:type="fixed"/>
        <w:tblCellMar>
          <w:left w:w="28" w:type="dxa"/>
          <w:right w:w="28" w:type="dxa"/>
        </w:tblCellMar>
        <w:tblLook w:val="04A0" w:firstRow="1" w:lastRow="0" w:firstColumn="1" w:lastColumn="0" w:noHBand="0" w:noVBand="1"/>
      </w:tblPr>
      <w:tblGrid>
        <w:gridCol w:w="1157"/>
        <w:gridCol w:w="442"/>
        <w:gridCol w:w="268"/>
        <w:gridCol w:w="726"/>
        <w:gridCol w:w="268"/>
        <w:gridCol w:w="487"/>
        <w:gridCol w:w="280"/>
        <w:gridCol w:w="241"/>
        <w:gridCol w:w="850"/>
        <w:gridCol w:w="273"/>
        <w:gridCol w:w="31"/>
        <w:gridCol w:w="697"/>
        <w:gridCol w:w="376"/>
        <w:gridCol w:w="9"/>
        <w:gridCol w:w="611"/>
        <w:gridCol w:w="38"/>
        <w:gridCol w:w="423"/>
        <w:gridCol w:w="12"/>
        <w:gridCol w:w="1349"/>
      </w:tblGrid>
      <w:tr w:rsidR="00664EC9" w:rsidRPr="00980C60" w:rsidTr="00A37DD9">
        <w:tc>
          <w:tcPr>
            <w:tcW w:w="5000" w:type="pct"/>
            <w:gridSpan w:val="19"/>
            <w:shd w:val="clear" w:color="auto" w:fill="auto"/>
            <w:vAlign w:val="center"/>
          </w:tcPr>
          <w:p w:rsidR="00664EC9" w:rsidRPr="00980C60" w:rsidRDefault="00664EC9" w:rsidP="00F34ABE">
            <w:pPr>
              <w:widowControl/>
              <w:rPr>
                <w:rFonts w:ascii="Arial Narrow" w:hAnsi="Arial Narrow"/>
                <w:b/>
                <w:color w:val="000000"/>
                <w:sz w:val="20"/>
                <w:szCs w:val="18"/>
              </w:rPr>
            </w:pPr>
            <w:r w:rsidRPr="00980C60">
              <w:rPr>
                <w:rFonts w:ascii="Arial Narrow" w:hAnsi="Arial Narrow"/>
                <w:b/>
                <w:color w:val="000000"/>
                <w:sz w:val="20"/>
                <w:szCs w:val="18"/>
              </w:rPr>
              <w:t>Benefits</w:t>
            </w:r>
          </w:p>
        </w:tc>
      </w:tr>
      <w:tr w:rsidR="00664EC9" w:rsidRPr="00980C60" w:rsidTr="00A37DD9">
        <w:tc>
          <w:tcPr>
            <w:tcW w:w="5000" w:type="pct"/>
            <w:gridSpan w:val="19"/>
            <w:shd w:val="clear" w:color="auto" w:fill="auto"/>
            <w:vAlign w:val="center"/>
          </w:tcPr>
          <w:p w:rsidR="00664EC9" w:rsidRPr="00980C60" w:rsidRDefault="00C62815" w:rsidP="00F34ABE">
            <w:pPr>
              <w:widowControl/>
              <w:rPr>
                <w:rFonts w:ascii="Arial Narrow" w:hAnsi="Arial Narrow"/>
                <w:b/>
                <w:color w:val="000000"/>
                <w:sz w:val="20"/>
                <w:szCs w:val="18"/>
              </w:rPr>
            </w:pPr>
            <w:r w:rsidRPr="00980C60">
              <w:rPr>
                <w:rFonts w:ascii="Arial Narrow" w:hAnsi="Arial Narrow"/>
                <w:b/>
                <w:sz w:val="20"/>
              </w:rPr>
              <w:t>Time to exit due to lack of efficacy</w:t>
            </w:r>
            <w:r w:rsidR="00F629B8" w:rsidRPr="00980C60">
              <w:rPr>
                <w:rFonts w:ascii="Arial Narrow" w:hAnsi="Arial Narrow"/>
                <w:b/>
                <w:sz w:val="20"/>
                <w:vertAlign w:val="superscript"/>
              </w:rPr>
              <w:t>a</w:t>
            </w:r>
          </w:p>
        </w:tc>
      </w:tr>
      <w:tr w:rsidR="00EB4125" w:rsidRPr="00980C60" w:rsidTr="008758FD">
        <w:tc>
          <w:tcPr>
            <w:tcW w:w="1094" w:type="pct"/>
            <w:gridSpan w:val="3"/>
            <w:shd w:val="clear" w:color="auto" w:fill="auto"/>
            <w:vAlign w:val="center"/>
          </w:tcPr>
          <w:p w:rsidR="00EB4125" w:rsidRPr="00980C60" w:rsidRDefault="00EB4125" w:rsidP="00F34ABE">
            <w:pPr>
              <w:widowControl/>
              <w:jc w:val="center"/>
              <w:rPr>
                <w:rFonts w:ascii="Arial Narrow" w:hAnsi="Arial Narrow"/>
                <w:color w:val="000000"/>
                <w:sz w:val="20"/>
                <w:szCs w:val="18"/>
              </w:rPr>
            </w:pPr>
          </w:p>
        </w:tc>
        <w:tc>
          <w:tcPr>
            <w:tcW w:w="867" w:type="pct"/>
            <w:gridSpan w:val="3"/>
            <w:vAlign w:val="center"/>
          </w:tcPr>
          <w:p w:rsidR="00EB4125" w:rsidRPr="00980C60" w:rsidRDefault="00EB4125" w:rsidP="00F34ABE">
            <w:pPr>
              <w:widowControl/>
              <w:jc w:val="center"/>
              <w:rPr>
                <w:rFonts w:ascii="Arial Narrow" w:hAnsi="Arial Narrow"/>
                <w:b/>
                <w:color w:val="000000"/>
                <w:sz w:val="20"/>
                <w:szCs w:val="18"/>
              </w:rPr>
            </w:pPr>
            <w:r w:rsidRPr="00980C60">
              <w:rPr>
                <w:rFonts w:ascii="Arial Narrow" w:hAnsi="Arial Narrow"/>
                <w:b/>
                <w:color w:val="000000"/>
                <w:sz w:val="20"/>
                <w:szCs w:val="18"/>
              </w:rPr>
              <w:t>Lignocaine patch</w:t>
            </w:r>
          </w:p>
        </w:tc>
        <w:tc>
          <w:tcPr>
            <w:tcW w:w="963" w:type="pct"/>
            <w:gridSpan w:val="4"/>
            <w:vAlign w:val="center"/>
          </w:tcPr>
          <w:p w:rsidR="00EB4125" w:rsidRPr="00980C60" w:rsidRDefault="00EB4125" w:rsidP="00F34ABE">
            <w:pPr>
              <w:widowControl/>
              <w:jc w:val="center"/>
              <w:rPr>
                <w:rFonts w:ascii="Arial Narrow" w:hAnsi="Arial Narrow"/>
                <w:b/>
                <w:color w:val="000000"/>
                <w:sz w:val="20"/>
                <w:szCs w:val="18"/>
              </w:rPr>
            </w:pPr>
            <w:r w:rsidRPr="00980C60">
              <w:rPr>
                <w:rFonts w:ascii="Arial Narrow" w:hAnsi="Arial Narrow"/>
                <w:b/>
                <w:color w:val="000000"/>
                <w:sz w:val="20"/>
                <w:szCs w:val="18"/>
              </w:rPr>
              <w:t>Placebo</w:t>
            </w:r>
            <w:r w:rsidR="00125754" w:rsidRPr="00980C60">
              <w:rPr>
                <w:rFonts w:ascii="Arial Narrow" w:hAnsi="Arial Narrow"/>
                <w:b/>
                <w:color w:val="000000"/>
                <w:sz w:val="20"/>
                <w:szCs w:val="18"/>
              </w:rPr>
              <w:t xml:space="preserve"> patch</w:t>
            </w:r>
          </w:p>
        </w:tc>
        <w:tc>
          <w:tcPr>
            <w:tcW w:w="1031" w:type="pct"/>
            <w:gridSpan w:val="6"/>
            <w:vAlign w:val="center"/>
          </w:tcPr>
          <w:p w:rsidR="00EB4125" w:rsidRPr="00980C60" w:rsidRDefault="00EB4125" w:rsidP="00F34ABE">
            <w:pPr>
              <w:widowControl/>
              <w:jc w:val="center"/>
              <w:rPr>
                <w:rFonts w:ascii="Arial Narrow" w:hAnsi="Arial Narrow"/>
                <w:b/>
                <w:color w:val="000000"/>
                <w:sz w:val="20"/>
                <w:szCs w:val="18"/>
              </w:rPr>
            </w:pPr>
            <w:r w:rsidRPr="00980C60">
              <w:rPr>
                <w:rFonts w:ascii="Arial Narrow" w:hAnsi="Arial Narrow"/>
                <w:b/>
                <w:color w:val="000000"/>
                <w:sz w:val="20"/>
                <w:szCs w:val="18"/>
              </w:rPr>
              <w:t>Absolute Difference</w:t>
            </w:r>
          </w:p>
        </w:tc>
        <w:tc>
          <w:tcPr>
            <w:tcW w:w="1044" w:type="pct"/>
            <w:gridSpan w:val="3"/>
            <w:vAlign w:val="center"/>
          </w:tcPr>
          <w:p w:rsidR="00EB4125" w:rsidRPr="00980C60" w:rsidRDefault="00EB4125" w:rsidP="00F34ABE">
            <w:pPr>
              <w:widowControl/>
              <w:jc w:val="center"/>
              <w:rPr>
                <w:rFonts w:ascii="Arial Narrow" w:hAnsi="Arial Narrow"/>
                <w:b/>
                <w:color w:val="000000"/>
                <w:sz w:val="20"/>
                <w:szCs w:val="18"/>
              </w:rPr>
            </w:pPr>
            <w:r w:rsidRPr="00980C60">
              <w:rPr>
                <w:rFonts w:ascii="Arial Narrow" w:hAnsi="Arial Narrow"/>
                <w:b/>
                <w:color w:val="000000"/>
                <w:sz w:val="20"/>
                <w:szCs w:val="18"/>
              </w:rPr>
              <w:t>HR (95% CI)</w:t>
            </w:r>
          </w:p>
        </w:tc>
      </w:tr>
      <w:tr w:rsidR="00A5727D" w:rsidRPr="00980C60" w:rsidTr="006231E6">
        <w:tc>
          <w:tcPr>
            <w:tcW w:w="1094" w:type="pct"/>
            <w:gridSpan w:val="3"/>
            <w:shd w:val="clear" w:color="auto" w:fill="auto"/>
            <w:vAlign w:val="center"/>
          </w:tcPr>
          <w:p w:rsidR="00A5727D" w:rsidRPr="00980C60" w:rsidRDefault="00A5727D" w:rsidP="00F34ABE">
            <w:pPr>
              <w:widowControl/>
              <w:rPr>
                <w:rFonts w:ascii="Arial Narrow" w:hAnsi="Arial Narrow"/>
                <w:color w:val="000000"/>
                <w:sz w:val="20"/>
                <w:szCs w:val="18"/>
              </w:rPr>
            </w:pPr>
            <w:r w:rsidRPr="00980C60">
              <w:rPr>
                <w:rFonts w:ascii="Arial Narrow" w:hAnsi="Arial Narrow"/>
                <w:color w:val="000000"/>
                <w:sz w:val="20"/>
                <w:szCs w:val="18"/>
              </w:rPr>
              <w:t>Binder (200</w:t>
            </w:r>
            <w:r w:rsidR="00385198" w:rsidRPr="00980C60">
              <w:rPr>
                <w:rFonts w:ascii="Arial Narrow" w:hAnsi="Arial Narrow"/>
                <w:color w:val="000000"/>
                <w:sz w:val="20"/>
                <w:szCs w:val="18"/>
              </w:rPr>
              <w:t>9</w:t>
            </w:r>
            <w:r w:rsidRPr="00980C60">
              <w:rPr>
                <w:rFonts w:ascii="Arial Narrow" w:hAnsi="Arial Narrow"/>
                <w:color w:val="000000"/>
                <w:sz w:val="20"/>
                <w:szCs w:val="18"/>
              </w:rPr>
              <w:t>)</w:t>
            </w:r>
          </w:p>
        </w:tc>
        <w:tc>
          <w:tcPr>
            <w:tcW w:w="867" w:type="pct"/>
            <w:gridSpan w:val="3"/>
          </w:tcPr>
          <w:p w:rsidR="00A5727D" w:rsidRPr="00980C60" w:rsidRDefault="00A5727D" w:rsidP="00F34ABE">
            <w:pPr>
              <w:widowControl/>
              <w:jc w:val="center"/>
              <w:rPr>
                <w:rFonts w:ascii="Arial Narrow" w:hAnsi="Arial Narrow"/>
                <w:sz w:val="20"/>
              </w:rPr>
            </w:pPr>
          </w:p>
        </w:tc>
        <w:tc>
          <w:tcPr>
            <w:tcW w:w="963" w:type="pct"/>
            <w:gridSpan w:val="4"/>
          </w:tcPr>
          <w:p w:rsidR="00A5727D" w:rsidRPr="00980C60" w:rsidRDefault="00A5727D" w:rsidP="00F34ABE">
            <w:pPr>
              <w:widowControl/>
              <w:jc w:val="center"/>
              <w:rPr>
                <w:rFonts w:ascii="Arial Narrow" w:hAnsi="Arial Narrow"/>
                <w:sz w:val="20"/>
              </w:rPr>
            </w:pPr>
          </w:p>
        </w:tc>
        <w:tc>
          <w:tcPr>
            <w:tcW w:w="1031" w:type="pct"/>
            <w:gridSpan w:val="6"/>
            <w:vAlign w:val="center"/>
          </w:tcPr>
          <w:p w:rsidR="00A5727D" w:rsidRPr="00980C60" w:rsidRDefault="00A5727D" w:rsidP="00F34ABE">
            <w:pPr>
              <w:widowControl/>
              <w:jc w:val="center"/>
              <w:rPr>
                <w:rFonts w:ascii="Arial Narrow" w:hAnsi="Arial Narrow"/>
                <w:color w:val="000000"/>
                <w:sz w:val="20"/>
                <w:szCs w:val="18"/>
              </w:rPr>
            </w:pPr>
          </w:p>
        </w:tc>
        <w:tc>
          <w:tcPr>
            <w:tcW w:w="1044" w:type="pct"/>
            <w:gridSpan w:val="3"/>
            <w:vAlign w:val="center"/>
          </w:tcPr>
          <w:p w:rsidR="00A5727D" w:rsidRPr="00980C60" w:rsidRDefault="00A5727D" w:rsidP="00F34ABE">
            <w:pPr>
              <w:widowControl/>
              <w:jc w:val="center"/>
              <w:rPr>
                <w:rFonts w:ascii="Arial Narrow" w:hAnsi="Arial Narrow"/>
                <w:sz w:val="20"/>
              </w:rPr>
            </w:pPr>
          </w:p>
        </w:tc>
      </w:tr>
      <w:tr w:rsidR="00664EC9" w:rsidRPr="00980C60" w:rsidTr="006231E6">
        <w:tc>
          <w:tcPr>
            <w:tcW w:w="1094" w:type="pct"/>
            <w:gridSpan w:val="3"/>
            <w:shd w:val="clear" w:color="auto" w:fill="auto"/>
            <w:vAlign w:val="center"/>
          </w:tcPr>
          <w:p w:rsidR="00664EC9" w:rsidRPr="00980C60" w:rsidRDefault="00EC3EC9" w:rsidP="00F34ABE">
            <w:pPr>
              <w:widowControl/>
              <w:jc w:val="left"/>
              <w:rPr>
                <w:rFonts w:ascii="Arial Narrow" w:hAnsi="Arial Narrow"/>
                <w:color w:val="000000"/>
                <w:sz w:val="20"/>
                <w:szCs w:val="18"/>
              </w:rPr>
            </w:pPr>
            <w:r w:rsidRPr="00980C60">
              <w:rPr>
                <w:rFonts w:ascii="Arial Narrow" w:hAnsi="Arial Narrow"/>
                <w:color w:val="000000"/>
                <w:sz w:val="20"/>
                <w:szCs w:val="18"/>
              </w:rPr>
              <w:t>Failed</w:t>
            </w:r>
          </w:p>
        </w:tc>
        <w:tc>
          <w:tcPr>
            <w:tcW w:w="867" w:type="pct"/>
            <w:gridSpan w:val="3"/>
            <w:vAlign w:val="center"/>
          </w:tcPr>
          <w:p w:rsidR="00664EC9" w:rsidRPr="00980C60" w:rsidRDefault="00374E42" w:rsidP="00F34ABE">
            <w:pPr>
              <w:widowControl/>
              <w:jc w:val="center"/>
              <w:rPr>
                <w:rFonts w:ascii="Arial Narrow" w:hAnsi="Arial Narrow"/>
                <w:sz w:val="20"/>
              </w:rPr>
            </w:pPr>
            <w:r w:rsidRPr="00980C60">
              <w:rPr>
                <w:rFonts w:ascii="Arial Narrow" w:hAnsi="Arial Narrow"/>
                <w:sz w:val="20"/>
              </w:rPr>
              <w:t>9/36</w:t>
            </w:r>
          </w:p>
        </w:tc>
        <w:tc>
          <w:tcPr>
            <w:tcW w:w="963" w:type="pct"/>
            <w:gridSpan w:val="4"/>
            <w:vAlign w:val="center"/>
          </w:tcPr>
          <w:p w:rsidR="00664EC9" w:rsidRPr="00980C60" w:rsidRDefault="00E971D5" w:rsidP="00F34ABE">
            <w:pPr>
              <w:widowControl/>
              <w:jc w:val="center"/>
              <w:rPr>
                <w:rFonts w:ascii="Arial Narrow" w:hAnsi="Arial Narrow"/>
                <w:sz w:val="20"/>
              </w:rPr>
            </w:pPr>
            <w:r w:rsidRPr="00980C60">
              <w:rPr>
                <w:rFonts w:ascii="Arial Narrow" w:hAnsi="Arial Narrow"/>
                <w:sz w:val="20"/>
              </w:rPr>
              <w:t>16</w:t>
            </w:r>
            <w:r w:rsidR="00374E42" w:rsidRPr="00980C60">
              <w:rPr>
                <w:rFonts w:ascii="Arial Narrow" w:hAnsi="Arial Narrow"/>
                <w:sz w:val="20"/>
              </w:rPr>
              <w:t>/35</w:t>
            </w:r>
          </w:p>
        </w:tc>
        <w:tc>
          <w:tcPr>
            <w:tcW w:w="1031" w:type="pct"/>
            <w:gridSpan w:val="6"/>
            <w:vAlign w:val="center"/>
          </w:tcPr>
          <w:p w:rsidR="00664EC9" w:rsidRPr="00980C60" w:rsidRDefault="00664EC9" w:rsidP="00F34ABE">
            <w:pPr>
              <w:widowControl/>
              <w:jc w:val="center"/>
              <w:rPr>
                <w:rFonts w:ascii="Arial Narrow" w:hAnsi="Arial Narrow"/>
                <w:color w:val="000000"/>
                <w:sz w:val="20"/>
                <w:szCs w:val="18"/>
              </w:rPr>
            </w:pPr>
            <w:r w:rsidRPr="00980C60">
              <w:rPr>
                <w:rFonts w:ascii="Arial Narrow" w:hAnsi="Arial Narrow"/>
                <w:color w:val="000000"/>
                <w:sz w:val="20"/>
                <w:szCs w:val="18"/>
              </w:rPr>
              <w:t>-</w:t>
            </w:r>
          </w:p>
        </w:tc>
        <w:tc>
          <w:tcPr>
            <w:tcW w:w="1044" w:type="pct"/>
            <w:gridSpan w:val="3"/>
            <w:vAlign w:val="center"/>
          </w:tcPr>
          <w:p w:rsidR="00664EC9" w:rsidRPr="00980C60" w:rsidRDefault="00AB305F" w:rsidP="00F34ABE">
            <w:pPr>
              <w:widowControl/>
              <w:jc w:val="center"/>
              <w:rPr>
                <w:rFonts w:ascii="Arial Narrow" w:hAnsi="Arial Narrow"/>
                <w:color w:val="000000"/>
                <w:sz w:val="20"/>
                <w:szCs w:val="18"/>
                <w:vertAlign w:val="superscript"/>
              </w:rPr>
            </w:pPr>
            <w:r w:rsidRPr="00980C60">
              <w:rPr>
                <w:rFonts w:ascii="Arial Narrow" w:hAnsi="Arial Narrow"/>
                <w:color w:val="000000"/>
                <w:sz w:val="20"/>
                <w:szCs w:val="18"/>
              </w:rPr>
              <w:t>Post hoc</w:t>
            </w:r>
            <w:r w:rsidR="000155B7" w:rsidRPr="00980C60">
              <w:rPr>
                <w:rFonts w:ascii="Arial Narrow" w:hAnsi="Arial Narrow"/>
                <w:color w:val="000000"/>
                <w:sz w:val="20"/>
                <w:szCs w:val="18"/>
              </w:rPr>
              <w:t xml:space="preserve"> data driven</w:t>
            </w:r>
            <w:r w:rsidRPr="00980C60">
              <w:rPr>
                <w:rFonts w:ascii="Arial Narrow" w:hAnsi="Arial Narrow"/>
                <w:color w:val="000000"/>
                <w:sz w:val="20"/>
                <w:szCs w:val="18"/>
              </w:rPr>
              <w:t xml:space="preserve">: </w:t>
            </w:r>
            <w:r w:rsidR="00596062" w:rsidRPr="00980C60">
              <w:rPr>
                <w:rFonts w:ascii="Arial Narrow" w:hAnsi="Arial Narrow"/>
                <w:color w:val="000000"/>
                <w:sz w:val="20"/>
                <w:szCs w:val="18"/>
              </w:rPr>
              <w:t>3.12 (1.202, 8.075)</w:t>
            </w:r>
            <w:r w:rsidR="00F629B8" w:rsidRPr="00980C60">
              <w:rPr>
                <w:rFonts w:ascii="Arial Narrow" w:hAnsi="Arial Narrow"/>
                <w:color w:val="000000"/>
                <w:sz w:val="20"/>
                <w:szCs w:val="18"/>
                <w:vertAlign w:val="superscript"/>
              </w:rPr>
              <w:t>b</w:t>
            </w:r>
          </w:p>
        </w:tc>
      </w:tr>
      <w:tr w:rsidR="00664EC9" w:rsidRPr="00980C60" w:rsidTr="006231E6">
        <w:tc>
          <w:tcPr>
            <w:tcW w:w="1094" w:type="pct"/>
            <w:gridSpan w:val="3"/>
            <w:shd w:val="clear" w:color="auto" w:fill="auto"/>
            <w:vAlign w:val="center"/>
          </w:tcPr>
          <w:p w:rsidR="00664EC9" w:rsidRPr="00980C60" w:rsidRDefault="00664EC9" w:rsidP="00F34ABE">
            <w:pPr>
              <w:widowControl/>
              <w:rPr>
                <w:rFonts w:ascii="Arial Narrow" w:hAnsi="Arial Narrow"/>
                <w:color w:val="000000"/>
                <w:sz w:val="20"/>
                <w:szCs w:val="18"/>
              </w:rPr>
            </w:pPr>
            <w:r w:rsidRPr="00980C60">
              <w:rPr>
                <w:rFonts w:ascii="Arial Narrow" w:hAnsi="Arial Narrow"/>
                <w:color w:val="000000"/>
                <w:sz w:val="20"/>
                <w:szCs w:val="18"/>
              </w:rPr>
              <w:t xml:space="preserve">Median </w:t>
            </w:r>
            <w:r w:rsidR="00380FB0" w:rsidRPr="00980C60">
              <w:rPr>
                <w:rFonts w:ascii="Arial Narrow" w:hAnsi="Arial Narrow"/>
                <w:color w:val="000000"/>
                <w:sz w:val="20"/>
                <w:szCs w:val="18"/>
              </w:rPr>
              <w:t xml:space="preserve">in days </w:t>
            </w:r>
            <w:r w:rsidRPr="00980C60">
              <w:rPr>
                <w:rFonts w:ascii="Arial Narrow" w:hAnsi="Arial Narrow"/>
                <w:color w:val="000000"/>
                <w:sz w:val="20"/>
                <w:szCs w:val="18"/>
              </w:rPr>
              <w:t>(</w:t>
            </w:r>
            <w:r w:rsidR="00380FB0" w:rsidRPr="00980C60">
              <w:rPr>
                <w:rFonts w:ascii="Arial Narrow" w:hAnsi="Arial Narrow"/>
                <w:color w:val="000000"/>
                <w:sz w:val="20"/>
                <w:szCs w:val="18"/>
              </w:rPr>
              <w:t>range</w:t>
            </w:r>
            <w:r w:rsidRPr="00980C60">
              <w:rPr>
                <w:rFonts w:ascii="Arial Narrow" w:hAnsi="Arial Narrow"/>
                <w:color w:val="000000"/>
                <w:sz w:val="20"/>
                <w:szCs w:val="18"/>
              </w:rPr>
              <w:t>)</w:t>
            </w:r>
          </w:p>
        </w:tc>
        <w:tc>
          <w:tcPr>
            <w:tcW w:w="867" w:type="pct"/>
            <w:gridSpan w:val="3"/>
          </w:tcPr>
          <w:p w:rsidR="00664EC9" w:rsidRPr="00980C60" w:rsidRDefault="007F249C" w:rsidP="00F34ABE">
            <w:pPr>
              <w:widowControl/>
              <w:jc w:val="center"/>
              <w:rPr>
                <w:rFonts w:ascii="Arial Narrow" w:hAnsi="Arial Narrow"/>
                <w:sz w:val="20"/>
              </w:rPr>
            </w:pPr>
            <w:r w:rsidRPr="00980C60">
              <w:rPr>
                <w:rFonts w:ascii="Arial Narrow" w:hAnsi="Arial Narrow"/>
                <w:sz w:val="20"/>
              </w:rPr>
              <w:t>13.5 (2-14)</w:t>
            </w:r>
          </w:p>
        </w:tc>
        <w:tc>
          <w:tcPr>
            <w:tcW w:w="963" w:type="pct"/>
            <w:gridSpan w:val="4"/>
          </w:tcPr>
          <w:p w:rsidR="00664EC9" w:rsidRPr="00980C60" w:rsidRDefault="00DE06D3" w:rsidP="00F34ABE">
            <w:pPr>
              <w:widowControl/>
              <w:jc w:val="center"/>
              <w:rPr>
                <w:rFonts w:ascii="Arial Narrow" w:hAnsi="Arial Narrow"/>
                <w:sz w:val="20"/>
              </w:rPr>
            </w:pPr>
            <w:r w:rsidRPr="00980C60">
              <w:rPr>
                <w:rFonts w:ascii="Arial Narrow" w:hAnsi="Arial Narrow"/>
                <w:sz w:val="20"/>
              </w:rPr>
              <w:t>9.0 (1-14</w:t>
            </w:r>
            <w:r w:rsidR="00B0013C" w:rsidRPr="00980C60">
              <w:rPr>
                <w:rFonts w:ascii="Arial Narrow" w:hAnsi="Arial Narrow"/>
                <w:sz w:val="20"/>
              </w:rPr>
              <w:t>)</w:t>
            </w:r>
          </w:p>
        </w:tc>
        <w:tc>
          <w:tcPr>
            <w:tcW w:w="1031" w:type="pct"/>
            <w:gridSpan w:val="6"/>
            <w:vAlign w:val="center"/>
          </w:tcPr>
          <w:p w:rsidR="00664EC9" w:rsidRPr="00980C60" w:rsidRDefault="00321179" w:rsidP="00F34ABE">
            <w:pPr>
              <w:widowControl/>
              <w:jc w:val="center"/>
              <w:rPr>
                <w:rFonts w:ascii="Arial Narrow" w:hAnsi="Arial Narrow"/>
                <w:color w:val="000000"/>
                <w:sz w:val="20"/>
                <w:szCs w:val="18"/>
              </w:rPr>
            </w:pPr>
            <w:r w:rsidRPr="00980C60">
              <w:rPr>
                <w:rFonts w:ascii="Arial Narrow" w:hAnsi="Arial Narrow"/>
                <w:color w:val="000000"/>
                <w:sz w:val="20"/>
                <w:szCs w:val="18"/>
              </w:rPr>
              <w:t>NS</w:t>
            </w:r>
            <w:r w:rsidR="00E9121A" w:rsidRPr="00980C60">
              <w:rPr>
                <w:rFonts w:ascii="Arial Narrow" w:hAnsi="Arial Narrow"/>
                <w:color w:val="000000"/>
                <w:sz w:val="20"/>
                <w:szCs w:val="18"/>
              </w:rPr>
              <w:t xml:space="preserve"> (log-rank</w:t>
            </w:r>
            <w:r w:rsidR="00E12EBC" w:rsidRPr="00980C60">
              <w:rPr>
                <w:rFonts w:ascii="Arial Narrow" w:hAnsi="Arial Narrow"/>
                <w:color w:val="000000"/>
                <w:sz w:val="20"/>
                <w:szCs w:val="18"/>
              </w:rPr>
              <w:t xml:space="preserve"> test</w:t>
            </w:r>
            <w:r w:rsidR="00E9121A" w:rsidRPr="00980C60">
              <w:rPr>
                <w:rFonts w:ascii="Arial Narrow" w:hAnsi="Arial Narrow"/>
                <w:color w:val="000000"/>
                <w:sz w:val="20"/>
                <w:szCs w:val="18"/>
              </w:rPr>
              <w:t>)</w:t>
            </w:r>
          </w:p>
        </w:tc>
        <w:tc>
          <w:tcPr>
            <w:tcW w:w="1044" w:type="pct"/>
            <w:gridSpan w:val="3"/>
            <w:vAlign w:val="center"/>
          </w:tcPr>
          <w:p w:rsidR="00664EC9" w:rsidRPr="00980C60" w:rsidRDefault="00664EC9" w:rsidP="00F34ABE">
            <w:pPr>
              <w:widowControl/>
              <w:jc w:val="center"/>
              <w:rPr>
                <w:rFonts w:ascii="Arial Narrow" w:hAnsi="Arial Narrow"/>
                <w:color w:val="000000"/>
                <w:sz w:val="20"/>
                <w:szCs w:val="18"/>
              </w:rPr>
            </w:pPr>
            <w:r w:rsidRPr="00980C60">
              <w:rPr>
                <w:rFonts w:ascii="Arial Narrow" w:hAnsi="Arial Narrow"/>
                <w:color w:val="000000"/>
                <w:sz w:val="20"/>
                <w:szCs w:val="18"/>
              </w:rPr>
              <w:t>-</w:t>
            </w:r>
          </w:p>
        </w:tc>
      </w:tr>
      <w:tr w:rsidR="00C62815" w:rsidRPr="00980C60" w:rsidTr="006231E6">
        <w:tc>
          <w:tcPr>
            <w:tcW w:w="1094" w:type="pct"/>
            <w:gridSpan w:val="3"/>
            <w:shd w:val="clear" w:color="auto" w:fill="auto"/>
            <w:vAlign w:val="center"/>
          </w:tcPr>
          <w:p w:rsidR="00C62815" w:rsidRPr="00980C60" w:rsidRDefault="00AB121F" w:rsidP="00F34ABE">
            <w:pPr>
              <w:widowControl/>
              <w:rPr>
                <w:rFonts w:ascii="Arial Narrow" w:hAnsi="Arial Narrow"/>
                <w:color w:val="000000"/>
                <w:sz w:val="20"/>
                <w:szCs w:val="18"/>
              </w:rPr>
            </w:pPr>
            <w:r w:rsidRPr="00980C60">
              <w:rPr>
                <w:rFonts w:ascii="Arial Narrow" w:hAnsi="Arial Narrow"/>
                <w:color w:val="000000"/>
                <w:sz w:val="20"/>
                <w:szCs w:val="18"/>
              </w:rPr>
              <w:t>Galer (1999)</w:t>
            </w:r>
            <w:r w:rsidR="00674682" w:rsidRPr="00980C60">
              <w:rPr>
                <w:rFonts w:ascii="Arial Narrow" w:hAnsi="Arial Narrow"/>
                <w:color w:val="000000"/>
                <w:sz w:val="20"/>
                <w:szCs w:val="18"/>
              </w:rPr>
              <w:t>; CO trial</w:t>
            </w:r>
            <w:r w:rsidR="00970B45" w:rsidRPr="00980C60">
              <w:rPr>
                <w:rFonts w:ascii="Arial Narrow" w:hAnsi="Arial Narrow"/>
                <w:color w:val="000000"/>
                <w:sz w:val="20"/>
                <w:szCs w:val="18"/>
              </w:rPr>
              <w:t xml:space="preserve"> </w:t>
            </w:r>
          </w:p>
        </w:tc>
        <w:tc>
          <w:tcPr>
            <w:tcW w:w="867" w:type="pct"/>
            <w:gridSpan w:val="3"/>
          </w:tcPr>
          <w:p w:rsidR="00C62815" w:rsidRPr="00980C60" w:rsidRDefault="00C62815" w:rsidP="00F34ABE">
            <w:pPr>
              <w:widowControl/>
              <w:jc w:val="center"/>
              <w:rPr>
                <w:rFonts w:ascii="Arial Narrow" w:hAnsi="Arial Narrow"/>
                <w:sz w:val="20"/>
              </w:rPr>
            </w:pPr>
          </w:p>
        </w:tc>
        <w:tc>
          <w:tcPr>
            <w:tcW w:w="963" w:type="pct"/>
            <w:gridSpan w:val="4"/>
          </w:tcPr>
          <w:p w:rsidR="00C62815" w:rsidRPr="00980C60" w:rsidRDefault="00C62815" w:rsidP="00F34ABE">
            <w:pPr>
              <w:widowControl/>
              <w:jc w:val="center"/>
              <w:rPr>
                <w:rFonts w:ascii="Arial Narrow" w:hAnsi="Arial Narrow"/>
                <w:sz w:val="20"/>
              </w:rPr>
            </w:pPr>
          </w:p>
        </w:tc>
        <w:tc>
          <w:tcPr>
            <w:tcW w:w="1031" w:type="pct"/>
            <w:gridSpan w:val="6"/>
            <w:vAlign w:val="center"/>
          </w:tcPr>
          <w:p w:rsidR="00C62815" w:rsidRPr="00980C60" w:rsidRDefault="00C62815" w:rsidP="00F34ABE">
            <w:pPr>
              <w:widowControl/>
              <w:jc w:val="center"/>
              <w:rPr>
                <w:rFonts w:ascii="Arial Narrow" w:hAnsi="Arial Narrow"/>
                <w:color w:val="000000"/>
                <w:sz w:val="20"/>
                <w:szCs w:val="18"/>
              </w:rPr>
            </w:pPr>
          </w:p>
        </w:tc>
        <w:tc>
          <w:tcPr>
            <w:tcW w:w="1044" w:type="pct"/>
            <w:gridSpan w:val="3"/>
            <w:vAlign w:val="center"/>
          </w:tcPr>
          <w:p w:rsidR="00C62815" w:rsidRPr="00980C60" w:rsidRDefault="00C62815" w:rsidP="00F34ABE">
            <w:pPr>
              <w:widowControl/>
              <w:jc w:val="center"/>
              <w:rPr>
                <w:rFonts w:ascii="Arial Narrow" w:hAnsi="Arial Narrow"/>
                <w:color w:val="000000"/>
                <w:sz w:val="20"/>
                <w:szCs w:val="18"/>
              </w:rPr>
            </w:pPr>
          </w:p>
        </w:tc>
      </w:tr>
      <w:tr w:rsidR="00FC1CDC" w:rsidRPr="00980C60" w:rsidTr="006231E6">
        <w:tc>
          <w:tcPr>
            <w:tcW w:w="1094" w:type="pct"/>
            <w:gridSpan w:val="3"/>
            <w:shd w:val="clear" w:color="auto" w:fill="auto"/>
            <w:vAlign w:val="center"/>
          </w:tcPr>
          <w:p w:rsidR="00FC1CDC" w:rsidRPr="00980C60" w:rsidRDefault="00FC1CDC" w:rsidP="00F34ABE">
            <w:pPr>
              <w:widowControl/>
              <w:rPr>
                <w:rFonts w:ascii="Arial Narrow" w:hAnsi="Arial Narrow"/>
                <w:color w:val="000000"/>
                <w:sz w:val="20"/>
                <w:szCs w:val="18"/>
              </w:rPr>
            </w:pPr>
            <w:r w:rsidRPr="00980C60">
              <w:rPr>
                <w:rFonts w:ascii="Arial Narrow" w:hAnsi="Arial Narrow"/>
                <w:color w:val="000000"/>
                <w:sz w:val="20"/>
                <w:szCs w:val="18"/>
              </w:rPr>
              <w:t>Failed</w:t>
            </w:r>
          </w:p>
        </w:tc>
        <w:tc>
          <w:tcPr>
            <w:tcW w:w="867" w:type="pct"/>
            <w:gridSpan w:val="3"/>
          </w:tcPr>
          <w:p w:rsidR="00FC1CDC" w:rsidRPr="00980C60" w:rsidRDefault="007559E2" w:rsidP="00F34ABE">
            <w:pPr>
              <w:widowControl/>
              <w:jc w:val="center"/>
              <w:rPr>
                <w:rFonts w:ascii="Arial Narrow" w:hAnsi="Arial Narrow"/>
                <w:sz w:val="20"/>
              </w:rPr>
            </w:pPr>
            <w:r w:rsidRPr="00980C60">
              <w:rPr>
                <w:rFonts w:ascii="Arial Narrow" w:hAnsi="Arial Narrow"/>
                <w:sz w:val="20"/>
              </w:rPr>
              <w:t>NR</w:t>
            </w:r>
          </w:p>
        </w:tc>
        <w:tc>
          <w:tcPr>
            <w:tcW w:w="963" w:type="pct"/>
            <w:gridSpan w:val="4"/>
          </w:tcPr>
          <w:p w:rsidR="00FC1CDC" w:rsidRPr="00980C60" w:rsidRDefault="007559E2" w:rsidP="00F34ABE">
            <w:pPr>
              <w:widowControl/>
              <w:jc w:val="center"/>
              <w:rPr>
                <w:rFonts w:ascii="Arial Narrow" w:hAnsi="Arial Narrow"/>
                <w:sz w:val="20"/>
              </w:rPr>
            </w:pPr>
            <w:r w:rsidRPr="00980C60">
              <w:rPr>
                <w:rFonts w:ascii="Arial Narrow" w:hAnsi="Arial Narrow"/>
                <w:sz w:val="20"/>
              </w:rPr>
              <w:t>NR</w:t>
            </w:r>
          </w:p>
        </w:tc>
        <w:tc>
          <w:tcPr>
            <w:tcW w:w="1031" w:type="pct"/>
            <w:gridSpan w:val="6"/>
            <w:vAlign w:val="center"/>
          </w:tcPr>
          <w:p w:rsidR="00FC1CDC" w:rsidRPr="00980C60" w:rsidRDefault="007559E2" w:rsidP="00F34ABE">
            <w:pPr>
              <w:widowControl/>
              <w:jc w:val="center"/>
              <w:rPr>
                <w:rFonts w:ascii="Arial Narrow" w:hAnsi="Arial Narrow"/>
                <w:color w:val="000000"/>
                <w:sz w:val="20"/>
                <w:szCs w:val="18"/>
              </w:rPr>
            </w:pPr>
            <w:r w:rsidRPr="00980C60">
              <w:rPr>
                <w:rFonts w:ascii="Arial Narrow" w:hAnsi="Arial Narrow"/>
                <w:color w:val="000000"/>
                <w:sz w:val="20"/>
                <w:szCs w:val="18"/>
              </w:rPr>
              <w:t>-</w:t>
            </w:r>
          </w:p>
        </w:tc>
        <w:tc>
          <w:tcPr>
            <w:tcW w:w="1044" w:type="pct"/>
            <w:gridSpan w:val="3"/>
            <w:vAlign w:val="center"/>
          </w:tcPr>
          <w:p w:rsidR="00FC1CDC" w:rsidRPr="00980C60" w:rsidRDefault="007559E2"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r>
      <w:tr w:rsidR="00D83BF8" w:rsidRPr="00980C60" w:rsidTr="006231E6">
        <w:tc>
          <w:tcPr>
            <w:tcW w:w="1094" w:type="pct"/>
            <w:gridSpan w:val="3"/>
            <w:shd w:val="clear" w:color="auto" w:fill="auto"/>
            <w:vAlign w:val="center"/>
          </w:tcPr>
          <w:p w:rsidR="00D83BF8" w:rsidRPr="00980C60" w:rsidRDefault="00D83BF8" w:rsidP="00F34ABE">
            <w:pPr>
              <w:widowControl/>
              <w:rPr>
                <w:rFonts w:ascii="Arial Narrow" w:hAnsi="Arial Narrow"/>
                <w:color w:val="000000"/>
                <w:sz w:val="20"/>
                <w:szCs w:val="18"/>
              </w:rPr>
            </w:pPr>
            <w:r w:rsidRPr="00980C60">
              <w:rPr>
                <w:rFonts w:ascii="Arial Narrow" w:hAnsi="Arial Narrow"/>
                <w:color w:val="000000"/>
                <w:sz w:val="20"/>
                <w:szCs w:val="18"/>
              </w:rPr>
              <w:t>Median in days (95% CI)</w:t>
            </w:r>
          </w:p>
        </w:tc>
        <w:tc>
          <w:tcPr>
            <w:tcW w:w="867" w:type="pct"/>
            <w:gridSpan w:val="3"/>
          </w:tcPr>
          <w:p w:rsidR="00D83BF8" w:rsidRPr="00980C60" w:rsidRDefault="00D83BF8" w:rsidP="00F34ABE">
            <w:pPr>
              <w:widowControl/>
              <w:jc w:val="center"/>
              <w:rPr>
                <w:rFonts w:ascii="Arial Narrow" w:hAnsi="Arial Narrow"/>
                <w:sz w:val="20"/>
              </w:rPr>
            </w:pPr>
            <w:r w:rsidRPr="00980C60">
              <w:rPr>
                <w:rFonts w:ascii="Arial Narrow" w:hAnsi="Arial Narrow"/>
                <w:sz w:val="20"/>
              </w:rPr>
              <w:t>&gt; 14 (14.0, &gt; 14.0)</w:t>
            </w:r>
          </w:p>
        </w:tc>
        <w:tc>
          <w:tcPr>
            <w:tcW w:w="963" w:type="pct"/>
            <w:gridSpan w:val="4"/>
          </w:tcPr>
          <w:p w:rsidR="00D83BF8" w:rsidRPr="00980C60" w:rsidRDefault="00D83BF8" w:rsidP="00F34ABE">
            <w:pPr>
              <w:widowControl/>
              <w:jc w:val="center"/>
              <w:rPr>
                <w:rFonts w:ascii="Arial Narrow" w:hAnsi="Arial Narrow"/>
                <w:sz w:val="20"/>
              </w:rPr>
            </w:pPr>
            <w:r w:rsidRPr="00980C60">
              <w:rPr>
                <w:rFonts w:ascii="Arial Narrow" w:hAnsi="Arial Narrow"/>
                <w:sz w:val="20"/>
              </w:rPr>
              <w:t>3.8 (3.0, &gt; 14)</w:t>
            </w:r>
          </w:p>
        </w:tc>
        <w:tc>
          <w:tcPr>
            <w:tcW w:w="1031" w:type="pct"/>
            <w:gridSpan w:val="6"/>
            <w:vAlign w:val="center"/>
          </w:tcPr>
          <w:p w:rsidR="00D83BF8" w:rsidRPr="00980C60" w:rsidRDefault="00D148FC" w:rsidP="00F34ABE">
            <w:pPr>
              <w:widowControl/>
              <w:jc w:val="center"/>
              <w:rPr>
                <w:rFonts w:ascii="Arial Narrow" w:hAnsi="Arial Narrow"/>
                <w:color w:val="000000"/>
                <w:sz w:val="20"/>
                <w:szCs w:val="18"/>
              </w:rPr>
            </w:pPr>
            <w:r w:rsidRPr="00980C60">
              <w:rPr>
                <w:rFonts w:ascii="Arial Narrow" w:hAnsi="Arial Narrow"/>
                <w:color w:val="000000"/>
                <w:sz w:val="20"/>
                <w:szCs w:val="18"/>
              </w:rPr>
              <w:t>&gt;10.2</w:t>
            </w:r>
          </w:p>
        </w:tc>
        <w:tc>
          <w:tcPr>
            <w:tcW w:w="1044" w:type="pct"/>
            <w:gridSpan w:val="3"/>
            <w:vAlign w:val="center"/>
          </w:tcPr>
          <w:p w:rsidR="00D83BF8" w:rsidRPr="00980C60" w:rsidRDefault="003B09DF" w:rsidP="00F34ABE">
            <w:pPr>
              <w:widowControl/>
              <w:jc w:val="center"/>
              <w:rPr>
                <w:rFonts w:ascii="Arial Narrow" w:hAnsi="Arial Narrow"/>
                <w:color w:val="000000"/>
                <w:sz w:val="20"/>
                <w:szCs w:val="18"/>
              </w:rPr>
            </w:pPr>
            <w:r w:rsidRPr="00980C60">
              <w:rPr>
                <w:rFonts w:ascii="Arial Narrow" w:hAnsi="Arial Narrow"/>
                <w:color w:val="000000"/>
                <w:sz w:val="20"/>
                <w:szCs w:val="18"/>
              </w:rPr>
              <w:t>-</w:t>
            </w:r>
          </w:p>
        </w:tc>
      </w:tr>
      <w:tr w:rsidR="000D0A30" w:rsidRPr="00980C60" w:rsidTr="00A37DD9">
        <w:tc>
          <w:tcPr>
            <w:tcW w:w="5000" w:type="pct"/>
            <w:gridSpan w:val="19"/>
            <w:tcBorders>
              <w:top w:val="double" w:sz="4" w:space="0" w:color="auto"/>
            </w:tcBorders>
            <w:shd w:val="clear" w:color="auto" w:fill="auto"/>
            <w:vAlign w:val="center"/>
          </w:tcPr>
          <w:p w:rsidR="000D0A30" w:rsidRPr="00980C60" w:rsidRDefault="000D0A30" w:rsidP="00F34ABE">
            <w:pPr>
              <w:widowControl/>
              <w:rPr>
                <w:rFonts w:ascii="Arial Narrow" w:hAnsi="Arial Narrow"/>
                <w:b/>
                <w:color w:val="000000"/>
                <w:sz w:val="20"/>
                <w:szCs w:val="18"/>
              </w:rPr>
            </w:pPr>
            <w:r w:rsidRPr="00980C60">
              <w:rPr>
                <w:rFonts w:ascii="Arial Narrow" w:hAnsi="Arial Narrow"/>
                <w:b/>
                <w:color w:val="000000"/>
                <w:sz w:val="20"/>
                <w:szCs w:val="18"/>
              </w:rPr>
              <w:t xml:space="preserve">Continuous Outcome I: change from baseline </w:t>
            </w:r>
            <w:r w:rsidR="00F629B8" w:rsidRPr="00980C60">
              <w:rPr>
                <w:rFonts w:ascii="Arial Narrow" w:hAnsi="Arial Narrow"/>
                <w:b/>
                <w:color w:val="000000"/>
                <w:sz w:val="20"/>
                <w:szCs w:val="18"/>
              </w:rPr>
              <w:t>in p</w:t>
            </w:r>
            <w:r w:rsidR="00F629B8" w:rsidRPr="00980C60">
              <w:rPr>
                <w:rFonts w:ascii="Arial Narrow" w:hAnsi="Arial Narrow"/>
                <w:b/>
                <w:sz w:val="20"/>
              </w:rPr>
              <w:t>ain relief scale score (6-point categorical scale</w:t>
            </w:r>
            <w:r w:rsidR="00F629B8" w:rsidRPr="00980C60">
              <w:rPr>
                <w:rFonts w:ascii="Arial Narrow" w:hAnsi="Arial Narrow"/>
                <w:b/>
                <w:sz w:val="20"/>
                <w:vertAlign w:val="superscript"/>
              </w:rPr>
              <w:t>c</w:t>
            </w:r>
            <w:r w:rsidR="00F629B8" w:rsidRPr="00980C60">
              <w:rPr>
                <w:rFonts w:ascii="Arial Narrow" w:hAnsi="Arial Narrow"/>
                <w:b/>
                <w:sz w:val="20"/>
              </w:rPr>
              <w:t>)</w:t>
            </w:r>
          </w:p>
        </w:tc>
      </w:tr>
      <w:tr w:rsidR="000D0A30" w:rsidRPr="00980C60" w:rsidTr="00EB4134">
        <w:trPr>
          <w:trHeight w:val="225"/>
        </w:trPr>
        <w:tc>
          <w:tcPr>
            <w:tcW w:w="678" w:type="pct"/>
            <w:vMerge w:val="restart"/>
            <w:shd w:val="clear" w:color="auto" w:fill="auto"/>
            <w:vAlign w:val="center"/>
          </w:tcPr>
          <w:p w:rsidR="000D0A30" w:rsidRPr="00980C60" w:rsidRDefault="000D0A30" w:rsidP="00F34ABE">
            <w:pPr>
              <w:widowControl/>
              <w:rPr>
                <w:rFonts w:ascii="Arial Narrow" w:hAnsi="Arial Narrow"/>
                <w:color w:val="000000"/>
                <w:sz w:val="20"/>
                <w:szCs w:val="18"/>
              </w:rPr>
            </w:pPr>
          </w:p>
        </w:tc>
        <w:tc>
          <w:tcPr>
            <w:tcW w:w="1588" w:type="pct"/>
            <w:gridSpan w:val="7"/>
            <w:vAlign w:val="center"/>
          </w:tcPr>
          <w:p w:rsidR="000D0A30" w:rsidRPr="00980C60" w:rsidRDefault="000D0A30" w:rsidP="00F34ABE">
            <w:pPr>
              <w:widowControl/>
              <w:jc w:val="center"/>
              <w:rPr>
                <w:rFonts w:ascii="Arial Narrow" w:hAnsi="Arial Narrow"/>
                <w:color w:val="000000"/>
                <w:sz w:val="20"/>
                <w:szCs w:val="18"/>
              </w:rPr>
            </w:pPr>
            <w:r w:rsidRPr="00980C60">
              <w:rPr>
                <w:rFonts w:ascii="Arial Narrow" w:hAnsi="Arial Narrow"/>
                <w:b/>
                <w:color w:val="000000"/>
                <w:sz w:val="20"/>
                <w:szCs w:val="18"/>
              </w:rPr>
              <w:t>Lignocaine patch</w:t>
            </w:r>
          </w:p>
        </w:tc>
        <w:tc>
          <w:tcPr>
            <w:tcW w:w="1667" w:type="pct"/>
            <w:gridSpan w:val="7"/>
            <w:vAlign w:val="center"/>
          </w:tcPr>
          <w:p w:rsidR="000D0A30" w:rsidRPr="00980C60" w:rsidRDefault="000D0A30" w:rsidP="00F34ABE">
            <w:pPr>
              <w:widowControl/>
              <w:jc w:val="center"/>
              <w:rPr>
                <w:rFonts w:ascii="Arial Narrow" w:hAnsi="Arial Narrow"/>
                <w:color w:val="000000"/>
                <w:sz w:val="20"/>
                <w:szCs w:val="18"/>
              </w:rPr>
            </w:pPr>
            <w:r w:rsidRPr="00980C60">
              <w:rPr>
                <w:rFonts w:ascii="Arial Narrow" w:hAnsi="Arial Narrow"/>
                <w:b/>
                <w:color w:val="000000"/>
                <w:sz w:val="20"/>
                <w:szCs w:val="18"/>
              </w:rPr>
              <w:t>Placebo</w:t>
            </w:r>
            <w:r w:rsidR="004A50F8" w:rsidRPr="00980C60">
              <w:rPr>
                <w:rFonts w:ascii="Arial Narrow" w:hAnsi="Arial Narrow"/>
                <w:b/>
                <w:color w:val="000000"/>
                <w:sz w:val="20"/>
                <w:szCs w:val="18"/>
              </w:rPr>
              <w:t xml:space="preserve"> patch</w:t>
            </w:r>
          </w:p>
        </w:tc>
        <w:tc>
          <w:tcPr>
            <w:tcW w:w="1067" w:type="pct"/>
            <w:gridSpan w:val="4"/>
            <w:vMerge w:val="restart"/>
            <w:vAlign w:val="center"/>
          </w:tcPr>
          <w:p w:rsidR="000D0A30" w:rsidRPr="00980C60" w:rsidRDefault="000D0A30" w:rsidP="00F34ABE">
            <w:pPr>
              <w:widowControl/>
              <w:jc w:val="center"/>
              <w:rPr>
                <w:rFonts w:ascii="Arial Narrow" w:hAnsi="Arial Narrow"/>
                <w:b/>
                <w:sz w:val="20"/>
                <w:szCs w:val="18"/>
              </w:rPr>
            </w:pPr>
            <w:r w:rsidRPr="00980C60">
              <w:rPr>
                <w:rFonts w:ascii="Arial Narrow" w:hAnsi="Arial Narrow"/>
                <w:b/>
                <w:sz w:val="20"/>
                <w:szCs w:val="18"/>
              </w:rPr>
              <w:t>Mean difference</w:t>
            </w:r>
            <w:r w:rsidR="00F629B8" w:rsidRPr="00980C60">
              <w:rPr>
                <w:rFonts w:ascii="Arial Narrow" w:hAnsi="Arial Narrow"/>
                <w:b/>
                <w:sz w:val="20"/>
                <w:szCs w:val="18"/>
                <w:vertAlign w:val="superscript"/>
              </w:rPr>
              <w:t>d</w:t>
            </w:r>
            <w:r w:rsidRPr="00980C60">
              <w:rPr>
                <w:rFonts w:ascii="Arial Narrow" w:hAnsi="Arial Narrow"/>
                <w:b/>
                <w:sz w:val="20"/>
                <w:szCs w:val="18"/>
              </w:rPr>
              <w:t xml:space="preserve">: </w:t>
            </w:r>
          </w:p>
          <w:p w:rsidR="000D0A30" w:rsidRPr="00980C60" w:rsidRDefault="00227EA2" w:rsidP="00F34ABE">
            <w:pPr>
              <w:widowControl/>
              <w:jc w:val="center"/>
              <w:rPr>
                <w:rFonts w:ascii="Arial Narrow" w:hAnsi="Arial Narrow"/>
                <w:b/>
                <w:sz w:val="20"/>
                <w:szCs w:val="18"/>
              </w:rPr>
            </w:pPr>
            <w:r w:rsidRPr="00980C60">
              <w:rPr>
                <w:rFonts w:ascii="Arial Narrow" w:hAnsi="Arial Narrow"/>
                <w:b/>
                <w:sz w:val="20"/>
                <w:szCs w:val="18"/>
              </w:rPr>
              <w:t>Lignocaine patch</w:t>
            </w:r>
            <w:r w:rsidR="000D0A30" w:rsidRPr="00980C60">
              <w:rPr>
                <w:rFonts w:ascii="Arial Narrow" w:hAnsi="Arial Narrow"/>
                <w:b/>
                <w:sz w:val="20"/>
                <w:szCs w:val="18"/>
              </w:rPr>
              <w:t xml:space="preserve"> vs. </w:t>
            </w:r>
            <w:r w:rsidRPr="00980C60">
              <w:rPr>
                <w:rFonts w:ascii="Arial Narrow" w:hAnsi="Arial Narrow"/>
                <w:b/>
                <w:sz w:val="20"/>
                <w:szCs w:val="18"/>
              </w:rPr>
              <w:t>placebo</w:t>
            </w:r>
          </w:p>
          <w:p w:rsidR="000D0A30" w:rsidRPr="00980C60" w:rsidRDefault="000D0A30" w:rsidP="00F34ABE">
            <w:pPr>
              <w:widowControl/>
              <w:jc w:val="center"/>
              <w:rPr>
                <w:rFonts w:ascii="Arial Narrow" w:hAnsi="Arial Narrow"/>
                <w:b/>
                <w:sz w:val="20"/>
                <w:szCs w:val="18"/>
              </w:rPr>
            </w:pPr>
            <w:r w:rsidRPr="00980C60">
              <w:rPr>
                <w:rFonts w:ascii="Arial Narrow" w:hAnsi="Arial Narrow"/>
                <w:b/>
                <w:sz w:val="20"/>
                <w:szCs w:val="18"/>
              </w:rPr>
              <w:t>(95% CI)</w:t>
            </w:r>
          </w:p>
        </w:tc>
      </w:tr>
      <w:tr w:rsidR="000D0A30" w:rsidRPr="00980C60" w:rsidTr="006231E6">
        <w:trPr>
          <w:trHeight w:val="225"/>
        </w:trPr>
        <w:tc>
          <w:tcPr>
            <w:tcW w:w="678" w:type="pct"/>
            <w:vMerge/>
            <w:shd w:val="clear" w:color="auto" w:fill="auto"/>
            <w:vAlign w:val="center"/>
          </w:tcPr>
          <w:p w:rsidR="000D0A30" w:rsidRPr="00980C60" w:rsidRDefault="000D0A30" w:rsidP="00F34ABE">
            <w:pPr>
              <w:widowControl/>
              <w:rPr>
                <w:rFonts w:ascii="Arial Narrow" w:hAnsi="Arial Narrow"/>
                <w:color w:val="000000"/>
                <w:sz w:val="20"/>
                <w:szCs w:val="18"/>
              </w:rPr>
            </w:pPr>
          </w:p>
        </w:tc>
        <w:tc>
          <w:tcPr>
            <w:tcW w:w="416" w:type="pct"/>
            <w:gridSpan w:val="2"/>
            <w:vAlign w:val="center"/>
          </w:tcPr>
          <w:p w:rsidR="000D0A30" w:rsidRPr="00980C60" w:rsidRDefault="000D0A30" w:rsidP="00F34ABE">
            <w:pPr>
              <w:widowControl/>
              <w:jc w:val="center"/>
              <w:rPr>
                <w:rFonts w:ascii="Arial Narrow" w:hAnsi="Arial Narrow"/>
                <w:b/>
                <w:color w:val="000000"/>
                <w:sz w:val="20"/>
                <w:szCs w:val="18"/>
              </w:rPr>
            </w:pPr>
            <w:r w:rsidRPr="00980C60">
              <w:rPr>
                <w:rFonts w:ascii="Arial Narrow" w:hAnsi="Arial Narrow"/>
                <w:b/>
                <w:color w:val="000000"/>
                <w:sz w:val="20"/>
                <w:szCs w:val="18"/>
              </w:rPr>
              <w:t>n</w:t>
            </w:r>
          </w:p>
        </w:tc>
        <w:tc>
          <w:tcPr>
            <w:tcW w:w="582" w:type="pct"/>
            <w:gridSpan w:val="2"/>
            <w:vAlign w:val="center"/>
          </w:tcPr>
          <w:p w:rsidR="000D0A30" w:rsidRPr="00980C60" w:rsidRDefault="000D0A30" w:rsidP="00F34ABE">
            <w:pPr>
              <w:widowControl/>
              <w:jc w:val="center"/>
              <w:rPr>
                <w:rFonts w:ascii="Arial Narrow" w:hAnsi="Arial Narrow"/>
                <w:b/>
                <w:sz w:val="20"/>
                <w:szCs w:val="18"/>
              </w:rPr>
            </w:pPr>
            <w:r w:rsidRPr="00980C60">
              <w:rPr>
                <w:rFonts w:ascii="Arial Narrow" w:hAnsi="Arial Narrow"/>
                <w:b/>
                <w:sz w:val="20"/>
                <w:szCs w:val="18"/>
              </w:rPr>
              <w:t>Mean ∆ baseline</w:t>
            </w:r>
          </w:p>
        </w:tc>
        <w:tc>
          <w:tcPr>
            <w:tcW w:w="589" w:type="pct"/>
            <w:gridSpan w:val="3"/>
            <w:vAlign w:val="center"/>
          </w:tcPr>
          <w:p w:rsidR="000D0A30" w:rsidRPr="00980C60" w:rsidRDefault="000D0A30" w:rsidP="00F34ABE">
            <w:pPr>
              <w:widowControl/>
              <w:jc w:val="center"/>
              <w:rPr>
                <w:rFonts w:ascii="Arial Narrow" w:hAnsi="Arial Narrow"/>
                <w:b/>
                <w:sz w:val="20"/>
                <w:szCs w:val="18"/>
              </w:rPr>
            </w:pPr>
            <w:r w:rsidRPr="00980C60">
              <w:rPr>
                <w:rFonts w:ascii="Arial Narrow" w:hAnsi="Arial Narrow"/>
                <w:b/>
                <w:sz w:val="20"/>
                <w:szCs w:val="18"/>
              </w:rPr>
              <w:t>SD</w:t>
            </w:r>
          </w:p>
        </w:tc>
        <w:tc>
          <w:tcPr>
            <w:tcW w:w="498" w:type="pct"/>
            <w:vAlign w:val="center"/>
          </w:tcPr>
          <w:p w:rsidR="000D0A30" w:rsidRPr="00980C60" w:rsidRDefault="000D0A30" w:rsidP="00F34ABE">
            <w:pPr>
              <w:widowControl/>
              <w:jc w:val="center"/>
              <w:rPr>
                <w:rFonts w:ascii="Arial Narrow" w:hAnsi="Arial Narrow"/>
                <w:b/>
                <w:color w:val="000000"/>
                <w:sz w:val="20"/>
                <w:szCs w:val="18"/>
              </w:rPr>
            </w:pPr>
            <w:r w:rsidRPr="00980C60">
              <w:rPr>
                <w:rFonts w:ascii="Arial Narrow" w:hAnsi="Arial Narrow"/>
                <w:b/>
                <w:color w:val="000000"/>
                <w:sz w:val="20"/>
                <w:szCs w:val="18"/>
              </w:rPr>
              <w:t>n</w:t>
            </w:r>
          </w:p>
        </w:tc>
        <w:tc>
          <w:tcPr>
            <w:tcW w:w="586" w:type="pct"/>
            <w:gridSpan w:val="3"/>
            <w:vAlign w:val="center"/>
          </w:tcPr>
          <w:p w:rsidR="000D0A30" w:rsidRPr="00980C60" w:rsidRDefault="000D0A30" w:rsidP="00F34ABE">
            <w:pPr>
              <w:widowControl/>
              <w:jc w:val="center"/>
              <w:rPr>
                <w:rFonts w:ascii="Arial Narrow" w:hAnsi="Arial Narrow"/>
                <w:b/>
                <w:sz w:val="20"/>
                <w:szCs w:val="18"/>
              </w:rPr>
            </w:pPr>
            <w:r w:rsidRPr="00980C60">
              <w:rPr>
                <w:rFonts w:ascii="Arial Narrow" w:hAnsi="Arial Narrow"/>
                <w:b/>
                <w:sz w:val="20"/>
                <w:szCs w:val="18"/>
              </w:rPr>
              <w:t xml:space="preserve">Mean ∆ baseline </w:t>
            </w:r>
          </w:p>
        </w:tc>
        <w:tc>
          <w:tcPr>
            <w:tcW w:w="583" w:type="pct"/>
            <w:gridSpan w:val="3"/>
            <w:vAlign w:val="center"/>
          </w:tcPr>
          <w:p w:rsidR="000D0A30" w:rsidRPr="00980C60" w:rsidRDefault="000D0A30" w:rsidP="00F34ABE">
            <w:pPr>
              <w:widowControl/>
              <w:jc w:val="center"/>
              <w:rPr>
                <w:rFonts w:ascii="Arial Narrow" w:hAnsi="Arial Narrow"/>
                <w:b/>
                <w:sz w:val="20"/>
                <w:szCs w:val="18"/>
              </w:rPr>
            </w:pPr>
            <w:r w:rsidRPr="00980C60">
              <w:rPr>
                <w:rFonts w:ascii="Arial Narrow" w:hAnsi="Arial Narrow"/>
                <w:b/>
                <w:sz w:val="20"/>
                <w:szCs w:val="18"/>
              </w:rPr>
              <w:t>SD</w:t>
            </w:r>
          </w:p>
        </w:tc>
        <w:tc>
          <w:tcPr>
            <w:tcW w:w="1067" w:type="pct"/>
            <w:gridSpan w:val="4"/>
            <w:vMerge/>
            <w:vAlign w:val="center"/>
          </w:tcPr>
          <w:p w:rsidR="000D0A30" w:rsidRPr="00980C60" w:rsidRDefault="000D0A30" w:rsidP="00F34ABE">
            <w:pPr>
              <w:widowControl/>
              <w:jc w:val="center"/>
              <w:rPr>
                <w:rFonts w:ascii="Arial Narrow" w:hAnsi="Arial Narrow"/>
                <w:b/>
                <w:sz w:val="20"/>
                <w:szCs w:val="18"/>
              </w:rPr>
            </w:pPr>
          </w:p>
        </w:tc>
      </w:tr>
      <w:tr w:rsidR="00227EA2" w:rsidRPr="00980C60" w:rsidTr="006231E6">
        <w:tc>
          <w:tcPr>
            <w:tcW w:w="678" w:type="pct"/>
            <w:shd w:val="clear" w:color="auto" w:fill="auto"/>
            <w:vAlign w:val="center"/>
          </w:tcPr>
          <w:p w:rsidR="00227EA2" w:rsidRPr="00980C60" w:rsidRDefault="0063519C" w:rsidP="00F34ABE">
            <w:pPr>
              <w:widowControl/>
              <w:rPr>
                <w:rFonts w:ascii="Arial Narrow" w:hAnsi="Arial Narrow"/>
                <w:color w:val="000000"/>
                <w:sz w:val="20"/>
                <w:szCs w:val="18"/>
              </w:rPr>
            </w:pPr>
            <w:r w:rsidRPr="00980C60">
              <w:rPr>
                <w:rFonts w:ascii="Arial Narrow" w:hAnsi="Arial Narrow"/>
                <w:color w:val="000000"/>
                <w:sz w:val="20"/>
                <w:szCs w:val="18"/>
              </w:rPr>
              <w:t>Galer (2002)</w:t>
            </w:r>
          </w:p>
        </w:tc>
        <w:tc>
          <w:tcPr>
            <w:tcW w:w="416" w:type="pct"/>
            <w:gridSpan w:val="2"/>
          </w:tcPr>
          <w:p w:rsidR="00227EA2" w:rsidRPr="00980C60" w:rsidRDefault="00227EA2" w:rsidP="00F34ABE">
            <w:pPr>
              <w:widowControl/>
              <w:jc w:val="center"/>
              <w:rPr>
                <w:rFonts w:ascii="Arial Narrow" w:hAnsi="Arial Narrow"/>
                <w:color w:val="000000"/>
                <w:sz w:val="20"/>
                <w:szCs w:val="18"/>
              </w:rPr>
            </w:pPr>
            <w:r w:rsidRPr="00980C60">
              <w:rPr>
                <w:rFonts w:ascii="Arial Narrow" w:hAnsi="Arial Narrow"/>
                <w:sz w:val="20"/>
              </w:rPr>
              <w:t>100</w:t>
            </w:r>
          </w:p>
        </w:tc>
        <w:tc>
          <w:tcPr>
            <w:tcW w:w="582" w:type="pct"/>
            <w:gridSpan w:val="2"/>
          </w:tcPr>
          <w:p w:rsidR="00227EA2" w:rsidRPr="00980C60" w:rsidRDefault="00227EA2" w:rsidP="00F34ABE">
            <w:pPr>
              <w:widowControl/>
              <w:jc w:val="center"/>
              <w:rPr>
                <w:rFonts w:ascii="Arial Narrow" w:hAnsi="Arial Narrow"/>
                <w:color w:val="000000"/>
                <w:sz w:val="20"/>
                <w:szCs w:val="18"/>
              </w:rPr>
            </w:pPr>
            <w:r w:rsidRPr="00980C60">
              <w:rPr>
                <w:rFonts w:ascii="Arial Narrow" w:hAnsi="Arial Narrow"/>
                <w:sz w:val="20"/>
              </w:rPr>
              <w:t>2.6</w:t>
            </w:r>
          </w:p>
        </w:tc>
        <w:tc>
          <w:tcPr>
            <w:tcW w:w="589" w:type="pct"/>
            <w:gridSpan w:val="3"/>
            <w:vAlign w:val="center"/>
          </w:tcPr>
          <w:p w:rsidR="00227EA2" w:rsidRPr="00980C60" w:rsidRDefault="00227EA2" w:rsidP="00F34ABE">
            <w:pPr>
              <w:widowControl/>
              <w:jc w:val="center"/>
              <w:rPr>
                <w:rFonts w:ascii="Arial Narrow" w:hAnsi="Arial Narrow"/>
                <w:color w:val="000000"/>
                <w:sz w:val="20"/>
                <w:szCs w:val="18"/>
              </w:rPr>
            </w:pPr>
            <w:r w:rsidRPr="00980C60">
              <w:rPr>
                <w:rFonts w:ascii="Arial Narrow" w:hAnsi="Arial Narrow"/>
                <w:color w:val="000000"/>
                <w:sz w:val="20"/>
                <w:szCs w:val="18"/>
              </w:rPr>
              <w:t>1.3</w:t>
            </w:r>
          </w:p>
        </w:tc>
        <w:tc>
          <w:tcPr>
            <w:tcW w:w="498" w:type="pct"/>
            <w:vAlign w:val="center"/>
          </w:tcPr>
          <w:p w:rsidR="00227EA2" w:rsidRPr="00980C60" w:rsidRDefault="0094450A" w:rsidP="00F34ABE">
            <w:pPr>
              <w:widowControl/>
              <w:jc w:val="center"/>
              <w:rPr>
                <w:rFonts w:ascii="Arial Narrow" w:hAnsi="Arial Narrow"/>
                <w:color w:val="000000"/>
                <w:sz w:val="20"/>
                <w:szCs w:val="18"/>
              </w:rPr>
            </w:pPr>
            <w:r w:rsidRPr="00980C60">
              <w:rPr>
                <w:rFonts w:ascii="Arial Narrow" w:hAnsi="Arial Narrow"/>
                <w:color w:val="000000"/>
                <w:sz w:val="20"/>
                <w:szCs w:val="18"/>
              </w:rPr>
              <w:t>50</w:t>
            </w:r>
          </w:p>
        </w:tc>
        <w:tc>
          <w:tcPr>
            <w:tcW w:w="586" w:type="pct"/>
            <w:gridSpan w:val="3"/>
            <w:vAlign w:val="center"/>
          </w:tcPr>
          <w:p w:rsidR="00227EA2" w:rsidRPr="00980C60" w:rsidRDefault="0094450A" w:rsidP="00F34ABE">
            <w:pPr>
              <w:widowControl/>
              <w:jc w:val="center"/>
              <w:rPr>
                <w:rFonts w:ascii="Arial Narrow" w:hAnsi="Arial Narrow"/>
                <w:color w:val="000000"/>
                <w:sz w:val="20"/>
                <w:szCs w:val="18"/>
              </w:rPr>
            </w:pPr>
            <w:r w:rsidRPr="00980C60">
              <w:rPr>
                <w:rFonts w:ascii="Arial Narrow" w:hAnsi="Arial Narrow"/>
                <w:sz w:val="20"/>
              </w:rPr>
              <w:t>2.1</w:t>
            </w:r>
          </w:p>
        </w:tc>
        <w:tc>
          <w:tcPr>
            <w:tcW w:w="583" w:type="pct"/>
            <w:gridSpan w:val="3"/>
            <w:vAlign w:val="center"/>
          </w:tcPr>
          <w:p w:rsidR="00227EA2" w:rsidRPr="00980C60" w:rsidRDefault="0094450A" w:rsidP="00F34ABE">
            <w:pPr>
              <w:widowControl/>
              <w:jc w:val="center"/>
              <w:rPr>
                <w:rFonts w:ascii="Arial Narrow" w:hAnsi="Arial Narrow"/>
                <w:color w:val="000000"/>
                <w:sz w:val="20"/>
                <w:szCs w:val="18"/>
              </w:rPr>
            </w:pPr>
            <w:r w:rsidRPr="00980C60">
              <w:rPr>
                <w:rFonts w:ascii="Arial Narrow" w:hAnsi="Arial Narrow"/>
                <w:sz w:val="20"/>
              </w:rPr>
              <w:t>1.0</w:t>
            </w:r>
          </w:p>
        </w:tc>
        <w:tc>
          <w:tcPr>
            <w:tcW w:w="1067" w:type="pct"/>
            <w:gridSpan w:val="4"/>
            <w:vAlign w:val="center"/>
          </w:tcPr>
          <w:p w:rsidR="00227EA2" w:rsidRPr="00980C60" w:rsidRDefault="0094450A" w:rsidP="00F34ABE">
            <w:pPr>
              <w:widowControl/>
              <w:jc w:val="center"/>
              <w:rPr>
                <w:rFonts w:ascii="Arial Narrow" w:hAnsi="Arial Narrow"/>
                <w:sz w:val="20"/>
                <w:szCs w:val="18"/>
              </w:rPr>
            </w:pPr>
            <w:r w:rsidRPr="00980C60">
              <w:rPr>
                <w:rFonts w:ascii="Arial Narrow" w:hAnsi="Arial Narrow"/>
                <w:sz w:val="20"/>
              </w:rPr>
              <w:t>0.50 (0.12, 0.88)</w:t>
            </w:r>
          </w:p>
        </w:tc>
      </w:tr>
      <w:tr w:rsidR="00FC1CDC" w:rsidRPr="00980C60" w:rsidTr="00A37DD9">
        <w:tc>
          <w:tcPr>
            <w:tcW w:w="5000" w:type="pct"/>
            <w:gridSpan w:val="19"/>
            <w:tcBorders>
              <w:top w:val="double" w:sz="4" w:space="0" w:color="auto"/>
            </w:tcBorders>
            <w:shd w:val="clear" w:color="auto" w:fill="auto"/>
            <w:vAlign w:val="center"/>
          </w:tcPr>
          <w:p w:rsidR="00FC1CDC" w:rsidRPr="00980C60" w:rsidRDefault="00FC1CDC" w:rsidP="00F34ABE">
            <w:pPr>
              <w:widowControl/>
              <w:rPr>
                <w:rFonts w:ascii="Arial Narrow" w:hAnsi="Arial Narrow"/>
                <w:b/>
                <w:color w:val="000000"/>
                <w:sz w:val="20"/>
                <w:szCs w:val="18"/>
              </w:rPr>
            </w:pPr>
            <w:r w:rsidRPr="00980C60">
              <w:rPr>
                <w:rFonts w:ascii="Arial Narrow" w:hAnsi="Arial Narrow"/>
                <w:b/>
                <w:color w:val="000000"/>
                <w:sz w:val="20"/>
                <w:szCs w:val="18"/>
              </w:rPr>
              <w:t xml:space="preserve">Harms </w:t>
            </w:r>
          </w:p>
        </w:tc>
      </w:tr>
      <w:tr w:rsidR="00D20B5F" w:rsidRPr="00980C60" w:rsidTr="006231E6">
        <w:trPr>
          <w:trHeight w:val="70"/>
        </w:trPr>
        <w:tc>
          <w:tcPr>
            <w:tcW w:w="937" w:type="pct"/>
            <w:gridSpan w:val="2"/>
            <w:vMerge w:val="restart"/>
            <w:shd w:val="clear" w:color="auto" w:fill="auto"/>
            <w:vAlign w:val="center"/>
          </w:tcPr>
          <w:p w:rsidR="00D20B5F" w:rsidRPr="00980C60" w:rsidRDefault="00D20B5F" w:rsidP="00F34ABE">
            <w:pPr>
              <w:widowControl/>
              <w:rPr>
                <w:rFonts w:ascii="Arial Narrow" w:hAnsi="Arial Narrow"/>
                <w:b/>
                <w:color w:val="000000"/>
                <w:sz w:val="20"/>
                <w:szCs w:val="18"/>
              </w:rPr>
            </w:pPr>
          </w:p>
        </w:tc>
        <w:tc>
          <w:tcPr>
            <w:tcW w:w="582" w:type="pct"/>
            <w:gridSpan w:val="2"/>
            <w:vMerge w:val="restart"/>
            <w:vAlign w:val="center"/>
          </w:tcPr>
          <w:p w:rsidR="00D20B5F" w:rsidRPr="00980C60" w:rsidRDefault="00D20B5F" w:rsidP="00F34ABE">
            <w:pPr>
              <w:widowControl/>
              <w:jc w:val="center"/>
              <w:rPr>
                <w:rFonts w:ascii="Arial Narrow" w:hAnsi="Arial Narrow"/>
                <w:b/>
                <w:color w:val="000000"/>
                <w:sz w:val="20"/>
                <w:szCs w:val="18"/>
              </w:rPr>
            </w:pPr>
            <w:r w:rsidRPr="00980C60">
              <w:rPr>
                <w:rFonts w:ascii="Arial Narrow" w:hAnsi="Arial Narrow"/>
                <w:b/>
                <w:color w:val="000000"/>
                <w:sz w:val="20"/>
                <w:szCs w:val="18"/>
              </w:rPr>
              <w:t>Lignocaine patch</w:t>
            </w:r>
          </w:p>
        </w:tc>
        <w:tc>
          <w:tcPr>
            <w:tcW w:w="606" w:type="pct"/>
            <w:gridSpan w:val="3"/>
            <w:vMerge w:val="restart"/>
            <w:vAlign w:val="center"/>
          </w:tcPr>
          <w:p w:rsidR="00D20B5F" w:rsidRPr="00980C60" w:rsidRDefault="00D20B5F" w:rsidP="00F34ABE">
            <w:pPr>
              <w:widowControl/>
              <w:jc w:val="center"/>
              <w:rPr>
                <w:rFonts w:ascii="Arial Narrow" w:hAnsi="Arial Narrow"/>
                <w:b/>
                <w:color w:val="000000"/>
                <w:sz w:val="20"/>
                <w:szCs w:val="18"/>
              </w:rPr>
            </w:pPr>
            <w:r w:rsidRPr="00980C60">
              <w:rPr>
                <w:rFonts w:ascii="Arial Narrow" w:hAnsi="Arial Narrow"/>
                <w:b/>
                <w:color w:val="000000"/>
                <w:sz w:val="20"/>
                <w:szCs w:val="18"/>
              </w:rPr>
              <w:t>Placebo</w:t>
            </w:r>
            <w:r w:rsidR="004A50F8" w:rsidRPr="00980C60">
              <w:rPr>
                <w:rFonts w:ascii="Arial Narrow" w:hAnsi="Arial Narrow"/>
                <w:b/>
                <w:color w:val="000000"/>
                <w:sz w:val="20"/>
                <w:szCs w:val="18"/>
              </w:rPr>
              <w:t xml:space="preserve"> patch</w:t>
            </w:r>
          </w:p>
        </w:tc>
        <w:tc>
          <w:tcPr>
            <w:tcW w:w="817" w:type="pct"/>
            <w:gridSpan w:val="4"/>
            <w:vMerge w:val="restart"/>
            <w:vAlign w:val="center"/>
          </w:tcPr>
          <w:p w:rsidR="00D20B5F" w:rsidRPr="00980C60" w:rsidRDefault="00D20B5F" w:rsidP="00F34ABE">
            <w:pPr>
              <w:widowControl/>
              <w:jc w:val="center"/>
              <w:rPr>
                <w:rFonts w:ascii="Arial Narrow" w:hAnsi="Arial Narrow"/>
                <w:b/>
                <w:color w:val="000000"/>
                <w:sz w:val="20"/>
                <w:szCs w:val="18"/>
              </w:rPr>
            </w:pPr>
            <w:r w:rsidRPr="00980C60">
              <w:rPr>
                <w:rFonts w:ascii="Arial Narrow" w:hAnsi="Arial Narrow"/>
                <w:b/>
                <w:color w:val="000000"/>
                <w:sz w:val="20"/>
                <w:szCs w:val="18"/>
              </w:rPr>
              <w:t>RR</w:t>
            </w:r>
          </w:p>
          <w:p w:rsidR="00D20B5F" w:rsidRPr="00980C60" w:rsidRDefault="00D20B5F" w:rsidP="00F34ABE">
            <w:pPr>
              <w:widowControl/>
              <w:jc w:val="center"/>
              <w:rPr>
                <w:rFonts w:ascii="Arial Narrow" w:hAnsi="Arial Narrow"/>
                <w:b/>
                <w:color w:val="000000"/>
                <w:sz w:val="20"/>
                <w:szCs w:val="18"/>
              </w:rPr>
            </w:pPr>
            <w:r w:rsidRPr="00980C60">
              <w:rPr>
                <w:rFonts w:ascii="Arial Narrow" w:hAnsi="Arial Narrow"/>
                <w:b/>
                <w:color w:val="000000"/>
                <w:sz w:val="20"/>
                <w:szCs w:val="18"/>
              </w:rPr>
              <w:t>(95% CI)</w:t>
            </w:r>
          </w:p>
        </w:tc>
        <w:tc>
          <w:tcPr>
            <w:tcW w:w="1260" w:type="pct"/>
            <w:gridSpan w:val="6"/>
            <w:vAlign w:val="center"/>
          </w:tcPr>
          <w:p w:rsidR="00D20B5F" w:rsidRPr="00980C60" w:rsidRDefault="00D20B5F" w:rsidP="00F34ABE">
            <w:pPr>
              <w:widowControl/>
              <w:jc w:val="center"/>
              <w:rPr>
                <w:rFonts w:ascii="Arial Narrow" w:hAnsi="Arial Narrow"/>
                <w:b/>
                <w:color w:val="000000"/>
                <w:sz w:val="20"/>
                <w:szCs w:val="18"/>
              </w:rPr>
            </w:pPr>
            <w:r w:rsidRPr="00980C60">
              <w:rPr>
                <w:rFonts w:ascii="Arial Narrow" w:hAnsi="Arial Narrow"/>
                <w:b/>
                <w:color w:val="000000"/>
                <w:sz w:val="20"/>
                <w:szCs w:val="18"/>
              </w:rPr>
              <w:t>Event rate/100 patients</w:t>
            </w:r>
            <w:r w:rsidR="005656D5" w:rsidRPr="00980C60">
              <w:rPr>
                <w:rFonts w:ascii="Arial Narrow" w:hAnsi="Arial Narrow"/>
                <w:b/>
                <w:color w:val="000000"/>
                <w:sz w:val="20"/>
                <w:szCs w:val="18"/>
                <w:vertAlign w:val="superscript"/>
              </w:rPr>
              <w:t>e</w:t>
            </w:r>
          </w:p>
        </w:tc>
        <w:tc>
          <w:tcPr>
            <w:tcW w:w="797" w:type="pct"/>
            <w:gridSpan w:val="2"/>
            <w:vMerge w:val="restart"/>
            <w:vAlign w:val="center"/>
          </w:tcPr>
          <w:p w:rsidR="00D20B5F" w:rsidRPr="00980C60" w:rsidRDefault="00D20B5F" w:rsidP="00F34ABE">
            <w:pPr>
              <w:widowControl/>
              <w:jc w:val="center"/>
              <w:rPr>
                <w:rFonts w:ascii="Arial Narrow" w:hAnsi="Arial Narrow"/>
                <w:b/>
                <w:color w:val="000000"/>
                <w:sz w:val="20"/>
                <w:szCs w:val="18"/>
              </w:rPr>
            </w:pPr>
            <w:r w:rsidRPr="00980C60">
              <w:rPr>
                <w:rFonts w:ascii="Arial Narrow" w:hAnsi="Arial Narrow"/>
                <w:b/>
                <w:color w:val="000000"/>
                <w:sz w:val="20"/>
                <w:szCs w:val="18"/>
              </w:rPr>
              <w:t>RD</w:t>
            </w:r>
          </w:p>
          <w:p w:rsidR="00D20B5F" w:rsidRPr="00980C60" w:rsidRDefault="00D20B5F" w:rsidP="00F34ABE">
            <w:pPr>
              <w:widowControl/>
              <w:jc w:val="center"/>
              <w:rPr>
                <w:rFonts w:ascii="Arial Narrow" w:hAnsi="Arial Narrow"/>
                <w:b/>
                <w:color w:val="000000"/>
                <w:sz w:val="20"/>
                <w:szCs w:val="18"/>
              </w:rPr>
            </w:pPr>
            <w:r w:rsidRPr="00980C60">
              <w:rPr>
                <w:rFonts w:ascii="Arial Narrow" w:hAnsi="Arial Narrow"/>
                <w:b/>
                <w:color w:val="000000"/>
                <w:sz w:val="20"/>
                <w:szCs w:val="18"/>
              </w:rPr>
              <w:t>(95% CI)</w:t>
            </w:r>
          </w:p>
        </w:tc>
      </w:tr>
      <w:tr w:rsidR="00D20B5F" w:rsidRPr="00980C60" w:rsidTr="006231E6">
        <w:trPr>
          <w:trHeight w:val="390"/>
        </w:trPr>
        <w:tc>
          <w:tcPr>
            <w:tcW w:w="937" w:type="pct"/>
            <w:gridSpan w:val="2"/>
            <w:vMerge/>
            <w:shd w:val="clear" w:color="auto" w:fill="auto"/>
            <w:vAlign w:val="center"/>
          </w:tcPr>
          <w:p w:rsidR="00D20B5F" w:rsidRPr="00980C60" w:rsidRDefault="00D20B5F" w:rsidP="00F34ABE">
            <w:pPr>
              <w:widowControl/>
              <w:rPr>
                <w:rFonts w:ascii="Arial Narrow" w:hAnsi="Arial Narrow"/>
                <w:b/>
                <w:color w:val="000000"/>
                <w:sz w:val="20"/>
                <w:szCs w:val="18"/>
              </w:rPr>
            </w:pPr>
          </w:p>
        </w:tc>
        <w:tc>
          <w:tcPr>
            <w:tcW w:w="582" w:type="pct"/>
            <w:gridSpan w:val="2"/>
            <w:vMerge/>
            <w:vAlign w:val="center"/>
          </w:tcPr>
          <w:p w:rsidR="00D20B5F" w:rsidRPr="00980C60" w:rsidRDefault="00D20B5F" w:rsidP="00F34ABE">
            <w:pPr>
              <w:widowControl/>
              <w:jc w:val="center"/>
              <w:rPr>
                <w:rFonts w:ascii="Arial Narrow" w:hAnsi="Arial Narrow"/>
                <w:b/>
                <w:color w:val="000000"/>
                <w:sz w:val="20"/>
                <w:szCs w:val="18"/>
              </w:rPr>
            </w:pPr>
          </w:p>
        </w:tc>
        <w:tc>
          <w:tcPr>
            <w:tcW w:w="606" w:type="pct"/>
            <w:gridSpan w:val="3"/>
            <w:vMerge/>
            <w:vAlign w:val="center"/>
          </w:tcPr>
          <w:p w:rsidR="00D20B5F" w:rsidRPr="00980C60" w:rsidRDefault="00D20B5F" w:rsidP="00F34ABE">
            <w:pPr>
              <w:widowControl/>
              <w:jc w:val="center"/>
              <w:rPr>
                <w:rFonts w:ascii="Arial Narrow" w:hAnsi="Arial Narrow"/>
                <w:b/>
                <w:color w:val="000000"/>
                <w:sz w:val="20"/>
                <w:szCs w:val="18"/>
              </w:rPr>
            </w:pPr>
          </w:p>
        </w:tc>
        <w:tc>
          <w:tcPr>
            <w:tcW w:w="817" w:type="pct"/>
            <w:gridSpan w:val="4"/>
            <w:vMerge/>
            <w:vAlign w:val="center"/>
          </w:tcPr>
          <w:p w:rsidR="00D20B5F" w:rsidRPr="00980C60" w:rsidRDefault="00D20B5F" w:rsidP="00F34ABE">
            <w:pPr>
              <w:widowControl/>
              <w:jc w:val="center"/>
              <w:rPr>
                <w:rFonts w:ascii="Arial Narrow" w:hAnsi="Arial Narrow"/>
                <w:b/>
                <w:color w:val="000000"/>
                <w:sz w:val="20"/>
                <w:szCs w:val="18"/>
              </w:rPr>
            </w:pPr>
          </w:p>
        </w:tc>
        <w:tc>
          <w:tcPr>
            <w:tcW w:w="628" w:type="pct"/>
            <w:gridSpan w:val="2"/>
            <w:vAlign w:val="center"/>
          </w:tcPr>
          <w:p w:rsidR="00D20B5F" w:rsidRPr="00980C60" w:rsidRDefault="00D20B5F" w:rsidP="00F34ABE">
            <w:pPr>
              <w:widowControl/>
              <w:jc w:val="center"/>
              <w:rPr>
                <w:rFonts w:ascii="Arial Narrow" w:hAnsi="Arial Narrow"/>
                <w:b/>
                <w:color w:val="000000"/>
                <w:sz w:val="20"/>
                <w:szCs w:val="18"/>
              </w:rPr>
            </w:pPr>
            <w:r w:rsidRPr="00980C60">
              <w:rPr>
                <w:rFonts w:ascii="Arial Narrow" w:hAnsi="Arial Narrow"/>
                <w:b/>
                <w:color w:val="000000"/>
                <w:sz w:val="20"/>
                <w:szCs w:val="18"/>
              </w:rPr>
              <w:t>Lignocaine patch</w:t>
            </w:r>
          </w:p>
        </w:tc>
        <w:tc>
          <w:tcPr>
            <w:tcW w:w="633" w:type="pct"/>
            <w:gridSpan w:val="4"/>
            <w:vAlign w:val="center"/>
          </w:tcPr>
          <w:p w:rsidR="00D20B5F" w:rsidRPr="00980C60" w:rsidRDefault="00D20B5F" w:rsidP="00F34ABE">
            <w:pPr>
              <w:widowControl/>
              <w:jc w:val="center"/>
              <w:rPr>
                <w:rFonts w:ascii="Arial Narrow" w:hAnsi="Arial Narrow"/>
                <w:b/>
                <w:color w:val="000000"/>
                <w:sz w:val="20"/>
                <w:szCs w:val="18"/>
              </w:rPr>
            </w:pPr>
            <w:r w:rsidRPr="00980C60">
              <w:rPr>
                <w:rFonts w:ascii="Arial Narrow" w:hAnsi="Arial Narrow"/>
                <w:b/>
                <w:color w:val="000000"/>
                <w:sz w:val="20"/>
                <w:szCs w:val="18"/>
              </w:rPr>
              <w:t>Placebo</w:t>
            </w:r>
            <w:r w:rsidR="004A50F8" w:rsidRPr="00980C60">
              <w:rPr>
                <w:rFonts w:ascii="Arial Narrow" w:hAnsi="Arial Narrow"/>
                <w:b/>
                <w:color w:val="000000"/>
                <w:sz w:val="20"/>
                <w:szCs w:val="18"/>
              </w:rPr>
              <w:t xml:space="preserve"> patch</w:t>
            </w:r>
          </w:p>
        </w:tc>
        <w:tc>
          <w:tcPr>
            <w:tcW w:w="797" w:type="pct"/>
            <w:gridSpan w:val="2"/>
            <w:vMerge/>
            <w:vAlign w:val="center"/>
          </w:tcPr>
          <w:p w:rsidR="00D20B5F" w:rsidRPr="00980C60" w:rsidRDefault="00D20B5F" w:rsidP="00F34ABE">
            <w:pPr>
              <w:widowControl/>
              <w:jc w:val="center"/>
              <w:rPr>
                <w:rFonts w:ascii="Arial Narrow" w:hAnsi="Arial Narrow"/>
                <w:b/>
                <w:color w:val="000000"/>
                <w:sz w:val="20"/>
                <w:szCs w:val="18"/>
              </w:rPr>
            </w:pPr>
          </w:p>
        </w:tc>
      </w:tr>
      <w:tr w:rsidR="00D20B5F" w:rsidRPr="00980C60" w:rsidTr="00A37DD9">
        <w:tc>
          <w:tcPr>
            <w:tcW w:w="5000" w:type="pct"/>
            <w:gridSpan w:val="19"/>
            <w:shd w:val="clear" w:color="auto" w:fill="auto"/>
            <w:vAlign w:val="center"/>
          </w:tcPr>
          <w:p w:rsidR="00D20B5F" w:rsidRPr="00980C60" w:rsidRDefault="00D20B5F" w:rsidP="00F34ABE">
            <w:pPr>
              <w:widowControl/>
              <w:rPr>
                <w:rFonts w:ascii="Arial Narrow" w:hAnsi="Arial Narrow"/>
                <w:b/>
                <w:color w:val="000000"/>
                <w:sz w:val="20"/>
                <w:szCs w:val="18"/>
              </w:rPr>
            </w:pPr>
            <w:r w:rsidRPr="00980C60">
              <w:rPr>
                <w:rFonts w:ascii="Arial Narrow" w:hAnsi="Arial Narrow"/>
                <w:b/>
                <w:color w:val="000000"/>
                <w:sz w:val="20"/>
                <w:szCs w:val="18"/>
              </w:rPr>
              <w:t>Treatment-emergent adverse events</w:t>
            </w:r>
          </w:p>
        </w:tc>
      </w:tr>
      <w:tr w:rsidR="00D20B5F" w:rsidRPr="00980C60" w:rsidTr="006231E6">
        <w:tc>
          <w:tcPr>
            <w:tcW w:w="937" w:type="pct"/>
            <w:gridSpan w:val="2"/>
            <w:shd w:val="clear" w:color="auto" w:fill="auto"/>
            <w:vAlign w:val="center"/>
          </w:tcPr>
          <w:p w:rsidR="00D20B5F" w:rsidRPr="00980C60" w:rsidRDefault="008758FD" w:rsidP="00F34ABE">
            <w:pPr>
              <w:widowControl/>
              <w:rPr>
                <w:rFonts w:ascii="Arial Narrow" w:hAnsi="Arial Narrow"/>
                <w:color w:val="000000"/>
                <w:sz w:val="20"/>
                <w:szCs w:val="18"/>
              </w:rPr>
            </w:pPr>
            <w:r w:rsidRPr="00980C60">
              <w:rPr>
                <w:rFonts w:ascii="Arial Narrow" w:hAnsi="Arial Narrow"/>
                <w:color w:val="000000"/>
                <w:sz w:val="20"/>
                <w:szCs w:val="18"/>
              </w:rPr>
              <w:t>Binder (2009)</w:t>
            </w:r>
          </w:p>
        </w:tc>
        <w:tc>
          <w:tcPr>
            <w:tcW w:w="582" w:type="pct"/>
            <w:gridSpan w:val="2"/>
            <w:vAlign w:val="center"/>
          </w:tcPr>
          <w:p w:rsidR="00D20B5F" w:rsidRPr="00980C60" w:rsidRDefault="000E7CE3" w:rsidP="00F34ABE">
            <w:pPr>
              <w:widowControl/>
              <w:jc w:val="center"/>
              <w:rPr>
                <w:rFonts w:ascii="Arial Narrow" w:hAnsi="Arial Narrow"/>
                <w:color w:val="000000"/>
                <w:sz w:val="20"/>
                <w:szCs w:val="18"/>
              </w:rPr>
            </w:pPr>
            <w:r w:rsidRPr="00980C60">
              <w:rPr>
                <w:rFonts w:ascii="Arial Narrow" w:hAnsi="Arial Narrow"/>
                <w:sz w:val="20"/>
              </w:rPr>
              <w:t>2/36</w:t>
            </w:r>
          </w:p>
        </w:tc>
        <w:tc>
          <w:tcPr>
            <w:tcW w:w="606" w:type="pct"/>
            <w:gridSpan w:val="3"/>
            <w:vAlign w:val="center"/>
          </w:tcPr>
          <w:p w:rsidR="00D20B5F" w:rsidRPr="00980C60" w:rsidRDefault="000E7CE3" w:rsidP="00F34ABE">
            <w:pPr>
              <w:widowControl/>
              <w:jc w:val="center"/>
              <w:rPr>
                <w:rFonts w:ascii="Arial Narrow" w:hAnsi="Arial Narrow"/>
                <w:color w:val="000000"/>
                <w:sz w:val="20"/>
                <w:szCs w:val="18"/>
              </w:rPr>
            </w:pPr>
            <w:r w:rsidRPr="00980C60">
              <w:rPr>
                <w:rFonts w:ascii="Arial Narrow" w:hAnsi="Arial Narrow"/>
                <w:color w:val="000000"/>
                <w:sz w:val="20"/>
                <w:szCs w:val="18"/>
              </w:rPr>
              <w:t>1/</w:t>
            </w:r>
            <w:r w:rsidR="00AC5FA3" w:rsidRPr="00980C60">
              <w:rPr>
                <w:rFonts w:ascii="Arial Narrow" w:hAnsi="Arial Narrow"/>
                <w:color w:val="000000"/>
                <w:sz w:val="20"/>
                <w:szCs w:val="18"/>
              </w:rPr>
              <w:t>35</w:t>
            </w:r>
          </w:p>
        </w:tc>
        <w:tc>
          <w:tcPr>
            <w:tcW w:w="817" w:type="pct"/>
            <w:gridSpan w:val="4"/>
            <w:vAlign w:val="center"/>
          </w:tcPr>
          <w:p w:rsidR="00D20B5F" w:rsidRPr="00980C60" w:rsidRDefault="00471752"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c>
          <w:tcPr>
            <w:tcW w:w="633" w:type="pct"/>
            <w:gridSpan w:val="3"/>
            <w:vAlign w:val="center"/>
          </w:tcPr>
          <w:p w:rsidR="00D20B5F" w:rsidRPr="00980C60" w:rsidRDefault="00C33CE2" w:rsidP="00F34ABE">
            <w:pPr>
              <w:widowControl/>
              <w:jc w:val="center"/>
              <w:rPr>
                <w:rFonts w:ascii="Arial Narrow" w:hAnsi="Arial Narrow"/>
                <w:color w:val="000000"/>
                <w:sz w:val="20"/>
                <w:szCs w:val="18"/>
              </w:rPr>
            </w:pPr>
            <w:r w:rsidRPr="00980C60">
              <w:rPr>
                <w:rFonts w:ascii="Arial Narrow" w:hAnsi="Arial Narrow"/>
                <w:color w:val="000000"/>
                <w:sz w:val="20"/>
                <w:szCs w:val="18"/>
              </w:rPr>
              <w:t>5.6</w:t>
            </w:r>
          </w:p>
        </w:tc>
        <w:tc>
          <w:tcPr>
            <w:tcW w:w="635" w:type="pct"/>
            <w:gridSpan w:val="4"/>
            <w:vAlign w:val="center"/>
          </w:tcPr>
          <w:p w:rsidR="00D20B5F" w:rsidRPr="00980C60" w:rsidRDefault="00CA18DB" w:rsidP="00F34ABE">
            <w:pPr>
              <w:widowControl/>
              <w:jc w:val="center"/>
              <w:rPr>
                <w:rFonts w:ascii="Arial Narrow" w:hAnsi="Arial Narrow"/>
                <w:color w:val="000000"/>
                <w:sz w:val="20"/>
                <w:szCs w:val="18"/>
              </w:rPr>
            </w:pPr>
            <w:r w:rsidRPr="00980C60">
              <w:rPr>
                <w:rFonts w:ascii="Arial Narrow" w:hAnsi="Arial Narrow"/>
                <w:sz w:val="20"/>
              </w:rPr>
              <w:t>2.9</w:t>
            </w:r>
          </w:p>
        </w:tc>
        <w:tc>
          <w:tcPr>
            <w:tcW w:w="789" w:type="pct"/>
            <w:vAlign w:val="center"/>
          </w:tcPr>
          <w:p w:rsidR="00D20B5F" w:rsidRPr="00980C60" w:rsidRDefault="00471752"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r>
      <w:tr w:rsidR="00D20B5F" w:rsidRPr="00980C60" w:rsidTr="006231E6">
        <w:tc>
          <w:tcPr>
            <w:tcW w:w="937" w:type="pct"/>
            <w:gridSpan w:val="2"/>
            <w:shd w:val="clear" w:color="auto" w:fill="auto"/>
            <w:vAlign w:val="center"/>
          </w:tcPr>
          <w:p w:rsidR="00D20B5F" w:rsidRPr="00980C60" w:rsidRDefault="008758FD" w:rsidP="00F34ABE">
            <w:pPr>
              <w:widowControl/>
              <w:rPr>
                <w:rFonts w:ascii="Arial Narrow" w:hAnsi="Arial Narrow"/>
                <w:color w:val="000000"/>
                <w:sz w:val="20"/>
                <w:szCs w:val="18"/>
              </w:rPr>
            </w:pPr>
            <w:r w:rsidRPr="00980C60">
              <w:rPr>
                <w:rFonts w:ascii="Arial Narrow" w:hAnsi="Arial Narrow"/>
                <w:color w:val="000000"/>
                <w:sz w:val="20"/>
                <w:szCs w:val="18"/>
              </w:rPr>
              <w:t>Galer (1999)</w:t>
            </w:r>
          </w:p>
        </w:tc>
        <w:tc>
          <w:tcPr>
            <w:tcW w:w="582" w:type="pct"/>
            <w:gridSpan w:val="2"/>
            <w:vAlign w:val="center"/>
          </w:tcPr>
          <w:p w:rsidR="00D20B5F" w:rsidRPr="00980C60" w:rsidRDefault="00827A1A" w:rsidP="00F34ABE">
            <w:pPr>
              <w:widowControl/>
              <w:jc w:val="center"/>
              <w:rPr>
                <w:rFonts w:ascii="Arial Narrow" w:hAnsi="Arial Narrow"/>
                <w:color w:val="000000"/>
                <w:sz w:val="20"/>
                <w:szCs w:val="18"/>
              </w:rPr>
            </w:pPr>
            <w:r w:rsidRPr="00980C60">
              <w:rPr>
                <w:rFonts w:ascii="Arial Narrow" w:hAnsi="Arial Narrow"/>
                <w:sz w:val="20"/>
              </w:rPr>
              <w:t>13/32</w:t>
            </w:r>
          </w:p>
        </w:tc>
        <w:tc>
          <w:tcPr>
            <w:tcW w:w="606" w:type="pct"/>
            <w:gridSpan w:val="3"/>
            <w:vAlign w:val="center"/>
          </w:tcPr>
          <w:p w:rsidR="00D20B5F" w:rsidRPr="00980C60" w:rsidRDefault="00827A1A" w:rsidP="00F34ABE">
            <w:pPr>
              <w:widowControl/>
              <w:jc w:val="center"/>
              <w:rPr>
                <w:rFonts w:ascii="Arial Narrow" w:hAnsi="Arial Narrow"/>
                <w:color w:val="000000"/>
                <w:sz w:val="20"/>
                <w:szCs w:val="18"/>
              </w:rPr>
            </w:pPr>
            <w:r w:rsidRPr="00980C60">
              <w:rPr>
                <w:rFonts w:ascii="Arial Narrow" w:hAnsi="Arial Narrow"/>
                <w:color w:val="000000"/>
                <w:sz w:val="20"/>
                <w:szCs w:val="18"/>
              </w:rPr>
              <w:t>11/32</w:t>
            </w:r>
          </w:p>
        </w:tc>
        <w:tc>
          <w:tcPr>
            <w:tcW w:w="817" w:type="pct"/>
            <w:gridSpan w:val="4"/>
            <w:vAlign w:val="center"/>
          </w:tcPr>
          <w:p w:rsidR="00D20B5F" w:rsidRPr="00980C60" w:rsidRDefault="003D7824" w:rsidP="00F34ABE">
            <w:pPr>
              <w:widowControl/>
              <w:jc w:val="center"/>
              <w:rPr>
                <w:rFonts w:ascii="Arial Narrow" w:hAnsi="Arial Narrow"/>
                <w:color w:val="000000"/>
                <w:sz w:val="20"/>
                <w:szCs w:val="18"/>
              </w:rPr>
            </w:pPr>
            <w:r w:rsidRPr="00980C60">
              <w:rPr>
                <w:rFonts w:ascii="Arial Narrow" w:hAnsi="Arial Narrow"/>
                <w:sz w:val="20"/>
              </w:rPr>
              <w:t>1.18 (0.63, 2.23)</w:t>
            </w:r>
          </w:p>
        </w:tc>
        <w:tc>
          <w:tcPr>
            <w:tcW w:w="633" w:type="pct"/>
            <w:gridSpan w:val="3"/>
            <w:vAlign w:val="center"/>
          </w:tcPr>
          <w:p w:rsidR="00D20B5F" w:rsidRPr="00980C60" w:rsidRDefault="00405ED3" w:rsidP="00F34ABE">
            <w:pPr>
              <w:widowControl/>
              <w:jc w:val="center"/>
              <w:rPr>
                <w:rFonts w:ascii="Arial Narrow" w:hAnsi="Arial Narrow"/>
                <w:color w:val="000000"/>
                <w:sz w:val="20"/>
                <w:szCs w:val="18"/>
              </w:rPr>
            </w:pPr>
            <w:r w:rsidRPr="00980C60">
              <w:rPr>
                <w:rFonts w:ascii="Arial Narrow" w:hAnsi="Arial Narrow"/>
                <w:color w:val="000000"/>
                <w:sz w:val="20"/>
                <w:szCs w:val="18"/>
              </w:rPr>
              <w:t>41</w:t>
            </w:r>
          </w:p>
        </w:tc>
        <w:tc>
          <w:tcPr>
            <w:tcW w:w="635" w:type="pct"/>
            <w:gridSpan w:val="4"/>
            <w:vAlign w:val="center"/>
          </w:tcPr>
          <w:p w:rsidR="00D20B5F" w:rsidRPr="00980C60" w:rsidRDefault="00405ED3" w:rsidP="00F34ABE">
            <w:pPr>
              <w:widowControl/>
              <w:jc w:val="center"/>
              <w:rPr>
                <w:rFonts w:ascii="Arial Narrow" w:hAnsi="Arial Narrow"/>
                <w:color w:val="000000"/>
                <w:sz w:val="20"/>
                <w:szCs w:val="18"/>
              </w:rPr>
            </w:pPr>
            <w:r w:rsidRPr="00980C60">
              <w:rPr>
                <w:rFonts w:ascii="Arial Narrow" w:hAnsi="Arial Narrow"/>
                <w:color w:val="000000"/>
                <w:sz w:val="20"/>
                <w:szCs w:val="18"/>
              </w:rPr>
              <w:t>34</w:t>
            </w:r>
          </w:p>
        </w:tc>
        <w:tc>
          <w:tcPr>
            <w:tcW w:w="789" w:type="pct"/>
            <w:vAlign w:val="center"/>
          </w:tcPr>
          <w:p w:rsidR="00D20B5F" w:rsidRPr="00980C60" w:rsidRDefault="00405ED3"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r>
      <w:tr w:rsidR="008758FD" w:rsidRPr="00980C60" w:rsidTr="006231E6">
        <w:tc>
          <w:tcPr>
            <w:tcW w:w="937" w:type="pct"/>
            <w:gridSpan w:val="2"/>
            <w:shd w:val="clear" w:color="auto" w:fill="auto"/>
            <w:vAlign w:val="center"/>
          </w:tcPr>
          <w:p w:rsidR="008758FD" w:rsidRPr="00980C60" w:rsidRDefault="008758FD" w:rsidP="00F34ABE">
            <w:pPr>
              <w:widowControl/>
              <w:rPr>
                <w:rFonts w:ascii="Arial Narrow" w:hAnsi="Arial Narrow"/>
                <w:color w:val="000000"/>
                <w:sz w:val="20"/>
                <w:szCs w:val="18"/>
              </w:rPr>
            </w:pPr>
            <w:r w:rsidRPr="00980C60">
              <w:rPr>
                <w:rFonts w:ascii="Arial Narrow" w:hAnsi="Arial Narrow"/>
                <w:color w:val="000000"/>
                <w:sz w:val="20"/>
                <w:szCs w:val="18"/>
              </w:rPr>
              <w:t>Galer (2002)</w:t>
            </w:r>
          </w:p>
        </w:tc>
        <w:tc>
          <w:tcPr>
            <w:tcW w:w="582" w:type="pct"/>
            <w:gridSpan w:val="2"/>
            <w:vAlign w:val="center"/>
          </w:tcPr>
          <w:p w:rsidR="008758FD" w:rsidRPr="00980C60" w:rsidRDefault="00504F58"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c>
          <w:tcPr>
            <w:tcW w:w="606" w:type="pct"/>
            <w:gridSpan w:val="3"/>
            <w:vAlign w:val="center"/>
          </w:tcPr>
          <w:p w:rsidR="008758FD" w:rsidRPr="00980C60" w:rsidRDefault="00504F58"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c>
          <w:tcPr>
            <w:tcW w:w="817" w:type="pct"/>
            <w:gridSpan w:val="4"/>
            <w:vAlign w:val="center"/>
          </w:tcPr>
          <w:p w:rsidR="008758FD" w:rsidRPr="00980C60" w:rsidRDefault="00504F58"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c>
          <w:tcPr>
            <w:tcW w:w="633" w:type="pct"/>
            <w:gridSpan w:val="3"/>
            <w:vAlign w:val="center"/>
          </w:tcPr>
          <w:p w:rsidR="008758FD" w:rsidRPr="00980C60" w:rsidRDefault="00504F58"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c>
          <w:tcPr>
            <w:tcW w:w="635" w:type="pct"/>
            <w:gridSpan w:val="4"/>
            <w:vAlign w:val="center"/>
          </w:tcPr>
          <w:p w:rsidR="008758FD" w:rsidRPr="00980C60" w:rsidRDefault="00504F58"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c>
          <w:tcPr>
            <w:tcW w:w="789" w:type="pct"/>
            <w:vAlign w:val="center"/>
          </w:tcPr>
          <w:p w:rsidR="008758FD" w:rsidRPr="00980C60" w:rsidRDefault="00504F58"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r>
      <w:tr w:rsidR="00D20B5F" w:rsidRPr="00980C60" w:rsidTr="00A37DD9">
        <w:tc>
          <w:tcPr>
            <w:tcW w:w="5000" w:type="pct"/>
            <w:gridSpan w:val="19"/>
            <w:shd w:val="clear" w:color="auto" w:fill="auto"/>
            <w:vAlign w:val="center"/>
          </w:tcPr>
          <w:p w:rsidR="00D20B5F" w:rsidRPr="00980C60" w:rsidRDefault="00D20B5F" w:rsidP="00F34ABE">
            <w:pPr>
              <w:widowControl/>
              <w:rPr>
                <w:rFonts w:ascii="Arial Narrow" w:hAnsi="Arial Narrow"/>
                <w:b/>
                <w:color w:val="000000"/>
                <w:sz w:val="20"/>
                <w:szCs w:val="18"/>
              </w:rPr>
            </w:pPr>
            <w:r w:rsidRPr="00980C60">
              <w:rPr>
                <w:rFonts w:ascii="Arial Narrow" w:hAnsi="Arial Narrow"/>
                <w:b/>
                <w:color w:val="000000"/>
                <w:sz w:val="20"/>
                <w:szCs w:val="18"/>
              </w:rPr>
              <w:t>Discontinuation due to adverse event</w:t>
            </w:r>
          </w:p>
        </w:tc>
      </w:tr>
      <w:tr w:rsidR="008758FD" w:rsidRPr="00980C60" w:rsidTr="006231E6">
        <w:tc>
          <w:tcPr>
            <w:tcW w:w="937" w:type="pct"/>
            <w:gridSpan w:val="2"/>
            <w:shd w:val="clear" w:color="auto" w:fill="auto"/>
            <w:vAlign w:val="center"/>
          </w:tcPr>
          <w:p w:rsidR="008758FD" w:rsidRPr="00980C60" w:rsidRDefault="008758FD" w:rsidP="00F34ABE">
            <w:pPr>
              <w:widowControl/>
              <w:rPr>
                <w:rFonts w:ascii="Arial Narrow" w:hAnsi="Arial Narrow"/>
                <w:color w:val="000000"/>
                <w:sz w:val="20"/>
                <w:szCs w:val="18"/>
              </w:rPr>
            </w:pPr>
            <w:r w:rsidRPr="00980C60">
              <w:rPr>
                <w:rFonts w:ascii="Arial Narrow" w:hAnsi="Arial Narrow"/>
                <w:color w:val="000000"/>
                <w:sz w:val="20"/>
                <w:szCs w:val="18"/>
              </w:rPr>
              <w:t>Binder (2009)</w:t>
            </w:r>
          </w:p>
        </w:tc>
        <w:tc>
          <w:tcPr>
            <w:tcW w:w="582" w:type="pct"/>
            <w:gridSpan w:val="2"/>
            <w:vAlign w:val="center"/>
          </w:tcPr>
          <w:p w:rsidR="008758FD" w:rsidRPr="00980C60" w:rsidRDefault="00D44AD1" w:rsidP="00F34ABE">
            <w:pPr>
              <w:widowControl/>
              <w:jc w:val="center"/>
              <w:rPr>
                <w:rFonts w:ascii="Arial Narrow" w:hAnsi="Arial Narrow"/>
                <w:color w:val="000000"/>
                <w:sz w:val="20"/>
                <w:szCs w:val="18"/>
              </w:rPr>
            </w:pPr>
            <w:r w:rsidRPr="00980C60">
              <w:rPr>
                <w:rFonts w:ascii="Arial Narrow" w:hAnsi="Arial Narrow"/>
                <w:color w:val="000000"/>
                <w:sz w:val="20"/>
                <w:szCs w:val="18"/>
              </w:rPr>
              <w:t>0/36</w:t>
            </w:r>
          </w:p>
        </w:tc>
        <w:tc>
          <w:tcPr>
            <w:tcW w:w="606" w:type="pct"/>
            <w:gridSpan w:val="3"/>
            <w:vAlign w:val="center"/>
          </w:tcPr>
          <w:p w:rsidR="008758FD" w:rsidRPr="00980C60" w:rsidRDefault="00D44AD1" w:rsidP="00F34ABE">
            <w:pPr>
              <w:widowControl/>
              <w:jc w:val="center"/>
              <w:rPr>
                <w:rFonts w:ascii="Arial Narrow" w:hAnsi="Arial Narrow"/>
                <w:color w:val="000000"/>
                <w:sz w:val="20"/>
                <w:szCs w:val="18"/>
              </w:rPr>
            </w:pPr>
            <w:r w:rsidRPr="00980C60">
              <w:rPr>
                <w:rFonts w:ascii="Arial Narrow" w:hAnsi="Arial Narrow"/>
                <w:color w:val="000000"/>
                <w:sz w:val="20"/>
                <w:szCs w:val="18"/>
              </w:rPr>
              <w:t>1/35</w:t>
            </w:r>
          </w:p>
        </w:tc>
        <w:tc>
          <w:tcPr>
            <w:tcW w:w="817" w:type="pct"/>
            <w:gridSpan w:val="4"/>
            <w:vAlign w:val="center"/>
          </w:tcPr>
          <w:p w:rsidR="008758FD" w:rsidRPr="00980C60" w:rsidRDefault="00D44AD1" w:rsidP="00F34ABE">
            <w:pPr>
              <w:widowControl/>
              <w:jc w:val="center"/>
              <w:rPr>
                <w:rFonts w:ascii="Arial Narrow" w:hAnsi="Arial Narrow"/>
                <w:sz w:val="20"/>
              </w:rPr>
            </w:pPr>
            <w:r w:rsidRPr="00980C60">
              <w:rPr>
                <w:rFonts w:ascii="Arial Narrow" w:hAnsi="Arial Narrow"/>
                <w:color w:val="000000"/>
                <w:sz w:val="20"/>
                <w:szCs w:val="18"/>
              </w:rPr>
              <w:t>NR</w:t>
            </w:r>
          </w:p>
        </w:tc>
        <w:tc>
          <w:tcPr>
            <w:tcW w:w="633" w:type="pct"/>
            <w:gridSpan w:val="3"/>
            <w:vAlign w:val="center"/>
          </w:tcPr>
          <w:p w:rsidR="008758FD" w:rsidRPr="00980C60" w:rsidRDefault="00F94A88" w:rsidP="00F34ABE">
            <w:pPr>
              <w:widowControl/>
              <w:jc w:val="center"/>
              <w:rPr>
                <w:rFonts w:ascii="Arial Narrow" w:hAnsi="Arial Narrow"/>
                <w:sz w:val="20"/>
              </w:rPr>
            </w:pPr>
            <w:r w:rsidRPr="00980C60">
              <w:rPr>
                <w:rFonts w:ascii="Arial Narrow" w:hAnsi="Arial Narrow"/>
                <w:sz w:val="20"/>
              </w:rPr>
              <w:t>0</w:t>
            </w:r>
          </w:p>
        </w:tc>
        <w:tc>
          <w:tcPr>
            <w:tcW w:w="635" w:type="pct"/>
            <w:gridSpan w:val="4"/>
            <w:vAlign w:val="center"/>
          </w:tcPr>
          <w:p w:rsidR="008758FD" w:rsidRPr="00980C60" w:rsidRDefault="00F94A88" w:rsidP="00F34ABE">
            <w:pPr>
              <w:widowControl/>
              <w:jc w:val="center"/>
              <w:rPr>
                <w:rFonts w:ascii="Arial Narrow" w:hAnsi="Arial Narrow"/>
                <w:sz w:val="20"/>
              </w:rPr>
            </w:pPr>
            <w:r w:rsidRPr="00980C60">
              <w:rPr>
                <w:rFonts w:ascii="Arial Narrow" w:hAnsi="Arial Narrow"/>
                <w:sz w:val="20"/>
              </w:rPr>
              <w:t>2.9</w:t>
            </w:r>
          </w:p>
        </w:tc>
        <w:tc>
          <w:tcPr>
            <w:tcW w:w="789" w:type="pct"/>
            <w:vAlign w:val="center"/>
          </w:tcPr>
          <w:p w:rsidR="008758FD" w:rsidRPr="00980C60" w:rsidRDefault="00F94A88" w:rsidP="00F34ABE">
            <w:pPr>
              <w:widowControl/>
              <w:jc w:val="center"/>
              <w:rPr>
                <w:rFonts w:ascii="Arial Narrow" w:hAnsi="Arial Narrow"/>
                <w:sz w:val="20"/>
              </w:rPr>
            </w:pPr>
            <w:r w:rsidRPr="00980C60">
              <w:rPr>
                <w:rFonts w:ascii="Arial Narrow" w:hAnsi="Arial Narrow"/>
                <w:sz w:val="20"/>
              </w:rPr>
              <w:t>NR</w:t>
            </w:r>
          </w:p>
        </w:tc>
      </w:tr>
      <w:tr w:rsidR="008758FD" w:rsidRPr="00980C60" w:rsidTr="008758FD">
        <w:tc>
          <w:tcPr>
            <w:tcW w:w="937" w:type="pct"/>
            <w:gridSpan w:val="2"/>
            <w:shd w:val="clear" w:color="auto" w:fill="auto"/>
            <w:vAlign w:val="center"/>
          </w:tcPr>
          <w:p w:rsidR="008758FD" w:rsidRPr="00980C60" w:rsidRDefault="008758FD" w:rsidP="00F34ABE">
            <w:pPr>
              <w:widowControl/>
              <w:rPr>
                <w:rFonts w:ascii="Arial Narrow" w:hAnsi="Arial Narrow"/>
                <w:color w:val="000000"/>
                <w:sz w:val="20"/>
                <w:szCs w:val="18"/>
              </w:rPr>
            </w:pPr>
            <w:r w:rsidRPr="00980C60">
              <w:rPr>
                <w:rFonts w:ascii="Arial Narrow" w:hAnsi="Arial Narrow"/>
                <w:color w:val="000000"/>
                <w:sz w:val="20"/>
                <w:szCs w:val="18"/>
              </w:rPr>
              <w:t>Galer (1999)</w:t>
            </w:r>
          </w:p>
        </w:tc>
        <w:tc>
          <w:tcPr>
            <w:tcW w:w="582" w:type="pct"/>
            <w:gridSpan w:val="2"/>
            <w:vAlign w:val="center"/>
          </w:tcPr>
          <w:p w:rsidR="008758FD" w:rsidRPr="00980C60" w:rsidRDefault="00B128A8"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c>
          <w:tcPr>
            <w:tcW w:w="606" w:type="pct"/>
            <w:gridSpan w:val="3"/>
            <w:vAlign w:val="center"/>
          </w:tcPr>
          <w:p w:rsidR="008758FD" w:rsidRPr="00980C60" w:rsidRDefault="00B128A8"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c>
          <w:tcPr>
            <w:tcW w:w="817" w:type="pct"/>
            <w:gridSpan w:val="4"/>
            <w:vAlign w:val="center"/>
          </w:tcPr>
          <w:p w:rsidR="008758FD" w:rsidRPr="00980C60" w:rsidRDefault="00B128A8"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c>
          <w:tcPr>
            <w:tcW w:w="633" w:type="pct"/>
            <w:gridSpan w:val="3"/>
            <w:vAlign w:val="center"/>
          </w:tcPr>
          <w:p w:rsidR="008758FD" w:rsidRPr="00980C60" w:rsidRDefault="00B128A8"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c>
          <w:tcPr>
            <w:tcW w:w="635" w:type="pct"/>
            <w:gridSpan w:val="4"/>
            <w:vAlign w:val="center"/>
          </w:tcPr>
          <w:p w:rsidR="008758FD" w:rsidRPr="00980C60" w:rsidRDefault="00B128A8"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c>
          <w:tcPr>
            <w:tcW w:w="789" w:type="pct"/>
            <w:vAlign w:val="center"/>
          </w:tcPr>
          <w:p w:rsidR="008758FD" w:rsidRPr="00980C60" w:rsidRDefault="00B128A8"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r>
      <w:tr w:rsidR="008758FD" w:rsidRPr="00980C60" w:rsidTr="008758FD">
        <w:tc>
          <w:tcPr>
            <w:tcW w:w="937" w:type="pct"/>
            <w:gridSpan w:val="2"/>
            <w:shd w:val="clear" w:color="auto" w:fill="auto"/>
            <w:vAlign w:val="center"/>
          </w:tcPr>
          <w:p w:rsidR="008758FD" w:rsidRPr="00980C60" w:rsidRDefault="008758FD" w:rsidP="00F34ABE">
            <w:pPr>
              <w:widowControl/>
              <w:rPr>
                <w:rFonts w:ascii="Arial Narrow" w:hAnsi="Arial Narrow"/>
                <w:color w:val="000000"/>
                <w:sz w:val="20"/>
                <w:szCs w:val="18"/>
              </w:rPr>
            </w:pPr>
            <w:r w:rsidRPr="00980C60">
              <w:rPr>
                <w:rFonts w:ascii="Arial Narrow" w:hAnsi="Arial Narrow"/>
                <w:color w:val="000000"/>
                <w:sz w:val="20"/>
                <w:szCs w:val="18"/>
              </w:rPr>
              <w:t>Galer (2002)</w:t>
            </w:r>
          </w:p>
        </w:tc>
        <w:tc>
          <w:tcPr>
            <w:tcW w:w="582" w:type="pct"/>
            <w:gridSpan w:val="2"/>
            <w:vAlign w:val="center"/>
          </w:tcPr>
          <w:p w:rsidR="008758FD" w:rsidRPr="00980C60" w:rsidRDefault="002D5F58" w:rsidP="00F34ABE">
            <w:pPr>
              <w:widowControl/>
              <w:jc w:val="center"/>
              <w:rPr>
                <w:rFonts w:ascii="Arial Narrow" w:hAnsi="Arial Narrow"/>
                <w:color w:val="000000"/>
                <w:sz w:val="20"/>
                <w:szCs w:val="18"/>
              </w:rPr>
            </w:pPr>
            <w:r w:rsidRPr="00980C60">
              <w:rPr>
                <w:rFonts w:ascii="Arial Narrow" w:hAnsi="Arial Narrow"/>
                <w:color w:val="000000"/>
                <w:sz w:val="20"/>
                <w:szCs w:val="18"/>
              </w:rPr>
              <w:t>2/108</w:t>
            </w:r>
          </w:p>
        </w:tc>
        <w:tc>
          <w:tcPr>
            <w:tcW w:w="606" w:type="pct"/>
            <w:gridSpan w:val="3"/>
            <w:vAlign w:val="center"/>
          </w:tcPr>
          <w:p w:rsidR="008758FD" w:rsidRPr="00980C60" w:rsidRDefault="00174D43" w:rsidP="00F34ABE">
            <w:pPr>
              <w:widowControl/>
              <w:jc w:val="center"/>
              <w:rPr>
                <w:rFonts w:ascii="Arial Narrow" w:hAnsi="Arial Narrow"/>
                <w:color w:val="000000"/>
                <w:sz w:val="20"/>
                <w:szCs w:val="18"/>
              </w:rPr>
            </w:pPr>
            <w:r w:rsidRPr="00980C60">
              <w:rPr>
                <w:rFonts w:ascii="Arial Narrow" w:hAnsi="Arial Narrow"/>
                <w:color w:val="000000"/>
                <w:sz w:val="20"/>
                <w:szCs w:val="18"/>
              </w:rPr>
              <w:t>1/53</w:t>
            </w:r>
          </w:p>
        </w:tc>
        <w:tc>
          <w:tcPr>
            <w:tcW w:w="817" w:type="pct"/>
            <w:gridSpan w:val="4"/>
            <w:vAlign w:val="center"/>
          </w:tcPr>
          <w:p w:rsidR="008758FD" w:rsidRPr="00980C60" w:rsidRDefault="00174D43"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c>
          <w:tcPr>
            <w:tcW w:w="633" w:type="pct"/>
            <w:gridSpan w:val="3"/>
            <w:vAlign w:val="center"/>
          </w:tcPr>
          <w:p w:rsidR="008758FD" w:rsidRPr="00980C60" w:rsidRDefault="00F970B7" w:rsidP="00F34ABE">
            <w:pPr>
              <w:widowControl/>
              <w:jc w:val="center"/>
              <w:rPr>
                <w:rFonts w:ascii="Arial Narrow" w:hAnsi="Arial Narrow"/>
                <w:color w:val="000000"/>
                <w:sz w:val="20"/>
                <w:szCs w:val="18"/>
              </w:rPr>
            </w:pPr>
            <w:r w:rsidRPr="00980C60">
              <w:rPr>
                <w:rFonts w:ascii="Arial Narrow" w:hAnsi="Arial Narrow"/>
                <w:color w:val="000000"/>
                <w:sz w:val="20"/>
                <w:szCs w:val="18"/>
              </w:rPr>
              <w:t>1.8</w:t>
            </w:r>
          </w:p>
        </w:tc>
        <w:tc>
          <w:tcPr>
            <w:tcW w:w="635" w:type="pct"/>
            <w:gridSpan w:val="4"/>
            <w:vAlign w:val="center"/>
          </w:tcPr>
          <w:p w:rsidR="008758FD" w:rsidRPr="00980C60" w:rsidRDefault="00F970B7" w:rsidP="00F34ABE">
            <w:pPr>
              <w:widowControl/>
              <w:jc w:val="center"/>
              <w:rPr>
                <w:rFonts w:ascii="Arial Narrow" w:hAnsi="Arial Narrow"/>
                <w:color w:val="000000"/>
                <w:sz w:val="20"/>
                <w:szCs w:val="18"/>
              </w:rPr>
            </w:pPr>
            <w:r w:rsidRPr="00980C60">
              <w:rPr>
                <w:rFonts w:ascii="Arial Narrow" w:hAnsi="Arial Narrow"/>
                <w:color w:val="000000"/>
                <w:sz w:val="20"/>
                <w:szCs w:val="18"/>
              </w:rPr>
              <w:t>1.9</w:t>
            </w:r>
          </w:p>
        </w:tc>
        <w:tc>
          <w:tcPr>
            <w:tcW w:w="789" w:type="pct"/>
            <w:vAlign w:val="center"/>
          </w:tcPr>
          <w:p w:rsidR="008758FD" w:rsidRPr="00980C60" w:rsidRDefault="00174D43" w:rsidP="00F34ABE">
            <w:pPr>
              <w:widowControl/>
              <w:jc w:val="center"/>
              <w:rPr>
                <w:rFonts w:ascii="Arial Narrow" w:hAnsi="Arial Narrow"/>
                <w:color w:val="000000"/>
                <w:sz w:val="20"/>
                <w:szCs w:val="18"/>
              </w:rPr>
            </w:pPr>
            <w:r w:rsidRPr="00980C60">
              <w:rPr>
                <w:rFonts w:ascii="Arial Narrow" w:hAnsi="Arial Narrow"/>
                <w:color w:val="000000"/>
                <w:sz w:val="20"/>
                <w:szCs w:val="18"/>
              </w:rPr>
              <w:t>NR</w:t>
            </w:r>
          </w:p>
        </w:tc>
      </w:tr>
    </w:tbl>
    <w:p w:rsidR="006231E6" w:rsidRDefault="006231E6" w:rsidP="00F34ABE">
      <w:pPr>
        <w:pStyle w:val="TableFooter"/>
        <w:widowControl/>
        <w:ind w:left="709" w:firstLine="11"/>
      </w:pPr>
      <w:r w:rsidRPr="006231E6">
        <w:t>Source: Compiled during the evaluation using data from Tables B.6.17 (p111), B.6.23 (p116), B.6.24 (p116), B.6.25 (p118), B.5.27 (p118) and B.6.30 (p120), and p111 of the submission; p70 of the CSR for Binder (2009)</w:t>
      </w:r>
    </w:p>
    <w:p w:rsidR="00664EC9" w:rsidRPr="0072416F" w:rsidRDefault="00664EC9" w:rsidP="00F34ABE">
      <w:pPr>
        <w:pStyle w:val="TableFooter"/>
        <w:widowControl/>
        <w:ind w:firstLine="720"/>
      </w:pPr>
      <w:r w:rsidRPr="0072416F">
        <w:t xml:space="preserve">Abbreviations: </w:t>
      </w:r>
      <w:r w:rsidR="003359EF">
        <w:t>CO, cross-over;</w:t>
      </w:r>
      <w:r w:rsidR="00471752">
        <w:t xml:space="preserve"> NR, not reported;</w:t>
      </w:r>
      <w:r w:rsidR="003359EF">
        <w:t xml:space="preserve"> </w:t>
      </w:r>
      <w:r w:rsidR="00490B36">
        <w:t>NS, not statistically significant</w:t>
      </w:r>
      <w:r w:rsidRPr="0072416F">
        <w:t>; RD</w:t>
      </w:r>
      <w:r w:rsidR="001403C7">
        <w:t>,</w:t>
      </w:r>
      <w:r w:rsidRPr="0072416F">
        <w:t xml:space="preserve"> </w:t>
      </w:r>
      <w:r w:rsidR="001403C7">
        <w:t>risk difference; RR,</w:t>
      </w:r>
      <w:r w:rsidRPr="0072416F">
        <w:t xml:space="preserve"> risk ratio</w:t>
      </w:r>
    </w:p>
    <w:p w:rsidR="00C62815" w:rsidRDefault="00F629B8" w:rsidP="00F34ABE">
      <w:pPr>
        <w:pStyle w:val="TableFooter"/>
        <w:widowControl/>
        <w:ind w:left="720"/>
      </w:pPr>
      <w:r>
        <w:rPr>
          <w:vertAlign w:val="superscript"/>
        </w:rPr>
        <w:t>a</w:t>
      </w:r>
      <w:r w:rsidR="001403C7">
        <w:rPr>
          <w:vertAlign w:val="superscript"/>
        </w:rPr>
        <w:t xml:space="preserve"> </w:t>
      </w:r>
      <w:r w:rsidR="00C62815" w:rsidRPr="00C62815">
        <w:t>decreased pain relief by ≥2 categories on the 6-item scale (worse, no pain relief, slight, moderate, a lot, complete) on two consecutive treatment days</w:t>
      </w:r>
    </w:p>
    <w:p w:rsidR="00F629B8" w:rsidRDefault="00F629B8" w:rsidP="00F34ABE">
      <w:pPr>
        <w:pStyle w:val="TableFooter"/>
        <w:widowControl/>
        <w:ind w:left="720"/>
      </w:pPr>
      <w:r>
        <w:rPr>
          <w:vertAlign w:val="superscript"/>
        </w:rPr>
        <w:t>b</w:t>
      </w:r>
      <w:r w:rsidR="001403C7">
        <w:rPr>
          <w:vertAlign w:val="superscript"/>
        </w:rPr>
        <w:t xml:space="preserve"> </w:t>
      </w:r>
      <w:r w:rsidR="00091CF2" w:rsidRPr="00091CF2">
        <w:t>adjusted for baseline Short Form McGill Pain Questionnaire (SF-MPQ) sensory sub-scores at randomisation, baseline allodynia and PHN duration</w:t>
      </w:r>
    </w:p>
    <w:p w:rsidR="00F629B8" w:rsidRPr="00F629B8" w:rsidRDefault="00F629B8" w:rsidP="00F34ABE">
      <w:pPr>
        <w:pStyle w:val="TableFooter"/>
        <w:widowControl/>
        <w:ind w:left="720"/>
      </w:pPr>
      <w:r>
        <w:rPr>
          <w:vertAlign w:val="superscript"/>
        </w:rPr>
        <w:t>c</w:t>
      </w:r>
      <w:r>
        <w:t xml:space="preserve"> </w:t>
      </w:r>
      <w:r w:rsidR="00BB7E26" w:rsidRPr="00BB7E26">
        <w:t>Six-point scale: 0 = worse pain, 1 = no change, 2 = slight relief, 3 = moderate relief, 4 = a lot of relief, and 5 = complete relief</w:t>
      </w:r>
    </w:p>
    <w:p w:rsidR="00F629B8" w:rsidRDefault="00F629B8" w:rsidP="00F34ABE">
      <w:pPr>
        <w:pStyle w:val="TableFooter"/>
        <w:widowControl/>
        <w:ind w:left="720"/>
      </w:pPr>
      <w:r w:rsidRPr="00F629B8">
        <w:rPr>
          <w:vertAlign w:val="superscript"/>
        </w:rPr>
        <w:t xml:space="preserve"> </w:t>
      </w:r>
      <w:r>
        <w:rPr>
          <w:vertAlign w:val="superscript"/>
        </w:rPr>
        <w:t>d</w:t>
      </w:r>
      <w:r>
        <w:t xml:space="preserve"> 3 weeks </w:t>
      </w:r>
      <w:r w:rsidR="003201AA">
        <w:t>duration of follow-up</w:t>
      </w:r>
    </w:p>
    <w:p w:rsidR="005656D5" w:rsidRPr="005656D5" w:rsidRDefault="005656D5" w:rsidP="00F34ABE">
      <w:pPr>
        <w:pStyle w:val="TableFooter"/>
        <w:widowControl/>
        <w:ind w:left="720"/>
      </w:pPr>
      <w:r>
        <w:rPr>
          <w:vertAlign w:val="superscript"/>
        </w:rPr>
        <w:t>e</w:t>
      </w:r>
      <w:r>
        <w:t xml:space="preserve"> </w:t>
      </w:r>
      <w:r w:rsidR="00D40BC7">
        <w:t xml:space="preserve">Max 2 weeks of exposure for the enriched withdrawal studies (Binder 2009 and Galer 1999); </w:t>
      </w:r>
      <w:r w:rsidR="00FD7DF3">
        <w:t xml:space="preserve">data from Galer (2002) related to 3-week in-house </w:t>
      </w:r>
      <w:r w:rsidR="00D91C96">
        <w:t>period</w:t>
      </w:r>
    </w:p>
    <w:p w:rsidR="00091CF2" w:rsidRPr="00091CF2" w:rsidRDefault="00091CF2" w:rsidP="00F34ABE">
      <w:pPr>
        <w:pStyle w:val="TableFooter"/>
        <w:widowControl/>
        <w:ind w:left="720"/>
      </w:pPr>
    </w:p>
    <w:p w:rsidR="00AA1084" w:rsidRPr="00AA1084" w:rsidRDefault="00176D71" w:rsidP="00F34ABE">
      <w:pPr>
        <w:pStyle w:val="ListParagraph"/>
        <w:widowControl/>
        <w:numPr>
          <w:ilvl w:val="1"/>
          <w:numId w:val="7"/>
        </w:numPr>
        <w:rPr>
          <w:szCs w:val="22"/>
        </w:rPr>
      </w:pPr>
      <w:r>
        <w:rPr>
          <w:szCs w:val="22"/>
        </w:rPr>
        <w:t xml:space="preserve">On the basis of </w:t>
      </w:r>
      <w:r w:rsidR="00AA1084" w:rsidRPr="00AA1084">
        <w:rPr>
          <w:szCs w:val="22"/>
        </w:rPr>
        <w:t>direct</w:t>
      </w:r>
      <w:r>
        <w:rPr>
          <w:szCs w:val="22"/>
        </w:rPr>
        <w:t xml:space="preserve"> </w:t>
      </w:r>
      <w:r w:rsidR="00AA1084" w:rsidRPr="00AA1084">
        <w:rPr>
          <w:szCs w:val="22"/>
        </w:rPr>
        <w:t xml:space="preserve">evidence presented by the submission, the comparison of </w:t>
      </w:r>
      <w:r w:rsidR="0042157B">
        <w:rPr>
          <w:szCs w:val="22"/>
        </w:rPr>
        <w:t xml:space="preserve">lignocaine patch </w:t>
      </w:r>
      <w:r w:rsidR="00AA1084" w:rsidRPr="00AA1084">
        <w:rPr>
          <w:szCs w:val="22"/>
        </w:rPr>
        <w:t xml:space="preserve">and </w:t>
      </w:r>
      <w:r w:rsidR="0042157B">
        <w:rPr>
          <w:szCs w:val="22"/>
        </w:rPr>
        <w:t xml:space="preserve">placebo </w:t>
      </w:r>
      <w:r w:rsidR="00AA1084" w:rsidRPr="00AA1084">
        <w:rPr>
          <w:szCs w:val="22"/>
        </w:rPr>
        <w:t>resulted in:</w:t>
      </w:r>
    </w:p>
    <w:p w:rsidR="007817BE" w:rsidRDefault="007817BE" w:rsidP="00F34ABE">
      <w:pPr>
        <w:pStyle w:val="ListParagraph"/>
        <w:widowControl/>
        <w:numPr>
          <w:ilvl w:val="0"/>
          <w:numId w:val="22"/>
        </w:numPr>
        <w:rPr>
          <w:szCs w:val="22"/>
        </w:rPr>
      </w:pPr>
      <w:r>
        <w:rPr>
          <w:szCs w:val="22"/>
        </w:rPr>
        <w:t>No differences in the time to exit due to lack of efficacy for 50% of patients for one trial (Binder 2009).</w:t>
      </w:r>
    </w:p>
    <w:p w:rsidR="00AA1084" w:rsidRDefault="00AA1084" w:rsidP="00F34ABE">
      <w:pPr>
        <w:pStyle w:val="ListParagraph"/>
        <w:widowControl/>
        <w:numPr>
          <w:ilvl w:val="0"/>
          <w:numId w:val="22"/>
        </w:numPr>
        <w:rPr>
          <w:szCs w:val="22"/>
        </w:rPr>
      </w:pPr>
      <w:r w:rsidRPr="00AA1084">
        <w:rPr>
          <w:szCs w:val="22"/>
        </w:rPr>
        <w:t xml:space="preserve">Approximately </w:t>
      </w:r>
      <w:r w:rsidR="003A416D">
        <w:rPr>
          <w:szCs w:val="22"/>
        </w:rPr>
        <w:t xml:space="preserve">&gt;10.2 days </w:t>
      </w:r>
      <w:r w:rsidRPr="00AA1084">
        <w:rPr>
          <w:szCs w:val="22"/>
        </w:rPr>
        <w:t xml:space="preserve">difference in </w:t>
      </w:r>
      <w:r w:rsidR="003A416D">
        <w:rPr>
          <w:szCs w:val="22"/>
        </w:rPr>
        <w:t>the time to exit due to lack of efficacy for 50% of patients for one cross-over trial (Galer 1999).</w:t>
      </w:r>
    </w:p>
    <w:p w:rsidR="00AA1084" w:rsidRDefault="00AA1084" w:rsidP="00F34ABE">
      <w:pPr>
        <w:pStyle w:val="ListParagraph"/>
        <w:widowControl/>
        <w:numPr>
          <w:ilvl w:val="0"/>
          <w:numId w:val="23"/>
        </w:numPr>
        <w:rPr>
          <w:szCs w:val="22"/>
        </w:rPr>
      </w:pPr>
      <w:r w:rsidRPr="00AA1084">
        <w:rPr>
          <w:szCs w:val="22"/>
        </w:rPr>
        <w:t>Approximately a 0.</w:t>
      </w:r>
      <w:r w:rsidR="002150AD">
        <w:rPr>
          <w:szCs w:val="22"/>
        </w:rPr>
        <w:t>5</w:t>
      </w:r>
      <w:r w:rsidRPr="00AA1084">
        <w:rPr>
          <w:szCs w:val="22"/>
        </w:rPr>
        <w:t xml:space="preserve"> reduction in </w:t>
      </w:r>
      <w:r w:rsidR="002150AD" w:rsidRPr="002150AD">
        <w:rPr>
          <w:szCs w:val="22"/>
        </w:rPr>
        <w:t>pain relief scale score (6-point categorical scale</w:t>
      </w:r>
      <w:r w:rsidR="002150AD">
        <w:rPr>
          <w:szCs w:val="22"/>
        </w:rPr>
        <w:t xml:space="preserve">) </w:t>
      </w:r>
      <w:r w:rsidRPr="00AA1084">
        <w:rPr>
          <w:szCs w:val="22"/>
        </w:rPr>
        <w:t xml:space="preserve">over a </w:t>
      </w:r>
      <w:r w:rsidR="002150AD">
        <w:rPr>
          <w:szCs w:val="22"/>
        </w:rPr>
        <w:t xml:space="preserve">3 week </w:t>
      </w:r>
      <w:r w:rsidRPr="00AA1084">
        <w:rPr>
          <w:szCs w:val="22"/>
        </w:rPr>
        <w:t>duration of follow-up</w:t>
      </w:r>
      <w:r w:rsidR="002150AD">
        <w:rPr>
          <w:szCs w:val="22"/>
        </w:rPr>
        <w:t>. T</w:t>
      </w:r>
      <w:r w:rsidRPr="00AA1084">
        <w:rPr>
          <w:szCs w:val="22"/>
        </w:rPr>
        <w:t xml:space="preserve">he submission did </w:t>
      </w:r>
      <w:r w:rsidR="00505EC1">
        <w:rPr>
          <w:szCs w:val="22"/>
        </w:rPr>
        <w:t xml:space="preserve">not indicate what difference </w:t>
      </w:r>
      <w:r w:rsidRPr="00AA1084">
        <w:rPr>
          <w:szCs w:val="22"/>
        </w:rPr>
        <w:t>was considere</w:t>
      </w:r>
      <w:r w:rsidR="00D92484">
        <w:rPr>
          <w:szCs w:val="22"/>
        </w:rPr>
        <w:t>d to be clinically meaningful.</w:t>
      </w:r>
    </w:p>
    <w:p w:rsidR="00505EC1" w:rsidRPr="00AA1084" w:rsidRDefault="00505EC1" w:rsidP="00F34ABE">
      <w:pPr>
        <w:pStyle w:val="ListParagraph"/>
        <w:widowControl/>
        <w:ind w:left="1080"/>
        <w:rPr>
          <w:szCs w:val="22"/>
        </w:rPr>
      </w:pPr>
    </w:p>
    <w:p w:rsidR="00664EC9" w:rsidRPr="00AA1084" w:rsidRDefault="008F6E27" w:rsidP="00F34ABE">
      <w:pPr>
        <w:pStyle w:val="ListParagraph"/>
        <w:widowControl/>
        <w:numPr>
          <w:ilvl w:val="1"/>
          <w:numId w:val="7"/>
        </w:numPr>
        <w:rPr>
          <w:szCs w:val="22"/>
        </w:rPr>
      </w:pPr>
      <w:r w:rsidRPr="00505EC1">
        <w:rPr>
          <w:szCs w:val="22"/>
        </w:rPr>
        <w:t xml:space="preserve">On the basis of </w:t>
      </w:r>
      <w:r w:rsidR="00664EC9" w:rsidRPr="00505EC1">
        <w:rPr>
          <w:szCs w:val="22"/>
        </w:rPr>
        <w:t>direct</w:t>
      </w:r>
      <w:r w:rsidRPr="00505EC1">
        <w:rPr>
          <w:szCs w:val="22"/>
        </w:rPr>
        <w:t xml:space="preserve"> </w:t>
      </w:r>
      <w:r w:rsidR="00664EC9" w:rsidRPr="00505EC1">
        <w:rPr>
          <w:szCs w:val="22"/>
        </w:rPr>
        <w:t xml:space="preserve">evidence presented by the submission, for every 100 patients treated with </w:t>
      </w:r>
      <w:r w:rsidRPr="00505EC1">
        <w:rPr>
          <w:szCs w:val="22"/>
        </w:rPr>
        <w:t>lignocaine patch</w:t>
      </w:r>
      <w:r w:rsidR="00664EC9" w:rsidRPr="00505EC1">
        <w:rPr>
          <w:szCs w:val="22"/>
        </w:rPr>
        <w:t xml:space="preserve"> in comparison to </w:t>
      </w:r>
      <w:r w:rsidRPr="00505EC1">
        <w:rPr>
          <w:szCs w:val="22"/>
        </w:rPr>
        <w:t>placebo</w:t>
      </w:r>
      <w:r w:rsidR="0064049E">
        <w:rPr>
          <w:szCs w:val="22"/>
        </w:rPr>
        <w:t>:</w:t>
      </w:r>
    </w:p>
    <w:p w:rsidR="00AA1084" w:rsidRPr="005E2A2E" w:rsidRDefault="00EE69A4" w:rsidP="00F34ABE">
      <w:pPr>
        <w:pStyle w:val="ListParagraph"/>
        <w:widowControl/>
        <w:numPr>
          <w:ilvl w:val="0"/>
          <w:numId w:val="21"/>
        </w:numPr>
        <w:rPr>
          <w:szCs w:val="22"/>
        </w:rPr>
      </w:pPr>
      <w:r>
        <w:rPr>
          <w:szCs w:val="22"/>
        </w:rPr>
        <w:lastRenderedPageBreak/>
        <w:t>There were n</w:t>
      </w:r>
      <w:r w:rsidR="00467515">
        <w:rPr>
          <w:szCs w:val="22"/>
        </w:rPr>
        <w:t xml:space="preserve">o clear differences in </w:t>
      </w:r>
      <w:r w:rsidR="007656EE">
        <w:rPr>
          <w:szCs w:val="22"/>
        </w:rPr>
        <w:t xml:space="preserve">treatment-emergent adverse events (side effects) or </w:t>
      </w:r>
      <w:r w:rsidR="007656EE">
        <w:t>discontinuations due to adverse events (side effects).</w:t>
      </w:r>
    </w:p>
    <w:p w:rsidR="00AA1084" w:rsidRDefault="00AA1084" w:rsidP="00F34ABE">
      <w:pPr>
        <w:pStyle w:val="ListParagraph"/>
        <w:widowControl/>
        <w:ind w:left="1080"/>
        <w:rPr>
          <w:szCs w:val="22"/>
        </w:rPr>
      </w:pPr>
    </w:p>
    <w:p w:rsidR="00A13C80" w:rsidRPr="00BB7EC3" w:rsidRDefault="00A13C80" w:rsidP="00F34ABE">
      <w:pPr>
        <w:pStyle w:val="ListParagraph"/>
        <w:widowControl/>
        <w:ind w:left="709"/>
        <w:rPr>
          <w:i/>
          <w:szCs w:val="22"/>
        </w:rPr>
      </w:pPr>
      <w:r>
        <w:rPr>
          <w:i/>
          <w:szCs w:val="22"/>
        </w:rPr>
        <w:t>For more detail on PBAC’s view, see section 7 “PBAC outcome”</w:t>
      </w:r>
    </w:p>
    <w:p w:rsidR="00A13C80" w:rsidRPr="00AA1084" w:rsidRDefault="00A13C80" w:rsidP="00F34ABE">
      <w:pPr>
        <w:pStyle w:val="ListParagraph"/>
        <w:widowControl/>
        <w:ind w:left="1080"/>
        <w:rPr>
          <w:szCs w:val="22"/>
        </w:rPr>
      </w:pPr>
    </w:p>
    <w:p w:rsidR="00B60939" w:rsidRPr="00FF4023" w:rsidRDefault="00B60939" w:rsidP="00E73BE9">
      <w:pPr>
        <w:pStyle w:val="Heading2"/>
      </w:pPr>
      <w:bookmarkStart w:id="12" w:name="_Toc409512493"/>
      <w:r w:rsidRPr="00FF4023">
        <w:t>Clinical claim</w:t>
      </w:r>
      <w:bookmarkEnd w:id="12"/>
    </w:p>
    <w:p w:rsidR="00B60939" w:rsidRPr="00882085" w:rsidRDefault="00B60939" w:rsidP="00F34ABE">
      <w:pPr>
        <w:widowControl/>
        <w:ind w:left="720" w:hanging="720"/>
        <w:rPr>
          <w:szCs w:val="22"/>
        </w:rPr>
      </w:pPr>
    </w:p>
    <w:p w:rsidR="00B60939" w:rsidRPr="00980C60" w:rsidRDefault="00D16A99" w:rsidP="00F34ABE">
      <w:pPr>
        <w:pStyle w:val="ListParagraph"/>
        <w:widowControl/>
        <w:numPr>
          <w:ilvl w:val="1"/>
          <w:numId w:val="7"/>
        </w:numPr>
        <w:rPr>
          <w:szCs w:val="22"/>
        </w:rPr>
      </w:pPr>
      <w:r w:rsidRPr="00D16A99">
        <w:t xml:space="preserve">The submission described lignocaine patch as at least non-inferior in terms of comparative efficacy (response) but superior in terms of quality of life, and superior in terms of comparative safety compared to pregabalin. </w:t>
      </w:r>
      <w:r w:rsidR="005F07BD" w:rsidRPr="008E3AE6">
        <w:t xml:space="preserve">The </w:t>
      </w:r>
      <w:r w:rsidR="00F46D65" w:rsidRPr="008E3AE6">
        <w:t>ESC considered</w:t>
      </w:r>
      <w:r w:rsidR="00F46D65">
        <w:t xml:space="preserve"> t</w:t>
      </w:r>
      <w:r w:rsidRPr="00980C60">
        <w:t xml:space="preserve">hese claims were not adequately supported. </w:t>
      </w:r>
    </w:p>
    <w:p w:rsidR="00D16A99" w:rsidRPr="00980C60" w:rsidRDefault="00D16A99" w:rsidP="00F34ABE">
      <w:pPr>
        <w:pStyle w:val="ListParagraph"/>
        <w:widowControl/>
        <w:rPr>
          <w:szCs w:val="22"/>
        </w:rPr>
      </w:pPr>
    </w:p>
    <w:p w:rsidR="00D16A99" w:rsidRDefault="00D16A99" w:rsidP="00F34ABE">
      <w:pPr>
        <w:pStyle w:val="ListParagraph"/>
        <w:widowControl/>
        <w:numPr>
          <w:ilvl w:val="1"/>
          <w:numId w:val="7"/>
        </w:numPr>
        <w:rPr>
          <w:szCs w:val="22"/>
        </w:rPr>
      </w:pPr>
      <w:r w:rsidRPr="00980C60">
        <w:rPr>
          <w:szCs w:val="22"/>
        </w:rPr>
        <w:t>The submission described lignocaine patch as superior in terms of comparative efficacy and non-inferior in terms of comparative safety compared to placebo.</w:t>
      </w:r>
      <w:r w:rsidRPr="008E3AE6">
        <w:rPr>
          <w:szCs w:val="22"/>
        </w:rPr>
        <w:t xml:space="preserve"> </w:t>
      </w:r>
      <w:r w:rsidR="005F07BD" w:rsidRPr="008E3AE6">
        <w:rPr>
          <w:szCs w:val="22"/>
        </w:rPr>
        <w:t xml:space="preserve">The </w:t>
      </w:r>
      <w:r w:rsidR="00F46D65" w:rsidRPr="008E3AE6">
        <w:t>ESC considered</w:t>
      </w:r>
      <w:r w:rsidR="00F46D65">
        <w:t xml:space="preserve"> t</w:t>
      </w:r>
      <w:r w:rsidR="00F46D65" w:rsidRPr="00980C60">
        <w:t xml:space="preserve">hese </w:t>
      </w:r>
      <w:r w:rsidRPr="00980C60">
        <w:rPr>
          <w:szCs w:val="22"/>
        </w:rPr>
        <w:t>claims were not adequately supported.</w:t>
      </w:r>
    </w:p>
    <w:p w:rsidR="00AE0CE5" w:rsidRPr="00AE0CE5" w:rsidRDefault="00AE0CE5" w:rsidP="00F34ABE">
      <w:pPr>
        <w:pStyle w:val="ListParagraph"/>
        <w:widowControl/>
        <w:rPr>
          <w:szCs w:val="22"/>
        </w:rPr>
      </w:pPr>
    </w:p>
    <w:p w:rsidR="00AE0CE5" w:rsidRPr="003A78AB" w:rsidRDefault="00AE0CE5" w:rsidP="00F34ABE">
      <w:pPr>
        <w:pStyle w:val="ListParagraph"/>
        <w:widowControl/>
        <w:numPr>
          <w:ilvl w:val="1"/>
          <w:numId w:val="7"/>
        </w:numPr>
        <w:jc w:val="left"/>
        <w:rPr>
          <w:bCs/>
          <w:szCs w:val="22"/>
        </w:rPr>
      </w:pPr>
      <w:r w:rsidRPr="003A78AB">
        <w:rPr>
          <w:bCs/>
          <w:szCs w:val="22"/>
        </w:rPr>
        <w:t>The PBAC considered that the claim</w:t>
      </w:r>
      <w:r w:rsidR="003A78AB">
        <w:rPr>
          <w:bCs/>
          <w:szCs w:val="22"/>
        </w:rPr>
        <w:t>s</w:t>
      </w:r>
      <w:r w:rsidRPr="003A78AB">
        <w:rPr>
          <w:bCs/>
          <w:szCs w:val="22"/>
        </w:rPr>
        <w:t xml:space="preserve"> of non-inferior comparative effectiveness </w:t>
      </w:r>
      <w:r w:rsidR="003A78AB">
        <w:rPr>
          <w:bCs/>
          <w:szCs w:val="22"/>
        </w:rPr>
        <w:t xml:space="preserve">and superior quality of life compared to pregabalin and superior comparative effectiveness compared to placebo were </w:t>
      </w:r>
      <w:r w:rsidRPr="003A78AB">
        <w:rPr>
          <w:bCs/>
          <w:szCs w:val="22"/>
        </w:rPr>
        <w:t>not adequately supported by the data.</w:t>
      </w:r>
    </w:p>
    <w:p w:rsidR="00AE0CE5" w:rsidRPr="003A78AB" w:rsidRDefault="00AE0CE5" w:rsidP="00F34ABE">
      <w:pPr>
        <w:widowControl/>
        <w:jc w:val="left"/>
        <w:rPr>
          <w:bCs/>
          <w:szCs w:val="22"/>
        </w:rPr>
      </w:pPr>
    </w:p>
    <w:p w:rsidR="00AE0CE5" w:rsidRDefault="00AE0CE5" w:rsidP="00F34ABE">
      <w:pPr>
        <w:pStyle w:val="ListParagraph"/>
        <w:widowControl/>
        <w:numPr>
          <w:ilvl w:val="1"/>
          <w:numId w:val="7"/>
        </w:numPr>
        <w:rPr>
          <w:szCs w:val="22"/>
        </w:rPr>
      </w:pPr>
      <w:r w:rsidRPr="003A78AB">
        <w:rPr>
          <w:szCs w:val="22"/>
        </w:rPr>
        <w:t>The PBAC considered that the claim</w:t>
      </w:r>
      <w:r w:rsidR="003A78AB">
        <w:rPr>
          <w:szCs w:val="22"/>
        </w:rPr>
        <w:t>s</w:t>
      </w:r>
      <w:r w:rsidRPr="003A78AB">
        <w:rPr>
          <w:szCs w:val="22"/>
        </w:rPr>
        <w:t xml:space="preserve"> of superior comparative safety </w:t>
      </w:r>
      <w:r w:rsidR="003A78AB">
        <w:rPr>
          <w:szCs w:val="22"/>
        </w:rPr>
        <w:t xml:space="preserve">compared to pregabalin and non-inferior safety compared with placebo were </w:t>
      </w:r>
      <w:r w:rsidRPr="003A78AB">
        <w:rPr>
          <w:szCs w:val="22"/>
        </w:rPr>
        <w:t>not adequately supported by the data.</w:t>
      </w:r>
    </w:p>
    <w:p w:rsidR="00CC2E24" w:rsidRPr="00CC2E24" w:rsidRDefault="00CC2E24" w:rsidP="00CC2E24">
      <w:pPr>
        <w:pStyle w:val="ListParagraph"/>
        <w:rPr>
          <w:szCs w:val="22"/>
        </w:rPr>
      </w:pPr>
    </w:p>
    <w:p w:rsidR="00CC2E24" w:rsidRPr="00BB7EC3" w:rsidRDefault="00CC2E24" w:rsidP="00CC2E24">
      <w:pPr>
        <w:pStyle w:val="ListParagraph"/>
        <w:widowControl/>
        <w:ind w:left="709"/>
        <w:rPr>
          <w:i/>
          <w:szCs w:val="22"/>
        </w:rPr>
      </w:pPr>
      <w:r>
        <w:rPr>
          <w:i/>
          <w:szCs w:val="22"/>
        </w:rPr>
        <w:t>For more detail on PBAC’s view, see section 7 “PBAC outcome”</w:t>
      </w:r>
    </w:p>
    <w:p w:rsidR="00CC2E24" w:rsidRPr="003A78AB" w:rsidRDefault="00CC2E24" w:rsidP="00CC2E24">
      <w:pPr>
        <w:pStyle w:val="ListParagraph"/>
        <w:widowControl/>
        <w:rPr>
          <w:szCs w:val="22"/>
        </w:rPr>
      </w:pPr>
    </w:p>
    <w:p w:rsidR="00A13C80" w:rsidRPr="00882085" w:rsidRDefault="00A13C80" w:rsidP="00F34ABE">
      <w:pPr>
        <w:widowControl/>
        <w:ind w:left="720" w:hanging="720"/>
        <w:rPr>
          <w:szCs w:val="22"/>
        </w:rPr>
      </w:pPr>
    </w:p>
    <w:p w:rsidR="00B60939" w:rsidRPr="00FF4023" w:rsidRDefault="00B60939" w:rsidP="00E73BE9">
      <w:pPr>
        <w:pStyle w:val="Heading2"/>
      </w:pPr>
      <w:bookmarkStart w:id="13" w:name="_Toc409512494"/>
      <w:r w:rsidRPr="00FF4023">
        <w:t>Economic analysis</w:t>
      </w:r>
      <w:bookmarkEnd w:id="13"/>
    </w:p>
    <w:p w:rsidR="00B60939" w:rsidRPr="00015352" w:rsidRDefault="00B60939" w:rsidP="00F34ABE">
      <w:pPr>
        <w:widowControl/>
        <w:ind w:left="720" w:hanging="720"/>
        <w:rPr>
          <w:szCs w:val="22"/>
        </w:rPr>
      </w:pPr>
    </w:p>
    <w:p w:rsidR="00DD0B9F" w:rsidRPr="00C57381" w:rsidRDefault="00DD0B9F" w:rsidP="00F34ABE">
      <w:pPr>
        <w:pStyle w:val="ListParagraph"/>
        <w:widowControl/>
        <w:numPr>
          <w:ilvl w:val="1"/>
          <w:numId w:val="7"/>
        </w:numPr>
        <w:rPr>
          <w:szCs w:val="22"/>
        </w:rPr>
      </w:pPr>
      <w:r w:rsidRPr="00015352">
        <w:t xml:space="preserve">The submission presented a modelled economic analysis. </w:t>
      </w:r>
      <w:r w:rsidR="00F31AB0" w:rsidRPr="00015352">
        <w:t xml:space="preserve">The type of economic evaluation presented was a cost-utility analysis. </w:t>
      </w:r>
      <w:r w:rsidRPr="00980C60">
        <w:t>This was not consistent with the clinical evidence, as the clinical claims were inadequately supported. The economic evaluation also modelled superior efficacy in terms of pain management (i.e. more pregabalin-treated patients required additional therapy d</w:t>
      </w:r>
      <w:r w:rsidR="00F31AB0" w:rsidRPr="00980C60">
        <w:t>ue to lack of efficacy), which wa</w:t>
      </w:r>
      <w:r w:rsidRPr="00980C60">
        <w:t>s inconsistent with the clinical claim of at least non-inferior efficac</w:t>
      </w:r>
      <w:r w:rsidR="00A95791" w:rsidRPr="00980C60">
        <w:t>y</w:t>
      </w:r>
      <w:r w:rsidR="00C57381" w:rsidRPr="00980C60">
        <w:t>.</w:t>
      </w:r>
    </w:p>
    <w:p w:rsidR="00C57381" w:rsidRPr="00C57381" w:rsidRDefault="00C57381" w:rsidP="00F34ABE">
      <w:pPr>
        <w:pStyle w:val="ListParagraph"/>
        <w:widowControl/>
        <w:rPr>
          <w:szCs w:val="22"/>
        </w:rPr>
      </w:pPr>
    </w:p>
    <w:p w:rsidR="003C4819" w:rsidRDefault="003F58E2" w:rsidP="00F34ABE">
      <w:pPr>
        <w:pStyle w:val="ListParagraph"/>
        <w:widowControl/>
        <w:numPr>
          <w:ilvl w:val="1"/>
          <w:numId w:val="7"/>
        </w:numPr>
        <w:rPr>
          <w:szCs w:val="22"/>
        </w:rPr>
      </w:pPr>
      <w:r w:rsidRPr="003F58E2">
        <w:rPr>
          <w:szCs w:val="22"/>
        </w:rPr>
        <w:t xml:space="preserve">The model </w:t>
      </w:r>
      <w:r>
        <w:rPr>
          <w:szCs w:val="22"/>
        </w:rPr>
        <w:t>compared</w:t>
      </w:r>
      <w:r w:rsidRPr="003F58E2">
        <w:rPr>
          <w:szCs w:val="22"/>
        </w:rPr>
        <w:t xml:space="preserve"> treatment algorithms where lignocaine patch was PBS listed to an algorithm where lignocaine patch was not.</w:t>
      </w:r>
      <w:r w:rsidR="00C4655B">
        <w:rPr>
          <w:szCs w:val="22"/>
        </w:rPr>
        <w:t xml:space="preserve"> Therefore, t</w:t>
      </w:r>
      <w:r w:rsidR="00C4655B" w:rsidRPr="00C4655B">
        <w:rPr>
          <w:szCs w:val="22"/>
        </w:rPr>
        <w:t>he model had a mix of ‘treatment’ states and health states</w:t>
      </w:r>
      <w:r w:rsidR="00AE3A97">
        <w:rPr>
          <w:szCs w:val="22"/>
        </w:rPr>
        <w:t xml:space="preserve">. The model </w:t>
      </w:r>
      <w:r w:rsidR="009B7947">
        <w:rPr>
          <w:szCs w:val="22"/>
        </w:rPr>
        <w:t>considered</w:t>
      </w:r>
      <w:r w:rsidR="006F4F94">
        <w:rPr>
          <w:szCs w:val="22"/>
        </w:rPr>
        <w:t xml:space="preserve"> the two alternative PBS</w:t>
      </w:r>
      <w:r w:rsidR="006F4F94">
        <w:rPr>
          <w:szCs w:val="22"/>
        </w:rPr>
        <w:noBreakHyphen/>
      </w:r>
      <w:r w:rsidR="009B7947">
        <w:rPr>
          <w:szCs w:val="22"/>
        </w:rPr>
        <w:t xml:space="preserve">restrictions as separate arms. </w:t>
      </w:r>
      <w:r w:rsidR="00AE3A97">
        <w:rPr>
          <w:szCs w:val="22"/>
        </w:rPr>
        <w:t>The same main comparator arm was used.</w:t>
      </w:r>
      <w:r w:rsidR="008E4A4E">
        <w:rPr>
          <w:szCs w:val="22"/>
        </w:rPr>
        <w:t xml:space="preserve"> </w:t>
      </w:r>
    </w:p>
    <w:p w:rsidR="003C4819" w:rsidRPr="003C4819" w:rsidRDefault="003C4819" w:rsidP="00F34ABE">
      <w:pPr>
        <w:pStyle w:val="ListParagraph"/>
        <w:widowControl/>
        <w:rPr>
          <w:szCs w:val="22"/>
        </w:rPr>
      </w:pPr>
    </w:p>
    <w:p w:rsidR="000411DE" w:rsidRPr="000411DE" w:rsidRDefault="008E4A4E" w:rsidP="00F34ABE">
      <w:pPr>
        <w:pStyle w:val="ListParagraph"/>
        <w:widowControl/>
        <w:numPr>
          <w:ilvl w:val="1"/>
          <w:numId w:val="7"/>
        </w:numPr>
        <w:rPr>
          <w:szCs w:val="22"/>
        </w:rPr>
      </w:pPr>
      <w:r>
        <w:rPr>
          <w:szCs w:val="22"/>
        </w:rPr>
        <w:t xml:space="preserve">All patients started the model </w:t>
      </w:r>
      <w:r w:rsidR="00295C5C">
        <w:rPr>
          <w:szCs w:val="22"/>
        </w:rPr>
        <w:t>o</w:t>
      </w:r>
      <w:r>
        <w:rPr>
          <w:szCs w:val="22"/>
        </w:rPr>
        <w:t>n</w:t>
      </w:r>
      <w:r w:rsidR="009C009B">
        <w:rPr>
          <w:szCs w:val="22"/>
        </w:rPr>
        <w:t xml:space="preserve"> lignocaine </w:t>
      </w:r>
      <w:r w:rsidR="00F407A8">
        <w:rPr>
          <w:szCs w:val="22"/>
        </w:rPr>
        <w:t xml:space="preserve">patch </w:t>
      </w:r>
      <w:r w:rsidR="009C009B">
        <w:rPr>
          <w:szCs w:val="22"/>
        </w:rPr>
        <w:t xml:space="preserve">for </w:t>
      </w:r>
      <w:r w:rsidR="00910CD6">
        <w:rPr>
          <w:szCs w:val="22"/>
        </w:rPr>
        <w:t>Option 1;</w:t>
      </w:r>
      <w:r w:rsidR="00DA1232">
        <w:rPr>
          <w:szCs w:val="22"/>
        </w:rPr>
        <w:t xml:space="preserve"> and on pregabalin for Option 2 and the main comparator arm</w:t>
      </w:r>
      <w:r w:rsidR="006B6B40">
        <w:rPr>
          <w:szCs w:val="22"/>
        </w:rPr>
        <w:t>s</w:t>
      </w:r>
      <w:r w:rsidR="00DA1232">
        <w:rPr>
          <w:szCs w:val="22"/>
        </w:rPr>
        <w:t xml:space="preserve">. </w:t>
      </w:r>
      <w:r w:rsidR="00401BD3">
        <w:t xml:space="preserve">Subsequently, patients in the ‘initial pregabalin’ or ‘initial lignocaine patch’ states switch treatment states due to adverse events or add therapy due to lack of efficacy </w:t>
      </w:r>
      <w:r w:rsidR="00A2677A">
        <w:t>(</w:t>
      </w:r>
      <w:r w:rsidR="00401BD3">
        <w:t>based on the availability of lignocaine patch and pregabalin</w:t>
      </w:r>
      <w:r w:rsidR="00A2677A">
        <w:t>)</w:t>
      </w:r>
      <w:r w:rsidR="00401BD3">
        <w:t>.</w:t>
      </w:r>
      <w:r w:rsidR="00A769A6">
        <w:t xml:space="preserve"> </w:t>
      </w:r>
    </w:p>
    <w:p w:rsidR="000411DE" w:rsidRDefault="000411DE" w:rsidP="000411DE">
      <w:pPr>
        <w:pStyle w:val="ListParagraph"/>
      </w:pPr>
    </w:p>
    <w:p w:rsidR="00C57381" w:rsidRDefault="00A769A6" w:rsidP="000411DE">
      <w:pPr>
        <w:pStyle w:val="ListParagraph"/>
        <w:widowControl/>
        <w:rPr>
          <w:szCs w:val="22"/>
        </w:rPr>
      </w:pPr>
      <w:r>
        <w:t xml:space="preserve">Patients in the main comparator arm were able to add best supportive care to pregabalin, but </w:t>
      </w:r>
      <w:r w:rsidR="00CE30AC">
        <w:t>a</w:t>
      </w:r>
      <w:r>
        <w:t xml:space="preserve"> corresponding treatment state was not available for </w:t>
      </w:r>
      <w:r w:rsidR="00711748">
        <w:t>lignocaine patch</w:t>
      </w:r>
      <w:r w:rsidR="00931555">
        <w:t xml:space="preserve"> treatment states</w:t>
      </w:r>
      <w:r w:rsidR="00711748">
        <w:t xml:space="preserve">. </w:t>
      </w:r>
      <w:r w:rsidR="00E1787B" w:rsidRPr="00E1787B">
        <w:t xml:space="preserve">Patients in a subsequent-line </w:t>
      </w:r>
      <w:r w:rsidR="00925A58">
        <w:t>treatment</w:t>
      </w:r>
      <w:r w:rsidR="00E1787B" w:rsidRPr="00E1787B">
        <w:t xml:space="preserve"> state (switched from</w:t>
      </w:r>
      <w:r w:rsidR="00E1787B">
        <w:t xml:space="preserve"> </w:t>
      </w:r>
      <w:r w:rsidR="00E1787B">
        <w:lastRenderedPageBreak/>
        <w:t xml:space="preserve">or added to initial </w:t>
      </w:r>
      <w:r w:rsidR="00E1787B" w:rsidRPr="00E1787B">
        <w:t>treatment) who discontinue</w:t>
      </w:r>
      <w:r w:rsidR="005346FF">
        <w:t>d</w:t>
      </w:r>
      <w:r w:rsidR="00E1787B" w:rsidRPr="00E1787B">
        <w:t xml:space="preserve"> irrespective of reason switch to best supportive care.</w:t>
      </w:r>
    </w:p>
    <w:p w:rsidR="00C457ED" w:rsidRPr="00C457ED" w:rsidRDefault="00C457ED" w:rsidP="00F34ABE">
      <w:pPr>
        <w:pStyle w:val="ListParagraph"/>
        <w:widowControl/>
        <w:rPr>
          <w:szCs w:val="22"/>
        </w:rPr>
      </w:pPr>
    </w:p>
    <w:p w:rsidR="00C457ED" w:rsidRPr="000E776E" w:rsidRDefault="000E776E" w:rsidP="00F34ABE">
      <w:pPr>
        <w:pStyle w:val="ListParagraph"/>
        <w:widowControl/>
        <w:numPr>
          <w:ilvl w:val="1"/>
          <w:numId w:val="7"/>
        </w:numPr>
        <w:rPr>
          <w:szCs w:val="22"/>
        </w:rPr>
      </w:pPr>
      <w:r w:rsidRPr="00C457ED">
        <w:rPr>
          <w:szCs w:val="22"/>
        </w:rPr>
        <w:t xml:space="preserve">Net benefits in the lignocaine patch arms (Option 1 and Option 2) were achieved through having fewer patients in the treatment states with lower </w:t>
      </w:r>
      <w:r w:rsidR="00B560D8">
        <w:rPr>
          <w:szCs w:val="22"/>
        </w:rPr>
        <w:t>utility</w:t>
      </w:r>
      <w:r w:rsidRPr="00C457ED">
        <w:rPr>
          <w:szCs w:val="22"/>
        </w:rPr>
        <w:t xml:space="preserve"> values, including ‘</w:t>
      </w:r>
      <w:r w:rsidR="00D1495D">
        <w:rPr>
          <w:szCs w:val="22"/>
        </w:rPr>
        <w:t xml:space="preserve">initial </w:t>
      </w:r>
      <w:r w:rsidRPr="00C457ED">
        <w:rPr>
          <w:szCs w:val="22"/>
        </w:rPr>
        <w:t xml:space="preserve">pregabalin’ for </w:t>
      </w:r>
      <w:r w:rsidR="00182A2D">
        <w:rPr>
          <w:szCs w:val="22"/>
        </w:rPr>
        <w:t>two</w:t>
      </w:r>
      <w:r w:rsidRPr="00C457ED">
        <w:rPr>
          <w:szCs w:val="22"/>
        </w:rPr>
        <w:t xml:space="preserve"> cycles (due to the assumption of gradual utility gain), ‘best supportive care’ and ‘pregabalin plus best supportive care’.</w:t>
      </w:r>
    </w:p>
    <w:p w:rsidR="00A95791" w:rsidRPr="00A95791" w:rsidRDefault="00A95791" w:rsidP="00F34ABE">
      <w:pPr>
        <w:pStyle w:val="ListParagraph"/>
        <w:widowControl/>
        <w:rPr>
          <w:szCs w:val="22"/>
        </w:rPr>
      </w:pPr>
    </w:p>
    <w:p w:rsidR="00A95791" w:rsidRPr="007356A8" w:rsidRDefault="00A95791" w:rsidP="00F34ABE">
      <w:pPr>
        <w:pStyle w:val="ListParagraph"/>
        <w:keepNext/>
        <w:widowControl/>
        <w:rPr>
          <w:rStyle w:val="CommentReference"/>
          <w:rFonts w:ascii="Arial" w:hAnsi="Arial"/>
          <w:b w:val="0"/>
          <w:sz w:val="22"/>
          <w:szCs w:val="22"/>
        </w:rPr>
      </w:pPr>
      <w:r w:rsidRPr="00A56B6A">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structure"/>
      </w:tblPr>
      <w:tblGrid>
        <w:gridCol w:w="1701"/>
        <w:gridCol w:w="6644"/>
      </w:tblGrid>
      <w:tr w:rsidR="00A95791" w:rsidRPr="00E2771E" w:rsidTr="00B66DE7">
        <w:trPr>
          <w:tblHeader/>
        </w:trPr>
        <w:tc>
          <w:tcPr>
            <w:tcW w:w="1019" w:type="pct"/>
            <w:shd w:val="clear" w:color="auto" w:fill="auto"/>
            <w:vAlign w:val="center"/>
          </w:tcPr>
          <w:p w:rsidR="00A95791" w:rsidRPr="00E2771E" w:rsidRDefault="00A95791" w:rsidP="00F34ABE">
            <w:pPr>
              <w:keepNext/>
              <w:widowControl/>
              <w:jc w:val="left"/>
              <w:rPr>
                <w:rFonts w:ascii="Arial Narrow" w:hAnsi="Arial Narrow"/>
                <w:b/>
                <w:sz w:val="20"/>
              </w:rPr>
            </w:pPr>
            <w:r w:rsidRPr="00E2771E">
              <w:rPr>
                <w:rFonts w:ascii="Arial Narrow" w:hAnsi="Arial Narrow"/>
                <w:b/>
                <w:sz w:val="20"/>
              </w:rPr>
              <w:t>Component</w:t>
            </w:r>
          </w:p>
        </w:tc>
        <w:tc>
          <w:tcPr>
            <w:tcW w:w="3981" w:type="pct"/>
            <w:shd w:val="clear" w:color="auto" w:fill="auto"/>
            <w:vAlign w:val="center"/>
          </w:tcPr>
          <w:p w:rsidR="00A95791" w:rsidRPr="00E2771E" w:rsidRDefault="00A95791" w:rsidP="00F34ABE">
            <w:pPr>
              <w:keepNext/>
              <w:widowControl/>
              <w:jc w:val="center"/>
              <w:rPr>
                <w:rFonts w:ascii="Arial Narrow" w:hAnsi="Arial Narrow"/>
                <w:b/>
                <w:sz w:val="20"/>
              </w:rPr>
            </w:pPr>
            <w:r w:rsidRPr="00E2771E">
              <w:rPr>
                <w:rFonts w:ascii="Arial Narrow" w:hAnsi="Arial Narrow"/>
                <w:b/>
                <w:sz w:val="20"/>
              </w:rPr>
              <w:t>Summary</w:t>
            </w:r>
          </w:p>
        </w:tc>
      </w:tr>
      <w:tr w:rsidR="00A95791" w:rsidRPr="00E2771E" w:rsidTr="00B66DE7">
        <w:tc>
          <w:tcPr>
            <w:tcW w:w="1019" w:type="pct"/>
            <w:shd w:val="clear" w:color="auto" w:fill="auto"/>
          </w:tcPr>
          <w:p w:rsidR="00A95791" w:rsidRPr="00E2771E" w:rsidRDefault="00A95791" w:rsidP="00F34ABE">
            <w:pPr>
              <w:keepNext/>
              <w:widowControl/>
              <w:jc w:val="left"/>
              <w:rPr>
                <w:rFonts w:ascii="Arial Narrow" w:hAnsi="Arial Narrow"/>
                <w:sz w:val="20"/>
              </w:rPr>
            </w:pPr>
            <w:r w:rsidRPr="00A528E8">
              <w:rPr>
                <w:rFonts w:ascii="Arial Narrow" w:hAnsi="Arial Narrow"/>
                <w:sz w:val="20"/>
              </w:rPr>
              <w:t>Time horizon</w:t>
            </w:r>
          </w:p>
        </w:tc>
        <w:tc>
          <w:tcPr>
            <w:tcW w:w="3981" w:type="pct"/>
            <w:shd w:val="clear" w:color="auto" w:fill="auto"/>
          </w:tcPr>
          <w:p w:rsidR="00A95791" w:rsidRPr="00E2771E" w:rsidRDefault="00A95791" w:rsidP="00F34ABE">
            <w:pPr>
              <w:keepNext/>
              <w:widowControl/>
              <w:jc w:val="left"/>
              <w:rPr>
                <w:rFonts w:ascii="Arial Narrow" w:hAnsi="Arial Narrow"/>
                <w:sz w:val="20"/>
              </w:rPr>
            </w:pPr>
            <w:r w:rsidRPr="00A528E8">
              <w:rPr>
                <w:rFonts w:ascii="Arial Narrow" w:hAnsi="Arial Narrow"/>
                <w:sz w:val="20"/>
              </w:rPr>
              <w:t xml:space="preserve">5 years in the model base case versus 4 weeks of a </w:t>
            </w:r>
            <w:r>
              <w:rPr>
                <w:rFonts w:ascii="Arial Narrow" w:hAnsi="Arial Narrow"/>
                <w:sz w:val="20"/>
              </w:rPr>
              <w:t xml:space="preserve">randomised </w:t>
            </w:r>
            <w:r w:rsidRPr="00A528E8">
              <w:rPr>
                <w:rFonts w:ascii="Arial Narrow" w:hAnsi="Arial Narrow"/>
                <w:sz w:val="20"/>
              </w:rPr>
              <w:t xml:space="preserve">comparative phase with a </w:t>
            </w:r>
            <w:r>
              <w:rPr>
                <w:rFonts w:ascii="Arial Narrow" w:hAnsi="Arial Narrow"/>
                <w:sz w:val="20"/>
              </w:rPr>
              <w:t xml:space="preserve">subsequent non-randomised </w:t>
            </w:r>
            <w:r w:rsidRPr="00A528E8">
              <w:rPr>
                <w:rFonts w:ascii="Arial Narrow" w:hAnsi="Arial Narrow"/>
                <w:sz w:val="20"/>
              </w:rPr>
              <w:t>8 week combination phase in the trial</w:t>
            </w:r>
          </w:p>
        </w:tc>
      </w:tr>
      <w:tr w:rsidR="00A95791" w:rsidRPr="00E2771E" w:rsidTr="00B66DE7">
        <w:tc>
          <w:tcPr>
            <w:tcW w:w="1019" w:type="pct"/>
            <w:shd w:val="clear" w:color="auto" w:fill="auto"/>
          </w:tcPr>
          <w:p w:rsidR="00A95791" w:rsidRPr="00E2771E" w:rsidRDefault="00A95791" w:rsidP="00F34ABE">
            <w:pPr>
              <w:keepNext/>
              <w:widowControl/>
              <w:jc w:val="left"/>
              <w:rPr>
                <w:rFonts w:ascii="Arial Narrow" w:hAnsi="Arial Narrow"/>
                <w:sz w:val="20"/>
              </w:rPr>
            </w:pPr>
            <w:r w:rsidRPr="00A528E8">
              <w:rPr>
                <w:rFonts w:ascii="Arial Narrow" w:hAnsi="Arial Narrow"/>
                <w:sz w:val="20"/>
              </w:rPr>
              <w:t>Outcomes</w:t>
            </w:r>
          </w:p>
        </w:tc>
        <w:tc>
          <w:tcPr>
            <w:tcW w:w="3981" w:type="pct"/>
            <w:shd w:val="clear" w:color="auto" w:fill="auto"/>
          </w:tcPr>
          <w:p w:rsidR="00A95791" w:rsidRPr="00E2771E" w:rsidRDefault="00A95791" w:rsidP="00F34ABE">
            <w:pPr>
              <w:keepNext/>
              <w:widowControl/>
              <w:jc w:val="left"/>
              <w:rPr>
                <w:rFonts w:ascii="Arial Narrow" w:hAnsi="Arial Narrow"/>
                <w:sz w:val="20"/>
              </w:rPr>
            </w:pPr>
            <w:r w:rsidRPr="00A528E8">
              <w:rPr>
                <w:rFonts w:ascii="Arial Narrow" w:hAnsi="Arial Narrow"/>
                <w:sz w:val="20"/>
              </w:rPr>
              <w:t>Quality adjusted life years (QALYs)</w:t>
            </w:r>
          </w:p>
        </w:tc>
      </w:tr>
      <w:tr w:rsidR="00A95791" w:rsidRPr="00E2771E" w:rsidTr="00B66DE7">
        <w:tc>
          <w:tcPr>
            <w:tcW w:w="1019" w:type="pct"/>
            <w:shd w:val="clear" w:color="auto" w:fill="auto"/>
          </w:tcPr>
          <w:p w:rsidR="00A95791" w:rsidRPr="00E2771E" w:rsidRDefault="00A95791" w:rsidP="00F34ABE">
            <w:pPr>
              <w:keepNext/>
              <w:widowControl/>
              <w:jc w:val="left"/>
              <w:rPr>
                <w:rFonts w:ascii="Arial Narrow" w:hAnsi="Arial Narrow"/>
                <w:sz w:val="20"/>
              </w:rPr>
            </w:pPr>
            <w:r w:rsidRPr="00A528E8">
              <w:rPr>
                <w:rFonts w:ascii="Arial Narrow" w:hAnsi="Arial Narrow"/>
                <w:sz w:val="20"/>
              </w:rPr>
              <w:t>Methods used to generate results</w:t>
            </w:r>
          </w:p>
        </w:tc>
        <w:tc>
          <w:tcPr>
            <w:tcW w:w="3981" w:type="pct"/>
            <w:shd w:val="clear" w:color="auto" w:fill="auto"/>
          </w:tcPr>
          <w:p w:rsidR="00A95791" w:rsidRPr="00E2771E" w:rsidRDefault="00A95791" w:rsidP="00F34ABE">
            <w:pPr>
              <w:keepNext/>
              <w:widowControl/>
              <w:jc w:val="left"/>
              <w:rPr>
                <w:rFonts w:ascii="Arial Narrow" w:hAnsi="Arial Narrow"/>
                <w:sz w:val="20"/>
              </w:rPr>
            </w:pPr>
            <w:r w:rsidRPr="00A528E8">
              <w:rPr>
                <w:rFonts w:ascii="Arial Narrow" w:hAnsi="Arial Narrow"/>
                <w:sz w:val="20"/>
              </w:rPr>
              <w:t>Markov cohort expected value analysis</w:t>
            </w:r>
            <w:r>
              <w:rPr>
                <w:rFonts w:ascii="Arial Narrow" w:hAnsi="Arial Narrow"/>
                <w:sz w:val="20"/>
              </w:rPr>
              <w:t>. ‘Tunnel’ states used to maintain ‘memory’ of duration in a particular treatment state.</w:t>
            </w:r>
          </w:p>
        </w:tc>
      </w:tr>
      <w:tr w:rsidR="00A95791" w:rsidRPr="00E2771E" w:rsidTr="00B66DE7">
        <w:tc>
          <w:tcPr>
            <w:tcW w:w="1019" w:type="pct"/>
            <w:shd w:val="clear" w:color="auto" w:fill="auto"/>
          </w:tcPr>
          <w:p w:rsidR="00A95791" w:rsidRPr="00E2771E" w:rsidRDefault="00A95791" w:rsidP="00F34ABE">
            <w:pPr>
              <w:keepNext/>
              <w:widowControl/>
              <w:jc w:val="left"/>
              <w:rPr>
                <w:rFonts w:ascii="Arial Narrow" w:hAnsi="Arial Narrow"/>
                <w:sz w:val="20"/>
              </w:rPr>
            </w:pPr>
            <w:r w:rsidRPr="00A528E8">
              <w:rPr>
                <w:rFonts w:ascii="Arial Narrow" w:hAnsi="Arial Narrow"/>
                <w:sz w:val="20"/>
              </w:rPr>
              <w:t>Cycle length</w:t>
            </w:r>
          </w:p>
        </w:tc>
        <w:tc>
          <w:tcPr>
            <w:tcW w:w="3981" w:type="pct"/>
            <w:shd w:val="clear" w:color="auto" w:fill="auto"/>
          </w:tcPr>
          <w:p w:rsidR="00A95791" w:rsidRPr="00E2771E" w:rsidRDefault="00A95791" w:rsidP="00F34ABE">
            <w:pPr>
              <w:keepNext/>
              <w:widowControl/>
              <w:jc w:val="left"/>
              <w:rPr>
                <w:rFonts w:ascii="Arial Narrow" w:hAnsi="Arial Narrow"/>
                <w:sz w:val="20"/>
              </w:rPr>
            </w:pPr>
            <w:r w:rsidRPr="00A528E8">
              <w:rPr>
                <w:rFonts w:ascii="Arial Narrow" w:hAnsi="Arial Narrow"/>
                <w:sz w:val="20"/>
              </w:rPr>
              <w:t>4 weeks</w:t>
            </w:r>
          </w:p>
        </w:tc>
      </w:tr>
      <w:tr w:rsidR="00A95791" w:rsidRPr="00E2771E" w:rsidTr="00B66DE7">
        <w:tc>
          <w:tcPr>
            <w:tcW w:w="1019" w:type="pct"/>
            <w:shd w:val="clear" w:color="auto" w:fill="auto"/>
          </w:tcPr>
          <w:p w:rsidR="00A95791" w:rsidRPr="00E2771E" w:rsidRDefault="00A95791" w:rsidP="00F34ABE">
            <w:pPr>
              <w:keepNext/>
              <w:widowControl/>
              <w:ind w:right="114"/>
              <w:jc w:val="left"/>
              <w:rPr>
                <w:rFonts w:ascii="Arial Narrow" w:hAnsi="Arial Narrow"/>
                <w:sz w:val="20"/>
              </w:rPr>
            </w:pPr>
            <w:r w:rsidRPr="00A528E8">
              <w:rPr>
                <w:rFonts w:ascii="Arial Narrow" w:hAnsi="Arial Narrow"/>
                <w:sz w:val="20"/>
              </w:rPr>
              <w:t>Transition probabilities</w:t>
            </w:r>
          </w:p>
        </w:tc>
        <w:tc>
          <w:tcPr>
            <w:tcW w:w="3981" w:type="pct"/>
            <w:shd w:val="clear" w:color="auto" w:fill="auto"/>
          </w:tcPr>
          <w:p w:rsidR="00A95791" w:rsidRPr="00F56D76" w:rsidRDefault="00513857" w:rsidP="00F34ABE">
            <w:pPr>
              <w:keepNext/>
              <w:widowControl/>
              <w:jc w:val="left"/>
              <w:rPr>
                <w:rFonts w:ascii="Arial Narrow" w:hAnsi="Arial Narrow"/>
                <w:sz w:val="20"/>
              </w:rPr>
            </w:pPr>
            <w:r w:rsidRPr="00F56D76">
              <w:rPr>
                <w:rFonts w:ascii="Arial Narrow" w:hAnsi="Arial Narrow" w:cs="Times New Roman"/>
                <w:sz w:val="20"/>
              </w:rPr>
              <w:t>Comparison of the clinical management algorithm with the patient flow of Trial KF10004/03 to initiate treatment related transition probabilities. Long-term studies used to inform subsequent transition probabilities (Hans 2009 and Stacey 2008b). Review of four cohort studies identified in Kawai (2013) to inform the probability of PHN resolution</w:t>
            </w:r>
            <w:r w:rsidR="00190A87" w:rsidRPr="00F56D76">
              <w:rPr>
                <w:rFonts w:ascii="Arial Narrow" w:hAnsi="Arial Narrow" w:cs="Times New Roman"/>
                <w:sz w:val="20"/>
              </w:rPr>
              <w:t>: Bouhaissira (2012) to inform the probability of PHN resolving during first 12 months of the model; Helgason (2000) to inform the model beyond 12 months.</w:t>
            </w:r>
            <w:r w:rsidRPr="00F56D76">
              <w:rPr>
                <w:rFonts w:ascii="Arial Narrow" w:hAnsi="Arial Narrow" w:cs="Times New Roman"/>
                <w:sz w:val="20"/>
              </w:rPr>
              <w:t xml:space="preserve"> </w:t>
            </w:r>
          </w:p>
        </w:tc>
      </w:tr>
      <w:tr w:rsidR="00A95791" w:rsidRPr="00E2771E" w:rsidTr="00B66DE7">
        <w:tc>
          <w:tcPr>
            <w:tcW w:w="1019" w:type="pct"/>
            <w:shd w:val="clear" w:color="auto" w:fill="auto"/>
          </w:tcPr>
          <w:p w:rsidR="00A95791" w:rsidRPr="00E2771E" w:rsidRDefault="00A95791" w:rsidP="00F34ABE">
            <w:pPr>
              <w:keepNext/>
              <w:widowControl/>
              <w:jc w:val="left"/>
              <w:rPr>
                <w:rFonts w:ascii="Arial Narrow" w:hAnsi="Arial Narrow"/>
                <w:sz w:val="20"/>
              </w:rPr>
            </w:pPr>
            <w:r w:rsidRPr="00A528E8">
              <w:rPr>
                <w:rFonts w:ascii="Arial Narrow" w:hAnsi="Arial Narrow"/>
                <w:sz w:val="20"/>
              </w:rPr>
              <w:t>Discount rate</w:t>
            </w:r>
          </w:p>
        </w:tc>
        <w:tc>
          <w:tcPr>
            <w:tcW w:w="3981" w:type="pct"/>
            <w:shd w:val="clear" w:color="auto" w:fill="auto"/>
          </w:tcPr>
          <w:p w:rsidR="00A95791" w:rsidRPr="00E2771E" w:rsidRDefault="00A95791" w:rsidP="00F34ABE">
            <w:pPr>
              <w:keepNext/>
              <w:widowControl/>
              <w:jc w:val="left"/>
              <w:rPr>
                <w:rFonts w:ascii="Arial Narrow" w:hAnsi="Arial Narrow"/>
                <w:sz w:val="20"/>
              </w:rPr>
            </w:pPr>
            <w:r w:rsidRPr="00A528E8">
              <w:rPr>
                <w:rFonts w:ascii="Arial Narrow" w:hAnsi="Arial Narrow"/>
                <w:sz w:val="20"/>
              </w:rPr>
              <w:t>5% for costs and outcomes</w:t>
            </w:r>
          </w:p>
        </w:tc>
      </w:tr>
      <w:tr w:rsidR="00A95791" w:rsidRPr="00E2771E" w:rsidTr="00B66DE7">
        <w:tc>
          <w:tcPr>
            <w:tcW w:w="1019" w:type="pct"/>
            <w:shd w:val="clear" w:color="auto" w:fill="auto"/>
            <w:vAlign w:val="center"/>
          </w:tcPr>
          <w:p w:rsidR="00A95791" w:rsidRPr="00A528E8" w:rsidRDefault="00A95791" w:rsidP="00F34ABE">
            <w:pPr>
              <w:widowControl/>
              <w:jc w:val="left"/>
              <w:rPr>
                <w:rFonts w:ascii="Arial Narrow" w:hAnsi="Arial Narrow"/>
                <w:sz w:val="20"/>
              </w:rPr>
            </w:pPr>
            <w:r w:rsidRPr="00A528E8">
              <w:rPr>
                <w:rFonts w:ascii="Arial Narrow" w:hAnsi="Arial Narrow"/>
                <w:sz w:val="20"/>
              </w:rPr>
              <w:t>Half-cycle correction</w:t>
            </w:r>
          </w:p>
        </w:tc>
        <w:tc>
          <w:tcPr>
            <w:tcW w:w="3981" w:type="pct"/>
            <w:shd w:val="clear" w:color="auto" w:fill="auto"/>
          </w:tcPr>
          <w:p w:rsidR="00A95791" w:rsidRPr="00A528E8" w:rsidRDefault="00A95791" w:rsidP="00F34ABE">
            <w:pPr>
              <w:widowControl/>
              <w:jc w:val="left"/>
              <w:rPr>
                <w:rFonts w:ascii="Arial Narrow" w:hAnsi="Arial Narrow"/>
                <w:sz w:val="20"/>
              </w:rPr>
            </w:pPr>
            <w:r w:rsidRPr="00A528E8">
              <w:rPr>
                <w:rFonts w:ascii="Arial Narrow" w:hAnsi="Arial Narrow"/>
                <w:sz w:val="20"/>
              </w:rPr>
              <w:t>Applied to benefits, but not costs as drug costs are assumed to accrue at the beginning of the cycle</w:t>
            </w:r>
          </w:p>
        </w:tc>
      </w:tr>
    </w:tbl>
    <w:p w:rsidR="00DF5F8B" w:rsidRPr="006231E6" w:rsidRDefault="006231E6" w:rsidP="00F34ABE">
      <w:pPr>
        <w:pStyle w:val="ListParagraph"/>
        <w:widowControl/>
        <w:rPr>
          <w:rStyle w:val="CommentReference"/>
          <w:b w:val="0"/>
          <w:sz w:val="18"/>
          <w:szCs w:val="18"/>
        </w:rPr>
      </w:pPr>
      <w:r w:rsidRPr="006231E6">
        <w:rPr>
          <w:rStyle w:val="CommentReference"/>
          <w:b w:val="0"/>
          <w:sz w:val="18"/>
          <w:szCs w:val="18"/>
        </w:rPr>
        <w:t>Source: constructed during the evaluation</w:t>
      </w:r>
    </w:p>
    <w:p w:rsidR="006231E6" w:rsidRPr="00DF5F8B" w:rsidRDefault="006231E6" w:rsidP="00F34ABE">
      <w:pPr>
        <w:pStyle w:val="ListParagraph"/>
        <w:widowControl/>
        <w:rPr>
          <w:rStyle w:val="CommentReference"/>
          <w:rFonts w:ascii="Arial" w:hAnsi="Arial"/>
          <w:b w:val="0"/>
          <w:sz w:val="22"/>
          <w:szCs w:val="22"/>
        </w:rPr>
      </w:pPr>
    </w:p>
    <w:p w:rsidR="00DF5F8B" w:rsidRPr="007470BC" w:rsidRDefault="00DF5F8B" w:rsidP="00F34ABE">
      <w:pPr>
        <w:pStyle w:val="ListParagraph"/>
        <w:keepNext/>
        <w:widowControl/>
        <w:rPr>
          <w:rStyle w:val="CommentReference"/>
          <w:rFonts w:ascii="Arial" w:hAnsi="Arial"/>
          <w:b w:val="0"/>
          <w:sz w:val="22"/>
          <w:szCs w:val="22"/>
        </w:rPr>
      </w:pPr>
      <w:r w:rsidRPr="00A56B6A">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1984"/>
        <w:gridCol w:w="5244"/>
        <w:gridCol w:w="1117"/>
      </w:tblGrid>
      <w:tr w:rsidR="00DF5F8B" w:rsidRPr="00980C60" w:rsidTr="006231E6">
        <w:trPr>
          <w:tblHeader/>
        </w:trPr>
        <w:tc>
          <w:tcPr>
            <w:tcW w:w="1189" w:type="pct"/>
            <w:shd w:val="clear" w:color="auto" w:fill="auto"/>
            <w:vAlign w:val="center"/>
          </w:tcPr>
          <w:p w:rsidR="00DF5F8B" w:rsidRPr="00980C60" w:rsidRDefault="00DF5F8B" w:rsidP="00F34ABE">
            <w:pPr>
              <w:keepNext/>
              <w:widowControl/>
              <w:jc w:val="left"/>
              <w:rPr>
                <w:rFonts w:ascii="Arial Narrow" w:hAnsi="Arial Narrow"/>
                <w:b/>
                <w:sz w:val="20"/>
                <w:lang w:val="en-US"/>
              </w:rPr>
            </w:pPr>
            <w:r w:rsidRPr="00980C60">
              <w:rPr>
                <w:rFonts w:ascii="Arial Narrow" w:hAnsi="Arial Narrow"/>
                <w:b/>
                <w:sz w:val="20"/>
                <w:lang w:val="en-US"/>
              </w:rPr>
              <w:t>Description</w:t>
            </w:r>
          </w:p>
        </w:tc>
        <w:tc>
          <w:tcPr>
            <w:tcW w:w="3142" w:type="pct"/>
            <w:shd w:val="clear" w:color="auto" w:fill="auto"/>
            <w:vAlign w:val="center"/>
          </w:tcPr>
          <w:p w:rsidR="00DF5F8B" w:rsidRPr="00980C60" w:rsidRDefault="00DF5F8B" w:rsidP="00F34ABE">
            <w:pPr>
              <w:keepNext/>
              <w:widowControl/>
              <w:jc w:val="center"/>
              <w:rPr>
                <w:rFonts w:ascii="Arial Narrow" w:hAnsi="Arial Narrow"/>
                <w:b/>
                <w:sz w:val="20"/>
                <w:lang w:val="en-US"/>
              </w:rPr>
            </w:pPr>
            <w:r w:rsidRPr="00980C60">
              <w:rPr>
                <w:rFonts w:ascii="Arial Narrow" w:hAnsi="Arial Narrow"/>
                <w:b/>
                <w:sz w:val="20"/>
                <w:lang w:val="en-US"/>
              </w:rPr>
              <w:t>Method/Value</w:t>
            </w:r>
          </w:p>
        </w:tc>
        <w:tc>
          <w:tcPr>
            <w:tcW w:w="669" w:type="pct"/>
            <w:shd w:val="clear" w:color="auto" w:fill="auto"/>
            <w:vAlign w:val="center"/>
          </w:tcPr>
          <w:p w:rsidR="00DF5F8B" w:rsidRPr="00980C60" w:rsidRDefault="00DF5F8B" w:rsidP="00F34ABE">
            <w:pPr>
              <w:keepNext/>
              <w:widowControl/>
              <w:jc w:val="center"/>
              <w:rPr>
                <w:rFonts w:ascii="Arial Narrow" w:hAnsi="Arial Narrow"/>
                <w:b/>
                <w:sz w:val="20"/>
                <w:lang w:val="en-US"/>
              </w:rPr>
            </w:pPr>
            <w:r w:rsidRPr="00980C60">
              <w:rPr>
                <w:rFonts w:ascii="Arial Narrow" w:hAnsi="Arial Narrow"/>
                <w:b/>
                <w:sz w:val="20"/>
                <w:lang w:val="en-US"/>
              </w:rPr>
              <w:t>Impact</w:t>
            </w:r>
          </w:p>
        </w:tc>
      </w:tr>
      <w:tr w:rsidR="00DF5F8B" w:rsidRPr="00980C60" w:rsidTr="006231E6">
        <w:tc>
          <w:tcPr>
            <w:tcW w:w="1189" w:type="pct"/>
            <w:shd w:val="clear" w:color="auto" w:fill="auto"/>
            <w:vAlign w:val="center"/>
          </w:tcPr>
          <w:p w:rsidR="00DF5F8B" w:rsidRPr="00980C60" w:rsidRDefault="00DF5F8B" w:rsidP="00F34ABE">
            <w:pPr>
              <w:keepNext/>
              <w:widowControl/>
              <w:jc w:val="left"/>
              <w:rPr>
                <w:rFonts w:ascii="Arial Narrow" w:hAnsi="Arial Narrow"/>
                <w:sz w:val="20"/>
                <w:lang w:val="en-US"/>
              </w:rPr>
            </w:pPr>
            <w:r w:rsidRPr="00980C60">
              <w:rPr>
                <w:rFonts w:ascii="Arial Narrow" w:hAnsi="Arial Narrow"/>
                <w:sz w:val="20"/>
                <w:lang w:val="en-US"/>
              </w:rPr>
              <w:t>Utility gain with treatment (lignocaine patch, pregabalin, lignocaine patch + pregabalin states)</w:t>
            </w:r>
          </w:p>
        </w:tc>
        <w:tc>
          <w:tcPr>
            <w:tcW w:w="3142" w:type="pct"/>
            <w:shd w:val="clear" w:color="auto" w:fill="auto"/>
            <w:vAlign w:val="center"/>
          </w:tcPr>
          <w:p w:rsidR="00DF5F8B" w:rsidRPr="00980C60" w:rsidRDefault="00DF5F8B" w:rsidP="00F34ABE">
            <w:pPr>
              <w:keepNext/>
              <w:widowControl/>
              <w:jc w:val="left"/>
              <w:rPr>
                <w:rFonts w:ascii="Arial Narrow" w:hAnsi="Arial Narrow"/>
                <w:sz w:val="20"/>
                <w:lang w:val="en-US"/>
              </w:rPr>
            </w:pPr>
            <w:r w:rsidRPr="00980C60">
              <w:rPr>
                <w:rFonts w:ascii="Arial Narrow" w:hAnsi="Arial Narrow"/>
                <w:sz w:val="20"/>
              </w:rPr>
              <w:t>0.12; based on the post hoc mean change in EQ-5D</w:t>
            </w:r>
            <w:r w:rsidR="00CB7795">
              <w:rPr>
                <w:rFonts w:ascii="Arial Narrow" w:hAnsi="Arial Narrow"/>
                <w:sz w:val="20"/>
              </w:rPr>
              <w:t>-5L</w:t>
            </w:r>
            <w:r w:rsidRPr="00980C60">
              <w:rPr>
                <w:rFonts w:ascii="Arial Narrow" w:hAnsi="Arial Narrow"/>
                <w:sz w:val="20"/>
              </w:rPr>
              <w:t xml:space="preserve"> from baseline at Week 12 (Trial KF10004/03, PHN subgroup). Utility gain for ‘initial pregabalin’ state achieved over 3 cycles, and over 1 cycle for the remaining treatment states.</w:t>
            </w:r>
          </w:p>
        </w:tc>
        <w:tc>
          <w:tcPr>
            <w:tcW w:w="669" w:type="pct"/>
            <w:shd w:val="clear" w:color="auto" w:fill="auto"/>
            <w:vAlign w:val="center"/>
          </w:tcPr>
          <w:p w:rsidR="00DF5F8B" w:rsidRPr="00980C60" w:rsidRDefault="00DF5F8B" w:rsidP="00F34ABE">
            <w:pPr>
              <w:keepNext/>
              <w:widowControl/>
              <w:jc w:val="center"/>
              <w:rPr>
                <w:rFonts w:ascii="Arial Narrow" w:hAnsi="Arial Narrow"/>
                <w:sz w:val="20"/>
                <w:lang w:val="en-US"/>
              </w:rPr>
            </w:pPr>
            <w:r w:rsidRPr="00980C60">
              <w:rPr>
                <w:rFonts w:ascii="Arial Narrow" w:hAnsi="Arial Narrow"/>
                <w:sz w:val="20"/>
                <w:lang w:val="en-US"/>
              </w:rPr>
              <w:t xml:space="preserve">High, </w:t>
            </w:r>
            <w:r w:rsidRPr="00980C60">
              <w:rPr>
                <w:rFonts w:ascii="Arial Narrow" w:hAnsi="Arial Narrow"/>
                <w:sz w:val="20"/>
              </w:rPr>
              <w:t>favours</w:t>
            </w:r>
            <w:r w:rsidRPr="00980C60">
              <w:rPr>
                <w:rFonts w:ascii="Arial Narrow" w:hAnsi="Arial Narrow"/>
                <w:sz w:val="20"/>
                <w:lang w:val="en-US"/>
              </w:rPr>
              <w:t xml:space="preserve"> lignocaine patch</w:t>
            </w:r>
          </w:p>
        </w:tc>
      </w:tr>
      <w:tr w:rsidR="00DF5F8B" w:rsidRPr="00980C60" w:rsidTr="006231E6">
        <w:tc>
          <w:tcPr>
            <w:tcW w:w="1189" w:type="pct"/>
            <w:shd w:val="clear" w:color="auto" w:fill="auto"/>
            <w:vAlign w:val="center"/>
          </w:tcPr>
          <w:p w:rsidR="00DF5F8B" w:rsidRPr="00980C60" w:rsidRDefault="00DF5F8B" w:rsidP="00F34ABE">
            <w:pPr>
              <w:keepNext/>
              <w:widowControl/>
              <w:jc w:val="left"/>
              <w:rPr>
                <w:rFonts w:ascii="Arial Narrow" w:hAnsi="Arial Narrow"/>
                <w:sz w:val="20"/>
                <w:lang w:val="en-US"/>
              </w:rPr>
            </w:pPr>
            <w:r w:rsidRPr="00980C60">
              <w:rPr>
                <w:rFonts w:ascii="Arial Narrow" w:hAnsi="Arial Narrow"/>
                <w:sz w:val="20"/>
                <w:lang w:val="en-US"/>
              </w:rPr>
              <w:t>Utility gain for best supportive care and pregabalin + best supportive care states</w:t>
            </w:r>
          </w:p>
        </w:tc>
        <w:tc>
          <w:tcPr>
            <w:tcW w:w="3142" w:type="pct"/>
            <w:shd w:val="clear" w:color="auto" w:fill="auto"/>
            <w:vAlign w:val="center"/>
          </w:tcPr>
          <w:p w:rsidR="00DF5F8B" w:rsidRPr="00980C60" w:rsidRDefault="00DF5F8B" w:rsidP="00F34ABE">
            <w:pPr>
              <w:keepNext/>
              <w:widowControl/>
              <w:jc w:val="left"/>
              <w:rPr>
                <w:rFonts w:ascii="Arial Narrow" w:hAnsi="Arial Narrow"/>
                <w:sz w:val="20"/>
                <w:lang w:val="en-US"/>
              </w:rPr>
            </w:pPr>
            <w:r w:rsidRPr="00980C60">
              <w:rPr>
                <w:rFonts w:ascii="Arial Narrow" w:hAnsi="Arial Narrow"/>
                <w:sz w:val="20"/>
                <w:lang w:val="en-US"/>
              </w:rPr>
              <w:t>0.03;</w:t>
            </w:r>
            <w:r w:rsidRPr="00980C60">
              <w:t xml:space="preserve"> </w:t>
            </w:r>
            <w:r w:rsidRPr="00980C60">
              <w:rPr>
                <w:rFonts w:ascii="Arial Narrow" w:hAnsi="Arial Narrow"/>
                <w:sz w:val="20"/>
                <w:lang w:val="en-US"/>
              </w:rPr>
              <w:t>adjusted for placebo-response (≥30% pain reduction) in 24.3% based on 3 pregabalin trials.</w:t>
            </w:r>
          </w:p>
        </w:tc>
        <w:tc>
          <w:tcPr>
            <w:tcW w:w="669" w:type="pct"/>
            <w:shd w:val="clear" w:color="auto" w:fill="auto"/>
            <w:vAlign w:val="center"/>
          </w:tcPr>
          <w:p w:rsidR="00DF5F8B" w:rsidRPr="00980C60" w:rsidRDefault="00DF5F8B" w:rsidP="00F34ABE">
            <w:pPr>
              <w:keepNext/>
              <w:widowControl/>
              <w:jc w:val="center"/>
              <w:rPr>
                <w:rFonts w:ascii="Arial Narrow" w:hAnsi="Arial Narrow"/>
                <w:sz w:val="20"/>
                <w:lang w:val="en-US"/>
              </w:rPr>
            </w:pPr>
            <w:r w:rsidRPr="00980C60">
              <w:rPr>
                <w:rFonts w:ascii="Arial Narrow" w:hAnsi="Arial Narrow"/>
                <w:sz w:val="20"/>
                <w:lang w:val="en-US"/>
              </w:rPr>
              <w:t xml:space="preserve">High, </w:t>
            </w:r>
            <w:r w:rsidRPr="00980C60">
              <w:rPr>
                <w:rFonts w:ascii="Arial Narrow" w:hAnsi="Arial Narrow"/>
                <w:sz w:val="20"/>
              </w:rPr>
              <w:t>favours</w:t>
            </w:r>
            <w:r w:rsidRPr="00980C60">
              <w:rPr>
                <w:rFonts w:ascii="Arial Narrow" w:hAnsi="Arial Narrow"/>
                <w:sz w:val="20"/>
                <w:lang w:val="en-US"/>
              </w:rPr>
              <w:t xml:space="preserve"> lignocaine patch</w:t>
            </w:r>
          </w:p>
        </w:tc>
      </w:tr>
      <w:tr w:rsidR="00DF5F8B" w:rsidRPr="00980C60" w:rsidTr="006231E6">
        <w:tc>
          <w:tcPr>
            <w:tcW w:w="1189" w:type="pct"/>
            <w:shd w:val="clear" w:color="auto" w:fill="auto"/>
            <w:vAlign w:val="center"/>
          </w:tcPr>
          <w:p w:rsidR="00DF5F8B" w:rsidRPr="00980C60" w:rsidRDefault="00DF5F8B" w:rsidP="00F34ABE">
            <w:pPr>
              <w:keepNext/>
              <w:widowControl/>
              <w:jc w:val="left"/>
              <w:rPr>
                <w:rFonts w:ascii="Arial Narrow" w:hAnsi="Arial Narrow"/>
                <w:sz w:val="20"/>
                <w:lang w:val="en-US"/>
              </w:rPr>
            </w:pPr>
            <w:r w:rsidRPr="00980C60">
              <w:rPr>
                <w:rFonts w:ascii="Arial Narrow" w:hAnsi="Arial Narrow"/>
                <w:sz w:val="20"/>
                <w:lang w:val="en-US"/>
              </w:rPr>
              <w:t xml:space="preserve">Model structure </w:t>
            </w:r>
          </w:p>
        </w:tc>
        <w:tc>
          <w:tcPr>
            <w:tcW w:w="3142" w:type="pct"/>
            <w:shd w:val="clear" w:color="auto" w:fill="auto"/>
            <w:vAlign w:val="center"/>
          </w:tcPr>
          <w:p w:rsidR="00DF5F8B" w:rsidRPr="00980C60" w:rsidRDefault="00DF5F8B" w:rsidP="00F34ABE">
            <w:pPr>
              <w:keepNext/>
              <w:widowControl/>
              <w:jc w:val="left"/>
              <w:rPr>
                <w:rFonts w:ascii="Arial Narrow" w:hAnsi="Arial Narrow"/>
                <w:sz w:val="20"/>
                <w:lang w:val="en-US"/>
              </w:rPr>
            </w:pPr>
            <w:r w:rsidRPr="00980C60">
              <w:rPr>
                <w:rFonts w:ascii="Arial Narrow" w:hAnsi="Arial Narrow"/>
                <w:sz w:val="20"/>
                <w:lang w:val="en-US"/>
              </w:rPr>
              <w:t>The submission claimed that the model structure closely aligned with the patient pathway through Trial KF10004/03. The lignocaine patch arm for Option 1 appeared to be largely based on the lignocaine patch arm of the trial, but included additional switching to pregabalin. The pregabalin arm of the trial was used as the basis for the lignocaine patch arm for Option 2. The main comparator arm appeared to be constructed based on assumption of no effective alternative treatment. A key driver of the model was the highly uncertain assumption of switching from and adding therapies subsequent to the initial therapy.</w:t>
            </w:r>
          </w:p>
        </w:tc>
        <w:tc>
          <w:tcPr>
            <w:tcW w:w="669" w:type="pct"/>
            <w:shd w:val="clear" w:color="auto" w:fill="auto"/>
            <w:vAlign w:val="center"/>
          </w:tcPr>
          <w:p w:rsidR="00DF5F8B" w:rsidRPr="00980C60" w:rsidRDefault="00DF5F8B" w:rsidP="00F34ABE">
            <w:pPr>
              <w:keepNext/>
              <w:widowControl/>
              <w:jc w:val="center"/>
              <w:rPr>
                <w:rFonts w:ascii="Arial Narrow" w:hAnsi="Arial Narrow"/>
                <w:sz w:val="20"/>
                <w:lang w:val="en-US"/>
              </w:rPr>
            </w:pPr>
            <w:r w:rsidRPr="00980C60">
              <w:rPr>
                <w:rFonts w:ascii="Arial Narrow" w:hAnsi="Arial Narrow"/>
                <w:sz w:val="20"/>
                <w:lang w:val="en-US"/>
              </w:rPr>
              <w:t xml:space="preserve">High, </w:t>
            </w:r>
            <w:r w:rsidRPr="00980C60">
              <w:rPr>
                <w:rFonts w:ascii="Arial Narrow" w:hAnsi="Arial Narrow"/>
                <w:sz w:val="20"/>
              </w:rPr>
              <w:t>favours</w:t>
            </w:r>
            <w:r w:rsidRPr="00980C60">
              <w:rPr>
                <w:rFonts w:ascii="Arial Narrow" w:hAnsi="Arial Narrow"/>
                <w:sz w:val="20"/>
                <w:lang w:val="en-US"/>
              </w:rPr>
              <w:t xml:space="preserve"> lignocaine patch</w:t>
            </w:r>
          </w:p>
        </w:tc>
      </w:tr>
    </w:tbl>
    <w:p w:rsidR="006231E6" w:rsidRPr="006231E6" w:rsidRDefault="006231E6" w:rsidP="00F34ABE">
      <w:pPr>
        <w:pStyle w:val="ListParagraph"/>
        <w:widowControl/>
        <w:rPr>
          <w:rStyle w:val="CommentReference"/>
          <w:b w:val="0"/>
          <w:sz w:val="18"/>
          <w:szCs w:val="18"/>
        </w:rPr>
      </w:pPr>
      <w:r w:rsidRPr="006231E6">
        <w:rPr>
          <w:rStyle w:val="CommentReference"/>
          <w:b w:val="0"/>
          <w:sz w:val="18"/>
          <w:szCs w:val="18"/>
        </w:rPr>
        <w:t>Source: constructed during the evaluation</w:t>
      </w:r>
    </w:p>
    <w:p w:rsidR="00A95791" w:rsidRPr="00A95791" w:rsidRDefault="00A95791" w:rsidP="00F34ABE">
      <w:pPr>
        <w:pStyle w:val="ListParagraph"/>
        <w:widowControl/>
        <w:rPr>
          <w:szCs w:val="22"/>
        </w:rPr>
      </w:pPr>
    </w:p>
    <w:p w:rsidR="006644EF" w:rsidRPr="00980C60" w:rsidRDefault="006644EF" w:rsidP="00F34ABE">
      <w:pPr>
        <w:pStyle w:val="ListParagraph"/>
        <w:widowControl/>
        <w:numPr>
          <w:ilvl w:val="1"/>
          <w:numId w:val="7"/>
        </w:numPr>
        <w:rPr>
          <w:szCs w:val="22"/>
        </w:rPr>
      </w:pPr>
      <w:r w:rsidRPr="00980C60">
        <w:rPr>
          <w:szCs w:val="22"/>
        </w:rPr>
        <w:t>There were issues with the model</w:t>
      </w:r>
      <w:r w:rsidR="003D4A8C" w:rsidRPr="00980C60">
        <w:rPr>
          <w:szCs w:val="22"/>
        </w:rPr>
        <w:t>, particularly the model</w:t>
      </w:r>
      <w:r w:rsidRPr="00980C60">
        <w:rPr>
          <w:szCs w:val="22"/>
        </w:rPr>
        <w:t xml:space="preserve"> structure, </w:t>
      </w:r>
      <w:r w:rsidR="003D4A8C" w:rsidRPr="00980C60">
        <w:rPr>
          <w:szCs w:val="22"/>
        </w:rPr>
        <w:t>including</w:t>
      </w:r>
      <w:r w:rsidRPr="00980C60">
        <w:rPr>
          <w:szCs w:val="22"/>
        </w:rPr>
        <w:t>:</w:t>
      </w:r>
    </w:p>
    <w:p w:rsidR="0090400E" w:rsidRPr="00811867" w:rsidRDefault="006644EF" w:rsidP="00F34ABE">
      <w:pPr>
        <w:pStyle w:val="ListParagraph"/>
        <w:widowControl/>
        <w:numPr>
          <w:ilvl w:val="0"/>
          <w:numId w:val="21"/>
        </w:numPr>
        <w:rPr>
          <w:szCs w:val="22"/>
        </w:rPr>
      </w:pPr>
      <w:r w:rsidRPr="00811867">
        <w:rPr>
          <w:szCs w:val="22"/>
        </w:rPr>
        <w:t xml:space="preserve">The economic evaluation effectively modelled an additional line of therapy for each option rather than provide head-to-head comparisons between lignocaine patch and the comparator. This resulted in </w:t>
      </w:r>
      <w:r w:rsidR="00C03622" w:rsidRPr="00811867">
        <w:rPr>
          <w:szCs w:val="22"/>
        </w:rPr>
        <w:t xml:space="preserve">inconsistencies </w:t>
      </w:r>
      <w:r w:rsidRPr="00811867">
        <w:rPr>
          <w:szCs w:val="22"/>
        </w:rPr>
        <w:t>between the clinical data and the modelled benefit.</w:t>
      </w:r>
      <w:r w:rsidR="00EA5174" w:rsidRPr="00811867">
        <w:rPr>
          <w:szCs w:val="22"/>
        </w:rPr>
        <w:t xml:space="preserve"> The data to populate the transition probabilities </w:t>
      </w:r>
      <w:r w:rsidR="00EA5174" w:rsidRPr="00811867">
        <w:rPr>
          <w:szCs w:val="22"/>
        </w:rPr>
        <w:lastRenderedPageBreak/>
        <w:t>are from the combination phase of the pivotal trial, which does not capture the alternatives in the model</w:t>
      </w:r>
      <w:r w:rsidR="00BF4CAD" w:rsidRPr="00811867">
        <w:rPr>
          <w:szCs w:val="22"/>
        </w:rPr>
        <w:t>.</w:t>
      </w:r>
      <w:r w:rsidR="00EA5174" w:rsidRPr="00811867">
        <w:rPr>
          <w:szCs w:val="22"/>
        </w:rPr>
        <w:t xml:space="preserve"> </w:t>
      </w:r>
      <w:r w:rsidR="00BF4CAD" w:rsidRPr="00811867">
        <w:rPr>
          <w:szCs w:val="22"/>
        </w:rPr>
        <w:t xml:space="preserve">The </w:t>
      </w:r>
      <w:r w:rsidR="0015007A" w:rsidRPr="00811867">
        <w:rPr>
          <w:szCs w:val="22"/>
        </w:rPr>
        <w:t>use of these data is</w:t>
      </w:r>
      <w:r w:rsidR="00BF4CAD" w:rsidRPr="00811867">
        <w:rPr>
          <w:szCs w:val="22"/>
        </w:rPr>
        <w:t xml:space="preserve"> particularly not appropriate </w:t>
      </w:r>
      <w:r w:rsidR="00EA5174" w:rsidRPr="00811867">
        <w:rPr>
          <w:szCs w:val="22"/>
        </w:rPr>
        <w:t>for Option 2, where patients are assumed to be refractory to pregabalin.</w:t>
      </w:r>
      <w:r w:rsidR="0015007A" w:rsidRPr="00811867">
        <w:rPr>
          <w:szCs w:val="22"/>
        </w:rPr>
        <w:t xml:space="preserve"> </w:t>
      </w:r>
      <w:r w:rsidR="00F75065" w:rsidRPr="00811867">
        <w:t xml:space="preserve">The PSCR (p3) identified that a similar modelled algorithm approach was accepted for pregabalin. </w:t>
      </w:r>
      <w:r w:rsidR="00451C1D" w:rsidRPr="00811867">
        <w:rPr>
          <w:szCs w:val="22"/>
        </w:rPr>
        <w:t xml:space="preserve">The ESC considered that whilst a comparison of different algorithms with and without the new treatment may have been considered appropriate </w:t>
      </w:r>
      <w:r w:rsidR="0015007A" w:rsidRPr="00811867">
        <w:rPr>
          <w:szCs w:val="22"/>
        </w:rPr>
        <w:t xml:space="preserve">for pregabalin </w:t>
      </w:r>
      <w:r w:rsidR="00451C1D" w:rsidRPr="00811867">
        <w:rPr>
          <w:szCs w:val="22"/>
        </w:rPr>
        <w:t>in the context</w:t>
      </w:r>
      <w:r w:rsidR="0090400E" w:rsidRPr="00811867">
        <w:rPr>
          <w:szCs w:val="22"/>
        </w:rPr>
        <w:t xml:space="preserve"> </w:t>
      </w:r>
      <w:r w:rsidR="00451C1D" w:rsidRPr="00811867">
        <w:rPr>
          <w:szCs w:val="22"/>
        </w:rPr>
        <w:t>of</w:t>
      </w:r>
      <w:r w:rsidR="0090400E" w:rsidRPr="00811867">
        <w:rPr>
          <w:szCs w:val="22"/>
        </w:rPr>
        <w:t xml:space="preserve"> significant clinical need and few viable alternatives</w:t>
      </w:r>
      <w:r w:rsidR="00451C1D" w:rsidRPr="00811867">
        <w:rPr>
          <w:szCs w:val="22"/>
        </w:rPr>
        <w:t>,</w:t>
      </w:r>
      <w:r w:rsidR="0090400E" w:rsidRPr="00811867">
        <w:rPr>
          <w:szCs w:val="22"/>
        </w:rPr>
        <w:t xml:space="preserve"> th</w:t>
      </w:r>
      <w:r w:rsidR="00451C1D" w:rsidRPr="00811867">
        <w:rPr>
          <w:szCs w:val="22"/>
        </w:rPr>
        <w:t>is</w:t>
      </w:r>
      <w:r w:rsidR="0090400E" w:rsidRPr="00811867">
        <w:rPr>
          <w:szCs w:val="22"/>
        </w:rPr>
        <w:t xml:space="preserve"> </w:t>
      </w:r>
      <w:r w:rsidR="00873A83" w:rsidRPr="00811867">
        <w:rPr>
          <w:szCs w:val="22"/>
        </w:rPr>
        <w:t xml:space="preserve">was not </w:t>
      </w:r>
      <w:r w:rsidR="0090400E" w:rsidRPr="00811867">
        <w:rPr>
          <w:szCs w:val="22"/>
        </w:rPr>
        <w:t xml:space="preserve">the case for lignocaine </w:t>
      </w:r>
      <w:r w:rsidR="0015007A" w:rsidRPr="00811867">
        <w:rPr>
          <w:szCs w:val="22"/>
        </w:rPr>
        <w:t xml:space="preserve">which is seeking to be considered as an alternative treatment to pregabalin. </w:t>
      </w:r>
      <w:r w:rsidR="00722068" w:rsidRPr="00811867">
        <w:rPr>
          <w:szCs w:val="22"/>
        </w:rPr>
        <w:t>Also, the model is not adequately supported</w:t>
      </w:r>
      <w:r w:rsidR="00722068">
        <w:rPr>
          <w:i/>
          <w:szCs w:val="22"/>
        </w:rPr>
        <w:t xml:space="preserve"> </w:t>
      </w:r>
      <w:r w:rsidR="00722068" w:rsidRPr="00811867">
        <w:rPr>
          <w:szCs w:val="22"/>
        </w:rPr>
        <w:t xml:space="preserve">by the trial data. </w:t>
      </w:r>
      <w:r w:rsidR="0015007A" w:rsidRPr="00811867">
        <w:rPr>
          <w:szCs w:val="22"/>
        </w:rPr>
        <w:t xml:space="preserve">In this instance a direct comparison of lignocaine versus the comparator for the two options is more appropriate. </w:t>
      </w:r>
    </w:p>
    <w:p w:rsidR="003604EE" w:rsidRPr="00811867" w:rsidRDefault="006644EF" w:rsidP="00F34ABE">
      <w:pPr>
        <w:pStyle w:val="ListParagraph"/>
        <w:widowControl/>
        <w:numPr>
          <w:ilvl w:val="0"/>
          <w:numId w:val="21"/>
        </w:numPr>
        <w:rPr>
          <w:szCs w:val="22"/>
        </w:rPr>
      </w:pPr>
      <w:r w:rsidRPr="00811867">
        <w:rPr>
          <w:szCs w:val="22"/>
        </w:rPr>
        <w:t>Option 1 and Option 2 were modelled together, assuming that Option 2 can be proxied by assuming</w:t>
      </w:r>
      <w:r w:rsidR="006737F3" w:rsidRPr="00811867">
        <w:rPr>
          <w:szCs w:val="22"/>
        </w:rPr>
        <w:t xml:space="preserve"> that</w:t>
      </w:r>
      <w:r w:rsidRPr="00811867">
        <w:rPr>
          <w:szCs w:val="22"/>
        </w:rPr>
        <w:t xml:space="preserve"> all patients start the model on pregabalin and </w:t>
      </w:r>
      <w:r w:rsidR="000937D4" w:rsidRPr="00811867">
        <w:rPr>
          <w:szCs w:val="22"/>
        </w:rPr>
        <w:t xml:space="preserve">are </w:t>
      </w:r>
      <w:r w:rsidRPr="00811867">
        <w:rPr>
          <w:szCs w:val="22"/>
        </w:rPr>
        <w:t xml:space="preserve">allowed to transition to different treatment states with </w:t>
      </w:r>
      <w:r w:rsidR="00712FCE" w:rsidRPr="00811867">
        <w:rPr>
          <w:szCs w:val="22"/>
        </w:rPr>
        <w:t xml:space="preserve">the availability of </w:t>
      </w:r>
      <w:r w:rsidRPr="00811867">
        <w:rPr>
          <w:szCs w:val="22"/>
        </w:rPr>
        <w:t>lignocaine patch (based on th</w:t>
      </w:r>
      <w:r w:rsidR="00187BF1" w:rsidRPr="00811867">
        <w:rPr>
          <w:szCs w:val="22"/>
        </w:rPr>
        <w:t>e pregabalin arm of the trial).</w:t>
      </w:r>
      <w:r w:rsidR="00EA5174" w:rsidRPr="00811867">
        <w:rPr>
          <w:szCs w:val="22"/>
        </w:rPr>
        <w:t xml:space="preserve"> </w:t>
      </w:r>
      <w:r w:rsidR="00F70883" w:rsidRPr="00811867">
        <w:rPr>
          <w:szCs w:val="22"/>
        </w:rPr>
        <w:t xml:space="preserve">The ESC considered that this </w:t>
      </w:r>
      <w:r w:rsidR="00EA5174" w:rsidRPr="00811867">
        <w:rPr>
          <w:szCs w:val="22"/>
        </w:rPr>
        <w:t xml:space="preserve">approach </w:t>
      </w:r>
      <w:r w:rsidR="00F70883" w:rsidRPr="00811867">
        <w:rPr>
          <w:szCs w:val="22"/>
        </w:rPr>
        <w:t xml:space="preserve">did </w:t>
      </w:r>
      <w:r w:rsidR="00EA5174" w:rsidRPr="00811867">
        <w:rPr>
          <w:szCs w:val="22"/>
        </w:rPr>
        <w:t xml:space="preserve">not </w:t>
      </w:r>
      <w:r w:rsidR="00F70883" w:rsidRPr="00811867">
        <w:rPr>
          <w:szCs w:val="22"/>
        </w:rPr>
        <w:t xml:space="preserve">fully </w:t>
      </w:r>
      <w:r w:rsidR="00EA5174" w:rsidRPr="00811867">
        <w:rPr>
          <w:szCs w:val="22"/>
        </w:rPr>
        <w:t>capture the difference</w:t>
      </w:r>
      <w:r w:rsidR="00F70883" w:rsidRPr="00811867">
        <w:rPr>
          <w:szCs w:val="22"/>
        </w:rPr>
        <w:t>s</w:t>
      </w:r>
      <w:r w:rsidR="00EA5174" w:rsidRPr="00811867">
        <w:rPr>
          <w:szCs w:val="22"/>
        </w:rPr>
        <w:t xml:space="preserve"> between </w:t>
      </w:r>
      <w:r w:rsidR="00606192" w:rsidRPr="00811867">
        <w:rPr>
          <w:szCs w:val="22"/>
        </w:rPr>
        <w:t xml:space="preserve">whether </w:t>
      </w:r>
      <w:r w:rsidR="002F36E1" w:rsidRPr="00811867">
        <w:rPr>
          <w:szCs w:val="22"/>
        </w:rPr>
        <w:t>l</w:t>
      </w:r>
      <w:r w:rsidR="00EA5174" w:rsidRPr="00811867">
        <w:rPr>
          <w:szCs w:val="22"/>
        </w:rPr>
        <w:t xml:space="preserve">ignocaine </w:t>
      </w:r>
      <w:r w:rsidR="00606192" w:rsidRPr="00811867">
        <w:rPr>
          <w:szCs w:val="22"/>
        </w:rPr>
        <w:t xml:space="preserve">is </w:t>
      </w:r>
      <w:r w:rsidR="00EA5174" w:rsidRPr="00811867">
        <w:rPr>
          <w:szCs w:val="22"/>
        </w:rPr>
        <w:t xml:space="preserve">listed </w:t>
      </w:r>
      <w:r w:rsidR="00606192" w:rsidRPr="00811867">
        <w:rPr>
          <w:szCs w:val="22"/>
        </w:rPr>
        <w:t xml:space="preserve">or </w:t>
      </w:r>
      <w:r w:rsidR="00EA5174" w:rsidRPr="00811867">
        <w:rPr>
          <w:szCs w:val="22"/>
        </w:rPr>
        <w:t>not</w:t>
      </w:r>
      <w:r w:rsidR="002F36E1" w:rsidRPr="00811867">
        <w:rPr>
          <w:szCs w:val="22"/>
        </w:rPr>
        <w:t>. F</w:t>
      </w:r>
      <w:r w:rsidR="00EA5174" w:rsidRPr="00811867">
        <w:rPr>
          <w:szCs w:val="22"/>
        </w:rPr>
        <w:t xml:space="preserve">or example, some patients may start on BSC </w:t>
      </w:r>
      <w:r w:rsidR="002F36E1" w:rsidRPr="00811867">
        <w:rPr>
          <w:szCs w:val="22"/>
        </w:rPr>
        <w:t xml:space="preserve">due to already </w:t>
      </w:r>
      <w:r w:rsidR="00EC261E" w:rsidRPr="00811867">
        <w:rPr>
          <w:szCs w:val="22"/>
        </w:rPr>
        <w:t>discontinuing pregabalin due to intolerance or a lack of efficacy</w:t>
      </w:r>
      <w:r w:rsidR="00EA5174" w:rsidRPr="00811867">
        <w:rPr>
          <w:szCs w:val="22"/>
        </w:rPr>
        <w:t>.</w:t>
      </w:r>
    </w:p>
    <w:p w:rsidR="003604EE" w:rsidRPr="00811867" w:rsidRDefault="006644EF" w:rsidP="00F34ABE">
      <w:pPr>
        <w:pStyle w:val="ListParagraph"/>
        <w:widowControl/>
        <w:numPr>
          <w:ilvl w:val="0"/>
          <w:numId w:val="21"/>
        </w:numPr>
        <w:rPr>
          <w:szCs w:val="22"/>
        </w:rPr>
      </w:pPr>
      <w:r w:rsidRPr="00980C60">
        <w:rPr>
          <w:szCs w:val="22"/>
        </w:rPr>
        <w:t xml:space="preserve">The treatment algorithm in the model was not consistent with the clinical trial algorithm and was unlikely to reflect clinical practice. There were missing </w:t>
      </w:r>
      <w:r w:rsidRPr="00811867">
        <w:rPr>
          <w:szCs w:val="22"/>
        </w:rPr>
        <w:t>treatment states and likely transitions between treatment states.</w:t>
      </w:r>
      <w:r w:rsidR="00762E1B">
        <w:rPr>
          <w:szCs w:val="22"/>
        </w:rPr>
        <w:t xml:space="preserve"> </w:t>
      </w:r>
      <w:r w:rsidR="009A754B" w:rsidRPr="00811867">
        <w:rPr>
          <w:szCs w:val="22"/>
        </w:rPr>
        <w:t>The model did not</w:t>
      </w:r>
      <w:r w:rsidR="003158F0" w:rsidRPr="00811867">
        <w:rPr>
          <w:szCs w:val="22"/>
        </w:rPr>
        <w:t xml:space="preserve"> adequately</w:t>
      </w:r>
      <w:r w:rsidR="009A754B" w:rsidRPr="00811867">
        <w:rPr>
          <w:szCs w:val="22"/>
        </w:rPr>
        <w:t xml:space="preserve"> capture the probability of concomitant therapy at reduced doses following drug-related (or treatment-related) adverse events</w:t>
      </w:r>
      <w:r w:rsidR="00C03622" w:rsidRPr="00811867">
        <w:rPr>
          <w:szCs w:val="22"/>
        </w:rPr>
        <w:t>,</w:t>
      </w:r>
      <w:r w:rsidR="009A754B" w:rsidRPr="00811867">
        <w:rPr>
          <w:szCs w:val="22"/>
        </w:rPr>
        <w:t xml:space="preserve"> </w:t>
      </w:r>
      <w:r w:rsidR="00C03622" w:rsidRPr="00811867">
        <w:rPr>
          <w:szCs w:val="22"/>
        </w:rPr>
        <w:t xml:space="preserve">nor did it allow for </w:t>
      </w:r>
      <w:r w:rsidR="009A754B" w:rsidRPr="00811867">
        <w:rPr>
          <w:szCs w:val="22"/>
        </w:rPr>
        <w:t xml:space="preserve">re-trial </w:t>
      </w:r>
      <w:r w:rsidR="00C03622" w:rsidRPr="00811867">
        <w:rPr>
          <w:szCs w:val="22"/>
        </w:rPr>
        <w:t xml:space="preserve">of </w:t>
      </w:r>
      <w:r w:rsidR="009A754B" w:rsidRPr="00811867">
        <w:rPr>
          <w:szCs w:val="22"/>
        </w:rPr>
        <w:t xml:space="preserve">therapies or </w:t>
      </w:r>
      <w:r w:rsidR="008A4114" w:rsidRPr="00811867">
        <w:rPr>
          <w:szCs w:val="22"/>
        </w:rPr>
        <w:t xml:space="preserve">for </w:t>
      </w:r>
      <w:r w:rsidR="009A754B" w:rsidRPr="00811867">
        <w:rPr>
          <w:szCs w:val="22"/>
        </w:rPr>
        <w:t>adequate cycling through therapies.</w:t>
      </w:r>
      <w:r w:rsidR="003604EE" w:rsidRPr="00811867">
        <w:rPr>
          <w:szCs w:val="22"/>
        </w:rPr>
        <w:t xml:space="preserve"> </w:t>
      </w:r>
      <w:r w:rsidR="003604EE" w:rsidRPr="00811867">
        <w:t>The submission acknowledged that while all switches between/addition of therapies in the model happen</w:t>
      </w:r>
      <w:r w:rsidR="0069754F" w:rsidRPr="00811867">
        <w:t>ed</w:t>
      </w:r>
      <w:r w:rsidR="003604EE" w:rsidRPr="00811867">
        <w:t xml:space="preserve"> with lignocaine patch and pregabalin, and vice versa, this is unlikely given the presence of alternative treatments in practice.</w:t>
      </w:r>
    </w:p>
    <w:p w:rsidR="00143DEC" w:rsidRPr="00811867" w:rsidRDefault="006644EF" w:rsidP="00F34ABE">
      <w:pPr>
        <w:pStyle w:val="ListParagraph"/>
        <w:widowControl/>
        <w:numPr>
          <w:ilvl w:val="0"/>
          <w:numId w:val="21"/>
        </w:numPr>
        <w:rPr>
          <w:szCs w:val="22"/>
        </w:rPr>
      </w:pPr>
      <w:r w:rsidRPr="00811867">
        <w:rPr>
          <w:szCs w:val="22"/>
        </w:rPr>
        <w:t xml:space="preserve">The model included a ‘pregabalin plus best supportive care’ state </w:t>
      </w:r>
      <w:r w:rsidR="00C2425A" w:rsidRPr="00811867">
        <w:rPr>
          <w:szCs w:val="22"/>
        </w:rPr>
        <w:t>(which incurs pregabalin cost with no</w:t>
      </w:r>
      <w:r w:rsidR="00B536E3" w:rsidRPr="00811867">
        <w:rPr>
          <w:szCs w:val="22"/>
        </w:rPr>
        <w:t xml:space="preserve"> additional</w:t>
      </w:r>
      <w:r w:rsidR="00C2425A" w:rsidRPr="00811867">
        <w:rPr>
          <w:szCs w:val="22"/>
        </w:rPr>
        <w:t xml:space="preserve"> benefit) </w:t>
      </w:r>
      <w:r w:rsidRPr="00811867">
        <w:rPr>
          <w:szCs w:val="22"/>
        </w:rPr>
        <w:t xml:space="preserve">without a corresponding ‘lignocaine patch plus best supportive care’ state. This introduced bias in favour of lignocaine patch. </w:t>
      </w:r>
    </w:p>
    <w:p w:rsidR="00820E37" w:rsidRPr="00811867" w:rsidRDefault="00D501B0" w:rsidP="00F34ABE">
      <w:pPr>
        <w:pStyle w:val="ListParagraph"/>
        <w:widowControl/>
        <w:numPr>
          <w:ilvl w:val="0"/>
          <w:numId w:val="21"/>
        </w:numPr>
        <w:rPr>
          <w:szCs w:val="22"/>
        </w:rPr>
      </w:pPr>
      <w:r w:rsidRPr="00811867">
        <w:t>The model</w:t>
      </w:r>
      <w:r w:rsidR="00034924" w:rsidRPr="00811867">
        <w:t>led population</w:t>
      </w:r>
      <w:r w:rsidRPr="00811867">
        <w:t xml:space="preserve"> included patients with pain one month post herpes zoster, based on the assumptions to derive the probabi</w:t>
      </w:r>
      <w:r w:rsidR="003B6A0B" w:rsidRPr="00811867">
        <w:t>lity of self-resolution of PHN.</w:t>
      </w:r>
      <w:r w:rsidR="00880C4B" w:rsidRPr="00811867">
        <w:t xml:space="preserve"> This was inadequately justified. </w:t>
      </w:r>
      <w:r w:rsidR="00B106CD" w:rsidRPr="00811867">
        <w:t>P</w:t>
      </w:r>
      <w:r w:rsidR="00820E37" w:rsidRPr="00811867">
        <w:t xml:space="preserve">regabalin and lignocaine patches </w:t>
      </w:r>
      <w:r w:rsidR="00724C71" w:rsidRPr="00811867">
        <w:t>are</w:t>
      </w:r>
      <w:r w:rsidR="00820E37" w:rsidRPr="00811867">
        <w:t xml:space="preserve"> for subsequent-line therapies (therefore unlikely to be initiated at the point of PHN diagn</w:t>
      </w:r>
      <w:r w:rsidR="00820E37" w:rsidRPr="00762E1B">
        <w:t>osis).</w:t>
      </w:r>
      <w:r w:rsidR="00906E79" w:rsidRPr="00762E1B">
        <w:t xml:space="preserve"> It also appears improbable that patients one month post-rash would have exhausted all treatment options as implied by the utility value of the best supportive care state.</w:t>
      </w:r>
      <w:r w:rsidR="00EA5174" w:rsidRPr="00762E1B">
        <w:t xml:space="preserve"> This also appears to be inconsistent with the inclusion criteria for the trial</w:t>
      </w:r>
      <w:r w:rsidR="00C03622" w:rsidRPr="00762E1B">
        <w:t>,</w:t>
      </w:r>
      <w:r w:rsidR="00EA5174" w:rsidRPr="00762E1B">
        <w:t xml:space="preserve"> which required patients to have PHN </w:t>
      </w:r>
      <w:r w:rsidR="00C03622" w:rsidRPr="00762E1B">
        <w:t xml:space="preserve">for </w:t>
      </w:r>
      <w:r w:rsidR="00A849CC" w:rsidRPr="00762E1B">
        <w:t>at least</w:t>
      </w:r>
      <w:r w:rsidR="00AE37C6" w:rsidRPr="00762E1B">
        <w:t xml:space="preserve"> three months </w:t>
      </w:r>
      <w:r w:rsidR="00EA5174" w:rsidRPr="00762E1B">
        <w:t>post rash.</w:t>
      </w:r>
      <w:r w:rsidR="0015007A" w:rsidRPr="00762E1B">
        <w:t xml:space="preserve"> The PSCR (p4) provides a sensitivity analysis based on a 3-month definition for PHN, assuming slower rates of PHN resolution, and this variable had little impact on the ICER.</w:t>
      </w:r>
    </w:p>
    <w:p w:rsidR="00380915" w:rsidRPr="00811867" w:rsidRDefault="006644EF" w:rsidP="000411DE">
      <w:pPr>
        <w:pStyle w:val="ListParagraph"/>
        <w:keepNext/>
        <w:keepLines/>
        <w:widowControl/>
        <w:numPr>
          <w:ilvl w:val="0"/>
          <w:numId w:val="21"/>
        </w:numPr>
        <w:ind w:left="1077" w:hanging="357"/>
        <w:rPr>
          <w:szCs w:val="22"/>
        </w:rPr>
      </w:pPr>
      <w:r w:rsidRPr="00811867">
        <w:rPr>
          <w:szCs w:val="22"/>
        </w:rPr>
        <w:t xml:space="preserve">The assumption that there were no other effective treatment options was inadequately justified. It appears improbable that patients would persist with treatments with little benefit. The main comparator arm appeared to be constructed based on </w:t>
      </w:r>
      <w:r w:rsidR="00C319F6" w:rsidRPr="00811867">
        <w:rPr>
          <w:szCs w:val="22"/>
        </w:rPr>
        <w:t xml:space="preserve">the </w:t>
      </w:r>
      <w:r w:rsidRPr="00811867">
        <w:rPr>
          <w:szCs w:val="22"/>
        </w:rPr>
        <w:t>assumption of no effective alternative treatment.</w:t>
      </w:r>
    </w:p>
    <w:p w:rsidR="00380915" w:rsidRPr="00811867" w:rsidRDefault="006644EF" w:rsidP="00F34ABE">
      <w:pPr>
        <w:pStyle w:val="ListParagraph"/>
        <w:widowControl/>
        <w:numPr>
          <w:ilvl w:val="0"/>
          <w:numId w:val="21"/>
        </w:numPr>
        <w:rPr>
          <w:szCs w:val="22"/>
        </w:rPr>
      </w:pPr>
      <w:r w:rsidRPr="00811867">
        <w:rPr>
          <w:szCs w:val="22"/>
        </w:rPr>
        <w:t xml:space="preserve">The time horizon may be appropriate to </w:t>
      </w:r>
      <w:r w:rsidR="00107686" w:rsidRPr="00811867">
        <w:rPr>
          <w:szCs w:val="22"/>
        </w:rPr>
        <w:t xml:space="preserve">model </w:t>
      </w:r>
      <w:r w:rsidRPr="00811867">
        <w:rPr>
          <w:szCs w:val="22"/>
        </w:rPr>
        <w:t xml:space="preserve">long-term chronic patients. However, the model assumed that patients eligible for treatment were </w:t>
      </w:r>
      <w:r w:rsidRPr="00811867">
        <w:rPr>
          <w:szCs w:val="22"/>
        </w:rPr>
        <w:lastRenderedPageBreak/>
        <w:t>experiencing pain one month after acute herpes zoster. There were limited data to extrapolate beyond the trial duration.</w:t>
      </w:r>
    </w:p>
    <w:p w:rsidR="003604EE" w:rsidRPr="00811867" w:rsidRDefault="00066E7E" w:rsidP="00F34ABE">
      <w:pPr>
        <w:pStyle w:val="ListParagraph"/>
        <w:widowControl/>
        <w:numPr>
          <w:ilvl w:val="0"/>
          <w:numId w:val="21"/>
        </w:numPr>
      </w:pPr>
      <w:r w:rsidRPr="00811867">
        <w:rPr>
          <w:szCs w:val="22"/>
        </w:rPr>
        <w:t>The trial-</w:t>
      </w:r>
      <w:r w:rsidR="006644EF" w:rsidRPr="00811867">
        <w:rPr>
          <w:szCs w:val="22"/>
        </w:rPr>
        <w:t>based inputs were not robust, given the small number of PHN patients included in Trial KF10004/03 (whic</w:t>
      </w:r>
      <w:r w:rsidRPr="00811867">
        <w:rPr>
          <w:szCs w:val="22"/>
        </w:rPr>
        <w:t>h failed its primary outcome</w:t>
      </w:r>
      <w:r w:rsidR="00A03CA8" w:rsidRPr="00811867">
        <w:rPr>
          <w:szCs w:val="22"/>
        </w:rPr>
        <w:t xml:space="preserve">). </w:t>
      </w:r>
      <w:r w:rsidR="003D4A8C" w:rsidRPr="00811867">
        <w:t xml:space="preserve">These data may be subject to bias due to the open-label trial </w:t>
      </w:r>
      <w:r w:rsidR="00A03CA8" w:rsidRPr="00811867">
        <w:t xml:space="preserve">design, particularly the </w:t>
      </w:r>
      <w:r w:rsidRPr="00811867">
        <w:t>trial-based probability of discontinuation due to adverse events in the pregabalin arm</w:t>
      </w:r>
      <w:r w:rsidR="00645907" w:rsidRPr="00811867">
        <w:t>.</w:t>
      </w:r>
      <w:r w:rsidR="003604EE" w:rsidRPr="00811867">
        <w:t xml:space="preserve"> Differences in pain response</w:t>
      </w:r>
      <w:r w:rsidR="00082ECC" w:rsidRPr="00811867">
        <w:t>s that may not be statistically significantly different</w:t>
      </w:r>
      <w:r w:rsidR="003604EE" w:rsidRPr="00811867">
        <w:t xml:space="preserve"> were modelled.</w:t>
      </w:r>
    </w:p>
    <w:p w:rsidR="00645907" w:rsidRPr="00811867" w:rsidRDefault="007552FE" w:rsidP="00F34ABE">
      <w:pPr>
        <w:pStyle w:val="ListParagraph"/>
        <w:widowControl/>
        <w:numPr>
          <w:ilvl w:val="0"/>
          <w:numId w:val="21"/>
        </w:numPr>
        <w:rPr>
          <w:szCs w:val="22"/>
        </w:rPr>
      </w:pPr>
      <w:r w:rsidRPr="00811867">
        <w:t xml:space="preserve">The application of transition probabilities </w:t>
      </w:r>
      <w:r w:rsidR="00082ECC" w:rsidRPr="00811867">
        <w:t>was</w:t>
      </w:r>
      <w:r w:rsidRPr="00811867">
        <w:t xml:space="preserve"> poorly documented and did not appear to entirely correspond with the description in the submission. </w:t>
      </w:r>
    </w:p>
    <w:p w:rsidR="00D110BD" w:rsidRPr="00275C5A" w:rsidRDefault="00D110BD" w:rsidP="00F34ABE">
      <w:pPr>
        <w:widowControl/>
        <w:rPr>
          <w:szCs w:val="22"/>
        </w:rPr>
      </w:pPr>
    </w:p>
    <w:p w:rsidR="00275C5A" w:rsidRPr="00EB5C8D" w:rsidRDefault="007E5E69" w:rsidP="00F34ABE">
      <w:pPr>
        <w:pStyle w:val="ListParagraph"/>
        <w:keepNext/>
        <w:widowControl/>
        <w:rPr>
          <w:rFonts w:ascii="Arial Narrow" w:hAnsi="Arial Narrow"/>
          <w:b/>
          <w:sz w:val="20"/>
        </w:rPr>
      </w:pPr>
      <w:r w:rsidRPr="00EB5C8D">
        <w:rPr>
          <w:rFonts w:ascii="Arial Narrow" w:hAnsi="Arial Narrow"/>
          <w:b/>
          <w:sz w:val="20"/>
        </w:rPr>
        <w:t>Results of the economic evaluation (Option 1)</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Pr>
      <w:tblGrid>
        <w:gridCol w:w="2552"/>
        <w:gridCol w:w="2268"/>
        <w:gridCol w:w="2126"/>
        <w:gridCol w:w="1399"/>
      </w:tblGrid>
      <w:tr w:rsidR="00ED43F4" w:rsidRPr="00816448" w:rsidTr="00B66DE7">
        <w:trPr>
          <w:tblHeader/>
        </w:trPr>
        <w:tc>
          <w:tcPr>
            <w:tcW w:w="1529" w:type="pct"/>
          </w:tcPr>
          <w:p w:rsidR="00ED43F4" w:rsidRPr="00816448" w:rsidRDefault="00ED43F4" w:rsidP="00F34ABE">
            <w:pPr>
              <w:keepNext/>
              <w:widowControl/>
              <w:jc w:val="left"/>
              <w:rPr>
                <w:rFonts w:ascii="Arial Narrow" w:hAnsi="Arial Narrow"/>
                <w:b/>
                <w:sz w:val="20"/>
              </w:rPr>
            </w:pPr>
            <w:r w:rsidRPr="00816448">
              <w:rPr>
                <w:rFonts w:ascii="Arial Narrow" w:hAnsi="Arial Narrow"/>
                <w:b/>
                <w:sz w:val="20"/>
              </w:rPr>
              <w:t>Component</w:t>
            </w:r>
          </w:p>
        </w:tc>
        <w:tc>
          <w:tcPr>
            <w:tcW w:w="1359" w:type="pct"/>
            <w:vAlign w:val="center"/>
          </w:tcPr>
          <w:p w:rsidR="00ED43F4" w:rsidRPr="00816448" w:rsidRDefault="00ED43F4" w:rsidP="00F34ABE">
            <w:pPr>
              <w:keepNext/>
              <w:widowControl/>
              <w:jc w:val="center"/>
              <w:rPr>
                <w:rFonts w:ascii="Arial Narrow" w:hAnsi="Arial Narrow"/>
                <w:b/>
                <w:sz w:val="20"/>
              </w:rPr>
            </w:pPr>
            <w:r w:rsidRPr="00816448">
              <w:rPr>
                <w:rFonts w:ascii="Arial Narrow" w:hAnsi="Arial Narrow"/>
                <w:b/>
                <w:sz w:val="20"/>
              </w:rPr>
              <w:t>Lignocaine patch</w:t>
            </w:r>
          </w:p>
        </w:tc>
        <w:tc>
          <w:tcPr>
            <w:tcW w:w="1274" w:type="pct"/>
            <w:vAlign w:val="center"/>
          </w:tcPr>
          <w:p w:rsidR="00ED43F4" w:rsidRPr="00816448" w:rsidRDefault="00ED43F4" w:rsidP="00F34ABE">
            <w:pPr>
              <w:keepNext/>
              <w:widowControl/>
              <w:jc w:val="center"/>
              <w:rPr>
                <w:rFonts w:ascii="Arial Narrow" w:hAnsi="Arial Narrow"/>
                <w:b/>
                <w:sz w:val="20"/>
              </w:rPr>
            </w:pPr>
            <w:r w:rsidRPr="00816448">
              <w:rPr>
                <w:rFonts w:ascii="Arial Narrow" w:hAnsi="Arial Narrow"/>
                <w:b/>
                <w:sz w:val="20"/>
              </w:rPr>
              <w:t>Pregabalin</w:t>
            </w:r>
          </w:p>
        </w:tc>
        <w:tc>
          <w:tcPr>
            <w:tcW w:w="838" w:type="pct"/>
            <w:vAlign w:val="center"/>
          </w:tcPr>
          <w:p w:rsidR="00ED43F4" w:rsidRPr="00816448" w:rsidRDefault="00ED43F4" w:rsidP="00F34ABE">
            <w:pPr>
              <w:keepNext/>
              <w:widowControl/>
              <w:jc w:val="center"/>
              <w:rPr>
                <w:rFonts w:ascii="Arial Narrow" w:hAnsi="Arial Narrow"/>
                <w:b/>
                <w:sz w:val="20"/>
              </w:rPr>
            </w:pPr>
            <w:r w:rsidRPr="00816448">
              <w:rPr>
                <w:rFonts w:ascii="Arial Narrow" w:hAnsi="Arial Narrow"/>
                <w:b/>
                <w:sz w:val="20"/>
              </w:rPr>
              <w:t>Increment</w:t>
            </w:r>
          </w:p>
        </w:tc>
      </w:tr>
      <w:tr w:rsidR="00ED43F4" w:rsidRPr="00816448" w:rsidTr="00B66DE7">
        <w:tc>
          <w:tcPr>
            <w:tcW w:w="1529" w:type="pct"/>
          </w:tcPr>
          <w:p w:rsidR="00ED43F4" w:rsidRPr="00816448" w:rsidRDefault="00ED43F4" w:rsidP="00F34ABE">
            <w:pPr>
              <w:keepNext/>
              <w:widowControl/>
              <w:jc w:val="left"/>
              <w:rPr>
                <w:rFonts w:ascii="Arial Narrow" w:hAnsi="Arial Narrow"/>
                <w:sz w:val="20"/>
              </w:rPr>
            </w:pPr>
            <w:r w:rsidRPr="00816448">
              <w:rPr>
                <w:rFonts w:ascii="Arial Narrow" w:hAnsi="Arial Narrow"/>
                <w:sz w:val="20"/>
              </w:rPr>
              <w:t>Costs</w:t>
            </w:r>
          </w:p>
        </w:tc>
        <w:tc>
          <w:tcPr>
            <w:tcW w:w="1359" w:type="pct"/>
          </w:tcPr>
          <w:p w:rsidR="00ED43F4" w:rsidRPr="00816448" w:rsidRDefault="00ED43F4" w:rsidP="00F34ABE">
            <w:pPr>
              <w:keepNext/>
              <w:widowControl/>
              <w:jc w:val="center"/>
              <w:rPr>
                <w:rFonts w:ascii="Arial Narrow" w:hAnsi="Arial Narrow"/>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1274" w:type="pct"/>
          </w:tcPr>
          <w:p w:rsidR="00ED43F4" w:rsidRPr="00816448" w:rsidRDefault="00ED43F4" w:rsidP="00F34ABE">
            <w:pPr>
              <w:keepNext/>
              <w:widowControl/>
              <w:jc w:val="center"/>
              <w:rPr>
                <w:rFonts w:ascii="Arial Narrow" w:hAnsi="Arial Narrow"/>
                <w:sz w:val="20"/>
              </w:rPr>
            </w:pPr>
            <w:r w:rsidRPr="00816448">
              <w:rPr>
                <w:rFonts w:ascii="Arial Narrow" w:hAnsi="Arial Narrow"/>
                <w:sz w:val="20"/>
              </w:rPr>
              <w:t>$725</w:t>
            </w:r>
          </w:p>
        </w:tc>
        <w:tc>
          <w:tcPr>
            <w:tcW w:w="838" w:type="pct"/>
          </w:tcPr>
          <w:p w:rsidR="00ED43F4" w:rsidRPr="00816448" w:rsidRDefault="00ED43F4" w:rsidP="00F34ABE">
            <w:pPr>
              <w:keepNext/>
              <w:widowControl/>
              <w:jc w:val="center"/>
              <w:rPr>
                <w:rFonts w:ascii="Arial Narrow" w:hAnsi="Arial Narrow"/>
                <w:sz w:val="20"/>
              </w:rPr>
            </w:pPr>
            <w:r w:rsidRPr="00816448">
              <w:rPr>
                <w:rFonts w:ascii="Arial Narrow" w:hAnsi="Arial Narrow"/>
                <w:sz w:val="20"/>
              </w:rPr>
              <w:t>$</w:t>
            </w:r>
            <w:r w:rsidR="00512AF9">
              <w:rPr>
                <w:rFonts w:ascii="Arial Narrow" w:hAnsi="Arial Narrow"/>
                <w:noProof/>
                <w:color w:val="000000"/>
                <w:sz w:val="20"/>
                <w:highlight w:val="black"/>
              </w:rPr>
              <w:t>''''''''''''</w:t>
            </w:r>
          </w:p>
        </w:tc>
      </w:tr>
      <w:tr w:rsidR="00ED43F4" w:rsidRPr="00816448" w:rsidTr="00B66DE7">
        <w:tc>
          <w:tcPr>
            <w:tcW w:w="1529" w:type="pct"/>
          </w:tcPr>
          <w:p w:rsidR="00ED43F4" w:rsidRPr="00816448" w:rsidRDefault="00ED43F4" w:rsidP="00F34ABE">
            <w:pPr>
              <w:keepNext/>
              <w:widowControl/>
              <w:jc w:val="left"/>
              <w:rPr>
                <w:rFonts w:ascii="Arial Narrow" w:hAnsi="Arial Narrow"/>
                <w:sz w:val="20"/>
              </w:rPr>
            </w:pPr>
            <w:r w:rsidRPr="00816448">
              <w:rPr>
                <w:rFonts w:ascii="Arial Narrow" w:hAnsi="Arial Narrow"/>
                <w:sz w:val="20"/>
              </w:rPr>
              <w:t>QALYs</w:t>
            </w:r>
          </w:p>
        </w:tc>
        <w:tc>
          <w:tcPr>
            <w:tcW w:w="1359" w:type="pct"/>
          </w:tcPr>
          <w:p w:rsidR="00ED43F4" w:rsidRPr="00816448" w:rsidRDefault="00ED43F4" w:rsidP="00F34ABE">
            <w:pPr>
              <w:keepNext/>
              <w:widowControl/>
              <w:jc w:val="center"/>
              <w:rPr>
                <w:rFonts w:ascii="Arial Narrow" w:hAnsi="Arial Narrow"/>
                <w:sz w:val="20"/>
              </w:rPr>
            </w:pPr>
            <w:r w:rsidRPr="00816448">
              <w:rPr>
                <w:rFonts w:ascii="Arial Narrow" w:hAnsi="Arial Narrow"/>
                <w:sz w:val="20"/>
              </w:rPr>
              <w:t>3.0713</w:t>
            </w:r>
          </w:p>
        </w:tc>
        <w:tc>
          <w:tcPr>
            <w:tcW w:w="1274" w:type="pct"/>
          </w:tcPr>
          <w:p w:rsidR="00ED43F4" w:rsidRPr="00816448" w:rsidRDefault="00ED43F4" w:rsidP="00F34ABE">
            <w:pPr>
              <w:keepNext/>
              <w:widowControl/>
              <w:jc w:val="center"/>
              <w:rPr>
                <w:rFonts w:ascii="Arial Narrow" w:hAnsi="Arial Narrow"/>
                <w:sz w:val="20"/>
              </w:rPr>
            </w:pPr>
            <w:r w:rsidRPr="00816448">
              <w:rPr>
                <w:rFonts w:ascii="Arial Narrow" w:hAnsi="Arial Narrow"/>
                <w:sz w:val="20"/>
              </w:rPr>
              <w:t>3.0198</w:t>
            </w:r>
          </w:p>
        </w:tc>
        <w:tc>
          <w:tcPr>
            <w:tcW w:w="838" w:type="pct"/>
          </w:tcPr>
          <w:p w:rsidR="00ED43F4" w:rsidRPr="00816448" w:rsidRDefault="00ED43F4" w:rsidP="00F34ABE">
            <w:pPr>
              <w:keepNext/>
              <w:widowControl/>
              <w:jc w:val="center"/>
              <w:rPr>
                <w:rFonts w:ascii="Arial Narrow" w:hAnsi="Arial Narrow"/>
                <w:sz w:val="20"/>
              </w:rPr>
            </w:pPr>
            <w:r w:rsidRPr="00816448">
              <w:rPr>
                <w:rFonts w:ascii="Arial Narrow" w:hAnsi="Arial Narrow"/>
                <w:sz w:val="20"/>
              </w:rPr>
              <w:t>0.0515</w:t>
            </w:r>
          </w:p>
        </w:tc>
      </w:tr>
      <w:tr w:rsidR="00ED43F4" w:rsidRPr="00816448" w:rsidTr="00B66DE7">
        <w:tc>
          <w:tcPr>
            <w:tcW w:w="4162" w:type="pct"/>
            <w:gridSpan w:val="3"/>
          </w:tcPr>
          <w:p w:rsidR="00ED43F4" w:rsidRPr="00816448" w:rsidRDefault="00ED43F4" w:rsidP="00F34ABE">
            <w:pPr>
              <w:pStyle w:val="Tabletext"/>
              <w:keepNext/>
              <w:spacing w:after="0"/>
              <w:rPr>
                <w:rFonts w:ascii="Arial Narrow" w:hAnsi="Arial Narrow"/>
                <w:snapToGrid w:val="0"/>
              </w:rPr>
            </w:pPr>
            <w:r w:rsidRPr="00816448">
              <w:rPr>
                <w:rFonts w:ascii="Arial Narrow" w:hAnsi="Arial Narrow"/>
                <w:b/>
              </w:rPr>
              <w:t>Incremental cost/extra QALY gained</w:t>
            </w:r>
          </w:p>
        </w:tc>
        <w:tc>
          <w:tcPr>
            <w:tcW w:w="838" w:type="pct"/>
          </w:tcPr>
          <w:p w:rsidR="00ED43F4" w:rsidRPr="00816448" w:rsidRDefault="00ED43F4" w:rsidP="00F34ABE">
            <w:pPr>
              <w:keepNext/>
              <w:widowControl/>
              <w:jc w:val="center"/>
              <w:rPr>
                <w:rFonts w:ascii="Arial Narrow" w:hAnsi="Arial Narrow"/>
                <w:sz w:val="20"/>
              </w:rPr>
            </w:pPr>
            <w:r w:rsidRPr="00816448">
              <w:rPr>
                <w:rFonts w:ascii="Arial Narrow" w:hAnsi="Arial Narrow"/>
                <w:b/>
                <w:sz w:val="20"/>
              </w:rPr>
              <w:t>$</w:t>
            </w:r>
            <w:r w:rsidR="00512AF9">
              <w:rPr>
                <w:rFonts w:ascii="Arial Narrow" w:hAnsi="Arial Narrow"/>
                <w:b/>
                <w:noProof/>
                <w:color w:val="000000"/>
                <w:sz w:val="20"/>
                <w:highlight w:val="black"/>
              </w:rPr>
              <w:t>'''''''''''''</w:t>
            </w:r>
          </w:p>
        </w:tc>
      </w:tr>
    </w:tbl>
    <w:p w:rsidR="00ED43F4" w:rsidRPr="00816448" w:rsidRDefault="006231E6" w:rsidP="00F34ABE">
      <w:pPr>
        <w:pStyle w:val="ListParagraph"/>
        <w:widowControl/>
        <w:rPr>
          <w:rFonts w:ascii="Arial Narrow" w:hAnsi="Arial Narrow"/>
          <w:sz w:val="18"/>
          <w:szCs w:val="18"/>
        </w:rPr>
      </w:pPr>
      <w:r w:rsidRPr="00816448">
        <w:rPr>
          <w:rFonts w:ascii="Arial Narrow" w:hAnsi="Arial Narrow"/>
          <w:sz w:val="18"/>
          <w:szCs w:val="18"/>
        </w:rPr>
        <w:t>Source: Table D.5.1 (p194) of the submission</w:t>
      </w:r>
    </w:p>
    <w:p w:rsidR="006231E6" w:rsidRPr="00816448" w:rsidRDefault="006231E6" w:rsidP="00F34ABE">
      <w:pPr>
        <w:pStyle w:val="ListParagraph"/>
        <w:widowControl/>
        <w:rPr>
          <w:szCs w:val="22"/>
        </w:rPr>
      </w:pPr>
    </w:p>
    <w:p w:rsidR="00D110BD" w:rsidRPr="00816448" w:rsidRDefault="00CB6D49" w:rsidP="00F34ABE">
      <w:pPr>
        <w:pStyle w:val="ListParagraph"/>
        <w:keepNext/>
        <w:widowControl/>
        <w:rPr>
          <w:rFonts w:ascii="Arial Narrow" w:hAnsi="Arial Narrow"/>
          <w:b/>
          <w:sz w:val="20"/>
        </w:rPr>
      </w:pPr>
      <w:r w:rsidRPr="00816448">
        <w:rPr>
          <w:rFonts w:ascii="Arial Narrow" w:hAnsi="Arial Narrow"/>
          <w:b/>
          <w:sz w:val="20"/>
        </w:rPr>
        <w:t>Results of the economic evaluation (Option 2)</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268"/>
        <w:gridCol w:w="2126"/>
        <w:gridCol w:w="1399"/>
      </w:tblGrid>
      <w:tr w:rsidR="00F42479" w:rsidRPr="00816448" w:rsidTr="00B66DE7">
        <w:trPr>
          <w:tblHeader/>
        </w:trPr>
        <w:tc>
          <w:tcPr>
            <w:tcW w:w="1529" w:type="pct"/>
          </w:tcPr>
          <w:p w:rsidR="00F42479" w:rsidRPr="00816448" w:rsidRDefault="00F42479" w:rsidP="00F34ABE">
            <w:pPr>
              <w:keepNext/>
              <w:widowControl/>
              <w:jc w:val="left"/>
              <w:rPr>
                <w:rFonts w:ascii="Arial Narrow" w:hAnsi="Arial Narrow"/>
                <w:b/>
                <w:sz w:val="20"/>
              </w:rPr>
            </w:pPr>
            <w:r w:rsidRPr="00816448">
              <w:rPr>
                <w:rFonts w:ascii="Arial Narrow" w:hAnsi="Arial Narrow"/>
                <w:b/>
                <w:sz w:val="20"/>
              </w:rPr>
              <w:t>Component</w:t>
            </w:r>
          </w:p>
        </w:tc>
        <w:tc>
          <w:tcPr>
            <w:tcW w:w="1359" w:type="pct"/>
            <w:vAlign w:val="center"/>
          </w:tcPr>
          <w:p w:rsidR="00F42479" w:rsidRPr="00816448" w:rsidRDefault="00F42479" w:rsidP="00F34ABE">
            <w:pPr>
              <w:keepNext/>
              <w:widowControl/>
              <w:jc w:val="center"/>
              <w:rPr>
                <w:rFonts w:ascii="Arial Narrow" w:hAnsi="Arial Narrow"/>
                <w:b/>
                <w:sz w:val="20"/>
              </w:rPr>
            </w:pPr>
            <w:r w:rsidRPr="00816448">
              <w:rPr>
                <w:rFonts w:ascii="Arial Narrow" w:hAnsi="Arial Narrow"/>
                <w:b/>
                <w:sz w:val="20"/>
              </w:rPr>
              <w:t>Lignocaine patch</w:t>
            </w:r>
          </w:p>
        </w:tc>
        <w:tc>
          <w:tcPr>
            <w:tcW w:w="1274" w:type="pct"/>
            <w:vAlign w:val="center"/>
          </w:tcPr>
          <w:p w:rsidR="00F42479" w:rsidRPr="00816448" w:rsidRDefault="00F42479" w:rsidP="00F34ABE">
            <w:pPr>
              <w:keepNext/>
              <w:widowControl/>
              <w:jc w:val="center"/>
              <w:rPr>
                <w:rFonts w:ascii="Arial Narrow" w:hAnsi="Arial Narrow"/>
                <w:b/>
                <w:sz w:val="20"/>
              </w:rPr>
            </w:pPr>
            <w:r w:rsidRPr="00816448">
              <w:rPr>
                <w:rFonts w:ascii="Arial Narrow" w:hAnsi="Arial Narrow"/>
                <w:b/>
                <w:sz w:val="20"/>
              </w:rPr>
              <w:t>Comparator</w:t>
            </w:r>
          </w:p>
        </w:tc>
        <w:tc>
          <w:tcPr>
            <w:tcW w:w="838" w:type="pct"/>
            <w:vAlign w:val="center"/>
          </w:tcPr>
          <w:p w:rsidR="00F42479" w:rsidRPr="00816448" w:rsidRDefault="00F42479" w:rsidP="00F34ABE">
            <w:pPr>
              <w:keepNext/>
              <w:widowControl/>
              <w:jc w:val="center"/>
              <w:rPr>
                <w:rFonts w:ascii="Arial Narrow" w:hAnsi="Arial Narrow"/>
                <w:b/>
                <w:sz w:val="20"/>
              </w:rPr>
            </w:pPr>
            <w:r w:rsidRPr="00816448">
              <w:rPr>
                <w:rFonts w:ascii="Arial Narrow" w:hAnsi="Arial Narrow"/>
                <w:b/>
                <w:sz w:val="20"/>
              </w:rPr>
              <w:t>Increment</w:t>
            </w:r>
          </w:p>
        </w:tc>
      </w:tr>
      <w:tr w:rsidR="00F42479" w:rsidRPr="00816448" w:rsidTr="00F42479">
        <w:tc>
          <w:tcPr>
            <w:tcW w:w="5000" w:type="pct"/>
            <w:gridSpan w:val="4"/>
          </w:tcPr>
          <w:p w:rsidR="00F42479" w:rsidRPr="00816448" w:rsidRDefault="00F42479" w:rsidP="00F34ABE">
            <w:pPr>
              <w:keepNext/>
              <w:widowControl/>
              <w:jc w:val="left"/>
              <w:rPr>
                <w:rFonts w:ascii="Arial Narrow" w:hAnsi="Arial Narrow"/>
                <w:sz w:val="20"/>
              </w:rPr>
            </w:pPr>
            <w:r w:rsidRPr="00816448">
              <w:rPr>
                <w:rFonts w:ascii="Arial Narrow" w:hAnsi="Arial Narrow"/>
                <w:b/>
                <w:sz w:val="20"/>
              </w:rPr>
              <w:t>Patients  with pain refractory to pregabalin (comparator: pregabalin)</w:t>
            </w:r>
          </w:p>
        </w:tc>
      </w:tr>
      <w:tr w:rsidR="00F42479" w:rsidRPr="00816448" w:rsidTr="00B66DE7">
        <w:tc>
          <w:tcPr>
            <w:tcW w:w="1529" w:type="pct"/>
          </w:tcPr>
          <w:p w:rsidR="00F42479" w:rsidRPr="00816448" w:rsidRDefault="00F42479" w:rsidP="00F34ABE">
            <w:pPr>
              <w:keepNext/>
              <w:widowControl/>
              <w:jc w:val="left"/>
              <w:rPr>
                <w:rFonts w:ascii="Arial Narrow" w:hAnsi="Arial Narrow"/>
                <w:sz w:val="20"/>
              </w:rPr>
            </w:pPr>
            <w:r w:rsidRPr="00816448">
              <w:rPr>
                <w:rFonts w:ascii="Arial Narrow" w:hAnsi="Arial Narrow"/>
                <w:sz w:val="20"/>
              </w:rPr>
              <w:t>Costs</w:t>
            </w:r>
          </w:p>
        </w:tc>
        <w:tc>
          <w:tcPr>
            <w:tcW w:w="1359" w:type="pct"/>
          </w:tcPr>
          <w:p w:rsidR="00F42479" w:rsidRPr="00816448" w:rsidRDefault="00F42479" w:rsidP="00F34ABE">
            <w:pPr>
              <w:keepNext/>
              <w:widowControl/>
              <w:jc w:val="center"/>
              <w:rPr>
                <w:rFonts w:ascii="Arial Narrow" w:hAnsi="Arial Narrow"/>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1274" w:type="pct"/>
          </w:tcPr>
          <w:p w:rsidR="00F42479" w:rsidRPr="00816448" w:rsidRDefault="00F42479" w:rsidP="00F34ABE">
            <w:pPr>
              <w:keepNext/>
              <w:widowControl/>
              <w:jc w:val="center"/>
              <w:rPr>
                <w:rFonts w:ascii="Arial Narrow" w:hAnsi="Arial Narrow"/>
                <w:sz w:val="20"/>
              </w:rPr>
            </w:pPr>
            <w:r w:rsidRPr="00816448">
              <w:rPr>
                <w:rFonts w:ascii="Arial Narrow" w:hAnsi="Arial Narrow"/>
                <w:sz w:val="20"/>
              </w:rPr>
              <w:t>$725</w:t>
            </w:r>
          </w:p>
        </w:tc>
        <w:tc>
          <w:tcPr>
            <w:tcW w:w="838" w:type="pct"/>
          </w:tcPr>
          <w:p w:rsidR="00F42479" w:rsidRPr="00816448" w:rsidRDefault="00F42479" w:rsidP="00F34ABE">
            <w:pPr>
              <w:keepNext/>
              <w:widowControl/>
              <w:jc w:val="center"/>
              <w:rPr>
                <w:rFonts w:ascii="Arial Narrow" w:hAnsi="Arial Narrow"/>
                <w:sz w:val="20"/>
              </w:rPr>
            </w:pPr>
            <w:r w:rsidRPr="00816448">
              <w:rPr>
                <w:rFonts w:ascii="Arial Narrow" w:hAnsi="Arial Narrow"/>
                <w:sz w:val="20"/>
              </w:rPr>
              <w:t>$</w:t>
            </w:r>
            <w:r w:rsidR="00512AF9">
              <w:rPr>
                <w:rFonts w:ascii="Arial Narrow" w:hAnsi="Arial Narrow"/>
                <w:noProof/>
                <w:color w:val="000000"/>
                <w:sz w:val="20"/>
                <w:highlight w:val="black"/>
              </w:rPr>
              <w:t>'''''''''''''</w:t>
            </w:r>
          </w:p>
        </w:tc>
      </w:tr>
      <w:tr w:rsidR="00F42479" w:rsidRPr="00816448" w:rsidTr="008B1A48">
        <w:tc>
          <w:tcPr>
            <w:tcW w:w="1529" w:type="pct"/>
            <w:tcBorders>
              <w:bottom w:val="single" w:sz="4" w:space="0" w:color="auto"/>
            </w:tcBorders>
          </w:tcPr>
          <w:p w:rsidR="00F42479" w:rsidRPr="00816448" w:rsidRDefault="00F42479" w:rsidP="00F34ABE">
            <w:pPr>
              <w:keepNext/>
              <w:widowControl/>
              <w:jc w:val="left"/>
              <w:rPr>
                <w:rFonts w:ascii="Arial Narrow" w:hAnsi="Arial Narrow"/>
                <w:sz w:val="20"/>
              </w:rPr>
            </w:pPr>
            <w:r w:rsidRPr="00816448">
              <w:rPr>
                <w:rFonts w:ascii="Arial Narrow" w:hAnsi="Arial Narrow"/>
                <w:sz w:val="20"/>
              </w:rPr>
              <w:t>QALYs</w:t>
            </w:r>
          </w:p>
        </w:tc>
        <w:tc>
          <w:tcPr>
            <w:tcW w:w="1359" w:type="pct"/>
            <w:tcBorders>
              <w:bottom w:val="single" w:sz="4" w:space="0" w:color="auto"/>
            </w:tcBorders>
          </w:tcPr>
          <w:p w:rsidR="00F42479" w:rsidRPr="00816448" w:rsidRDefault="00F42479" w:rsidP="00F34ABE">
            <w:pPr>
              <w:keepNext/>
              <w:widowControl/>
              <w:jc w:val="center"/>
              <w:rPr>
                <w:rFonts w:ascii="Arial Narrow" w:hAnsi="Arial Narrow"/>
                <w:sz w:val="20"/>
              </w:rPr>
            </w:pPr>
            <w:r w:rsidRPr="00816448">
              <w:rPr>
                <w:rFonts w:ascii="Arial Narrow" w:hAnsi="Arial Narrow"/>
                <w:sz w:val="20"/>
              </w:rPr>
              <w:t>3.0664</w:t>
            </w:r>
          </w:p>
        </w:tc>
        <w:tc>
          <w:tcPr>
            <w:tcW w:w="1274" w:type="pct"/>
            <w:tcBorders>
              <w:bottom w:val="single" w:sz="4" w:space="0" w:color="auto"/>
            </w:tcBorders>
          </w:tcPr>
          <w:p w:rsidR="00F42479" w:rsidRPr="00816448" w:rsidRDefault="00F42479" w:rsidP="00F34ABE">
            <w:pPr>
              <w:keepNext/>
              <w:widowControl/>
              <w:jc w:val="center"/>
              <w:rPr>
                <w:rFonts w:ascii="Arial Narrow" w:hAnsi="Arial Narrow"/>
                <w:sz w:val="20"/>
              </w:rPr>
            </w:pPr>
            <w:r w:rsidRPr="00816448">
              <w:rPr>
                <w:rFonts w:ascii="Arial Narrow" w:hAnsi="Arial Narrow"/>
                <w:sz w:val="20"/>
              </w:rPr>
              <w:t>3.0198</w:t>
            </w:r>
          </w:p>
        </w:tc>
        <w:tc>
          <w:tcPr>
            <w:tcW w:w="838" w:type="pct"/>
            <w:tcBorders>
              <w:bottom w:val="single" w:sz="4" w:space="0" w:color="auto"/>
            </w:tcBorders>
          </w:tcPr>
          <w:p w:rsidR="00F42479" w:rsidRPr="00816448" w:rsidRDefault="00F42479" w:rsidP="00F34ABE">
            <w:pPr>
              <w:keepNext/>
              <w:widowControl/>
              <w:jc w:val="center"/>
              <w:rPr>
                <w:rFonts w:ascii="Arial Narrow" w:hAnsi="Arial Narrow"/>
                <w:sz w:val="20"/>
              </w:rPr>
            </w:pPr>
            <w:r w:rsidRPr="00816448">
              <w:rPr>
                <w:rFonts w:ascii="Arial Narrow" w:hAnsi="Arial Narrow"/>
                <w:sz w:val="20"/>
              </w:rPr>
              <w:t>0.0466</w:t>
            </w:r>
          </w:p>
        </w:tc>
      </w:tr>
      <w:tr w:rsidR="00F42479" w:rsidRPr="00816448" w:rsidTr="008B1A48">
        <w:tc>
          <w:tcPr>
            <w:tcW w:w="4162" w:type="pct"/>
            <w:gridSpan w:val="3"/>
            <w:tcBorders>
              <w:bottom w:val="double" w:sz="4" w:space="0" w:color="auto"/>
            </w:tcBorders>
          </w:tcPr>
          <w:p w:rsidR="00F42479" w:rsidRPr="00816448" w:rsidRDefault="00F42479" w:rsidP="00F34ABE">
            <w:pPr>
              <w:pStyle w:val="Tabletext"/>
              <w:keepNext/>
              <w:spacing w:after="0"/>
              <w:rPr>
                <w:rFonts w:ascii="Arial Narrow" w:hAnsi="Arial Narrow"/>
                <w:snapToGrid w:val="0"/>
              </w:rPr>
            </w:pPr>
            <w:r w:rsidRPr="00816448">
              <w:rPr>
                <w:rFonts w:ascii="Arial Narrow" w:hAnsi="Arial Narrow"/>
                <w:b/>
              </w:rPr>
              <w:t>Incremental cost/extra QALY gained</w:t>
            </w:r>
          </w:p>
        </w:tc>
        <w:tc>
          <w:tcPr>
            <w:tcW w:w="838" w:type="pct"/>
            <w:tcBorders>
              <w:bottom w:val="double" w:sz="4" w:space="0" w:color="auto"/>
            </w:tcBorders>
          </w:tcPr>
          <w:p w:rsidR="00F42479" w:rsidRPr="00816448" w:rsidRDefault="00F42479" w:rsidP="00F34ABE">
            <w:pPr>
              <w:keepNext/>
              <w:widowControl/>
              <w:jc w:val="center"/>
              <w:rPr>
                <w:rFonts w:ascii="Arial Narrow" w:hAnsi="Arial Narrow"/>
                <w:sz w:val="20"/>
              </w:rPr>
            </w:pPr>
            <w:r w:rsidRPr="00816448">
              <w:rPr>
                <w:rFonts w:ascii="Arial Narrow" w:hAnsi="Arial Narrow"/>
                <w:b/>
                <w:sz w:val="20"/>
              </w:rPr>
              <w:t>$</w:t>
            </w:r>
            <w:r w:rsidR="00512AF9">
              <w:rPr>
                <w:rFonts w:ascii="Arial Narrow" w:hAnsi="Arial Narrow"/>
                <w:b/>
                <w:noProof/>
                <w:color w:val="000000"/>
                <w:sz w:val="20"/>
                <w:highlight w:val="black"/>
              </w:rPr>
              <w:t>''''''''''''</w:t>
            </w:r>
          </w:p>
        </w:tc>
      </w:tr>
      <w:tr w:rsidR="00F42479" w:rsidRPr="00816448" w:rsidTr="00F42479">
        <w:tc>
          <w:tcPr>
            <w:tcW w:w="5000" w:type="pct"/>
            <w:gridSpan w:val="4"/>
            <w:tcBorders>
              <w:top w:val="double" w:sz="4" w:space="0" w:color="auto"/>
            </w:tcBorders>
          </w:tcPr>
          <w:p w:rsidR="00F42479" w:rsidRPr="00816448" w:rsidRDefault="00377169" w:rsidP="00F34ABE">
            <w:pPr>
              <w:keepNext/>
              <w:widowControl/>
              <w:jc w:val="left"/>
              <w:rPr>
                <w:rFonts w:ascii="Arial Narrow" w:hAnsi="Arial Narrow"/>
                <w:sz w:val="20"/>
              </w:rPr>
            </w:pPr>
            <w:r w:rsidRPr="00816448">
              <w:rPr>
                <w:rFonts w:ascii="Arial Narrow" w:hAnsi="Arial Narrow"/>
                <w:b/>
                <w:sz w:val="20"/>
              </w:rPr>
              <w:t xml:space="preserve">Sensitivity analysis: </w:t>
            </w:r>
            <w:r w:rsidR="00F42479" w:rsidRPr="00816448">
              <w:rPr>
                <w:rFonts w:ascii="Arial Narrow" w:hAnsi="Arial Narrow"/>
                <w:b/>
                <w:sz w:val="20"/>
              </w:rPr>
              <w:t>Patients unsuitable for pregabalin (comparator: best supportive care)</w:t>
            </w:r>
          </w:p>
        </w:tc>
      </w:tr>
      <w:tr w:rsidR="00F42479" w:rsidRPr="00816448" w:rsidTr="00F42479">
        <w:tc>
          <w:tcPr>
            <w:tcW w:w="1529" w:type="pct"/>
          </w:tcPr>
          <w:p w:rsidR="00F42479" w:rsidRPr="00816448" w:rsidRDefault="00F42479" w:rsidP="00F34ABE">
            <w:pPr>
              <w:keepNext/>
              <w:widowControl/>
              <w:jc w:val="left"/>
              <w:rPr>
                <w:rFonts w:ascii="Arial Narrow" w:hAnsi="Arial Narrow"/>
                <w:sz w:val="20"/>
              </w:rPr>
            </w:pPr>
            <w:r w:rsidRPr="00816448">
              <w:rPr>
                <w:rFonts w:ascii="Arial Narrow" w:hAnsi="Arial Narrow"/>
                <w:sz w:val="20"/>
              </w:rPr>
              <w:t>Costs</w:t>
            </w:r>
          </w:p>
        </w:tc>
        <w:tc>
          <w:tcPr>
            <w:tcW w:w="1359" w:type="pct"/>
          </w:tcPr>
          <w:p w:rsidR="00F42479" w:rsidRPr="00816448" w:rsidRDefault="00F42479" w:rsidP="00F34ABE">
            <w:pPr>
              <w:keepNext/>
              <w:widowControl/>
              <w:jc w:val="center"/>
              <w:rPr>
                <w:rFonts w:ascii="Arial Narrow" w:hAnsi="Arial Narrow"/>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1274" w:type="pct"/>
          </w:tcPr>
          <w:p w:rsidR="00F42479" w:rsidRPr="00816448" w:rsidRDefault="00F42479" w:rsidP="00F34ABE">
            <w:pPr>
              <w:keepNext/>
              <w:widowControl/>
              <w:jc w:val="center"/>
              <w:rPr>
                <w:rFonts w:ascii="Arial Narrow" w:hAnsi="Arial Narrow"/>
                <w:sz w:val="20"/>
              </w:rPr>
            </w:pPr>
            <w:r w:rsidRPr="00816448">
              <w:rPr>
                <w:rFonts w:ascii="Arial Narrow" w:hAnsi="Arial Narrow"/>
                <w:sz w:val="20"/>
              </w:rPr>
              <w:t>$0</w:t>
            </w:r>
          </w:p>
        </w:tc>
        <w:tc>
          <w:tcPr>
            <w:tcW w:w="838" w:type="pct"/>
            <w:vAlign w:val="center"/>
          </w:tcPr>
          <w:p w:rsidR="00F42479" w:rsidRPr="00816448" w:rsidRDefault="00F42479" w:rsidP="00F34ABE">
            <w:pPr>
              <w:keepNext/>
              <w:widowControl/>
              <w:jc w:val="center"/>
              <w:rPr>
                <w:rFonts w:ascii="Arial Narrow" w:hAnsi="Arial Narrow"/>
                <w:sz w:val="20"/>
              </w:rPr>
            </w:pPr>
            <w:r w:rsidRPr="00816448">
              <w:rPr>
                <w:rFonts w:ascii="Arial Narrow" w:hAnsi="Arial Narrow"/>
                <w:sz w:val="20"/>
              </w:rPr>
              <w:t>$</w:t>
            </w:r>
            <w:r w:rsidR="00512AF9">
              <w:rPr>
                <w:rFonts w:ascii="Arial Narrow" w:hAnsi="Arial Narrow"/>
                <w:noProof/>
                <w:color w:val="000000"/>
                <w:sz w:val="20"/>
                <w:highlight w:val="black"/>
              </w:rPr>
              <w:t>''''''''''</w:t>
            </w:r>
          </w:p>
        </w:tc>
      </w:tr>
      <w:tr w:rsidR="00F42479" w:rsidRPr="00816448" w:rsidTr="00816448">
        <w:trPr>
          <w:trHeight w:val="70"/>
        </w:trPr>
        <w:tc>
          <w:tcPr>
            <w:tcW w:w="1529" w:type="pct"/>
          </w:tcPr>
          <w:p w:rsidR="00F42479" w:rsidRPr="00816448" w:rsidRDefault="00F42479" w:rsidP="00F34ABE">
            <w:pPr>
              <w:keepNext/>
              <w:widowControl/>
              <w:jc w:val="left"/>
              <w:rPr>
                <w:rFonts w:ascii="Arial Narrow" w:hAnsi="Arial Narrow"/>
                <w:sz w:val="20"/>
              </w:rPr>
            </w:pPr>
            <w:r w:rsidRPr="00816448">
              <w:rPr>
                <w:rFonts w:ascii="Arial Narrow" w:hAnsi="Arial Narrow"/>
                <w:sz w:val="20"/>
              </w:rPr>
              <w:t>QALYs</w:t>
            </w:r>
          </w:p>
        </w:tc>
        <w:tc>
          <w:tcPr>
            <w:tcW w:w="1359" w:type="pct"/>
          </w:tcPr>
          <w:p w:rsidR="00F42479" w:rsidRPr="00816448" w:rsidRDefault="00F42479" w:rsidP="00F34ABE">
            <w:pPr>
              <w:keepNext/>
              <w:widowControl/>
              <w:jc w:val="center"/>
              <w:rPr>
                <w:rFonts w:ascii="Arial Narrow" w:hAnsi="Arial Narrow"/>
                <w:sz w:val="20"/>
              </w:rPr>
            </w:pPr>
            <w:r w:rsidRPr="00816448">
              <w:rPr>
                <w:rFonts w:ascii="Arial Narrow" w:hAnsi="Arial Narrow"/>
                <w:sz w:val="20"/>
              </w:rPr>
              <w:t>3.0405</w:t>
            </w:r>
          </w:p>
        </w:tc>
        <w:tc>
          <w:tcPr>
            <w:tcW w:w="1274" w:type="pct"/>
          </w:tcPr>
          <w:p w:rsidR="00F42479" w:rsidRPr="00816448" w:rsidRDefault="00F42479" w:rsidP="00F34ABE">
            <w:pPr>
              <w:keepNext/>
              <w:widowControl/>
              <w:jc w:val="center"/>
              <w:rPr>
                <w:rFonts w:ascii="Arial Narrow" w:hAnsi="Arial Narrow"/>
                <w:sz w:val="20"/>
              </w:rPr>
            </w:pPr>
            <w:r w:rsidRPr="00816448">
              <w:rPr>
                <w:rFonts w:ascii="Arial Narrow" w:hAnsi="Arial Narrow"/>
                <w:sz w:val="20"/>
              </w:rPr>
              <w:t>3.0021</w:t>
            </w:r>
          </w:p>
        </w:tc>
        <w:tc>
          <w:tcPr>
            <w:tcW w:w="838" w:type="pct"/>
            <w:vAlign w:val="center"/>
          </w:tcPr>
          <w:p w:rsidR="00F42479" w:rsidRPr="00816448" w:rsidRDefault="00F42479" w:rsidP="00F34ABE">
            <w:pPr>
              <w:keepNext/>
              <w:widowControl/>
              <w:jc w:val="center"/>
              <w:rPr>
                <w:rFonts w:ascii="Arial Narrow" w:hAnsi="Arial Narrow"/>
                <w:sz w:val="20"/>
              </w:rPr>
            </w:pPr>
            <w:r w:rsidRPr="00816448">
              <w:rPr>
                <w:rFonts w:ascii="Arial Narrow" w:hAnsi="Arial Narrow"/>
                <w:sz w:val="20"/>
              </w:rPr>
              <w:t>0.0384</w:t>
            </w:r>
          </w:p>
        </w:tc>
      </w:tr>
      <w:tr w:rsidR="00F42479" w:rsidRPr="00980C60" w:rsidTr="00F42479">
        <w:tc>
          <w:tcPr>
            <w:tcW w:w="4162" w:type="pct"/>
            <w:gridSpan w:val="3"/>
          </w:tcPr>
          <w:p w:rsidR="00F42479" w:rsidRPr="00816448" w:rsidRDefault="00F42479" w:rsidP="00F34ABE">
            <w:pPr>
              <w:pStyle w:val="Tabletext"/>
              <w:keepNext/>
              <w:spacing w:after="0"/>
              <w:rPr>
                <w:rFonts w:ascii="Arial Narrow" w:hAnsi="Arial Narrow"/>
                <w:snapToGrid w:val="0"/>
              </w:rPr>
            </w:pPr>
            <w:r w:rsidRPr="00816448">
              <w:rPr>
                <w:rFonts w:ascii="Arial Narrow" w:hAnsi="Arial Narrow"/>
                <w:b/>
              </w:rPr>
              <w:t>Incremental cost/extra QALY gained</w:t>
            </w:r>
          </w:p>
        </w:tc>
        <w:tc>
          <w:tcPr>
            <w:tcW w:w="838" w:type="pct"/>
            <w:vAlign w:val="center"/>
          </w:tcPr>
          <w:p w:rsidR="00F42479" w:rsidRPr="00980C60" w:rsidRDefault="00F42479" w:rsidP="00F34ABE">
            <w:pPr>
              <w:keepNext/>
              <w:widowControl/>
              <w:jc w:val="center"/>
              <w:rPr>
                <w:rFonts w:ascii="Arial Narrow" w:hAnsi="Arial Narrow"/>
                <w:sz w:val="20"/>
              </w:rPr>
            </w:pPr>
            <w:r w:rsidRPr="00816448">
              <w:rPr>
                <w:rFonts w:ascii="Arial Narrow" w:hAnsi="Arial Narrow"/>
                <w:b/>
                <w:sz w:val="20"/>
              </w:rPr>
              <w:t>$</w:t>
            </w:r>
            <w:r w:rsidR="00512AF9">
              <w:rPr>
                <w:rFonts w:ascii="Arial Narrow" w:hAnsi="Arial Narrow"/>
                <w:b/>
                <w:noProof/>
                <w:color w:val="000000"/>
                <w:sz w:val="20"/>
                <w:highlight w:val="black"/>
              </w:rPr>
              <w:t>'''''''''''''</w:t>
            </w:r>
          </w:p>
        </w:tc>
      </w:tr>
    </w:tbl>
    <w:p w:rsidR="00D110BD" w:rsidRPr="006231E6" w:rsidRDefault="006231E6" w:rsidP="00F34ABE">
      <w:pPr>
        <w:widowControl/>
        <w:ind w:firstLine="709"/>
        <w:rPr>
          <w:rFonts w:ascii="Arial Narrow" w:hAnsi="Arial Narrow"/>
          <w:sz w:val="18"/>
          <w:szCs w:val="18"/>
        </w:rPr>
      </w:pPr>
      <w:r w:rsidRPr="006231E6">
        <w:rPr>
          <w:rFonts w:ascii="Arial Narrow" w:hAnsi="Arial Narrow"/>
          <w:sz w:val="18"/>
          <w:szCs w:val="18"/>
        </w:rPr>
        <w:t>Source: Table D.5.2 (p194) of the submission and additional results calculated using the model</w:t>
      </w:r>
    </w:p>
    <w:p w:rsidR="006231E6" w:rsidRDefault="006231E6" w:rsidP="00F34ABE">
      <w:pPr>
        <w:widowControl/>
        <w:rPr>
          <w:szCs w:val="22"/>
        </w:rPr>
      </w:pPr>
    </w:p>
    <w:p w:rsidR="00AC6BA1" w:rsidRPr="00AC6BA1" w:rsidRDefault="00AC6BA1" w:rsidP="00AC6BA1">
      <w:pPr>
        <w:widowControl/>
        <w:rPr>
          <w:szCs w:val="22"/>
        </w:rPr>
      </w:pPr>
    </w:p>
    <w:p w:rsidR="00AC6BA1" w:rsidRDefault="00AC6BA1" w:rsidP="00AF54DE">
      <w:pPr>
        <w:pStyle w:val="ListParagraph"/>
        <w:widowControl/>
        <w:numPr>
          <w:ilvl w:val="1"/>
          <w:numId w:val="7"/>
        </w:numPr>
        <w:rPr>
          <w:szCs w:val="22"/>
        </w:rPr>
      </w:pPr>
      <w:r w:rsidRPr="00AC6BA1">
        <w:rPr>
          <w:szCs w:val="22"/>
        </w:rPr>
        <w:t>The redacted tables above show ICERs in the range of $15,000/QALY - $45,000/QALY</w:t>
      </w:r>
    </w:p>
    <w:p w:rsidR="00AC6BA1" w:rsidRPr="007D26B3" w:rsidRDefault="00AC6BA1" w:rsidP="00F34ABE">
      <w:pPr>
        <w:widowControl/>
        <w:rPr>
          <w:szCs w:val="22"/>
        </w:rPr>
      </w:pPr>
    </w:p>
    <w:p w:rsidR="000853B3" w:rsidRDefault="000853B3" w:rsidP="00F34ABE">
      <w:pPr>
        <w:pStyle w:val="ListParagraph"/>
        <w:widowControl/>
        <w:numPr>
          <w:ilvl w:val="1"/>
          <w:numId w:val="7"/>
        </w:numPr>
        <w:rPr>
          <w:szCs w:val="22"/>
        </w:rPr>
      </w:pPr>
      <w:r w:rsidRPr="00401BCB">
        <w:rPr>
          <w:szCs w:val="22"/>
        </w:rPr>
        <w:t>The results were not reasonable, gi</w:t>
      </w:r>
      <w:r w:rsidR="006E5441" w:rsidRPr="00401BCB">
        <w:rPr>
          <w:szCs w:val="22"/>
        </w:rPr>
        <w:t xml:space="preserve">ven the flawed model structure </w:t>
      </w:r>
      <w:r w:rsidRPr="00401BCB">
        <w:rPr>
          <w:szCs w:val="22"/>
        </w:rPr>
        <w:t>and the various inadequately ju</w:t>
      </w:r>
      <w:r w:rsidR="006E5441" w:rsidRPr="00401BCB">
        <w:rPr>
          <w:szCs w:val="22"/>
        </w:rPr>
        <w:t>stified and/or uncertain inputs</w:t>
      </w:r>
      <w:r w:rsidRPr="00401BCB">
        <w:rPr>
          <w:szCs w:val="22"/>
        </w:rPr>
        <w:t>. The results were highly biased in favour of lignocaine patch.</w:t>
      </w:r>
      <w:r w:rsidR="00EA5174" w:rsidRPr="00401BCB">
        <w:rPr>
          <w:szCs w:val="22"/>
        </w:rPr>
        <w:t xml:space="preserve"> The ESC was of the view that the model structure cannot be relied upon.</w:t>
      </w:r>
      <w:r w:rsidR="00BA480F" w:rsidRPr="00401BCB">
        <w:rPr>
          <w:szCs w:val="22"/>
        </w:rPr>
        <w:t xml:space="preserve"> </w:t>
      </w:r>
    </w:p>
    <w:p w:rsidR="00E64C32" w:rsidRPr="00401BCB" w:rsidRDefault="00E64C32" w:rsidP="00E64C32">
      <w:pPr>
        <w:pStyle w:val="ListParagraph"/>
        <w:widowControl/>
        <w:rPr>
          <w:szCs w:val="22"/>
        </w:rPr>
      </w:pPr>
    </w:p>
    <w:p w:rsidR="000411DE" w:rsidRPr="000411DE" w:rsidRDefault="006B70D8" w:rsidP="00F34ABE">
      <w:pPr>
        <w:pStyle w:val="ListParagraph"/>
        <w:widowControl/>
        <w:numPr>
          <w:ilvl w:val="1"/>
          <w:numId w:val="7"/>
        </w:numPr>
        <w:rPr>
          <w:szCs w:val="22"/>
        </w:rPr>
      </w:pPr>
      <w:r w:rsidRPr="00811867">
        <w:t xml:space="preserve">The model was most sensitive to the assumed utility values for the various treatment/health states, in particular ‘best supportive care’ and ‘pregabalin plus best supportive care’ states. </w:t>
      </w:r>
      <w:r w:rsidR="005F20AD" w:rsidRPr="00811867">
        <w:t>Halving the treatment-related utility gain resulted in the doubling of the incremental cost-effectiveness ratios (ICERs).</w:t>
      </w:r>
      <w:r w:rsidRPr="00811867">
        <w:t xml:space="preserve"> </w:t>
      </w:r>
      <w:r w:rsidR="000038D3" w:rsidRPr="00811867">
        <w:t>The model was also highly sensitive to i</w:t>
      </w:r>
      <w:r w:rsidR="005F20AD" w:rsidRPr="00811867">
        <w:t xml:space="preserve">ncreasing the ‘placebo-response’ </w:t>
      </w:r>
      <w:r w:rsidR="000038D3" w:rsidRPr="00811867">
        <w:t xml:space="preserve">for the ‘best supportive care’ and ‘pregabalin </w:t>
      </w:r>
      <w:r w:rsidR="0013173B" w:rsidRPr="00811867">
        <w:t>plus</w:t>
      </w:r>
      <w:r w:rsidR="000038D3" w:rsidRPr="00811867">
        <w:t xml:space="preserve"> best supportive care’ states (therefore was dependent on the </w:t>
      </w:r>
      <w:r w:rsidR="007652F1" w:rsidRPr="00811867">
        <w:t xml:space="preserve">inadequately </w:t>
      </w:r>
      <w:r w:rsidR="00C50F70" w:rsidRPr="00811867">
        <w:t xml:space="preserve">justified </w:t>
      </w:r>
      <w:r w:rsidR="000038D3" w:rsidRPr="00811867">
        <w:t>assumption of no other effective treatment in practice).</w:t>
      </w:r>
      <w:r w:rsidR="00EA5174" w:rsidRPr="00811867">
        <w:t xml:space="preserve"> </w:t>
      </w:r>
    </w:p>
    <w:p w:rsidR="000411DE" w:rsidRDefault="000411DE" w:rsidP="000411DE">
      <w:pPr>
        <w:pStyle w:val="ListParagraph"/>
      </w:pPr>
    </w:p>
    <w:p w:rsidR="006B70D8" w:rsidRPr="00F56D76" w:rsidRDefault="00EA5174" w:rsidP="000411DE">
      <w:pPr>
        <w:pStyle w:val="ListParagraph"/>
        <w:widowControl/>
        <w:rPr>
          <w:szCs w:val="22"/>
        </w:rPr>
      </w:pPr>
      <w:r w:rsidRPr="00811867">
        <w:t>Given the small number of patients informing the utility values, and the heterogeneity in individual utility valu</w:t>
      </w:r>
      <w:r w:rsidRPr="00D92484">
        <w:t>es</w:t>
      </w:r>
      <w:r w:rsidR="00171C75" w:rsidRPr="00D92484">
        <w:t xml:space="preserve"> (see paragraph 6.</w:t>
      </w:r>
      <w:r w:rsidR="00F56D76" w:rsidRPr="00D92484">
        <w:t>12</w:t>
      </w:r>
      <w:r w:rsidR="00171C75" w:rsidRPr="00D92484">
        <w:t>)</w:t>
      </w:r>
      <w:r w:rsidRPr="00D92484">
        <w:t>, this suggests that the model</w:t>
      </w:r>
      <w:r w:rsidR="00C03622" w:rsidRPr="00D92484">
        <w:t>led</w:t>
      </w:r>
      <w:r w:rsidRPr="00D92484">
        <w:t xml:space="preserve"> utility gains are not robust.</w:t>
      </w:r>
    </w:p>
    <w:p w:rsidR="00F56D76" w:rsidRPr="00F56D76" w:rsidRDefault="00F56D76" w:rsidP="00F34ABE">
      <w:pPr>
        <w:pStyle w:val="ListParagraph"/>
        <w:widowControl/>
        <w:rPr>
          <w:szCs w:val="22"/>
        </w:rPr>
      </w:pPr>
    </w:p>
    <w:p w:rsidR="00F56D76" w:rsidRPr="00962F71" w:rsidRDefault="00F56D76" w:rsidP="00F34ABE">
      <w:pPr>
        <w:pStyle w:val="ListParagraph"/>
        <w:widowControl/>
        <w:numPr>
          <w:ilvl w:val="1"/>
          <w:numId w:val="7"/>
        </w:numPr>
        <w:rPr>
          <w:szCs w:val="22"/>
        </w:rPr>
      </w:pPr>
      <w:r w:rsidRPr="00962F71">
        <w:rPr>
          <w:szCs w:val="22"/>
        </w:rPr>
        <w:lastRenderedPageBreak/>
        <w:t>The Pre-PBAC Response [p3] presented additional multiway sensitivity analyses of the economic model</w:t>
      </w:r>
      <w:r w:rsidR="00962F71" w:rsidRPr="00962F71">
        <w:rPr>
          <w:szCs w:val="22"/>
        </w:rPr>
        <w:t xml:space="preserve"> to address the key concerns of the ESC.</w:t>
      </w:r>
    </w:p>
    <w:p w:rsidR="00FC229B" w:rsidRDefault="00FC229B" w:rsidP="00F34ABE">
      <w:pPr>
        <w:pStyle w:val="ListParagraph"/>
        <w:widowControl/>
        <w:rPr>
          <w:i/>
          <w:szCs w:val="22"/>
        </w:rPr>
      </w:pPr>
    </w:p>
    <w:p w:rsidR="00A13C80" w:rsidRPr="00F56D76" w:rsidRDefault="00A13C80" w:rsidP="00F34ABE">
      <w:pPr>
        <w:pStyle w:val="ListParagraph"/>
        <w:widowControl/>
        <w:ind w:left="709"/>
      </w:pPr>
      <w:r>
        <w:rPr>
          <w:i/>
          <w:szCs w:val="22"/>
        </w:rPr>
        <w:t>For more detail on PBAC’s view, see section 7 “PBAC outcome”</w:t>
      </w:r>
    </w:p>
    <w:p w:rsidR="00A86E8B" w:rsidRPr="00980C60" w:rsidRDefault="00A86E8B" w:rsidP="00F34ABE">
      <w:pPr>
        <w:widowControl/>
        <w:rPr>
          <w:szCs w:val="22"/>
        </w:rPr>
      </w:pPr>
    </w:p>
    <w:p w:rsidR="00C25D9C" w:rsidRPr="00FF4023" w:rsidRDefault="00C25D9C" w:rsidP="00E73BE9">
      <w:pPr>
        <w:pStyle w:val="Heading2"/>
      </w:pPr>
      <w:bookmarkStart w:id="14" w:name="_Toc409512495"/>
      <w:r w:rsidRPr="00FF4023">
        <w:t>Drug cost/patient</w:t>
      </w:r>
      <w:r w:rsidR="00DD1851" w:rsidRPr="00FF4023">
        <w:t>/day</w:t>
      </w:r>
      <w:bookmarkEnd w:id="14"/>
    </w:p>
    <w:p w:rsidR="00C25D9C" w:rsidRPr="007D26B3" w:rsidRDefault="00C25D9C" w:rsidP="00F34ABE">
      <w:pPr>
        <w:keepNext/>
        <w:widowControl/>
        <w:rPr>
          <w:szCs w:val="22"/>
        </w:rPr>
      </w:pPr>
    </w:p>
    <w:p w:rsidR="002140C4" w:rsidRPr="007D26B3" w:rsidRDefault="002140C4" w:rsidP="00F34ABE">
      <w:pPr>
        <w:pStyle w:val="ListParagraph"/>
        <w:keepNext/>
        <w:widowControl/>
        <w:rPr>
          <w:szCs w:val="22"/>
        </w:rPr>
      </w:pPr>
      <w:r w:rsidRPr="007D26B3">
        <w:rPr>
          <w:rStyle w:val="CommentReference"/>
          <w:szCs w:val="20"/>
        </w:rPr>
        <w:t>Drug cost</w:t>
      </w:r>
      <w:r w:rsidR="00D831C5" w:rsidRPr="007D26B3">
        <w:rPr>
          <w:rStyle w:val="CommentReference"/>
          <w:szCs w:val="20"/>
        </w:rPr>
        <w:t xml:space="preserve"> (DPMQ)</w:t>
      </w:r>
      <w:r w:rsidRPr="007D26B3">
        <w:rPr>
          <w:rStyle w:val="CommentReference"/>
          <w:szCs w:val="20"/>
        </w:rPr>
        <w:t>/patient/</w:t>
      </w:r>
      <w:r w:rsidR="00DD1851" w:rsidRPr="007D26B3">
        <w:rPr>
          <w:rStyle w:val="CommentReference"/>
          <w:szCs w:val="20"/>
        </w:rPr>
        <w:t>day</w:t>
      </w:r>
    </w:p>
    <w:tbl>
      <w:tblPr>
        <w:tblW w:w="4606" w:type="pct"/>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82"/>
        <w:gridCol w:w="1985"/>
      </w:tblGrid>
      <w:tr w:rsidR="007D26B3" w:rsidRPr="007D26B3" w:rsidTr="00F95CDD">
        <w:trPr>
          <w:tblHeader/>
        </w:trPr>
        <w:tc>
          <w:tcPr>
            <w:tcW w:w="3814" w:type="pct"/>
            <w:tcBorders>
              <w:top w:val="single" w:sz="4" w:space="0" w:color="auto"/>
              <w:left w:val="single" w:sz="4" w:space="0" w:color="auto"/>
              <w:bottom w:val="single" w:sz="4" w:space="0" w:color="auto"/>
              <w:right w:val="single" w:sz="4" w:space="0" w:color="auto"/>
            </w:tcBorders>
            <w:shd w:val="clear" w:color="auto" w:fill="auto"/>
            <w:vAlign w:val="center"/>
          </w:tcPr>
          <w:p w:rsidR="002140C4" w:rsidRPr="007D26B3" w:rsidRDefault="002140C4" w:rsidP="00F34ABE">
            <w:pPr>
              <w:keepNext/>
              <w:widowControl/>
              <w:tabs>
                <w:tab w:val="left" w:pos="142"/>
              </w:tabs>
              <w:jc w:val="left"/>
              <w:rPr>
                <w:rFonts w:ascii="Arial Narrow" w:hAnsi="Arial Narrow"/>
                <w:sz w:val="20"/>
              </w:rPr>
            </w:pPr>
          </w:p>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tcPr>
          <w:p w:rsidR="002140C4" w:rsidRPr="007D26B3" w:rsidRDefault="002140C4" w:rsidP="00F34ABE">
            <w:pPr>
              <w:keepNext/>
              <w:widowControl/>
              <w:jc w:val="center"/>
              <w:rPr>
                <w:rFonts w:ascii="Arial Narrow" w:hAnsi="Arial Narrow"/>
                <w:b/>
                <w:sz w:val="20"/>
                <w:vertAlign w:val="superscript"/>
              </w:rPr>
            </w:pPr>
            <w:r w:rsidRPr="007D26B3">
              <w:rPr>
                <w:rFonts w:ascii="Arial Narrow" w:hAnsi="Arial Narrow"/>
                <w:b/>
                <w:sz w:val="20"/>
              </w:rPr>
              <w:t>Drug cost/patient/</w:t>
            </w:r>
            <w:r w:rsidR="0040735B" w:rsidRPr="007D26B3">
              <w:rPr>
                <w:rFonts w:ascii="Arial Narrow" w:hAnsi="Arial Narrow"/>
                <w:b/>
                <w:sz w:val="20"/>
              </w:rPr>
              <w:t>day</w:t>
            </w:r>
          </w:p>
        </w:tc>
      </w:tr>
      <w:tr w:rsidR="007D26B3" w:rsidRPr="00816448" w:rsidTr="00F95CDD">
        <w:trPr>
          <w:tblHeader/>
        </w:trPr>
        <w:tc>
          <w:tcPr>
            <w:tcW w:w="3814" w:type="pct"/>
            <w:tcBorders>
              <w:top w:val="single" w:sz="4" w:space="0" w:color="auto"/>
              <w:left w:val="single" w:sz="4" w:space="0" w:color="auto"/>
              <w:bottom w:val="single" w:sz="4" w:space="0" w:color="auto"/>
              <w:right w:val="single" w:sz="4" w:space="0" w:color="auto"/>
            </w:tcBorders>
            <w:shd w:val="clear" w:color="auto" w:fill="auto"/>
            <w:vAlign w:val="center"/>
          </w:tcPr>
          <w:p w:rsidR="002140C4" w:rsidRPr="00816448" w:rsidRDefault="00086E24" w:rsidP="00F34ABE">
            <w:pPr>
              <w:keepNext/>
              <w:widowControl/>
              <w:tabs>
                <w:tab w:val="left" w:pos="142"/>
              </w:tabs>
              <w:jc w:val="left"/>
              <w:rPr>
                <w:rFonts w:ascii="Arial Narrow" w:hAnsi="Arial Narrow"/>
                <w:sz w:val="20"/>
              </w:rPr>
            </w:pPr>
            <w:r w:rsidRPr="00816448">
              <w:rPr>
                <w:rFonts w:ascii="Arial Narrow" w:hAnsi="Arial Narrow"/>
                <w:sz w:val="20"/>
              </w:rPr>
              <w:t>Lignocaine patch</w:t>
            </w:r>
            <w:r w:rsidR="00FB4C89" w:rsidRPr="00816448">
              <w:rPr>
                <w:rFonts w:ascii="Arial Narrow" w:hAnsi="Arial Narrow"/>
                <w:sz w:val="20"/>
              </w:rPr>
              <w:t xml:space="preserve"> </w:t>
            </w:r>
            <w:r w:rsidR="0011572C" w:rsidRPr="00816448">
              <w:rPr>
                <w:rFonts w:ascii="Arial Narrow" w:hAnsi="Arial Narrow"/>
                <w:sz w:val="20"/>
              </w:rPr>
              <w:t xml:space="preserve">1.71 patches/day </w:t>
            </w:r>
            <w:r w:rsidR="00FB4C89" w:rsidRPr="00816448">
              <w:rPr>
                <w:rFonts w:ascii="Arial Narrow" w:hAnsi="Arial Narrow"/>
                <w:sz w:val="20"/>
              </w:rPr>
              <w:t>(</w:t>
            </w:r>
            <w:r w:rsidR="0013456D" w:rsidRPr="00816448">
              <w:rPr>
                <w:rFonts w:ascii="Arial Narrow" w:hAnsi="Arial Narrow"/>
                <w:sz w:val="20"/>
              </w:rPr>
              <w:t>Sect E</w:t>
            </w:r>
            <w:r w:rsidR="0011572C" w:rsidRPr="00816448">
              <w:rPr>
                <w:rFonts w:ascii="Arial Narrow" w:hAnsi="Arial Narrow"/>
                <w:sz w:val="20"/>
              </w:rPr>
              <w:t xml:space="preserve"> and D</w:t>
            </w:r>
            <w:r w:rsidR="00860F00" w:rsidRPr="00816448">
              <w:rPr>
                <w:rFonts w:ascii="Arial Narrow" w:hAnsi="Arial Narrow"/>
                <w:sz w:val="20"/>
              </w:rPr>
              <w:t>; KF10004/03</w:t>
            </w:r>
            <w:r w:rsidRPr="00816448">
              <w:rPr>
                <w:rFonts w:ascii="Arial Narrow" w:hAnsi="Arial Narrow"/>
                <w:sz w:val="20"/>
              </w:rPr>
              <w:t xml:space="preserve"> PHN subgroup dosing)</w:t>
            </w:r>
          </w:p>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tcPr>
          <w:p w:rsidR="002140C4" w:rsidRPr="00816448" w:rsidRDefault="00E07C88" w:rsidP="00F34ABE">
            <w:pPr>
              <w:keepNext/>
              <w:widowControl/>
              <w:jc w:val="center"/>
              <w:rPr>
                <w:rFonts w:ascii="Arial Narrow" w:hAnsi="Arial Narrow"/>
                <w:b/>
                <w:sz w:val="20"/>
              </w:rPr>
            </w:pPr>
            <w:r w:rsidRPr="00816448">
              <w:rPr>
                <w:rStyle w:val="CommentReference"/>
                <w:b w:val="0"/>
              </w:rPr>
              <w:t>$</w:t>
            </w:r>
            <w:r w:rsidR="00512AF9">
              <w:rPr>
                <w:rStyle w:val="CommentReference"/>
                <w:b w:val="0"/>
                <w:noProof/>
                <w:color w:val="000000"/>
                <w:highlight w:val="black"/>
              </w:rPr>
              <w:t>'''''''''''''''''''''</w:t>
            </w:r>
          </w:p>
        </w:tc>
      </w:tr>
      <w:tr w:rsidR="007D26B3" w:rsidRPr="00816448" w:rsidTr="00F95CDD">
        <w:trPr>
          <w:tblHeader/>
        </w:trPr>
        <w:tc>
          <w:tcPr>
            <w:tcW w:w="3814" w:type="pct"/>
            <w:tcBorders>
              <w:top w:val="single" w:sz="4" w:space="0" w:color="auto"/>
              <w:left w:val="single" w:sz="4" w:space="0" w:color="auto"/>
              <w:bottom w:val="double" w:sz="4" w:space="0" w:color="auto"/>
              <w:right w:val="single" w:sz="4" w:space="0" w:color="auto"/>
            </w:tcBorders>
            <w:shd w:val="clear" w:color="auto" w:fill="auto"/>
            <w:vAlign w:val="center"/>
          </w:tcPr>
          <w:p w:rsidR="002140C4" w:rsidRPr="00816448" w:rsidRDefault="00035BBE" w:rsidP="00F34ABE">
            <w:pPr>
              <w:keepNext/>
              <w:widowControl/>
              <w:tabs>
                <w:tab w:val="left" w:pos="142"/>
              </w:tabs>
              <w:jc w:val="left"/>
              <w:rPr>
                <w:rFonts w:ascii="Arial Narrow" w:hAnsi="Arial Narrow"/>
                <w:sz w:val="20"/>
              </w:rPr>
            </w:pPr>
            <w:r w:rsidRPr="00816448">
              <w:rPr>
                <w:rFonts w:ascii="Arial Narrow" w:hAnsi="Arial Narrow"/>
                <w:sz w:val="20"/>
              </w:rPr>
              <w:t>Lignocaine patch</w:t>
            </w:r>
            <w:r w:rsidR="00FB4C89" w:rsidRPr="00816448">
              <w:rPr>
                <w:rFonts w:ascii="Arial Narrow" w:hAnsi="Arial Narrow"/>
                <w:sz w:val="20"/>
              </w:rPr>
              <w:t xml:space="preserve"> </w:t>
            </w:r>
            <w:r w:rsidR="00A37775" w:rsidRPr="00816448">
              <w:rPr>
                <w:rFonts w:ascii="Arial Narrow" w:hAnsi="Arial Narrow"/>
                <w:sz w:val="20"/>
              </w:rPr>
              <w:t xml:space="preserve">1.03 patches/day </w:t>
            </w:r>
            <w:r w:rsidR="00FB4C89" w:rsidRPr="00816448">
              <w:rPr>
                <w:rFonts w:ascii="Arial Narrow" w:hAnsi="Arial Narrow"/>
                <w:sz w:val="20"/>
              </w:rPr>
              <w:t>(US data from IMS Health 2006)</w:t>
            </w:r>
          </w:p>
        </w:tc>
        <w:tc>
          <w:tcPr>
            <w:tcW w:w="1186" w:type="pct"/>
            <w:tcBorders>
              <w:top w:val="single" w:sz="4" w:space="0" w:color="auto"/>
              <w:left w:val="single" w:sz="4" w:space="0" w:color="auto"/>
              <w:bottom w:val="double" w:sz="4" w:space="0" w:color="auto"/>
              <w:right w:val="single" w:sz="4" w:space="0" w:color="auto"/>
            </w:tcBorders>
            <w:shd w:val="clear" w:color="auto" w:fill="auto"/>
            <w:vAlign w:val="center"/>
          </w:tcPr>
          <w:p w:rsidR="002140C4" w:rsidRPr="00816448" w:rsidRDefault="00FC25B5" w:rsidP="00F34ABE">
            <w:pPr>
              <w:keepNext/>
              <w:widowControl/>
              <w:jc w:val="center"/>
              <w:rPr>
                <w:rFonts w:ascii="Arial Narrow" w:hAnsi="Arial Narrow"/>
                <w:sz w:val="20"/>
              </w:rPr>
            </w:pPr>
            <w:r w:rsidRPr="00816448">
              <w:rPr>
                <w:rFonts w:ascii="Arial Narrow" w:hAnsi="Arial Narrow"/>
                <w:sz w:val="20"/>
              </w:rPr>
              <w:t>$</w:t>
            </w:r>
            <w:r w:rsidR="00512AF9">
              <w:rPr>
                <w:rFonts w:ascii="Arial Narrow" w:hAnsi="Arial Narrow"/>
                <w:noProof/>
                <w:color w:val="000000"/>
                <w:sz w:val="20"/>
                <w:highlight w:val="black"/>
              </w:rPr>
              <w:t>''''''''''''''''''''</w:t>
            </w:r>
          </w:p>
        </w:tc>
      </w:tr>
      <w:tr w:rsidR="007D26B3" w:rsidRPr="00816448" w:rsidTr="00F95CDD">
        <w:trPr>
          <w:tblHeader/>
        </w:trPr>
        <w:tc>
          <w:tcPr>
            <w:tcW w:w="3814" w:type="pct"/>
            <w:tcBorders>
              <w:top w:val="double" w:sz="4" w:space="0" w:color="auto"/>
              <w:left w:val="single" w:sz="4" w:space="0" w:color="auto"/>
              <w:bottom w:val="single" w:sz="4" w:space="0" w:color="auto"/>
              <w:right w:val="single" w:sz="4" w:space="0" w:color="auto"/>
            </w:tcBorders>
            <w:shd w:val="clear" w:color="auto" w:fill="auto"/>
            <w:vAlign w:val="center"/>
          </w:tcPr>
          <w:p w:rsidR="00300AAD" w:rsidRPr="00816448" w:rsidRDefault="00300AAD" w:rsidP="00F34ABE">
            <w:pPr>
              <w:keepNext/>
              <w:widowControl/>
              <w:tabs>
                <w:tab w:val="left" w:pos="142"/>
              </w:tabs>
              <w:jc w:val="left"/>
              <w:rPr>
                <w:rFonts w:ascii="Arial Narrow" w:hAnsi="Arial Narrow"/>
                <w:sz w:val="20"/>
              </w:rPr>
            </w:pPr>
            <w:r w:rsidRPr="00816448">
              <w:rPr>
                <w:rFonts w:ascii="Arial Narrow" w:hAnsi="Arial Narrow"/>
                <w:sz w:val="20"/>
              </w:rPr>
              <w:t>Pregabalin 481.4mg/day (Sect D; KF1000</w:t>
            </w:r>
            <w:r w:rsidR="00860F00" w:rsidRPr="00816448">
              <w:rPr>
                <w:rFonts w:ascii="Arial Narrow" w:hAnsi="Arial Narrow"/>
                <w:sz w:val="20"/>
              </w:rPr>
              <w:t>4/03</w:t>
            </w:r>
            <w:r w:rsidRPr="00816448">
              <w:rPr>
                <w:rFonts w:ascii="Arial Narrow" w:hAnsi="Arial Narrow"/>
                <w:sz w:val="20"/>
              </w:rPr>
              <w:t xml:space="preserve"> PHN subgroup dosing</w:t>
            </w:r>
            <w:r w:rsidR="00AB0C0B" w:rsidRPr="00816448">
              <w:rPr>
                <w:rFonts w:ascii="Arial Narrow" w:hAnsi="Arial Narrow"/>
                <w:sz w:val="20"/>
              </w:rPr>
              <w:t>; assumed only 150mg and 300mg strengths</w:t>
            </w:r>
            <w:r w:rsidR="007B4E40" w:rsidRPr="00816448">
              <w:rPr>
                <w:rFonts w:ascii="Arial Narrow" w:hAnsi="Arial Narrow"/>
                <w:sz w:val="20"/>
              </w:rPr>
              <w:t xml:space="preserve"> dispensed</w:t>
            </w:r>
            <w:r w:rsidRPr="00816448">
              <w:rPr>
                <w:rFonts w:ascii="Arial Narrow" w:hAnsi="Arial Narrow"/>
                <w:sz w:val="20"/>
              </w:rPr>
              <w:t>)</w:t>
            </w:r>
          </w:p>
        </w:tc>
        <w:tc>
          <w:tcPr>
            <w:tcW w:w="1186" w:type="pct"/>
            <w:tcBorders>
              <w:top w:val="double" w:sz="4" w:space="0" w:color="auto"/>
              <w:left w:val="single" w:sz="4" w:space="0" w:color="auto"/>
              <w:bottom w:val="single" w:sz="4" w:space="0" w:color="auto"/>
              <w:right w:val="single" w:sz="4" w:space="0" w:color="auto"/>
            </w:tcBorders>
            <w:shd w:val="clear" w:color="auto" w:fill="auto"/>
            <w:vAlign w:val="center"/>
          </w:tcPr>
          <w:p w:rsidR="00300AAD" w:rsidRPr="00816448" w:rsidRDefault="00300AAD" w:rsidP="00F34ABE">
            <w:pPr>
              <w:keepNext/>
              <w:widowControl/>
              <w:jc w:val="center"/>
              <w:rPr>
                <w:rFonts w:ascii="Arial Narrow" w:hAnsi="Arial Narrow"/>
                <w:sz w:val="20"/>
              </w:rPr>
            </w:pPr>
            <w:r w:rsidRPr="00816448">
              <w:rPr>
                <w:rStyle w:val="CommentReference"/>
                <w:b w:val="0"/>
              </w:rPr>
              <w:t>$</w:t>
            </w:r>
            <w:r w:rsidR="00512AF9">
              <w:rPr>
                <w:rStyle w:val="CommentReference"/>
                <w:b w:val="0"/>
                <w:noProof/>
                <w:color w:val="000000"/>
                <w:highlight w:val="black"/>
              </w:rPr>
              <w:t>'''''''''''''''''''</w:t>
            </w:r>
          </w:p>
        </w:tc>
      </w:tr>
      <w:tr w:rsidR="00300AAD" w:rsidRPr="00816448" w:rsidTr="00F95CDD">
        <w:trPr>
          <w:tblHeader/>
        </w:trPr>
        <w:tc>
          <w:tcPr>
            <w:tcW w:w="3814" w:type="pct"/>
            <w:tcBorders>
              <w:top w:val="single" w:sz="4" w:space="0" w:color="auto"/>
              <w:left w:val="single" w:sz="4" w:space="0" w:color="auto"/>
              <w:bottom w:val="single" w:sz="4" w:space="0" w:color="auto"/>
              <w:right w:val="single" w:sz="4" w:space="0" w:color="auto"/>
            </w:tcBorders>
            <w:shd w:val="clear" w:color="auto" w:fill="auto"/>
            <w:vAlign w:val="center"/>
          </w:tcPr>
          <w:p w:rsidR="00300AAD" w:rsidRPr="00816448" w:rsidRDefault="00300AAD" w:rsidP="00F34ABE">
            <w:pPr>
              <w:keepNext/>
              <w:widowControl/>
              <w:tabs>
                <w:tab w:val="left" w:pos="142"/>
              </w:tabs>
              <w:jc w:val="left"/>
              <w:rPr>
                <w:rFonts w:ascii="Arial Narrow" w:hAnsi="Arial Narrow"/>
                <w:sz w:val="20"/>
              </w:rPr>
            </w:pPr>
            <w:r w:rsidRPr="00816448">
              <w:rPr>
                <w:rFonts w:ascii="Arial Narrow" w:hAnsi="Arial Narrow"/>
                <w:sz w:val="20"/>
              </w:rPr>
              <w:t>Pregabalin 186mg/day (Sect D</w:t>
            </w:r>
            <w:r w:rsidR="00480A63" w:rsidRPr="00816448">
              <w:rPr>
                <w:rFonts w:ascii="Arial Narrow" w:hAnsi="Arial Narrow"/>
                <w:sz w:val="20"/>
              </w:rPr>
              <w:t xml:space="preserve"> sensitivity analysis</w:t>
            </w:r>
            <w:r w:rsidRPr="00816448">
              <w:rPr>
                <w:rFonts w:ascii="Arial Narrow" w:hAnsi="Arial Narrow"/>
                <w:sz w:val="20"/>
              </w:rPr>
              <w:t>; 10% Medicare sample data, assumed only 75mg and 150mg strengths dispensed and BD dosing)</w:t>
            </w:r>
          </w:p>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tcPr>
          <w:p w:rsidR="00300AAD" w:rsidRPr="00816448" w:rsidRDefault="00300AAD" w:rsidP="00F34ABE">
            <w:pPr>
              <w:keepNext/>
              <w:widowControl/>
              <w:jc w:val="center"/>
              <w:rPr>
                <w:rFonts w:ascii="Arial Narrow" w:hAnsi="Arial Narrow"/>
                <w:b/>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r>
      <w:tr w:rsidR="00300AAD" w:rsidRPr="00816448" w:rsidTr="00F95CDD">
        <w:trPr>
          <w:tblHeader/>
        </w:trPr>
        <w:tc>
          <w:tcPr>
            <w:tcW w:w="3814" w:type="pct"/>
            <w:tcBorders>
              <w:top w:val="single" w:sz="4" w:space="0" w:color="auto"/>
              <w:left w:val="single" w:sz="4" w:space="0" w:color="auto"/>
              <w:bottom w:val="single" w:sz="4" w:space="0" w:color="auto"/>
              <w:right w:val="single" w:sz="4" w:space="0" w:color="auto"/>
            </w:tcBorders>
            <w:shd w:val="clear" w:color="auto" w:fill="auto"/>
            <w:vAlign w:val="center"/>
          </w:tcPr>
          <w:p w:rsidR="00300AAD" w:rsidRPr="00816448" w:rsidRDefault="00300AAD" w:rsidP="00F34ABE">
            <w:pPr>
              <w:keepNext/>
              <w:widowControl/>
              <w:tabs>
                <w:tab w:val="left" w:pos="142"/>
              </w:tabs>
              <w:jc w:val="left"/>
              <w:rPr>
                <w:rFonts w:ascii="Arial Narrow" w:hAnsi="Arial Narrow"/>
                <w:sz w:val="20"/>
              </w:rPr>
            </w:pPr>
            <w:r w:rsidRPr="00816448">
              <w:rPr>
                <w:rFonts w:ascii="Arial Narrow" w:hAnsi="Arial Narrow"/>
                <w:sz w:val="20"/>
              </w:rPr>
              <w:t>Pregabalin 193mg/day (Sect E; BEACH data 2013-14 distributions across strengths assumed BD dosing)</w:t>
            </w:r>
          </w:p>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tcPr>
          <w:p w:rsidR="00300AAD" w:rsidRPr="00816448" w:rsidRDefault="00300AAD" w:rsidP="00F34ABE">
            <w:pPr>
              <w:keepNext/>
              <w:widowControl/>
              <w:jc w:val="center"/>
              <w:rPr>
                <w:rFonts w:ascii="Arial Narrow" w:hAnsi="Arial Narrow"/>
                <w:sz w:val="20"/>
              </w:rPr>
            </w:pPr>
            <w:r w:rsidRPr="00816448">
              <w:rPr>
                <w:rFonts w:ascii="Arial Narrow" w:hAnsi="Arial Narrow"/>
                <w:color w:val="000000"/>
                <w:sz w:val="20"/>
              </w:rPr>
              <w:t>$</w:t>
            </w:r>
            <w:r w:rsidR="00512AF9">
              <w:rPr>
                <w:rFonts w:ascii="Arial Narrow" w:hAnsi="Arial Narrow"/>
                <w:noProof/>
                <w:color w:val="000000"/>
                <w:sz w:val="20"/>
                <w:highlight w:val="black"/>
              </w:rPr>
              <w:t>'''''''''''''''''''</w:t>
            </w:r>
          </w:p>
        </w:tc>
      </w:tr>
      <w:tr w:rsidR="00300AAD" w:rsidRPr="00816448" w:rsidTr="00F95CDD">
        <w:trPr>
          <w:tblHeader/>
        </w:trPr>
        <w:tc>
          <w:tcPr>
            <w:tcW w:w="3814" w:type="pct"/>
            <w:tcBorders>
              <w:top w:val="single" w:sz="4" w:space="0" w:color="auto"/>
              <w:left w:val="single" w:sz="4" w:space="0" w:color="auto"/>
              <w:bottom w:val="single" w:sz="4" w:space="0" w:color="auto"/>
              <w:right w:val="single" w:sz="4" w:space="0" w:color="auto"/>
            </w:tcBorders>
            <w:shd w:val="clear" w:color="auto" w:fill="auto"/>
            <w:vAlign w:val="center"/>
          </w:tcPr>
          <w:p w:rsidR="00300AAD" w:rsidRPr="00816448" w:rsidRDefault="00300AAD" w:rsidP="00F34ABE">
            <w:pPr>
              <w:keepNext/>
              <w:widowControl/>
              <w:tabs>
                <w:tab w:val="left" w:pos="142"/>
              </w:tabs>
              <w:jc w:val="left"/>
              <w:rPr>
                <w:rFonts w:ascii="Arial Narrow" w:hAnsi="Arial Narrow"/>
                <w:sz w:val="20"/>
              </w:rPr>
            </w:pPr>
            <w:r w:rsidRPr="00816448">
              <w:rPr>
                <w:rFonts w:ascii="Arial Narrow" w:hAnsi="Arial Narrow"/>
                <w:sz w:val="20"/>
              </w:rPr>
              <w:t xml:space="preserve">Pregabalin 150mg/day (75mg strength ~ 50% of </w:t>
            </w:r>
            <w:r w:rsidR="00E402DB" w:rsidRPr="00816448">
              <w:rPr>
                <w:rFonts w:ascii="Arial Narrow" w:hAnsi="Arial Narrow"/>
                <w:sz w:val="20"/>
              </w:rPr>
              <w:t xml:space="preserve">dispensed </w:t>
            </w:r>
            <w:r w:rsidRPr="00816448">
              <w:rPr>
                <w:rFonts w:ascii="Arial Narrow" w:hAnsi="Arial Narrow"/>
                <w:sz w:val="20"/>
              </w:rPr>
              <w:t>scripts, DUSC Oct 14 pregabalin review, assumed BD dosing)</w:t>
            </w:r>
          </w:p>
        </w:tc>
        <w:tc>
          <w:tcPr>
            <w:tcW w:w="1186" w:type="pct"/>
            <w:tcBorders>
              <w:top w:val="single" w:sz="4" w:space="0" w:color="auto"/>
              <w:left w:val="single" w:sz="4" w:space="0" w:color="auto"/>
              <w:bottom w:val="single" w:sz="4" w:space="0" w:color="auto"/>
              <w:right w:val="single" w:sz="4" w:space="0" w:color="auto"/>
            </w:tcBorders>
            <w:shd w:val="clear" w:color="auto" w:fill="auto"/>
            <w:vAlign w:val="center"/>
          </w:tcPr>
          <w:p w:rsidR="00300AAD" w:rsidRPr="00816448" w:rsidRDefault="00300AAD" w:rsidP="00F34ABE">
            <w:pPr>
              <w:keepNext/>
              <w:widowControl/>
              <w:jc w:val="center"/>
              <w:rPr>
                <w:rFonts w:ascii="Arial Narrow" w:hAnsi="Arial Narrow"/>
                <w:sz w:val="20"/>
              </w:rPr>
            </w:pPr>
            <w:r w:rsidRPr="00816448">
              <w:rPr>
                <w:rFonts w:ascii="Arial Narrow" w:hAnsi="Arial Narrow"/>
                <w:sz w:val="20"/>
              </w:rPr>
              <w:t>$</w:t>
            </w:r>
            <w:r w:rsidR="00512AF9">
              <w:rPr>
                <w:rFonts w:ascii="Arial Narrow" w:hAnsi="Arial Narrow"/>
                <w:noProof/>
                <w:color w:val="000000"/>
                <w:sz w:val="20"/>
                <w:highlight w:val="black"/>
              </w:rPr>
              <w:t>''''''''''''''''''''''</w:t>
            </w:r>
          </w:p>
        </w:tc>
      </w:tr>
    </w:tbl>
    <w:p w:rsidR="006231E6" w:rsidRPr="00816448" w:rsidRDefault="00580EE9" w:rsidP="00F34ABE">
      <w:pPr>
        <w:keepNext/>
        <w:widowControl/>
        <w:ind w:firstLine="709"/>
        <w:rPr>
          <w:rFonts w:ascii="Arial Narrow" w:hAnsi="Arial Narrow"/>
          <w:sz w:val="18"/>
          <w:szCs w:val="18"/>
        </w:rPr>
      </w:pPr>
      <w:r w:rsidRPr="00816448">
        <w:rPr>
          <w:rFonts w:ascii="Arial Narrow" w:hAnsi="Arial Narrow"/>
          <w:sz w:val="18"/>
          <w:szCs w:val="18"/>
        </w:rPr>
        <w:tab/>
      </w:r>
      <w:r w:rsidR="006231E6" w:rsidRPr="00816448">
        <w:rPr>
          <w:rFonts w:ascii="Arial Narrow" w:hAnsi="Arial Narrow"/>
          <w:sz w:val="18"/>
          <w:szCs w:val="18"/>
        </w:rPr>
        <w:t>Source: Complied during the evaluation. Daily costs provided given the methods used to estimate the extent of utilisation.</w:t>
      </w:r>
    </w:p>
    <w:p w:rsidR="00F712E7" w:rsidRPr="00816448" w:rsidRDefault="00580EE9" w:rsidP="00F34ABE">
      <w:pPr>
        <w:widowControl/>
        <w:ind w:firstLine="709"/>
        <w:rPr>
          <w:rFonts w:ascii="Arial Narrow" w:hAnsi="Arial Narrow"/>
          <w:sz w:val="18"/>
          <w:szCs w:val="18"/>
        </w:rPr>
      </w:pPr>
      <w:r w:rsidRPr="00816448">
        <w:rPr>
          <w:rFonts w:ascii="Arial Narrow" w:hAnsi="Arial Narrow"/>
          <w:sz w:val="18"/>
          <w:szCs w:val="18"/>
        </w:rPr>
        <w:t>Abbreviations: BD, twice daily</w:t>
      </w:r>
      <w:r w:rsidR="00D831C5" w:rsidRPr="00816448">
        <w:rPr>
          <w:rFonts w:ascii="Arial Narrow" w:hAnsi="Arial Narrow"/>
          <w:sz w:val="18"/>
          <w:szCs w:val="18"/>
        </w:rPr>
        <w:t>; DPMQ, dispensed price for maximum quantity</w:t>
      </w:r>
    </w:p>
    <w:p w:rsidR="00580EE9" w:rsidRPr="00816448" w:rsidRDefault="00580EE9" w:rsidP="00F34ABE">
      <w:pPr>
        <w:widowControl/>
        <w:rPr>
          <w:szCs w:val="22"/>
        </w:rPr>
      </w:pPr>
    </w:p>
    <w:p w:rsidR="00A13C80" w:rsidRPr="00816448" w:rsidRDefault="00A13C80" w:rsidP="00F34ABE">
      <w:pPr>
        <w:pStyle w:val="ListParagraph"/>
        <w:widowControl/>
        <w:ind w:left="709"/>
        <w:rPr>
          <w:i/>
          <w:szCs w:val="22"/>
        </w:rPr>
      </w:pPr>
      <w:r w:rsidRPr="00816448">
        <w:rPr>
          <w:i/>
          <w:szCs w:val="22"/>
        </w:rPr>
        <w:t>For more detail on PBAC’s view, see section 7 “PBAC outcome”</w:t>
      </w:r>
    </w:p>
    <w:p w:rsidR="00A13C80" w:rsidRPr="00816448" w:rsidRDefault="00A13C80" w:rsidP="00F34ABE">
      <w:pPr>
        <w:widowControl/>
        <w:rPr>
          <w:szCs w:val="22"/>
        </w:rPr>
      </w:pPr>
    </w:p>
    <w:p w:rsidR="00B60939" w:rsidRPr="00816448" w:rsidRDefault="00B60939" w:rsidP="00E73BE9">
      <w:pPr>
        <w:pStyle w:val="Heading2"/>
      </w:pPr>
      <w:bookmarkStart w:id="15" w:name="_Toc409512496"/>
      <w:r w:rsidRPr="00816448">
        <w:t>Estimated PBS usage &amp; financial implications</w:t>
      </w:r>
      <w:bookmarkEnd w:id="15"/>
    </w:p>
    <w:p w:rsidR="00B60939" w:rsidRPr="00816448" w:rsidRDefault="00B60939" w:rsidP="00F34ABE">
      <w:pPr>
        <w:keepNext/>
        <w:widowControl/>
        <w:ind w:left="720" w:hanging="720"/>
        <w:rPr>
          <w:b/>
          <w:i/>
          <w:szCs w:val="22"/>
        </w:rPr>
      </w:pPr>
    </w:p>
    <w:p w:rsidR="00C25D9C" w:rsidRPr="00816448" w:rsidRDefault="00546AAB" w:rsidP="00C51BE9">
      <w:pPr>
        <w:pStyle w:val="ListParagraph"/>
        <w:widowControl/>
        <w:numPr>
          <w:ilvl w:val="1"/>
          <w:numId w:val="7"/>
        </w:numPr>
        <w:rPr>
          <w:szCs w:val="22"/>
        </w:rPr>
      </w:pPr>
      <w:r w:rsidRPr="00816448">
        <w:t xml:space="preserve">This submission </w:t>
      </w:r>
      <w:r w:rsidR="00980C60" w:rsidRPr="00816448">
        <w:t>was</w:t>
      </w:r>
      <w:r w:rsidR="00C25D9C" w:rsidRPr="00816448">
        <w:t xml:space="preserve"> not considered by DUSC. </w:t>
      </w:r>
      <w:r w:rsidR="00595B32" w:rsidRPr="00816448">
        <w:t xml:space="preserve">The submission used a mixed epidemiological and market share approach. </w:t>
      </w:r>
      <w:r w:rsidR="00C51BE9" w:rsidRPr="00816448">
        <w:rPr>
          <w:bCs/>
          <w:szCs w:val="22"/>
        </w:rPr>
        <w:t xml:space="preserve">At year 5, the estimated number of patients would be </w:t>
      </w:r>
      <w:r w:rsidR="00816448" w:rsidRPr="00816448">
        <w:rPr>
          <w:bCs/>
          <w:szCs w:val="22"/>
        </w:rPr>
        <w:t xml:space="preserve">less than 10,000 </w:t>
      </w:r>
      <w:r w:rsidR="00C51BE9" w:rsidRPr="00816448">
        <w:rPr>
          <w:bCs/>
          <w:szCs w:val="22"/>
        </w:rPr>
        <w:t xml:space="preserve">for Option 1 (or </w:t>
      </w:r>
      <w:r w:rsidR="00C945BB" w:rsidRPr="00816448">
        <w:rPr>
          <w:bCs/>
          <w:szCs w:val="22"/>
        </w:rPr>
        <w:t xml:space="preserve">less than 10,000 </w:t>
      </w:r>
      <w:r w:rsidR="00C51BE9" w:rsidRPr="00816448">
        <w:rPr>
          <w:bCs/>
          <w:szCs w:val="22"/>
        </w:rPr>
        <w:t xml:space="preserve">for Option 2) and the net cost to the PBS would be </w:t>
      </w:r>
      <w:r w:rsidR="00816448" w:rsidRPr="00816448">
        <w:rPr>
          <w:bCs/>
          <w:szCs w:val="22"/>
        </w:rPr>
        <w:t xml:space="preserve">$10 - $20 million </w:t>
      </w:r>
      <w:r w:rsidR="00C51BE9" w:rsidRPr="00816448">
        <w:rPr>
          <w:bCs/>
          <w:szCs w:val="22"/>
        </w:rPr>
        <w:t xml:space="preserve">(or </w:t>
      </w:r>
      <w:r w:rsidR="00816448" w:rsidRPr="00816448">
        <w:rPr>
          <w:bCs/>
          <w:szCs w:val="22"/>
        </w:rPr>
        <w:t xml:space="preserve">less than $10 million </w:t>
      </w:r>
      <w:r w:rsidR="00C51BE9" w:rsidRPr="00816448">
        <w:rPr>
          <w:bCs/>
          <w:szCs w:val="22"/>
        </w:rPr>
        <w:t>for Option 2).</w:t>
      </w:r>
    </w:p>
    <w:p w:rsidR="00E52837" w:rsidRDefault="00E52837" w:rsidP="00F34ABE">
      <w:pPr>
        <w:pStyle w:val="ListParagraph"/>
        <w:widowControl/>
        <w:rPr>
          <w:szCs w:val="22"/>
        </w:rPr>
      </w:pPr>
      <w:bookmarkStart w:id="16" w:name="_GoBack"/>
      <w:bookmarkEnd w:id="16"/>
    </w:p>
    <w:p w:rsidR="00C25D9C" w:rsidRDefault="00C25D9C" w:rsidP="00F34ABE">
      <w:pPr>
        <w:keepNext/>
        <w:widowControl/>
        <w:ind w:firstLine="709"/>
        <w:rPr>
          <w:rStyle w:val="CommentReference"/>
        </w:rPr>
      </w:pPr>
      <w:r w:rsidRPr="001222FC">
        <w:rPr>
          <w:rStyle w:val="CommentReference"/>
        </w:rPr>
        <w:lastRenderedPageBreak/>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4"/>
        <w:gridCol w:w="1275"/>
        <w:gridCol w:w="1275"/>
        <w:gridCol w:w="1260"/>
      </w:tblGrid>
      <w:tr w:rsidR="00C25D9C" w:rsidRPr="004E2ADC" w:rsidTr="005D044D">
        <w:trPr>
          <w:tblHeader/>
        </w:trPr>
        <w:tc>
          <w:tcPr>
            <w:tcW w:w="1359" w:type="pct"/>
            <w:shd w:val="clear" w:color="auto" w:fill="auto"/>
            <w:vAlign w:val="center"/>
          </w:tcPr>
          <w:p w:rsidR="00C25D9C" w:rsidRPr="004E2ADC" w:rsidRDefault="00C25D9C" w:rsidP="00F34ABE">
            <w:pPr>
              <w:keepNext/>
              <w:widowControl/>
              <w:tabs>
                <w:tab w:val="left" w:pos="142"/>
              </w:tabs>
              <w:jc w:val="left"/>
              <w:rPr>
                <w:rFonts w:ascii="Arial Narrow" w:hAnsi="Arial Narrow"/>
                <w:b/>
                <w:sz w:val="20"/>
              </w:rPr>
            </w:pPr>
          </w:p>
        </w:tc>
        <w:tc>
          <w:tcPr>
            <w:tcW w:w="679" w:type="pct"/>
            <w:shd w:val="clear" w:color="auto" w:fill="auto"/>
            <w:vAlign w:val="center"/>
          </w:tcPr>
          <w:p w:rsidR="00C25D9C" w:rsidRPr="004E2ADC" w:rsidRDefault="00C25D9C" w:rsidP="00F34ABE">
            <w:pPr>
              <w:keepNext/>
              <w:widowControl/>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C25D9C" w:rsidRPr="004E2ADC" w:rsidRDefault="00C25D9C" w:rsidP="00F34ABE">
            <w:pPr>
              <w:keepNext/>
              <w:widowControl/>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C25D9C" w:rsidRPr="004E2ADC" w:rsidRDefault="00C25D9C" w:rsidP="00F34ABE">
            <w:pPr>
              <w:keepNext/>
              <w:widowControl/>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C25D9C" w:rsidRPr="004E2ADC" w:rsidRDefault="00C25D9C" w:rsidP="00F34ABE">
            <w:pPr>
              <w:keepNext/>
              <w:widowControl/>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C25D9C" w:rsidRPr="004E2ADC" w:rsidRDefault="00C25D9C" w:rsidP="00F34ABE">
            <w:pPr>
              <w:keepNext/>
              <w:widowControl/>
              <w:jc w:val="center"/>
              <w:rPr>
                <w:rFonts w:ascii="Arial Narrow" w:hAnsi="Arial Narrow"/>
                <w:b/>
                <w:sz w:val="20"/>
              </w:rPr>
            </w:pPr>
            <w:r w:rsidRPr="004E2ADC">
              <w:rPr>
                <w:rFonts w:ascii="Arial Narrow" w:hAnsi="Arial Narrow"/>
                <w:b/>
                <w:sz w:val="20"/>
              </w:rPr>
              <w:t>Year 5</w:t>
            </w:r>
          </w:p>
        </w:tc>
      </w:tr>
      <w:tr w:rsidR="00DB3E71" w:rsidRPr="004E2ADC" w:rsidTr="005D044D">
        <w:tc>
          <w:tcPr>
            <w:tcW w:w="5000" w:type="pct"/>
            <w:gridSpan w:val="6"/>
            <w:shd w:val="clear" w:color="auto" w:fill="auto"/>
            <w:vAlign w:val="center"/>
          </w:tcPr>
          <w:p w:rsidR="00DB3E71" w:rsidRPr="004E2ADC" w:rsidRDefault="00DB3E71" w:rsidP="00F34ABE">
            <w:pPr>
              <w:keepNext/>
              <w:widowControl/>
              <w:jc w:val="left"/>
              <w:rPr>
                <w:rFonts w:ascii="Arial Narrow" w:hAnsi="Arial Narrow"/>
                <w:b/>
                <w:bCs/>
                <w:color w:val="000000"/>
                <w:sz w:val="20"/>
              </w:rPr>
            </w:pPr>
            <w:r>
              <w:rPr>
                <w:rFonts w:ascii="Arial Narrow" w:hAnsi="Arial Narrow"/>
                <w:b/>
                <w:bCs/>
                <w:color w:val="000000"/>
                <w:sz w:val="20"/>
              </w:rPr>
              <w:t>Option 1</w:t>
            </w:r>
          </w:p>
        </w:tc>
      </w:tr>
      <w:tr w:rsidR="00C25D9C" w:rsidRPr="004E2ADC" w:rsidTr="005D044D">
        <w:tc>
          <w:tcPr>
            <w:tcW w:w="5000" w:type="pct"/>
            <w:gridSpan w:val="6"/>
            <w:shd w:val="clear" w:color="auto" w:fill="auto"/>
            <w:vAlign w:val="center"/>
          </w:tcPr>
          <w:p w:rsidR="00C25D9C" w:rsidRPr="00816448" w:rsidRDefault="00C25D9C" w:rsidP="00F34ABE">
            <w:pPr>
              <w:keepNext/>
              <w:widowControl/>
              <w:jc w:val="left"/>
              <w:rPr>
                <w:rFonts w:ascii="Arial Narrow" w:hAnsi="Arial Narrow"/>
                <w:b/>
                <w:bCs/>
                <w:color w:val="000000"/>
                <w:sz w:val="20"/>
              </w:rPr>
            </w:pPr>
            <w:r w:rsidRPr="00816448">
              <w:rPr>
                <w:rFonts w:ascii="Arial Narrow" w:hAnsi="Arial Narrow"/>
                <w:b/>
                <w:bCs/>
                <w:color w:val="000000"/>
                <w:sz w:val="20"/>
              </w:rPr>
              <w:t>Estimated extent of use</w:t>
            </w:r>
          </w:p>
        </w:tc>
      </w:tr>
      <w:tr w:rsidR="00616D5B" w:rsidRPr="004E2ADC" w:rsidTr="00A37DD9">
        <w:tc>
          <w:tcPr>
            <w:tcW w:w="1359" w:type="pct"/>
            <w:shd w:val="clear" w:color="auto" w:fill="auto"/>
            <w:vAlign w:val="bottom"/>
          </w:tcPr>
          <w:p w:rsidR="00616D5B" w:rsidRPr="00816448" w:rsidRDefault="00616D5B" w:rsidP="00F34ABE">
            <w:pPr>
              <w:keepNext/>
              <w:widowControl/>
              <w:tabs>
                <w:tab w:val="left" w:pos="142"/>
              </w:tabs>
              <w:jc w:val="left"/>
              <w:rPr>
                <w:rFonts w:ascii="Arial Narrow" w:hAnsi="Arial Narrow"/>
                <w:sz w:val="20"/>
              </w:rPr>
            </w:pPr>
            <w:r w:rsidRPr="00816448">
              <w:rPr>
                <w:rFonts w:ascii="Arial Narrow" w:hAnsi="Arial Narrow"/>
                <w:snapToGrid/>
                <w:color w:val="000000"/>
                <w:sz w:val="20"/>
                <w:lang w:eastAsia="en-AU"/>
              </w:rPr>
              <w:t>Total p</w:t>
            </w:r>
            <w:r w:rsidR="002417E1" w:rsidRPr="00816448">
              <w:rPr>
                <w:rFonts w:ascii="Arial Narrow" w:hAnsi="Arial Narrow"/>
                <w:snapToGrid/>
                <w:color w:val="000000"/>
                <w:sz w:val="20"/>
                <w:lang w:eastAsia="en-AU"/>
              </w:rPr>
              <w:t>a</w:t>
            </w:r>
            <w:r w:rsidRPr="00816448">
              <w:rPr>
                <w:rFonts w:ascii="Arial Narrow" w:hAnsi="Arial Narrow"/>
                <w:snapToGrid/>
                <w:color w:val="000000"/>
                <w:sz w:val="20"/>
                <w:lang w:eastAsia="en-AU"/>
              </w:rPr>
              <w:t>t</w:t>
            </w:r>
            <w:r w:rsidR="002417E1" w:rsidRPr="00816448">
              <w:rPr>
                <w:rFonts w:ascii="Arial Narrow" w:hAnsi="Arial Narrow"/>
                <w:snapToGrid/>
                <w:color w:val="000000"/>
                <w:sz w:val="20"/>
                <w:lang w:eastAsia="en-AU"/>
              </w:rPr>
              <w:t>ient</w:t>
            </w:r>
            <w:r w:rsidRPr="00816448">
              <w:rPr>
                <w:rFonts w:ascii="Arial Narrow" w:hAnsi="Arial Narrow"/>
                <w:snapToGrid/>
                <w:color w:val="000000"/>
                <w:sz w:val="20"/>
                <w:lang w:eastAsia="en-AU"/>
              </w:rPr>
              <w:t xml:space="preserve"> </w:t>
            </w:r>
            <w:r w:rsidR="0095617B" w:rsidRPr="00816448">
              <w:rPr>
                <w:rFonts w:ascii="Arial Narrow" w:hAnsi="Arial Narrow"/>
                <w:snapToGrid/>
                <w:color w:val="000000"/>
                <w:sz w:val="20"/>
                <w:lang w:eastAsia="en-AU"/>
              </w:rPr>
              <w:t>yrs.</w:t>
            </w:r>
            <w:r w:rsidRPr="00816448">
              <w:rPr>
                <w:rFonts w:ascii="Arial Narrow" w:hAnsi="Arial Narrow"/>
                <w:snapToGrid/>
                <w:color w:val="000000"/>
                <w:sz w:val="20"/>
                <w:lang w:eastAsia="en-AU"/>
              </w:rPr>
              <w:t xml:space="preserve"> on therapy</w:t>
            </w:r>
          </w:p>
        </w:tc>
        <w:tc>
          <w:tcPr>
            <w:tcW w:w="679" w:type="pct"/>
            <w:shd w:val="clear" w:color="auto" w:fill="auto"/>
            <w:vAlign w:val="center"/>
          </w:tcPr>
          <w:p w:rsidR="00616D5B"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616D5B"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616D5B"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616D5B"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616D5B"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A62438" w:rsidRPr="004E2ADC" w:rsidTr="00A37DD9">
        <w:tc>
          <w:tcPr>
            <w:tcW w:w="1359" w:type="pct"/>
            <w:shd w:val="clear" w:color="auto" w:fill="auto"/>
            <w:vAlign w:val="bottom"/>
          </w:tcPr>
          <w:p w:rsidR="00A62438" w:rsidRPr="00816448" w:rsidRDefault="00E3756F" w:rsidP="00F34ABE">
            <w:pPr>
              <w:keepNext/>
              <w:widowControl/>
              <w:tabs>
                <w:tab w:val="left" w:pos="142"/>
              </w:tabs>
              <w:jc w:val="left"/>
              <w:rPr>
                <w:rFonts w:ascii="Arial Narrow" w:hAnsi="Arial Narrow"/>
                <w:sz w:val="20"/>
              </w:rPr>
            </w:pPr>
            <w:r w:rsidRPr="00816448">
              <w:rPr>
                <w:rFonts w:ascii="Arial Narrow" w:hAnsi="Arial Narrow"/>
                <w:sz w:val="20"/>
              </w:rPr>
              <w:t>Scripts</w:t>
            </w:r>
            <w:r w:rsidRPr="00816448">
              <w:rPr>
                <w:rFonts w:ascii="Arial Narrow" w:hAnsi="Arial Narrow"/>
                <w:sz w:val="20"/>
                <w:vertAlign w:val="superscript"/>
              </w:rPr>
              <w:t>a</w:t>
            </w:r>
          </w:p>
        </w:tc>
        <w:tc>
          <w:tcPr>
            <w:tcW w:w="679" w:type="pct"/>
            <w:shd w:val="clear" w:color="auto" w:fill="auto"/>
            <w:vAlign w:val="center"/>
          </w:tcPr>
          <w:p w:rsidR="00A62438"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A62438"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A62438"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A62438"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A62438"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C25D9C" w:rsidRPr="004E2ADC" w:rsidTr="005D044D">
        <w:tc>
          <w:tcPr>
            <w:tcW w:w="5000" w:type="pct"/>
            <w:gridSpan w:val="6"/>
            <w:shd w:val="clear" w:color="auto" w:fill="auto"/>
            <w:vAlign w:val="center"/>
          </w:tcPr>
          <w:p w:rsidR="00C25D9C" w:rsidRPr="00816448" w:rsidRDefault="00C25D9C" w:rsidP="00F34ABE">
            <w:pPr>
              <w:keepNext/>
              <w:widowControl/>
              <w:jc w:val="left"/>
              <w:rPr>
                <w:rFonts w:ascii="Arial Narrow" w:hAnsi="Arial Narrow"/>
                <w:b/>
                <w:bCs/>
                <w:color w:val="000000"/>
                <w:sz w:val="20"/>
              </w:rPr>
            </w:pPr>
            <w:r w:rsidRPr="00816448">
              <w:rPr>
                <w:rFonts w:ascii="Arial Narrow" w:hAnsi="Arial Narrow"/>
                <w:b/>
                <w:bCs/>
                <w:color w:val="000000"/>
                <w:sz w:val="20"/>
              </w:rPr>
              <w:t>Estimated net cost to PBS/RPBS</w:t>
            </w:r>
          </w:p>
        </w:tc>
      </w:tr>
      <w:tr w:rsidR="0028239E" w:rsidRPr="004E2ADC" w:rsidTr="005D044D">
        <w:tc>
          <w:tcPr>
            <w:tcW w:w="1359" w:type="pct"/>
            <w:shd w:val="clear" w:color="auto" w:fill="auto"/>
            <w:vAlign w:val="center"/>
          </w:tcPr>
          <w:p w:rsidR="0028239E" w:rsidRPr="00816448" w:rsidRDefault="0028239E" w:rsidP="00F34ABE">
            <w:pPr>
              <w:keepNext/>
              <w:widowControl/>
              <w:tabs>
                <w:tab w:val="left" w:pos="142"/>
              </w:tabs>
              <w:jc w:val="left"/>
              <w:rPr>
                <w:rFonts w:ascii="Arial Narrow" w:hAnsi="Arial Narrow"/>
                <w:sz w:val="20"/>
              </w:rPr>
            </w:pPr>
            <w:r w:rsidRPr="00816448">
              <w:rPr>
                <w:rFonts w:ascii="Arial Narrow" w:hAnsi="Arial Narrow"/>
                <w:sz w:val="19"/>
                <w:szCs w:val="19"/>
              </w:rPr>
              <w:t>Net cost to PBS/RPBS</w:t>
            </w:r>
          </w:p>
        </w:tc>
        <w:tc>
          <w:tcPr>
            <w:tcW w:w="679" w:type="pct"/>
            <w:shd w:val="clear" w:color="auto" w:fill="auto"/>
            <w:vAlign w:val="center"/>
          </w:tcPr>
          <w:p w:rsidR="0028239E" w:rsidRPr="00816448" w:rsidRDefault="0028239E"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679" w:type="pct"/>
            <w:shd w:val="clear" w:color="auto" w:fill="auto"/>
            <w:vAlign w:val="center"/>
          </w:tcPr>
          <w:p w:rsidR="0028239E" w:rsidRPr="00816448" w:rsidRDefault="0028239E"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764" w:type="pct"/>
            <w:shd w:val="clear" w:color="auto" w:fill="auto"/>
            <w:vAlign w:val="center"/>
          </w:tcPr>
          <w:p w:rsidR="0028239E" w:rsidRPr="00816448" w:rsidRDefault="0028239E"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764" w:type="pct"/>
            <w:shd w:val="clear" w:color="auto" w:fill="auto"/>
            <w:vAlign w:val="center"/>
          </w:tcPr>
          <w:p w:rsidR="0028239E" w:rsidRPr="00816448" w:rsidRDefault="0028239E"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755" w:type="pct"/>
            <w:shd w:val="clear" w:color="auto" w:fill="auto"/>
            <w:vAlign w:val="center"/>
          </w:tcPr>
          <w:p w:rsidR="0028239E" w:rsidRPr="00816448" w:rsidRDefault="0028239E"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r>
      <w:tr w:rsidR="003903F7" w:rsidRPr="004E2ADC" w:rsidTr="00A37DD9">
        <w:tc>
          <w:tcPr>
            <w:tcW w:w="1359" w:type="pct"/>
            <w:shd w:val="clear" w:color="auto" w:fill="auto"/>
            <w:vAlign w:val="bottom"/>
          </w:tcPr>
          <w:p w:rsidR="003903F7" w:rsidRPr="00816448" w:rsidRDefault="003903F7" w:rsidP="00F34ABE">
            <w:pPr>
              <w:keepNext/>
              <w:widowControl/>
              <w:tabs>
                <w:tab w:val="left" w:pos="142"/>
              </w:tabs>
              <w:jc w:val="left"/>
              <w:rPr>
                <w:rFonts w:ascii="Arial Narrow" w:hAnsi="Arial Narrow"/>
                <w:sz w:val="20"/>
              </w:rPr>
            </w:pPr>
            <w:r w:rsidRPr="00816448">
              <w:rPr>
                <w:rFonts w:ascii="Arial Narrow" w:hAnsi="Arial Narrow"/>
                <w:snapToGrid/>
                <w:color w:val="000000"/>
                <w:sz w:val="20"/>
                <w:lang w:eastAsia="en-AU"/>
              </w:rPr>
              <w:t>Cost-offset from pregabalin</w:t>
            </w:r>
          </w:p>
        </w:tc>
        <w:tc>
          <w:tcPr>
            <w:tcW w:w="679" w:type="pct"/>
            <w:shd w:val="clear" w:color="auto" w:fill="auto"/>
            <w:vAlign w:val="bottom"/>
          </w:tcPr>
          <w:p w:rsidR="003903F7" w:rsidRPr="00816448" w:rsidRDefault="00512AF9" w:rsidP="00F34ABE">
            <w:pPr>
              <w:keepNext/>
              <w:widowControl/>
              <w:jc w:val="center"/>
              <w:rPr>
                <w:rFonts w:ascii="Arial Narrow" w:hAnsi="Arial Narrow"/>
                <w:bCs/>
                <w:color w:val="000000"/>
                <w:sz w:val="20"/>
              </w:rPr>
            </w:pPr>
            <w:r>
              <w:rPr>
                <w:rFonts w:ascii="Arial Narrow" w:hAnsi="Arial Narrow"/>
                <w:noProof/>
                <w:color w:val="000000"/>
                <w:sz w:val="20"/>
                <w:highlight w:val="black"/>
              </w:rPr>
              <w:t>''</w:t>
            </w:r>
            <w:r w:rsidR="003903F7" w:rsidRPr="00816448">
              <w:rPr>
                <w:rFonts w:ascii="Arial Narrow" w:hAnsi="Arial Narrow"/>
                <w:sz w:val="20"/>
              </w:rPr>
              <w:t>$</w:t>
            </w:r>
            <w:r>
              <w:rPr>
                <w:rFonts w:ascii="Arial Narrow" w:hAnsi="Arial Narrow"/>
                <w:noProof/>
                <w:color w:val="000000"/>
                <w:sz w:val="20"/>
                <w:highlight w:val="black"/>
              </w:rPr>
              <w:t>'''''''''''''''''''''</w:t>
            </w:r>
          </w:p>
        </w:tc>
        <w:tc>
          <w:tcPr>
            <w:tcW w:w="679" w:type="pct"/>
            <w:shd w:val="clear" w:color="auto" w:fill="auto"/>
            <w:vAlign w:val="bottom"/>
          </w:tcPr>
          <w:p w:rsidR="003903F7" w:rsidRPr="00816448" w:rsidRDefault="00512AF9" w:rsidP="00F34ABE">
            <w:pPr>
              <w:keepNext/>
              <w:widowControl/>
              <w:jc w:val="center"/>
              <w:rPr>
                <w:rFonts w:ascii="Arial Narrow" w:hAnsi="Arial Narrow"/>
                <w:bCs/>
                <w:color w:val="000000"/>
                <w:sz w:val="20"/>
              </w:rPr>
            </w:pPr>
            <w:r>
              <w:rPr>
                <w:rFonts w:ascii="Arial Narrow" w:hAnsi="Arial Narrow"/>
                <w:noProof/>
                <w:color w:val="000000"/>
                <w:sz w:val="20"/>
                <w:highlight w:val="black"/>
              </w:rPr>
              <w:t>'''</w:t>
            </w:r>
            <w:r w:rsidR="003903F7" w:rsidRPr="00816448">
              <w:rPr>
                <w:rFonts w:ascii="Arial Narrow" w:hAnsi="Arial Narrow"/>
                <w:sz w:val="20"/>
              </w:rPr>
              <w:t>$</w:t>
            </w:r>
            <w:r>
              <w:rPr>
                <w:rFonts w:ascii="Arial Narrow" w:hAnsi="Arial Narrow"/>
                <w:noProof/>
                <w:color w:val="000000"/>
                <w:sz w:val="20"/>
                <w:highlight w:val="black"/>
              </w:rPr>
              <w:t>'''''''''''''''''''</w:t>
            </w:r>
          </w:p>
        </w:tc>
        <w:tc>
          <w:tcPr>
            <w:tcW w:w="764" w:type="pct"/>
            <w:shd w:val="clear" w:color="auto" w:fill="auto"/>
            <w:vAlign w:val="bottom"/>
          </w:tcPr>
          <w:p w:rsidR="003903F7" w:rsidRPr="00816448" w:rsidRDefault="00512AF9" w:rsidP="00F34ABE">
            <w:pPr>
              <w:keepNext/>
              <w:widowControl/>
              <w:jc w:val="center"/>
              <w:rPr>
                <w:rFonts w:ascii="Arial Narrow" w:hAnsi="Arial Narrow"/>
                <w:bCs/>
                <w:color w:val="000000"/>
                <w:sz w:val="20"/>
              </w:rPr>
            </w:pPr>
            <w:r>
              <w:rPr>
                <w:rFonts w:ascii="Arial Narrow" w:hAnsi="Arial Narrow"/>
                <w:noProof/>
                <w:color w:val="000000"/>
                <w:sz w:val="20"/>
                <w:highlight w:val="black"/>
              </w:rPr>
              <w:t>''</w:t>
            </w:r>
            <w:r w:rsidR="003903F7" w:rsidRPr="00816448">
              <w:rPr>
                <w:rFonts w:ascii="Arial Narrow" w:hAnsi="Arial Narrow"/>
                <w:sz w:val="20"/>
              </w:rPr>
              <w:t>$</w:t>
            </w:r>
            <w:r>
              <w:rPr>
                <w:rFonts w:ascii="Arial Narrow" w:hAnsi="Arial Narrow"/>
                <w:noProof/>
                <w:color w:val="000000"/>
                <w:sz w:val="20"/>
                <w:highlight w:val="black"/>
              </w:rPr>
              <w:t>''''''''''''''''''''</w:t>
            </w:r>
          </w:p>
        </w:tc>
        <w:tc>
          <w:tcPr>
            <w:tcW w:w="764" w:type="pct"/>
            <w:shd w:val="clear" w:color="auto" w:fill="auto"/>
            <w:vAlign w:val="bottom"/>
          </w:tcPr>
          <w:p w:rsidR="003903F7" w:rsidRPr="00816448" w:rsidRDefault="00512AF9" w:rsidP="00F34ABE">
            <w:pPr>
              <w:keepNext/>
              <w:widowControl/>
              <w:jc w:val="center"/>
              <w:rPr>
                <w:rFonts w:ascii="Arial Narrow" w:hAnsi="Arial Narrow"/>
                <w:bCs/>
                <w:color w:val="000000"/>
                <w:sz w:val="20"/>
              </w:rPr>
            </w:pPr>
            <w:r>
              <w:rPr>
                <w:rFonts w:ascii="Arial Narrow" w:hAnsi="Arial Narrow"/>
                <w:noProof/>
                <w:color w:val="000000"/>
                <w:sz w:val="20"/>
                <w:highlight w:val="black"/>
              </w:rPr>
              <w:t>''</w:t>
            </w:r>
            <w:r w:rsidR="003903F7" w:rsidRPr="00816448">
              <w:rPr>
                <w:rFonts w:ascii="Arial Narrow" w:hAnsi="Arial Narrow"/>
                <w:sz w:val="20"/>
              </w:rPr>
              <w:t>$</w:t>
            </w:r>
            <w:r>
              <w:rPr>
                <w:rFonts w:ascii="Arial Narrow" w:hAnsi="Arial Narrow"/>
                <w:noProof/>
                <w:color w:val="000000"/>
                <w:sz w:val="20"/>
                <w:highlight w:val="black"/>
              </w:rPr>
              <w:t>'''''''''''''''''''''</w:t>
            </w:r>
          </w:p>
        </w:tc>
        <w:tc>
          <w:tcPr>
            <w:tcW w:w="755" w:type="pct"/>
            <w:shd w:val="clear" w:color="auto" w:fill="auto"/>
            <w:vAlign w:val="bottom"/>
          </w:tcPr>
          <w:p w:rsidR="003903F7" w:rsidRPr="00816448" w:rsidRDefault="00512AF9" w:rsidP="00F34ABE">
            <w:pPr>
              <w:keepNext/>
              <w:widowControl/>
              <w:jc w:val="center"/>
              <w:rPr>
                <w:rFonts w:ascii="Arial Narrow" w:hAnsi="Arial Narrow"/>
                <w:bCs/>
                <w:color w:val="000000"/>
                <w:sz w:val="20"/>
              </w:rPr>
            </w:pPr>
            <w:r>
              <w:rPr>
                <w:rFonts w:ascii="Arial Narrow" w:hAnsi="Arial Narrow"/>
                <w:noProof/>
                <w:color w:val="000000"/>
                <w:sz w:val="20"/>
                <w:highlight w:val="black"/>
              </w:rPr>
              <w:t>'''</w:t>
            </w:r>
            <w:r w:rsidR="003903F7" w:rsidRPr="00816448">
              <w:rPr>
                <w:rFonts w:ascii="Arial Narrow" w:hAnsi="Arial Narrow"/>
                <w:sz w:val="20"/>
              </w:rPr>
              <w:t>$</w:t>
            </w:r>
            <w:r>
              <w:rPr>
                <w:rFonts w:ascii="Arial Narrow" w:hAnsi="Arial Narrow"/>
                <w:noProof/>
                <w:color w:val="000000"/>
                <w:sz w:val="20"/>
                <w:highlight w:val="black"/>
              </w:rPr>
              <w:t>''''''''''''''''''</w:t>
            </w:r>
          </w:p>
        </w:tc>
      </w:tr>
      <w:tr w:rsidR="003903F7" w:rsidRPr="004E2ADC" w:rsidTr="005D044D">
        <w:tc>
          <w:tcPr>
            <w:tcW w:w="5000" w:type="pct"/>
            <w:gridSpan w:val="6"/>
            <w:shd w:val="clear" w:color="auto" w:fill="auto"/>
            <w:vAlign w:val="center"/>
          </w:tcPr>
          <w:p w:rsidR="003903F7" w:rsidRPr="00816448" w:rsidRDefault="003903F7" w:rsidP="00F34ABE">
            <w:pPr>
              <w:keepNext/>
              <w:widowControl/>
              <w:jc w:val="left"/>
              <w:rPr>
                <w:rFonts w:ascii="Arial Narrow" w:hAnsi="Arial Narrow"/>
                <w:b/>
                <w:color w:val="000000"/>
                <w:sz w:val="20"/>
              </w:rPr>
            </w:pPr>
            <w:r w:rsidRPr="00816448">
              <w:rPr>
                <w:rFonts w:ascii="Arial Narrow" w:hAnsi="Arial Narrow"/>
                <w:b/>
                <w:color w:val="000000"/>
                <w:sz w:val="20"/>
              </w:rPr>
              <w:t>Estimated total net cost</w:t>
            </w:r>
          </w:p>
        </w:tc>
      </w:tr>
      <w:tr w:rsidR="0028239E" w:rsidRPr="004E2ADC" w:rsidTr="00A37DD9">
        <w:tc>
          <w:tcPr>
            <w:tcW w:w="1359" w:type="pct"/>
            <w:tcBorders>
              <w:bottom w:val="double" w:sz="4" w:space="0" w:color="auto"/>
            </w:tcBorders>
            <w:shd w:val="clear" w:color="auto" w:fill="auto"/>
            <w:vAlign w:val="center"/>
          </w:tcPr>
          <w:p w:rsidR="0028239E" w:rsidRPr="00816448" w:rsidRDefault="0028239E" w:rsidP="00F34ABE">
            <w:pPr>
              <w:keepNext/>
              <w:widowControl/>
              <w:tabs>
                <w:tab w:val="left" w:pos="142"/>
              </w:tabs>
              <w:jc w:val="left"/>
              <w:rPr>
                <w:rFonts w:ascii="Arial Narrow" w:hAnsi="Arial Narrow"/>
                <w:b/>
                <w:sz w:val="20"/>
              </w:rPr>
            </w:pPr>
            <w:r w:rsidRPr="00816448">
              <w:rPr>
                <w:rFonts w:ascii="Arial Narrow" w:hAnsi="Arial Narrow"/>
                <w:b/>
                <w:bCs/>
                <w:color w:val="000000"/>
                <w:sz w:val="20"/>
              </w:rPr>
              <w:t>Net cost to PBS/RPBS</w:t>
            </w:r>
          </w:p>
        </w:tc>
        <w:tc>
          <w:tcPr>
            <w:tcW w:w="679" w:type="pct"/>
            <w:tcBorders>
              <w:bottom w:val="double" w:sz="4" w:space="0" w:color="auto"/>
            </w:tcBorders>
            <w:shd w:val="clear" w:color="auto" w:fill="auto"/>
            <w:vAlign w:val="bottom"/>
          </w:tcPr>
          <w:p w:rsidR="0028239E" w:rsidRPr="00816448" w:rsidRDefault="0028239E" w:rsidP="00F34ABE">
            <w:pPr>
              <w:keepNext/>
              <w:widowControl/>
              <w:jc w:val="center"/>
              <w:rPr>
                <w:rFonts w:ascii="Arial Narrow" w:hAnsi="Arial Narrow"/>
                <w:color w:val="000000"/>
                <w:sz w:val="20"/>
              </w:rPr>
            </w:pPr>
            <w:r w:rsidRPr="00816448">
              <w:rPr>
                <w:rFonts w:ascii="Arial Narrow" w:hAnsi="Arial Narrow"/>
                <w:b/>
                <w:sz w:val="20"/>
              </w:rPr>
              <w:t>$</w:t>
            </w:r>
            <w:r w:rsidR="00512AF9">
              <w:rPr>
                <w:rFonts w:ascii="Arial Narrow" w:hAnsi="Arial Narrow"/>
                <w:b/>
                <w:noProof/>
                <w:color w:val="000000"/>
                <w:sz w:val="20"/>
                <w:highlight w:val="black"/>
              </w:rPr>
              <w:t>'''''''''''''''''''</w:t>
            </w:r>
          </w:p>
        </w:tc>
        <w:tc>
          <w:tcPr>
            <w:tcW w:w="679" w:type="pct"/>
            <w:tcBorders>
              <w:bottom w:val="double" w:sz="4" w:space="0" w:color="auto"/>
            </w:tcBorders>
            <w:shd w:val="clear" w:color="auto" w:fill="auto"/>
            <w:vAlign w:val="bottom"/>
          </w:tcPr>
          <w:p w:rsidR="0028239E" w:rsidRPr="00816448" w:rsidRDefault="0028239E" w:rsidP="00F34ABE">
            <w:pPr>
              <w:keepNext/>
              <w:widowControl/>
              <w:jc w:val="center"/>
              <w:rPr>
                <w:rFonts w:ascii="Arial Narrow" w:hAnsi="Arial Narrow"/>
                <w:color w:val="000000"/>
                <w:sz w:val="20"/>
              </w:rPr>
            </w:pPr>
            <w:r w:rsidRPr="00816448">
              <w:rPr>
                <w:rFonts w:ascii="Arial Narrow" w:hAnsi="Arial Narrow"/>
                <w:b/>
                <w:sz w:val="20"/>
              </w:rPr>
              <w:t>$</w:t>
            </w:r>
            <w:r w:rsidR="00512AF9">
              <w:rPr>
                <w:rFonts w:ascii="Arial Narrow" w:hAnsi="Arial Narrow"/>
                <w:b/>
                <w:noProof/>
                <w:color w:val="000000"/>
                <w:sz w:val="20"/>
                <w:highlight w:val="black"/>
              </w:rPr>
              <w:t>'''''''''''''''''''</w:t>
            </w:r>
          </w:p>
        </w:tc>
        <w:tc>
          <w:tcPr>
            <w:tcW w:w="764" w:type="pct"/>
            <w:tcBorders>
              <w:bottom w:val="double" w:sz="4" w:space="0" w:color="auto"/>
            </w:tcBorders>
            <w:shd w:val="clear" w:color="auto" w:fill="auto"/>
            <w:vAlign w:val="bottom"/>
          </w:tcPr>
          <w:p w:rsidR="0028239E" w:rsidRPr="00816448" w:rsidRDefault="0028239E" w:rsidP="00F34ABE">
            <w:pPr>
              <w:keepNext/>
              <w:widowControl/>
              <w:jc w:val="center"/>
              <w:rPr>
                <w:rFonts w:ascii="Arial Narrow" w:hAnsi="Arial Narrow"/>
                <w:color w:val="000000"/>
                <w:sz w:val="20"/>
              </w:rPr>
            </w:pPr>
            <w:r w:rsidRPr="00816448">
              <w:rPr>
                <w:rFonts w:ascii="Arial Narrow" w:hAnsi="Arial Narrow"/>
                <w:b/>
                <w:sz w:val="20"/>
              </w:rPr>
              <w:t>$</w:t>
            </w:r>
            <w:r w:rsidR="00512AF9">
              <w:rPr>
                <w:rFonts w:ascii="Arial Narrow" w:hAnsi="Arial Narrow"/>
                <w:b/>
                <w:noProof/>
                <w:color w:val="000000"/>
                <w:sz w:val="20"/>
                <w:highlight w:val="black"/>
              </w:rPr>
              <w:t>'''''''''''''''''''''</w:t>
            </w:r>
          </w:p>
        </w:tc>
        <w:tc>
          <w:tcPr>
            <w:tcW w:w="764" w:type="pct"/>
            <w:tcBorders>
              <w:bottom w:val="double" w:sz="4" w:space="0" w:color="auto"/>
            </w:tcBorders>
            <w:shd w:val="clear" w:color="auto" w:fill="auto"/>
            <w:vAlign w:val="bottom"/>
          </w:tcPr>
          <w:p w:rsidR="0028239E" w:rsidRPr="00816448" w:rsidRDefault="0028239E" w:rsidP="00F34ABE">
            <w:pPr>
              <w:keepNext/>
              <w:widowControl/>
              <w:jc w:val="center"/>
              <w:rPr>
                <w:rFonts w:ascii="Arial Narrow" w:hAnsi="Arial Narrow"/>
                <w:color w:val="000000"/>
                <w:sz w:val="20"/>
              </w:rPr>
            </w:pPr>
            <w:r w:rsidRPr="00816448">
              <w:rPr>
                <w:rFonts w:ascii="Arial Narrow" w:hAnsi="Arial Narrow"/>
                <w:b/>
                <w:sz w:val="20"/>
              </w:rPr>
              <w:t>$</w:t>
            </w:r>
            <w:r w:rsidR="00512AF9">
              <w:rPr>
                <w:rFonts w:ascii="Arial Narrow" w:hAnsi="Arial Narrow"/>
                <w:b/>
                <w:noProof/>
                <w:color w:val="000000"/>
                <w:sz w:val="20"/>
                <w:highlight w:val="black"/>
              </w:rPr>
              <w:t>''''''''''''''''''''</w:t>
            </w:r>
          </w:p>
        </w:tc>
        <w:tc>
          <w:tcPr>
            <w:tcW w:w="755" w:type="pct"/>
            <w:tcBorders>
              <w:bottom w:val="double" w:sz="4" w:space="0" w:color="auto"/>
            </w:tcBorders>
            <w:shd w:val="clear" w:color="auto" w:fill="auto"/>
            <w:vAlign w:val="bottom"/>
          </w:tcPr>
          <w:p w:rsidR="0028239E" w:rsidRPr="00816448" w:rsidRDefault="0028239E" w:rsidP="00F34ABE">
            <w:pPr>
              <w:keepNext/>
              <w:widowControl/>
              <w:jc w:val="center"/>
              <w:rPr>
                <w:rFonts w:ascii="Arial Narrow" w:hAnsi="Arial Narrow"/>
                <w:color w:val="000000"/>
                <w:sz w:val="20"/>
              </w:rPr>
            </w:pPr>
            <w:r w:rsidRPr="00816448">
              <w:rPr>
                <w:rFonts w:ascii="Arial Narrow" w:hAnsi="Arial Narrow"/>
                <w:b/>
                <w:sz w:val="20"/>
              </w:rPr>
              <w:t>$</w:t>
            </w:r>
            <w:r w:rsidR="00512AF9">
              <w:rPr>
                <w:rFonts w:ascii="Arial Narrow" w:hAnsi="Arial Narrow"/>
                <w:b/>
                <w:noProof/>
                <w:color w:val="000000"/>
                <w:sz w:val="20"/>
                <w:highlight w:val="black"/>
              </w:rPr>
              <w:t>'''''''''''''''''''''''</w:t>
            </w:r>
          </w:p>
        </w:tc>
      </w:tr>
      <w:tr w:rsidR="003903F7" w:rsidRPr="004E2ADC" w:rsidTr="00616D5B">
        <w:tc>
          <w:tcPr>
            <w:tcW w:w="5000" w:type="pct"/>
            <w:gridSpan w:val="6"/>
            <w:tcBorders>
              <w:top w:val="double" w:sz="4" w:space="0" w:color="auto"/>
            </w:tcBorders>
            <w:shd w:val="clear" w:color="auto" w:fill="auto"/>
            <w:vAlign w:val="center"/>
          </w:tcPr>
          <w:p w:rsidR="003903F7" w:rsidRPr="00816448" w:rsidRDefault="003903F7" w:rsidP="00F34ABE">
            <w:pPr>
              <w:keepNext/>
              <w:widowControl/>
              <w:jc w:val="left"/>
              <w:rPr>
                <w:rFonts w:ascii="Arial Narrow" w:hAnsi="Arial Narrow"/>
                <w:b/>
                <w:bCs/>
                <w:color w:val="000000"/>
                <w:sz w:val="20"/>
              </w:rPr>
            </w:pPr>
            <w:r w:rsidRPr="00816448">
              <w:rPr>
                <w:rFonts w:ascii="Arial Narrow" w:hAnsi="Arial Narrow"/>
                <w:b/>
                <w:bCs/>
                <w:color w:val="000000"/>
                <w:sz w:val="20"/>
              </w:rPr>
              <w:t>Option 2</w:t>
            </w:r>
          </w:p>
        </w:tc>
      </w:tr>
      <w:tr w:rsidR="003903F7" w:rsidRPr="004E2ADC" w:rsidTr="00A37DD9">
        <w:tc>
          <w:tcPr>
            <w:tcW w:w="5000" w:type="pct"/>
            <w:gridSpan w:val="6"/>
            <w:shd w:val="clear" w:color="auto" w:fill="auto"/>
            <w:vAlign w:val="center"/>
          </w:tcPr>
          <w:p w:rsidR="003903F7" w:rsidRPr="00816448" w:rsidRDefault="003903F7" w:rsidP="00F34ABE">
            <w:pPr>
              <w:keepNext/>
              <w:widowControl/>
              <w:jc w:val="left"/>
              <w:rPr>
                <w:rFonts w:ascii="Arial Narrow" w:hAnsi="Arial Narrow"/>
                <w:b/>
                <w:bCs/>
                <w:color w:val="000000"/>
                <w:sz w:val="20"/>
              </w:rPr>
            </w:pPr>
            <w:r w:rsidRPr="00816448">
              <w:rPr>
                <w:rFonts w:ascii="Arial Narrow" w:hAnsi="Arial Narrow"/>
                <w:b/>
                <w:bCs/>
                <w:color w:val="000000"/>
                <w:sz w:val="20"/>
              </w:rPr>
              <w:t>Estimated extent of use</w:t>
            </w:r>
          </w:p>
        </w:tc>
      </w:tr>
      <w:tr w:rsidR="008B39C6" w:rsidRPr="004E2ADC" w:rsidTr="00A37DD9">
        <w:tc>
          <w:tcPr>
            <w:tcW w:w="1359" w:type="pct"/>
            <w:shd w:val="clear" w:color="auto" w:fill="auto"/>
            <w:vAlign w:val="bottom"/>
          </w:tcPr>
          <w:p w:rsidR="008B39C6" w:rsidRPr="00816448" w:rsidRDefault="008B39C6" w:rsidP="00F34ABE">
            <w:pPr>
              <w:keepNext/>
              <w:widowControl/>
              <w:tabs>
                <w:tab w:val="left" w:pos="142"/>
              </w:tabs>
              <w:jc w:val="left"/>
              <w:rPr>
                <w:rFonts w:ascii="Arial Narrow" w:hAnsi="Arial Narrow"/>
                <w:sz w:val="20"/>
              </w:rPr>
            </w:pPr>
            <w:r w:rsidRPr="00816448">
              <w:rPr>
                <w:rFonts w:ascii="Arial Narrow" w:hAnsi="Arial Narrow"/>
                <w:snapToGrid/>
                <w:color w:val="000000"/>
                <w:sz w:val="20"/>
                <w:lang w:eastAsia="en-AU"/>
              </w:rPr>
              <w:t>Total p</w:t>
            </w:r>
            <w:r w:rsidR="002417E1" w:rsidRPr="00816448">
              <w:rPr>
                <w:rFonts w:ascii="Arial Narrow" w:hAnsi="Arial Narrow"/>
                <w:snapToGrid/>
                <w:color w:val="000000"/>
                <w:sz w:val="20"/>
                <w:lang w:eastAsia="en-AU"/>
              </w:rPr>
              <w:t>a</w:t>
            </w:r>
            <w:r w:rsidRPr="00816448">
              <w:rPr>
                <w:rFonts w:ascii="Arial Narrow" w:hAnsi="Arial Narrow"/>
                <w:snapToGrid/>
                <w:color w:val="000000"/>
                <w:sz w:val="20"/>
                <w:lang w:eastAsia="en-AU"/>
              </w:rPr>
              <w:t>t</w:t>
            </w:r>
            <w:r w:rsidR="002417E1" w:rsidRPr="00816448">
              <w:rPr>
                <w:rFonts w:ascii="Arial Narrow" w:hAnsi="Arial Narrow"/>
                <w:snapToGrid/>
                <w:color w:val="000000"/>
                <w:sz w:val="20"/>
                <w:lang w:eastAsia="en-AU"/>
              </w:rPr>
              <w:t>ient</w:t>
            </w:r>
            <w:r w:rsidRPr="00816448">
              <w:rPr>
                <w:rFonts w:ascii="Arial Narrow" w:hAnsi="Arial Narrow"/>
                <w:snapToGrid/>
                <w:color w:val="000000"/>
                <w:sz w:val="20"/>
                <w:lang w:eastAsia="en-AU"/>
              </w:rPr>
              <w:t xml:space="preserve"> </w:t>
            </w:r>
            <w:r w:rsidR="0095617B" w:rsidRPr="00816448">
              <w:rPr>
                <w:rFonts w:ascii="Arial Narrow" w:hAnsi="Arial Narrow"/>
                <w:snapToGrid/>
                <w:color w:val="000000"/>
                <w:sz w:val="20"/>
                <w:lang w:eastAsia="en-AU"/>
              </w:rPr>
              <w:t>yrs.</w:t>
            </w:r>
            <w:r w:rsidRPr="00816448">
              <w:rPr>
                <w:rFonts w:ascii="Arial Narrow" w:hAnsi="Arial Narrow"/>
                <w:snapToGrid/>
                <w:color w:val="000000"/>
                <w:sz w:val="20"/>
                <w:lang w:eastAsia="en-AU"/>
              </w:rPr>
              <w:t xml:space="preserve"> on therapy</w:t>
            </w:r>
          </w:p>
        </w:tc>
        <w:tc>
          <w:tcPr>
            <w:tcW w:w="679" w:type="pct"/>
            <w:shd w:val="clear" w:color="auto" w:fill="auto"/>
            <w:vAlign w:val="center"/>
          </w:tcPr>
          <w:p w:rsidR="008B39C6"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8B39C6"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8B39C6"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8B39C6"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8B39C6"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8B39C6" w:rsidRPr="004E2ADC" w:rsidTr="00A37DD9">
        <w:tc>
          <w:tcPr>
            <w:tcW w:w="1359" w:type="pct"/>
            <w:shd w:val="clear" w:color="auto" w:fill="auto"/>
            <w:vAlign w:val="bottom"/>
          </w:tcPr>
          <w:p w:rsidR="008B39C6" w:rsidRPr="00816448" w:rsidRDefault="008B39C6" w:rsidP="00F34ABE">
            <w:pPr>
              <w:keepNext/>
              <w:widowControl/>
              <w:tabs>
                <w:tab w:val="left" w:pos="142"/>
              </w:tabs>
              <w:jc w:val="left"/>
              <w:rPr>
                <w:rFonts w:ascii="Arial Narrow" w:hAnsi="Arial Narrow"/>
                <w:sz w:val="20"/>
              </w:rPr>
            </w:pPr>
            <w:r w:rsidRPr="00816448">
              <w:rPr>
                <w:rFonts w:ascii="Arial Narrow" w:hAnsi="Arial Narrow"/>
                <w:sz w:val="20"/>
              </w:rPr>
              <w:t>Scripts</w:t>
            </w:r>
            <w:r w:rsidRPr="00816448">
              <w:rPr>
                <w:rFonts w:ascii="Arial Narrow" w:hAnsi="Arial Narrow"/>
                <w:sz w:val="20"/>
                <w:vertAlign w:val="superscript"/>
              </w:rPr>
              <w:t>a</w:t>
            </w:r>
          </w:p>
        </w:tc>
        <w:tc>
          <w:tcPr>
            <w:tcW w:w="679" w:type="pct"/>
            <w:shd w:val="clear" w:color="auto" w:fill="auto"/>
            <w:vAlign w:val="center"/>
          </w:tcPr>
          <w:p w:rsidR="008B39C6"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8B39C6"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8B39C6"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8B39C6"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8B39C6" w:rsidRPr="00512AF9" w:rsidRDefault="00512AF9" w:rsidP="00F34ABE">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3903F7" w:rsidRPr="004E2ADC" w:rsidTr="00A37DD9">
        <w:tc>
          <w:tcPr>
            <w:tcW w:w="5000" w:type="pct"/>
            <w:gridSpan w:val="6"/>
            <w:shd w:val="clear" w:color="auto" w:fill="auto"/>
            <w:vAlign w:val="center"/>
          </w:tcPr>
          <w:p w:rsidR="003903F7" w:rsidRPr="00816448" w:rsidRDefault="003903F7" w:rsidP="00F34ABE">
            <w:pPr>
              <w:keepNext/>
              <w:widowControl/>
              <w:jc w:val="left"/>
              <w:rPr>
                <w:rFonts w:ascii="Arial Narrow" w:hAnsi="Arial Narrow"/>
                <w:b/>
                <w:bCs/>
                <w:color w:val="000000"/>
                <w:sz w:val="20"/>
              </w:rPr>
            </w:pPr>
            <w:r w:rsidRPr="00816448">
              <w:rPr>
                <w:rFonts w:ascii="Arial Narrow" w:hAnsi="Arial Narrow"/>
                <w:b/>
                <w:bCs/>
                <w:color w:val="000000"/>
                <w:sz w:val="20"/>
              </w:rPr>
              <w:t>Estimated net cost to PBS/RPBS</w:t>
            </w:r>
          </w:p>
        </w:tc>
      </w:tr>
      <w:tr w:rsidR="008B39C6" w:rsidRPr="004E2ADC" w:rsidTr="00A37DD9">
        <w:tc>
          <w:tcPr>
            <w:tcW w:w="1359" w:type="pct"/>
            <w:shd w:val="clear" w:color="auto" w:fill="auto"/>
            <w:vAlign w:val="center"/>
          </w:tcPr>
          <w:p w:rsidR="008B39C6" w:rsidRPr="00816448" w:rsidRDefault="008B39C6" w:rsidP="00F34ABE">
            <w:pPr>
              <w:keepNext/>
              <w:widowControl/>
              <w:tabs>
                <w:tab w:val="left" w:pos="142"/>
              </w:tabs>
              <w:jc w:val="left"/>
              <w:rPr>
                <w:rFonts w:ascii="Arial Narrow" w:hAnsi="Arial Narrow"/>
                <w:sz w:val="20"/>
              </w:rPr>
            </w:pPr>
            <w:r w:rsidRPr="00816448">
              <w:rPr>
                <w:rFonts w:ascii="Arial Narrow" w:hAnsi="Arial Narrow"/>
                <w:sz w:val="19"/>
                <w:szCs w:val="19"/>
              </w:rPr>
              <w:t>Net cost to PBS/RPBS</w:t>
            </w:r>
          </w:p>
        </w:tc>
        <w:tc>
          <w:tcPr>
            <w:tcW w:w="679" w:type="pct"/>
            <w:shd w:val="clear" w:color="auto" w:fill="auto"/>
            <w:vAlign w:val="center"/>
          </w:tcPr>
          <w:p w:rsidR="008B39C6" w:rsidRPr="00816448" w:rsidRDefault="008B39C6"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679" w:type="pct"/>
            <w:shd w:val="clear" w:color="auto" w:fill="auto"/>
            <w:vAlign w:val="center"/>
          </w:tcPr>
          <w:p w:rsidR="008B39C6" w:rsidRPr="00816448" w:rsidRDefault="008B39C6"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764" w:type="pct"/>
            <w:shd w:val="clear" w:color="auto" w:fill="auto"/>
            <w:vAlign w:val="center"/>
          </w:tcPr>
          <w:p w:rsidR="008B39C6" w:rsidRPr="00816448" w:rsidRDefault="008B39C6"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764" w:type="pct"/>
            <w:shd w:val="clear" w:color="auto" w:fill="auto"/>
            <w:vAlign w:val="center"/>
          </w:tcPr>
          <w:p w:rsidR="008B39C6" w:rsidRPr="00816448" w:rsidRDefault="008B39C6"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755" w:type="pct"/>
            <w:shd w:val="clear" w:color="auto" w:fill="auto"/>
            <w:vAlign w:val="center"/>
          </w:tcPr>
          <w:p w:rsidR="008B39C6" w:rsidRPr="00816448" w:rsidRDefault="008B39C6"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r>
      <w:tr w:rsidR="008B39C6" w:rsidRPr="004E2ADC" w:rsidTr="00A37DD9">
        <w:tc>
          <w:tcPr>
            <w:tcW w:w="1359" w:type="pct"/>
            <w:shd w:val="clear" w:color="auto" w:fill="auto"/>
            <w:vAlign w:val="bottom"/>
          </w:tcPr>
          <w:p w:rsidR="008B39C6" w:rsidRPr="00816448" w:rsidRDefault="008B39C6" w:rsidP="00F34ABE">
            <w:pPr>
              <w:keepNext/>
              <w:widowControl/>
              <w:tabs>
                <w:tab w:val="left" w:pos="142"/>
              </w:tabs>
              <w:jc w:val="left"/>
              <w:rPr>
                <w:rFonts w:ascii="Arial Narrow" w:hAnsi="Arial Narrow"/>
                <w:sz w:val="20"/>
              </w:rPr>
            </w:pPr>
            <w:r w:rsidRPr="00816448">
              <w:rPr>
                <w:rFonts w:ascii="Arial Narrow" w:hAnsi="Arial Narrow"/>
                <w:snapToGrid/>
                <w:color w:val="000000"/>
                <w:sz w:val="20"/>
                <w:lang w:eastAsia="en-AU"/>
              </w:rPr>
              <w:t>Cost-offset from pregabalin</w:t>
            </w:r>
          </w:p>
        </w:tc>
        <w:tc>
          <w:tcPr>
            <w:tcW w:w="679" w:type="pct"/>
            <w:shd w:val="clear" w:color="auto" w:fill="auto"/>
            <w:vAlign w:val="center"/>
          </w:tcPr>
          <w:p w:rsidR="008B39C6" w:rsidRPr="00816448" w:rsidRDefault="008B39C6"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679" w:type="pct"/>
            <w:shd w:val="clear" w:color="auto" w:fill="auto"/>
            <w:vAlign w:val="center"/>
          </w:tcPr>
          <w:p w:rsidR="008B39C6" w:rsidRPr="00816448" w:rsidRDefault="008B39C6"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764" w:type="pct"/>
            <w:shd w:val="clear" w:color="auto" w:fill="auto"/>
            <w:vAlign w:val="center"/>
          </w:tcPr>
          <w:p w:rsidR="008B39C6" w:rsidRPr="00816448" w:rsidRDefault="008B39C6"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764" w:type="pct"/>
            <w:shd w:val="clear" w:color="auto" w:fill="auto"/>
            <w:vAlign w:val="center"/>
          </w:tcPr>
          <w:p w:rsidR="008B39C6" w:rsidRPr="00816448" w:rsidRDefault="008B39C6"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c>
          <w:tcPr>
            <w:tcW w:w="755" w:type="pct"/>
            <w:shd w:val="clear" w:color="auto" w:fill="auto"/>
            <w:vAlign w:val="center"/>
          </w:tcPr>
          <w:p w:rsidR="008B39C6" w:rsidRPr="00816448" w:rsidRDefault="008B39C6" w:rsidP="00F34ABE">
            <w:pPr>
              <w:keepNext/>
              <w:widowControl/>
              <w:jc w:val="center"/>
              <w:rPr>
                <w:rFonts w:ascii="Arial Narrow" w:hAnsi="Arial Narrow"/>
                <w:bCs/>
                <w:color w:val="000000"/>
                <w:sz w:val="20"/>
              </w:rPr>
            </w:pPr>
            <w:r w:rsidRPr="00816448">
              <w:rPr>
                <w:rFonts w:ascii="Arial Narrow" w:hAnsi="Arial Narrow"/>
                <w:sz w:val="20"/>
              </w:rPr>
              <w:t>$</w:t>
            </w:r>
            <w:r w:rsidR="00512AF9">
              <w:rPr>
                <w:rFonts w:ascii="Arial Narrow" w:hAnsi="Arial Narrow"/>
                <w:noProof/>
                <w:color w:val="000000"/>
                <w:sz w:val="20"/>
                <w:highlight w:val="black"/>
              </w:rPr>
              <w:t>'''</w:t>
            </w:r>
          </w:p>
        </w:tc>
      </w:tr>
      <w:tr w:rsidR="003903F7" w:rsidRPr="004E2ADC" w:rsidTr="00A37DD9">
        <w:tc>
          <w:tcPr>
            <w:tcW w:w="5000" w:type="pct"/>
            <w:gridSpan w:val="6"/>
            <w:shd w:val="clear" w:color="auto" w:fill="auto"/>
            <w:vAlign w:val="center"/>
          </w:tcPr>
          <w:p w:rsidR="003903F7" w:rsidRPr="00816448" w:rsidRDefault="003903F7" w:rsidP="00F34ABE">
            <w:pPr>
              <w:keepNext/>
              <w:widowControl/>
              <w:jc w:val="left"/>
              <w:rPr>
                <w:rFonts w:ascii="Arial Narrow" w:hAnsi="Arial Narrow"/>
                <w:b/>
                <w:color w:val="000000"/>
                <w:sz w:val="20"/>
              </w:rPr>
            </w:pPr>
            <w:r w:rsidRPr="00816448">
              <w:rPr>
                <w:rFonts w:ascii="Arial Narrow" w:hAnsi="Arial Narrow"/>
                <w:b/>
                <w:color w:val="000000"/>
                <w:sz w:val="20"/>
              </w:rPr>
              <w:t>Estimated total net cost</w:t>
            </w:r>
          </w:p>
        </w:tc>
      </w:tr>
      <w:tr w:rsidR="00DA46AC" w:rsidRPr="004E2ADC" w:rsidTr="00A37DD9">
        <w:tc>
          <w:tcPr>
            <w:tcW w:w="1359" w:type="pct"/>
            <w:shd w:val="clear" w:color="auto" w:fill="auto"/>
            <w:vAlign w:val="center"/>
          </w:tcPr>
          <w:p w:rsidR="00DA46AC" w:rsidRPr="00816448" w:rsidRDefault="00DA46AC" w:rsidP="00F34ABE">
            <w:pPr>
              <w:keepNext/>
              <w:widowControl/>
              <w:tabs>
                <w:tab w:val="left" w:pos="142"/>
              </w:tabs>
              <w:jc w:val="left"/>
              <w:rPr>
                <w:rFonts w:ascii="Arial Narrow" w:hAnsi="Arial Narrow"/>
                <w:b/>
                <w:sz w:val="20"/>
              </w:rPr>
            </w:pPr>
            <w:r w:rsidRPr="00816448">
              <w:rPr>
                <w:rFonts w:ascii="Arial Narrow" w:hAnsi="Arial Narrow"/>
                <w:b/>
                <w:bCs/>
                <w:color w:val="000000"/>
                <w:sz w:val="20"/>
              </w:rPr>
              <w:t>Net cost to PBS/RPBS</w:t>
            </w:r>
          </w:p>
        </w:tc>
        <w:tc>
          <w:tcPr>
            <w:tcW w:w="679" w:type="pct"/>
            <w:shd w:val="clear" w:color="auto" w:fill="auto"/>
            <w:vAlign w:val="center"/>
          </w:tcPr>
          <w:p w:rsidR="00DA46AC" w:rsidRPr="00816448" w:rsidRDefault="00DA46AC" w:rsidP="00F34ABE">
            <w:pPr>
              <w:keepNext/>
              <w:widowControl/>
              <w:jc w:val="center"/>
              <w:rPr>
                <w:rFonts w:ascii="Arial Narrow" w:hAnsi="Arial Narrow"/>
                <w:color w:val="000000"/>
                <w:sz w:val="20"/>
              </w:rPr>
            </w:pPr>
            <w:r w:rsidRPr="00816448">
              <w:rPr>
                <w:rFonts w:ascii="Arial Narrow" w:hAnsi="Arial Narrow"/>
                <w:b/>
                <w:sz w:val="20"/>
              </w:rPr>
              <w:t>$</w:t>
            </w:r>
            <w:r w:rsidR="00512AF9">
              <w:rPr>
                <w:rFonts w:ascii="Arial Narrow" w:hAnsi="Arial Narrow"/>
                <w:b/>
                <w:noProof/>
                <w:color w:val="000000"/>
                <w:sz w:val="20"/>
                <w:highlight w:val="black"/>
              </w:rPr>
              <w:t>''''''''''''''''''''</w:t>
            </w:r>
          </w:p>
        </w:tc>
        <w:tc>
          <w:tcPr>
            <w:tcW w:w="679" w:type="pct"/>
            <w:shd w:val="clear" w:color="auto" w:fill="auto"/>
            <w:vAlign w:val="center"/>
          </w:tcPr>
          <w:p w:rsidR="00DA46AC" w:rsidRPr="00816448" w:rsidRDefault="00DA46AC" w:rsidP="00F34ABE">
            <w:pPr>
              <w:keepNext/>
              <w:widowControl/>
              <w:jc w:val="center"/>
              <w:rPr>
                <w:rFonts w:ascii="Arial Narrow" w:hAnsi="Arial Narrow"/>
                <w:color w:val="000000"/>
                <w:sz w:val="20"/>
              </w:rPr>
            </w:pPr>
            <w:r w:rsidRPr="00816448">
              <w:rPr>
                <w:rFonts w:ascii="Arial Narrow" w:hAnsi="Arial Narrow"/>
                <w:b/>
                <w:sz w:val="20"/>
              </w:rPr>
              <w:t>$</w:t>
            </w:r>
            <w:r w:rsidR="00512AF9">
              <w:rPr>
                <w:rFonts w:ascii="Arial Narrow" w:hAnsi="Arial Narrow"/>
                <w:b/>
                <w:noProof/>
                <w:color w:val="000000"/>
                <w:sz w:val="20"/>
                <w:highlight w:val="black"/>
              </w:rPr>
              <w:t>'''''''''''''''''</w:t>
            </w:r>
          </w:p>
        </w:tc>
        <w:tc>
          <w:tcPr>
            <w:tcW w:w="764" w:type="pct"/>
            <w:shd w:val="clear" w:color="auto" w:fill="auto"/>
            <w:vAlign w:val="center"/>
          </w:tcPr>
          <w:p w:rsidR="00DA46AC" w:rsidRPr="00816448" w:rsidRDefault="00DA46AC" w:rsidP="00F34ABE">
            <w:pPr>
              <w:keepNext/>
              <w:widowControl/>
              <w:jc w:val="center"/>
              <w:rPr>
                <w:rFonts w:ascii="Arial Narrow" w:hAnsi="Arial Narrow"/>
                <w:color w:val="000000"/>
                <w:sz w:val="20"/>
              </w:rPr>
            </w:pPr>
            <w:r w:rsidRPr="00816448">
              <w:rPr>
                <w:rFonts w:ascii="Arial Narrow" w:hAnsi="Arial Narrow"/>
                <w:b/>
                <w:sz w:val="20"/>
              </w:rPr>
              <w:t>$</w:t>
            </w:r>
            <w:r w:rsidR="00512AF9">
              <w:rPr>
                <w:rFonts w:ascii="Arial Narrow" w:hAnsi="Arial Narrow"/>
                <w:b/>
                <w:noProof/>
                <w:color w:val="000000"/>
                <w:sz w:val="20"/>
                <w:highlight w:val="black"/>
              </w:rPr>
              <w:t>'''''''''''''''''''</w:t>
            </w:r>
          </w:p>
        </w:tc>
        <w:tc>
          <w:tcPr>
            <w:tcW w:w="764" w:type="pct"/>
            <w:shd w:val="clear" w:color="auto" w:fill="auto"/>
            <w:vAlign w:val="center"/>
          </w:tcPr>
          <w:p w:rsidR="00DA46AC" w:rsidRPr="00816448" w:rsidRDefault="00DA46AC" w:rsidP="00F34ABE">
            <w:pPr>
              <w:keepNext/>
              <w:widowControl/>
              <w:jc w:val="center"/>
              <w:rPr>
                <w:rFonts w:ascii="Arial Narrow" w:hAnsi="Arial Narrow"/>
                <w:color w:val="000000"/>
                <w:sz w:val="20"/>
              </w:rPr>
            </w:pPr>
            <w:r w:rsidRPr="00816448">
              <w:rPr>
                <w:rFonts w:ascii="Arial Narrow" w:hAnsi="Arial Narrow"/>
                <w:b/>
                <w:sz w:val="20"/>
              </w:rPr>
              <w:t>$</w:t>
            </w:r>
            <w:r w:rsidR="00512AF9">
              <w:rPr>
                <w:rFonts w:ascii="Arial Narrow" w:hAnsi="Arial Narrow"/>
                <w:b/>
                <w:noProof/>
                <w:color w:val="000000"/>
                <w:sz w:val="20"/>
                <w:highlight w:val="black"/>
              </w:rPr>
              <w:t>''''''''''''''''''</w:t>
            </w:r>
          </w:p>
        </w:tc>
        <w:tc>
          <w:tcPr>
            <w:tcW w:w="755" w:type="pct"/>
            <w:shd w:val="clear" w:color="auto" w:fill="auto"/>
            <w:vAlign w:val="center"/>
          </w:tcPr>
          <w:p w:rsidR="00DA46AC" w:rsidRPr="00816448" w:rsidRDefault="00DA46AC" w:rsidP="00F34ABE">
            <w:pPr>
              <w:keepNext/>
              <w:widowControl/>
              <w:jc w:val="center"/>
              <w:rPr>
                <w:rFonts w:ascii="Arial Narrow" w:hAnsi="Arial Narrow"/>
                <w:color w:val="000000"/>
                <w:sz w:val="20"/>
              </w:rPr>
            </w:pPr>
            <w:r w:rsidRPr="00816448">
              <w:rPr>
                <w:rFonts w:ascii="Arial Narrow" w:hAnsi="Arial Narrow"/>
                <w:b/>
                <w:sz w:val="20"/>
              </w:rPr>
              <w:t>$</w:t>
            </w:r>
            <w:r w:rsidR="00512AF9">
              <w:rPr>
                <w:rFonts w:ascii="Arial Narrow" w:hAnsi="Arial Narrow"/>
                <w:b/>
                <w:noProof/>
                <w:color w:val="000000"/>
                <w:sz w:val="20"/>
                <w:highlight w:val="black"/>
              </w:rPr>
              <w:t>'''''''''''''''''''</w:t>
            </w:r>
          </w:p>
        </w:tc>
      </w:tr>
    </w:tbl>
    <w:p w:rsidR="006231E6" w:rsidRPr="006231E6" w:rsidRDefault="006231E6" w:rsidP="00F34ABE">
      <w:pPr>
        <w:pStyle w:val="TableFooter"/>
        <w:keepNext/>
        <w:widowControl/>
        <w:ind w:left="709" w:firstLine="11"/>
      </w:pPr>
      <w:r w:rsidRPr="006231E6">
        <w:t>Source: Adapted from Tables E.2.5 (p223), E.2.8 (p225), E.2.11 (p227), E.2.14 (p228), E.2.15 (p229), E.2.16 (p229), E.2.19 (p230), E.3.16 (p237), E.3.17 (p238), E.3.18 (p238), E.4.2 (p240), and E.4.3 (p241) of the submission; 6E - Section E VERSATIS November 2014 PBAC submission.xlsx</w:t>
      </w:r>
    </w:p>
    <w:p w:rsidR="00C25D9C" w:rsidRDefault="00C25D9C" w:rsidP="00F34ABE">
      <w:pPr>
        <w:pStyle w:val="TableFooter"/>
        <w:widowControl/>
        <w:ind w:firstLine="720"/>
      </w:pPr>
      <w:r w:rsidRPr="00665559">
        <w:rPr>
          <w:vertAlign w:val="superscript"/>
        </w:rPr>
        <w:t>a</w:t>
      </w:r>
      <w:r w:rsidRPr="00665559">
        <w:t xml:space="preserve"> Assuming</w:t>
      </w:r>
      <w:r w:rsidR="00A62438" w:rsidRPr="00665559">
        <w:t xml:space="preserve"> </w:t>
      </w:r>
      <w:r w:rsidR="00A62438" w:rsidRPr="00816448">
        <w:t>10.4</w:t>
      </w:r>
      <w:r w:rsidRPr="00665559">
        <w:t xml:space="preserve"> </w:t>
      </w:r>
      <w:r w:rsidR="00A62438" w:rsidRPr="00665559">
        <w:t xml:space="preserve">per patient </w:t>
      </w:r>
      <w:r w:rsidRPr="00665559">
        <w:t>per year as estimated by the submission.</w:t>
      </w:r>
    </w:p>
    <w:p w:rsidR="00AC6BA1" w:rsidRPr="00665559" w:rsidRDefault="00AC6BA1" w:rsidP="00F34ABE">
      <w:pPr>
        <w:pStyle w:val="TableFooter"/>
        <w:widowControl/>
        <w:ind w:firstLine="720"/>
        <w:rPr>
          <w:sz w:val="16"/>
          <w:szCs w:val="18"/>
        </w:rPr>
      </w:pPr>
    </w:p>
    <w:p w:rsidR="00C25D9C" w:rsidRDefault="00AC6BA1" w:rsidP="00AF54DE">
      <w:pPr>
        <w:pStyle w:val="ListParagraph"/>
        <w:widowControl/>
        <w:numPr>
          <w:ilvl w:val="1"/>
          <w:numId w:val="7"/>
        </w:numPr>
        <w:rPr>
          <w:szCs w:val="22"/>
        </w:rPr>
      </w:pPr>
      <w:r w:rsidRPr="00AC6BA1">
        <w:rPr>
          <w:szCs w:val="22"/>
        </w:rPr>
        <w:t xml:space="preserve">The redacted table above shows that at Year 5, the estimated number of scripts dispensed would be 50,000 – 100,000 for Option 1 and 10,000 - 50,000 for Option 2 and that the net cost to the PBS/RPBS would be $10 - $20 million for Option 1 </w:t>
      </w:r>
      <w:r w:rsidR="00B94790" w:rsidRPr="00AC6BA1">
        <w:rPr>
          <w:szCs w:val="22"/>
        </w:rPr>
        <w:t>and less</w:t>
      </w:r>
      <w:r w:rsidRPr="00AC6BA1">
        <w:rPr>
          <w:szCs w:val="22"/>
        </w:rPr>
        <w:t xml:space="preserve"> than $10 million for Option 2.</w:t>
      </w:r>
    </w:p>
    <w:p w:rsidR="00AC6BA1" w:rsidRDefault="00AC6BA1" w:rsidP="00F34ABE">
      <w:pPr>
        <w:widowControl/>
        <w:rPr>
          <w:szCs w:val="22"/>
        </w:rPr>
      </w:pPr>
    </w:p>
    <w:p w:rsidR="00576972" w:rsidRPr="0022773A" w:rsidRDefault="001D7BB3" w:rsidP="00F34ABE">
      <w:pPr>
        <w:pStyle w:val="ListParagraph"/>
        <w:widowControl/>
        <w:numPr>
          <w:ilvl w:val="1"/>
          <w:numId w:val="7"/>
        </w:numPr>
        <w:rPr>
          <w:szCs w:val="22"/>
        </w:rPr>
      </w:pPr>
      <w:r w:rsidRPr="00980C60">
        <w:t xml:space="preserve">The </w:t>
      </w:r>
      <w:r w:rsidR="00996BEF" w:rsidRPr="00980C60">
        <w:t>limitations in the estimates included the assumption that only the incident PHN population were eligible to init</w:t>
      </w:r>
      <w:r w:rsidR="00D17CD8" w:rsidRPr="00980C60">
        <w:t xml:space="preserve">iate treatment in a given year (resulting in a likely underestimate of the eligible population and </w:t>
      </w:r>
      <w:r w:rsidR="005E596D" w:rsidRPr="00980C60">
        <w:t xml:space="preserve">an overestimation of the rate of PHN self-resolution), </w:t>
      </w:r>
      <w:r w:rsidR="004F56D9" w:rsidRPr="00980C60">
        <w:t>the reliance on</w:t>
      </w:r>
      <w:r w:rsidR="00476490" w:rsidRPr="00980C60">
        <w:t xml:space="preserve"> modelled outputs to determin</w:t>
      </w:r>
      <w:r w:rsidR="00666D05" w:rsidRPr="00980C60">
        <w:t>e average duration of</w:t>
      </w:r>
      <w:r w:rsidR="006C6FEA" w:rsidRPr="00980C60">
        <w:t xml:space="preserve"> therapy (s</w:t>
      </w:r>
      <w:r w:rsidR="00476490" w:rsidRPr="00980C60">
        <w:t xml:space="preserve">ee economic analysis), </w:t>
      </w:r>
      <w:r w:rsidR="001307A1" w:rsidRPr="00980C60">
        <w:t xml:space="preserve">the </w:t>
      </w:r>
      <w:r w:rsidR="002D7527" w:rsidRPr="00980C60">
        <w:t>inconsistencies in approach between Section D and Section E (</w:t>
      </w:r>
      <w:r w:rsidR="00214A8F" w:rsidRPr="00980C60">
        <w:t>utilisation</w:t>
      </w:r>
      <w:r w:rsidR="002B2EC3" w:rsidRPr="00980C60">
        <w:t xml:space="preserve"> </w:t>
      </w:r>
      <w:r w:rsidR="00FA26E8" w:rsidRPr="00980C60">
        <w:t xml:space="preserve">estimates for Option 1 required modelled outputs </w:t>
      </w:r>
      <w:r w:rsidR="002B2826" w:rsidRPr="00980C60">
        <w:t xml:space="preserve">for </w:t>
      </w:r>
      <w:r w:rsidR="00FA26E8" w:rsidRPr="00980C60">
        <w:t>both Option 1 and 2</w:t>
      </w:r>
      <w:r w:rsidR="002D7527" w:rsidRPr="00980C60">
        <w:t xml:space="preserve">), and </w:t>
      </w:r>
      <w:r w:rsidR="001307A1" w:rsidRPr="00980C60">
        <w:t>the assumed uptake rates.</w:t>
      </w:r>
    </w:p>
    <w:p w:rsidR="0022773A" w:rsidRPr="0022773A" w:rsidRDefault="0022773A" w:rsidP="00F34ABE">
      <w:pPr>
        <w:pStyle w:val="ListParagraph"/>
        <w:widowControl/>
        <w:rPr>
          <w:szCs w:val="22"/>
        </w:rPr>
      </w:pPr>
    </w:p>
    <w:p w:rsidR="0022773A" w:rsidRPr="006C2229" w:rsidRDefault="0022773A" w:rsidP="00F34ABE">
      <w:pPr>
        <w:pStyle w:val="ListParagraph"/>
        <w:widowControl/>
        <w:numPr>
          <w:ilvl w:val="1"/>
          <w:numId w:val="7"/>
        </w:numPr>
        <w:rPr>
          <w:szCs w:val="22"/>
        </w:rPr>
      </w:pPr>
      <w:r w:rsidRPr="006C2229">
        <w:t xml:space="preserve">The PSCR (p4) agreed that the ‘…assumption that only the incident population initiate treatment in Year 1 may underestimate patients eligible for treatment in the first few years’ but that the financial implications of listing lignocaine will remain below $20 million even at 80% uptake rate’. </w:t>
      </w:r>
      <w:r w:rsidR="00BB5351" w:rsidRPr="006C2229">
        <w:t>This sensitivity analysis examined the financial implications if the Year 1 to 5 uptake rates increased to 50%, 58%, 65%, 73%, and 80%</w:t>
      </w:r>
      <w:r w:rsidR="009A51A3" w:rsidRPr="006C2229">
        <w:t xml:space="preserve">, respectively, </w:t>
      </w:r>
      <w:r w:rsidR="00BB5351" w:rsidRPr="006C2229">
        <w:t>compared with the base case of 40%, 43%, 45%, 48% and 50%.</w:t>
      </w:r>
      <w:r w:rsidR="00930B60" w:rsidRPr="006C2229">
        <w:t xml:space="preserve"> The net cost to the PBS in this scenario was estimated to be </w:t>
      </w:r>
      <w:r w:rsidR="006C2229" w:rsidRPr="006C2229">
        <w:t xml:space="preserve">$10 - $20 million </w:t>
      </w:r>
      <w:r w:rsidR="00930B60" w:rsidRPr="006C2229">
        <w:t xml:space="preserve">in Year 5. </w:t>
      </w:r>
    </w:p>
    <w:p w:rsidR="00FC229B" w:rsidRPr="006C2229" w:rsidRDefault="00FC229B" w:rsidP="00F34ABE">
      <w:pPr>
        <w:pStyle w:val="ListParagraph"/>
        <w:widowControl/>
        <w:rPr>
          <w:szCs w:val="22"/>
        </w:rPr>
      </w:pPr>
    </w:p>
    <w:p w:rsidR="00FC229B" w:rsidRPr="006C2229" w:rsidRDefault="00FC229B" w:rsidP="00F34ABE">
      <w:pPr>
        <w:pStyle w:val="ListParagraph"/>
        <w:widowControl/>
        <w:numPr>
          <w:ilvl w:val="1"/>
          <w:numId w:val="7"/>
        </w:numPr>
        <w:rPr>
          <w:szCs w:val="22"/>
        </w:rPr>
      </w:pPr>
      <w:r w:rsidRPr="006C2229">
        <w:rPr>
          <w:szCs w:val="22"/>
        </w:rPr>
        <w:t xml:space="preserve">The PSCR (p6) provided private unit sales data for lignocaine, </w:t>
      </w:r>
      <w:r w:rsidR="00B34370" w:rsidRPr="006C2229">
        <w:rPr>
          <w:szCs w:val="22"/>
        </w:rPr>
        <w:t xml:space="preserve">with </w:t>
      </w:r>
      <w:r w:rsidR="006C2229">
        <w:rPr>
          <w:szCs w:val="22"/>
        </w:rPr>
        <w:t xml:space="preserve">less than 10,000 </w:t>
      </w:r>
      <w:r w:rsidR="00B34370" w:rsidRPr="006C2229">
        <w:rPr>
          <w:szCs w:val="22"/>
        </w:rPr>
        <w:t xml:space="preserve">units sold in 2014, as requested by the Commentary. It </w:t>
      </w:r>
      <w:r w:rsidR="009A51A3" w:rsidRPr="006C2229">
        <w:rPr>
          <w:szCs w:val="22"/>
        </w:rPr>
        <w:t>wa</w:t>
      </w:r>
      <w:r w:rsidR="00B34370" w:rsidRPr="006C2229">
        <w:rPr>
          <w:szCs w:val="22"/>
        </w:rPr>
        <w:t>s unclear whether a unit equate</w:t>
      </w:r>
      <w:r w:rsidR="009A51A3" w:rsidRPr="006C2229">
        <w:rPr>
          <w:szCs w:val="22"/>
        </w:rPr>
        <w:t>s</w:t>
      </w:r>
      <w:r w:rsidR="00B34370" w:rsidRPr="006C2229">
        <w:rPr>
          <w:szCs w:val="22"/>
        </w:rPr>
        <w:t xml:space="preserve"> to a pack of 30 patches.</w:t>
      </w:r>
    </w:p>
    <w:p w:rsidR="001D7BB3" w:rsidRPr="00C51BE9" w:rsidRDefault="001D7BB3" w:rsidP="00C51BE9">
      <w:pPr>
        <w:pStyle w:val="ListParagraph"/>
        <w:widowControl/>
        <w:rPr>
          <w:szCs w:val="22"/>
        </w:rPr>
      </w:pPr>
    </w:p>
    <w:p w:rsidR="00A13C80" w:rsidRPr="00BB7EC3" w:rsidRDefault="00A13C80" w:rsidP="00F34ABE">
      <w:pPr>
        <w:pStyle w:val="ListParagraph"/>
        <w:widowControl/>
        <w:ind w:left="709"/>
        <w:rPr>
          <w:i/>
          <w:szCs w:val="22"/>
        </w:rPr>
      </w:pPr>
      <w:r>
        <w:rPr>
          <w:i/>
          <w:szCs w:val="22"/>
        </w:rPr>
        <w:t>For more detail on PBAC’s view, see section 7 “PBAC outcome”</w:t>
      </w:r>
    </w:p>
    <w:p w:rsidR="00A13C80" w:rsidRPr="00980C60" w:rsidRDefault="00A13C80" w:rsidP="00F34ABE">
      <w:pPr>
        <w:widowControl/>
        <w:rPr>
          <w:szCs w:val="22"/>
        </w:rPr>
      </w:pPr>
    </w:p>
    <w:p w:rsidR="00BA480F" w:rsidRPr="00FF4023" w:rsidRDefault="00BA480F" w:rsidP="00E73BE9">
      <w:pPr>
        <w:pStyle w:val="Heading2"/>
      </w:pPr>
      <w:bookmarkStart w:id="17" w:name="_Toc409189309"/>
      <w:bookmarkStart w:id="18" w:name="_Toc409512497"/>
      <w:r w:rsidRPr="00FF4023">
        <w:t>Financial Management – Risk Sharing Arrangements</w:t>
      </w:r>
      <w:bookmarkEnd w:id="17"/>
    </w:p>
    <w:p w:rsidR="00BA480F" w:rsidRPr="00BA480F" w:rsidRDefault="00BA480F" w:rsidP="000411DE">
      <w:pPr>
        <w:keepNext/>
        <w:keepLines/>
        <w:widowControl/>
      </w:pPr>
    </w:p>
    <w:p w:rsidR="00BA480F" w:rsidRPr="00BA480F" w:rsidRDefault="00BA480F" w:rsidP="000411DE">
      <w:pPr>
        <w:pStyle w:val="ListParagraph"/>
        <w:keepNext/>
        <w:keepLines/>
        <w:widowControl/>
        <w:numPr>
          <w:ilvl w:val="1"/>
          <w:numId w:val="7"/>
        </w:numPr>
      </w:pPr>
      <w:r>
        <w:t>The Pre-PBAC Response stated that the sponsor is willing to work with the PBAC and the Department in designing an appropriate Risk Share Agreement to manage any remaining uncertainty in the financial implications of listing lignocaine on the PBS.</w:t>
      </w:r>
    </w:p>
    <w:p w:rsidR="00BA480F" w:rsidRPr="00BA480F" w:rsidRDefault="00BA480F" w:rsidP="00F34ABE">
      <w:pPr>
        <w:widowControl/>
      </w:pPr>
    </w:p>
    <w:p w:rsidR="00576972" w:rsidRPr="00FF4023" w:rsidRDefault="00576972" w:rsidP="00E73BE9">
      <w:pPr>
        <w:pStyle w:val="Heading2"/>
      </w:pPr>
      <w:r w:rsidRPr="00FF4023">
        <w:t>Quality Use of Medicines</w:t>
      </w:r>
      <w:bookmarkEnd w:id="18"/>
    </w:p>
    <w:p w:rsidR="00576972" w:rsidRPr="00980C60" w:rsidRDefault="00576972" w:rsidP="00F34ABE">
      <w:pPr>
        <w:keepNext/>
        <w:widowControl/>
        <w:rPr>
          <w:szCs w:val="22"/>
        </w:rPr>
      </w:pPr>
    </w:p>
    <w:p w:rsidR="00576972" w:rsidRPr="00980C60" w:rsidRDefault="0015412F" w:rsidP="00F34ABE">
      <w:pPr>
        <w:pStyle w:val="ListParagraph"/>
        <w:widowControl/>
        <w:numPr>
          <w:ilvl w:val="1"/>
          <w:numId w:val="7"/>
        </w:numPr>
        <w:rPr>
          <w:szCs w:val="22"/>
        </w:rPr>
      </w:pPr>
      <w:r w:rsidRPr="00980C60">
        <w:t>The subm</w:t>
      </w:r>
      <w:r w:rsidR="00296F8E" w:rsidRPr="00980C60">
        <w:t>ission claimed that pregabalin wa</w:t>
      </w:r>
      <w:r w:rsidRPr="00980C60">
        <w:t>s sub</w:t>
      </w:r>
      <w:r w:rsidR="00296F8E" w:rsidRPr="00980C60">
        <w:t>-</w:t>
      </w:r>
      <w:r w:rsidRPr="00980C60">
        <w:t>optimally dosed in practice based on commissioned BEACH and 10% Medicare sample analyses. This claim was inadequately supported.</w:t>
      </w:r>
    </w:p>
    <w:p w:rsidR="00214A8F" w:rsidRPr="00980C60" w:rsidRDefault="00214A8F" w:rsidP="00F34ABE">
      <w:pPr>
        <w:pStyle w:val="ListParagraph"/>
        <w:widowControl/>
        <w:rPr>
          <w:szCs w:val="22"/>
        </w:rPr>
      </w:pPr>
    </w:p>
    <w:p w:rsidR="00214A8F" w:rsidRPr="00811867" w:rsidRDefault="00214A8F" w:rsidP="00F34ABE">
      <w:pPr>
        <w:pStyle w:val="ListParagraph"/>
        <w:widowControl/>
        <w:numPr>
          <w:ilvl w:val="1"/>
          <w:numId w:val="7"/>
        </w:numPr>
        <w:rPr>
          <w:szCs w:val="22"/>
        </w:rPr>
      </w:pPr>
      <w:r w:rsidRPr="00980C60">
        <w:rPr>
          <w:szCs w:val="22"/>
        </w:rPr>
        <w:t xml:space="preserve">There </w:t>
      </w:r>
      <w:r w:rsidR="00A15F93" w:rsidRPr="00980C60">
        <w:rPr>
          <w:szCs w:val="22"/>
        </w:rPr>
        <w:t>is</w:t>
      </w:r>
      <w:r w:rsidRPr="00980C60">
        <w:rPr>
          <w:szCs w:val="22"/>
        </w:rPr>
        <w:t xml:space="preserve"> the potential for usage outside </w:t>
      </w:r>
      <w:r w:rsidR="003E2C19" w:rsidRPr="00980C60">
        <w:rPr>
          <w:szCs w:val="22"/>
        </w:rPr>
        <w:t>the requested PBS listings</w:t>
      </w:r>
      <w:r w:rsidRPr="00980C60">
        <w:rPr>
          <w:szCs w:val="22"/>
        </w:rPr>
        <w:t xml:space="preserve"> among patient</w:t>
      </w:r>
      <w:r w:rsidR="00A15F93" w:rsidRPr="00980C60">
        <w:rPr>
          <w:szCs w:val="22"/>
        </w:rPr>
        <w:t>s</w:t>
      </w:r>
      <w:r w:rsidRPr="00980C60">
        <w:rPr>
          <w:szCs w:val="22"/>
        </w:rPr>
        <w:t xml:space="preserve"> who do not </w:t>
      </w:r>
      <w:r w:rsidR="00A15F93" w:rsidRPr="00980C60">
        <w:rPr>
          <w:szCs w:val="22"/>
        </w:rPr>
        <w:t xml:space="preserve">meet </w:t>
      </w:r>
      <w:r w:rsidRPr="00980C60">
        <w:rPr>
          <w:szCs w:val="22"/>
        </w:rPr>
        <w:t xml:space="preserve">the </w:t>
      </w:r>
      <w:r w:rsidRPr="00811867">
        <w:rPr>
          <w:szCs w:val="22"/>
        </w:rPr>
        <w:t xml:space="preserve">criteria of refractory pain. Additionally, there is the potential for usage among patients with peripheral neuropathic pain </w:t>
      </w:r>
      <w:r w:rsidR="00822747" w:rsidRPr="00811867">
        <w:rPr>
          <w:szCs w:val="22"/>
        </w:rPr>
        <w:t xml:space="preserve">conditions </w:t>
      </w:r>
      <w:r w:rsidRPr="00811867">
        <w:rPr>
          <w:szCs w:val="22"/>
        </w:rPr>
        <w:t>other than PHN.</w:t>
      </w:r>
      <w:r w:rsidR="0022773A" w:rsidRPr="00811867">
        <w:rPr>
          <w:szCs w:val="22"/>
        </w:rPr>
        <w:t xml:space="preserve"> The PSCR </w:t>
      </w:r>
      <w:r w:rsidR="00A0414C">
        <w:rPr>
          <w:szCs w:val="22"/>
        </w:rPr>
        <w:t xml:space="preserve">and Pre-PBAC Response </w:t>
      </w:r>
      <w:r w:rsidR="0022773A" w:rsidRPr="00811867">
        <w:rPr>
          <w:szCs w:val="22"/>
        </w:rPr>
        <w:t>note</w:t>
      </w:r>
      <w:r w:rsidR="00A0414C">
        <w:rPr>
          <w:szCs w:val="22"/>
        </w:rPr>
        <w:t>d</w:t>
      </w:r>
      <w:r w:rsidR="0022773A" w:rsidRPr="00811867">
        <w:rPr>
          <w:szCs w:val="22"/>
        </w:rPr>
        <w:t xml:space="preserve"> that the sponsor is willing to work with the </w:t>
      </w:r>
      <w:r w:rsidR="00E1372F" w:rsidRPr="00811867">
        <w:rPr>
          <w:szCs w:val="22"/>
        </w:rPr>
        <w:t>P</w:t>
      </w:r>
      <w:r w:rsidR="0022773A" w:rsidRPr="00811867">
        <w:rPr>
          <w:szCs w:val="22"/>
        </w:rPr>
        <w:t>BAC to minimise such usage by amending the restriction to Authority Required.</w:t>
      </w:r>
    </w:p>
    <w:p w:rsidR="00C409E4" w:rsidRDefault="00C409E4" w:rsidP="00F34ABE">
      <w:pPr>
        <w:widowControl/>
        <w:rPr>
          <w:szCs w:val="22"/>
        </w:rPr>
      </w:pPr>
    </w:p>
    <w:p w:rsidR="007C0FBD" w:rsidRDefault="007C0FBD" w:rsidP="00F34ABE">
      <w:pPr>
        <w:widowControl/>
        <w:rPr>
          <w:szCs w:val="22"/>
        </w:rPr>
      </w:pPr>
    </w:p>
    <w:p w:rsidR="00D732E3" w:rsidRPr="00882085" w:rsidRDefault="00D732E3" w:rsidP="00F34ABE">
      <w:pPr>
        <w:pStyle w:val="PBACHeading1"/>
        <w:keepNext/>
        <w:rPr>
          <w:b w:val="0"/>
        </w:rPr>
      </w:pPr>
      <w:r w:rsidRPr="00882085">
        <w:t>PBAC Outcome</w:t>
      </w:r>
    </w:p>
    <w:p w:rsidR="00D732E3" w:rsidRDefault="00D732E3" w:rsidP="00F34ABE">
      <w:pPr>
        <w:keepNext/>
        <w:widowControl/>
        <w:rPr>
          <w:b/>
          <w:szCs w:val="22"/>
        </w:rPr>
      </w:pPr>
    </w:p>
    <w:p w:rsidR="009814CC" w:rsidRDefault="00124726" w:rsidP="00CC68E1">
      <w:pPr>
        <w:pStyle w:val="ListParagraph"/>
        <w:widowControl/>
        <w:numPr>
          <w:ilvl w:val="1"/>
          <w:numId w:val="7"/>
        </w:numPr>
        <w:rPr>
          <w:szCs w:val="22"/>
        </w:rPr>
      </w:pPr>
      <w:r w:rsidRPr="00A0414C">
        <w:rPr>
          <w:szCs w:val="22"/>
        </w:rPr>
        <w:t xml:space="preserve">The PBAC rejected the request to list lignocaine patch for the treatment of patients with PHN on the basis </w:t>
      </w:r>
      <w:r w:rsidRPr="00DE5A29">
        <w:rPr>
          <w:szCs w:val="22"/>
        </w:rPr>
        <w:t>of uncertain cost effecti</w:t>
      </w:r>
      <w:r w:rsidR="00DE5A29" w:rsidRPr="00DE5A29">
        <w:rPr>
          <w:szCs w:val="22"/>
        </w:rPr>
        <w:t xml:space="preserve">veness compared with pregabalin. </w:t>
      </w:r>
      <w:r w:rsidRPr="007D70CC">
        <w:rPr>
          <w:szCs w:val="22"/>
          <w:highlight w:val="yellow"/>
        </w:rPr>
        <w:t xml:space="preserve"> </w:t>
      </w:r>
      <w:r w:rsidR="00680DBE">
        <w:rPr>
          <w:szCs w:val="22"/>
        </w:rPr>
        <w:t>The PBAC considered that there was a mismatch between the restriction, the clinical treatm</w:t>
      </w:r>
      <w:r w:rsidR="00680DBE" w:rsidRPr="00DE5A29">
        <w:rPr>
          <w:szCs w:val="22"/>
        </w:rPr>
        <w:t>ent algorithm, the model</w:t>
      </w:r>
      <w:r w:rsidR="00086752">
        <w:rPr>
          <w:szCs w:val="22"/>
        </w:rPr>
        <w:t>,</w:t>
      </w:r>
      <w:r w:rsidR="00680DBE" w:rsidRPr="00DE5A29">
        <w:rPr>
          <w:szCs w:val="22"/>
        </w:rPr>
        <w:t xml:space="preserve"> and the</w:t>
      </w:r>
      <w:r w:rsidR="00DE5A29" w:rsidRPr="00DE5A29">
        <w:rPr>
          <w:szCs w:val="22"/>
        </w:rPr>
        <w:t xml:space="preserve"> clinical</w:t>
      </w:r>
      <w:r w:rsidR="00086752">
        <w:rPr>
          <w:szCs w:val="22"/>
        </w:rPr>
        <w:t xml:space="preserve"> trial data</w:t>
      </w:r>
      <w:r w:rsidR="00DE5A29">
        <w:rPr>
          <w:szCs w:val="22"/>
        </w:rPr>
        <w:t>.</w:t>
      </w:r>
    </w:p>
    <w:p w:rsidR="009814CC" w:rsidRDefault="009814CC" w:rsidP="009814CC">
      <w:pPr>
        <w:pStyle w:val="ListParagraph"/>
        <w:widowControl/>
        <w:rPr>
          <w:szCs w:val="22"/>
        </w:rPr>
      </w:pPr>
    </w:p>
    <w:p w:rsidR="00D732E3" w:rsidRPr="009814CC" w:rsidRDefault="00A0414C" w:rsidP="00CC68E1">
      <w:pPr>
        <w:pStyle w:val="ListParagraph"/>
        <w:widowControl/>
        <w:numPr>
          <w:ilvl w:val="1"/>
          <w:numId w:val="7"/>
        </w:numPr>
        <w:rPr>
          <w:szCs w:val="22"/>
        </w:rPr>
      </w:pPr>
      <w:r w:rsidRPr="009814CC">
        <w:rPr>
          <w:szCs w:val="22"/>
        </w:rPr>
        <w:t xml:space="preserve">The PBAC considered that there is a </w:t>
      </w:r>
      <w:r w:rsidR="006D1719">
        <w:rPr>
          <w:szCs w:val="22"/>
        </w:rPr>
        <w:t xml:space="preserve">potential </w:t>
      </w:r>
      <w:r w:rsidRPr="009814CC">
        <w:rPr>
          <w:szCs w:val="22"/>
        </w:rPr>
        <w:t>clinical need for the lignocaine patch for the treatmen</w:t>
      </w:r>
      <w:r w:rsidR="00C45406" w:rsidRPr="009814CC">
        <w:rPr>
          <w:szCs w:val="22"/>
        </w:rPr>
        <w:t xml:space="preserve">t of PHN and </w:t>
      </w:r>
      <w:r w:rsidRPr="009814CC">
        <w:rPr>
          <w:szCs w:val="22"/>
        </w:rPr>
        <w:t xml:space="preserve">acknowledged the safety and quality use of medicine issues relating to the use of </w:t>
      </w:r>
      <w:r w:rsidR="00363F18">
        <w:rPr>
          <w:szCs w:val="22"/>
        </w:rPr>
        <w:t>systemic</w:t>
      </w:r>
      <w:r w:rsidR="00363F18" w:rsidRPr="009814CC">
        <w:rPr>
          <w:szCs w:val="22"/>
        </w:rPr>
        <w:t xml:space="preserve"> </w:t>
      </w:r>
      <w:r w:rsidRPr="009814CC">
        <w:rPr>
          <w:szCs w:val="22"/>
        </w:rPr>
        <w:t xml:space="preserve">for this condition. However, the PBAC considered that the submission </w:t>
      </w:r>
      <w:r w:rsidR="00F14FF8" w:rsidRPr="009814CC">
        <w:rPr>
          <w:szCs w:val="22"/>
        </w:rPr>
        <w:t>did</w:t>
      </w:r>
      <w:r w:rsidRPr="009814CC">
        <w:rPr>
          <w:szCs w:val="22"/>
        </w:rPr>
        <w:t xml:space="preserve"> not provide a confident basis </w:t>
      </w:r>
      <w:r w:rsidR="007D70CC" w:rsidRPr="009814CC">
        <w:rPr>
          <w:szCs w:val="22"/>
        </w:rPr>
        <w:t>that</w:t>
      </w:r>
      <w:r w:rsidRPr="009814CC">
        <w:rPr>
          <w:szCs w:val="22"/>
        </w:rPr>
        <w:t xml:space="preserve"> recommending lignocaine at the requested price </w:t>
      </w:r>
      <w:r w:rsidR="007D70CC" w:rsidRPr="009814CC">
        <w:rPr>
          <w:szCs w:val="22"/>
        </w:rPr>
        <w:t xml:space="preserve">would be </w:t>
      </w:r>
      <w:r w:rsidRPr="009814CC">
        <w:rPr>
          <w:szCs w:val="22"/>
        </w:rPr>
        <w:t>cost-</w:t>
      </w:r>
      <w:r w:rsidR="007D70CC" w:rsidRPr="009814CC">
        <w:rPr>
          <w:szCs w:val="22"/>
        </w:rPr>
        <w:t>effective</w:t>
      </w:r>
      <w:r w:rsidR="00F14FF8" w:rsidRPr="009814CC">
        <w:rPr>
          <w:szCs w:val="22"/>
        </w:rPr>
        <w:t>.</w:t>
      </w:r>
    </w:p>
    <w:p w:rsidR="009814CC" w:rsidRDefault="009814CC" w:rsidP="009814CC">
      <w:pPr>
        <w:pStyle w:val="ListParagraph"/>
        <w:widowControl/>
        <w:rPr>
          <w:szCs w:val="22"/>
        </w:rPr>
      </w:pPr>
    </w:p>
    <w:p w:rsidR="00D52091" w:rsidRDefault="0096138E" w:rsidP="00D52091">
      <w:pPr>
        <w:pStyle w:val="ListParagraph"/>
        <w:widowControl/>
        <w:numPr>
          <w:ilvl w:val="1"/>
          <w:numId w:val="7"/>
        </w:numPr>
        <w:rPr>
          <w:szCs w:val="22"/>
        </w:rPr>
      </w:pPr>
      <w:r>
        <w:rPr>
          <w:szCs w:val="22"/>
        </w:rPr>
        <w:t xml:space="preserve">The PBAC considered that the </w:t>
      </w:r>
      <w:r w:rsidR="00D52091">
        <w:rPr>
          <w:szCs w:val="22"/>
        </w:rPr>
        <w:t xml:space="preserve">proposed clinical treatment algorithm and the </w:t>
      </w:r>
      <w:r>
        <w:rPr>
          <w:szCs w:val="22"/>
        </w:rPr>
        <w:t xml:space="preserve">wording of the </w:t>
      </w:r>
      <w:r w:rsidR="009A1CA7">
        <w:rPr>
          <w:szCs w:val="22"/>
        </w:rPr>
        <w:t xml:space="preserve">two suggested </w:t>
      </w:r>
      <w:r w:rsidR="00680DBE">
        <w:rPr>
          <w:szCs w:val="22"/>
        </w:rPr>
        <w:t xml:space="preserve">restrictions </w:t>
      </w:r>
      <w:r w:rsidR="00D52091">
        <w:rPr>
          <w:szCs w:val="22"/>
        </w:rPr>
        <w:t>were</w:t>
      </w:r>
      <w:r w:rsidR="00680DBE">
        <w:rPr>
          <w:szCs w:val="22"/>
        </w:rPr>
        <w:t xml:space="preserve"> ambiguous and </w:t>
      </w:r>
      <w:r>
        <w:rPr>
          <w:szCs w:val="22"/>
        </w:rPr>
        <w:t xml:space="preserve">inconsistent with current primary care </w:t>
      </w:r>
      <w:r w:rsidR="005A5A8B">
        <w:rPr>
          <w:szCs w:val="22"/>
        </w:rPr>
        <w:t>advice</w:t>
      </w:r>
      <w:r w:rsidR="00130D61">
        <w:rPr>
          <w:szCs w:val="22"/>
        </w:rPr>
        <w:t xml:space="preserve">, which is based on the therapeutic guidelines </w:t>
      </w:r>
      <w:r w:rsidR="005A5A8B">
        <w:rPr>
          <w:szCs w:val="22"/>
        </w:rPr>
        <w:t>(</w:t>
      </w:r>
      <w:r>
        <w:t>Australian Family Physician, Neuropathic pain: A management update, Volume 42, No.3, March 2013 Pages 92</w:t>
      </w:r>
      <w:r>
        <w:noBreakHyphen/>
        <w:t>97)</w:t>
      </w:r>
      <w:r w:rsidR="00680DBE">
        <w:t xml:space="preserve">. </w:t>
      </w:r>
      <w:r w:rsidR="00D52091">
        <w:rPr>
          <w:szCs w:val="22"/>
        </w:rPr>
        <w:t xml:space="preserve">Current primary care advice </w:t>
      </w:r>
      <w:r w:rsidR="00D52091">
        <w:t xml:space="preserve">for PHN </w:t>
      </w:r>
      <w:r w:rsidR="00D52091">
        <w:rPr>
          <w:szCs w:val="22"/>
        </w:rPr>
        <w:t xml:space="preserve">places lignocaine as a first line treatment along with TCAs, gabapentin and pregabalin. Recommended second line therapies for PHN are opioids and tramadol. </w:t>
      </w:r>
    </w:p>
    <w:p w:rsidR="00D52091" w:rsidRDefault="00D52091" w:rsidP="00D52091">
      <w:pPr>
        <w:pStyle w:val="ListParagraph"/>
        <w:widowControl/>
        <w:rPr>
          <w:szCs w:val="22"/>
        </w:rPr>
      </w:pPr>
    </w:p>
    <w:p w:rsidR="0096138E" w:rsidRDefault="00680DBE" w:rsidP="00F34ABE">
      <w:pPr>
        <w:pStyle w:val="ListParagraph"/>
        <w:widowControl/>
        <w:numPr>
          <w:ilvl w:val="1"/>
          <w:numId w:val="7"/>
        </w:numPr>
        <w:rPr>
          <w:szCs w:val="22"/>
        </w:rPr>
      </w:pPr>
      <w:r>
        <w:t xml:space="preserve">While noting that the wording for </w:t>
      </w:r>
      <w:r w:rsidR="00D52091">
        <w:t xml:space="preserve">the restriction </w:t>
      </w:r>
      <w:r>
        <w:t>Option 1 was based on the current restriction for pregabalin, the PBAC considered that it would be beneficial if the criterion “must be refractory to other drugs” was more specific</w:t>
      </w:r>
      <w:r w:rsidR="009A1CA7">
        <w:t xml:space="preserve"> for both pregabalin and lignocaine</w:t>
      </w:r>
      <w:r>
        <w:t>. It would</w:t>
      </w:r>
      <w:r w:rsidR="00D52091">
        <w:t xml:space="preserve"> </w:t>
      </w:r>
      <w:r>
        <w:t>be informative for a future proposed restriction for lignocaine to be informed by adv</w:t>
      </w:r>
      <w:r w:rsidR="009A1CA7">
        <w:t>ice from general practitioners.</w:t>
      </w:r>
    </w:p>
    <w:p w:rsidR="00D732E3" w:rsidRPr="00BB7EC3" w:rsidRDefault="00D732E3" w:rsidP="00D52091"/>
    <w:p w:rsidR="00D732E3" w:rsidRDefault="00A73C29" w:rsidP="000411DE">
      <w:pPr>
        <w:pStyle w:val="ListParagraph"/>
        <w:keepNext/>
        <w:keepLines/>
        <w:widowControl/>
        <w:numPr>
          <w:ilvl w:val="1"/>
          <w:numId w:val="7"/>
        </w:numPr>
        <w:rPr>
          <w:szCs w:val="22"/>
        </w:rPr>
      </w:pPr>
      <w:r>
        <w:rPr>
          <w:szCs w:val="22"/>
        </w:rPr>
        <w:lastRenderedPageBreak/>
        <w:t>The PBAC considered that pregabalin was not the only reasonable comparator for the requested Option 1 listing</w:t>
      </w:r>
      <w:r w:rsidR="00115599">
        <w:rPr>
          <w:szCs w:val="22"/>
        </w:rPr>
        <w:t>.</w:t>
      </w:r>
      <w:r>
        <w:rPr>
          <w:szCs w:val="22"/>
        </w:rPr>
        <w:t xml:space="preserve"> TCAs and gabapentin </w:t>
      </w:r>
      <w:r w:rsidR="00115599">
        <w:rPr>
          <w:szCs w:val="22"/>
        </w:rPr>
        <w:t>were also considered to be likely alternative treatments options to lignocaine, in line with current primary care advice.</w:t>
      </w:r>
    </w:p>
    <w:p w:rsidR="002E3535" w:rsidRDefault="002E3535" w:rsidP="00F34ABE">
      <w:pPr>
        <w:widowControl/>
      </w:pPr>
    </w:p>
    <w:p w:rsidR="002E3535" w:rsidRPr="002E3535" w:rsidRDefault="002E3535" w:rsidP="00F34ABE">
      <w:pPr>
        <w:pStyle w:val="ListParagraph"/>
        <w:widowControl/>
        <w:numPr>
          <w:ilvl w:val="1"/>
          <w:numId w:val="7"/>
        </w:numPr>
        <w:rPr>
          <w:szCs w:val="22"/>
        </w:rPr>
      </w:pPr>
      <w:r w:rsidRPr="0021649B">
        <w:rPr>
          <w:szCs w:val="22"/>
        </w:rPr>
        <w:t>The PBAC noted the ESC’s concerns regarding the complexities of administration of lignocaine patch</w:t>
      </w:r>
      <w:r>
        <w:rPr>
          <w:szCs w:val="22"/>
        </w:rPr>
        <w:t>.</w:t>
      </w:r>
      <w:r w:rsidRPr="0021649B">
        <w:rPr>
          <w:szCs w:val="22"/>
        </w:rPr>
        <w:t xml:space="preserve"> However, the PBAC noted that TCAs and pregabalin have a worse side-effect profile in the elderly and the option to choose lignocaine before these drugs would be preferable.</w:t>
      </w:r>
    </w:p>
    <w:p w:rsidR="00571ED6" w:rsidRPr="001518A6" w:rsidRDefault="00571ED6" w:rsidP="001518A6">
      <w:pPr>
        <w:rPr>
          <w:szCs w:val="22"/>
        </w:rPr>
      </w:pPr>
    </w:p>
    <w:p w:rsidR="00A33E4A" w:rsidRDefault="00A33E4A" w:rsidP="00A33E4A">
      <w:pPr>
        <w:pStyle w:val="ListParagraph"/>
        <w:widowControl/>
        <w:numPr>
          <w:ilvl w:val="1"/>
          <w:numId w:val="7"/>
        </w:numPr>
        <w:rPr>
          <w:szCs w:val="22"/>
        </w:rPr>
      </w:pPr>
      <w:r>
        <w:rPr>
          <w:szCs w:val="22"/>
        </w:rPr>
        <w:t>The PBAC considered that there was a mismatch between the clinical trials and the requested restriction. For instance, patients in the pivotal trial KF10004/03 were not required to have pain refractory to other drugs (as per the requested restriction Option 1)</w:t>
      </w:r>
      <w:r w:rsidR="00571ED6">
        <w:rPr>
          <w:szCs w:val="22"/>
        </w:rPr>
        <w:t xml:space="preserve"> </w:t>
      </w:r>
      <w:r w:rsidR="00571ED6" w:rsidRPr="00571ED6">
        <w:rPr>
          <w:szCs w:val="22"/>
        </w:rPr>
        <w:t xml:space="preserve">and were not allowed to use concomitant adjuvant pain medications during the comparative phase </w:t>
      </w:r>
      <w:r w:rsidR="00571ED6">
        <w:rPr>
          <w:szCs w:val="22"/>
        </w:rPr>
        <w:t>(</w:t>
      </w:r>
      <w:r w:rsidR="00571ED6" w:rsidRPr="00571ED6">
        <w:rPr>
          <w:szCs w:val="22"/>
        </w:rPr>
        <w:t>which was inconsistent with current clinical practice</w:t>
      </w:r>
      <w:r w:rsidR="00571ED6">
        <w:rPr>
          <w:szCs w:val="22"/>
        </w:rPr>
        <w:t>)</w:t>
      </w:r>
      <w:r w:rsidRPr="00571ED6">
        <w:rPr>
          <w:szCs w:val="22"/>
        </w:rPr>
        <w:t>.</w:t>
      </w:r>
      <w:r>
        <w:rPr>
          <w:szCs w:val="22"/>
        </w:rPr>
        <w:t xml:space="preserve"> In addition, the placebo controlled trial populations are not applicable to the requested PBS population for restriction Option 2 as patients were not required to be inadequately controlled on, or unable to tolerate, pregabalin. Furthermore, </w:t>
      </w:r>
      <w:r w:rsidRPr="00A33E4A">
        <w:rPr>
          <w:szCs w:val="22"/>
        </w:rPr>
        <w:t>two of the three trials included lignocaine patch treatment-experienced patients.</w:t>
      </w:r>
    </w:p>
    <w:p w:rsidR="00A33E4A" w:rsidRPr="00A33E4A" w:rsidRDefault="00A33E4A" w:rsidP="00A33E4A">
      <w:pPr>
        <w:widowControl/>
        <w:rPr>
          <w:szCs w:val="22"/>
        </w:rPr>
      </w:pPr>
    </w:p>
    <w:p w:rsidR="000F36A1" w:rsidRPr="000F36A1" w:rsidRDefault="00A33E4A" w:rsidP="00F34ABE">
      <w:pPr>
        <w:widowControl/>
        <w:numPr>
          <w:ilvl w:val="1"/>
          <w:numId w:val="7"/>
        </w:numPr>
        <w:contextualSpacing/>
        <w:rPr>
          <w:szCs w:val="22"/>
        </w:rPr>
      </w:pPr>
      <w:r>
        <w:rPr>
          <w:szCs w:val="22"/>
        </w:rPr>
        <w:t>The pivotal trial KF10004/03</w:t>
      </w:r>
      <w:r w:rsidR="000F36A1" w:rsidRPr="005E5341">
        <w:t xml:space="preserve"> </w:t>
      </w:r>
      <w:r w:rsidR="000F36A1">
        <w:t xml:space="preserve">presented the results </w:t>
      </w:r>
      <w:r w:rsidR="00CF393D">
        <w:t xml:space="preserve">of </w:t>
      </w:r>
      <w:r w:rsidR="005E4B1E">
        <w:t xml:space="preserve">an open-label head-to-head randomised non-inferiority trial comparing lignocaine patch to pregabalin. </w:t>
      </w:r>
      <w:r w:rsidR="005E4B1E" w:rsidRPr="005E4B1E">
        <w:t>The key data relied on from this trial are for the subgroup of patients with PHN.</w:t>
      </w:r>
      <w:r w:rsidR="005E4B1E" w:rsidRPr="005E4B1E">
        <w:rPr>
          <w:i/>
        </w:rPr>
        <w:t xml:space="preserve"> </w:t>
      </w:r>
      <w:r w:rsidR="000F36A1" w:rsidRPr="005E4B1E">
        <w:t xml:space="preserve">The primary outcomes were </w:t>
      </w:r>
      <w:r w:rsidR="005E4B1E">
        <w:t>the proportion that</w:t>
      </w:r>
      <w:r w:rsidR="005E4B1E" w:rsidRPr="005E4B1E">
        <w:t xml:space="preserve"> achieved </w:t>
      </w:r>
      <w:r w:rsidR="005E4B1E">
        <w:t xml:space="preserve">a </w:t>
      </w:r>
      <w:r w:rsidR="005E4B1E" w:rsidRPr="005E4B1E">
        <w:t xml:space="preserve">response at </w:t>
      </w:r>
      <w:r w:rsidR="005E4B1E">
        <w:t>week</w:t>
      </w:r>
      <w:r w:rsidR="005E4B1E" w:rsidRPr="005E4B1E">
        <w:t xml:space="preserve"> 4 (reduction of ≥2 or</w:t>
      </w:r>
      <w:r w:rsidR="005E4B1E">
        <w:t xml:space="preserve"> an absolute value ≤4 on NRS-3) and change in patient utility (measured using EQ</w:t>
      </w:r>
      <w:r w:rsidR="00962F71">
        <w:noBreakHyphen/>
      </w:r>
      <w:r w:rsidR="005E4B1E" w:rsidRPr="005E4B1E">
        <w:t>5D-5L</w:t>
      </w:r>
      <w:r w:rsidR="005E4B1E">
        <w:t>).</w:t>
      </w:r>
    </w:p>
    <w:p w:rsidR="005448B7" w:rsidRPr="00A33E4A" w:rsidRDefault="005448B7" w:rsidP="00A33E4A">
      <w:pPr>
        <w:widowControl/>
        <w:rPr>
          <w:szCs w:val="22"/>
        </w:rPr>
      </w:pPr>
    </w:p>
    <w:p w:rsidR="00EE79C2" w:rsidRPr="00EE79C2" w:rsidRDefault="00D75AAA" w:rsidP="00F34ABE">
      <w:pPr>
        <w:pStyle w:val="ListParagraph"/>
        <w:widowControl/>
        <w:numPr>
          <w:ilvl w:val="1"/>
          <w:numId w:val="7"/>
        </w:numPr>
        <w:rPr>
          <w:szCs w:val="22"/>
        </w:rPr>
      </w:pPr>
      <w:r>
        <w:rPr>
          <w:szCs w:val="22"/>
        </w:rPr>
        <w:t>The PBAC noted that non-inferiority between lignocaine patch and pregabalin was not demonstrated based on the pre-defined non</w:t>
      </w:r>
      <w:r>
        <w:rPr>
          <w:szCs w:val="22"/>
        </w:rPr>
        <w:noBreakHyphen/>
      </w:r>
      <w:r w:rsidRPr="00C70403">
        <w:rPr>
          <w:szCs w:val="22"/>
        </w:rPr>
        <w:t>inferiority margin</w:t>
      </w:r>
      <w:r w:rsidR="00EE79C2">
        <w:rPr>
          <w:szCs w:val="22"/>
        </w:rPr>
        <w:t xml:space="preserve"> for the PHN and DPN population in the </w:t>
      </w:r>
      <w:r w:rsidR="00CC68E1">
        <w:rPr>
          <w:szCs w:val="22"/>
        </w:rPr>
        <w:t>pivotal trial (see pa</w:t>
      </w:r>
      <w:r w:rsidR="00CC68E1" w:rsidRPr="00CC68E1">
        <w:rPr>
          <w:szCs w:val="22"/>
        </w:rPr>
        <w:t>ragraph</w:t>
      </w:r>
      <w:r w:rsidR="00EE79C2" w:rsidRPr="00CC68E1">
        <w:rPr>
          <w:szCs w:val="22"/>
        </w:rPr>
        <w:t xml:space="preserve"> </w:t>
      </w:r>
      <w:r w:rsidR="00CC68E1" w:rsidRPr="00CC68E1">
        <w:rPr>
          <w:szCs w:val="22"/>
        </w:rPr>
        <w:t>6.6</w:t>
      </w:r>
      <w:r w:rsidR="00EE79C2" w:rsidRPr="00CC68E1">
        <w:rPr>
          <w:szCs w:val="22"/>
        </w:rPr>
        <w:t>).</w:t>
      </w:r>
      <w:r w:rsidR="00EE79C2">
        <w:rPr>
          <w:szCs w:val="22"/>
        </w:rPr>
        <w:t xml:space="preserve"> The PBAC also noted that n</w:t>
      </w:r>
      <w:r w:rsidR="00EE79C2" w:rsidRPr="00EE79C2">
        <w:rPr>
          <w:szCs w:val="22"/>
        </w:rPr>
        <w:t>o combined p-value for the PHN subgroup was presented in the trial report.</w:t>
      </w:r>
      <w:r w:rsidR="00EE79C2" w:rsidRPr="00EE79C2">
        <w:rPr>
          <w:i/>
          <w:szCs w:val="22"/>
        </w:rPr>
        <w:t xml:space="preserve"> </w:t>
      </w:r>
      <w:r w:rsidR="00EE79C2" w:rsidRPr="00EE79C2">
        <w:rPr>
          <w:szCs w:val="22"/>
        </w:rPr>
        <w:t xml:space="preserve">Given that the trial failed the primary outcome, </w:t>
      </w:r>
      <w:r w:rsidR="00FA2171">
        <w:rPr>
          <w:szCs w:val="22"/>
        </w:rPr>
        <w:t xml:space="preserve">the PBAC considered that </w:t>
      </w:r>
      <w:r w:rsidR="00EE79C2" w:rsidRPr="00EE79C2">
        <w:rPr>
          <w:szCs w:val="22"/>
        </w:rPr>
        <w:t>subgroup analyses and analyses of secondary outcomes are unreliable and should be interpreted with caution.</w:t>
      </w:r>
    </w:p>
    <w:p w:rsidR="00FA2171" w:rsidRPr="00FA2171" w:rsidRDefault="00FA2171" w:rsidP="00F34ABE">
      <w:pPr>
        <w:widowControl/>
        <w:rPr>
          <w:szCs w:val="22"/>
        </w:rPr>
      </w:pPr>
    </w:p>
    <w:p w:rsidR="00FA2171" w:rsidRPr="00E30C97" w:rsidRDefault="00FA2171" w:rsidP="00F34ABE">
      <w:pPr>
        <w:pStyle w:val="ListParagraph"/>
        <w:widowControl/>
        <w:numPr>
          <w:ilvl w:val="1"/>
          <w:numId w:val="7"/>
        </w:numPr>
        <w:rPr>
          <w:szCs w:val="22"/>
        </w:rPr>
      </w:pPr>
      <w:r>
        <w:rPr>
          <w:szCs w:val="22"/>
        </w:rPr>
        <w:t xml:space="preserve">The PBAC noted that the </w:t>
      </w:r>
      <w:r w:rsidRPr="00A12403">
        <w:rPr>
          <w:szCs w:val="22"/>
        </w:rPr>
        <w:t>submission cl</w:t>
      </w:r>
      <w:r>
        <w:rPr>
          <w:szCs w:val="22"/>
        </w:rPr>
        <w:t xml:space="preserve">aimed that lignocaine patch was </w:t>
      </w:r>
      <w:r w:rsidRPr="00A12403">
        <w:rPr>
          <w:szCs w:val="22"/>
        </w:rPr>
        <w:t xml:space="preserve">‘statistically significantly’ </w:t>
      </w:r>
      <w:r>
        <w:rPr>
          <w:szCs w:val="22"/>
        </w:rPr>
        <w:t xml:space="preserve">superior </w:t>
      </w:r>
      <w:r w:rsidRPr="00A12403">
        <w:rPr>
          <w:szCs w:val="22"/>
        </w:rPr>
        <w:t xml:space="preserve">to </w:t>
      </w:r>
      <w:r w:rsidRPr="00811867">
        <w:rPr>
          <w:szCs w:val="22"/>
        </w:rPr>
        <w:t xml:space="preserve">pregabalin in terms of quality of life among PHN patients, </w:t>
      </w:r>
      <w:r>
        <w:rPr>
          <w:szCs w:val="22"/>
        </w:rPr>
        <w:t>(</w:t>
      </w:r>
      <w:r w:rsidRPr="00811867">
        <w:rPr>
          <w:szCs w:val="22"/>
        </w:rPr>
        <w:t>measured by the EQ-5D-5L</w:t>
      </w:r>
      <w:r>
        <w:rPr>
          <w:szCs w:val="22"/>
        </w:rPr>
        <w:t>)</w:t>
      </w:r>
      <w:r w:rsidRPr="00811867">
        <w:rPr>
          <w:szCs w:val="22"/>
        </w:rPr>
        <w:t xml:space="preserve">. While the data suggested a short-term gain in quality of life (4 weeks), the </w:t>
      </w:r>
      <w:r>
        <w:rPr>
          <w:szCs w:val="22"/>
        </w:rPr>
        <w:t xml:space="preserve">PBAC considered that the </w:t>
      </w:r>
      <w:r w:rsidRPr="00811867">
        <w:rPr>
          <w:szCs w:val="22"/>
        </w:rPr>
        <w:t>results were not robust given the small number of patients</w:t>
      </w:r>
      <w:r w:rsidR="0021649B">
        <w:rPr>
          <w:szCs w:val="22"/>
        </w:rPr>
        <w:t xml:space="preserve"> informing the exploratory post </w:t>
      </w:r>
      <w:r w:rsidRPr="00811867">
        <w:rPr>
          <w:szCs w:val="22"/>
        </w:rPr>
        <w:t xml:space="preserve">hoc subgroup analysis from a trial which failed the primary endpoint and was at high risk of bias. In addition, the </w:t>
      </w:r>
      <w:r>
        <w:rPr>
          <w:szCs w:val="22"/>
        </w:rPr>
        <w:t xml:space="preserve">PBAC agreed with the </w:t>
      </w:r>
      <w:r w:rsidRPr="00811867">
        <w:rPr>
          <w:szCs w:val="22"/>
        </w:rPr>
        <w:t xml:space="preserve">ESC that the range of utility values at baseline and at 4 weeks </w:t>
      </w:r>
      <w:r>
        <w:rPr>
          <w:szCs w:val="22"/>
        </w:rPr>
        <w:t xml:space="preserve">(from </w:t>
      </w:r>
      <w:r w:rsidRPr="00811867">
        <w:rPr>
          <w:szCs w:val="22"/>
        </w:rPr>
        <w:noBreakHyphen/>
        <w:t>0.18 to 1.0</w:t>
      </w:r>
      <w:r>
        <w:rPr>
          <w:szCs w:val="22"/>
        </w:rPr>
        <w:t>)</w:t>
      </w:r>
      <w:r w:rsidRPr="00811867">
        <w:rPr>
          <w:szCs w:val="22"/>
        </w:rPr>
        <w:t xml:space="preserve"> suggests considerable heterogeneity in quality of life</w:t>
      </w:r>
      <w:r w:rsidR="001836BF">
        <w:rPr>
          <w:szCs w:val="22"/>
        </w:rPr>
        <w:t>.</w:t>
      </w:r>
    </w:p>
    <w:p w:rsidR="00453D37" w:rsidRPr="00453D37" w:rsidRDefault="00453D37" w:rsidP="00F34ABE">
      <w:pPr>
        <w:widowControl/>
        <w:rPr>
          <w:szCs w:val="22"/>
        </w:rPr>
      </w:pPr>
    </w:p>
    <w:p w:rsidR="00A33E4A" w:rsidRPr="00A33E4A" w:rsidRDefault="00A33E4A" w:rsidP="000411DE">
      <w:pPr>
        <w:pStyle w:val="ListParagraph"/>
        <w:keepNext/>
        <w:keepLines/>
        <w:widowControl/>
        <w:numPr>
          <w:ilvl w:val="1"/>
          <w:numId w:val="7"/>
        </w:numPr>
        <w:rPr>
          <w:szCs w:val="22"/>
        </w:rPr>
      </w:pPr>
      <w:r>
        <w:rPr>
          <w:szCs w:val="22"/>
        </w:rPr>
        <w:lastRenderedPageBreak/>
        <w:t>The PBAC considered that w</w:t>
      </w:r>
      <w:r w:rsidRPr="00F50D2F">
        <w:rPr>
          <w:szCs w:val="22"/>
        </w:rPr>
        <w:t>hile lignocaine patch appeared to be associated with fewer adverse events and discontinuations due to adverse events</w:t>
      </w:r>
      <w:r>
        <w:rPr>
          <w:szCs w:val="22"/>
        </w:rPr>
        <w:t>,</w:t>
      </w:r>
      <w:r w:rsidRPr="00F50D2F">
        <w:rPr>
          <w:szCs w:val="22"/>
        </w:rPr>
        <w:t xml:space="preserve"> compared to pregabalin during the first 4 weeks, differences in the safety </w:t>
      </w:r>
      <w:r>
        <w:rPr>
          <w:szCs w:val="22"/>
        </w:rPr>
        <w:t>profile were likely to be overestimated</w:t>
      </w:r>
      <w:r w:rsidRPr="00F50D2F">
        <w:rPr>
          <w:szCs w:val="22"/>
        </w:rPr>
        <w:t xml:space="preserve"> </w:t>
      </w:r>
      <w:r>
        <w:rPr>
          <w:szCs w:val="22"/>
        </w:rPr>
        <w:t>due to</w:t>
      </w:r>
      <w:r w:rsidR="006308EC">
        <w:rPr>
          <w:szCs w:val="22"/>
        </w:rPr>
        <w:t xml:space="preserve"> the </w:t>
      </w:r>
      <w:r w:rsidR="00CC68E1" w:rsidRPr="00980C60">
        <w:t xml:space="preserve">open-label design of the trial </w:t>
      </w:r>
      <w:r w:rsidR="00CC68E1">
        <w:t xml:space="preserve">and that </w:t>
      </w:r>
      <w:r w:rsidR="00CC68E1" w:rsidRPr="00980C60">
        <w:t xml:space="preserve">patients who discontinued pregabalin due to adverse events during the comparative phase were allowed to </w:t>
      </w:r>
      <w:r w:rsidR="00CC68E1">
        <w:t>switch to</w:t>
      </w:r>
      <w:r w:rsidR="00CC68E1" w:rsidRPr="00980C60">
        <w:t xml:space="preserve"> lignocaine</w:t>
      </w:r>
      <w:r w:rsidR="00130D61">
        <w:t xml:space="preserve"> </w:t>
      </w:r>
      <w:r w:rsidR="00574CEB">
        <w:t>and rapid up</w:t>
      </w:r>
      <w:r w:rsidR="00130D61">
        <w:t>-</w:t>
      </w:r>
      <w:r w:rsidR="00574CEB">
        <w:t xml:space="preserve">titration </w:t>
      </w:r>
    </w:p>
    <w:p w:rsidR="00A33E4A" w:rsidRPr="00A33E4A" w:rsidRDefault="00A33E4A" w:rsidP="00A33E4A">
      <w:pPr>
        <w:pStyle w:val="ListParagraph"/>
        <w:rPr>
          <w:szCs w:val="22"/>
        </w:rPr>
      </w:pPr>
    </w:p>
    <w:p w:rsidR="00453D37" w:rsidRDefault="00453D37" w:rsidP="00F34ABE">
      <w:pPr>
        <w:pStyle w:val="ListParagraph"/>
        <w:widowControl/>
        <w:numPr>
          <w:ilvl w:val="1"/>
          <w:numId w:val="7"/>
        </w:numPr>
        <w:rPr>
          <w:szCs w:val="22"/>
        </w:rPr>
      </w:pPr>
      <w:r>
        <w:rPr>
          <w:szCs w:val="22"/>
        </w:rPr>
        <w:t xml:space="preserve">The PBAC noted the quality of the data </w:t>
      </w:r>
      <w:r w:rsidR="001518A6">
        <w:rPr>
          <w:szCs w:val="22"/>
        </w:rPr>
        <w:t>for</w:t>
      </w:r>
      <w:r>
        <w:rPr>
          <w:szCs w:val="22"/>
        </w:rPr>
        <w:t xml:space="preserve"> lignocaine versus placebo was poor. Two of the three trials </w:t>
      </w:r>
      <w:r w:rsidR="001518A6">
        <w:rPr>
          <w:szCs w:val="22"/>
        </w:rPr>
        <w:t>evaluating</w:t>
      </w:r>
      <w:r>
        <w:rPr>
          <w:szCs w:val="22"/>
        </w:rPr>
        <w:t xml:space="preserve"> pregabalin versus placebo failed to demonstrate differences between treatment groups for the a priori primary outcomes. </w:t>
      </w:r>
      <w:r w:rsidRPr="00453D37">
        <w:rPr>
          <w:szCs w:val="22"/>
        </w:rPr>
        <w:t>The claimed non-inferiority in terms of safety compared to placebo is unlikely to be realised in clinical practice, as placebo patches may induce localised application site reactions due to the patch and/or excipients.</w:t>
      </w:r>
    </w:p>
    <w:p w:rsidR="00D732E3" w:rsidRPr="00BB7EC3" w:rsidRDefault="00D732E3" w:rsidP="00F34ABE">
      <w:pPr>
        <w:pStyle w:val="ListParagraph"/>
        <w:widowControl/>
        <w:rPr>
          <w:szCs w:val="22"/>
        </w:rPr>
      </w:pPr>
    </w:p>
    <w:p w:rsidR="00D732E3" w:rsidRPr="007417D6" w:rsidRDefault="00B62FDA" w:rsidP="007417D6">
      <w:pPr>
        <w:pStyle w:val="ListParagraph"/>
        <w:numPr>
          <w:ilvl w:val="1"/>
          <w:numId w:val="7"/>
        </w:numPr>
        <w:rPr>
          <w:szCs w:val="22"/>
        </w:rPr>
      </w:pPr>
      <w:r w:rsidRPr="00B62FDA">
        <w:rPr>
          <w:szCs w:val="22"/>
        </w:rPr>
        <w:t>The economic evaluation relied on Trial KF10004/03 (</w:t>
      </w:r>
      <w:r w:rsidR="00CC68E1">
        <w:rPr>
          <w:szCs w:val="22"/>
        </w:rPr>
        <w:t>PHN</w:t>
      </w:r>
      <w:r w:rsidRPr="00B62FDA">
        <w:rPr>
          <w:szCs w:val="22"/>
        </w:rPr>
        <w:t xml:space="preserve"> subgroup) for both alternative requested PBS listings, despite the lack of a best supportive care or plac</w:t>
      </w:r>
      <w:r w:rsidR="00CC68E1">
        <w:rPr>
          <w:szCs w:val="22"/>
        </w:rPr>
        <w:t>ebo arm of the trial.</w:t>
      </w:r>
      <w:r w:rsidRPr="00B62FDA">
        <w:rPr>
          <w:szCs w:val="22"/>
        </w:rPr>
        <w:t xml:space="preserve"> There were small numbers of PHN patients included in the trial, which was at high risk of bias and failed its primary outcome.</w:t>
      </w:r>
      <w:r w:rsidR="007417D6">
        <w:rPr>
          <w:szCs w:val="22"/>
        </w:rPr>
        <w:t xml:space="preserve"> </w:t>
      </w:r>
      <w:r w:rsidR="00A92D32" w:rsidRPr="007417D6">
        <w:rPr>
          <w:szCs w:val="22"/>
        </w:rPr>
        <w:t xml:space="preserve">The PBAC </w:t>
      </w:r>
      <w:r w:rsidR="00962F71">
        <w:rPr>
          <w:szCs w:val="22"/>
        </w:rPr>
        <w:t xml:space="preserve">acknowledged that the </w:t>
      </w:r>
      <w:r w:rsidR="00A92D32" w:rsidRPr="007417D6">
        <w:rPr>
          <w:szCs w:val="22"/>
        </w:rPr>
        <w:t>economic model was flexible (</w:t>
      </w:r>
      <w:r w:rsidR="00571ED6" w:rsidRPr="007417D6">
        <w:rPr>
          <w:szCs w:val="22"/>
        </w:rPr>
        <w:t>see paragraph 6.33</w:t>
      </w:r>
      <w:r w:rsidR="00A92D32" w:rsidRPr="007417D6">
        <w:rPr>
          <w:szCs w:val="22"/>
        </w:rPr>
        <w:t xml:space="preserve">) but </w:t>
      </w:r>
      <w:r w:rsidR="001975EA">
        <w:rPr>
          <w:szCs w:val="22"/>
        </w:rPr>
        <w:t>noted</w:t>
      </w:r>
      <w:r w:rsidR="00A92D32" w:rsidRPr="007417D6">
        <w:rPr>
          <w:szCs w:val="22"/>
        </w:rPr>
        <w:t xml:space="preserve"> the ESC </w:t>
      </w:r>
      <w:r w:rsidR="001975EA">
        <w:rPr>
          <w:szCs w:val="22"/>
        </w:rPr>
        <w:t xml:space="preserve">concerns </w:t>
      </w:r>
      <w:r w:rsidR="00A92D32" w:rsidRPr="007417D6">
        <w:rPr>
          <w:szCs w:val="22"/>
        </w:rPr>
        <w:t>that the model could not be relied upon for the reasons outlined in paragraph 6.32.</w:t>
      </w:r>
      <w:r w:rsidR="001975EA">
        <w:rPr>
          <w:szCs w:val="22"/>
        </w:rPr>
        <w:t xml:space="preserve"> </w:t>
      </w:r>
      <w:r w:rsidR="00E00ED8">
        <w:rPr>
          <w:szCs w:val="22"/>
        </w:rPr>
        <w:t xml:space="preserve">The PBAC considered the problems with the </w:t>
      </w:r>
      <w:r w:rsidR="001975EA">
        <w:rPr>
          <w:szCs w:val="22"/>
        </w:rPr>
        <w:t xml:space="preserve">data used to inform the model </w:t>
      </w:r>
      <w:r w:rsidR="00E00ED8">
        <w:rPr>
          <w:szCs w:val="22"/>
        </w:rPr>
        <w:t xml:space="preserve">and the algorithm being different to </w:t>
      </w:r>
      <w:r w:rsidR="001B0FD7">
        <w:rPr>
          <w:szCs w:val="22"/>
        </w:rPr>
        <w:t>the proposed restrictions and treatment guidelines</w:t>
      </w:r>
      <w:r w:rsidR="00E00ED8">
        <w:rPr>
          <w:szCs w:val="22"/>
        </w:rPr>
        <w:t xml:space="preserve"> were the key reasons the model was unreliable.</w:t>
      </w:r>
      <w:r w:rsidR="001975EA">
        <w:rPr>
          <w:szCs w:val="22"/>
        </w:rPr>
        <w:t xml:space="preserve"> </w:t>
      </w:r>
    </w:p>
    <w:p w:rsidR="00A92D32" w:rsidRDefault="00A92D32" w:rsidP="00A92D32">
      <w:pPr>
        <w:pStyle w:val="ListParagraph"/>
        <w:widowControl/>
        <w:rPr>
          <w:szCs w:val="22"/>
        </w:rPr>
      </w:pPr>
    </w:p>
    <w:p w:rsidR="00D732E3" w:rsidRPr="001773BF" w:rsidRDefault="001773BF" w:rsidP="00130D61">
      <w:pPr>
        <w:pStyle w:val="ListParagraph"/>
        <w:widowControl/>
        <w:numPr>
          <w:ilvl w:val="1"/>
          <w:numId w:val="7"/>
        </w:numPr>
        <w:rPr>
          <w:szCs w:val="22"/>
        </w:rPr>
      </w:pPr>
      <w:r w:rsidRPr="001773BF">
        <w:rPr>
          <w:szCs w:val="22"/>
        </w:rPr>
        <w:t>The</w:t>
      </w:r>
      <w:r>
        <w:rPr>
          <w:szCs w:val="22"/>
        </w:rPr>
        <w:t xml:space="preserve"> PBAC noted that the financial</w:t>
      </w:r>
      <w:r w:rsidRPr="001773BF">
        <w:rPr>
          <w:szCs w:val="22"/>
        </w:rPr>
        <w:t xml:space="preserve"> </w:t>
      </w:r>
      <w:r>
        <w:rPr>
          <w:szCs w:val="22"/>
        </w:rPr>
        <w:t xml:space="preserve">and utilisation </w:t>
      </w:r>
      <w:r w:rsidRPr="001773BF">
        <w:rPr>
          <w:szCs w:val="22"/>
        </w:rPr>
        <w:t>estimates relied on modelled outputs to inform the extent of lignocaine patch and pregabalin usage, and therefore were subject to the issues relating to the model.</w:t>
      </w:r>
      <w:r>
        <w:rPr>
          <w:szCs w:val="22"/>
        </w:rPr>
        <w:t xml:space="preserve"> The PBAC noted the </w:t>
      </w:r>
      <w:r w:rsidRPr="001773BF">
        <w:rPr>
          <w:szCs w:val="22"/>
        </w:rPr>
        <w:t>potential for usage among patients with peripheral neuropathic pain conditions</w:t>
      </w:r>
      <w:r w:rsidR="00130D61">
        <w:rPr>
          <w:szCs w:val="22"/>
        </w:rPr>
        <w:t xml:space="preserve"> </w:t>
      </w:r>
      <w:r w:rsidRPr="001773BF">
        <w:rPr>
          <w:szCs w:val="22"/>
        </w:rPr>
        <w:t>other than PHN</w:t>
      </w:r>
      <w:r w:rsidR="00130D61">
        <w:rPr>
          <w:szCs w:val="22"/>
        </w:rPr>
        <w:t xml:space="preserve"> </w:t>
      </w:r>
      <w:r w:rsidR="001518A6">
        <w:rPr>
          <w:szCs w:val="22"/>
        </w:rPr>
        <w:t>(</w:t>
      </w:r>
      <w:r w:rsidR="001518A6" w:rsidRPr="00130D61">
        <w:rPr>
          <w:szCs w:val="22"/>
        </w:rPr>
        <w:t>e.g.</w:t>
      </w:r>
      <w:r w:rsidR="00130D61" w:rsidRPr="00130D61">
        <w:rPr>
          <w:szCs w:val="22"/>
        </w:rPr>
        <w:t xml:space="preserve"> diabetic peripheral neuropathy</w:t>
      </w:r>
      <w:r w:rsidR="001518A6">
        <w:rPr>
          <w:szCs w:val="22"/>
        </w:rPr>
        <w:t>)</w:t>
      </w:r>
      <w:r w:rsidR="003F3ABE">
        <w:rPr>
          <w:szCs w:val="22"/>
        </w:rPr>
        <w:t>,</w:t>
      </w:r>
      <w:r w:rsidR="00DE5A29">
        <w:rPr>
          <w:szCs w:val="22"/>
        </w:rPr>
        <w:t xml:space="preserve"> or </w:t>
      </w:r>
      <w:r w:rsidR="00DE5A29" w:rsidRPr="001773BF">
        <w:rPr>
          <w:szCs w:val="22"/>
        </w:rPr>
        <w:t>who do not meet th</w:t>
      </w:r>
      <w:r w:rsidR="00DE5A29">
        <w:rPr>
          <w:szCs w:val="22"/>
        </w:rPr>
        <w:t>e criteria of refractory pain</w:t>
      </w:r>
      <w:r w:rsidRPr="001773BF">
        <w:rPr>
          <w:szCs w:val="22"/>
        </w:rPr>
        <w:t>.</w:t>
      </w:r>
    </w:p>
    <w:p w:rsidR="00D732E3" w:rsidRPr="00D469B2" w:rsidRDefault="00D732E3" w:rsidP="00F34ABE">
      <w:pPr>
        <w:widowControl/>
        <w:rPr>
          <w:szCs w:val="22"/>
        </w:rPr>
      </w:pPr>
    </w:p>
    <w:p w:rsidR="00D732E3" w:rsidRDefault="0021649B" w:rsidP="00F34ABE">
      <w:pPr>
        <w:pStyle w:val="ListParagraph"/>
        <w:widowControl/>
        <w:numPr>
          <w:ilvl w:val="1"/>
          <w:numId w:val="7"/>
        </w:numPr>
        <w:ind w:left="709"/>
        <w:rPr>
          <w:szCs w:val="22"/>
        </w:rPr>
      </w:pPr>
      <w:r w:rsidRPr="00130D61">
        <w:rPr>
          <w:szCs w:val="22"/>
        </w:rPr>
        <w:t xml:space="preserve">The PBAC considered that a major resubmission would be required to seek listing of lignocaine for PHN on the PBS. The resubmission should present a revised model that addresses the issues outlined in paragraph </w:t>
      </w:r>
      <w:r w:rsidR="001773BF" w:rsidRPr="00130D61">
        <w:rPr>
          <w:szCs w:val="22"/>
        </w:rPr>
        <w:t>6.32</w:t>
      </w:r>
      <w:r w:rsidRPr="00130D61">
        <w:rPr>
          <w:szCs w:val="22"/>
        </w:rPr>
        <w:t xml:space="preserve">. </w:t>
      </w:r>
      <w:r w:rsidR="007417D6" w:rsidRPr="00130D61">
        <w:rPr>
          <w:szCs w:val="22"/>
        </w:rPr>
        <w:t>Alternatively, t</w:t>
      </w:r>
      <w:r w:rsidRPr="00130D61">
        <w:rPr>
          <w:szCs w:val="22"/>
        </w:rPr>
        <w:t xml:space="preserve">he PBAC considered that the evidence presented </w:t>
      </w:r>
      <w:r w:rsidR="002E3535" w:rsidRPr="00130D61">
        <w:rPr>
          <w:szCs w:val="22"/>
        </w:rPr>
        <w:t xml:space="preserve">in the submission </w:t>
      </w:r>
      <w:r w:rsidRPr="00130D61">
        <w:rPr>
          <w:szCs w:val="22"/>
        </w:rPr>
        <w:t xml:space="preserve">may </w:t>
      </w:r>
      <w:r w:rsidR="00362987" w:rsidRPr="00130D61">
        <w:rPr>
          <w:szCs w:val="22"/>
        </w:rPr>
        <w:t>be</w:t>
      </w:r>
      <w:r w:rsidRPr="00130D61">
        <w:rPr>
          <w:szCs w:val="22"/>
        </w:rPr>
        <w:t xml:space="preserve"> sufficient to recommend listing of lignocain</w:t>
      </w:r>
      <w:r w:rsidR="00C51BE9" w:rsidRPr="00130D61">
        <w:rPr>
          <w:szCs w:val="22"/>
        </w:rPr>
        <w:t>e on a cost-minimisation basis</w:t>
      </w:r>
      <w:r w:rsidR="00566425">
        <w:rPr>
          <w:szCs w:val="22"/>
        </w:rPr>
        <w:t xml:space="preserve"> to pregabalin, although</w:t>
      </w:r>
      <w:r w:rsidR="00C51BE9" w:rsidRPr="00130D61">
        <w:rPr>
          <w:szCs w:val="22"/>
        </w:rPr>
        <w:t xml:space="preserve"> </w:t>
      </w:r>
      <w:r w:rsidR="00566425">
        <w:rPr>
          <w:szCs w:val="22"/>
        </w:rPr>
        <w:t>alternative comparators</w:t>
      </w:r>
      <w:r w:rsidRPr="00130D61">
        <w:rPr>
          <w:szCs w:val="22"/>
        </w:rPr>
        <w:t xml:space="preserve"> </w:t>
      </w:r>
      <w:r w:rsidR="00566425">
        <w:rPr>
          <w:szCs w:val="22"/>
        </w:rPr>
        <w:t xml:space="preserve">eg </w:t>
      </w:r>
      <w:r w:rsidRPr="00130D61">
        <w:rPr>
          <w:szCs w:val="22"/>
        </w:rPr>
        <w:t>TCAs</w:t>
      </w:r>
      <w:r w:rsidR="00566425">
        <w:rPr>
          <w:szCs w:val="22"/>
        </w:rPr>
        <w:t xml:space="preserve"> should also be considered</w:t>
      </w:r>
      <w:r w:rsidRPr="00130D61">
        <w:rPr>
          <w:szCs w:val="22"/>
        </w:rPr>
        <w:t>.</w:t>
      </w:r>
      <w:r w:rsidR="001B0FD7" w:rsidRPr="00130D61">
        <w:rPr>
          <w:szCs w:val="22"/>
        </w:rPr>
        <w:t xml:space="preserve"> </w:t>
      </w:r>
    </w:p>
    <w:p w:rsidR="001518A6" w:rsidRPr="001518A6" w:rsidRDefault="001518A6" w:rsidP="001518A6">
      <w:pPr>
        <w:widowControl/>
        <w:rPr>
          <w:szCs w:val="22"/>
        </w:rPr>
      </w:pPr>
    </w:p>
    <w:p w:rsidR="00D732E3" w:rsidRPr="00882085" w:rsidRDefault="00D732E3" w:rsidP="00F34ABE">
      <w:pPr>
        <w:pStyle w:val="ListParagraph"/>
        <w:widowControl/>
        <w:numPr>
          <w:ilvl w:val="1"/>
          <w:numId w:val="7"/>
        </w:numPr>
        <w:rPr>
          <w:szCs w:val="22"/>
        </w:rPr>
      </w:pPr>
      <w:r>
        <w:rPr>
          <w:szCs w:val="22"/>
        </w:rPr>
        <w:t xml:space="preserve">The PBAC noted that this submission is </w:t>
      </w:r>
      <w:r w:rsidRPr="00882085">
        <w:rPr>
          <w:szCs w:val="22"/>
        </w:rPr>
        <w:t>eligibl</w:t>
      </w:r>
      <w:r>
        <w:rPr>
          <w:szCs w:val="22"/>
        </w:rPr>
        <w:t>e</w:t>
      </w:r>
      <w:r w:rsidRPr="00882085">
        <w:rPr>
          <w:szCs w:val="22"/>
        </w:rPr>
        <w:t xml:space="preserve"> for </w:t>
      </w:r>
      <w:r>
        <w:rPr>
          <w:szCs w:val="22"/>
        </w:rPr>
        <w:t xml:space="preserve">an </w:t>
      </w:r>
      <w:r w:rsidRPr="00882085">
        <w:rPr>
          <w:szCs w:val="22"/>
        </w:rPr>
        <w:t>Independent Review.</w:t>
      </w:r>
      <w:r>
        <w:rPr>
          <w:szCs w:val="22"/>
        </w:rPr>
        <w:t xml:space="preserve"> </w:t>
      </w:r>
    </w:p>
    <w:p w:rsidR="001C7D37" w:rsidRDefault="001C7D37" w:rsidP="00F34ABE">
      <w:pPr>
        <w:widowControl/>
        <w:rPr>
          <w:b/>
          <w:szCs w:val="22"/>
        </w:rPr>
      </w:pPr>
    </w:p>
    <w:p w:rsidR="00D732E3" w:rsidRPr="00882085" w:rsidRDefault="00D732E3" w:rsidP="00F34ABE">
      <w:pPr>
        <w:keepNext/>
        <w:widowControl/>
        <w:rPr>
          <w:b/>
          <w:szCs w:val="22"/>
        </w:rPr>
      </w:pPr>
      <w:r w:rsidRPr="00882085">
        <w:rPr>
          <w:b/>
          <w:szCs w:val="22"/>
        </w:rPr>
        <w:t>Outcome:</w:t>
      </w:r>
    </w:p>
    <w:p w:rsidR="00D732E3" w:rsidRDefault="00B92879" w:rsidP="00F34ABE">
      <w:pPr>
        <w:widowControl/>
        <w:rPr>
          <w:szCs w:val="22"/>
        </w:rPr>
      </w:pPr>
      <w:r>
        <w:rPr>
          <w:szCs w:val="22"/>
        </w:rPr>
        <w:t>Rejected</w:t>
      </w:r>
    </w:p>
    <w:p w:rsidR="00D732E3" w:rsidRDefault="00D732E3" w:rsidP="00F34ABE">
      <w:pPr>
        <w:widowControl/>
        <w:rPr>
          <w:szCs w:val="22"/>
        </w:rPr>
      </w:pPr>
    </w:p>
    <w:p w:rsidR="007417D6" w:rsidRDefault="007417D6" w:rsidP="00F34ABE">
      <w:pPr>
        <w:widowControl/>
        <w:rPr>
          <w:szCs w:val="22"/>
        </w:rPr>
      </w:pPr>
    </w:p>
    <w:p w:rsidR="00DB6667" w:rsidRPr="00C45157" w:rsidRDefault="00DB6667" w:rsidP="00E73BE9">
      <w:pPr>
        <w:pStyle w:val="PBACHeading1"/>
        <w:rPr>
          <w:snapToGrid/>
        </w:rPr>
      </w:pPr>
      <w:r w:rsidRPr="00C45157">
        <w:rPr>
          <w:snapToGrid/>
        </w:rPr>
        <w:t>Context for Decision</w:t>
      </w:r>
    </w:p>
    <w:p w:rsidR="00DB6667" w:rsidRPr="00C45157" w:rsidRDefault="00DB6667" w:rsidP="00DB6667">
      <w:pPr>
        <w:widowControl/>
        <w:ind w:left="720"/>
        <w:contextualSpacing/>
        <w:jc w:val="left"/>
        <w:rPr>
          <w:rFonts w:ascii="Times New Roman" w:hAnsi="Times New Roman" w:cs="Times New Roman"/>
          <w:b/>
          <w:snapToGrid/>
          <w:sz w:val="24"/>
          <w:szCs w:val="24"/>
          <w:lang w:eastAsia="en-AU"/>
        </w:rPr>
      </w:pPr>
    </w:p>
    <w:p w:rsidR="00DB6667" w:rsidRPr="00C45157" w:rsidRDefault="00DB6667" w:rsidP="00DB6667">
      <w:pPr>
        <w:widowControl/>
        <w:ind w:left="720"/>
        <w:jc w:val="left"/>
        <w:rPr>
          <w:bCs/>
          <w:szCs w:val="22"/>
          <w:lang w:eastAsia="en-AU"/>
        </w:rPr>
      </w:pPr>
      <w:r w:rsidRPr="00C45157">
        <w:rPr>
          <w:bCs/>
          <w:szCs w:val="22"/>
          <w:lang w:eastAsia="en-AU"/>
        </w:rPr>
        <w:t xml:space="preserve">The PBAC helps decide whether and, if so, how medicines should be subsidised in Australia. It considers submissions in this context. A PBAC decision not to recommend listing or not to recommend changing a listing does not represent a final </w:t>
      </w:r>
      <w:r w:rsidRPr="00C45157">
        <w:rPr>
          <w:bCs/>
          <w:szCs w:val="22"/>
          <w:lang w:eastAsia="en-AU"/>
        </w:rPr>
        <w:lastRenderedPageBreak/>
        <w:t>PBAC view about the merits of the medicine. A company can resubmit to the PBAC or seek independent review of the PBAC decision.</w:t>
      </w:r>
    </w:p>
    <w:p w:rsidR="00DB6667" w:rsidRPr="00C45157" w:rsidRDefault="00DB6667" w:rsidP="00DB6667">
      <w:pPr>
        <w:widowControl/>
        <w:jc w:val="left"/>
        <w:rPr>
          <w:rFonts w:ascii="Times New Roman" w:hAnsi="Times New Roman" w:cs="Times New Roman"/>
          <w:snapToGrid/>
          <w:sz w:val="24"/>
          <w:szCs w:val="24"/>
          <w:lang w:eastAsia="en-AU"/>
        </w:rPr>
      </w:pPr>
    </w:p>
    <w:p w:rsidR="00DB6667" w:rsidRPr="00C45157" w:rsidRDefault="00DB6667" w:rsidP="00E73BE9">
      <w:pPr>
        <w:pStyle w:val="PBACHeading1"/>
        <w:rPr>
          <w:snapToGrid/>
        </w:rPr>
      </w:pPr>
      <w:r w:rsidRPr="00C45157">
        <w:rPr>
          <w:snapToGrid/>
        </w:rPr>
        <w:t>Sponsor’s Comment</w:t>
      </w:r>
    </w:p>
    <w:p w:rsidR="00DB6667" w:rsidRPr="00C45157" w:rsidRDefault="00DB6667" w:rsidP="00DB6667">
      <w:pPr>
        <w:widowControl/>
        <w:rPr>
          <w:rFonts w:cs="Times New Roman"/>
          <w:snapToGrid/>
          <w:szCs w:val="22"/>
          <w:lang w:eastAsia="en-AU"/>
        </w:rPr>
      </w:pPr>
    </w:p>
    <w:p w:rsidR="002C6681" w:rsidRDefault="002C6681" w:rsidP="002C6681">
      <w:pPr>
        <w:ind w:left="720"/>
      </w:pPr>
      <w:r>
        <w:t xml:space="preserve">bioCSL is disappointed with the outcome but welcomes  the PBAC’s acknowledgement of the potential clinical need for VERSATIS which offers a topical treatment option for post herpetic neuralgia, a debilitating condition occurring predominantly in the elderly.  bioCSL considers undue weight was placed on the results of the pivotal trial not meeting the pre-defined non-inferiority outcome in the overall per-protocol trial population which included patients with diabetic polyneuropathy, a condition for which VERSATIS is not registered in Australia.  bioCSL also notes that the differences in safety profile between VERSATIS and pregabalin reflect the topical versus systemic nature of the two therapies. </w:t>
      </w:r>
    </w:p>
    <w:p w:rsidR="00DB6667" w:rsidRPr="007018FB" w:rsidRDefault="00DB6667" w:rsidP="00AC6BA1">
      <w:pPr>
        <w:pStyle w:val="PBACHeading1"/>
        <w:numPr>
          <w:ilvl w:val="0"/>
          <w:numId w:val="0"/>
        </w:numPr>
        <w:ind w:left="720"/>
        <w:jc w:val="both"/>
        <w:outlineLvl w:val="0"/>
      </w:pPr>
    </w:p>
    <w:p w:rsidR="00E06751" w:rsidRDefault="00E06751" w:rsidP="00F34ABE">
      <w:pPr>
        <w:widowControl/>
        <w:jc w:val="left"/>
        <w:rPr>
          <w:b/>
          <w:u w:val="single"/>
        </w:rPr>
      </w:pPr>
    </w:p>
    <w:sectPr w:rsidR="00E06751" w:rsidSect="004632AE">
      <w:headerReference w:type="default" r:id="rId9"/>
      <w:footerReference w:type="default" r:id="rId10"/>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BBDB4C" w15:done="0"/>
  <w15:commentEx w15:paraId="5B8B117B" w15:done="0"/>
  <w15:commentEx w15:paraId="104BF149" w15:done="0"/>
  <w15:commentEx w15:paraId="4F361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F9" w:rsidRDefault="00512AF9" w:rsidP="00124A51">
      <w:r>
        <w:separator/>
      </w:r>
    </w:p>
  </w:endnote>
  <w:endnote w:type="continuationSeparator" w:id="0">
    <w:p w:rsidR="00512AF9" w:rsidRDefault="00512AF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802456"/>
      <w:docPartObj>
        <w:docPartGallery w:val="Page Numbers (Bottom of Page)"/>
        <w:docPartUnique/>
      </w:docPartObj>
    </w:sdtPr>
    <w:sdtEndPr>
      <w:rPr>
        <w:noProof/>
      </w:rPr>
    </w:sdtEndPr>
    <w:sdtContent>
      <w:p w:rsidR="00AC6BA1" w:rsidRDefault="00AC6BA1">
        <w:pPr>
          <w:pStyle w:val="Footer"/>
          <w:jc w:val="center"/>
        </w:pPr>
      </w:p>
      <w:p w:rsidR="00AC6BA1" w:rsidRDefault="00AC6BA1">
        <w:pPr>
          <w:pStyle w:val="Footer"/>
          <w:jc w:val="center"/>
        </w:pPr>
        <w:r>
          <w:fldChar w:fldCharType="begin"/>
        </w:r>
        <w:r>
          <w:instrText xml:space="preserve"> PAGE   \* MERGEFORMAT </w:instrText>
        </w:r>
        <w:r>
          <w:fldChar w:fldCharType="separate"/>
        </w:r>
        <w:r w:rsidR="00F31955">
          <w:rPr>
            <w:noProof/>
          </w:rPr>
          <w:t>17</w:t>
        </w:r>
        <w:r>
          <w:rPr>
            <w:noProof/>
          </w:rPr>
          <w:fldChar w:fldCharType="end"/>
        </w:r>
      </w:p>
    </w:sdtContent>
  </w:sdt>
  <w:p w:rsidR="00AC6BA1" w:rsidRPr="00940023" w:rsidRDefault="00AC6BA1" w:rsidP="00940023">
    <w:pPr>
      <w:ind w:left="709"/>
      <w:contextualSpacing/>
      <w:jc w:val="center"/>
      <w:rPr>
        <w:b/>
        <w:bCs/>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F9" w:rsidRDefault="00512AF9" w:rsidP="00124A51">
      <w:r>
        <w:separator/>
      </w:r>
    </w:p>
  </w:footnote>
  <w:footnote w:type="continuationSeparator" w:id="0">
    <w:p w:rsidR="00512AF9" w:rsidRDefault="00512AF9"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BA1" w:rsidRPr="00DF217D" w:rsidRDefault="00AC6BA1" w:rsidP="00216196">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2015 </w:t>
    </w:r>
    <w:r w:rsidRPr="00DF217D">
      <w:rPr>
        <w:i/>
        <w:color w:val="808080"/>
      </w:rPr>
      <w:t>PBAC</w:t>
    </w:r>
    <w:r>
      <w:rPr>
        <w:i/>
        <w:color w:val="808080"/>
      </w:rPr>
      <w:t xml:space="preserve"> </w:t>
    </w:r>
    <w:r w:rsidRPr="00DF217D">
      <w:rPr>
        <w:i/>
        <w:color w:val="808080"/>
      </w:rPr>
      <w:t>Meeting</w:t>
    </w:r>
  </w:p>
  <w:p w:rsidR="00AC6BA1" w:rsidRDefault="00AC6B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67D"/>
    <w:multiLevelType w:val="hybridMultilevel"/>
    <w:tmpl w:val="B5E20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1293270"/>
    <w:multiLevelType w:val="hybridMultilevel"/>
    <w:tmpl w:val="854085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DA1A93"/>
    <w:multiLevelType w:val="hybridMultilevel"/>
    <w:tmpl w:val="4A644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258B8"/>
    <w:multiLevelType w:val="hybridMultilevel"/>
    <w:tmpl w:val="94C4BE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25E4B4D"/>
    <w:multiLevelType w:val="hybridMultilevel"/>
    <w:tmpl w:val="11DC8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171282"/>
    <w:multiLevelType w:val="hybridMultilevel"/>
    <w:tmpl w:val="7CA6819C"/>
    <w:lvl w:ilvl="0" w:tplc="D2E8CA28">
      <w:start w:val="1"/>
      <w:numFmt w:val="bullet"/>
      <w:lvlText w:val="•"/>
      <w:lvlJc w:val="left"/>
      <w:pPr>
        <w:tabs>
          <w:tab w:val="num" w:pos="720"/>
        </w:tabs>
        <w:ind w:left="720" w:hanging="360"/>
      </w:pPr>
      <w:rPr>
        <w:rFonts w:ascii="Arial" w:hAnsi="Arial" w:hint="default"/>
      </w:rPr>
    </w:lvl>
    <w:lvl w:ilvl="1" w:tplc="E5EAF3BC" w:tentative="1">
      <w:start w:val="1"/>
      <w:numFmt w:val="bullet"/>
      <w:lvlText w:val="•"/>
      <w:lvlJc w:val="left"/>
      <w:pPr>
        <w:tabs>
          <w:tab w:val="num" w:pos="1440"/>
        </w:tabs>
        <w:ind w:left="1440" w:hanging="360"/>
      </w:pPr>
      <w:rPr>
        <w:rFonts w:ascii="Arial" w:hAnsi="Arial" w:hint="default"/>
      </w:rPr>
    </w:lvl>
    <w:lvl w:ilvl="2" w:tplc="FA6EEEB8" w:tentative="1">
      <w:start w:val="1"/>
      <w:numFmt w:val="bullet"/>
      <w:lvlText w:val="•"/>
      <w:lvlJc w:val="left"/>
      <w:pPr>
        <w:tabs>
          <w:tab w:val="num" w:pos="2160"/>
        </w:tabs>
        <w:ind w:left="2160" w:hanging="360"/>
      </w:pPr>
      <w:rPr>
        <w:rFonts w:ascii="Arial" w:hAnsi="Arial" w:hint="default"/>
      </w:rPr>
    </w:lvl>
    <w:lvl w:ilvl="3" w:tplc="AD7051BA" w:tentative="1">
      <w:start w:val="1"/>
      <w:numFmt w:val="bullet"/>
      <w:lvlText w:val="•"/>
      <w:lvlJc w:val="left"/>
      <w:pPr>
        <w:tabs>
          <w:tab w:val="num" w:pos="2880"/>
        </w:tabs>
        <w:ind w:left="2880" w:hanging="360"/>
      </w:pPr>
      <w:rPr>
        <w:rFonts w:ascii="Arial" w:hAnsi="Arial" w:hint="default"/>
      </w:rPr>
    </w:lvl>
    <w:lvl w:ilvl="4" w:tplc="9EEC64A6" w:tentative="1">
      <w:start w:val="1"/>
      <w:numFmt w:val="bullet"/>
      <w:lvlText w:val="•"/>
      <w:lvlJc w:val="left"/>
      <w:pPr>
        <w:tabs>
          <w:tab w:val="num" w:pos="3600"/>
        </w:tabs>
        <w:ind w:left="3600" w:hanging="360"/>
      </w:pPr>
      <w:rPr>
        <w:rFonts w:ascii="Arial" w:hAnsi="Arial" w:hint="default"/>
      </w:rPr>
    </w:lvl>
    <w:lvl w:ilvl="5" w:tplc="D4BA5FB8" w:tentative="1">
      <w:start w:val="1"/>
      <w:numFmt w:val="bullet"/>
      <w:lvlText w:val="•"/>
      <w:lvlJc w:val="left"/>
      <w:pPr>
        <w:tabs>
          <w:tab w:val="num" w:pos="4320"/>
        </w:tabs>
        <w:ind w:left="4320" w:hanging="360"/>
      </w:pPr>
      <w:rPr>
        <w:rFonts w:ascii="Arial" w:hAnsi="Arial" w:hint="default"/>
      </w:rPr>
    </w:lvl>
    <w:lvl w:ilvl="6" w:tplc="9FB4288C" w:tentative="1">
      <w:start w:val="1"/>
      <w:numFmt w:val="bullet"/>
      <w:lvlText w:val="•"/>
      <w:lvlJc w:val="left"/>
      <w:pPr>
        <w:tabs>
          <w:tab w:val="num" w:pos="5040"/>
        </w:tabs>
        <w:ind w:left="5040" w:hanging="360"/>
      </w:pPr>
      <w:rPr>
        <w:rFonts w:ascii="Arial" w:hAnsi="Arial" w:hint="default"/>
      </w:rPr>
    </w:lvl>
    <w:lvl w:ilvl="7" w:tplc="FC28556E" w:tentative="1">
      <w:start w:val="1"/>
      <w:numFmt w:val="bullet"/>
      <w:lvlText w:val="•"/>
      <w:lvlJc w:val="left"/>
      <w:pPr>
        <w:tabs>
          <w:tab w:val="num" w:pos="5760"/>
        </w:tabs>
        <w:ind w:left="5760" w:hanging="360"/>
      </w:pPr>
      <w:rPr>
        <w:rFonts w:ascii="Arial" w:hAnsi="Arial" w:hint="default"/>
      </w:rPr>
    </w:lvl>
    <w:lvl w:ilvl="8" w:tplc="C1764FA6" w:tentative="1">
      <w:start w:val="1"/>
      <w:numFmt w:val="bullet"/>
      <w:lvlText w:val="•"/>
      <w:lvlJc w:val="left"/>
      <w:pPr>
        <w:tabs>
          <w:tab w:val="num" w:pos="6480"/>
        </w:tabs>
        <w:ind w:left="6480" w:hanging="360"/>
      </w:pPr>
      <w:rPr>
        <w:rFonts w:ascii="Arial" w:hAnsi="Arial" w:hint="default"/>
      </w:rPr>
    </w:lvl>
  </w:abstractNum>
  <w:abstractNum w:abstractNumId="7">
    <w:nsid w:val="13571FC2"/>
    <w:multiLevelType w:val="hybridMultilevel"/>
    <w:tmpl w:val="0090FEB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A0C685D"/>
    <w:multiLevelType w:val="hybridMultilevel"/>
    <w:tmpl w:val="6A14E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CBA475F"/>
    <w:multiLevelType w:val="hybridMultilevel"/>
    <w:tmpl w:val="8C506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DCD697B"/>
    <w:multiLevelType w:val="hybridMultilevel"/>
    <w:tmpl w:val="C0D09E70"/>
    <w:lvl w:ilvl="0" w:tplc="DBA84DA0">
      <w:start w:val="1"/>
      <w:numFmt w:val="bullet"/>
      <w:lvlText w:val="•"/>
      <w:lvlJc w:val="left"/>
      <w:pPr>
        <w:tabs>
          <w:tab w:val="num" w:pos="720"/>
        </w:tabs>
        <w:ind w:left="720" w:hanging="360"/>
      </w:pPr>
      <w:rPr>
        <w:rFonts w:ascii="Arial" w:hAnsi="Arial" w:hint="default"/>
      </w:rPr>
    </w:lvl>
    <w:lvl w:ilvl="1" w:tplc="6584FBCC" w:tentative="1">
      <w:start w:val="1"/>
      <w:numFmt w:val="bullet"/>
      <w:lvlText w:val="•"/>
      <w:lvlJc w:val="left"/>
      <w:pPr>
        <w:tabs>
          <w:tab w:val="num" w:pos="1440"/>
        </w:tabs>
        <w:ind w:left="1440" w:hanging="360"/>
      </w:pPr>
      <w:rPr>
        <w:rFonts w:ascii="Arial" w:hAnsi="Arial" w:hint="default"/>
      </w:rPr>
    </w:lvl>
    <w:lvl w:ilvl="2" w:tplc="61205DA8" w:tentative="1">
      <w:start w:val="1"/>
      <w:numFmt w:val="bullet"/>
      <w:lvlText w:val="•"/>
      <w:lvlJc w:val="left"/>
      <w:pPr>
        <w:tabs>
          <w:tab w:val="num" w:pos="2160"/>
        </w:tabs>
        <w:ind w:left="2160" w:hanging="360"/>
      </w:pPr>
      <w:rPr>
        <w:rFonts w:ascii="Arial" w:hAnsi="Arial" w:hint="default"/>
      </w:rPr>
    </w:lvl>
    <w:lvl w:ilvl="3" w:tplc="939A164C" w:tentative="1">
      <w:start w:val="1"/>
      <w:numFmt w:val="bullet"/>
      <w:lvlText w:val="•"/>
      <w:lvlJc w:val="left"/>
      <w:pPr>
        <w:tabs>
          <w:tab w:val="num" w:pos="2880"/>
        </w:tabs>
        <w:ind w:left="2880" w:hanging="360"/>
      </w:pPr>
      <w:rPr>
        <w:rFonts w:ascii="Arial" w:hAnsi="Arial" w:hint="default"/>
      </w:rPr>
    </w:lvl>
    <w:lvl w:ilvl="4" w:tplc="A18AD3B8" w:tentative="1">
      <w:start w:val="1"/>
      <w:numFmt w:val="bullet"/>
      <w:lvlText w:val="•"/>
      <w:lvlJc w:val="left"/>
      <w:pPr>
        <w:tabs>
          <w:tab w:val="num" w:pos="3600"/>
        </w:tabs>
        <w:ind w:left="3600" w:hanging="360"/>
      </w:pPr>
      <w:rPr>
        <w:rFonts w:ascii="Arial" w:hAnsi="Arial" w:hint="default"/>
      </w:rPr>
    </w:lvl>
    <w:lvl w:ilvl="5" w:tplc="D84C73E8" w:tentative="1">
      <w:start w:val="1"/>
      <w:numFmt w:val="bullet"/>
      <w:lvlText w:val="•"/>
      <w:lvlJc w:val="left"/>
      <w:pPr>
        <w:tabs>
          <w:tab w:val="num" w:pos="4320"/>
        </w:tabs>
        <w:ind w:left="4320" w:hanging="360"/>
      </w:pPr>
      <w:rPr>
        <w:rFonts w:ascii="Arial" w:hAnsi="Arial" w:hint="default"/>
      </w:rPr>
    </w:lvl>
    <w:lvl w:ilvl="6" w:tplc="F3F6EF4E" w:tentative="1">
      <w:start w:val="1"/>
      <w:numFmt w:val="bullet"/>
      <w:lvlText w:val="•"/>
      <w:lvlJc w:val="left"/>
      <w:pPr>
        <w:tabs>
          <w:tab w:val="num" w:pos="5040"/>
        </w:tabs>
        <w:ind w:left="5040" w:hanging="360"/>
      </w:pPr>
      <w:rPr>
        <w:rFonts w:ascii="Arial" w:hAnsi="Arial" w:hint="default"/>
      </w:rPr>
    </w:lvl>
    <w:lvl w:ilvl="7" w:tplc="1346B004" w:tentative="1">
      <w:start w:val="1"/>
      <w:numFmt w:val="bullet"/>
      <w:lvlText w:val="•"/>
      <w:lvlJc w:val="left"/>
      <w:pPr>
        <w:tabs>
          <w:tab w:val="num" w:pos="5760"/>
        </w:tabs>
        <w:ind w:left="5760" w:hanging="360"/>
      </w:pPr>
      <w:rPr>
        <w:rFonts w:ascii="Arial" w:hAnsi="Arial" w:hint="default"/>
      </w:rPr>
    </w:lvl>
    <w:lvl w:ilvl="8" w:tplc="3EE074B8" w:tentative="1">
      <w:start w:val="1"/>
      <w:numFmt w:val="bullet"/>
      <w:lvlText w:val="•"/>
      <w:lvlJc w:val="left"/>
      <w:pPr>
        <w:tabs>
          <w:tab w:val="num" w:pos="6480"/>
        </w:tabs>
        <w:ind w:left="6480" w:hanging="360"/>
      </w:pPr>
      <w:rPr>
        <w:rFonts w:ascii="Arial" w:hAnsi="Arial" w:hint="default"/>
      </w:rPr>
    </w:lvl>
  </w:abstractNum>
  <w:abstractNum w:abstractNumId="11">
    <w:nsid w:val="1F302F4B"/>
    <w:multiLevelType w:val="hybridMultilevel"/>
    <w:tmpl w:val="2E025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F6E7E76"/>
    <w:multiLevelType w:val="hybridMultilevel"/>
    <w:tmpl w:val="A8D0A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4">
    <w:nsid w:val="26F011F7"/>
    <w:multiLevelType w:val="hybridMultilevel"/>
    <w:tmpl w:val="E2767D5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279B1935"/>
    <w:multiLevelType w:val="hybridMultilevel"/>
    <w:tmpl w:val="7EC274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285041AE"/>
    <w:multiLevelType w:val="hybridMultilevel"/>
    <w:tmpl w:val="C6183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7">
    <w:nsid w:val="303B0B42"/>
    <w:multiLevelType w:val="hybridMultilevel"/>
    <w:tmpl w:val="16262618"/>
    <w:lvl w:ilvl="0" w:tplc="D4042774">
      <w:start w:val="1"/>
      <w:numFmt w:val="bullet"/>
      <w:lvlText w:val="•"/>
      <w:lvlJc w:val="left"/>
      <w:pPr>
        <w:tabs>
          <w:tab w:val="num" w:pos="720"/>
        </w:tabs>
        <w:ind w:left="720" w:hanging="360"/>
      </w:pPr>
      <w:rPr>
        <w:rFonts w:ascii="Arial" w:hAnsi="Arial" w:hint="default"/>
      </w:rPr>
    </w:lvl>
    <w:lvl w:ilvl="1" w:tplc="F872BFBE" w:tentative="1">
      <w:start w:val="1"/>
      <w:numFmt w:val="bullet"/>
      <w:lvlText w:val="•"/>
      <w:lvlJc w:val="left"/>
      <w:pPr>
        <w:tabs>
          <w:tab w:val="num" w:pos="1440"/>
        </w:tabs>
        <w:ind w:left="1440" w:hanging="360"/>
      </w:pPr>
      <w:rPr>
        <w:rFonts w:ascii="Arial" w:hAnsi="Arial" w:hint="default"/>
      </w:rPr>
    </w:lvl>
    <w:lvl w:ilvl="2" w:tplc="7C60E60C" w:tentative="1">
      <w:start w:val="1"/>
      <w:numFmt w:val="bullet"/>
      <w:lvlText w:val="•"/>
      <w:lvlJc w:val="left"/>
      <w:pPr>
        <w:tabs>
          <w:tab w:val="num" w:pos="2160"/>
        </w:tabs>
        <w:ind w:left="2160" w:hanging="360"/>
      </w:pPr>
      <w:rPr>
        <w:rFonts w:ascii="Arial" w:hAnsi="Arial" w:hint="default"/>
      </w:rPr>
    </w:lvl>
    <w:lvl w:ilvl="3" w:tplc="E5D22C4E" w:tentative="1">
      <w:start w:val="1"/>
      <w:numFmt w:val="bullet"/>
      <w:lvlText w:val="•"/>
      <w:lvlJc w:val="left"/>
      <w:pPr>
        <w:tabs>
          <w:tab w:val="num" w:pos="2880"/>
        </w:tabs>
        <w:ind w:left="2880" w:hanging="360"/>
      </w:pPr>
      <w:rPr>
        <w:rFonts w:ascii="Arial" w:hAnsi="Arial" w:hint="default"/>
      </w:rPr>
    </w:lvl>
    <w:lvl w:ilvl="4" w:tplc="281AC016" w:tentative="1">
      <w:start w:val="1"/>
      <w:numFmt w:val="bullet"/>
      <w:lvlText w:val="•"/>
      <w:lvlJc w:val="left"/>
      <w:pPr>
        <w:tabs>
          <w:tab w:val="num" w:pos="3600"/>
        </w:tabs>
        <w:ind w:left="3600" w:hanging="360"/>
      </w:pPr>
      <w:rPr>
        <w:rFonts w:ascii="Arial" w:hAnsi="Arial" w:hint="default"/>
      </w:rPr>
    </w:lvl>
    <w:lvl w:ilvl="5" w:tplc="B6BE0AB8" w:tentative="1">
      <w:start w:val="1"/>
      <w:numFmt w:val="bullet"/>
      <w:lvlText w:val="•"/>
      <w:lvlJc w:val="left"/>
      <w:pPr>
        <w:tabs>
          <w:tab w:val="num" w:pos="4320"/>
        </w:tabs>
        <w:ind w:left="4320" w:hanging="360"/>
      </w:pPr>
      <w:rPr>
        <w:rFonts w:ascii="Arial" w:hAnsi="Arial" w:hint="default"/>
      </w:rPr>
    </w:lvl>
    <w:lvl w:ilvl="6" w:tplc="88F46D50" w:tentative="1">
      <w:start w:val="1"/>
      <w:numFmt w:val="bullet"/>
      <w:lvlText w:val="•"/>
      <w:lvlJc w:val="left"/>
      <w:pPr>
        <w:tabs>
          <w:tab w:val="num" w:pos="5040"/>
        </w:tabs>
        <w:ind w:left="5040" w:hanging="360"/>
      </w:pPr>
      <w:rPr>
        <w:rFonts w:ascii="Arial" w:hAnsi="Arial" w:hint="default"/>
      </w:rPr>
    </w:lvl>
    <w:lvl w:ilvl="7" w:tplc="381E5E8A" w:tentative="1">
      <w:start w:val="1"/>
      <w:numFmt w:val="bullet"/>
      <w:lvlText w:val="•"/>
      <w:lvlJc w:val="left"/>
      <w:pPr>
        <w:tabs>
          <w:tab w:val="num" w:pos="5760"/>
        </w:tabs>
        <w:ind w:left="5760" w:hanging="360"/>
      </w:pPr>
      <w:rPr>
        <w:rFonts w:ascii="Arial" w:hAnsi="Arial" w:hint="default"/>
      </w:rPr>
    </w:lvl>
    <w:lvl w:ilvl="8" w:tplc="2EB2CECE" w:tentative="1">
      <w:start w:val="1"/>
      <w:numFmt w:val="bullet"/>
      <w:lvlText w:val="•"/>
      <w:lvlJc w:val="left"/>
      <w:pPr>
        <w:tabs>
          <w:tab w:val="num" w:pos="6480"/>
        </w:tabs>
        <w:ind w:left="6480" w:hanging="360"/>
      </w:pPr>
      <w:rPr>
        <w:rFonts w:ascii="Arial" w:hAnsi="Arial" w:hint="default"/>
      </w:rPr>
    </w:lvl>
  </w:abstractNum>
  <w:abstractNum w:abstractNumId="18">
    <w:nsid w:val="31C62850"/>
    <w:multiLevelType w:val="hybridMultilevel"/>
    <w:tmpl w:val="EB4ED5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B49115C"/>
    <w:multiLevelType w:val="hybridMultilevel"/>
    <w:tmpl w:val="46EC2F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B7C34E2"/>
    <w:multiLevelType w:val="hybridMultilevel"/>
    <w:tmpl w:val="6BB09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E0E542F"/>
    <w:multiLevelType w:val="hybridMultilevel"/>
    <w:tmpl w:val="9970E17A"/>
    <w:lvl w:ilvl="0" w:tplc="0809000F">
      <w:start w:val="1"/>
      <w:numFmt w:val="decimal"/>
      <w:lvlText w:val="%1."/>
      <w:lvlJc w:val="left"/>
      <w:pPr>
        <w:ind w:left="786"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2">
    <w:nsid w:val="464E6885"/>
    <w:multiLevelType w:val="hybridMultilevel"/>
    <w:tmpl w:val="205A7D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871546C"/>
    <w:multiLevelType w:val="multilevel"/>
    <w:tmpl w:val="ED6E1D74"/>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9853893"/>
    <w:multiLevelType w:val="hybridMultilevel"/>
    <w:tmpl w:val="5770E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nsid w:val="513D4759"/>
    <w:multiLevelType w:val="hybridMultilevel"/>
    <w:tmpl w:val="E6E220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447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8D435C"/>
    <w:multiLevelType w:val="hybridMultilevel"/>
    <w:tmpl w:val="B098565C"/>
    <w:lvl w:ilvl="0" w:tplc="8AA8C7EC">
      <w:start w:val="1"/>
      <w:numFmt w:val="bullet"/>
      <w:lvlText w:val="•"/>
      <w:lvlJc w:val="left"/>
      <w:pPr>
        <w:tabs>
          <w:tab w:val="num" w:pos="720"/>
        </w:tabs>
        <w:ind w:left="720" w:hanging="360"/>
      </w:pPr>
      <w:rPr>
        <w:rFonts w:ascii="Arial" w:hAnsi="Arial" w:hint="default"/>
      </w:rPr>
    </w:lvl>
    <w:lvl w:ilvl="1" w:tplc="2A4AE5C8">
      <w:start w:val="2604"/>
      <w:numFmt w:val="bullet"/>
      <w:lvlText w:val="–"/>
      <w:lvlJc w:val="left"/>
      <w:pPr>
        <w:tabs>
          <w:tab w:val="num" w:pos="1440"/>
        </w:tabs>
        <w:ind w:left="1440" w:hanging="360"/>
      </w:pPr>
      <w:rPr>
        <w:rFonts w:ascii="Arial" w:hAnsi="Arial" w:hint="default"/>
      </w:rPr>
    </w:lvl>
    <w:lvl w:ilvl="2" w:tplc="C90C4F4A" w:tentative="1">
      <w:start w:val="1"/>
      <w:numFmt w:val="bullet"/>
      <w:lvlText w:val="•"/>
      <w:lvlJc w:val="left"/>
      <w:pPr>
        <w:tabs>
          <w:tab w:val="num" w:pos="2160"/>
        </w:tabs>
        <w:ind w:left="2160" w:hanging="360"/>
      </w:pPr>
      <w:rPr>
        <w:rFonts w:ascii="Arial" w:hAnsi="Arial" w:hint="default"/>
      </w:rPr>
    </w:lvl>
    <w:lvl w:ilvl="3" w:tplc="43BCE2A6" w:tentative="1">
      <w:start w:val="1"/>
      <w:numFmt w:val="bullet"/>
      <w:lvlText w:val="•"/>
      <w:lvlJc w:val="left"/>
      <w:pPr>
        <w:tabs>
          <w:tab w:val="num" w:pos="2880"/>
        </w:tabs>
        <w:ind w:left="2880" w:hanging="360"/>
      </w:pPr>
      <w:rPr>
        <w:rFonts w:ascii="Arial" w:hAnsi="Arial" w:hint="default"/>
      </w:rPr>
    </w:lvl>
    <w:lvl w:ilvl="4" w:tplc="B5006090" w:tentative="1">
      <w:start w:val="1"/>
      <w:numFmt w:val="bullet"/>
      <w:lvlText w:val="•"/>
      <w:lvlJc w:val="left"/>
      <w:pPr>
        <w:tabs>
          <w:tab w:val="num" w:pos="3600"/>
        </w:tabs>
        <w:ind w:left="3600" w:hanging="360"/>
      </w:pPr>
      <w:rPr>
        <w:rFonts w:ascii="Arial" w:hAnsi="Arial" w:hint="default"/>
      </w:rPr>
    </w:lvl>
    <w:lvl w:ilvl="5" w:tplc="0C104134" w:tentative="1">
      <w:start w:val="1"/>
      <w:numFmt w:val="bullet"/>
      <w:lvlText w:val="•"/>
      <w:lvlJc w:val="left"/>
      <w:pPr>
        <w:tabs>
          <w:tab w:val="num" w:pos="4320"/>
        </w:tabs>
        <w:ind w:left="4320" w:hanging="360"/>
      </w:pPr>
      <w:rPr>
        <w:rFonts w:ascii="Arial" w:hAnsi="Arial" w:hint="default"/>
      </w:rPr>
    </w:lvl>
    <w:lvl w:ilvl="6" w:tplc="F430872E" w:tentative="1">
      <w:start w:val="1"/>
      <w:numFmt w:val="bullet"/>
      <w:lvlText w:val="•"/>
      <w:lvlJc w:val="left"/>
      <w:pPr>
        <w:tabs>
          <w:tab w:val="num" w:pos="5040"/>
        </w:tabs>
        <w:ind w:left="5040" w:hanging="360"/>
      </w:pPr>
      <w:rPr>
        <w:rFonts w:ascii="Arial" w:hAnsi="Arial" w:hint="default"/>
      </w:rPr>
    </w:lvl>
    <w:lvl w:ilvl="7" w:tplc="765E996A" w:tentative="1">
      <w:start w:val="1"/>
      <w:numFmt w:val="bullet"/>
      <w:lvlText w:val="•"/>
      <w:lvlJc w:val="left"/>
      <w:pPr>
        <w:tabs>
          <w:tab w:val="num" w:pos="5760"/>
        </w:tabs>
        <w:ind w:left="5760" w:hanging="360"/>
      </w:pPr>
      <w:rPr>
        <w:rFonts w:ascii="Arial" w:hAnsi="Arial" w:hint="default"/>
      </w:rPr>
    </w:lvl>
    <w:lvl w:ilvl="8" w:tplc="03DED3BA" w:tentative="1">
      <w:start w:val="1"/>
      <w:numFmt w:val="bullet"/>
      <w:lvlText w:val="•"/>
      <w:lvlJc w:val="left"/>
      <w:pPr>
        <w:tabs>
          <w:tab w:val="num" w:pos="6480"/>
        </w:tabs>
        <w:ind w:left="6480" w:hanging="360"/>
      </w:pPr>
      <w:rPr>
        <w:rFonts w:ascii="Arial" w:hAnsi="Arial" w:hint="default"/>
      </w:rPr>
    </w:lvl>
  </w:abstractNum>
  <w:abstractNum w:abstractNumId="28">
    <w:nsid w:val="525A7FC4"/>
    <w:multiLevelType w:val="hybridMultilevel"/>
    <w:tmpl w:val="C4220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5B54219"/>
    <w:multiLevelType w:val="hybridMultilevel"/>
    <w:tmpl w:val="E03AB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56990353"/>
    <w:multiLevelType w:val="hybridMultilevel"/>
    <w:tmpl w:val="7CEC03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57494827"/>
    <w:multiLevelType w:val="hybridMultilevel"/>
    <w:tmpl w:val="92601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B546EEA"/>
    <w:multiLevelType w:val="hybridMultilevel"/>
    <w:tmpl w:val="95F444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58B6102"/>
    <w:multiLevelType w:val="hybridMultilevel"/>
    <w:tmpl w:val="9D60D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AA51D10"/>
    <w:multiLevelType w:val="hybridMultilevel"/>
    <w:tmpl w:val="473049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45A76EA"/>
    <w:multiLevelType w:val="hybridMultilevel"/>
    <w:tmpl w:val="95B024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751D18B6"/>
    <w:multiLevelType w:val="multilevel"/>
    <w:tmpl w:val="5B149FC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5FA3ADA"/>
    <w:multiLevelType w:val="hybridMultilevel"/>
    <w:tmpl w:val="ED58D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7C6386E"/>
    <w:multiLevelType w:val="hybridMultilevel"/>
    <w:tmpl w:val="09CC3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784D033C"/>
    <w:multiLevelType w:val="multilevel"/>
    <w:tmpl w:val="6A84DB2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35"/>
  </w:num>
  <w:num w:numId="2">
    <w:abstractNumId w:val="21"/>
  </w:num>
  <w:num w:numId="3">
    <w:abstractNumId w:val="16"/>
  </w:num>
  <w:num w:numId="4">
    <w:abstractNumId w:val="25"/>
  </w:num>
  <w:num w:numId="5">
    <w:abstractNumId w:val="20"/>
  </w:num>
  <w:num w:numId="6">
    <w:abstractNumId w:val="3"/>
  </w:num>
  <w:num w:numId="7">
    <w:abstractNumId w:val="43"/>
  </w:num>
  <w:num w:numId="8">
    <w:abstractNumId w:val="32"/>
  </w:num>
  <w:num w:numId="9">
    <w:abstractNumId w:val="42"/>
  </w:num>
  <w:num w:numId="10">
    <w:abstractNumId w:val="37"/>
  </w:num>
  <w:num w:numId="11">
    <w:abstractNumId w:val="5"/>
  </w:num>
  <w:num w:numId="12">
    <w:abstractNumId w:val="12"/>
  </w:num>
  <w:num w:numId="13">
    <w:abstractNumId w:val="9"/>
  </w:num>
  <w:num w:numId="14">
    <w:abstractNumId w:val="0"/>
  </w:num>
  <w:num w:numId="15">
    <w:abstractNumId w:val="36"/>
  </w:num>
  <w:num w:numId="16">
    <w:abstractNumId w:val="11"/>
  </w:num>
  <w:num w:numId="17">
    <w:abstractNumId w:val="2"/>
  </w:num>
  <w:num w:numId="18">
    <w:abstractNumId w:val="31"/>
  </w:num>
  <w:num w:numId="19">
    <w:abstractNumId w:val="7"/>
  </w:num>
  <w:num w:numId="20">
    <w:abstractNumId w:val="4"/>
  </w:num>
  <w:num w:numId="21">
    <w:abstractNumId w:val="14"/>
  </w:num>
  <w:num w:numId="22">
    <w:abstractNumId w:val="38"/>
  </w:num>
  <w:num w:numId="23">
    <w:abstractNumId w:val="15"/>
  </w:num>
  <w:num w:numId="24">
    <w:abstractNumId w:val="28"/>
  </w:num>
  <w:num w:numId="25">
    <w:abstractNumId w:val="19"/>
  </w:num>
  <w:num w:numId="26">
    <w:abstractNumId w:val="24"/>
  </w:num>
  <w:num w:numId="27">
    <w:abstractNumId w:val="40"/>
  </w:num>
  <w:num w:numId="28">
    <w:abstractNumId w:val="33"/>
  </w:num>
  <w:num w:numId="29">
    <w:abstractNumId w:val="22"/>
  </w:num>
  <w:num w:numId="30">
    <w:abstractNumId w:val="18"/>
  </w:num>
  <w:num w:numId="31">
    <w:abstractNumId w:val="8"/>
  </w:num>
  <w:num w:numId="32">
    <w:abstractNumId w:val="34"/>
  </w:num>
  <w:num w:numId="33">
    <w:abstractNumId w:val="26"/>
  </w:num>
  <w:num w:numId="34">
    <w:abstractNumId w:val="30"/>
  </w:num>
  <w:num w:numId="35">
    <w:abstractNumId w:val="41"/>
  </w:num>
  <w:num w:numId="36">
    <w:abstractNumId w:val="44"/>
  </w:num>
  <w:num w:numId="37">
    <w:abstractNumId w:val="13"/>
  </w:num>
  <w:num w:numId="38">
    <w:abstractNumId w:val="1"/>
  </w:num>
  <w:num w:numId="39">
    <w:abstractNumId w:val="29"/>
  </w:num>
  <w:num w:numId="40">
    <w:abstractNumId w:val="6"/>
  </w:num>
  <w:num w:numId="41">
    <w:abstractNumId w:val="27"/>
  </w:num>
  <w:num w:numId="42">
    <w:abstractNumId w:val="10"/>
  </w:num>
  <w:num w:numId="43">
    <w:abstractNumId w:val="17"/>
  </w:num>
  <w:num w:numId="44">
    <w:abstractNumId w:val="39"/>
  </w:num>
  <w:num w:numId="45">
    <w:abstractNumId w:val="2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ie Gavin">
    <w15:presenceInfo w15:providerId="Windows Live" w15:userId="76b95a7c3d3d5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8B1"/>
    <w:rsid w:val="00000DE1"/>
    <w:rsid w:val="00000EAD"/>
    <w:rsid w:val="00000FCA"/>
    <w:rsid w:val="0000110B"/>
    <w:rsid w:val="00001388"/>
    <w:rsid w:val="000019F6"/>
    <w:rsid w:val="0000207F"/>
    <w:rsid w:val="000020BD"/>
    <w:rsid w:val="0000216F"/>
    <w:rsid w:val="00002D31"/>
    <w:rsid w:val="00002EE9"/>
    <w:rsid w:val="00003019"/>
    <w:rsid w:val="000030EE"/>
    <w:rsid w:val="00003172"/>
    <w:rsid w:val="000033E2"/>
    <w:rsid w:val="00003499"/>
    <w:rsid w:val="00003552"/>
    <w:rsid w:val="00003580"/>
    <w:rsid w:val="000037A0"/>
    <w:rsid w:val="00003820"/>
    <w:rsid w:val="00003829"/>
    <w:rsid w:val="000038D3"/>
    <w:rsid w:val="00003951"/>
    <w:rsid w:val="000039E5"/>
    <w:rsid w:val="00003ACC"/>
    <w:rsid w:val="00004969"/>
    <w:rsid w:val="00004CF9"/>
    <w:rsid w:val="00004E8D"/>
    <w:rsid w:val="00004F81"/>
    <w:rsid w:val="00005730"/>
    <w:rsid w:val="00005882"/>
    <w:rsid w:val="00005BFF"/>
    <w:rsid w:val="00005F84"/>
    <w:rsid w:val="00006172"/>
    <w:rsid w:val="0000620B"/>
    <w:rsid w:val="00006351"/>
    <w:rsid w:val="000065DA"/>
    <w:rsid w:val="0000669C"/>
    <w:rsid w:val="000068A6"/>
    <w:rsid w:val="00006C09"/>
    <w:rsid w:val="00006FA1"/>
    <w:rsid w:val="00007164"/>
    <w:rsid w:val="0000786F"/>
    <w:rsid w:val="00007AC8"/>
    <w:rsid w:val="00007D94"/>
    <w:rsid w:val="0001036B"/>
    <w:rsid w:val="000103B2"/>
    <w:rsid w:val="000103F4"/>
    <w:rsid w:val="00010596"/>
    <w:rsid w:val="00010CAC"/>
    <w:rsid w:val="00010D11"/>
    <w:rsid w:val="00011A76"/>
    <w:rsid w:val="00011CE2"/>
    <w:rsid w:val="0001208C"/>
    <w:rsid w:val="00012258"/>
    <w:rsid w:val="00012EED"/>
    <w:rsid w:val="00013247"/>
    <w:rsid w:val="000144AE"/>
    <w:rsid w:val="00014526"/>
    <w:rsid w:val="0001452E"/>
    <w:rsid w:val="0001479E"/>
    <w:rsid w:val="00014991"/>
    <w:rsid w:val="00014BEF"/>
    <w:rsid w:val="00014D2A"/>
    <w:rsid w:val="00015243"/>
    <w:rsid w:val="00015319"/>
    <w:rsid w:val="00015352"/>
    <w:rsid w:val="000155B7"/>
    <w:rsid w:val="000155C2"/>
    <w:rsid w:val="0001573F"/>
    <w:rsid w:val="00015886"/>
    <w:rsid w:val="00015B49"/>
    <w:rsid w:val="00015B81"/>
    <w:rsid w:val="000160F2"/>
    <w:rsid w:val="000162EF"/>
    <w:rsid w:val="00016460"/>
    <w:rsid w:val="0001650D"/>
    <w:rsid w:val="00016542"/>
    <w:rsid w:val="000165D5"/>
    <w:rsid w:val="00016840"/>
    <w:rsid w:val="0001697E"/>
    <w:rsid w:val="00016D55"/>
    <w:rsid w:val="00016F80"/>
    <w:rsid w:val="0001748F"/>
    <w:rsid w:val="000178C1"/>
    <w:rsid w:val="00017963"/>
    <w:rsid w:val="00017D36"/>
    <w:rsid w:val="000203ED"/>
    <w:rsid w:val="00020BBA"/>
    <w:rsid w:val="00021F30"/>
    <w:rsid w:val="00022056"/>
    <w:rsid w:val="0002209C"/>
    <w:rsid w:val="00022131"/>
    <w:rsid w:val="0002225F"/>
    <w:rsid w:val="00022A33"/>
    <w:rsid w:val="00022A9E"/>
    <w:rsid w:val="00022ADE"/>
    <w:rsid w:val="00022CF5"/>
    <w:rsid w:val="00022EE9"/>
    <w:rsid w:val="00022F55"/>
    <w:rsid w:val="0002352B"/>
    <w:rsid w:val="0002375D"/>
    <w:rsid w:val="00023763"/>
    <w:rsid w:val="00023A82"/>
    <w:rsid w:val="00023D9E"/>
    <w:rsid w:val="00023E41"/>
    <w:rsid w:val="00024172"/>
    <w:rsid w:val="00024C1C"/>
    <w:rsid w:val="00024C87"/>
    <w:rsid w:val="00024CBD"/>
    <w:rsid w:val="00024F93"/>
    <w:rsid w:val="00025073"/>
    <w:rsid w:val="0002523E"/>
    <w:rsid w:val="000252DB"/>
    <w:rsid w:val="00025519"/>
    <w:rsid w:val="00025643"/>
    <w:rsid w:val="00025A42"/>
    <w:rsid w:val="00025C31"/>
    <w:rsid w:val="00025C62"/>
    <w:rsid w:val="000265F6"/>
    <w:rsid w:val="000267E9"/>
    <w:rsid w:val="000270E3"/>
    <w:rsid w:val="000275CA"/>
    <w:rsid w:val="00027AC8"/>
    <w:rsid w:val="00027C74"/>
    <w:rsid w:val="00027F4C"/>
    <w:rsid w:val="0003022D"/>
    <w:rsid w:val="00030249"/>
    <w:rsid w:val="000303D9"/>
    <w:rsid w:val="00030AD5"/>
    <w:rsid w:val="00030AE9"/>
    <w:rsid w:val="00030B32"/>
    <w:rsid w:val="00030B6D"/>
    <w:rsid w:val="00030C85"/>
    <w:rsid w:val="0003101B"/>
    <w:rsid w:val="000311B3"/>
    <w:rsid w:val="0003157A"/>
    <w:rsid w:val="000317EA"/>
    <w:rsid w:val="00031A41"/>
    <w:rsid w:val="00031FC7"/>
    <w:rsid w:val="000322AE"/>
    <w:rsid w:val="0003256E"/>
    <w:rsid w:val="000325C5"/>
    <w:rsid w:val="000326A9"/>
    <w:rsid w:val="000327BB"/>
    <w:rsid w:val="000328BB"/>
    <w:rsid w:val="00032CE5"/>
    <w:rsid w:val="00033076"/>
    <w:rsid w:val="0003345D"/>
    <w:rsid w:val="0003350C"/>
    <w:rsid w:val="000337E7"/>
    <w:rsid w:val="0003392A"/>
    <w:rsid w:val="00033D26"/>
    <w:rsid w:val="00033FC1"/>
    <w:rsid w:val="00034064"/>
    <w:rsid w:val="000346AD"/>
    <w:rsid w:val="000347B6"/>
    <w:rsid w:val="0003483A"/>
    <w:rsid w:val="00034924"/>
    <w:rsid w:val="000350EC"/>
    <w:rsid w:val="000353B4"/>
    <w:rsid w:val="000353B5"/>
    <w:rsid w:val="000357F6"/>
    <w:rsid w:val="00035966"/>
    <w:rsid w:val="0003597E"/>
    <w:rsid w:val="00035A24"/>
    <w:rsid w:val="00035B5F"/>
    <w:rsid w:val="00035BBE"/>
    <w:rsid w:val="00035C08"/>
    <w:rsid w:val="00035EF7"/>
    <w:rsid w:val="00035F12"/>
    <w:rsid w:val="00036070"/>
    <w:rsid w:val="000362A1"/>
    <w:rsid w:val="00036949"/>
    <w:rsid w:val="00036C90"/>
    <w:rsid w:val="00036D20"/>
    <w:rsid w:val="00036EE7"/>
    <w:rsid w:val="00037661"/>
    <w:rsid w:val="00037726"/>
    <w:rsid w:val="000403E4"/>
    <w:rsid w:val="0004078F"/>
    <w:rsid w:val="00040895"/>
    <w:rsid w:val="00040AFC"/>
    <w:rsid w:val="00040BB5"/>
    <w:rsid w:val="00041036"/>
    <w:rsid w:val="00041113"/>
    <w:rsid w:val="000411DE"/>
    <w:rsid w:val="00041269"/>
    <w:rsid w:val="000417F4"/>
    <w:rsid w:val="00041FBD"/>
    <w:rsid w:val="000421E5"/>
    <w:rsid w:val="0004228E"/>
    <w:rsid w:val="00042536"/>
    <w:rsid w:val="0004268B"/>
    <w:rsid w:val="000426BE"/>
    <w:rsid w:val="00042A58"/>
    <w:rsid w:val="00042B7C"/>
    <w:rsid w:val="00042D9D"/>
    <w:rsid w:val="000430C9"/>
    <w:rsid w:val="00043120"/>
    <w:rsid w:val="00043227"/>
    <w:rsid w:val="00043528"/>
    <w:rsid w:val="0004354F"/>
    <w:rsid w:val="00043770"/>
    <w:rsid w:val="00043883"/>
    <w:rsid w:val="00043915"/>
    <w:rsid w:val="00043C37"/>
    <w:rsid w:val="00043CAA"/>
    <w:rsid w:val="000444D1"/>
    <w:rsid w:val="00044530"/>
    <w:rsid w:val="00044C7E"/>
    <w:rsid w:val="000451DE"/>
    <w:rsid w:val="00045451"/>
    <w:rsid w:val="00045CCB"/>
    <w:rsid w:val="00045EEE"/>
    <w:rsid w:val="00046771"/>
    <w:rsid w:val="000468A6"/>
    <w:rsid w:val="00046A66"/>
    <w:rsid w:val="00046D5E"/>
    <w:rsid w:val="00046D69"/>
    <w:rsid w:val="000474AB"/>
    <w:rsid w:val="000478CC"/>
    <w:rsid w:val="00047D8F"/>
    <w:rsid w:val="00050337"/>
    <w:rsid w:val="00050421"/>
    <w:rsid w:val="00050630"/>
    <w:rsid w:val="0005083D"/>
    <w:rsid w:val="00050BAF"/>
    <w:rsid w:val="00050BF1"/>
    <w:rsid w:val="00050CBD"/>
    <w:rsid w:val="00051610"/>
    <w:rsid w:val="000519C3"/>
    <w:rsid w:val="00051C26"/>
    <w:rsid w:val="00051ECC"/>
    <w:rsid w:val="00051F62"/>
    <w:rsid w:val="0005236B"/>
    <w:rsid w:val="000524D3"/>
    <w:rsid w:val="00052535"/>
    <w:rsid w:val="000525D2"/>
    <w:rsid w:val="000527A7"/>
    <w:rsid w:val="00052F6D"/>
    <w:rsid w:val="00053130"/>
    <w:rsid w:val="00053780"/>
    <w:rsid w:val="000541C8"/>
    <w:rsid w:val="0005438B"/>
    <w:rsid w:val="000546D7"/>
    <w:rsid w:val="00054BCC"/>
    <w:rsid w:val="000552D6"/>
    <w:rsid w:val="00055626"/>
    <w:rsid w:val="00055660"/>
    <w:rsid w:val="00055687"/>
    <w:rsid w:val="00055958"/>
    <w:rsid w:val="00055F01"/>
    <w:rsid w:val="000569C7"/>
    <w:rsid w:val="00056DAC"/>
    <w:rsid w:val="000571E0"/>
    <w:rsid w:val="0005721B"/>
    <w:rsid w:val="0005723E"/>
    <w:rsid w:val="00057260"/>
    <w:rsid w:val="00057351"/>
    <w:rsid w:val="000573DF"/>
    <w:rsid w:val="00057E49"/>
    <w:rsid w:val="0006002E"/>
    <w:rsid w:val="000601C4"/>
    <w:rsid w:val="0006043A"/>
    <w:rsid w:val="0006071A"/>
    <w:rsid w:val="00060BDA"/>
    <w:rsid w:val="00060E74"/>
    <w:rsid w:val="00060F70"/>
    <w:rsid w:val="00061140"/>
    <w:rsid w:val="000611E4"/>
    <w:rsid w:val="00061E26"/>
    <w:rsid w:val="0006213B"/>
    <w:rsid w:val="000626C6"/>
    <w:rsid w:val="00062A31"/>
    <w:rsid w:val="00062D42"/>
    <w:rsid w:val="00062FB6"/>
    <w:rsid w:val="000633E1"/>
    <w:rsid w:val="000635CC"/>
    <w:rsid w:val="000637DB"/>
    <w:rsid w:val="0006427B"/>
    <w:rsid w:val="00064565"/>
    <w:rsid w:val="000646C1"/>
    <w:rsid w:val="00064B0B"/>
    <w:rsid w:val="00064CA6"/>
    <w:rsid w:val="000656DE"/>
    <w:rsid w:val="00065D71"/>
    <w:rsid w:val="00066064"/>
    <w:rsid w:val="00066167"/>
    <w:rsid w:val="0006690F"/>
    <w:rsid w:val="00066B78"/>
    <w:rsid w:val="00066E64"/>
    <w:rsid w:val="00066E7E"/>
    <w:rsid w:val="00067501"/>
    <w:rsid w:val="00067574"/>
    <w:rsid w:val="0006795D"/>
    <w:rsid w:val="00067A8C"/>
    <w:rsid w:val="00067B32"/>
    <w:rsid w:val="00067FBC"/>
    <w:rsid w:val="00070572"/>
    <w:rsid w:val="00070962"/>
    <w:rsid w:val="00070B78"/>
    <w:rsid w:val="00070DC8"/>
    <w:rsid w:val="00070EC1"/>
    <w:rsid w:val="00071003"/>
    <w:rsid w:val="00071248"/>
    <w:rsid w:val="000713A7"/>
    <w:rsid w:val="0007152D"/>
    <w:rsid w:val="00071B7F"/>
    <w:rsid w:val="00071BDD"/>
    <w:rsid w:val="0007200B"/>
    <w:rsid w:val="000720B9"/>
    <w:rsid w:val="00072917"/>
    <w:rsid w:val="00073595"/>
    <w:rsid w:val="00073799"/>
    <w:rsid w:val="000739CE"/>
    <w:rsid w:val="00073E55"/>
    <w:rsid w:val="0007402A"/>
    <w:rsid w:val="000740C9"/>
    <w:rsid w:val="00074228"/>
    <w:rsid w:val="0007461B"/>
    <w:rsid w:val="00074C46"/>
    <w:rsid w:val="0007505E"/>
    <w:rsid w:val="0007510A"/>
    <w:rsid w:val="00075188"/>
    <w:rsid w:val="00075606"/>
    <w:rsid w:val="00075632"/>
    <w:rsid w:val="00075750"/>
    <w:rsid w:val="00075AAA"/>
    <w:rsid w:val="00075BCD"/>
    <w:rsid w:val="00075BED"/>
    <w:rsid w:val="00075F25"/>
    <w:rsid w:val="000773D0"/>
    <w:rsid w:val="0007749E"/>
    <w:rsid w:val="000774DC"/>
    <w:rsid w:val="00077D59"/>
    <w:rsid w:val="00077F80"/>
    <w:rsid w:val="000801F3"/>
    <w:rsid w:val="0008055E"/>
    <w:rsid w:val="00080B83"/>
    <w:rsid w:val="00080C01"/>
    <w:rsid w:val="0008110B"/>
    <w:rsid w:val="00081200"/>
    <w:rsid w:val="000812CA"/>
    <w:rsid w:val="00081616"/>
    <w:rsid w:val="00081771"/>
    <w:rsid w:val="00081A70"/>
    <w:rsid w:val="00081EDE"/>
    <w:rsid w:val="00081F90"/>
    <w:rsid w:val="000826B8"/>
    <w:rsid w:val="00082898"/>
    <w:rsid w:val="000828BC"/>
    <w:rsid w:val="000829F8"/>
    <w:rsid w:val="00082C26"/>
    <w:rsid w:val="00082D4C"/>
    <w:rsid w:val="00082EC9"/>
    <w:rsid w:val="00082ECC"/>
    <w:rsid w:val="000833AA"/>
    <w:rsid w:val="000833E1"/>
    <w:rsid w:val="0008352E"/>
    <w:rsid w:val="00083B73"/>
    <w:rsid w:val="00083D18"/>
    <w:rsid w:val="0008412B"/>
    <w:rsid w:val="0008436D"/>
    <w:rsid w:val="000843D9"/>
    <w:rsid w:val="00084423"/>
    <w:rsid w:val="00084627"/>
    <w:rsid w:val="0008479B"/>
    <w:rsid w:val="00084B99"/>
    <w:rsid w:val="00084CDF"/>
    <w:rsid w:val="000850B6"/>
    <w:rsid w:val="000852DE"/>
    <w:rsid w:val="000853B3"/>
    <w:rsid w:val="000854E3"/>
    <w:rsid w:val="0008553E"/>
    <w:rsid w:val="00085694"/>
    <w:rsid w:val="00085A85"/>
    <w:rsid w:val="00085D1E"/>
    <w:rsid w:val="00085D6E"/>
    <w:rsid w:val="00085DB6"/>
    <w:rsid w:val="00085F32"/>
    <w:rsid w:val="00086285"/>
    <w:rsid w:val="00086752"/>
    <w:rsid w:val="0008679B"/>
    <w:rsid w:val="00086948"/>
    <w:rsid w:val="00086A57"/>
    <w:rsid w:val="00086D2B"/>
    <w:rsid w:val="00086D3C"/>
    <w:rsid w:val="00086E24"/>
    <w:rsid w:val="00086ED7"/>
    <w:rsid w:val="00086F09"/>
    <w:rsid w:val="00087122"/>
    <w:rsid w:val="000872B8"/>
    <w:rsid w:val="00087ADE"/>
    <w:rsid w:val="00087DF8"/>
    <w:rsid w:val="00087E88"/>
    <w:rsid w:val="00087EB7"/>
    <w:rsid w:val="00087F0A"/>
    <w:rsid w:val="000903F2"/>
    <w:rsid w:val="000906F0"/>
    <w:rsid w:val="000906FC"/>
    <w:rsid w:val="0009094D"/>
    <w:rsid w:val="00090B6D"/>
    <w:rsid w:val="00090C7A"/>
    <w:rsid w:val="00090C7E"/>
    <w:rsid w:val="00091513"/>
    <w:rsid w:val="00091920"/>
    <w:rsid w:val="00091CF2"/>
    <w:rsid w:val="0009220E"/>
    <w:rsid w:val="00092270"/>
    <w:rsid w:val="0009246F"/>
    <w:rsid w:val="000926C8"/>
    <w:rsid w:val="00092A38"/>
    <w:rsid w:val="00092F3B"/>
    <w:rsid w:val="000937D4"/>
    <w:rsid w:val="00093B02"/>
    <w:rsid w:val="00093B24"/>
    <w:rsid w:val="00093B63"/>
    <w:rsid w:val="00093C87"/>
    <w:rsid w:val="00093CAD"/>
    <w:rsid w:val="00093DE2"/>
    <w:rsid w:val="00093FAD"/>
    <w:rsid w:val="00094171"/>
    <w:rsid w:val="000942AE"/>
    <w:rsid w:val="0009437E"/>
    <w:rsid w:val="00094513"/>
    <w:rsid w:val="00094AAA"/>
    <w:rsid w:val="00094C9B"/>
    <w:rsid w:val="0009507B"/>
    <w:rsid w:val="000950DB"/>
    <w:rsid w:val="00095606"/>
    <w:rsid w:val="00095803"/>
    <w:rsid w:val="00095836"/>
    <w:rsid w:val="000959C7"/>
    <w:rsid w:val="00096658"/>
    <w:rsid w:val="00096E17"/>
    <w:rsid w:val="00096E4D"/>
    <w:rsid w:val="00097488"/>
    <w:rsid w:val="00097B36"/>
    <w:rsid w:val="00097CA4"/>
    <w:rsid w:val="00097DA3"/>
    <w:rsid w:val="00097E14"/>
    <w:rsid w:val="000A07C0"/>
    <w:rsid w:val="000A0DAC"/>
    <w:rsid w:val="000A12D1"/>
    <w:rsid w:val="000A13FE"/>
    <w:rsid w:val="000A15D5"/>
    <w:rsid w:val="000A187A"/>
    <w:rsid w:val="000A1A00"/>
    <w:rsid w:val="000A1B92"/>
    <w:rsid w:val="000A1C57"/>
    <w:rsid w:val="000A1DBF"/>
    <w:rsid w:val="000A1F94"/>
    <w:rsid w:val="000A206B"/>
    <w:rsid w:val="000A224B"/>
    <w:rsid w:val="000A228E"/>
    <w:rsid w:val="000A23A2"/>
    <w:rsid w:val="000A2850"/>
    <w:rsid w:val="000A2B4D"/>
    <w:rsid w:val="000A3213"/>
    <w:rsid w:val="000A32A0"/>
    <w:rsid w:val="000A3444"/>
    <w:rsid w:val="000A3640"/>
    <w:rsid w:val="000A36EF"/>
    <w:rsid w:val="000A3829"/>
    <w:rsid w:val="000A39C4"/>
    <w:rsid w:val="000A3AC7"/>
    <w:rsid w:val="000A3E00"/>
    <w:rsid w:val="000A3F79"/>
    <w:rsid w:val="000A4035"/>
    <w:rsid w:val="000A424F"/>
    <w:rsid w:val="000A4484"/>
    <w:rsid w:val="000A478E"/>
    <w:rsid w:val="000A479E"/>
    <w:rsid w:val="000A4972"/>
    <w:rsid w:val="000A499A"/>
    <w:rsid w:val="000A49E5"/>
    <w:rsid w:val="000A4E55"/>
    <w:rsid w:val="000A53DA"/>
    <w:rsid w:val="000A5B61"/>
    <w:rsid w:val="000A5E53"/>
    <w:rsid w:val="000A670F"/>
    <w:rsid w:val="000A6859"/>
    <w:rsid w:val="000A6B9A"/>
    <w:rsid w:val="000A6F47"/>
    <w:rsid w:val="000A777D"/>
    <w:rsid w:val="000A790D"/>
    <w:rsid w:val="000A7A96"/>
    <w:rsid w:val="000A7B07"/>
    <w:rsid w:val="000A7F82"/>
    <w:rsid w:val="000B02B5"/>
    <w:rsid w:val="000B07A6"/>
    <w:rsid w:val="000B0BC5"/>
    <w:rsid w:val="000B0D70"/>
    <w:rsid w:val="000B0E12"/>
    <w:rsid w:val="000B149E"/>
    <w:rsid w:val="000B14BC"/>
    <w:rsid w:val="000B163E"/>
    <w:rsid w:val="000B1BAE"/>
    <w:rsid w:val="000B1F4C"/>
    <w:rsid w:val="000B203A"/>
    <w:rsid w:val="000B2307"/>
    <w:rsid w:val="000B27A7"/>
    <w:rsid w:val="000B295E"/>
    <w:rsid w:val="000B29F7"/>
    <w:rsid w:val="000B2B4E"/>
    <w:rsid w:val="000B3560"/>
    <w:rsid w:val="000B38FF"/>
    <w:rsid w:val="000B396C"/>
    <w:rsid w:val="000B3A02"/>
    <w:rsid w:val="000B402C"/>
    <w:rsid w:val="000B4A1B"/>
    <w:rsid w:val="000B4AF8"/>
    <w:rsid w:val="000B4B18"/>
    <w:rsid w:val="000B4D78"/>
    <w:rsid w:val="000B50D9"/>
    <w:rsid w:val="000B532F"/>
    <w:rsid w:val="000B5405"/>
    <w:rsid w:val="000B5565"/>
    <w:rsid w:val="000B5CA5"/>
    <w:rsid w:val="000B6396"/>
    <w:rsid w:val="000B669F"/>
    <w:rsid w:val="000B68CD"/>
    <w:rsid w:val="000B6B2C"/>
    <w:rsid w:val="000B6B99"/>
    <w:rsid w:val="000B72BC"/>
    <w:rsid w:val="000B79E1"/>
    <w:rsid w:val="000B7DF2"/>
    <w:rsid w:val="000B7EAD"/>
    <w:rsid w:val="000B7F01"/>
    <w:rsid w:val="000C001A"/>
    <w:rsid w:val="000C002A"/>
    <w:rsid w:val="000C007A"/>
    <w:rsid w:val="000C026B"/>
    <w:rsid w:val="000C06C2"/>
    <w:rsid w:val="000C075E"/>
    <w:rsid w:val="000C0A37"/>
    <w:rsid w:val="000C0C06"/>
    <w:rsid w:val="000C0C54"/>
    <w:rsid w:val="000C0CFD"/>
    <w:rsid w:val="000C0F23"/>
    <w:rsid w:val="000C149B"/>
    <w:rsid w:val="000C15BE"/>
    <w:rsid w:val="000C16FB"/>
    <w:rsid w:val="000C182E"/>
    <w:rsid w:val="000C1838"/>
    <w:rsid w:val="000C1BB0"/>
    <w:rsid w:val="000C254F"/>
    <w:rsid w:val="000C2D96"/>
    <w:rsid w:val="000C2E31"/>
    <w:rsid w:val="000C3589"/>
    <w:rsid w:val="000C3C95"/>
    <w:rsid w:val="000C3CBA"/>
    <w:rsid w:val="000C3DB2"/>
    <w:rsid w:val="000C3ECE"/>
    <w:rsid w:val="000C4677"/>
    <w:rsid w:val="000C47BD"/>
    <w:rsid w:val="000C4822"/>
    <w:rsid w:val="000C4976"/>
    <w:rsid w:val="000C4AF6"/>
    <w:rsid w:val="000C5156"/>
    <w:rsid w:val="000C586D"/>
    <w:rsid w:val="000C639A"/>
    <w:rsid w:val="000C661D"/>
    <w:rsid w:val="000C6744"/>
    <w:rsid w:val="000C6ACC"/>
    <w:rsid w:val="000C709B"/>
    <w:rsid w:val="000C723F"/>
    <w:rsid w:val="000C758E"/>
    <w:rsid w:val="000C7A5E"/>
    <w:rsid w:val="000D01D0"/>
    <w:rsid w:val="000D05F3"/>
    <w:rsid w:val="000D0738"/>
    <w:rsid w:val="000D0A30"/>
    <w:rsid w:val="000D0C1D"/>
    <w:rsid w:val="000D0E50"/>
    <w:rsid w:val="000D0FBC"/>
    <w:rsid w:val="000D0FC2"/>
    <w:rsid w:val="000D1158"/>
    <w:rsid w:val="000D14C5"/>
    <w:rsid w:val="000D1AE9"/>
    <w:rsid w:val="000D1B0C"/>
    <w:rsid w:val="000D1BFC"/>
    <w:rsid w:val="000D1C35"/>
    <w:rsid w:val="000D23F5"/>
    <w:rsid w:val="000D2491"/>
    <w:rsid w:val="000D28A8"/>
    <w:rsid w:val="000D2BC3"/>
    <w:rsid w:val="000D3006"/>
    <w:rsid w:val="000D3250"/>
    <w:rsid w:val="000D33DE"/>
    <w:rsid w:val="000D3596"/>
    <w:rsid w:val="000D3697"/>
    <w:rsid w:val="000D39BF"/>
    <w:rsid w:val="000D3E6E"/>
    <w:rsid w:val="000D4115"/>
    <w:rsid w:val="000D446A"/>
    <w:rsid w:val="000D453F"/>
    <w:rsid w:val="000D467F"/>
    <w:rsid w:val="000D471D"/>
    <w:rsid w:val="000D4891"/>
    <w:rsid w:val="000D498B"/>
    <w:rsid w:val="000D49D6"/>
    <w:rsid w:val="000D4A9F"/>
    <w:rsid w:val="000D4BF7"/>
    <w:rsid w:val="000D5438"/>
    <w:rsid w:val="000D55AE"/>
    <w:rsid w:val="000D5DBF"/>
    <w:rsid w:val="000D5ED1"/>
    <w:rsid w:val="000D617C"/>
    <w:rsid w:val="000D6274"/>
    <w:rsid w:val="000D62C4"/>
    <w:rsid w:val="000D6505"/>
    <w:rsid w:val="000D6754"/>
    <w:rsid w:val="000D67D6"/>
    <w:rsid w:val="000D6CF7"/>
    <w:rsid w:val="000D6D83"/>
    <w:rsid w:val="000D6E2A"/>
    <w:rsid w:val="000D6E9C"/>
    <w:rsid w:val="000D6F57"/>
    <w:rsid w:val="000D7654"/>
    <w:rsid w:val="000D7921"/>
    <w:rsid w:val="000D7FC4"/>
    <w:rsid w:val="000D7FE9"/>
    <w:rsid w:val="000E02E7"/>
    <w:rsid w:val="000E06DF"/>
    <w:rsid w:val="000E093B"/>
    <w:rsid w:val="000E166E"/>
    <w:rsid w:val="000E17CC"/>
    <w:rsid w:val="000E17DC"/>
    <w:rsid w:val="000E1981"/>
    <w:rsid w:val="000E1B53"/>
    <w:rsid w:val="000E220E"/>
    <w:rsid w:val="000E23E2"/>
    <w:rsid w:val="000E2483"/>
    <w:rsid w:val="000E2936"/>
    <w:rsid w:val="000E3137"/>
    <w:rsid w:val="000E331F"/>
    <w:rsid w:val="000E3665"/>
    <w:rsid w:val="000E3C6D"/>
    <w:rsid w:val="000E44D3"/>
    <w:rsid w:val="000E4796"/>
    <w:rsid w:val="000E49F0"/>
    <w:rsid w:val="000E4BF0"/>
    <w:rsid w:val="000E4CBA"/>
    <w:rsid w:val="000E4FB6"/>
    <w:rsid w:val="000E509B"/>
    <w:rsid w:val="000E51B4"/>
    <w:rsid w:val="000E54A7"/>
    <w:rsid w:val="000E553B"/>
    <w:rsid w:val="000E55F6"/>
    <w:rsid w:val="000E56A4"/>
    <w:rsid w:val="000E5958"/>
    <w:rsid w:val="000E59C3"/>
    <w:rsid w:val="000E5A1D"/>
    <w:rsid w:val="000E5A74"/>
    <w:rsid w:val="000E5B02"/>
    <w:rsid w:val="000E5B95"/>
    <w:rsid w:val="000E5BAD"/>
    <w:rsid w:val="000E5FA8"/>
    <w:rsid w:val="000E61A4"/>
    <w:rsid w:val="000E62C8"/>
    <w:rsid w:val="000E6599"/>
    <w:rsid w:val="000E6799"/>
    <w:rsid w:val="000E6C3A"/>
    <w:rsid w:val="000E6FC6"/>
    <w:rsid w:val="000E73C4"/>
    <w:rsid w:val="000E76CD"/>
    <w:rsid w:val="000E776E"/>
    <w:rsid w:val="000E78E3"/>
    <w:rsid w:val="000E7A4C"/>
    <w:rsid w:val="000E7CE3"/>
    <w:rsid w:val="000E7F49"/>
    <w:rsid w:val="000E7F8A"/>
    <w:rsid w:val="000E7FBB"/>
    <w:rsid w:val="000F03C7"/>
    <w:rsid w:val="000F053E"/>
    <w:rsid w:val="000F0616"/>
    <w:rsid w:val="000F072B"/>
    <w:rsid w:val="000F0A61"/>
    <w:rsid w:val="000F0E0B"/>
    <w:rsid w:val="000F1D3E"/>
    <w:rsid w:val="000F1DEC"/>
    <w:rsid w:val="000F1F25"/>
    <w:rsid w:val="000F2120"/>
    <w:rsid w:val="000F21E5"/>
    <w:rsid w:val="000F2C9C"/>
    <w:rsid w:val="000F2CD2"/>
    <w:rsid w:val="000F2E79"/>
    <w:rsid w:val="000F327E"/>
    <w:rsid w:val="000F32B9"/>
    <w:rsid w:val="000F33FC"/>
    <w:rsid w:val="000F3568"/>
    <w:rsid w:val="000F36A1"/>
    <w:rsid w:val="000F36FB"/>
    <w:rsid w:val="000F37BF"/>
    <w:rsid w:val="000F3887"/>
    <w:rsid w:val="000F3937"/>
    <w:rsid w:val="000F3938"/>
    <w:rsid w:val="000F3957"/>
    <w:rsid w:val="000F39C6"/>
    <w:rsid w:val="000F39F6"/>
    <w:rsid w:val="000F3D2D"/>
    <w:rsid w:val="000F3F78"/>
    <w:rsid w:val="000F43AF"/>
    <w:rsid w:val="000F48A3"/>
    <w:rsid w:val="000F4BB8"/>
    <w:rsid w:val="000F4FB0"/>
    <w:rsid w:val="000F543E"/>
    <w:rsid w:val="000F5A54"/>
    <w:rsid w:val="000F5DA2"/>
    <w:rsid w:val="000F636A"/>
    <w:rsid w:val="000F63A1"/>
    <w:rsid w:val="000F6671"/>
    <w:rsid w:val="000F6CD8"/>
    <w:rsid w:val="000F6FC3"/>
    <w:rsid w:val="000F7127"/>
    <w:rsid w:val="000F72E2"/>
    <w:rsid w:val="000F79BD"/>
    <w:rsid w:val="000F79FD"/>
    <w:rsid w:val="000F79FE"/>
    <w:rsid w:val="000F7A0B"/>
    <w:rsid w:val="000F7F3A"/>
    <w:rsid w:val="00100AB8"/>
    <w:rsid w:val="00100B09"/>
    <w:rsid w:val="00100B22"/>
    <w:rsid w:val="00100F8A"/>
    <w:rsid w:val="0010128E"/>
    <w:rsid w:val="00101355"/>
    <w:rsid w:val="00101505"/>
    <w:rsid w:val="0010163D"/>
    <w:rsid w:val="0010173E"/>
    <w:rsid w:val="00101A2B"/>
    <w:rsid w:val="00101B56"/>
    <w:rsid w:val="00101B69"/>
    <w:rsid w:val="00101C7D"/>
    <w:rsid w:val="00102127"/>
    <w:rsid w:val="00102641"/>
    <w:rsid w:val="00102A14"/>
    <w:rsid w:val="00102F73"/>
    <w:rsid w:val="001033A8"/>
    <w:rsid w:val="00103457"/>
    <w:rsid w:val="0010380B"/>
    <w:rsid w:val="00103D0C"/>
    <w:rsid w:val="00103F99"/>
    <w:rsid w:val="00104299"/>
    <w:rsid w:val="001049A3"/>
    <w:rsid w:val="00104B81"/>
    <w:rsid w:val="00104BAA"/>
    <w:rsid w:val="00104C47"/>
    <w:rsid w:val="00104C5E"/>
    <w:rsid w:val="00104D80"/>
    <w:rsid w:val="0010505D"/>
    <w:rsid w:val="001051A4"/>
    <w:rsid w:val="0010535D"/>
    <w:rsid w:val="00105954"/>
    <w:rsid w:val="00105A01"/>
    <w:rsid w:val="00105DA3"/>
    <w:rsid w:val="00106109"/>
    <w:rsid w:val="00106745"/>
    <w:rsid w:val="001067C0"/>
    <w:rsid w:val="001068A3"/>
    <w:rsid w:val="00106BCE"/>
    <w:rsid w:val="0010725F"/>
    <w:rsid w:val="00107686"/>
    <w:rsid w:val="001077BA"/>
    <w:rsid w:val="001077DA"/>
    <w:rsid w:val="00107913"/>
    <w:rsid w:val="00107BB3"/>
    <w:rsid w:val="00107DCE"/>
    <w:rsid w:val="00107E89"/>
    <w:rsid w:val="001100E7"/>
    <w:rsid w:val="00110232"/>
    <w:rsid w:val="0011032E"/>
    <w:rsid w:val="001104B9"/>
    <w:rsid w:val="00110577"/>
    <w:rsid w:val="0011066D"/>
    <w:rsid w:val="0011080B"/>
    <w:rsid w:val="00110840"/>
    <w:rsid w:val="00110957"/>
    <w:rsid w:val="00110B76"/>
    <w:rsid w:val="00110F8D"/>
    <w:rsid w:val="0011101C"/>
    <w:rsid w:val="00111208"/>
    <w:rsid w:val="001113AE"/>
    <w:rsid w:val="0011161B"/>
    <w:rsid w:val="001116F2"/>
    <w:rsid w:val="00111CCC"/>
    <w:rsid w:val="00111CDA"/>
    <w:rsid w:val="001124CD"/>
    <w:rsid w:val="00112AF0"/>
    <w:rsid w:val="00112BBC"/>
    <w:rsid w:val="00112DBD"/>
    <w:rsid w:val="00112E47"/>
    <w:rsid w:val="00113117"/>
    <w:rsid w:val="0011331F"/>
    <w:rsid w:val="0011348B"/>
    <w:rsid w:val="0011359E"/>
    <w:rsid w:val="001135FB"/>
    <w:rsid w:val="00113607"/>
    <w:rsid w:val="00114505"/>
    <w:rsid w:val="0011459E"/>
    <w:rsid w:val="001145A9"/>
    <w:rsid w:val="00114BEC"/>
    <w:rsid w:val="00114ED5"/>
    <w:rsid w:val="00115599"/>
    <w:rsid w:val="0011572C"/>
    <w:rsid w:val="00115EDD"/>
    <w:rsid w:val="00116731"/>
    <w:rsid w:val="0011677A"/>
    <w:rsid w:val="00116AFF"/>
    <w:rsid w:val="00116EE0"/>
    <w:rsid w:val="0011757A"/>
    <w:rsid w:val="001175EB"/>
    <w:rsid w:val="00117A34"/>
    <w:rsid w:val="00117BAB"/>
    <w:rsid w:val="00117E93"/>
    <w:rsid w:val="001201A5"/>
    <w:rsid w:val="0012022A"/>
    <w:rsid w:val="0012028D"/>
    <w:rsid w:val="00120476"/>
    <w:rsid w:val="0012052C"/>
    <w:rsid w:val="00120577"/>
    <w:rsid w:val="00120D17"/>
    <w:rsid w:val="00121114"/>
    <w:rsid w:val="0012150D"/>
    <w:rsid w:val="00121673"/>
    <w:rsid w:val="0012168E"/>
    <w:rsid w:val="001216DE"/>
    <w:rsid w:val="00121799"/>
    <w:rsid w:val="00121CC7"/>
    <w:rsid w:val="001222FC"/>
    <w:rsid w:val="001224EC"/>
    <w:rsid w:val="00122D4B"/>
    <w:rsid w:val="00123249"/>
    <w:rsid w:val="00123389"/>
    <w:rsid w:val="001234A1"/>
    <w:rsid w:val="00123592"/>
    <w:rsid w:val="00123BDA"/>
    <w:rsid w:val="00123C8B"/>
    <w:rsid w:val="00123F30"/>
    <w:rsid w:val="00124726"/>
    <w:rsid w:val="00124A51"/>
    <w:rsid w:val="00124C53"/>
    <w:rsid w:val="00125754"/>
    <w:rsid w:val="00126558"/>
    <w:rsid w:val="00126571"/>
    <w:rsid w:val="00126621"/>
    <w:rsid w:val="001269E4"/>
    <w:rsid w:val="001270DD"/>
    <w:rsid w:val="001271F8"/>
    <w:rsid w:val="001274E2"/>
    <w:rsid w:val="00127636"/>
    <w:rsid w:val="001278A5"/>
    <w:rsid w:val="00127962"/>
    <w:rsid w:val="00127E23"/>
    <w:rsid w:val="00127F17"/>
    <w:rsid w:val="00130086"/>
    <w:rsid w:val="001301E9"/>
    <w:rsid w:val="001304DF"/>
    <w:rsid w:val="0013060A"/>
    <w:rsid w:val="001306A7"/>
    <w:rsid w:val="001307A1"/>
    <w:rsid w:val="00130C2E"/>
    <w:rsid w:val="00130D61"/>
    <w:rsid w:val="00131054"/>
    <w:rsid w:val="001312FF"/>
    <w:rsid w:val="00131488"/>
    <w:rsid w:val="00131609"/>
    <w:rsid w:val="00131717"/>
    <w:rsid w:val="0013173B"/>
    <w:rsid w:val="00132186"/>
    <w:rsid w:val="0013221A"/>
    <w:rsid w:val="0013247A"/>
    <w:rsid w:val="00132604"/>
    <w:rsid w:val="0013260C"/>
    <w:rsid w:val="00132676"/>
    <w:rsid w:val="00132751"/>
    <w:rsid w:val="0013289F"/>
    <w:rsid w:val="001328D3"/>
    <w:rsid w:val="00132BEE"/>
    <w:rsid w:val="00132C11"/>
    <w:rsid w:val="001333AF"/>
    <w:rsid w:val="00134250"/>
    <w:rsid w:val="0013456D"/>
    <w:rsid w:val="00134800"/>
    <w:rsid w:val="00135026"/>
    <w:rsid w:val="00135257"/>
    <w:rsid w:val="00135426"/>
    <w:rsid w:val="00135645"/>
    <w:rsid w:val="00135C37"/>
    <w:rsid w:val="0013606D"/>
    <w:rsid w:val="00136119"/>
    <w:rsid w:val="0013653A"/>
    <w:rsid w:val="0013657A"/>
    <w:rsid w:val="00136FB1"/>
    <w:rsid w:val="00137192"/>
    <w:rsid w:val="00137423"/>
    <w:rsid w:val="0013748D"/>
    <w:rsid w:val="00137645"/>
    <w:rsid w:val="001379EB"/>
    <w:rsid w:val="001379EE"/>
    <w:rsid w:val="00137E26"/>
    <w:rsid w:val="00137E82"/>
    <w:rsid w:val="00137ED3"/>
    <w:rsid w:val="0014015A"/>
    <w:rsid w:val="001401D8"/>
    <w:rsid w:val="0014039B"/>
    <w:rsid w:val="001403C7"/>
    <w:rsid w:val="0014047E"/>
    <w:rsid w:val="00140519"/>
    <w:rsid w:val="00140842"/>
    <w:rsid w:val="001408C7"/>
    <w:rsid w:val="00140E99"/>
    <w:rsid w:val="00141306"/>
    <w:rsid w:val="0014164E"/>
    <w:rsid w:val="00141A3B"/>
    <w:rsid w:val="00141C76"/>
    <w:rsid w:val="00141C92"/>
    <w:rsid w:val="00142530"/>
    <w:rsid w:val="001425D0"/>
    <w:rsid w:val="00142EE0"/>
    <w:rsid w:val="00143023"/>
    <w:rsid w:val="001434E0"/>
    <w:rsid w:val="0014350C"/>
    <w:rsid w:val="00143603"/>
    <w:rsid w:val="0014369C"/>
    <w:rsid w:val="00143840"/>
    <w:rsid w:val="00143927"/>
    <w:rsid w:val="00143DEC"/>
    <w:rsid w:val="001441C9"/>
    <w:rsid w:val="00144F22"/>
    <w:rsid w:val="00145540"/>
    <w:rsid w:val="00145615"/>
    <w:rsid w:val="001456B0"/>
    <w:rsid w:val="0014588F"/>
    <w:rsid w:val="00145907"/>
    <w:rsid w:val="00146036"/>
    <w:rsid w:val="00146458"/>
    <w:rsid w:val="0014657A"/>
    <w:rsid w:val="0014698C"/>
    <w:rsid w:val="001469EF"/>
    <w:rsid w:val="00146EDA"/>
    <w:rsid w:val="00147BC4"/>
    <w:rsid w:val="00147F1C"/>
    <w:rsid w:val="00147FDA"/>
    <w:rsid w:val="0015007A"/>
    <w:rsid w:val="00150547"/>
    <w:rsid w:val="001509CE"/>
    <w:rsid w:val="00150B2D"/>
    <w:rsid w:val="00150B9D"/>
    <w:rsid w:val="00150BCF"/>
    <w:rsid w:val="001513FE"/>
    <w:rsid w:val="0015165A"/>
    <w:rsid w:val="00151887"/>
    <w:rsid w:val="001518A6"/>
    <w:rsid w:val="0015218A"/>
    <w:rsid w:val="0015232E"/>
    <w:rsid w:val="00152634"/>
    <w:rsid w:val="001527CD"/>
    <w:rsid w:val="00152924"/>
    <w:rsid w:val="001530AA"/>
    <w:rsid w:val="001537E8"/>
    <w:rsid w:val="00153C37"/>
    <w:rsid w:val="0015412F"/>
    <w:rsid w:val="001541D8"/>
    <w:rsid w:val="001545CA"/>
    <w:rsid w:val="00154C97"/>
    <w:rsid w:val="00154F34"/>
    <w:rsid w:val="001550B0"/>
    <w:rsid w:val="00155971"/>
    <w:rsid w:val="001559EB"/>
    <w:rsid w:val="00155A92"/>
    <w:rsid w:val="00156152"/>
    <w:rsid w:val="0015696A"/>
    <w:rsid w:val="00156A19"/>
    <w:rsid w:val="00156B85"/>
    <w:rsid w:val="00157130"/>
    <w:rsid w:val="00157396"/>
    <w:rsid w:val="00157447"/>
    <w:rsid w:val="00157632"/>
    <w:rsid w:val="00157669"/>
    <w:rsid w:val="001578A4"/>
    <w:rsid w:val="0015795D"/>
    <w:rsid w:val="00157C0E"/>
    <w:rsid w:val="00157FD0"/>
    <w:rsid w:val="0016052E"/>
    <w:rsid w:val="00160795"/>
    <w:rsid w:val="0016081E"/>
    <w:rsid w:val="00160BBD"/>
    <w:rsid w:val="00160F53"/>
    <w:rsid w:val="001614FC"/>
    <w:rsid w:val="00161722"/>
    <w:rsid w:val="001617BB"/>
    <w:rsid w:val="00161E3C"/>
    <w:rsid w:val="001621A9"/>
    <w:rsid w:val="00162425"/>
    <w:rsid w:val="001628AB"/>
    <w:rsid w:val="00162913"/>
    <w:rsid w:val="00162AE0"/>
    <w:rsid w:val="00162BBE"/>
    <w:rsid w:val="00163252"/>
    <w:rsid w:val="00163496"/>
    <w:rsid w:val="0016361D"/>
    <w:rsid w:val="00163A67"/>
    <w:rsid w:val="00163DF7"/>
    <w:rsid w:val="00163EFF"/>
    <w:rsid w:val="00163FD9"/>
    <w:rsid w:val="00164161"/>
    <w:rsid w:val="00164A77"/>
    <w:rsid w:val="00164AC2"/>
    <w:rsid w:val="00165103"/>
    <w:rsid w:val="001651C5"/>
    <w:rsid w:val="00165283"/>
    <w:rsid w:val="001657E0"/>
    <w:rsid w:val="001661FB"/>
    <w:rsid w:val="00166E15"/>
    <w:rsid w:val="00167459"/>
    <w:rsid w:val="00167B18"/>
    <w:rsid w:val="00167B34"/>
    <w:rsid w:val="00167C31"/>
    <w:rsid w:val="00167CC3"/>
    <w:rsid w:val="00167D2D"/>
    <w:rsid w:val="001701DE"/>
    <w:rsid w:val="00170422"/>
    <w:rsid w:val="00170469"/>
    <w:rsid w:val="00170C41"/>
    <w:rsid w:val="00170C87"/>
    <w:rsid w:val="00170DA5"/>
    <w:rsid w:val="0017112D"/>
    <w:rsid w:val="0017160E"/>
    <w:rsid w:val="001717AA"/>
    <w:rsid w:val="001719B8"/>
    <w:rsid w:val="001719E4"/>
    <w:rsid w:val="00171C75"/>
    <w:rsid w:val="00173605"/>
    <w:rsid w:val="001737C5"/>
    <w:rsid w:val="00174425"/>
    <w:rsid w:val="0017442A"/>
    <w:rsid w:val="001748B7"/>
    <w:rsid w:val="00174D43"/>
    <w:rsid w:val="00175100"/>
    <w:rsid w:val="00175113"/>
    <w:rsid w:val="00175311"/>
    <w:rsid w:val="001753E4"/>
    <w:rsid w:val="001756B6"/>
    <w:rsid w:val="00175A94"/>
    <w:rsid w:val="00175C33"/>
    <w:rsid w:val="00175F44"/>
    <w:rsid w:val="00176060"/>
    <w:rsid w:val="001760BF"/>
    <w:rsid w:val="0017652E"/>
    <w:rsid w:val="00176D71"/>
    <w:rsid w:val="00176EA6"/>
    <w:rsid w:val="00177207"/>
    <w:rsid w:val="00177328"/>
    <w:rsid w:val="00177336"/>
    <w:rsid w:val="001773AA"/>
    <w:rsid w:val="001773BF"/>
    <w:rsid w:val="00177657"/>
    <w:rsid w:val="00177A6B"/>
    <w:rsid w:val="00177FA5"/>
    <w:rsid w:val="001807B0"/>
    <w:rsid w:val="00180A39"/>
    <w:rsid w:val="00180DDF"/>
    <w:rsid w:val="0018165E"/>
    <w:rsid w:val="001819D8"/>
    <w:rsid w:val="00181C0D"/>
    <w:rsid w:val="00181E0A"/>
    <w:rsid w:val="001821DE"/>
    <w:rsid w:val="00182516"/>
    <w:rsid w:val="00182610"/>
    <w:rsid w:val="001828EC"/>
    <w:rsid w:val="00182A2D"/>
    <w:rsid w:val="00182BDE"/>
    <w:rsid w:val="00182CD3"/>
    <w:rsid w:val="00182D7A"/>
    <w:rsid w:val="00182F2B"/>
    <w:rsid w:val="00183249"/>
    <w:rsid w:val="001833CC"/>
    <w:rsid w:val="00183523"/>
    <w:rsid w:val="001836BF"/>
    <w:rsid w:val="00183AB5"/>
    <w:rsid w:val="00183B1F"/>
    <w:rsid w:val="00183DA7"/>
    <w:rsid w:val="00184341"/>
    <w:rsid w:val="00184563"/>
    <w:rsid w:val="0018466D"/>
    <w:rsid w:val="00184CF6"/>
    <w:rsid w:val="00184EB8"/>
    <w:rsid w:val="0018519C"/>
    <w:rsid w:val="001854C0"/>
    <w:rsid w:val="00185790"/>
    <w:rsid w:val="00185B03"/>
    <w:rsid w:val="00185D48"/>
    <w:rsid w:val="00185F36"/>
    <w:rsid w:val="001860B2"/>
    <w:rsid w:val="00186A34"/>
    <w:rsid w:val="00186B10"/>
    <w:rsid w:val="00186D7B"/>
    <w:rsid w:val="00186F37"/>
    <w:rsid w:val="00186FDE"/>
    <w:rsid w:val="001871AC"/>
    <w:rsid w:val="0018752F"/>
    <w:rsid w:val="001875F2"/>
    <w:rsid w:val="0018765D"/>
    <w:rsid w:val="00187B3D"/>
    <w:rsid w:val="00187BF1"/>
    <w:rsid w:val="00187DEE"/>
    <w:rsid w:val="00187E13"/>
    <w:rsid w:val="00187F8C"/>
    <w:rsid w:val="00190640"/>
    <w:rsid w:val="00190A73"/>
    <w:rsid w:val="00190A87"/>
    <w:rsid w:val="00190E08"/>
    <w:rsid w:val="00190E3F"/>
    <w:rsid w:val="00191181"/>
    <w:rsid w:val="001914D4"/>
    <w:rsid w:val="001915B6"/>
    <w:rsid w:val="00191644"/>
    <w:rsid w:val="0019166C"/>
    <w:rsid w:val="001918D8"/>
    <w:rsid w:val="00191C58"/>
    <w:rsid w:val="00192492"/>
    <w:rsid w:val="0019279E"/>
    <w:rsid w:val="001928CA"/>
    <w:rsid w:val="00192BAD"/>
    <w:rsid w:val="00192F01"/>
    <w:rsid w:val="001930B0"/>
    <w:rsid w:val="001932D8"/>
    <w:rsid w:val="00193AA1"/>
    <w:rsid w:val="00193D04"/>
    <w:rsid w:val="00193F26"/>
    <w:rsid w:val="00194099"/>
    <w:rsid w:val="00194FFA"/>
    <w:rsid w:val="00195166"/>
    <w:rsid w:val="00195222"/>
    <w:rsid w:val="001952F6"/>
    <w:rsid w:val="00195E40"/>
    <w:rsid w:val="00195F52"/>
    <w:rsid w:val="00196063"/>
    <w:rsid w:val="00196484"/>
    <w:rsid w:val="00196577"/>
    <w:rsid w:val="001966EE"/>
    <w:rsid w:val="0019690B"/>
    <w:rsid w:val="00196CE7"/>
    <w:rsid w:val="00197562"/>
    <w:rsid w:val="001975D8"/>
    <w:rsid w:val="001975EA"/>
    <w:rsid w:val="00197609"/>
    <w:rsid w:val="00197714"/>
    <w:rsid w:val="00197DAE"/>
    <w:rsid w:val="001A00B4"/>
    <w:rsid w:val="001A0379"/>
    <w:rsid w:val="001A0600"/>
    <w:rsid w:val="001A1104"/>
    <w:rsid w:val="001A15BA"/>
    <w:rsid w:val="001A1A79"/>
    <w:rsid w:val="001A1EC5"/>
    <w:rsid w:val="001A221B"/>
    <w:rsid w:val="001A2ADD"/>
    <w:rsid w:val="001A2B4F"/>
    <w:rsid w:val="001A31FF"/>
    <w:rsid w:val="001A361E"/>
    <w:rsid w:val="001A3668"/>
    <w:rsid w:val="001A39E0"/>
    <w:rsid w:val="001A4252"/>
    <w:rsid w:val="001A459A"/>
    <w:rsid w:val="001A46B8"/>
    <w:rsid w:val="001A4D3E"/>
    <w:rsid w:val="001A5180"/>
    <w:rsid w:val="001A5390"/>
    <w:rsid w:val="001A543D"/>
    <w:rsid w:val="001A5483"/>
    <w:rsid w:val="001A57BB"/>
    <w:rsid w:val="001A59B3"/>
    <w:rsid w:val="001A5AC1"/>
    <w:rsid w:val="001A5E78"/>
    <w:rsid w:val="001A6453"/>
    <w:rsid w:val="001A6635"/>
    <w:rsid w:val="001A6D8D"/>
    <w:rsid w:val="001A70D3"/>
    <w:rsid w:val="001A7108"/>
    <w:rsid w:val="001A721D"/>
    <w:rsid w:val="001A72AC"/>
    <w:rsid w:val="001A738B"/>
    <w:rsid w:val="001A7A53"/>
    <w:rsid w:val="001A7CBE"/>
    <w:rsid w:val="001B010A"/>
    <w:rsid w:val="001B03E8"/>
    <w:rsid w:val="001B0797"/>
    <w:rsid w:val="001B0FAD"/>
    <w:rsid w:val="001B0FD7"/>
    <w:rsid w:val="001B126A"/>
    <w:rsid w:val="001B19AE"/>
    <w:rsid w:val="001B19D4"/>
    <w:rsid w:val="001B1AB2"/>
    <w:rsid w:val="001B1BC8"/>
    <w:rsid w:val="001B1EAA"/>
    <w:rsid w:val="001B2081"/>
    <w:rsid w:val="001B21FD"/>
    <w:rsid w:val="001B2374"/>
    <w:rsid w:val="001B2403"/>
    <w:rsid w:val="001B2506"/>
    <w:rsid w:val="001B2546"/>
    <w:rsid w:val="001B2A80"/>
    <w:rsid w:val="001B2F2D"/>
    <w:rsid w:val="001B3197"/>
    <w:rsid w:val="001B3443"/>
    <w:rsid w:val="001B368F"/>
    <w:rsid w:val="001B36CD"/>
    <w:rsid w:val="001B38A1"/>
    <w:rsid w:val="001B397F"/>
    <w:rsid w:val="001B3CDB"/>
    <w:rsid w:val="001B3F25"/>
    <w:rsid w:val="001B4026"/>
    <w:rsid w:val="001B406A"/>
    <w:rsid w:val="001B4AF3"/>
    <w:rsid w:val="001B4C4C"/>
    <w:rsid w:val="001B4CAC"/>
    <w:rsid w:val="001B4F22"/>
    <w:rsid w:val="001B500A"/>
    <w:rsid w:val="001B5379"/>
    <w:rsid w:val="001B5A85"/>
    <w:rsid w:val="001B5E9D"/>
    <w:rsid w:val="001B5F3D"/>
    <w:rsid w:val="001B5FFF"/>
    <w:rsid w:val="001B61A5"/>
    <w:rsid w:val="001B660C"/>
    <w:rsid w:val="001B6963"/>
    <w:rsid w:val="001B6CC9"/>
    <w:rsid w:val="001B6E59"/>
    <w:rsid w:val="001B711B"/>
    <w:rsid w:val="001B724C"/>
    <w:rsid w:val="001B737E"/>
    <w:rsid w:val="001B73F7"/>
    <w:rsid w:val="001B781C"/>
    <w:rsid w:val="001B7836"/>
    <w:rsid w:val="001B7948"/>
    <w:rsid w:val="001B7E20"/>
    <w:rsid w:val="001C006A"/>
    <w:rsid w:val="001C0870"/>
    <w:rsid w:val="001C0993"/>
    <w:rsid w:val="001C0AE1"/>
    <w:rsid w:val="001C0E6E"/>
    <w:rsid w:val="001C0FD8"/>
    <w:rsid w:val="001C14DE"/>
    <w:rsid w:val="001C1546"/>
    <w:rsid w:val="001C1595"/>
    <w:rsid w:val="001C165E"/>
    <w:rsid w:val="001C19C0"/>
    <w:rsid w:val="001C1B93"/>
    <w:rsid w:val="001C1FED"/>
    <w:rsid w:val="001C200E"/>
    <w:rsid w:val="001C211D"/>
    <w:rsid w:val="001C2575"/>
    <w:rsid w:val="001C2662"/>
    <w:rsid w:val="001C29B3"/>
    <w:rsid w:val="001C31C4"/>
    <w:rsid w:val="001C329A"/>
    <w:rsid w:val="001C3A4E"/>
    <w:rsid w:val="001C4347"/>
    <w:rsid w:val="001C45F2"/>
    <w:rsid w:val="001C4757"/>
    <w:rsid w:val="001C47C4"/>
    <w:rsid w:val="001C4ACA"/>
    <w:rsid w:val="001C4FBE"/>
    <w:rsid w:val="001C51F5"/>
    <w:rsid w:val="001C523A"/>
    <w:rsid w:val="001C5417"/>
    <w:rsid w:val="001C57B0"/>
    <w:rsid w:val="001C5870"/>
    <w:rsid w:val="001C5A56"/>
    <w:rsid w:val="001C5AAC"/>
    <w:rsid w:val="001C5F76"/>
    <w:rsid w:val="001C6184"/>
    <w:rsid w:val="001C6387"/>
    <w:rsid w:val="001C6717"/>
    <w:rsid w:val="001C6815"/>
    <w:rsid w:val="001C6BDC"/>
    <w:rsid w:val="001C6E66"/>
    <w:rsid w:val="001C766D"/>
    <w:rsid w:val="001C7B9B"/>
    <w:rsid w:val="001C7D37"/>
    <w:rsid w:val="001C7E74"/>
    <w:rsid w:val="001D0537"/>
    <w:rsid w:val="001D0548"/>
    <w:rsid w:val="001D0A0F"/>
    <w:rsid w:val="001D0ACE"/>
    <w:rsid w:val="001D0C6C"/>
    <w:rsid w:val="001D1003"/>
    <w:rsid w:val="001D10E5"/>
    <w:rsid w:val="001D12C6"/>
    <w:rsid w:val="001D17E0"/>
    <w:rsid w:val="001D17E7"/>
    <w:rsid w:val="001D1892"/>
    <w:rsid w:val="001D18E7"/>
    <w:rsid w:val="001D1C2F"/>
    <w:rsid w:val="001D1D5E"/>
    <w:rsid w:val="001D1E02"/>
    <w:rsid w:val="001D21EE"/>
    <w:rsid w:val="001D2494"/>
    <w:rsid w:val="001D2514"/>
    <w:rsid w:val="001D2711"/>
    <w:rsid w:val="001D2767"/>
    <w:rsid w:val="001D28DB"/>
    <w:rsid w:val="001D2E02"/>
    <w:rsid w:val="001D3153"/>
    <w:rsid w:val="001D378B"/>
    <w:rsid w:val="001D37FC"/>
    <w:rsid w:val="001D3BE4"/>
    <w:rsid w:val="001D3C88"/>
    <w:rsid w:val="001D3CB2"/>
    <w:rsid w:val="001D3E4F"/>
    <w:rsid w:val="001D4373"/>
    <w:rsid w:val="001D4D59"/>
    <w:rsid w:val="001D534D"/>
    <w:rsid w:val="001D54B3"/>
    <w:rsid w:val="001D5BB4"/>
    <w:rsid w:val="001D5D12"/>
    <w:rsid w:val="001D5D57"/>
    <w:rsid w:val="001D5F15"/>
    <w:rsid w:val="001D5FBF"/>
    <w:rsid w:val="001D605F"/>
    <w:rsid w:val="001D6113"/>
    <w:rsid w:val="001D62C6"/>
    <w:rsid w:val="001D638C"/>
    <w:rsid w:val="001D66E7"/>
    <w:rsid w:val="001D69BA"/>
    <w:rsid w:val="001D6A4E"/>
    <w:rsid w:val="001D6B9C"/>
    <w:rsid w:val="001D6B9F"/>
    <w:rsid w:val="001D6CC6"/>
    <w:rsid w:val="001D71FB"/>
    <w:rsid w:val="001D721A"/>
    <w:rsid w:val="001D76BE"/>
    <w:rsid w:val="001D7BB3"/>
    <w:rsid w:val="001D7E4B"/>
    <w:rsid w:val="001E00FB"/>
    <w:rsid w:val="001E012A"/>
    <w:rsid w:val="001E0244"/>
    <w:rsid w:val="001E06D0"/>
    <w:rsid w:val="001E0A96"/>
    <w:rsid w:val="001E115C"/>
    <w:rsid w:val="001E1509"/>
    <w:rsid w:val="001E1CE5"/>
    <w:rsid w:val="001E2085"/>
    <w:rsid w:val="001E2215"/>
    <w:rsid w:val="001E2388"/>
    <w:rsid w:val="001E238E"/>
    <w:rsid w:val="001E2B1E"/>
    <w:rsid w:val="001E2C83"/>
    <w:rsid w:val="001E2CE0"/>
    <w:rsid w:val="001E2E20"/>
    <w:rsid w:val="001E3473"/>
    <w:rsid w:val="001E3560"/>
    <w:rsid w:val="001E3876"/>
    <w:rsid w:val="001E3E6A"/>
    <w:rsid w:val="001E3EE8"/>
    <w:rsid w:val="001E4088"/>
    <w:rsid w:val="001E4706"/>
    <w:rsid w:val="001E4852"/>
    <w:rsid w:val="001E52EB"/>
    <w:rsid w:val="001E5769"/>
    <w:rsid w:val="001E57FB"/>
    <w:rsid w:val="001E589A"/>
    <w:rsid w:val="001E6232"/>
    <w:rsid w:val="001E63E0"/>
    <w:rsid w:val="001E661B"/>
    <w:rsid w:val="001E66E5"/>
    <w:rsid w:val="001E66F7"/>
    <w:rsid w:val="001E6765"/>
    <w:rsid w:val="001E6811"/>
    <w:rsid w:val="001E6B45"/>
    <w:rsid w:val="001E6B84"/>
    <w:rsid w:val="001E718D"/>
    <w:rsid w:val="001E740C"/>
    <w:rsid w:val="001E7561"/>
    <w:rsid w:val="001F01DD"/>
    <w:rsid w:val="001F02E6"/>
    <w:rsid w:val="001F0CE4"/>
    <w:rsid w:val="001F1235"/>
    <w:rsid w:val="001F1447"/>
    <w:rsid w:val="001F167B"/>
    <w:rsid w:val="001F1737"/>
    <w:rsid w:val="001F18F7"/>
    <w:rsid w:val="001F1CB3"/>
    <w:rsid w:val="001F24D4"/>
    <w:rsid w:val="001F2BE6"/>
    <w:rsid w:val="001F2F22"/>
    <w:rsid w:val="001F30B5"/>
    <w:rsid w:val="001F32DA"/>
    <w:rsid w:val="001F32E1"/>
    <w:rsid w:val="001F361F"/>
    <w:rsid w:val="001F3644"/>
    <w:rsid w:val="001F3975"/>
    <w:rsid w:val="001F426E"/>
    <w:rsid w:val="001F447C"/>
    <w:rsid w:val="001F45C7"/>
    <w:rsid w:val="001F46B4"/>
    <w:rsid w:val="001F4F32"/>
    <w:rsid w:val="001F50F3"/>
    <w:rsid w:val="001F55EE"/>
    <w:rsid w:val="001F5B00"/>
    <w:rsid w:val="001F5C23"/>
    <w:rsid w:val="001F5C74"/>
    <w:rsid w:val="001F5F8C"/>
    <w:rsid w:val="001F6121"/>
    <w:rsid w:val="001F62C2"/>
    <w:rsid w:val="001F6ADD"/>
    <w:rsid w:val="001F6D74"/>
    <w:rsid w:val="001F71B2"/>
    <w:rsid w:val="001F7296"/>
    <w:rsid w:val="001F7361"/>
    <w:rsid w:val="001F7487"/>
    <w:rsid w:val="001F7781"/>
    <w:rsid w:val="001F77C7"/>
    <w:rsid w:val="001F7C19"/>
    <w:rsid w:val="001F7C6E"/>
    <w:rsid w:val="001F7D2D"/>
    <w:rsid w:val="001F7D30"/>
    <w:rsid w:val="001F7DD5"/>
    <w:rsid w:val="001F7E90"/>
    <w:rsid w:val="001F7EC7"/>
    <w:rsid w:val="0020019B"/>
    <w:rsid w:val="0020047C"/>
    <w:rsid w:val="00200553"/>
    <w:rsid w:val="0020059C"/>
    <w:rsid w:val="0020065A"/>
    <w:rsid w:val="00200A41"/>
    <w:rsid w:val="00200BDB"/>
    <w:rsid w:val="00200CFD"/>
    <w:rsid w:val="00200D59"/>
    <w:rsid w:val="0020110F"/>
    <w:rsid w:val="00201118"/>
    <w:rsid w:val="00201552"/>
    <w:rsid w:val="0020188E"/>
    <w:rsid w:val="002019E4"/>
    <w:rsid w:val="00201E6E"/>
    <w:rsid w:val="00202694"/>
    <w:rsid w:val="002027BE"/>
    <w:rsid w:val="00202B66"/>
    <w:rsid w:val="002033AD"/>
    <w:rsid w:val="0020385F"/>
    <w:rsid w:val="00203F90"/>
    <w:rsid w:val="00204545"/>
    <w:rsid w:val="0020484E"/>
    <w:rsid w:val="002048E2"/>
    <w:rsid w:val="00204B40"/>
    <w:rsid w:val="00204E39"/>
    <w:rsid w:val="002055AC"/>
    <w:rsid w:val="00205675"/>
    <w:rsid w:val="00205794"/>
    <w:rsid w:val="00205A27"/>
    <w:rsid w:val="00206B8B"/>
    <w:rsid w:val="00206BAE"/>
    <w:rsid w:val="00206EA6"/>
    <w:rsid w:val="00206ECF"/>
    <w:rsid w:val="00207021"/>
    <w:rsid w:val="0020758B"/>
    <w:rsid w:val="0020780F"/>
    <w:rsid w:val="00207BFC"/>
    <w:rsid w:val="00207C5B"/>
    <w:rsid w:val="00207CAC"/>
    <w:rsid w:val="00207D00"/>
    <w:rsid w:val="00207D84"/>
    <w:rsid w:val="00210559"/>
    <w:rsid w:val="00210580"/>
    <w:rsid w:val="002105C1"/>
    <w:rsid w:val="00210F24"/>
    <w:rsid w:val="00211017"/>
    <w:rsid w:val="002111D0"/>
    <w:rsid w:val="002117E2"/>
    <w:rsid w:val="00211BA2"/>
    <w:rsid w:val="00211E97"/>
    <w:rsid w:val="0021203A"/>
    <w:rsid w:val="00212265"/>
    <w:rsid w:val="0021235F"/>
    <w:rsid w:val="00212616"/>
    <w:rsid w:val="0021270C"/>
    <w:rsid w:val="002127A1"/>
    <w:rsid w:val="00212AE1"/>
    <w:rsid w:val="00212BB5"/>
    <w:rsid w:val="00213224"/>
    <w:rsid w:val="0021367E"/>
    <w:rsid w:val="002140C4"/>
    <w:rsid w:val="00214311"/>
    <w:rsid w:val="00214839"/>
    <w:rsid w:val="00214A0F"/>
    <w:rsid w:val="00214A8F"/>
    <w:rsid w:val="00214C20"/>
    <w:rsid w:val="00214F21"/>
    <w:rsid w:val="002150AD"/>
    <w:rsid w:val="002150DE"/>
    <w:rsid w:val="00215153"/>
    <w:rsid w:val="00215227"/>
    <w:rsid w:val="0021568B"/>
    <w:rsid w:val="002156DD"/>
    <w:rsid w:val="0021595B"/>
    <w:rsid w:val="00215B0F"/>
    <w:rsid w:val="00215DAA"/>
    <w:rsid w:val="00215EF5"/>
    <w:rsid w:val="00215F67"/>
    <w:rsid w:val="00216196"/>
    <w:rsid w:val="00216495"/>
    <w:rsid w:val="0021649B"/>
    <w:rsid w:val="002165BB"/>
    <w:rsid w:val="00216766"/>
    <w:rsid w:val="00216DAD"/>
    <w:rsid w:val="00217441"/>
    <w:rsid w:val="002176A6"/>
    <w:rsid w:val="00217740"/>
    <w:rsid w:val="00217791"/>
    <w:rsid w:val="002179DF"/>
    <w:rsid w:val="002205BF"/>
    <w:rsid w:val="0022060A"/>
    <w:rsid w:val="0022076E"/>
    <w:rsid w:val="00220951"/>
    <w:rsid w:val="00220AE2"/>
    <w:rsid w:val="00220B5B"/>
    <w:rsid w:val="00221061"/>
    <w:rsid w:val="00221361"/>
    <w:rsid w:val="00221385"/>
    <w:rsid w:val="0022151F"/>
    <w:rsid w:val="00221951"/>
    <w:rsid w:val="00221E11"/>
    <w:rsid w:val="00221E83"/>
    <w:rsid w:val="00221EB5"/>
    <w:rsid w:val="00221F06"/>
    <w:rsid w:val="002220DB"/>
    <w:rsid w:val="0022268E"/>
    <w:rsid w:val="00222782"/>
    <w:rsid w:val="00222BB9"/>
    <w:rsid w:val="00222C4F"/>
    <w:rsid w:val="002231F0"/>
    <w:rsid w:val="002232E2"/>
    <w:rsid w:val="00223681"/>
    <w:rsid w:val="002237A8"/>
    <w:rsid w:val="00223818"/>
    <w:rsid w:val="00223829"/>
    <w:rsid w:val="00223B49"/>
    <w:rsid w:val="00223F6F"/>
    <w:rsid w:val="00224161"/>
    <w:rsid w:val="002249F8"/>
    <w:rsid w:val="00224A48"/>
    <w:rsid w:val="00224B9C"/>
    <w:rsid w:val="00224DD4"/>
    <w:rsid w:val="00224F52"/>
    <w:rsid w:val="002252D8"/>
    <w:rsid w:val="00225E09"/>
    <w:rsid w:val="002265C5"/>
    <w:rsid w:val="00226AB0"/>
    <w:rsid w:val="00226EB1"/>
    <w:rsid w:val="00227065"/>
    <w:rsid w:val="0022720A"/>
    <w:rsid w:val="002274AB"/>
    <w:rsid w:val="0022773A"/>
    <w:rsid w:val="00227861"/>
    <w:rsid w:val="00227EA2"/>
    <w:rsid w:val="0023043B"/>
    <w:rsid w:val="0023066F"/>
    <w:rsid w:val="002307E5"/>
    <w:rsid w:val="002309CC"/>
    <w:rsid w:val="002309DF"/>
    <w:rsid w:val="00230D67"/>
    <w:rsid w:val="0023133B"/>
    <w:rsid w:val="0023187F"/>
    <w:rsid w:val="00231EDD"/>
    <w:rsid w:val="00231FB7"/>
    <w:rsid w:val="002322CD"/>
    <w:rsid w:val="002325A4"/>
    <w:rsid w:val="002325E3"/>
    <w:rsid w:val="002327AB"/>
    <w:rsid w:val="00232A76"/>
    <w:rsid w:val="00232C2A"/>
    <w:rsid w:val="00233432"/>
    <w:rsid w:val="00233865"/>
    <w:rsid w:val="00233873"/>
    <w:rsid w:val="002343B2"/>
    <w:rsid w:val="00234610"/>
    <w:rsid w:val="00234779"/>
    <w:rsid w:val="002349AA"/>
    <w:rsid w:val="00234B6D"/>
    <w:rsid w:val="00234CF4"/>
    <w:rsid w:val="00234FD0"/>
    <w:rsid w:val="00235A7A"/>
    <w:rsid w:val="00235CEA"/>
    <w:rsid w:val="00236086"/>
    <w:rsid w:val="00236176"/>
    <w:rsid w:val="002361F8"/>
    <w:rsid w:val="0023690B"/>
    <w:rsid w:val="0023702B"/>
    <w:rsid w:val="00237259"/>
    <w:rsid w:val="002377D3"/>
    <w:rsid w:val="00237C1C"/>
    <w:rsid w:val="00237DFC"/>
    <w:rsid w:val="002406AD"/>
    <w:rsid w:val="00240906"/>
    <w:rsid w:val="00240A01"/>
    <w:rsid w:val="00241042"/>
    <w:rsid w:val="002410D1"/>
    <w:rsid w:val="002411D8"/>
    <w:rsid w:val="00241276"/>
    <w:rsid w:val="0024135C"/>
    <w:rsid w:val="002415AF"/>
    <w:rsid w:val="002416DA"/>
    <w:rsid w:val="002417E1"/>
    <w:rsid w:val="00241B6D"/>
    <w:rsid w:val="0024208E"/>
    <w:rsid w:val="00242344"/>
    <w:rsid w:val="0024294B"/>
    <w:rsid w:val="00242BED"/>
    <w:rsid w:val="002439CC"/>
    <w:rsid w:val="00243BE7"/>
    <w:rsid w:val="00243D2F"/>
    <w:rsid w:val="00244169"/>
    <w:rsid w:val="002442F5"/>
    <w:rsid w:val="00244373"/>
    <w:rsid w:val="00244737"/>
    <w:rsid w:val="00244D66"/>
    <w:rsid w:val="00245097"/>
    <w:rsid w:val="0024517D"/>
    <w:rsid w:val="002452D3"/>
    <w:rsid w:val="00245357"/>
    <w:rsid w:val="00245473"/>
    <w:rsid w:val="00245855"/>
    <w:rsid w:val="00245BC2"/>
    <w:rsid w:val="00245BDF"/>
    <w:rsid w:val="00245FED"/>
    <w:rsid w:val="002465AC"/>
    <w:rsid w:val="00246851"/>
    <w:rsid w:val="00246A2D"/>
    <w:rsid w:val="00246C4C"/>
    <w:rsid w:val="00246E31"/>
    <w:rsid w:val="002471C8"/>
    <w:rsid w:val="00247338"/>
    <w:rsid w:val="00247343"/>
    <w:rsid w:val="002474E6"/>
    <w:rsid w:val="002475CC"/>
    <w:rsid w:val="0024791F"/>
    <w:rsid w:val="002479C1"/>
    <w:rsid w:val="00247AD8"/>
    <w:rsid w:val="00247DEA"/>
    <w:rsid w:val="00247FE7"/>
    <w:rsid w:val="002504C2"/>
    <w:rsid w:val="0025091B"/>
    <w:rsid w:val="00250E2D"/>
    <w:rsid w:val="00251155"/>
    <w:rsid w:val="002517B2"/>
    <w:rsid w:val="0025193D"/>
    <w:rsid w:val="00251BD2"/>
    <w:rsid w:val="00251F20"/>
    <w:rsid w:val="00251F9D"/>
    <w:rsid w:val="00252573"/>
    <w:rsid w:val="00252E68"/>
    <w:rsid w:val="00252EAF"/>
    <w:rsid w:val="00252FD3"/>
    <w:rsid w:val="0025330B"/>
    <w:rsid w:val="00253338"/>
    <w:rsid w:val="00253339"/>
    <w:rsid w:val="00253494"/>
    <w:rsid w:val="00253648"/>
    <w:rsid w:val="002536A1"/>
    <w:rsid w:val="002536C5"/>
    <w:rsid w:val="0025386B"/>
    <w:rsid w:val="00253975"/>
    <w:rsid w:val="0025399A"/>
    <w:rsid w:val="002539CA"/>
    <w:rsid w:val="00253B9F"/>
    <w:rsid w:val="00253D7A"/>
    <w:rsid w:val="00253DAF"/>
    <w:rsid w:val="00253E21"/>
    <w:rsid w:val="00253E74"/>
    <w:rsid w:val="00254B75"/>
    <w:rsid w:val="00254D50"/>
    <w:rsid w:val="00254DCF"/>
    <w:rsid w:val="00255346"/>
    <w:rsid w:val="0025534B"/>
    <w:rsid w:val="0025534E"/>
    <w:rsid w:val="00255832"/>
    <w:rsid w:val="002559E4"/>
    <w:rsid w:val="00255AA3"/>
    <w:rsid w:val="00255BB7"/>
    <w:rsid w:val="00255C28"/>
    <w:rsid w:val="002560D8"/>
    <w:rsid w:val="002564DD"/>
    <w:rsid w:val="0025659E"/>
    <w:rsid w:val="002565D6"/>
    <w:rsid w:val="00256B47"/>
    <w:rsid w:val="00256BB5"/>
    <w:rsid w:val="00256BEF"/>
    <w:rsid w:val="00256EBD"/>
    <w:rsid w:val="00257089"/>
    <w:rsid w:val="00257305"/>
    <w:rsid w:val="00257710"/>
    <w:rsid w:val="00257728"/>
    <w:rsid w:val="002579DE"/>
    <w:rsid w:val="0026033D"/>
    <w:rsid w:val="0026049C"/>
    <w:rsid w:val="00260524"/>
    <w:rsid w:val="002606F6"/>
    <w:rsid w:val="0026096C"/>
    <w:rsid w:val="00260CB2"/>
    <w:rsid w:val="00260EA1"/>
    <w:rsid w:val="0026112C"/>
    <w:rsid w:val="002612F6"/>
    <w:rsid w:val="00261300"/>
    <w:rsid w:val="00261408"/>
    <w:rsid w:val="002617C4"/>
    <w:rsid w:val="00261E67"/>
    <w:rsid w:val="0026235C"/>
    <w:rsid w:val="00262457"/>
    <w:rsid w:val="002625D4"/>
    <w:rsid w:val="002627FE"/>
    <w:rsid w:val="00262967"/>
    <w:rsid w:val="00262A87"/>
    <w:rsid w:val="00262AD4"/>
    <w:rsid w:val="00262B3A"/>
    <w:rsid w:val="002631E0"/>
    <w:rsid w:val="002632C8"/>
    <w:rsid w:val="002634E9"/>
    <w:rsid w:val="002640F0"/>
    <w:rsid w:val="002642EA"/>
    <w:rsid w:val="00264444"/>
    <w:rsid w:val="00264C2B"/>
    <w:rsid w:val="00264DE4"/>
    <w:rsid w:val="00264EE0"/>
    <w:rsid w:val="00265601"/>
    <w:rsid w:val="00265AAB"/>
    <w:rsid w:val="00265D81"/>
    <w:rsid w:val="00266390"/>
    <w:rsid w:val="0026639A"/>
    <w:rsid w:val="0026668D"/>
    <w:rsid w:val="0026692D"/>
    <w:rsid w:val="00266F2F"/>
    <w:rsid w:val="00266F43"/>
    <w:rsid w:val="002670EF"/>
    <w:rsid w:val="00267228"/>
    <w:rsid w:val="00267291"/>
    <w:rsid w:val="002676D5"/>
    <w:rsid w:val="00267963"/>
    <w:rsid w:val="0026796E"/>
    <w:rsid w:val="00267983"/>
    <w:rsid w:val="00267A7B"/>
    <w:rsid w:val="00267DFB"/>
    <w:rsid w:val="0027035A"/>
    <w:rsid w:val="002705B1"/>
    <w:rsid w:val="00270649"/>
    <w:rsid w:val="002706C0"/>
    <w:rsid w:val="002706EF"/>
    <w:rsid w:val="002707D8"/>
    <w:rsid w:val="002715EB"/>
    <w:rsid w:val="0027195A"/>
    <w:rsid w:val="002722CA"/>
    <w:rsid w:val="002726A7"/>
    <w:rsid w:val="00272716"/>
    <w:rsid w:val="00273314"/>
    <w:rsid w:val="00273574"/>
    <w:rsid w:val="00273978"/>
    <w:rsid w:val="002740A5"/>
    <w:rsid w:val="0027411A"/>
    <w:rsid w:val="002748FE"/>
    <w:rsid w:val="002749EA"/>
    <w:rsid w:val="00274D96"/>
    <w:rsid w:val="002750E3"/>
    <w:rsid w:val="002751BE"/>
    <w:rsid w:val="00275344"/>
    <w:rsid w:val="0027565E"/>
    <w:rsid w:val="00275676"/>
    <w:rsid w:val="002756D9"/>
    <w:rsid w:val="00275764"/>
    <w:rsid w:val="002757FA"/>
    <w:rsid w:val="00275900"/>
    <w:rsid w:val="00275B0D"/>
    <w:rsid w:val="00275C5A"/>
    <w:rsid w:val="00275F84"/>
    <w:rsid w:val="002763B2"/>
    <w:rsid w:val="00276583"/>
    <w:rsid w:val="00276887"/>
    <w:rsid w:val="00276D34"/>
    <w:rsid w:val="00276D98"/>
    <w:rsid w:val="00276E8B"/>
    <w:rsid w:val="0027710E"/>
    <w:rsid w:val="00277257"/>
    <w:rsid w:val="00277D43"/>
    <w:rsid w:val="00280504"/>
    <w:rsid w:val="002806DA"/>
    <w:rsid w:val="0028099B"/>
    <w:rsid w:val="00281014"/>
    <w:rsid w:val="00281559"/>
    <w:rsid w:val="00281804"/>
    <w:rsid w:val="002818A2"/>
    <w:rsid w:val="00281995"/>
    <w:rsid w:val="00281B47"/>
    <w:rsid w:val="00281E6E"/>
    <w:rsid w:val="00282163"/>
    <w:rsid w:val="0028239E"/>
    <w:rsid w:val="0028240D"/>
    <w:rsid w:val="002825FA"/>
    <w:rsid w:val="00282617"/>
    <w:rsid w:val="00282759"/>
    <w:rsid w:val="00282901"/>
    <w:rsid w:val="00282D6B"/>
    <w:rsid w:val="00283110"/>
    <w:rsid w:val="002831E3"/>
    <w:rsid w:val="00283205"/>
    <w:rsid w:val="00283282"/>
    <w:rsid w:val="002837C0"/>
    <w:rsid w:val="002838C5"/>
    <w:rsid w:val="00283985"/>
    <w:rsid w:val="00283B11"/>
    <w:rsid w:val="00283C75"/>
    <w:rsid w:val="00284089"/>
    <w:rsid w:val="00284927"/>
    <w:rsid w:val="0028498C"/>
    <w:rsid w:val="00284A80"/>
    <w:rsid w:val="00284D40"/>
    <w:rsid w:val="00284DC2"/>
    <w:rsid w:val="00284F20"/>
    <w:rsid w:val="00285100"/>
    <w:rsid w:val="002858EC"/>
    <w:rsid w:val="00285C32"/>
    <w:rsid w:val="00285F57"/>
    <w:rsid w:val="002867B0"/>
    <w:rsid w:val="00286C6F"/>
    <w:rsid w:val="00286DC3"/>
    <w:rsid w:val="00286FDC"/>
    <w:rsid w:val="00287016"/>
    <w:rsid w:val="0028732F"/>
    <w:rsid w:val="0028746C"/>
    <w:rsid w:val="0028754F"/>
    <w:rsid w:val="00287847"/>
    <w:rsid w:val="00287BFA"/>
    <w:rsid w:val="00287D48"/>
    <w:rsid w:val="00290054"/>
    <w:rsid w:val="00290544"/>
    <w:rsid w:val="00290560"/>
    <w:rsid w:val="00290939"/>
    <w:rsid w:val="00290DB9"/>
    <w:rsid w:val="00291174"/>
    <w:rsid w:val="00291374"/>
    <w:rsid w:val="00291CD7"/>
    <w:rsid w:val="0029204D"/>
    <w:rsid w:val="0029227D"/>
    <w:rsid w:val="002925D5"/>
    <w:rsid w:val="00292C53"/>
    <w:rsid w:val="002934B4"/>
    <w:rsid w:val="00293580"/>
    <w:rsid w:val="00293653"/>
    <w:rsid w:val="00293796"/>
    <w:rsid w:val="002938B6"/>
    <w:rsid w:val="002939E4"/>
    <w:rsid w:val="00293B3B"/>
    <w:rsid w:val="00293C35"/>
    <w:rsid w:val="00294331"/>
    <w:rsid w:val="0029436F"/>
    <w:rsid w:val="00294693"/>
    <w:rsid w:val="002947C5"/>
    <w:rsid w:val="00294872"/>
    <w:rsid w:val="002949B8"/>
    <w:rsid w:val="002949F7"/>
    <w:rsid w:val="00294C68"/>
    <w:rsid w:val="00294D5B"/>
    <w:rsid w:val="00295308"/>
    <w:rsid w:val="00295629"/>
    <w:rsid w:val="002957D7"/>
    <w:rsid w:val="00295823"/>
    <w:rsid w:val="0029599E"/>
    <w:rsid w:val="00295C5C"/>
    <w:rsid w:val="00295D13"/>
    <w:rsid w:val="00295D38"/>
    <w:rsid w:val="00295EA4"/>
    <w:rsid w:val="00296181"/>
    <w:rsid w:val="00296229"/>
    <w:rsid w:val="00296462"/>
    <w:rsid w:val="00296590"/>
    <w:rsid w:val="002969E2"/>
    <w:rsid w:val="00296C65"/>
    <w:rsid w:val="00296E0B"/>
    <w:rsid w:val="00296F8E"/>
    <w:rsid w:val="0029749B"/>
    <w:rsid w:val="0029766C"/>
    <w:rsid w:val="002A0084"/>
    <w:rsid w:val="002A016C"/>
    <w:rsid w:val="002A05B1"/>
    <w:rsid w:val="002A0A72"/>
    <w:rsid w:val="002A0DAE"/>
    <w:rsid w:val="002A1148"/>
    <w:rsid w:val="002A14AB"/>
    <w:rsid w:val="002A14D5"/>
    <w:rsid w:val="002A1BF0"/>
    <w:rsid w:val="002A1FF2"/>
    <w:rsid w:val="002A259E"/>
    <w:rsid w:val="002A2626"/>
    <w:rsid w:val="002A2882"/>
    <w:rsid w:val="002A289D"/>
    <w:rsid w:val="002A2E00"/>
    <w:rsid w:val="002A2EEE"/>
    <w:rsid w:val="002A3244"/>
    <w:rsid w:val="002A32C8"/>
    <w:rsid w:val="002A395E"/>
    <w:rsid w:val="002A3A64"/>
    <w:rsid w:val="002A3DF8"/>
    <w:rsid w:val="002A3FB9"/>
    <w:rsid w:val="002A4250"/>
    <w:rsid w:val="002A4604"/>
    <w:rsid w:val="002A4682"/>
    <w:rsid w:val="002A4760"/>
    <w:rsid w:val="002A4A0B"/>
    <w:rsid w:val="002A4D25"/>
    <w:rsid w:val="002A4F36"/>
    <w:rsid w:val="002A525D"/>
    <w:rsid w:val="002A56EC"/>
    <w:rsid w:val="002A5810"/>
    <w:rsid w:val="002A5874"/>
    <w:rsid w:val="002A5AA2"/>
    <w:rsid w:val="002A5FE6"/>
    <w:rsid w:val="002A606A"/>
    <w:rsid w:val="002A6071"/>
    <w:rsid w:val="002A64FE"/>
    <w:rsid w:val="002A65FF"/>
    <w:rsid w:val="002A6970"/>
    <w:rsid w:val="002A6985"/>
    <w:rsid w:val="002A6AE1"/>
    <w:rsid w:val="002A6CBD"/>
    <w:rsid w:val="002A6F17"/>
    <w:rsid w:val="002A768B"/>
    <w:rsid w:val="002A7BB3"/>
    <w:rsid w:val="002A7C65"/>
    <w:rsid w:val="002A7F2D"/>
    <w:rsid w:val="002B0135"/>
    <w:rsid w:val="002B045C"/>
    <w:rsid w:val="002B050D"/>
    <w:rsid w:val="002B09E4"/>
    <w:rsid w:val="002B0CC3"/>
    <w:rsid w:val="002B11AF"/>
    <w:rsid w:val="002B15FB"/>
    <w:rsid w:val="002B16F2"/>
    <w:rsid w:val="002B18AD"/>
    <w:rsid w:val="002B1C1F"/>
    <w:rsid w:val="002B1E51"/>
    <w:rsid w:val="002B200C"/>
    <w:rsid w:val="002B2826"/>
    <w:rsid w:val="002B29F2"/>
    <w:rsid w:val="002B2A01"/>
    <w:rsid w:val="002B2B49"/>
    <w:rsid w:val="002B2BF3"/>
    <w:rsid w:val="002B2EC3"/>
    <w:rsid w:val="002B2EE8"/>
    <w:rsid w:val="002B31BE"/>
    <w:rsid w:val="002B32E4"/>
    <w:rsid w:val="002B3507"/>
    <w:rsid w:val="002B3B9C"/>
    <w:rsid w:val="002B40A3"/>
    <w:rsid w:val="002B432F"/>
    <w:rsid w:val="002B4515"/>
    <w:rsid w:val="002B46AA"/>
    <w:rsid w:val="002B47DF"/>
    <w:rsid w:val="002B4874"/>
    <w:rsid w:val="002B48FB"/>
    <w:rsid w:val="002B4E45"/>
    <w:rsid w:val="002B5633"/>
    <w:rsid w:val="002B5A7F"/>
    <w:rsid w:val="002B5AFA"/>
    <w:rsid w:val="002B5E4A"/>
    <w:rsid w:val="002B5F8F"/>
    <w:rsid w:val="002B5FFD"/>
    <w:rsid w:val="002B61D2"/>
    <w:rsid w:val="002B6471"/>
    <w:rsid w:val="002B6507"/>
    <w:rsid w:val="002B6C38"/>
    <w:rsid w:val="002B6C3F"/>
    <w:rsid w:val="002B6CCE"/>
    <w:rsid w:val="002B6FAA"/>
    <w:rsid w:val="002B76B0"/>
    <w:rsid w:val="002B7A4A"/>
    <w:rsid w:val="002B7AAA"/>
    <w:rsid w:val="002C00FD"/>
    <w:rsid w:val="002C0333"/>
    <w:rsid w:val="002C03AE"/>
    <w:rsid w:val="002C041E"/>
    <w:rsid w:val="002C0D15"/>
    <w:rsid w:val="002C0E3B"/>
    <w:rsid w:val="002C100B"/>
    <w:rsid w:val="002C1158"/>
    <w:rsid w:val="002C148F"/>
    <w:rsid w:val="002C14A4"/>
    <w:rsid w:val="002C159E"/>
    <w:rsid w:val="002C18AB"/>
    <w:rsid w:val="002C18F5"/>
    <w:rsid w:val="002C1A1C"/>
    <w:rsid w:val="002C1B14"/>
    <w:rsid w:val="002C1B77"/>
    <w:rsid w:val="002C1BDD"/>
    <w:rsid w:val="002C2183"/>
    <w:rsid w:val="002C2775"/>
    <w:rsid w:val="002C27C1"/>
    <w:rsid w:val="002C2B16"/>
    <w:rsid w:val="002C3064"/>
    <w:rsid w:val="002C309C"/>
    <w:rsid w:val="002C3102"/>
    <w:rsid w:val="002C379D"/>
    <w:rsid w:val="002C39E8"/>
    <w:rsid w:val="002C3AC4"/>
    <w:rsid w:val="002C3BB8"/>
    <w:rsid w:val="002C3ED5"/>
    <w:rsid w:val="002C3F12"/>
    <w:rsid w:val="002C3F9D"/>
    <w:rsid w:val="002C46A2"/>
    <w:rsid w:val="002C4E48"/>
    <w:rsid w:val="002C590C"/>
    <w:rsid w:val="002C619B"/>
    <w:rsid w:val="002C6264"/>
    <w:rsid w:val="002C634E"/>
    <w:rsid w:val="002C652C"/>
    <w:rsid w:val="002C6681"/>
    <w:rsid w:val="002C68A7"/>
    <w:rsid w:val="002C6A0B"/>
    <w:rsid w:val="002C6C5B"/>
    <w:rsid w:val="002C6D08"/>
    <w:rsid w:val="002C6F9C"/>
    <w:rsid w:val="002C714E"/>
    <w:rsid w:val="002C7168"/>
    <w:rsid w:val="002C7200"/>
    <w:rsid w:val="002C728A"/>
    <w:rsid w:val="002C7392"/>
    <w:rsid w:val="002C74C3"/>
    <w:rsid w:val="002C7739"/>
    <w:rsid w:val="002C79B2"/>
    <w:rsid w:val="002C7B8D"/>
    <w:rsid w:val="002C7BCA"/>
    <w:rsid w:val="002D04B3"/>
    <w:rsid w:val="002D05AD"/>
    <w:rsid w:val="002D06CC"/>
    <w:rsid w:val="002D0A79"/>
    <w:rsid w:val="002D0F2A"/>
    <w:rsid w:val="002D1A21"/>
    <w:rsid w:val="002D1ABC"/>
    <w:rsid w:val="002D1C49"/>
    <w:rsid w:val="002D1CE1"/>
    <w:rsid w:val="002D1EEB"/>
    <w:rsid w:val="002D1FA8"/>
    <w:rsid w:val="002D21D8"/>
    <w:rsid w:val="002D2253"/>
    <w:rsid w:val="002D27DC"/>
    <w:rsid w:val="002D2EA0"/>
    <w:rsid w:val="002D2F39"/>
    <w:rsid w:val="002D3806"/>
    <w:rsid w:val="002D3B02"/>
    <w:rsid w:val="002D3BB3"/>
    <w:rsid w:val="002D3BCF"/>
    <w:rsid w:val="002D4145"/>
    <w:rsid w:val="002D488C"/>
    <w:rsid w:val="002D4AA8"/>
    <w:rsid w:val="002D5137"/>
    <w:rsid w:val="002D5153"/>
    <w:rsid w:val="002D52D4"/>
    <w:rsid w:val="002D548C"/>
    <w:rsid w:val="002D54AA"/>
    <w:rsid w:val="002D54FB"/>
    <w:rsid w:val="002D5780"/>
    <w:rsid w:val="002D5C39"/>
    <w:rsid w:val="002D5F58"/>
    <w:rsid w:val="002D62C7"/>
    <w:rsid w:val="002D66C5"/>
    <w:rsid w:val="002D69E6"/>
    <w:rsid w:val="002D6BD6"/>
    <w:rsid w:val="002D6D7F"/>
    <w:rsid w:val="002D7132"/>
    <w:rsid w:val="002D7527"/>
    <w:rsid w:val="002D76CA"/>
    <w:rsid w:val="002E0299"/>
    <w:rsid w:val="002E06FD"/>
    <w:rsid w:val="002E0A08"/>
    <w:rsid w:val="002E0A2F"/>
    <w:rsid w:val="002E0C48"/>
    <w:rsid w:val="002E13FD"/>
    <w:rsid w:val="002E14AE"/>
    <w:rsid w:val="002E14E3"/>
    <w:rsid w:val="002E1901"/>
    <w:rsid w:val="002E1F07"/>
    <w:rsid w:val="002E2205"/>
    <w:rsid w:val="002E2C5A"/>
    <w:rsid w:val="002E2C7B"/>
    <w:rsid w:val="002E2F62"/>
    <w:rsid w:val="002E31F8"/>
    <w:rsid w:val="002E3535"/>
    <w:rsid w:val="002E35FC"/>
    <w:rsid w:val="002E3EC9"/>
    <w:rsid w:val="002E4E37"/>
    <w:rsid w:val="002E4EAD"/>
    <w:rsid w:val="002E5136"/>
    <w:rsid w:val="002E51F3"/>
    <w:rsid w:val="002E51F4"/>
    <w:rsid w:val="002E538F"/>
    <w:rsid w:val="002E584A"/>
    <w:rsid w:val="002E5C1C"/>
    <w:rsid w:val="002E5DC8"/>
    <w:rsid w:val="002E5F40"/>
    <w:rsid w:val="002E69A2"/>
    <w:rsid w:val="002E69E2"/>
    <w:rsid w:val="002E6A87"/>
    <w:rsid w:val="002E6B90"/>
    <w:rsid w:val="002E6BA5"/>
    <w:rsid w:val="002E6CE0"/>
    <w:rsid w:val="002E6CEF"/>
    <w:rsid w:val="002E6E34"/>
    <w:rsid w:val="002E73DB"/>
    <w:rsid w:val="002E74F9"/>
    <w:rsid w:val="002E7921"/>
    <w:rsid w:val="002F0F22"/>
    <w:rsid w:val="002F0FAB"/>
    <w:rsid w:val="002F1239"/>
    <w:rsid w:val="002F1251"/>
    <w:rsid w:val="002F16DC"/>
    <w:rsid w:val="002F19DA"/>
    <w:rsid w:val="002F1C7F"/>
    <w:rsid w:val="002F229B"/>
    <w:rsid w:val="002F2693"/>
    <w:rsid w:val="002F2845"/>
    <w:rsid w:val="002F36E1"/>
    <w:rsid w:val="002F395E"/>
    <w:rsid w:val="002F3B49"/>
    <w:rsid w:val="002F3C3B"/>
    <w:rsid w:val="002F3DF4"/>
    <w:rsid w:val="002F41D8"/>
    <w:rsid w:val="002F42CB"/>
    <w:rsid w:val="002F46ED"/>
    <w:rsid w:val="002F4919"/>
    <w:rsid w:val="002F4F39"/>
    <w:rsid w:val="002F5C88"/>
    <w:rsid w:val="002F5D1A"/>
    <w:rsid w:val="002F61ED"/>
    <w:rsid w:val="002F669C"/>
    <w:rsid w:val="002F679A"/>
    <w:rsid w:val="002F7615"/>
    <w:rsid w:val="002F783D"/>
    <w:rsid w:val="002F7A0F"/>
    <w:rsid w:val="002F7AA3"/>
    <w:rsid w:val="003008BA"/>
    <w:rsid w:val="0030093D"/>
    <w:rsid w:val="00300A17"/>
    <w:rsid w:val="00300AAD"/>
    <w:rsid w:val="00300DE9"/>
    <w:rsid w:val="00301017"/>
    <w:rsid w:val="003012E2"/>
    <w:rsid w:val="00301467"/>
    <w:rsid w:val="0030146A"/>
    <w:rsid w:val="00301477"/>
    <w:rsid w:val="00301582"/>
    <w:rsid w:val="003016B8"/>
    <w:rsid w:val="00301908"/>
    <w:rsid w:val="00301936"/>
    <w:rsid w:val="00301CE3"/>
    <w:rsid w:val="00301DCE"/>
    <w:rsid w:val="00302298"/>
    <w:rsid w:val="003023D3"/>
    <w:rsid w:val="00302727"/>
    <w:rsid w:val="0030286F"/>
    <w:rsid w:val="00302C2B"/>
    <w:rsid w:val="00302EAF"/>
    <w:rsid w:val="00303513"/>
    <w:rsid w:val="00303526"/>
    <w:rsid w:val="003035EE"/>
    <w:rsid w:val="00303EC9"/>
    <w:rsid w:val="0030431B"/>
    <w:rsid w:val="00304DA7"/>
    <w:rsid w:val="00305431"/>
    <w:rsid w:val="00305458"/>
    <w:rsid w:val="0030550A"/>
    <w:rsid w:val="00305684"/>
    <w:rsid w:val="003056BE"/>
    <w:rsid w:val="00305B83"/>
    <w:rsid w:val="00305DA9"/>
    <w:rsid w:val="00305E63"/>
    <w:rsid w:val="0030614C"/>
    <w:rsid w:val="00306292"/>
    <w:rsid w:val="003065B0"/>
    <w:rsid w:val="00306917"/>
    <w:rsid w:val="00306B90"/>
    <w:rsid w:val="00306D1B"/>
    <w:rsid w:val="00306DBE"/>
    <w:rsid w:val="00306E2E"/>
    <w:rsid w:val="00306EB1"/>
    <w:rsid w:val="0030760F"/>
    <w:rsid w:val="0030786C"/>
    <w:rsid w:val="00310229"/>
    <w:rsid w:val="00310316"/>
    <w:rsid w:val="0031031A"/>
    <w:rsid w:val="0031039B"/>
    <w:rsid w:val="00310630"/>
    <w:rsid w:val="00310775"/>
    <w:rsid w:val="0031081E"/>
    <w:rsid w:val="003108AF"/>
    <w:rsid w:val="00310981"/>
    <w:rsid w:val="00310D26"/>
    <w:rsid w:val="003112CF"/>
    <w:rsid w:val="0031147A"/>
    <w:rsid w:val="00311712"/>
    <w:rsid w:val="00311741"/>
    <w:rsid w:val="00311949"/>
    <w:rsid w:val="0031241F"/>
    <w:rsid w:val="003125BD"/>
    <w:rsid w:val="00313274"/>
    <w:rsid w:val="0031329D"/>
    <w:rsid w:val="0031355A"/>
    <w:rsid w:val="0031377B"/>
    <w:rsid w:val="00313BCF"/>
    <w:rsid w:val="00313C8E"/>
    <w:rsid w:val="00313FA1"/>
    <w:rsid w:val="00314315"/>
    <w:rsid w:val="00314829"/>
    <w:rsid w:val="0031494E"/>
    <w:rsid w:val="00314AA0"/>
    <w:rsid w:val="00314FF0"/>
    <w:rsid w:val="00315498"/>
    <w:rsid w:val="00315627"/>
    <w:rsid w:val="003158B0"/>
    <w:rsid w:val="003158F0"/>
    <w:rsid w:val="003159FB"/>
    <w:rsid w:val="00315A61"/>
    <w:rsid w:val="00315EB3"/>
    <w:rsid w:val="00315F7C"/>
    <w:rsid w:val="00315F92"/>
    <w:rsid w:val="00316105"/>
    <w:rsid w:val="0031637C"/>
    <w:rsid w:val="00316550"/>
    <w:rsid w:val="00316A4A"/>
    <w:rsid w:val="00316FCC"/>
    <w:rsid w:val="00317215"/>
    <w:rsid w:val="00317322"/>
    <w:rsid w:val="00317391"/>
    <w:rsid w:val="00317571"/>
    <w:rsid w:val="003179DB"/>
    <w:rsid w:val="00317C20"/>
    <w:rsid w:val="003201AA"/>
    <w:rsid w:val="0032021B"/>
    <w:rsid w:val="00320817"/>
    <w:rsid w:val="00320F6F"/>
    <w:rsid w:val="00320FC3"/>
    <w:rsid w:val="00321179"/>
    <w:rsid w:val="00321328"/>
    <w:rsid w:val="003214B9"/>
    <w:rsid w:val="0032168F"/>
    <w:rsid w:val="0032227A"/>
    <w:rsid w:val="0032235C"/>
    <w:rsid w:val="00322F1F"/>
    <w:rsid w:val="00323237"/>
    <w:rsid w:val="003232E8"/>
    <w:rsid w:val="0032338B"/>
    <w:rsid w:val="003233DE"/>
    <w:rsid w:val="00323592"/>
    <w:rsid w:val="003236CB"/>
    <w:rsid w:val="00323A2C"/>
    <w:rsid w:val="00323ABE"/>
    <w:rsid w:val="00323AEC"/>
    <w:rsid w:val="00323B45"/>
    <w:rsid w:val="00323B7E"/>
    <w:rsid w:val="00323E5E"/>
    <w:rsid w:val="00324061"/>
    <w:rsid w:val="00324D32"/>
    <w:rsid w:val="00325068"/>
    <w:rsid w:val="003250D8"/>
    <w:rsid w:val="00325548"/>
    <w:rsid w:val="003255F1"/>
    <w:rsid w:val="00325760"/>
    <w:rsid w:val="00325F09"/>
    <w:rsid w:val="00326469"/>
    <w:rsid w:val="003265FA"/>
    <w:rsid w:val="00326604"/>
    <w:rsid w:val="00326C01"/>
    <w:rsid w:val="00326C34"/>
    <w:rsid w:val="00326CDE"/>
    <w:rsid w:val="00326ED6"/>
    <w:rsid w:val="003275EE"/>
    <w:rsid w:val="00327977"/>
    <w:rsid w:val="00327A1D"/>
    <w:rsid w:val="00327B67"/>
    <w:rsid w:val="00327BD9"/>
    <w:rsid w:val="00327FA3"/>
    <w:rsid w:val="00330066"/>
    <w:rsid w:val="003302F3"/>
    <w:rsid w:val="00330A90"/>
    <w:rsid w:val="00330FE3"/>
    <w:rsid w:val="003313A1"/>
    <w:rsid w:val="003313C3"/>
    <w:rsid w:val="003313DD"/>
    <w:rsid w:val="00331A7F"/>
    <w:rsid w:val="00331DEB"/>
    <w:rsid w:val="00331F84"/>
    <w:rsid w:val="0033201D"/>
    <w:rsid w:val="00332352"/>
    <w:rsid w:val="00332FE5"/>
    <w:rsid w:val="0033320B"/>
    <w:rsid w:val="003332CD"/>
    <w:rsid w:val="00333383"/>
    <w:rsid w:val="00333CA2"/>
    <w:rsid w:val="00333CEF"/>
    <w:rsid w:val="00333FDF"/>
    <w:rsid w:val="003340D3"/>
    <w:rsid w:val="00334529"/>
    <w:rsid w:val="00334595"/>
    <w:rsid w:val="003348DC"/>
    <w:rsid w:val="00334FB9"/>
    <w:rsid w:val="003351F1"/>
    <w:rsid w:val="0033529C"/>
    <w:rsid w:val="00335575"/>
    <w:rsid w:val="003359EF"/>
    <w:rsid w:val="00335D59"/>
    <w:rsid w:val="00335D98"/>
    <w:rsid w:val="00335F11"/>
    <w:rsid w:val="003363BA"/>
    <w:rsid w:val="003365B2"/>
    <w:rsid w:val="003366C9"/>
    <w:rsid w:val="00336A4E"/>
    <w:rsid w:val="00336FFD"/>
    <w:rsid w:val="00337064"/>
    <w:rsid w:val="003371B0"/>
    <w:rsid w:val="003372C7"/>
    <w:rsid w:val="0033760A"/>
    <w:rsid w:val="003377B7"/>
    <w:rsid w:val="0033787C"/>
    <w:rsid w:val="003378E6"/>
    <w:rsid w:val="00337B8C"/>
    <w:rsid w:val="00337D2A"/>
    <w:rsid w:val="00337D54"/>
    <w:rsid w:val="00337D69"/>
    <w:rsid w:val="00340002"/>
    <w:rsid w:val="0034004F"/>
    <w:rsid w:val="00340697"/>
    <w:rsid w:val="0034072C"/>
    <w:rsid w:val="00340AA7"/>
    <w:rsid w:val="00340FC4"/>
    <w:rsid w:val="00341454"/>
    <w:rsid w:val="003414C2"/>
    <w:rsid w:val="003414EE"/>
    <w:rsid w:val="00341A96"/>
    <w:rsid w:val="00342300"/>
    <w:rsid w:val="003423C6"/>
    <w:rsid w:val="00342C58"/>
    <w:rsid w:val="003430CF"/>
    <w:rsid w:val="0034314C"/>
    <w:rsid w:val="003437C7"/>
    <w:rsid w:val="00343B5D"/>
    <w:rsid w:val="003445FE"/>
    <w:rsid w:val="003447E4"/>
    <w:rsid w:val="00344912"/>
    <w:rsid w:val="003449B8"/>
    <w:rsid w:val="00344EA9"/>
    <w:rsid w:val="003453CD"/>
    <w:rsid w:val="0034542C"/>
    <w:rsid w:val="00345659"/>
    <w:rsid w:val="003459E4"/>
    <w:rsid w:val="00345DD7"/>
    <w:rsid w:val="00345FD3"/>
    <w:rsid w:val="00346050"/>
    <w:rsid w:val="003460EB"/>
    <w:rsid w:val="00346207"/>
    <w:rsid w:val="00346670"/>
    <w:rsid w:val="003466F0"/>
    <w:rsid w:val="003466F3"/>
    <w:rsid w:val="00346858"/>
    <w:rsid w:val="00346881"/>
    <w:rsid w:val="00346D79"/>
    <w:rsid w:val="00346EEF"/>
    <w:rsid w:val="00346F98"/>
    <w:rsid w:val="0034710B"/>
    <w:rsid w:val="003478C8"/>
    <w:rsid w:val="00347900"/>
    <w:rsid w:val="003479AA"/>
    <w:rsid w:val="00347B24"/>
    <w:rsid w:val="00347E5F"/>
    <w:rsid w:val="00347F81"/>
    <w:rsid w:val="003503DA"/>
    <w:rsid w:val="00350430"/>
    <w:rsid w:val="003504DA"/>
    <w:rsid w:val="0035060F"/>
    <w:rsid w:val="00350675"/>
    <w:rsid w:val="00350D43"/>
    <w:rsid w:val="00350D86"/>
    <w:rsid w:val="003510AB"/>
    <w:rsid w:val="003511F3"/>
    <w:rsid w:val="003512B0"/>
    <w:rsid w:val="00351506"/>
    <w:rsid w:val="00351617"/>
    <w:rsid w:val="00351971"/>
    <w:rsid w:val="00351B72"/>
    <w:rsid w:val="00351FA2"/>
    <w:rsid w:val="00352A3E"/>
    <w:rsid w:val="00352B45"/>
    <w:rsid w:val="00352BDF"/>
    <w:rsid w:val="00352C71"/>
    <w:rsid w:val="00352D6A"/>
    <w:rsid w:val="00352F68"/>
    <w:rsid w:val="00353309"/>
    <w:rsid w:val="00353810"/>
    <w:rsid w:val="003538F8"/>
    <w:rsid w:val="00353E70"/>
    <w:rsid w:val="00353F2B"/>
    <w:rsid w:val="00353F31"/>
    <w:rsid w:val="00353F83"/>
    <w:rsid w:val="0035414A"/>
    <w:rsid w:val="0035476D"/>
    <w:rsid w:val="00354FB8"/>
    <w:rsid w:val="003553A3"/>
    <w:rsid w:val="00355743"/>
    <w:rsid w:val="00355A71"/>
    <w:rsid w:val="00355B97"/>
    <w:rsid w:val="00355CCF"/>
    <w:rsid w:val="00355E1B"/>
    <w:rsid w:val="00355EDD"/>
    <w:rsid w:val="0035620E"/>
    <w:rsid w:val="003562B3"/>
    <w:rsid w:val="00356777"/>
    <w:rsid w:val="0035689A"/>
    <w:rsid w:val="00356BE6"/>
    <w:rsid w:val="00356FC6"/>
    <w:rsid w:val="00357E85"/>
    <w:rsid w:val="00360231"/>
    <w:rsid w:val="003604EE"/>
    <w:rsid w:val="003606B5"/>
    <w:rsid w:val="0036111B"/>
    <w:rsid w:val="00361146"/>
    <w:rsid w:val="003614F4"/>
    <w:rsid w:val="00361661"/>
    <w:rsid w:val="0036194D"/>
    <w:rsid w:val="00361DDD"/>
    <w:rsid w:val="00361FE7"/>
    <w:rsid w:val="00362326"/>
    <w:rsid w:val="00362444"/>
    <w:rsid w:val="00362987"/>
    <w:rsid w:val="00362F67"/>
    <w:rsid w:val="0036329F"/>
    <w:rsid w:val="003636FB"/>
    <w:rsid w:val="00363B24"/>
    <w:rsid w:val="00363CBA"/>
    <w:rsid w:val="00363D3C"/>
    <w:rsid w:val="00363F18"/>
    <w:rsid w:val="00364273"/>
    <w:rsid w:val="00364456"/>
    <w:rsid w:val="003649B7"/>
    <w:rsid w:val="003649C1"/>
    <w:rsid w:val="00364D03"/>
    <w:rsid w:val="00364DFF"/>
    <w:rsid w:val="00365099"/>
    <w:rsid w:val="003650A5"/>
    <w:rsid w:val="0036512A"/>
    <w:rsid w:val="003652C7"/>
    <w:rsid w:val="003654E0"/>
    <w:rsid w:val="00365615"/>
    <w:rsid w:val="0036566A"/>
    <w:rsid w:val="003656EF"/>
    <w:rsid w:val="00365EA7"/>
    <w:rsid w:val="00365F9D"/>
    <w:rsid w:val="00365FB6"/>
    <w:rsid w:val="00366338"/>
    <w:rsid w:val="00366A1E"/>
    <w:rsid w:val="00366C6E"/>
    <w:rsid w:val="00366C8D"/>
    <w:rsid w:val="00366DD7"/>
    <w:rsid w:val="003674D8"/>
    <w:rsid w:val="00367523"/>
    <w:rsid w:val="00367577"/>
    <w:rsid w:val="00367698"/>
    <w:rsid w:val="003676BB"/>
    <w:rsid w:val="00367839"/>
    <w:rsid w:val="00367A11"/>
    <w:rsid w:val="00367B4F"/>
    <w:rsid w:val="00367F28"/>
    <w:rsid w:val="00370002"/>
    <w:rsid w:val="003701DC"/>
    <w:rsid w:val="00370271"/>
    <w:rsid w:val="003705B6"/>
    <w:rsid w:val="003706D4"/>
    <w:rsid w:val="003708BA"/>
    <w:rsid w:val="00370A57"/>
    <w:rsid w:val="00370A6A"/>
    <w:rsid w:val="003715A5"/>
    <w:rsid w:val="00371A1C"/>
    <w:rsid w:val="003725DB"/>
    <w:rsid w:val="00372983"/>
    <w:rsid w:val="00372B5C"/>
    <w:rsid w:val="00372FA2"/>
    <w:rsid w:val="00373069"/>
    <w:rsid w:val="00373750"/>
    <w:rsid w:val="003737D1"/>
    <w:rsid w:val="00373C10"/>
    <w:rsid w:val="00373CCA"/>
    <w:rsid w:val="003743D5"/>
    <w:rsid w:val="00374A4F"/>
    <w:rsid w:val="00374CC7"/>
    <w:rsid w:val="00374E42"/>
    <w:rsid w:val="00374E5B"/>
    <w:rsid w:val="00375124"/>
    <w:rsid w:val="00375174"/>
    <w:rsid w:val="003756EC"/>
    <w:rsid w:val="00375A0A"/>
    <w:rsid w:val="00375B71"/>
    <w:rsid w:val="00375E9D"/>
    <w:rsid w:val="00375F7A"/>
    <w:rsid w:val="00375FF3"/>
    <w:rsid w:val="0037635C"/>
    <w:rsid w:val="003764A3"/>
    <w:rsid w:val="003764EA"/>
    <w:rsid w:val="003767E5"/>
    <w:rsid w:val="00376A12"/>
    <w:rsid w:val="00376E68"/>
    <w:rsid w:val="00377169"/>
    <w:rsid w:val="003774C0"/>
    <w:rsid w:val="00377610"/>
    <w:rsid w:val="00377F7B"/>
    <w:rsid w:val="00380090"/>
    <w:rsid w:val="003802AB"/>
    <w:rsid w:val="00380517"/>
    <w:rsid w:val="00380749"/>
    <w:rsid w:val="00380915"/>
    <w:rsid w:val="00380991"/>
    <w:rsid w:val="00380BA4"/>
    <w:rsid w:val="00380FA1"/>
    <w:rsid w:val="00380FB0"/>
    <w:rsid w:val="003813A7"/>
    <w:rsid w:val="00381410"/>
    <w:rsid w:val="00381520"/>
    <w:rsid w:val="00382DF0"/>
    <w:rsid w:val="00383535"/>
    <w:rsid w:val="00383618"/>
    <w:rsid w:val="0038365C"/>
    <w:rsid w:val="003838EC"/>
    <w:rsid w:val="00384242"/>
    <w:rsid w:val="00384D45"/>
    <w:rsid w:val="00385198"/>
    <w:rsid w:val="00385295"/>
    <w:rsid w:val="003853F6"/>
    <w:rsid w:val="00385AB1"/>
    <w:rsid w:val="00385F26"/>
    <w:rsid w:val="00386063"/>
    <w:rsid w:val="003860E3"/>
    <w:rsid w:val="00386214"/>
    <w:rsid w:val="00386265"/>
    <w:rsid w:val="003864F9"/>
    <w:rsid w:val="0038658F"/>
    <w:rsid w:val="00386F07"/>
    <w:rsid w:val="0038715C"/>
    <w:rsid w:val="0038732F"/>
    <w:rsid w:val="003874D9"/>
    <w:rsid w:val="00387897"/>
    <w:rsid w:val="00387A35"/>
    <w:rsid w:val="00387B78"/>
    <w:rsid w:val="00387D52"/>
    <w:rsid w:val="00387FC4"/>
    <w:rsid w:val="003903D7"/>
    <w:rsid w:val="003903F7"/>
    <w:rsid w:val="003906E1"/>
    <w:rsid w:val="0039071C"/>
    <w:rsid w:val="00390B76"/>
    <w:rsid w:val="00390BA5"/>
    <w:rsid w:val="0039106A"/>
    <w:rsid w:val="0039171A"/>
    <w:rsid w:val="003919AA"/>
    <w:rsid w:val="00391AA3"/>
    <w:rsid w:val="00391BC0"/>
    <w:rsid w:val="00392211"/>
    <w:rsid w:val="003922D7"/>
    <w:rsid w:val="003927DA"/>
    <w:rsid w:val="00392BA0"/>
    <w:rsid w:val="00393293"/>
    <w:rsid w:val="0039364A"/>
    <w:rsid w:val="00393A02"/>
    <w:rsid w:val="00393BFF"/>
    <w:rsid w:val="00394064"/>
    <w:rsid w:val="00394197"/>
    <w:rsid w:val="003944DF"/>
    <w:rsid w:val="003945BB"/>
    <w:rsid w:val="00394656"/>
    <w:rsid w:val="003946EF"/>
    <w:rsid w:val="00394822"/>
    <w:rsid w:val="00395093"/>
    <w:rsid w:val="00395410"/>
    <w:rsid w:val="003959CE"/>
    <w:rsid w:val="00395A83"/>
    <w:rsid w:val="00395CC6"/>
    <w:rsid w:val="00396156"/>
    <w:rsid w:val="003961AE"/>
    <w:rsid w:val="003962DA"/>
    <w:rsid w:val="00396F00"/>
    <w:rsid w:val="00396FD0"/>
    <w:rsid w:val="0039723E"/>
    <w:rsid w:val="00397482"/>
    <w:rsid w:val="003974E5"/>
    <w:rsid w:val="0039772E"/>
    <w:rsid w:val="003978D2"/>
    <w:rsid w:val="00397948"/>
    <w:rsid w:val="00397A09"/>
    <w:rsid w:val="003A00E1"/>
    <w:rsid w:val="003A0387"/>
    <w:rsid w:val="003A082A"/>
    <w:rsid w:val="003A08A6"/>
    <w:rsid w:val="003A0F32"/>
    <w:rsid w:val="003A1174"/>
    <w:rsid w:val="003A139A"/>
    <w:rsid w:val="003A1658"/>
    <w:rsid w:val="003A17F4"/>
    <w:rsid w:val="003A1A7A"/>
    <w:rsid w:val="003A2028"/>
    <w:rsid w:val="003A2256"/>
    <w:rsid w:val="003A2594"/>
    <w:rsid w:val="003A285A"/>
    <w:rsid w:val="003A2DD7"/>
    <w:rsid w:val="003A325D"/>
    <w:rsid w:val="003A3682"/>
    <w:rsid w:val="003A369B"/>
    <w:rsid w:val="003A3716"/>
    <w:rsid w:val="003A371F"/>
    <w:rsid w:val="003A416D"/>
    <w:rsid w:val="003A4233"/>
    <w:rsid w:val="003A488F"/>
    <w:rsid w:val="003A4B72"/>
    <w:rsid w:val="003A4BD9"/>
    <w:rsid w:val="003A4D2A"/>
    <w:rsid w:val="003A4F5E"/>
    <w:rsid w:val="003A4FE1"/>
    <w:rsid w:val="003A5079"/>
    <w:rsid w:val="003A510D"/>
    <w:rsid w:val="003A56DE"/>
    <w:rsid w:val="003A5AAE"/>
    <w:rsid w:val="003A5DB3"/>
    <w:rsid w:val="003A5F37"/>
    <w:rsid w:val="003A6051"/>
    <w:rsid w:val="003A6084"/>
    <w:rsid w:val="003A617E"/>
    <w:rsid w:val="003A61AF"/>
    <w:rsid w:val="003A6920"/>
    <w:rsid w:val="003A693A"/>
    <w:rsid w:val="003A6950"/>
    <w:rsid w:val="003A6A82"/>
    <w:rsid w:val="003A6B31"/>
    <w:rsid w:val="003A6F3F"/>
    <w:rsid w:val="003A7131"/>
    <w:rsid w:val="003A7441"/>
    <w:rsid w:val="003A765E"/>
    <w:rsid w:val="003A78AB"/>
    <w:rsid w:val="003B01E7"/>
    <w:rsid w:val="003B07A8"/>
    <w:rsid w:val="003B0980"/>
    <w:rsid w:val="003B09DF"/>
    <w:rsid w:val="003B0B80"/>
    <w:rsid w:val="003B0F22"/>
    <w:rsid w:val="003B0F81"/>
    <w:rsid w:val="003B1210"/>
    <w:rsid w:val="003B1584"/>
    <w:rsid w:val="003B16F8"/>
    <w:rsid w:val="003B1A71"/>
    <w:rsid w:val="003B21F8"/>
    <w:rsid w:val="003B221C"/>
    <w:rsid w:val="003B22C9"/>
    <w:rsid w:val="003B24EF"/>
    <w:rsid w:val="003B2ABE"/>
    <w:rsid w:val="003B2E7F"/>
    <w:rsid w:val="003B3344"/>
    <w:rsid w:val="003B34DF"/>
    <w:rsid w:val="003B34E1"/>
    <w:rsid w:val="003B35A1"/>
    <w:rsid w:val="003B37B6"/>
    <w:rsid w:val="003B3B8B"/>
    <w:rsid w:val="003B3FDE"/>
    <w:rsid w:val="003B45CC"/>
    <w:rsid w:val="003B45DB"/>
    <w:rsid w:val="003B4608"/>
    <w:rsid w:val="003B46CB"/>
    <w:rsid w:val="003B47AE"/>
    <w:rsid w:val="003B5567"/>
    <w:rsid w:val="003B5785"/>
    <w:rsid w:val="003B5787"/>
    <w:rsid w:val="003B59ED"/>
    <w:rsid w:val="003B59F7"/>
    <w:rsid w:val="003B5AA1"/>
    <w:rsid w:val="003B5DA9"/>
    <w:rsid w:val="003B60C7"/>
    <w:rsid w:val="003B6253"/>
    <w:rsid w:val="003B64E7"/>
    <w:rsid w:val="003B68A0"/>
    <w:rsid w:val="003B68F1"/>
    <w:rsid w:val="003B6A0B"/>
    <w:rsid w:val="003B6D63"/>
    <w:rsid w:val="003B7082"/>
    <w:rsid w:val="003B7129"/>
    <w:rsid w:val="003B717C"/>
    <w:rsid w:val="003B744E"/>
    <w:rsid w:val="003B7755"/>
    <w:rsid w:val="003B7794"/>
    <w:rsid w:val="003B7940"/>
    <w:rsid w:val="003B7BFE"/>
    <w:rsid w:val="003B7CFB"/>
    <w:rsid w:val="003B7E92"/>
    <w:rsid w:val="003C01B8"/>
    <w:rsid w:val="003C0484"/>
    <w:rsid w:val="003C0990"/>
    <w:rsid w:val="003C12A1"/>
    <w:rsid w:val="003C15B3"/>
    <w:rsid w:val="003C18D0"/>
    <w:rsid w:val="003C1D43"/>
    <w:rsid w:val="003C23B2"/>
    <w:rsid w:val="003C2606"/>
    <w:rsid w:val="003C2BAE"/>
    <w:rsid w:val="003C3466"/>
    <w:rsid w:val="003C3DDC"/>
    <w:rsid w:val="003C4819"/>
    <w:rsid w:val="003C49AA"/>
    <w:rsid w:val="003C4ED7"/>
    <w:rsid w:val="003C529C"/>
    <w:rsid w:val="003C52D1"/>
    <w:rsid w:val="003C55BF"/>
    <w:rsid w:val="003C5670"/>
    <w:rsid w:val="003C57EF"/>
    <w:rsid w:val="003C58BB"/>
    <w:rsid w:val="003C594D"/>
    <w:rsid w:val="003C59CE"/>
    <w:rsid w:val="003C5B1A"/>
    <w:rsid w:val="003C6236"/>
    <w:rsid w:val="003C6563"/>
    <w:rsid w:val="003C67AE"/>
    <w:rsid w:val="003C6878"/>
    <w:rsid w:val="003C69D6"/>
    <w:rsid w:val="003C6B10"/>
    <w:rsid w:val="003C6F68"/>
    <w:rsid w:val="003C71AB"/>
    <w:rsid w:val="003C760F"/>
    <w:rsid w:val="003C763F"/>
    <w:rsid w:val="003C78DB"/>
    <w:rsid w:val="003C7A08"/>
    <w:rsid w:val="003C7A0B"/>
    <w:rsid w:val="003C7D21"/>
    <w:rsid w:val="003C7E41"/>
    <w:rsid w:val="003C7ED9"/>
    <w:rsid w:val="003D0643"/>
    <w:rsid w:val="003D0667"/>
    <w:rsid w:val="003D0767"/>
    <w:rsid w:val="003D080D"/>
    <w:rsid w:val="003D09DC"/>
    <w:rsid w:val="003D1129"/>
    <w:rsid w:val="003D12B7"/>
    <w:rsid w:val="003D1323"/>
    <w:rsid w:val="003D13C1"/>
    <w:rsid w:val="003D13E4"/>
    <w:rsid w:val="003D160C"/>
    <w:rsid w:val="003D1704"/>
    <w:rsid w:val="003D1828"/>
    <w:rsid w:val="003D1D0F"/>
    <w:rsid w:val="003D1F4D"/>
    <w:rsid w:val="003D21CB"/>
    <w:rsid w:val="003D22AC"/>
    <w:rsid w:val="003D236D"/>
    <w:rsid w:val="003D2422"/>
    <w:rsid w:val="003D2A5C"/>
    <w:rsid w:val="003D2FF3"/>
    <w:rsid w:val="003D3342"/>
    <w:rsid w:val="003D385E"/>
    <w:rsid w:val="003D3A70"/>
    <w:rsid w:val="003D3F6E"/>
    <w:rsid w:val="003D4175"/>
    <w:rsid w:val="003D428B"/>
    <w:rsid w:val="003D4866"/>
    <w:rsid w:val="003D4A66"/>
    <w:rsid w:val="003D4A8C"/>
    <w:rsid w:val="003D4EEC"/>
    <w:rsid w:val="003D529F"/>
    <w:rsid w:val="003D5663"/>
    <w:rsid w:val="003D5BC1"/>
    <w:rsid w:val="003D5E16"/>
    <w:rsid w:val="003D635E"/>
    <w:rsid w:val="003D6361"/>
    <w:rsid w:val="003D66B3"/>
    <w:rsid w:val="003D6923"/>
    <w:rsid w:val="003D6E16"/>
    <w:rsid w:val="003D6F8B"/>
    <w:rsid w:val="003D7824"/>
    <w:rsid w:val="003D7C0A"/>
    <w:rsid w:val="003D7CC1"/>
    <w:rsid w:val="003E03BD"/>
    <w:rsid w:val="003E0429"/>
    <w:rsid w:val="003E05A8"/>
    <w:rsid w:val="003E074B"/>
    <w:rsid w:val="003E0792"/>
    <w:rsid w:val="003E0878"/>
    <w:rsid w:val="003E10F3"/>
    <w:rsid w:val="003E111A"/>
    <w:rsid w:val="003E140D"/>
    <w:rsid w:val="003E1985"/>
    <w:rsid w:val="003E1A62"/>
    <w:rsid w:val="003E1B5A"/>
    <w:rsid w:val="003E1D54"/>
    <w:rsid w:val="003E207D"/>
    <w:rsid w:val="003E2099"/>
    <w:rsid w:val="003E2697"/>
    <w:rsid w:val="003E28E0"/>
    <w:rsid w:val="003E2B88"/>
    <w:rsid w:val="003E2C19"/>
    <w:rsid w:val="003E3241"/>
    <w:rsid w:val="003E33F2"/>
    <w:rsid w:val="003E3A1B"/>
    <w:rsid w:val="003E4179"/>
    <w:rsid w:val="003E41A6"/>
    <w:rsid w:val="003E43E1"/>
    <w:rsid w:val="003E47F1"/>
    <w:rsid w:val="003E4A27"/>
    <w:rsid w:val="003E5C30"/>
    <w:rsid w:val="003E5E95"/>
    <w:rsid w:val="003E6310"/>
    <w:rsid w:val="003E63E1"/>
    <w:rsid w:val="003E646D"/>
    <w:rsid w:val="003E6744"/>
    <w:rsid w:val="003E6771"/>
    <w:rsid w:val="003E68DF"/>
    <w:rsid w:val="003E6E10"/>
    <w:rsid w:val="003E6F41"/>
    <w:rsid w:val="003E7452"/>
    <w:rsid w:val="003E766A"/>
    <w:rsid w:val="003E7705"/>
    <w:rsid w:val="003E7955"/>
    <w:rsid w:val="003E7974"/>
    <w:rsid w:val="003E7BD0"/>
    <w:rsid w:val="003F07E5"/>
    <w:rsid w:val="003F083D"/>
    <w:rsid w:val="003F0B26"/>
    <w:rsid w:val="003F0B44"/>
    <w:rsid w:val="003F0B58"/>
    <w:rsid w:val="003F105B"/>
    <w:rsid w:val="003F1330"/>
    <w:rsid w:val="003F1432"/>
    <w:rsid w:val="003F17A9"/>
    <w:rsid w:val="003F1909"/>
    <w:rsid w:val="003F1935"/>
    <w:rsid w:val="003F1C62"/>
    <w:rsid w:val="003F236B"/>
    <w:rsid w:val="003F239E"/>
    <w:rsid w:val="003F26B9"/>
    <w:rsid w:val="003F2A2F"/>
    <w:rsid w:val="003F2ACE"/>
    <w:rsid w:val="003F2CB1"/>
    <w:rsid w:val="003F346B"/>
    <w:rsid w:val="003F35BA"/>
    <w:rsid w:val="003F36FC"/>
    <w:rsid w:val="003F3A45"/>
    <w:rsid w:val="003F3A5A"/>
    <w:rsid w:val="003F3AA1"/>
    <w:rsid w:val="003F3ABE"/>
    <w:rsid w:val="003F3CCE"/>
    <w:rsid w:val="003F3EF7"/>
    <w:rsid w:val="003F3F07"/>
    <w:rsid w:val="003F40E3"/>
    <w:rsid w:val="003F4156"/>
    <w:rsid w:val="003F4185"/>
    <w:rsid w:val="003F4A28"/>
    <w:rsid w:val="003F4AE9"/>
    <w:rsid w:val="003F4C2C"/>
    <w:rsid w:val="003F4E14"/>
    <w:rsid w:val="003F4E2C"/>
    <w:rsid w:val="003F5147"/>
    <w:rsid w:val="003F5403"/>
    <w:rsid w:val="003F5734"/>
    <w:rsid w:val="003F5894"/>
    <w:rsid w:val="003F58E2"/>
    <w:rsid w:val="003F58EE"/>
    <w:rsid w:val="003F5A41"/>
    <w:rsid w:val="003F5A54"/>
    <w:rsid w:val="003F5AC8"/>
    <w:rsid w:val="003F5CD4"/>
    <w:rsid w:val="003F5D14"/>
    <w:rsid w:val="003F601F"/>
    <w:rsid w:val="003F60E4"/>
    <w:rsid w:val="003F64A2"/>
    <w:rsid w:val="003F6839"/>
    <w:rsid w:val="003F68F0"/>
    <w:rsid w:val="003F6A71"/>
    <w:rsid w:val="003F6CAF"/>
    <w:rsid w:val="003F6D3D"/>
    <w:rsid w:val="003F7286"/>
    <w:rsid w:val="003F746F"/>
    <w:rsid w:val="003F77DB"/>
    <w:rsid w:val="003F79A1"/>
    <w:rsid w:val="003F7BBB"/>
    <w:rsid w:val="003F7C23"/>
    <w:rsid w:val="00400147"/>
    <w:rsid w:val="004003A1"/>
    <w:rsid w:val="0040074B"/>
    <w:rsid w:val="0040098A"/>
    <w:rsid w:val="00400C66"/>
    <w:rsid w:val="00400E07"/>
    <w:rsid w:val="00401178"/>
    <w:rsid w:val="0040135B"/>
    <w:rsid w:val="0040172B"/>
    <w:rsid w:val="00401BCB"/>
    <w:rsid w:val="00401BD3"/>
    <w:rsid w:val="00401CD0"/>
    <w:rsid w:val="00402028"/>
    <w:rsid w:val="00402073"/>
    <w:rsid w:val="004020DF"/>
    <w:rsid w:val="004021AC"/>
    <w:rsid w:val="00402858"/>
    <w:rsid w:val="00402935"/>
    <w:rsid w:val="00402B3D"/>
    <w:rsid w:val="00403410"/>
    <w:rsid w:val="00403967"/>
    <w:rsid w:val="00403992"/>
    <w:rsid w:val="00403DDB"/>
    <w:rsid w:val="00404168"/>
    <w:rsid w:val="0040427B"/>
    <w:rsid w:val="00404772"/>
    <w:rsid w:val="00404794"/>
    <w:rsid w:val="00405083"/>
    <w:rsid w:val="00405BD8"/>
    <w:rsid w:val="00405D85"/>
    <w:rsid w:val="00405ED3"/>
    <w:rsid w:val="004061F9"/>
    <w:rsid w:val="00406215"/>
    <w:rsid w:val="00406381"/>
    <w:rsid w:val="004065C8"/>
    <w:rsid w:val="00406D48"/>
    <w:rsid w:val="00406F1C"/>
    <w:rsid w:val="0040708F"/>
    <w:rsid w:val="0040735B"/>
    <w:rsid w:val="00407419"/>
    <w:rsid w:val="004075BC"/>
    <w:rsid w:val="0040784F"/>
    <w:rsid w:val="004078B3"/>
    <w:rsid w:val="00407C50"/>
    <w:rsid w:val="00407E3E"/>
    <w:rsid w:val="00410304"/>
    <w:rsid w:val="004104C3"/>
    <w:rsid w:val="004105E1"/>
    <w:rsid w:val="00410708"/>
    <w:rsid w:val="00410DC0"/>
    <w:rsid w:val="00410E5A"/>
    <w:rsid w:val="00410E82"/>
    <w:rsid w:val="00410EC7"/>
    <w:rsid w:val="004112C7"/>
    <w:rsid w:val="0041144D"/>
    <w:rsid w:val="0041176E"/>
    <w:rsid w:val="00411A44"/>
    <w:rsid w:val="00411C4D"/>
    <w:rsid w:val="00411CDB"/>
    <w:rsid w:val="00411D71"/>
    <w:rsid w:val="0041213F"/>
    <w:rsid w:val="004126FE"/>
    <w:rsid w:val="00412A44"/>
    <w:rsid w:val="0041300B"/>
    <w:rsid w:val="0041311A"/>
    <w:rsid w:val="0041318B"/>
    <w:rsid w:val="00413362"/>
    <w:rsid w:val="0041348F"/>
    <w:rsid w:val="004137E5"/>
    <w:rsid w:val="00413CA3"/>
    <w:rsid w:val="00413F83"/>
    <w:rsid w:val="00414275"/>
    <w:rsid w:val="00414476"/>
    <w:rsid w:val="00414997"/>
    <w:rsid w:val="0041568D"/>
    <w:rsid w:val="004158DA"/>
    <w:rsid w:val="00415E3D"/>
    <w:rsid w:val="0041612E"/>
    <w:rsid w:val="004161B2"/>
    <w:rsid w:val="0041640F"/>
    <w:rsid w:val="0041668E"/>
    <w:rsid w:val="00416DC6"/>
    <w:rsid w:val="004173BE"/>
    <w:rsid w:val="004175F8"/>
    <w:rsid w:val="004176D7"/>
    <w:rsid w:val="004177A7"/>
    <w:rsid w:val="00417E98"/>
    <w:rsid w:val="00417EAD"/>
    <w:rsid w:val="00417EFA"/>
    <w:rsid w:val="004201AA"/>
    <w:rsid w:val="004201F0"/>
    <w:rsid w:val="00420247"/>
    <w:rsid w:val="00420408"/>
    <w:rsid w:val="00420B69"/>
    <w:rsid w:val="00420B9F"/>
    <w:rsid w:val="00420D7A"/>
    <w:rsid w:val="00420E12"/>
    <w:rsid w:val="00420E5E"/>
    <w:rsid w:val="004210B6"/>
    <w:rsid w:val="0042120A"/>
    <w:rsid w:val="00421357"/>
    <w:rsid w:val="0042157B"/>
    <w:rsid w:val="004216D2"/>
    <w:rsid w:val="00421771"/>
    <w:rsid w:val="004217DD"/>
    <w:rsid w:val="004219E5"/>
    <w:rsid w:val="00421A6D"/>
    <w:rsid w:val="00421D13"/>
    <w:rsid w:val="0042227C"/>
    <w:rsid w:val="004224E3"/>
    <w:rsid w:val="004226FA"/>
    <w:rsid w:val="0042277B"/>
    <w:rsid w:val="004228B0"/>
    <w:rsid w:val="004228BE"/>
    <w:rsid w:val="00422C85"/>
    <w:rsid w:val="00423108"/>
    <w:rsid w:val="004234C4"/>
    <w:rsid w:val="00423985"/>
    <w:rsid w:val="00423D59"/>
    <w:rsid w:val="00423D8F"/>
    <w:rsid w:val="00423DB2"/>
    <w:rsid w:val="00423E49"/>
    <w:rsid w:val="00424140"/>
    <w:rsid w:val="00424313"/>
    <w:rsid w:val="00424353"/>
    <w:rsid w:val="004243E5"/>
    <w:rsid w:val="00424428"/>
    <w:rsid w:val="0042459A"/>
    <w:rsid w:val="004247D6"/>
    <w:rsid w:val="00424B24"/>
    <w:rsid w:val="00424DA0"/>
    <w:rsid w:val="00424E75"/>
    <w:rsid w:val="00425237"/>
    <w:rsid w:val="004256CD"/>
    <w:rsid w:val="004258A8"/>
    <w:rsid w:val="00426107"/>
    <w:rsid w:val="0042623E"/>
    <w:rsid w:val="00426649"/>
    <w:rsid w:val="0042670C"/>
    <w:rsid w:val="00426802"/>
    <w:rsid w:val="00426881"/>
    <w:rsid w:val="0042693D"/>
    <w:rsid w:val="00426D87"/>
    <w:rsid w:val="00426E23"/>
    <w:rsid w:val="00426F63"/>
    <w:rsid w:val="0042721A"/>
    <w:rsid w:val="00427446"/>
    <w:rsid w:val="00427474"/>
    <w:rsid w:val="00427666"/>
    <w:rsid w:val="0042773E"/>
    <w:rsid w:val="0042781A"/>
    <w:rsid w:val="004279E5"/>
    <w:rsid w:val="00427DE9"/>
    <w:rsid w:val="004300E7"/>
    <w:rsid w:val="00430142"/>
    <w:rsid w:val="00430379"/>
    <w:rsid w:val="004307B5"/>
    <w:rsid w:val="00430C8F"/>
    <w:rsid w:val="00430F62"/>
    <w:rsid w:val="004310FF"/>
    <w:rsid w:val="004314BE"/>
    <w:rsid w:val="004315E1"/>
    <w:rsid w:val="004315F3"/>
    <w:rsid w:val="00431615"/>
    <w:rsid w:val="004319F8"/>
    <w:rsid w:val="00431EE3"/>
    <w:rsid w:val="004320A6"/>
    <w:rsid w:val="004320CF"/>
    <w:rsid w:val="004321F6"/>
    <w:rsid w:val="004323D3"/>
    <w:rsid w:val="00432610"/>
    <w:rsid w:val="004326A4"/>
    <w:rsid w:val="00432BED"/>
    <w:rsid w:val="00433044"/>
    <w:rsid w:val="0043374A"/>
    <w:rsid w:val="0043385A"/>
    <w:rsid w:val="004339DF"/>
    <w:rsid w:val="00433CDD"/>
    <w:rsid w:val="0043469C"/>
    <w:rsid w:val="00434974"/>
    <w:rsid w:val="00434D6E"/>
    <w:rsid w:val="00434ED6"/>
    <w:rsid w:val="004352AC"/>
    <w:rsid w:val="0043551D"/>
    <w:rsid w:val="00435975"/>
    <w:rsid w:val="00435DBD"/>
    <w:rsid w:val="004362FA"/>
    <w:rsid w:val="00436622"/>
    <w:rsid w:val="0043693B"/>
    <w:rsid w:val="004369CA"/>
    <w:rsid w:val="00436A08"/>
    <w:rsid w:val="00436C9D"/>
    <w:rsid w:val="00436E60"/>
    <w:rsid w:val="00436FB8"/>
    <w:rsid w:val="00437031"/>
    <w:rsid w:val="00437242"/>
    <w:rsid w:val="00437422"/>
    <w:rsid w:val="0043755F"/>
    <w:rsid w:val="00437711"/>
    <w:rsid w:val="00437C3A"/>
    <w:rsid w:val="00437FFA"/>
    <w:rsid w:val="00440327"/>
    <w:rsid w:val="0044032B"/>
    <w:rsid w:val="00440D91"/>
    <w:rsid w:val="00440F39"/>
    <w:rsid w:val="00441232"/>
    <w:rsid w:val="004413C4"/>
    <w:rsid w:val="0044160A"/>
    <w:rsid w:val="00441872"/>
    <w:rsid w:val="00441873"/>
    <w:rsid w:val="00441A70"/>
    <w:rsid w:val="00441AC8"/>
    <w:rsid w:val="00441CF8"/>
    <w:rsid w:val="00441EC5"/>
    <w:rsid w:val="0044206E"/>
    <w:rsid w:val="004422E3"/>
    <w:rsid w:val="00442F17"/>
    <w:rsid w:val="004430BD"/>
    <w:rsid w:val="0044350E"/>
    <w:rsid w:val="00443648"/>
    <w:rsid w:val="0044371D"/>
    <w:rsid w:val="00443951"/>
    <w:rsid w:val="004439EF"/>
    <w:rsid w:val="00443D73"/>
    <w:rsid w:val="00443DDD"/>
    <w:rsid w:val="00444273"/>
    <w:rsid w:val="0044427A"/>
    <w:rsid w:val="00444367"/>
    <w:rsid w:val="004443A7"/>
    <w:rsid w:val="00444517"/>
    <w:rsid w:val="00444550"/>
    <w:rsid w:val="00444724"/>
    <w:rsid w:val="00444737"/>
    <w:rsid w:val="00444CB9"/>
    <w:rsid w:val="00444D92"/>
    <w:rsid w:val="00444EA6"/>
    <w:rsid w:val="0044508D"/>
    <w:rsid w:val="004452C7"/>
    <w:rsid w:val="004453E2"/>
    <w:rsid w:val="004454CE"/>
    <w:rsid w:val="0044569C"/>
    <w:rsid w:val="00445B53"/>
    <w:rsid w:val="00445B91"/>
    <w:rsid w:val="004460C0"/>
    <w:rsid w:val="00446293"/>
    <w:rsid w:val="004464EB"/>
    <w:rsid w:val="00446717"/>
    <w:rsid w:val="004467F4"/>
    <w:rsid w:val="00446950"/>
    <w:rsid w:val="004469B8"/>
    <w:rsid w:val="004469F0"/>
    <w:rsid w:val="004475D1"/>
    <w:rsid w:val="00447773"/>
    <w:rsid w:val="00447E8C"/>
    <w:rsid w:val="00447FFB"/>
    <w:rsid w:val="0045008E"/>
    <w:rsid w:val="004502FE"/>
    <w:rsid w:val="004504D6"/>
    <w:rsid w:val="00450638"/>
    <w:rsid w:val="00450709"/>
    <w:rsid w:val="0045096F"/>
    <w:rsid w:val="00450E79"/>
    <w:rsid w:val="004510FF"/>
    <w:rsid w:val="004514AF"/>
    <w:rsid w:val="00451575"/>
    <w:rsid w:val="0045167F"/>
    <w:rsid w:val="0045197C"/>
    <w:rsid w:val="00451C1D"/>
    <w:rsid w:val="00451D4E"/>
    <w:rsid w:val="00451DDA"/>
    <w:rsid w:val="00452138"/>
    <w:rsid w:val="004521BA"/>
    <w:rsid w:val="00452AD8"/>
    <w:rsid w:val="00452ADA"/>
    <w:rsid w:val="00452DAD"/>
    <w:rsid w:val="00453087"/>
    <w:rsid w:val="00453096"/>
    <w:rsid w:val="004532F6"/>
    <w:rsid w:val="0045331D"/>
    <w:rsid w:val="004538D3"/>
    <w:rsid w:val="0045391D"/>
    <w:rsid w:val="00453B56"/>
    <w:rsid w:val="00453D37"/>
    <w:rsid w:val="004545F8"/>
    <w:rsid w:val="00454A2C"/>
    <w:rsid w:val="00454FED"/>
    <w:rsid w:val="00455A4E"/>
    <w:rsid w:val="00455B55"/>
    <w:rsid w:val="00455D45"/>
    <w:rsid w:val="00455DA5"/>
    <w:rsid w:val="0045610B"/>
    <w:rsid w:val="004566C2"/>
    <w:rsid w:val="004567B2"/>
    <w:rsid w:val="004568B6"/>
    <w:rsid w:val="00456BC7"/>
    <w:rsid w:val="00456DE7"/>
    <w:rsid w:val="00457109"/>
    <w:rsid w:val="004573B5"/>
    <w:rsid w:val="00457454"/>
    <w:rsid w:val="004579E5"/>
    <w:rsid w:val="00457F91"/>
    <w:rsid w:val="004602CC"/>
    <w:rsid w:val="0046093A"/>
    <w:rsid w:val="004609D6"/>
    <w:rsid w:val="00460B37"/>
    <w:rsid w:val="00460B3B"/>
    <w:rsid w:val="00460DCD"/>
    <w:rsid w:val="00460E63"/>
    <w:rsid w:val="004610BF"/>
    <w:rsid w:val="00461107"/>
    <w:rsid w:val="004613E9"/>
    <w:rsid w:val="004615F6"/>
    <w:rsid w:val="004616F8"/>
    <w:rsid w:val="004619D7"/>
    <w:rsid w:val="00461BED"/>
    <w:rsid w:val="0046201D"/>
    <w:rsid w:val="0046204E"/>
    <w:rsid w:val="00462206"/>
    <w:rsid w:val="004623D2"/>
    <w:rsid w:val="0046246B"/>
    <w:rsid w:val="00462470"/>
    <w:rsid w:val="00462BC2"/>
    <w:rsid w:val="004630B6"/>
    <w:rsid w:val="00463177"/>
    <w:rsid w:val="00463182"/>
    <w:rsid w:val="0046321F"/>
    <w:rsid w:val="004632AE"/>
    <w:rsid w:val="0046331B"/>
    <w:rsid w:val="004633C5"/>
    <w:rsid w:val="00463408"/>
    <w:rsid w:val="004636CA"/>
    <w:rsid w:val="00463C32"/>
    <w:rsid w:val="00464532"/>
    <w:rsid w:val="00464595"/>
    <w:rsid w:val="004648FC"/>
    <w:rsid w:val="00464D66"/>
    <w:rsid w:val="00464F1D"/>
    <w:rsid w:val="004651A5"/>
    <w:rsid w:val="0046539C"/>
    <w:rsid w:val="004653AE"/>
    <w:rsid w:val="00465550"/>
    <w:rsid w:val="00466025"/>
    <w:rsid w:val="0046611F"/>
    <w:rsid w:val="00466340"/>
    <w:rsid w:val="0046644C"/>
    <w:rsid w:val="004664A2"/>
    <w:rsid w:val="004664B0"/>
    <w:rsid w:val="004664F1"/>
    <w:rsid w:val="0046655B"/>
    <w:rsid w:val="004665D9"/>
    <w:rsid w:val="004671C4"/>
    <w:rsid w:val="00467515"/>
    <w:rsid w:val="004677F6"/>
    <w:rsid w:val="004679C6"/>
    <w:rsid w:val="00467E22"/>
    <w:rsid w:val="00467F20"/>
    <w:rsid w:val="00467F46"/>
    <w:rsid w:val="0047062E"/>
    <w:rsid w:val="00470B33"/>
    <w:rsid w:val="0047122A"/>
    <w:rsid w:val="004714E9"/>
    <w:rsid w:val="00471752"/>
    <w:rsid w:val="00471BA6"/>
    <w:rsid w:val="00471D58"/>
    <w:rsid w:val="00471EEC"/>
    <w:rsid w:val="00471FE1"/>
    <w:rsid w:val="004726AE"/>
    <w:rsid w:val="00472754"/>
    <w:rsid w:val="0047281A"/>
    <w:rsid w:val="0047299E"/>
    <w:rsid w:val="00472A44"/>
    <w:rsid w:val="00472E11"/>
    <w:rsid w:val="00472FB2"/>
    <w:rsid w:val="00472FB7"/>
    <w:rsid w:val="004730BA"/>
    <w:rsid w:val="00473100"/>
    <w:rsid w:val="004734DA"/>
    <w:rsid w:val="00473648"/>
    <w:rsid w:val="00473CE3"/>
    <w:rsid w:val="004741F8"/>
    <w:rsid w:val="00474516"/>
    <w:rsid w:val="00474916"/>
    <w:rsid w:val="00475464"/>
    <w:rsid w:val="00475DA9"/>
    <w:rsid w:val="00475EC7"/>
    <w:rsid w:val="00475F49"/>
    <w:rsid w:val="0047641C"/>
    <w:rsid w:val="00476490"/>
    <w:rsid w:val="00476CE9"/>
    <w:rsid w:val="00476E64"/>
    <w:rsid w:val="00476F9D"/>
    <w:rsid w:val="00477159"/>
    <w:rsid w:val="00477496"/>
    <w:rsid w:val="0047767C"/>
    <w:rsid w:val="004777D4"/>
    <w:rsid w:val="00477997"/>
    <w:rsid w:val="00477D2D"/>
    <w:rsid w:val="00477DA8"/>
    <w:rsid w:val="00480717"/>
    <w:rsid w:val="00480782"/>
    <w:rsid w:val="004808C3"/>
    <w:rsid w:val="00480A3E"/>
    <w:rsid w:val="00480A63"/>
    <w:rsid w:val="00480D0C"/>
    <w:rsid w:val="00480F3D"/>
    <w:rsid w:val="00481424"/>
    <w:rsid w:val="0048159D"/>
    <w:rsid w:val="0048163B"/>
    <w:rsid w:val="00481690"/>
    <w:rsid w:val="004817DF"/>
    <w:rsid w:val="0048255E"/>
    <w:rsid w:val="0048273A"/>
    <w:rsid w:val="00483D44"/>
    <w:rsid w:val="00483E27"/>
    <w:rsid w:val="004840B3"/>
    <w:rsid w:val="004841AC"/>
    <w:rsid w:val="00484851"/>
    <w:rsid w:val="004848AD"/>
    <w:rsid w:val="00484A0A"/>
    <w:rsid w:val="00484D66"/>
    <w:rsid w:val="00484D95"/>
    <w:rsid w:val="00484EFF"/>
    <w:rsid w:val="00485227"/>
    <w:rsid w:val="00485378"/>
    <w:rsid w:val="0048579F"/>
    <w:rsid w:val="00485A2C"/>
    <w:rsid w:val="00485B7C"/>
    <w:rsid w:val="00485D0D"/>
    <w:rsid w:val="00485DB2"/>
    <w:rsid w:val="0048601A"/>
    <w:rsid w:val="0048636C"/>
    <w:rsid w:val="004867E2"/>
    <w:rsid w:val="00486C8D"/>
    <w:rsid w:val="00486E5A"/>
    <w:rsid w:val="004871A5"/>
    <w:rsid w:val="00487232"/>
    <w:rsid w:val="00487340"/>
    <w:rsid w:val="00487610"/>
    <w:rsid w:val="00487681"/>
    <w:rsid w:val="004877F3"/>
    <w:rsid w:val="00487DFD"/>
    <w:rsid w:val="004902E5"/>
    <w:rsid w:val="004902EF"/>
    <w:rsid w:val="0049038C"/>
    <w:rsid w:val="00490413"/>
    <w:rsid w:val="0049050B"/>
    <w:rsid w:val="004907E4"/>
    <w:rsid w:val="00490B36"/>
    <w:rsid w:val="00490B54"/>
    <w:rsid w:val="00490B6D"/>
    <w:rsid w:val="00490BC2"/>
    <w:rsid w:val="0049187E"/>
    <w:rsid w:val="00491B3A"/>
    <w:rsid w:val="00491DE2"/>
    <w:rsid w:val="0049208F"/>
    <w:rsid w:val="00492284"/>
    <w:rsid w:val="004928CB"/>
    <w:rsid w:val="00492CFD"/>
    <w:rsid w:val="00492D7C"/>
    <w:rsid w:val="004931E6"/>
    <w:rsid w:val="004933FB"/>
    <w:rsid w:val="004936ED"/>
    <w:rsid w:val="00493752"/>
    <w:rsid w:val="0049389D"/>
    <w:rsid w:val="004938C3"/>
    <w:rsid w:val="00493AF3"/>
    <w:rsid w:val="004942AE"/>
    <w:rsid w:val="0049432D"/>
    <w:rsid w:val="00494478"/>
    <w:rsid w:val="00494AC1"/>
    <w:rsid w:val="00494D10"/>
    <w:rsid w:val="0049509A"/>
    <w:rsid w:val="00495144"/>
    <w:rsid w:val="00495497"/>
    <w:rsid w:val="004957D3"/>
    <w:rsid w:val="00495BCC"/>
    <w:rsid w:val="00495E14"/>
    <w:rsid w:val="004960DE"/>
    <w:rsid w:val="004962D2"/>
    <w:rsid w:val="004968A0"/>
    <w:rsid w:val="0049694A"/>
    <w:rsid w:val="00497105"/>
    <w:rsid w:val="004971F9"/>
    <w:rsid w:val="00497319"/>
    <w:rsid w:val="00497847"/>
    <w:rsid w:val="00497B7D"/>
    <w:rsid w:val="00497C45"/>
    <w:rsid w:val="00497DF3"/>
    <w:rsid w:val="00497DF7"/>
    <w:rsid w:val="004A03A8"/>
    <w:rsid w:val="004A0DA1"/>
    <w:rsid w:val="004A13F3"/>
    <w:rsid w:val="004A1426"/>
    <w:rsid w:val="004A19CB"/>
    <w:rsid w:val="004A2258"/>
    <w:rsid w:val="004A24AF"/>
    <w:rsid w:val="004A28F6"/>
    <w:rsid w:val="004A2BA0"/>
    <w:rsid w:val="004A2CE0"/>
    <w:rsid w:val="004A2CE7"/>
    <w:rsid w:val="004A2D23"/>
    <w:rsid w:val="004A3039"/>
    <w:rsid w:val="004A3564"/>
    <w:rsid w:val="004A3653"/>
    <w:rsid w:val="004A3845"/>
    <w:rsid w:val="004A3AD6"/>
    <w:rsid w:val="004A466E"/>
    <w:rsid w:val="004A50F8"/>
    <w:rsid w:val="004A51F4"/>
    <w:rsid w:val="004A5D52"/>
    <w:rsid w:val="004A64D8"/>
    <w:rsid w:val="004A6597"/>
    <w:rsid w:val="004A6795"/>
    <w:rsid w:val="004A6D0C"/>
    <w:rsid w:val="004A7AF7"/>
    <w:rsid w:val="004A7B81"/>
    <w:rsid w:val="004A7CEE"/>
    <w:rsid w:val="004B01D3"/>
    <w:rsid w:val="004B032A"/>
    <w:rsid w:val="004B0C5B"/>
    <w:rsid w:val="004B0CBF"/>
    <w:rsid w:val="004B1489"/>
    <w:rsid w:val="004B14EF"/>
    <w:rsid w:val="004B18AC"/>
    <w:rsid w:val="004B1977"/>
    <w:rsid w:val="004B19FF"/>
    <w:rsid w:val="004B1A2E"/>
    <w:rsid w:val="004B1CB4"/>
    <w:rsid w:val="004B2091"/>
    <w:rsid w:val="004B222A"/>
    <w:rsid w:val="004B22EC"/>
    <w:rsid w:val="004B2531"/>
    <w:rsid w:val="004B279D"/>
    <w:rsid w:val="004B2F18"/>
    <w:rsid w:val="004B2FBD"/>
    <w:rsid w:val="004B3155"/>
    <w:rsid w:val="004B31EB"/>
    <w:rsid w:val="004B36D4"/>
    <w:rsid w:val="004B39D8"/>
    <w:rsid w:val="004B3AA0"/>
    <w:rsid w:val="004B3B7A"/>
    <w:rsid w:val="004B3B93"/>
    <w:rsid w:val="004B3D77"/>
    <w:rsid w:val="004B3DDB"/>
    <w:rsid w:val="004B4182"/>
    <w:rsid w:val="004B44FD"/>
    <w:rsid w:val="004B4EBC"/>
    <w:rsid w:val="004B4EF1"/>
    <w:rsid w:val="004B4FDD"/>
    <w:rsid w:val="004B53B2"/>
    <w:rsid w:val="004B5533"/>
    <w:rsid w:val="004B55D7"/>
    <w:rsid w:val="004B5668"/>
    <w:rsid w:val="004B583F"/>
    <w:rsid w:val="004B5B5A"/>
    <w:rsid w:val="004B5CFC"/>
    <w:rsid w:val="004B6742"/>
    <w:rsid w:val="004B6A3E"/>
    <w:rsid w:val="004B7224"/>
    <w:rsid w:val="004B761F"/>
    <w:rsid w:val="004B7C16"/>
    <w:rsid w:val="004B7D81"/>
    <w:rsid w:val="004C0278"/>
    <w:rsid w:val="004C06D2"/>
    <w:rsid w:val="004C06FA"/>
    <w:rsid w:val="004C06FF"/>
    <w:rsid w:val="004C0728"/>
    <w:rsid w:val="004C0B00"/>
    <w:rsid w:val="004C0C7C"/>
    <w:rsid w:val="004C0E7A"/>
    <w:rsid w:val="004C0FDD"/>
    <w:rsid w:val="004C114D"/>
    <w:rsid w:val="004C11AE"/>
    <w:rsid w:val="004C16EC"/>
    <w:rsid w:val="004C1C29"/>
    <w:rsid w:val="004C1D04"/>
    <w:rsid w:val="004C28AD"/>
    <w:rsid w:val="004C2AD7"/>
    <w:rsid w:val="004C2AFF"/>
    <w:rsid w:val="004C2BBC"/>
    <w:rsid w:val="004C3115"/>
    <w:rsid w:val="004C31D4"/>
    <w:rsid w:val="004C3215"/>
    <w:rsid w:val="004C361C"/>
    <w:rsid w:val="004C39B9"/>
    <w:rsid w:val="004C3A37"/>
    <w:rsid w:val="004C3D78"/>
    <w:rsid w:val="004C4365"/>
    <w:rsid w:val="004C46CE"/>
    <w:rsid w:val="004C4AED"/>
    <w:rsid w:val="004C523F"/>
    <w:rsid w:val="004C5491"/>
    <w:rsid w:val="004C57C5"/>
    <w:rsid w:val="004C57C6"/>
    <w:rsid w:val="004C5B12"/>
    <w:rsid w:val="004C5BE6"/>
    <w:rsid w:val="004C6085"/>
    <w:rsid w:val="004C69B3"/>
    <w:rsid w:val="004C6D86"/>
    <w:rsid w:val="004C7023"/>
    <w:rsid w:val="004C70C9"/>
    <w:rsid w:val="004C72C8"/>
    <w:rsid w:val="004C7362"/>
    <w:rsid w:val="004C74E7"/>
    <w:rsid w:val="004C7731"/>
    <w:rsid w:val="004C7814"/>
    <w:rsid w:val="004C7842"/>
    <w:rsid w:val="004C7932"/>
    <w:rsid w:val="004C7C93"/>
    <w:rsid w:val="004C7DFC"/>
    <w:rsid w:val="004C7E15"/>
    <w:rsid w:val="004D0B54"/>
    <w:rsid w:val="004D0B9F"/>
    <w:rsid w:val="004D15F0"/>
    <w:rsid w:val="004D16B4"/>
    <w:rsid w:val="004D18E3"/>
    <w:rsid w:val="004D18EB"/>
    <w:rsid w:val="004D18EC"/>
    <w:rsid w:val="004D1D1B"/>
    <w:rsid w:val="004D242E"/>
    <w:rsid w:val="004D26AB"/>
    <w:rsid w:val="004D27A8"/>
    <w:rsid w:val="004D2ADE"/>
    <w:rsid w:val="004D2B52"/>
    <w:rsid w:val="004D2E21"/>
    <w:rsid w:val="004D2E4E"/>
    <w:rsid w:val="004D2EE7"/>
    <w:rsid w:val="004D2FB8"/>
    <w:rsid w:val="004D3135"/>
    <w:rsid w:val="004D34CD"/>
    <w:rsid w:val="004D356B"/>
    <w:rsid w:val="004D3B89"/>
    <w:rsid w:val="004D3DE6"/>
    <w:rsid w:val="004D4076"/>
    <w:rsid w:val="004D40E7"/>
    <w:rsid w:val="004D45C8"/>
    <w:rsid w:val="004D5211"/>
    <w:rsid w:val="004D5EE4"/>
    <w:rsid w:val="004D60EE"/>
    <w:rsid w:val="004D6A28"/>
    <w:rsid w:val="004D6AE6"/>
    <w:rsid w:val="004D7085"/>
    <w:rsid w:val="004D7508"/>
    <w:rsid w:val="004D761E"/>
    <w:rsid w:val="004D767C"/>
    <w:rsid w:val="004D76BB"/>
    <w:rsid w:val="004D790C"/>
    <w:rsid w:val="004D7B7B"/>
    <w:rsid w:val="004E0446"/>
    <w:rsid w:val="004E096E"/>
    <w:rsid w:val="004E0C79"/>
    <w:rsid w:val="004E0EB8"/>
    <w:rsid w:val="004E0F71"/>
    <w:rsid w:val="004E13F8"/>
    <w:rsid w:val="004E14FF"/>
    <w:rsid w:val="004E18FA"/>
    <w:rsid w:val="004E2020"/>
    <w:rsid w:val="004E20AE"/>
    <w:rsid w:val="004E2101"/>
    <w:rsid w:val="004E26F7"/>
    <w:rsid w:val="004E2836"/>
    <w:rsid w:val="004E2ADC"/>
    <w:rsid w:val="004E2D58"/>
    <w:rsid w:val="004E327B"/>
    <w:rsid w:val="004E357D"/>
    <w:rsid w:val="004E35F5"/>
    <w:rsid w:val="004E362E"/>
    <w:rsid w:val="004E3A01"/>
    <w:rsid w:val="004E3B6F"/>
    <w:rsid w:val="004E3DEF"/>
    <w:rsid w:val="004E3EAE"/>
    <w:rsid w:val="004E4083"/>
    <w:rsid w:val="004E43B2"/>
    <w:rsid w:val="004E4A60"/>
    <w:rsid w:val="004E4E3B"/>
    <w:rsid w:val="004E4ECE"/>
    <w:rsid w:val="004E51E3"/>
    <w:rsid w:val="004E52D2"/>
    <w:rsid w:val="004E5450"/>
    <w:rsid w:val="004E5521"/>
    <w:rsid w:val="004E5692"/>
    <w:rsid w:val="004E5B42"/>
    <w:rsid w:val="004E5EA8"/>
    <w:rsid w:val="004E615A"/>
    <w:rsid w:val="004E6B35"/>
    <w:rsid w:val="004E6B8C"/>
    <w:rsid w:val="004E6E7E"/>
    <w:rsid w:val="004E6F4E"/>
    <w:rsid w:val="004E6F56"/>
    <w:rsid w:val="004E70CA"/>
    <w:rsid w:val="004E727E"/>
    <w:rsid w:val="004E7582"/>
    <w:rsid w:val="004E7B43"/>
    <w:rsid w:val="004E7D6D"/>
    <w:rsid w:val="004E7E05"/>
    <w:rsid w:val="004F011B"/>
    <w:rsid w:val="004F0957"/>
    <w:rsid w:val="004F0983"/>
    <w:rsid w:val="004F09CF"/>
    <w:rsid w:val="004F0BE5"/>
    <w:rsid w:val="004F0E03"/>
    <w:rsid w:val="004F11AB"/>
    <w:rsid w:val="004F15BD"/>
    <w:rsid w:val="004F1880"/>
    <w:rsid w:val="004F1970"/>
    <w:rsid w:val="004F1A35"/>
    <w:rsid w:val="004F1B91"/>
    <w:rsid w:val="004F1D02"/>
    <w:rsid w:val="004F25F7"/>
    <w:rsid w:val="004F2679"/>
    <w:rsid w:val="004F27EA"/>
    <w:rsid w:val="004F27F0"/>
    <w:rsid w:val="004F299A"/>
    <w:rsid w:val="004F2F92"/>
    <w:rsid w:val="004F3139"/>
    <w:rsid w:val="004F34AE"/>
    <w:rsid w:val="004F3E39"/>
    <w:rsid w:val="004F42D1"/>
    <w:rsid w:val="004F47A0"/>
    <w:rsid w:val="004F499A"/>
    <w:rsid w:val="004F4B0A"/>
    <w:rsid w:val="004F4BE5"/>
    <w:rsid w:val="004F50BA"/>
    <w:rsid w:val="004F5204"/>
    <w:rsid w:val="004F56D9"/>
    <w:rsid w:val="004F6291"/>
    <w:rsid w:val="004F635D"/>
    <w:rsid w:val="004F640F"/>
    <w:rsid w:val="004F6499"/>
    <w:rsid w:val="004F6627"/>
    <w:rsid w:val="004F677D"/>
    <w:rsid w:val="004F69D8"/>
    <w:rsid w:val="004F69E1"/>
    <w:rsid w:val="004F6AE2"/>
    <w:rsid w:val="004F705C"/>
    <w:rsid w:val="004F743A"/>
    <w:rsid w:val="004F7557"/>
    <w:rsid w:val="004F7829"/>
    <w:rsid w:val="004F7865"/>
    <w:rsid w:val="004F786C"/>
    <w:rsid w:val="004F7AA9"/>
    <w:rsid w:val="004F7D88"/>
    <w:rsid w:val="004F7FDF"/>
    <w:rsid w:val="00500AD4"/>
    <w:rsid w:val="00500ADC"/>
    <w:rsid w:val="00500AE6"/>
    <w:rsid w:val="00500CCC"/>
    <w:rsid w:val="00500E9A"/>
    <w:rsid w:val="00501346"/>
    <w:rsid w:val="005017AD"/>
    <w:rsid w:val="00501867"/>
    <w:rsid w:val="005019A5"/>
    <w:rsid w:val="00501D54"/>
    <w:rsid w:val="0050224D"/>
    <w:rsid w:val="0050275B"/>
    <w:rsid w:val="0050280B"/>
    <w:rsid w:val="00502FD1"/>
    <w:rsid w:val="005031A5"/>
    <w:rsid w:val="0050331B"/>
    <w:rsid w:val="00503C58"/>
    <w:rsid w:val="00504401"/>
    <w:rsid w:val="00504BCE"/>
    <w:rsid w:val="00504E85"/>
    <w:rsid w:val="00504F58"/>
    <w:rsid w:val="00505512"/>
    <w:rsid w:val="00505529"/>
    <w:rsid w:val="00505594"/>
    <w:rsid w:val="00505EC1"/>
    <w:rsid w:val="005064B3"/>
    <w:rsid w:val="00506928"/>
    <w:rsid w:val="00506A06"/>
    <w:rsid w:val="00506CAA"/>
    <w:rsid w:val="00506D9A"/>
    <w:rsid w:val="00506F77"/>
    <w:rsid w:val="00506F9A"/>
    <w:rsid w:val="0050701A"/>
    <w:rsid w:val="005072CC"/>
    <w:rsid w:val="005072EE"/>
    <w:rsid w:val="0050765B"/>
    <w:rsid w:val="00507739"/>
    <w:rsid w:val="005077D1"/>
    <w:rsid w:val="00507A76"/>
    <w:rsid w:val="00507A93"/>
    <w:rsid w:val="00507B0B"/>
    <w:rsid w:val="00507FFC"/>
    <w:rsid w:val="00510060"/>
    <w:rsid w:val="005101F7"/>
    <w:rsid w:val="00510253"/>
    <w:rsid w:val="00510779"/>
    <w:rsid w:val="0051084B"/>
    <w:rsid w:val="00510980"/>
    <w:rsid w:val="00510C4E"/>
    <w:rsid w:val="005115E9"/>
    <w:rsid w:val="0051178E"/>
    <w:rsid w:val="00511B1C"/>
    <w:rsid w:val="00511BC3"/>
    <w:rsid w:val="00511C75"/>
    <w:rsid w:val="00512000"/>
    <w:rsid w:val="0051259F"/>
    <w:rsid w:val="005125D6"/>
    <w:rsid w:val="005129FB"/>
    <w:rsid w:val="00512AF9"/>
    <w:rsid w:val="00512D7E"/>
    <w:rsid w:val="00512D9D"/>
    <w:rsid w:val="005130EB"/>
    <w:rsid w:val="00513428"/>
    <w:rsid w:val="005136E4"/>
    <w:rsid w:val="005137BE"/>
    <w:rsid w:val="00513857"/>
    <w:rsid w:val="00513902"/>
    <w:rsid w:val="0051393F"/>
    <w:rsid w:val="00513BD0"/>
    <w:rsid w:val="00514012"/>
    <w:rsid w:val="00514024"/>
    <w:rsid w:val="00514043"/>
    <w:rsid w:val="00514199"/>
    <w:rsid w:val="005144E0"/>
    <w:rsid w:val="00514792"/>
    <w:rsid w:val="00514A43"/>
    <w:rsid w:val="00514F73"/>
    <w:rsid w:val="00515197"/>
    <w:rsid w:val="005152B5"/>
    <w:rsid w:val="0051634F"/>
    <w:rsid w:val="00516639"/>
    <w:rsid w:val="00516844"/>
    <w:rsid w:val="00516F46"/>
    <w:rsid w:val="005170E6"/>
    <w:rsid w:val="0051751B"/>
    <w:rsid w:val="0051766E"/>
    <w:rsid w:val="00517928"/>
    <w:rsid w:val="005205B6"/>
    <w:rsid w:val="005209D3"/>
    <w:rsid w:val="00520C2F"/>
    <w:rsid w:val="00520CE2"/>
    <w:rsid w:val="00521075"/>
    <w:rsid w:val="00521286"/>
    <w:rsid w:val="00521319"/>
    <w:rsid w:val="00521582"/>
    <w:rsid w:val="005217F0"/>
    <w:rsid w:val="005217F2"/>
    <w:rsid w:val="005218CA"/>
    <w:rsid w:val="005219F3"/>
    <w:rsid w:val="00521AEC"/>
    <w:rsid w:val="00521D23"/>
    <w:rsid w:val="00521FAC"/>
    <w:rsid w:val="0052231D"/>
    <w:rsid w:val="00522464"/>
    <w:rsid w:val="00522BF3"/>
    <w:rsid w:val="00522DDC"/>
    <w:rsid w:val="00522EFC"/>
    <w:rsid w:val="00522F26"/>
    <w:rsid w:val="00523286"/>
    <w:rsid w:val="005234BC"/>
    <w:rsid w:val="00523744"/>
    <w:rsid w:val="005238A6"/>
    <w:rsid w:val="00523B04"/>
    <w:rsid w:val="00523C28"/>
    <w:rsid w:val="005241CD"/>
    <w:rsid w:val="005246BE"/>
    <w:rsid w:val="00524813"/>
    <w:rsid w:val="00524853"/>
    <w:rsid w:val="00524BE9"/>
    <w:rsid w:val="00524C81"/>
    <w:rsid w:val="005250D4"/>
    <w:rsid w:val="005251ED"/>
    <w:rsid w:val="00525ACD"/>
    <w:rsid w:val="00525D07"/>
    <w:rsid w:val="00525F04"/>
    <w:rsid w:val="00525F40"/>
    <w:rsid w:val="00526055"/>
    <w:rsid w:val="0052623F"/>
    <w:rsid w:val="005264B8"/>
    <w:rsid w:val="00526B89"/>
    <w:rsid w:val="00526CDE"/>
    <w:rsid w:val="00526CF9"/>
    <w:rsid w:val="005274F5"/>
    <w:rsid w:val="0052763C"/>
    <w:rsid w:val="005277AD"/>
    <w:rsid w:val="00527E42"/>
    <w:rsid w:val="00530172"/>
    <w:rsid w:val="0053033F"/>
    <w:rsid w:val="0053084C"/>
    <w:rsid w:val="00530D2D"/>
    <w:rsid w:val="00531142"/>
    <w:rsid w:val="00531458"/>
    <w:rsid w:val="0053175E"/>
    <w:rsid w:val="00531825"/>
    <w:rsid w:val="00531928"/>
    <w:rsid w:val="00531B29"/>
    <w:rsid w:val="00531DE4"/>
    <w:rsid w:val="00531E80"/>
    <w:rsid w:val="005323F8"/>
    <w:rsid w:val="005327B0"/>
    <w:rsid w:val="00532F52"/>
    <w:rsid w:val="00533848"/>
    <w:rsid w:val="00533895"/>
    <w:rsid w:val="005338A1"/>
    <w:rsid w:val="00533BDA"/>
    <w:rsid w:val="005343BC"/>
    <w:rsid w:val="005343D9"/>
    <w:rsid w:val="00534417"/>
    <w:rsid w:val="00534501"/>
    <w:rsid w:val="00534616"/>
    <w:rsid w:val="005346FF"/>
    <w:rsid w:val="00534854"/>
    <w:rsid w:val="00534D91"/>
    <w:rsid w:val="00534E7F"/>
    <w:rsid w:val="00535089"/>
    <w:rsid w:val="005350E9"/>
    <w:rsid w:val="00535212"/>
    <w:rsid w:val="00535518"/>
    <w:rsid w:val="00535781"/>
    <w:rsid w:val="00535B3A"/>
    <w:rsid w:val="00535E1B"/>
    <w:rsid w:val="00535EBE"/>
    <w:rsid w:val="00536182"/>
    <w:rsid w:val="00536269"/>
    <w:rsid w:val="0053636C"/>
    <w:rsid w:val="00536B4A"/>
    <w:rsid w:val="00536BEC"/>
    <w:rsid w:val="00536CC2"/>
    <w:rsid w:val="00536CEA"/>
    <w:rsid w:val="00537258"/>
    <w:rsid w:val="00537484"/>
    <w:rsid w:val="00537932"/>
    <w:rsid w:val="00537979"/>
    <w:rsid w:val="00537ABF"/>
    <w:rsid w:val="00537AC6"/>
    <w:rsid w:val="00537D48"/>
    <w:rsid w:val="00540050"/>
    <w:rsid w:val="0054018F"/>
    <w:rsid w:val="00540275"/>
    <w:rsid w:val="005403F4"/>
    <w:rsid w:val="00540583"/>
    <w:rsid w:val="005406F6"/>
    <w:rsid w:val="00540A1F"/>
    <w:rsid w:val="00540EFF"/>
    <w:rsid w:val="00540F5B"/>
    <w:rsid w:val="005415DF"/>
    <w:rsid w:val="005416EE"/>
    <w:rsid w:val="00541728"/>
    <w:rsid w:val="005417C8"/>
    <w:rsid w:val="00541E3A"/>
    <w:rsid w:val="00541FD6"/>
    <w:rsid w:val="005422DE"/>
    <w:rsid w:val="005422FA"/>
    <w:rsid w:val="005423A9"/>
    <w:rsid w:val="00542460"/>
    <w:rsid w:val="0054252D"/>
    <w:rsid w:val="0054253B"/>
    <w:rsid w:val="0054270E"/>
    <w:rsid w:val="00542779"/>
    <w:rsid w:val="00542D9D"/>
    <w:rsid w:val="005433AF"/>
    <w:rsid w:val="00543412"/>
    <w:rsid w:val="00543575"/>
    <w:rsid w:val="0054413D"/>
    <w:rsid w:val="005448AC"/>
    <w:rsid w:val="005448B7"/>
    <w:rsid w:val="005455B8"/>
    <w:rsid w:val="0054588D"/>
    <w:rsid w:val="00545A27"/>
    <w:rsid w:val="00545B6F"/>
    <w:rsid w:val="00546518"/>
    <w:rsid w:val="00546548"/>
    <w:rsid w:val="00546567"/>
    <w:rsid w:val="005469AA"/>
    <w:rsid w:val="00546AAB"/>
    <w:rsid w:val="00546B22"/>
    <w:rsid w:val="00546C6B"/>
    <w:rsid w:val="00546DA1"/>
    <w:rsid w:val="00546F10"/>
    <w:rsid w:val="0054726E"/>
    <w:rsid w:val="00547862"/>
    <w:rsid w:val="00547CDC"/>
    <w:rsid w:val="00547E80"/>
    <w:rsid w:val="005505EF"/>
    <w:rsid w:val="005507D1"/>
    <w:rsid w:val="00550C56"/>
    <w:rsid w:val="00551360"/>
    <w:rsid w:val="00551666"/>
    <w:rsid w:val="00551955"/>
    <w:rsid w:val="005519AD"/>
    <w:rsid w:val="00551A5C"/>
    <w:rsid w:val="00551AA9"/>
    <w:rsid w:val="00551E88"/>
    <w:rsid w:val="00552447"/>
    <w:rsid w:val="00552790"/>
    <w:rsid w:val="00552BD3"/>
    <w:rsid w:val="00552CBB"/>
    <w:rsid w:val="00553055"/>
    <w:rsid w:val="0055307F"/>
    <w:rsid w:val="00553653"/>
    <w:rsid w:val="005536DD"/>
    <w:rsid w:val="0055379F"/>
    <w:rsid w:val="00553B34"/>
    <w:rsid w:val="00553D43"/>
    <w:rsid w:val="00553E6A"/>
    <w:rsid w:val="00553FE0"/>
    <w:rsid w:val="005540E1"/>
    <w:rsid w:val="00554100"/>
    <w:rsid w:val="00554599"/>
    <w:rsid w:val="00555109"/>
    <w:rsid w:val="00555345"/>
    <w:rsid w:val="00555C84"/>
    <w:rsid w:val="00555E42"/>
    <w:rsid w:val="005562CA"/>
    <w:rsid w:val="00556406"/>
    <w:rsid w:val="005567DE"/>
    <w:rsid w:val="005567E4"/>
    <w:rsid w:val="005568B6"/>
    <w:rsid w:val="00556BAD"/>
    <w:rsid w:val="00556D32"/>
    <w:rsid w:val="00557053"/>
    <w:rsid w:val="005572D5"/>
    <w:rsid w:val="00557ABF"/>
    <w:rsid w:val="00557DF6"/>
    <w:rsid w:val="00557E5E"/>
    <w:rsid w:val="00557E79"/>
    <w:rsid w:val="00557E7B"/>
    <w:rsid w:val="005608A1"/>
    <w:rsid w:val="00560905"/>
    <w:rsid w:val="00560DCB"/>
    <w:rsid w:val="00560EC2"/>
    <w:rsid w:val="005610E3"/>
    <w:rsid w:val="005614F6"/>
    <w:rsid w:val="00561584"/>
    <w:rsid w:val="005616C9"/>
    <w:rsid w:val="005618E7"/>
    <w:rsid w:val="00561FDC"/>
    <w:rsid w:val="005623FC"/>
    <w:rsid w:val="005624D6"/>
    <w:rsid w:val="00562A93"/>
    <w:rsid w:val="00562C6C"/>
    <w:rsid w:val="00562E3B"/>
    <w:rsid w:val="00562F05"/>
    <w:rsid w:val="00562F59"/>
    <w:rsid w:val="00563025"/>
    <w:rsid w:val="0056338A"/>
    <w:rsid w:val="0056358F"/>
    <w:rsid w:val="005638F3"/>
    <w:rsid w:val="00563AAD"/>
    <w:rsid w:val="00564224"/>
    <w:rsid w:val="00564358"/>
    <w:rsid w:val="00564616"/>
    <w:rsid w:val="00564695"/>
    <w:rsid w:val="0056491B"/>
    <w:rsid w:val="00564B59"/>
    <w:rsid w:val="00564C46"/>
    <w:rsid w:val="00564CDD"/>
    <w:rsid w:val="00564D3C"/>
    <w:rsid w:val="00564D56"/>
    <w:rsid w:val="00564E6D"/>
    <w:rsid w:val="00565029"/>
    <w:rsid w:val="005650A8"/>
    <w:rsid w:val="00565579"/>
    <w:rsid w:val="00565609"/>
    <w:rsid w:val="005656D5"/>
    <w:rsid w:val="00565828"/>
    <w:rsid w:val="00565B02"/>
    <w:rsid w:val="00565BE9"/>
    <w:rsid w:val="00566425"/>
    <w:rsid w:val="005668E0"/>
    <w:rsid w:val="0056692E"/>
    <w:rsid w:val="0056696F"/>
    <w:rsid w:val="00566CD4"/>
    <w:rsid w:val="00566F2A"/>
    <w:rsid w:val="005671F1"/>
    <w:rsid w:val="005673A7"/>
    <w:rsid w:val="0056754B"/>
    <w:rsid w:val="0056767E"/>
    <w:rsid w:val="00567943"/>
    <w:rsid w:val="00567A2B"/>
    <w:rsid w:val="00567C04"/>
    <w:rsid w:val="00567F26"/>
    <w:rsid w:val="00570174"/>
    <w:rsid w:val="005702DA"/>
    <w:rsid w:val="0057075C"/>
    <w:rsid w:val="00570D3C"/>
    <w:rsid w:val="005711E6"/>
    <w:rsid w:val="0057126F"/>
    <w:rsid w:val="00571417"/>
    <w:rsid w:val="00571637"/>
    <w:rsid w:val="00571ED6"/>
    <w:rsid w:val="00571F70"/>
    <w:rsid w:val="00572035"/>
    <w:rsid w:val="0057237F"/>
    <w:rsid w:val="0057251C"/>
    <w:rsid w:val="00572BE8"/>
    <w:rsid w:val="00572FC0"/>
    <w:rsid w:val="00573145"/>
    <w:rsid w:val="0057338A"/>
    <w:rsid w:val="005735BF"/>
    <w:rsid w:val="00573655"/>
    <w:rsid w:val="005737B7"/>
    <w:rsid w:val="00573827"/>
    <w:rsid w:val="0057382E"/>
    <w:rsid w:val="00573858"/>
    <w:rsid w:val="005742DB"/>
    <w:rsid w:val="00574400"/>
    <w:rsid w:val="00574708"/>
    <w:rsid w:val="005747D0"/>
    <w:rsid w:val="00574B21"/>
    <w:rsid w:val="00574BAE"/>
    <w:rsid w:val="00574BD5"/>
    <w:rsid w:val="00574C33"/>
    <w:rsid w:val="00574CC4"/>
    <w:rsid w:val="00574CEB"/>
    <w:rsid w:val="00575071"/>
    <w:rsid w:val="005755A9"/>
    <w:rsid w:val="00575651"/>
    <w:rsid w:val="00575982"/>
    <w:rsid w:val="00575ADA"/>
    <w:rsid w:val="00575D8D"/>
    <w:rsid w:val="005763B4"/>
    <w:rsid w:val="0057662F"/>
    <w:rsid w:val="00576885"/>
    <w:rsid w:val="00576972"/>
    <w:rsid w:val="00576DBF"/>
    <w:rsid w:val="00576DC2"/>
    <w:rsid w:val="0057739E"/>
    <w:rsid w:val="005773B4"/>
    <w:rsid w:val="00577B70"/>
    <w:rsid w:val="00577BDC"/>
    <w:rsid w:val="005800D4"/>
    <w:rsid w:val="00580132"/>
    <w:rsid w:val="005803D7"/>
    <w:rsid w:val="0058048F"/>
    <w:rsid w:val="005804A4"/>
    <w:rsid w:val="00580851"/>
    <w:rsid w:val="005808B7"/>
    <w:rsid w:val="0058095A"/>
    <w:rsid w:val="00580A62"/>
    <w:rsid w:val="00580D21"/>
    <w:rsid w:val="00580DE5"/>
    <w:rsid w:val="00580EE9"/>
    <w:rsid w:val="00581002"/>
    <w:rsid w:val="00581085"/>
    <w:rsid w:val="0058110C"/>
    <w:rsid w:val="00581297"/>
    <w:rsid w:val="005812B1"/>
    <w:rsid w:val="00581563"/>
    <w:rsid w:val="00581B43"/>
    <w:rsid w:val="00581B6A"/>
    <w:rsid w:val="00581DCB"/>
    <w:rsid w:val="00581EAE"/>
    <w:rsid w:val="00582062"/>
    <w:rsid w:val="0058336C"/>
    <w:rsid w:val="00583699"/>
    <w:rsid w:val="00583A74"/>
    <w:rsid w:val="00583D18"/>
    <w:rsid w:val="00583F2F"/>
    <w:rsid w:val="0058407E"/>
    <w:rsid w:val="0058413E"/>
    <w:rsid w:val="00584157"/>
    <w:rsid w:val="005848D2"/>
    <w:rsid w:val="00584B73"/>
    <w:rsid w:val="00584DDC"/>
    <w:rsid w:val="00585071"/>
    <w:rsid w:val="005850D1"/>
    <w:rsid w:val="00585611"/>
    <w:rsid w:val="005857AA"/>
    <w:rsid w:val="00585F46"/>
    <w:rsid w:val="00586058"/>
    <w:rsid w:val="005860E5"/>
    <w:rsid w:val="00586239"/>
    <w:rsid w:val="0058693E"/>
    <w:rsid w:val="00586B8B"/>
    <w:rsid w:val="00586F41"/>
    <w:rsid w:val="00587065"/>
    <w:rsid w:val="0058749B"/>
    <w:rsid w:val="00587734"/>
    <w:rsid w:val="00587822"/>
    <w:rsid w:val="00587B17"/>
    <w:rsid w:val="00587CB3"/>
    <w:rsid w:val="00587D36"/>
    <w:rsid w:val="00590335"/>
    <w:rsid w:val="005903BE"/>
    <w:rsid w:val="00590C26"/>
    <w:rsid w:val="00590D66"/>
    <w:rsid w:val="00591519"/>
    <w:rsid w:val="00591742"/>
    <w:rsid w:val="005917FA"/>
    <w:rsid w:val="00591998"/>
    <w:rsid w:val="005919D9"/>
    <w:rsid w:val="00591D53"/>
    <w:rsid w:val="005920A1"/>
    <w:rsid w:val="0059227F"/>
    <w:rsid w:val="00592607"/>
    <w:rsid w:val="00592A05"/>
    <w:rsid w:val="00592C0C"/>
    <w:rsid w:val="00592FDD"/>
    <w:rsid w:val="0059365E"/>
    <w:rsid w:val="0059373D"/>
    <w:rsid w:val="0059389F"/>
    <w:rsid w:val="00593A59"/>
    <w:rsid w:val="00593AA3"/>
    <w:rsid w:val="00593C35"/>
    <w:rsid w:val="00593C98"/>
    <w:rsid w:val="00593CC6"/>
    <w:rsid w:val="00594017"/>
    <w:rsid w:val="00594141"/>
    <w:rsid w:val="0059441D"/>
    <w:rsid w:val="00594427"/>
    <w:rsid w:val="005946A2"/>
    <w:rsid w:val="0059484D"/>
    <w:rsid w:val="00594A95"/>
    <w:rsid w:val="00594AA2"/>
    <w:rsid w:val="0059523B"/>
    <w:rsid w:val="00595335"/>
    <w:rsid w:val="005959F4"/>
    <w:rsid w:val="00595B32"/>
    <w:rsid w:val="00595C59"/>
    <w:rsid w:val="00595E4B"/>
    <w:rsid w:val="00596062"/>
    <w:rsid w:val="005962CA"/>
    <w:rsid w:val="0059663A"/>
    <w:rsid w:val="00596721"/>
    <w:rsid w:val="00596895"/>
    <w:rsid w:val="005969BB"/>
    <w:rsid w:val="005970A1"/>
    <w:rsid w:val="00597103"/>
    <w:rsid w:val="0059743D"/>
    <w:rsid w:val="00597461"/>
    <w:rsid w:val="00597A08"/>
    <w:rsid w:val="00597CED"/>
    <w:rsid w:val="00597D46"/>
    <w:rsid w:val="005A010D"/>
    <w:rsid w:val="005A04A6"/>
    <w:rsid w:val="005A0987"/>
    <w:rsid w:val="005A0A90"/>
    <w:rsid w:val="005A0C1E"/>
    <w:rsid w:val="005A1618"/>
    <w:rsid w:val="005A1E5A"/>
    <w:rsid w:val="005A1F10"/>
    <w:rsid w:val="005A2849"/>
    <w:rsid w:val="005A295F"/>
    <w:rsid w:val="005A2B59"/>
    <w:rsid w:val="005A3301"/>
    <w:rsid w:val="005A36D2"/>
    <w:rsid w:val="005A37CC"/>
    <w:rsid w:val="005A3C71"/>
    <w:rsid w:val="005A3D01"/>
    <w:rsid w:val="005A3DFF"/>
    <w:rsid w:val="005A3F67"/>
    <w:rsid w:val="005A42BF"/>
    <w:rsid w:val="005A4603"/>
    <w:rsid w:val="005A4641"/>
    <w:rsid w:val="005A4739"/>
    <w:rsid w:val="005A4899"/>
    <w:rsid w:val="005A4970"/>
    <w:rsid w:val="005A4AC7"/>
    <w:rsid w:val="005A50F7"/>
    <w:rsid w:val="005A554D"/>
    <w:rsid w:val="005A5806"/>
    <w:rsid w:val="005A5A8B"/>
    <w:rsid w:val="005A5AA1"/>
    <w:rsid w:val="005A5B6B"/>
    <w:rsid w:val="005A62A3"/>
    <w:rsid w:val="005A63D6"/>
    <w:rsid w:val="005A71E1"/>
    <w:rsid w:val="005A7B3E"/>
    <w:rsid w:val="005B0280"/>
    <w:rsid w:val="005B03D1"/>
    <w:rsid w:val="005B0688"/>
    <w:rsid w:val="005B0918"/>
    <w:rsid w:val="005B1270"/>
    <w:rsid w:val="005B127A"/>
    <w:rsid w:val="005B1897"/>
    <w:rsid w:val="005B19F6"/>
    <w:rsid w:val="005B1CDC"/>
    <w:rsid w:val="005B1D3B"/>
    <w:rsid w:val="005B1EBE"/>
    <w:rsid w:val="005B2855"/>
    <w:rsid w:val="005B28C5"/>
    <w:rsid w:val="005B28FD"/>
    <w:rsid w:val="005B29EA"/>
    <w:rsid w:val="005B2EA3"/>
    <w:rsid w:val="005B320A"/>
    <w:rsid w:val="005B33D7"/>
    <w:rsid w:val="005B37EB"/>
    <w:rsid w:val="005B39EE"/>
    <w:rsid w:val="005B3DB6"/>
    <w:rsid w:val="005B3EA1"/>
    <w:rsid w:val="005B3F01"/>
    <w:rsid w:val="005B4022"/>
    <w:rsid w:val="005B4096"/>
    <w:rsid w:val="005B467E"/>
    <w:rsid w:val="005B50AB"/>
    <w:rsid w:val="005B50AC"/>
    <w:rsid w:val="005B5508"/>
    <w:rsid w:val="005B5857"/>
    <w:rsid w:val="005B594F"/>
    <w:rsid w:val="005B5E98"/>
    <w:rsid w:val="005B5F2F"/>
    <w:rsid w:val="005B5F54"/>
    <w:rsid w:val="005B6021"/>
    <w:rsid w:val="005B61DC"/>
    <w:rsid w:val="005B6C86"/>
    <w:rsid w:val="005B71EF"/>
    <w:rsid w:val="005B764E"/>
    <w:rsid w:val="005B7798"/>
    <w:rsid w:val="005B7EAF"/>
    <w:rsid w:val="005B7F0B"/>
    <w:rsid w:val="005C0202"/>
    <w:rsid w:val="005C02A4"/>
    <w:rsid w:val="005C036B"/>
    <w:rsid w:val="005C05AB"/>
    <w:rsid w:val="005C075A"/>
    <w:rsid w:val="005C0AB6"/>
    <w:rsid w:val="005C0BDD"/>
    <w:rsid w:val="005C0FF9"/>
    <w:rsid w:val="005C11E1"/>
    <w:rsid w:val="005C1221"/>
    <w:rsid w:val="005C1AB1"/>
    <w:rsid w:val="005C1B6B"/>
    <w:rsid w:val="005C1B83"/>
    <w:rsid w:val="005C1CAE"/>
    <w:rsid w:val="005C1E64"/>
    <w:rsid w:val="005C1F81"/>
    <w:rsid w:val="005C2761"/>
    <w:rsid w:val="005C2CED"/>
    <w:rsid w:val="005C2D4D"/>
    <w:rsid w:val="005C346B"/>
    <w:rsid w:val="005C351B"/>
    <w:rsid w:val="005C3B50"/>
    <w:rsid w:val="005C3B77"/>
    <w:rsid w:val="005C3BA2"/>
    <w:rsid w:val="005C41F1"/>
    <w:rsid w:val="005C4DF2"/>
    <w:rsid w:val="005C4EE1"/>
    <w:rsid w:val="005C4F2E"/>
    <w:rsid w:val="005C50E0"/>
    <w:rsid w:val="005C564B"/>
    <w:rsid w:val="005C5935"/>
    <w:rsid w:val="005C5BC1"/>
    <w:rsid w:val="005C5CF5"/>
    <w:rsid w:val="005C60E9"/>
    <w:rsid w:val="005C614D"/>
    <w:rsid w:val="005C6637"/>
    <w:rsid w:val="005C6977"/>
    <w:rsid w:val="005C6B5C"/>
    <w:rsid w:val="005C6E89"/>
    <w:rsid w:val="005C6FD7"/>
    <w:rsid w:val="005C7252"/>
    <w:rsid w:val="005C774E"/>
    <w:rsid w:val="005C78AD"/>
    <w:rsid w:val="005C78E4"/>
    <w:rsid w:val="005C795B"/>
    <w:rsid w:val="005D044D"/>
    <w:rsid w:val="005D06EF"/>
    <w:rsid w:val="005D0B7B"/>
    <w:rsid w:val="005D1011"/>
    <w:rsid w:val="005D137B"/>
    <w:rsid w:val="005D1636"/>
    <w:rsid w:val="005D1848"/>
    <w:rsid w:val="005D18AD"/>
    <w:rsid w:val="005D1CBB"/>
    <w:rsid w:val="005D1F11"/>
    <w:rsid w:val="005D2086"/>
    <w:rsid w:val="005D2770"/>
    <w:rsid w:val="005D284C"/>
    <w:rsid w:val="005D2894"/>
    <w:rsid w:val="005D2A68"/>
    <w:rsid w:val="005D2BAA"/>
    <w:rsid w:val="005D3500"/>
    <w:rsid w:val="005D3666"/>
    <w:rsid w:val="005D3743"/>
    <w:rsid w:val="005D3900"/>
    <w:rsid w:val="005D3DB6"/>
    <w:rsid w:val="005D4479"/>
    <w:rsid w:val="005D471C"/>
    <w:rsid w:val="005D4830"/>
    <w:rsid w:val="005D4867"/>
    <w:rsid w:val="005D5109"/>
    <w:rsid w:val="005D5320"/>
    <w:rsid w:val="005D59BC"/>
    <w:rsid w:val="005D59C0"/>
    <w:rsid w:val="005D59FD"/>
    <w:rsid w:val="005D5C01"/>
    <w:rsid w:val="005D5FA2"/>
    <w:rsid w:val="005D601F"/>
    <w:rsid w:val="005D6433"/>
    <w:rsid w:val="005D687E"/>
    <w:rsid w:val="005D6B60"/>
    <w:rsid w:val="005D6F78"/>
    <w:rsid w:val="005D6F98"/>
    <w:rsid w:val="005D7189"/>
    <w:rsid w:val="005D72AE"/>
    <w:rsid w:val="005D75D6"/>
    <w:rsid w:val="005D7732"/>
    <w:rsid w:val="005D778F"/>
    <w:rsid w:val="005D7AB1"/>
    <w:rsid w:val="005D7B38"/>
    <w:rsid w:val="005D7EC2"/>
    <w:rsid w:val="005E01F7"/>
    <w:rsid w:val="005E03E2"/>
    <w:rsid w:val="005E040C"/>
    <w:rsid w:val="005E0509"/>
    <w:rsid w:val="005E077E"/>
    <w:rsid w:val="005E0B41"/>
    <w:rsid w:val="005E0C36"/>
    <w:rsid w:val="005E0DD6"/>
    <w:rsid w:val="005E0DED"/>
    <w:rsid w:val="005E1095"/>
    <w:rsid w:val="005E1120"/>
    <w:rsid w:val="005E1773"/>
    <w:rsid w:val="005E212E"/>
    <w:rsid w:val="005E2283"/>
    <w:rsid w:val="005E2A2E"/>
    <w:rsid w:val="005E2C5C"/>
    <w:rsid w:val="005E2D52"/>
    <w:rsid w:val="005E334A"/>
    <w:rsid w:val="005E3B04"/>
    <w:rsid w:val="005E43D3"/>
    <w:rsid w:val="005E43ED"/>
    <w:rsid w:val="005E4477"/>
    <w:rsid w:val="005E4AC6"/>
    <w:rsid w:val="005E4B1E"/>
    <w:rsid w:val="005E4C1F"/>
    <w:rsid w:val="005E4E81"/>
    <w:rsid w:val="005E50B6"/>
    <w:rsid w:val="005E5288"/>
    <w:rsid w:val="005E5318"/>
    <w:rsid w:val="005E549C"/>
    <w:rsid w:val="005E54B6"/>
    <w:rsid w:val="005E596D"/>
    <w:rsid w:val="005E5AD3"/>
    <w:rsid w:val="005E5BCF"/>
    <w:rsid w:val="005E618D"/>
    <w:rsid w:val="005E63D7"/>
    <w:rsid w:val="005E65A3"/>
    <w:rsid w:val="005E65BD"/>
    <w:rsid w:val="005E6834"/>
    <w:rsid w:val="005E70D4"/>
    <w:rsid w:val="005E7117"/>
    <w:rsid w:val="005E73C0"/>
    <w:rsid w:val="005E748A"/>
    <w:rsid w:val="005E7BDD"/>
    <w:rsid w:val="005E7C37"/>
    <w:rsid w:val="005E7F40"/>
    <w:rsid w:val="005F01D3"/>
    <w:rsid w:val="005F02AE"/>
    <w:rsid w:val="005F0416"/>
    <w:rsid w:val="005F04F2"/>
    <w:rsid w:val="005F07BD"/>
    <w:rsid w:val="005F099F"/>
    <w:rsid w:val="005F09DC"/>
    <w:rsid w:val="005F0C41"/>
    <w:rsid w:val="005F0D01"/>
    <w:rsid w:val="005F10AA"/>
    <w:rsid w:val="005F12D7"/>
    <w:rsid w:val="005F13B8"/>
    <w:rsid w:val="005F1592"/>
    <w:rsid w:val="005F1626"/>
    <w:rsid w:val="005F1DC7"/>
    <w:rsid w:val="005F1F0D"/>
    <w:rsid w:val="005F20AD"/>
    <w:rsid w:val="005F237B"/>
    <w:rsid w:val="005F268A"/>
    <w:rsid w:val="005F2706"/>
    <w:rsid w:val="005F296E"/>
    <w:rsid w:val="005F2B75"/>
    <w:rsid w:val="005F2BB1"/>
    <w:rsid w:val="005F30F6"/>
    <w:rsid w:val="005F36B5"/>
    <w:rsid w:val="005F3A42"/>
    <w:rsid w:val="005F3D14"/>
    <w:rsid w:val="005F3F2D"/>
    <w:rsid w:val="005F4594"/>
    <w:rsid w:val="005F4784"/>
    <w:rsid w:val="005F512C"/>
    <w:rsid w:val="005F52E0"/>
    <w:rsid w:val="005F53D0"/>
    <w:rsid w:val="005F56CE"/>
    <w:rsid w:val="005F58FB"/>
    <w:rsid w:val="005F5A63"/>
    <w:rsid w:val="005F60CB"/>
    <w:rsid w:val="005F6282"/>
    <w:rsid w:val="005F634B"/>
    <w:rsid w:val="005F6A8F"/>
    <w:rsid w:val="005F6B81"/>
    <w:rsid w:val="005F6E33"/>
    <w:rsid w:val="005F72A1"/>
    <w:rsid w:val="005F7492"/>
    <w:rsid w:val="005F7494"/>
    <w:rsid w:val="005F75BD"/>
    <w:rsid w:val="00600148"/>
    <w:rsid w:val="006001AC"/>
    <w:rsid w:val="00600483"/>
    <w:rsid w:val="00600500"/>
    <w:rsid w:val="00600906"/>
    <w:rsid w:val="0060093F"/>
    <w:rsid w:val="00600D95"/>
    <w:rsid w:val="00601916"/>
    <w:rsid w:val="006020F5"/>
    <w:rsid w:val="00602B38"/>
    <w:rsid w:val="00602E4B"/>
    <w:rsid w:val="00603611"/>
    <w:rsid w:val="006037FB"/>
    <w:rsid w:val="00603CE7"/>
    <w:rsid w:val="0060480F"/>
    <w:rsid w:val="00604894"/>
    <w:rsid w:val="006048DF"/>
    <w:rsid w:val="00604BC9"/>
    <w:rsid w:val="00604C1C"/>
    <w:rsid w:val="00604CD0"/>
    <w:rsid w:val="00604F57"/>
    <w:rsid w:val="006050FD"/>
    <w:rsid w:val="006051CE"/>
    <w:rsid w:val="00605779"/>
    <w:rsid w:val="00605989"/>
    <w:rsid w:val="00605A9B"/>
    <w:rsid w:val="00605AA8"/>
    <w:rsid w:val="00605C9B"/>
    <w:rsid w:val="00605D9B"/>
    <w:rsid w:val="00605E2A"/>
    <w:rsid w:val="00606192"/>
    <w:rsid w:val="006065CC"/>
    <w:rsid w:val="00606A2D"/>
    <w:rsid w:val="00606A52"/>
    <w:rsid w:val="00606B35"/>
    <w:rsid w:val="00606B9F"/>
    <w:rsid w:val="00606BB5"/>
    <w:rsid w:val="006073F5"/>
    <w:rsid w:val="006075AB"/>
    <w:rsid w:val="00607669"/>
    <w:rsid w:val="006076E4"/>
    <w:rsid w:val="006077F9"/>
    <w:rsid w:val="00607F26"/>
    <w:rsid w:val="006102B7"/>
    <w:rsid w:val="00610524"/>
    <w:rsid w:val="00610BFB"/>
    <w:rsid w:val="00610D68"/>
    <w:rsid w:val="00610D6D"/>
    <w:rsid w:val="006116FB"/>
    <w:rsid w:val="00611DC3"/>
    <w:rsid w:val="00611DF5"/>
    <w:rsid w:val="00611E29"/>
    <w:rsid w:val="00611E51"/>
    <w:rsid w:val="00611FEF"/>
    <w:rsid w:val="00612238"/>
    <w:rsid w:val="0061248C"/>
    <w:rsid w:val="006124A3"/>
    <w:rsid w:val="0061290D"/>
    <w:rsid w:val="00612F97"/>
    <w:rsid w:val="00612FC5"/>
    <w:rsid w:val="00612FFA"/>
    <w:rsid w:val="0061327C"/>
    <w:rsid w:val="00613410"/>
    <w:rsid w:val="00613515"/>
    <w:rsid w:val="00613CF7"/>
    <w:rsid w:val="00613DB9"/>
    <w:rsid w:val="00614062"/>
    <w:rsid w:val="00614262"/>
    <w:rsid w:val="0061438B"/>
    <w:rsid w:val="006149F1"/>
    <w:rsid w:val="00614B44"/>
    <w:rsid w:val="00614EFE"/>
    <w:rsid w:val="006151A7"/>
    <w:rsid w:val="00615538"/>
    <w:rsid w:val="006156C4"/>
    <w:rsid w:val="00615A7D"/>
    <w:rsid w:val="00615E06"/>
    <w:rsid w:val="0061621A"/>
    <w:rsid w:val="006162A8"/>
    <w:rsid w:val="00616483"/>
    <w:rsid w:val="006167CB"/>
    <w:rsid w:val="00616802"/>
    <w:rsid w:val="00616C2C"/>
    <w:rsid w:val="00616C54"/>
    <w:rsid w:val="00616D5B"/>
    <w:rsid w:val="00616E80"/>
    <w:rsid w:val="00616EA3"/>
    <w:rsid w:val="00617231"/>
    <w:rsid w:val="006172C4"/>
    <w:rsid w:val="00617363"/>
    <w:rsid w:val="00617377"/>
    <w:rsid w:val="00617616"/>
    <w:rsid w:val="006176AE"/>
    <w:rsid w:val="0061770E"/>
    <w:rsid w:val="00617E12"/>
    <w:rsid w:val="00617E63"/>
    <w:rsid w:val="00617ED5"/>
    <w:rsid w:val="00617EE0"/>
    <w:rsid w:val="0062029A"/>
    <w:rsid w:val="006202E3"/>
    <w:rsid w:val="006207A8"/>
    <w:rsid w:val="006209D2"/>
    <w:rsid w:val="00620B38"/>
    <w:rsid w:val="00620D20"/>
    <w:rsid w:val="00621089"/>
    <w:rsid w:val="00621477"/>
    <w:rsid w:val="00621764"/>
    <w:rsid w:val="00621A35"/>
    <w:rsid w:val="00621CEA"/>
    <w:rsid w:val="00622693"/>
    <w:rsid w:val="00622716"/>
    <w:rsid w:val="00622F55"/>
    <w:rsid w:val="00622F7D"/>
    <w:rsid w:val="00623133"/>
    <w:rsid w:val="006231C2"/>
    <w:rsid w:val="006231E6"/>
    <w:rsid w:val="0062353B"/>
    <w:rsid w:val="00623BD2"/>
    <w:rsid w:val="00623F32"/>
    <w:rsid w:val="0062406F"/>
    <w:rsid w:val="00624181"/>
    <w:rsid w:val="0062427E"/>
    <w:rsid w:val="00624478"/>
    <w:rsid w:val="00624513"/>
    <w:rsid w:val="00624534"/>
    <w:rsid w:val="00624979"/>
    <w:rsid w:val="00624A12"/>
    <w:rsid w:val="00624DFE"/>
    <w:rsid w:val="00624E82"/>
    <w:rsid w:val="0062508D"/>
    <w:rsid w:val="00625E72"/>
    <w:rsid w:val="00626028"/>
    <w:rsid w:val="0062707B"/>
    <w:rsid w:val="00627485"/>
    <w:rsid w:val="006275CA"/>
    <w:rsid w:val="006276AA"/>
    <w:rsid w:val="00627F44"/>
    <w:rsid w:val="0063006A"/>
    <w:rsid w:val="00630070"/>
    <w:rsid w:val="00630144"/>
    <w:rsid w:val="00630153"/>
    <w:rsid w:val="006305C1"/>
    <w:rsid w:val="00630693"/>
    <w:rsid w:val="006308EC"/>
    <w:rsid w:val="00630F99"/>
    <w:rsid w:val="00631301"/>
    <w:rsid w:val="0063199C"/>
    <w:rsid w:val="00631A3C"/>
    <w:rsid w:val="00631D6B"/>
    <w:rsid w:val="00631ED6"/>
    <w:rsid w:val="00631FEC"/>
    <w:rsid w:val="0063219D"/>
    <w:rsid w:val="00632F28"/>
    <w:rsid w:val="0063322B"/>
    <w:rsid w:val="00633337"/>
    <w:rsid w:val="00633557"/>
    <w:rsid w:val="006335CB"/>
    <w:rsid w:val="006336D0"/>
    <w:rsid w:val="006336D9"/>
    <w:rsid w:val="006338EA"/>
    <w:rsid w:val="00633E72"/>
    <w:rsid w:val="00633E8F"/>
    <w:rsid w:val="00634288"/>
    <w:rsid w:val="00634393"/>
    <w:rsid w:val="0063479F"/>
    <w:rsid w:val="00634810"/>
    <w:rsid w:val="00634824"/>
    <w:rsid w:val="006348C2"/>
    <w:rsid w:val="006349DC"/>
    <w:rsid w:val="00634AC9"/>
    <w:rsid w:val="00634AD1"/>
    <w:rsid w:val="00634CFE"/>
    <w:rsid w:val="0063519C"/>
    <w:rsid w:val="00635237"/>
    <w:rsid w:val="0063528B"/>
    <w:rsid w:val="006352A7"/>
    <w:rsid w:val="006352BD"/>
    <w:rsid w:val="00635875"/>
    <w:rsid w:val="00635D3E"/>
    <w:rsid w:val="00636379"/>
    <w:rsid w:val="006364A1"/>
    <w:rsid w:val="006365C8"/>
    <w:rsid w:val="0063687F"/>
    <w:rsid w:val="00636AA6"/>
    <w:rsid w:val="00636F3A"/>
    <w:rsid w:val="006371B5"/>
    <w:rsid w:val="006371FA"/>
    <w:rsid w:val="006374F3"/>
    <w:rsid w:val="00637BFD"/>
    <w:rsid w:val="00637D59"/>
    <w:rsid w:val="006400A2"/>
    <w:rsid w:val="006400E1"/>
    <w:rsid w:val="0064049E"/>
    <w:rsid w:val="006407A3"/>
    <w:rsid w:val="006409F5"/>
    <w:rsid w:val="00640CA3"/>
    <w:rsid w:val="00641225"/>
    <w:rsid w:val="006412B9"/>
    <w:rsid w:val="00641355"/>
    <w:rsid w:val="0064142A"/>
    <w:rsid w:val="0064154E"/>
    <w:rsid w:val="006416CB"/>
    <w:rsid w:val="00641915"/>
    <w:rsid w:val="00641A72"/>
    <w:rsid w:val="00641B1F"/>
    <w:rsid w:val="00641DC4"/>
    <w:rsid w:val="00642277"/>
    <w:rsid w:val="00642779"/>
    <w:rsid w:val="00642893"/>
    <w:rsid w:val="00642A25"/>
    <w:rsid w:val="00643338"/>
    <w:rsid w:val="006433D2"/>
    <w:rsid w:val="006434BB"/>
    <w:rsid w:val="006437CF"/>
    <w:rsid w:val="006442B6"/>
    <w:rsid w:val="006442E4"/>
    <w:rsid w:val="006446D1"/>
    <w:rsid w:val="00644F16"/>
    <w:rsid w:val="00645448"/>
    <w:rsid w:val="0064555F"/>
    <w:rsid w:val="00645858"/>
    <w:rsid w:val="00645907"/>
    <w:rsid w:val="0064618F"/>
    <w:rsid w:val="00646298"/>
    <w:rsid w:val="00646616"/>
    <w:rsid w:val="00646686"/>
    <w:rsid w:val="006466BF"/>
    <w:rsid w:val="00646781"/>
    <w:rsid w:val="0064682B"/>
    <w:rsid w:val="00646ECC"/>
    <w:rsid w:val="006471CC"/>
    <w:rsid w:val="006475BE"/>
    <w:rsid w:val="00647A84"/>
    <w:rsid w:val="00647DAE"/>
    <w:rsid w:val="00650250"/>
    <w:rsid w:val="006502CE"/>
    <w:rsid w:val="006505D6"/>
    <w:rsid w:val="00650741"/>
    <w:rsid w:val="0065079F"/>
    <w:rsid w:val="00650C8A"/>
    <w:rsid w:val="00650D29"/>
    <w:rsid w:val="00650E0E"/>
    <w:rsid w:val="00650E22"/>
    <w:rsid w:val="00650FA1"/>
    <w:rsid w:val="00651240"/>
    <w:rsid w:val="006517D3"/>
    <w:rsid w:val="00651A5A"/>
    <w:rsid w:val="00652245"/>
    <w:rsid w:val="006524D7"/>
    <w:rsid w:val="0065292D"/>
    <w:rsid w:val="00652AA3"/>
    <w:rsid w:val="00652BC0"/>
    <w:rsid w:val="00652D77"/>
    <w:rsid w:val="0065312C"/>
    <w:rsid w:val="0065324F"/>
    <w:rsid w:val="00653418"/>
    <w:rsid w:val="006534AA"/>
    <w:rsid w:val="00653552"/>
    <w:rsid w:val="00653943"/>
    <w:rsid w:val="00653B02"/>
    <w:rsid w:val="00653BFB"/>
    <w:rsid w:val="00653D6E"/>
    <w:rsid w:val="00653E86"/>
    <w:rsid w:val="00654432"/>
    <w:rsid w:val="00654A60"/>
    <w:rsid w:val="00654FFA"/>
    <w:rsid w:val="00655ACE"/>
    <w:rsid w:val="00655BDB"/>
    <w:rsid w:val="0065620E"/>
    <w:rsid w:val="0065627A"/>
    <w:rsid w:val="0065696B"/>
    <w:rsid w:val="00656BE3"/>
    <w:rsid w:val="00656C6B"/>
    <w:rsid w:val="00657A39"/>
    <w:rsid w:val="00657CDF"/>
    <w:rsid w:val="00657E60"/>
    <w:rsid w:val="00660402"/>
    <w:rsid w:val="00660674"/>
    <w:rsid w:val="0066083A"/>
    <w:rsid w:val="006608FA"/>
    <w:rsid w:val="006612B7"/>
    <w:rsid w:val="0066161E"/>
    <w:rsid w:val="006617F3"/>
    <w:rsid w:val="00661FF2"/>
    <w:rsid w:val="0066263B"/>
    <w:rsid w:val="00662778"/>
    <w:rsid w:val="006629E9"/>
    <w:rsid w:val="00662D4F"/>
    <w:rsid w:val="00662E11"/>
    <w:rsid w:val="00662F22"/>
    <w:rsid w:val="00662FA0"/>
    <w:rsid w:val="00663A2F"/>
    <w:rsid w:val="00663C34"/>
    <w:rsid w:val="00663CEC"/>
    <w:rsid w:val="00663F97"/>
    <w:rsid w:val="006644EF"/>
    <w:rsid w:val="00664716"/>
    <w:rsid w:val="00664B93"/>
    <w:rsid w:val="00664D1E"/>
    <w:rsid w:val="00664EC9"/>
    <w:rsid w:val="0066525B"/>
    <w:rsid w:val="00665392"/>
    <w:rsid w:val="00665559"/>
    <w:rsid w:val="00665975"/>
    <w:rsid w:val="00666210"/>
    <w:rsid w:val="0066630F"/>
    <w:rsid w:val="00666C1F"/>
    <w:rsid w:val="00666D05"/>
    <w:rsid w:val="00666FDB"/>
    <w:rsid w:val="006670FD"/>
    <w:rsid w:val="00667223"/>
    <w:rsid w:val="00667383"/>
    <w:rsid w:val="006676F7"/>
    <w:rsid w:val="0066771E"/>
    <w:rsid w:val="00667BB1"/>
    <w:rsid w:val="00667CB4"/>
    <w:rsid w:val="00667CF5"/>
    <w:rsid w:val="006707D7"/>
    <w:rsid w:val="006708DC"/>
    <w:rsid w:val="00670D53"/>
    <w:rsid w:val="00671ED8"/>
    <w:rsid w:val="0067240F"/>
    <w:rsid w:val="00672444"/>
    <w:rsid w:val="0067272C"/>
    <w:rsid w:val="00672886"/>
    <w:rsid w:val="00672992"/>
    <w:rsid w:val="00672ACF"/>
    <w:rsid w:val="00672B74"/>
    <w:rsid w:val="00672E0C"/>
    <w:rsid w:val="0067302C"/>
    <w:rsid w:val="0067314C"/>
    <w:rsid w:val="00673219"/>
    <w:rsid w:val="006737F3"/>
    <w:rsid w:val="00673B45"/>
    <w:rsid w:val="00673B5E"/>
    <w:rsid w:val="00673EBD"/>
    <w:rsid w:val="00674020"/>
    <w:rsid w:val="006742CC"/>
    <w:rsid w:val="006742CD"/>
    <w:rsid w:val="00674682"/>
    <w:rsid w:val="006748F9"/>
    <w:rsid w:val="00674954"/>
    <w:rsid w:val="00674BA2"/>
    <w:rsid w:val="00674DA4"/>
    <w:rsid w:val="00674E42"/>
    <w:rsid w:val="0067528C"/>
    <w:rsid w:val="006754F0"/>
    <w:rsid w:val="006758B5"/>
    <w:rsid w:val="00675915"/>
    <w:rsid w:val="00675ED7"/>
    <w:rsid w:val="00675F8B"/>
    <w:rsid w:val="00676018"/>
    <w:rsid w:val="006761C5"/>
    <w:rsid w:val="006761F5"/>
    <w:rsid w:val="00676621"/>
    <w:rsid w:val="00676705"/>
    <w:rsid w:val="00676783"/>
    <w:rsid w:val="0067682E"/>
    <w:rsid w:val="00676CA6"/>
    <w:rsid w:val="006775CB"/>
    <w:rsid w:val="006776E7"/>
    <w:rsid w:val="006776F5"/>
    <w:rsid w:val="00680212"/>
    <w:rsid w:val="006802C4"/>
    <w:rsid w:val="00680564"/>
    <w:rsid w:val="0068091F"/>
    <w:rsid w:val="00680985"/>
    <w:rsid w:val="00680DBE"/>
    <w:rsid w:val="00680E03"/>
    <w:rsid w:val="00680FF6"/>
    <w:rsid w:val="006816E4"/>
    <w:rsid w:val="0068192F"/>
    <w:rsid w:val="00681F0F"/>
    <w:rsid w:val="00682112"/>
    <w:rsid w:val="006823B0"/>
    <w:rsid w:val="006824DE"/>
    <w:rsid w:val="006828CA"/>
    <w:rsid w:val="00682D5F"/>
    <w:rsid w:val="00682FA7"/>
    <w:rsid w:val="006832F2"/>
    <w:rsid w:val="0068339B"/>
    <w:rsid w:val="006833DC"/>
    <w:rsid w:val="0068374D"/>
    <w:rsid w:val="006837FB"/>
    <w:rsid w:val="00683AB2"/>
    <w:rsid w:val="00683DB6"/>
    <w:rsid w:val="00683E0E"/>
    <w:rsid w:val="00683FFE"/>
    <w:rsid w:val="00684220"/>
    <w:rsid w:val="00684320"/>
    <w:rsid w:val="00684353"/>
    <w:rsid w:val="006844F0"/>
    <w:rsid w:val="0068483F"/>
    <w:rsid w:val="00684B0F"/>
    <w:rsid w:val="00684B3D"/>
    <w:rsid w:val="0068519B"/>
    <w:rsid w:val="00685498"/>
    <w:rsid w:val="006858C4"/>
    <w:rsid w:val="00685E36"/>
    <w:rsid w:val="00685EA7"/>
    <w:rsid w:val="00686383"/>
    <w:rsid w:val="00686EBB"/>
    <w:rsid w:val="0068702C"/>
    <w:rsid w:val="0068704D"/>
    <w:rsid w:val="006872BA"/>
    <w:rsid w:val="00687432"/>
    <w:rsid w:val="006874A8"/>
    <w:rsid w:val="00687651"/>
    <w:rsid w:val="00687AB8"/>
    <w:rsid w:val="00687C0C"/>
    <w:rsid w:val="00687EA0"/>
    <w:rsid w:val="006900A6"/>
    <w:rsid w:val="006902FF"/>
    <w:rsid w:val="0069130A"/>
    <w:rsid w:val="006913D4"/>
    <w:rsid w:val="00691401"/>
    <w:rsid w:val="006915EF"/>
    <w:rsid w:val="006917D7"/>
    <w:rsid w:val="00691821"/>
    <w:rsid w:val="006919E0"/>
    <w:rsid w:val="00691C4F"/>
    <w:rsid w:val="00692020"/>
    <w:rsid w:val="006920E4"/>
    <w:rsid w:val="00692489"/>
    <w:rsid w:val="00692679"/>
    <w:rsid w:val="006926F5"/>
    <w:rsid w:val="00692B57"/>
    <w:rsid w:val="00692BA0"/>
    <w:rsid w:val="00692BCD"/>
    <w:rsid w:val="006932DA"/>
    <w:rsid w:val="006936D6"/>
    <w:rsid w:val="00693A84"/>
    <w:rsid w:val="00693D73"/>
    <w:rsid w:val="00694D09"/>
    <w:rsid w:val="00694F06"/>
    <w:rsid w:val="00694F44"/>
    <w:rsid w:val="00695641"/>
    <w:rsid w:val="0069635F"/>
    <w:rsid w:val="006964AB"/>
    <w:rsid w:val="006964EF"/>
    <w:rsid w:val="00696543"/>
    <w:rsid w:val="006967CC"/>
    <w:rsid w:val="00696B45"/>
    <w:rsid w:val="006972AA"/>
    <w:rsid w:val="006973E2"/>
    <w:rsid w:val="0069754F"/>
    <w:rsid w:val="006978E0"/>
    <w:rsid w:val="00697C0A"/>
    <w:rsid w:val="00697C4C"/>
    <w:rsid w:val="00697D16"/>
    <w:rsid w:val="006A003C"/>
    <w:rsid w:val="006A00EA"/>
    <w:rsid w:val="006A0356"/>
    <w:rsid w:val="006A0425"/>
    <w:rsid w:val="006A0468"/>
    <w:rsid w:val="006A0599"/>
    <w:rsid w:val="006A064E"/>
    <w:rsid w:val="006A0675"/>
    <w:rsid w:val="006A06DB"/>
    <w:rsid w:val="006A06F7"/>
    <w:rsid w:val="006A09A5"/>
    <w:rsid w:val="006A09AC"/>
    <w:rsid w:val="006A0B8C"/>
    <w:rsid w:val="006A0CF0"/>
    <w:rsid w:val="006A0F5A"/>
    <w:rsid w:val="006A1763"/>
    <w:rsid w:val="006A1820"/>
    <w:rsid w:val="006A1DCD"/>
    <w:rsid w:val="006A1E0F"/>
    <w:rsid w:val="006A258B"/>
    <w:rsid w:val="006A2BA1"/>
    <w:rsid w:val="006A2BCF"/>
    <w:rsid w:val="006A2C16"/>
    <w:rsid w:val="006A2DFF"/>
    <w:rsid w:val="006A2E4E"/>
    <w:rsid w:val="006A2EE0"/>
    <w:rsid w:val="006A2FCE"/>
    <w:rsid w:val="006A3129"/>
    <w:rsid w:val="006A33E4"/>
    <w:rsid w:val="006A3585"/>
    <w:rsid w:val="006A3823"/>
    <w:rsid w:val="006A3AA7"/>
    <w:rsid w:val="006A4277"/>
    <w:rsid w:val="006A43D8"/>
    <w:rsid w:val="006A44E9"/>
    <w:rsid w:val="006A46A6"/>
    <w:rsid w:val="006A47C0"/>
    <w:rsid w:val="006A4ABA"/>
    <w:rsid w:val="006A5130"/>
    <w:rsid w:val="006A535F"/>
    <w:rsid w:val="006A55EE"/>
    <w:rsid w:val="006A5955"/>
    <w:rsid w:val="006A655B"/>
    <w:rsid w:val="006A65E1"/>
    <w:rsid w:val="006A69F4"/>
    <w:rsid w:val="006A70FC"/>
    <w:rsid w:val="006A7351"/>
    <w:rsid w:val="006A7533"/>
    <w:rsid w:val="006A7B6D"/>
    <w:rsid w:val="006A7CBD"/>
    <w:rsid w:val="006B09C2"/>
    <w:rsid w:val="006B0AE4"/>
    <w:rsid w:val="006B0C35"/>
    <w:rsid w:val="006B117A"/>
    <w:rsid w:val="006B260F"/>
    <w:rsid w:val="006B299A"/>
    <w:rsid w:val="006B2BA0"/>
    <w:rsid w:val="006B2D62"/>
    <w:rsid w:val="006B2D72"/>
    <w:rsid w:val="006B3151"/>
    <w:rsid w:val="006B45EA"/>
    <w:rsid w:val="006B4821"/>
    <w:rsid w:val="006B4ED1"/>
    <w:rsid w:val="006B51EF"/>
    <w:rsid w:val="006B523E"/>
    <w:rsid w:val="006B5B4A"/>
    <w:rsid w:val="006B5C28"/>
    <w:rsid w:val="006B5D62"/>
    <w:rsid w:val="006B6093"/>
    <w:rsid w:val="006B6369"/>
    <w:rsid w:val="006B6479"/>
    <w:rsid w:val="006B65DC"/>
    <w:rsid w:val="006B6B24"/>
    <w:rsid w:val="006B6B40"/>
    <w:rsid w:val="006B6CE3"/>
    <w:rsid w:val="006B6EBA"/>
    <w:rsid w:val="006B70D8"/>
    <w:rsid w:val="006B7949"/>
    <w:rsid w:val="006B7D2A"/>
    <w:rsid w:val="006C04A0"/>
    <w:rsid w:val="006C04E5"/>
    <w:rsid w:val="006C05A4"/>
    <w:rsid w:val="006C070D"/>
    <w:rsid w:val="006C0764"/>
    <w:rsid w:val="006C0CFB"/>
    <w:rsid w:val="006C105D"/>
    <w:rsid w:val="006C14D9"/>
    <w:rsid w:val="006C164B"/>
    <w:rsid w:val="006C197E"/>
    <w:rsid w:val="006C1DAA"/>
    <w:rsid w:val="006C21EF"/>
    <w:rsid w:val="006C2217"/>
    <w:rsid w:val="006C2229"/>
    <w:rsid w:val="006C228B"/>
    <w:rsid w:val="006C28F4"/>
    <w:rsid w:val="006C2A8E"/>
    <w:rsid w:val="006C2D4B"/>
    <w:rsid w:val="006C2DEF"/>
    <w:rsid w:val="006C2F69"/>
    <w:rsid w:val="006C33E1"/>
    <w:rsid w:val="006C340B"/>
    <w:rsid w:val="006C3549"/>
    <w:rsid w:val="006C382B"/>
    <w:rsid w:val="006C3BF2"/>
    <w:rsid w:val="006C412B"/>
    <w:rsid w:val="006C4392"/>
    <w:rsid w:val="006C4420"/>
    <w:rsid w:val="006C4576"/>
    <w:rsid w:val="006C479A"/>
    <w:rsid w:val="006C48B8"/>
    <w:rsid w:val="006C498B"/>
    <w:rsid w:val="006C4B3C"/>
    <w:rsid w:val="006C4FEA"/>
    <w:rsid w:val="006C5A9E"/>
    <w:rsid w:val="006C5AA8"/>
    <w:rsid w:val="006C5D8A"/>
    <w:rsid w:val="006C62B9"/>
    <w:rsid w:val="006C68BB"/>
    <w:rsid w:val="006C6A17"/>
    <w:rsid w:val="006C6B0C"/>
    <w:rsid w:val="006C6BC2"/>
    <w:rsid w:val="006C6FBC"/>
    <w:rsid w:val="006C6FEA"/>
    <w:rsid w:val="006C72EE"/>
    <w:rsid w:val="006C7640"/>
    <w:rsid w:val="006C7644"/>
    <w:rsid w:val="006C76BA"/>
    <w:rsid w:val="006C7D5B"/>
    <w:rsid w:val="006D017C"/>
    <w:rsid w:val="006D01DA"/>
    <w:rsid w:val="006D0389"/>
    <w:rsid w:val="006D05F9"/>
    <w:rsid w:val="006D0845"/>
    <w:rsid w:val="006D0B42"/>
    <w:rsid w:val="006D0C0E"/>
    <w:rsid w:val="006D0F51"/>
    <w:rsid w:val="006D1014"/>
    <w:rsid w:val="006D11C3"/>
    <w:rsid w:val="006D1247"/>
    <w:rsid w:val="006D1409"/>
    <w:rsid w:val="006D14F2"/>
    <w:rsid w:val="006D15B4"/>
    <w:rsid w:val="006D1719"/>
    <w:rsid w:val="006D17CA"/>
    <w:rsid w:val="006D18DD"/>
    <w:rsid w:val="006D1AE3"/>
    <w:rsid w:val="006D2389"/>
    <w:rsid w:val="006D26CE"/>
    <w:rsid w:val="006D28B2"/>
    <w:rsid w:val="006D29B5"/>
    <w:rsid w:val="006D2ACA"/>
    <w:rsid w:val="006D2B05"/>
    <w:rsid w:val="006D3434"/>
    <w:rsid w:val="006D3527"/>
    <w:rsid w:val="006D35E4"/>
    <w:rsid w:val="006D364C"/>
    <w:rsid w:val="006D38CC"/>
    <w:rsid w:val="006D397B"/>
    <w:rsid w:val="006D3A78"/>
    <w:rsid w:val="006D3C7D"/>
    <w:rsid w:val="006D3EB7"/>
    <w:rsid w:val="006D40FB"/>
    <w:rsid w:val="006D4282"/>
    <w:rsid w:val="006D44EB"/>
    <w:rsid w:val="006D47F5"/>
    <w:rsid w:val="006D48F5"/>
    <w:rsid w:val="006D4B44"/>
    <w:rsid w:val="006D5496"/>
    <w:rsid w:val="006D5651"/>
    <w:rsid w:val="006D56B5"/>
    <w:rsid w:val="006D58CB"/>
    <w:rsid w:val="006D5D5F"/>
    <w:rsid w:val="006D61A6"/>
    <w:rsid w:val="006D6333"/>
    <w:rsid w:val="006D67ED"/>
    <w:rsid w:val="006D6FEA"/>
    <w:rsid w:val="006D702B"/>
    <w:rsid w:val="006D74D2"/>
    <w:rsid w:val="006D76BB"/>
    <w:rsid w:val="006D776C"/>
    <w:rsid w:val="006D7AC5"/>
    <w:rsid w:val="006D7CF7"/>
    <w:rsid w:val="006E0690"/>
    <w:rsid w:val="006E0808"/>
    <w:rsid w:val="006E0BF7"/>
    <w:rsid w:val="006E0C36"/>
    <w:rsid w:val="006E0F78"/>
    <w:rsid w:val="006E1280"/>
    <w:rsid w:val="006E144A"/>
    <w:rsid w:val="006E19E5"/>
    <w:rsid w:val="006E246A"/>
    <w:rsid w:val="006E24BA"/>
    <w:rsid w:val="006E2913"/>
    <w:rsid w:val="006E2926"/>
    <w:rsid w:val="006E2D84"/>
    <w:rsid w:val="006E315F"/>
    <w:rsid w:val="006E31F2"/>
    <w:rsid w:val="006E329C"/>
    <w:rsid w:val="006E37A8"/>
    <w:rsid w:val="006E4296"/>
    <w:rsid w:val="006E4587"/>
    <w:rsid w:val="006E4B63"/>
    <w:rsid w:val="006E4EF6"/>
    <w:rsid w:val="006E4F89"/>
    <w:rsid w:val="006E4FDB"/>
    <w:rsid w:val="006E51CE"/>
    <w:rsid w:val="006E52C8"/>
    <w:rsid w:val="006E5441"/>
    <w:rsid w:val="006E5889"/>
    <w:rsid w:val="006E5D2E"/>
    <w:rsid w:val="006E5D49"/>
    <w:rsid w:val="006E5DCB"/>
    <w:rsid w:val="006E5E00"/>
    <w:rsid w:val="006E6BBE"/>
    <w:rsid w:val="006E6CDD"/>
    <w:rsid w:val="006E6DCA"/>
    <w:rsid w:val="006E6E10"/>
    <w:rsid w:val="006E6F13"/>
    <w:rsid w:val="006E7EB2"/>
    <w:rsid w:val="006F001D"/>
    <w:rsid w:val="006F00EB"/>
    <w:rsid w:val="006F06A4"/>
    <w:rsid w:val="006F0AAF"/>
    <w:rsid w:val="006F0BEE"/>
    <w:rsid w:val="006F0CB3"/>
    <w:rsid w:val="006F1009"/>
    <w:rsid w:val="006F1506"/>
    <w:rsid w:val="006F1512"/>
    <w:rsid w:val="006F18E7"/>
    <w:rsid w:val="006F1B86"/>
    <w:rsid w:val="006F2028"/>
    <w:rsid w:val="006F2116"/>
    <w:rsid w:val="006F215A"/>
    <w:rsid w:val="006F2199"/>
    <w:rsid w:val="006F2367"/>
    <w:rsid w:val="006F2A4C"/>
    <w:rsid w:val="006F2A76"/>
    <w:rsid w:val="006F2AA1"/>
    <w:rsid w:val="006F3730"/>
    <w:rsid w:val="006F4212"/>
    <w:rsid w:val="006F4276"/>
    <w:rsid w:val="006F42EA"/>
    <w:rsid w:val="006F4901"/>
    <w:rsid w:val="006F4B0B"/>
    <w:rsid w:val="006F4B4C"/>
    <w:rsid w:val="006F4F94"/>
    <w:rsid w:val="006F5217"/>
    <w:rsid w:val="006F578C"/>
    <w:rsid w:val="006F584B"/>
    <w:rsid w:val="006F6042"/>
    <w:rsid w:val="006F63A5"/>
    <w:rsid w:val="006F6452"/>
    <w:rsid w:val="006F6892"/>
    <w:rsid w:val="006F68B5"/>
    <w:rsid w:val="006F6D85"/>
    <w:rsid w:val="006F6E5E"/>
    <w:rsid w:val="006F71E5"/>
    <w:rsid w:val="006F73EC"/>
    <w:rsid w:val="006F765E"/>
    <w:rsid w:val="006F7B17"/>
    <w:rsid w:val="00700429"/>
    <w:rsid w:val="00700751"/>
    <w:rsid w:val="00700AC7"/>
    <w:rsid w:val="00700C9E"/>
    <w:rsid w:val="00700F83"/>
    <w:rsid w:val="0070172D"/>
    <w:rsid w:val="00701A69"/>
    <w:rsid w:val="00701AAE"/>
    <w:rsid w:val="00701BA6"/>
    <w:rsid w:val="00701CC3"/>
    <w:rsid w:val="00702074"/>
    <w:rsid w:val="007022B0"/>
    <w:rsid w:val="007024D6"/>
    <w:rsid w:val="0070256F"/>
    <w:rsid w:val="0070276E"/>
    <w:rsid w:val="00702A47"/>
    <w:rsid w:val="00702BF2"/>
    <w:rsid w:val="00702CC8"/>
    <w:rsid w:val="00702F8F"/>
    <w:rsid w:val="00703182"/>
    <w:rsid w:val="00703291"/>
    <w:rsid w:val="0070330C"/>
    <w:rsid w:val="007036EB"/>
    <w:rsid w:val="00703913"/>
    <w:rsid w:val="00703D37"/>
    <w:rsid w:val="00703DAB"/>
    <w:rsid w:val="00703F38"/>
    <w:rsid w:val="007040A5"/>
    <w:rsid w:val="00704C18"/>
    <w:rsid w:val="00704DAD"/>
    <w:rsid w:val="00704DC3"/>
    <w:rsid w:val="00705034"/>
    <w:rsid w:val="00705274"/>
    <w:rsid w:val="00705441"/>
    <w:rsid w:val="007055E3"/>
    <w:rsid w:val="00705803"/>
    <w:rsid w:val="00705841"/>
    <w:rsid w:val="00705884"/>
    <w:rsid w:val="00705A38"/>
    <w:rsid w:val="00705CFC"/>
    <w:rsid w:val="00705FDC"/>
    <w:rsid w:val="007060AD"/>
    <w:rsid w:val="00706519"/>
    <w:rsid w:val="007065AD"/>
    <w:rsid w:val="00706666"/>
    <w:rsid w:val="0070685E"/>
    <w:rsid w:val="007068E8"/>
    <w:rsid w:val="00706BAC"/>
    <w:rsid w:val="00706D94"/>
    <w:rsid w:val="00706E26"/>
    <w:rsid w:val="00706E98"/>
    <w:rsid w:val="00706EFC"/>
    <w:rsid w:val="0070730D"/>
    <w:rsid w:val="0070744D"/>
    <w:rsid w:val="00707691"/>
    <w:rsid w:val="00707778"/>
    <w:rsid w:val="0070793C"/>
    <w:rsid w:val="00707C1D"/>
    <w:rsid w:val="00707F51"/>
    <w:rsid w:val="00710473"/>
    <w:rsid w:val="007106C0"/>
    <w:rsid w:val="007106C2"/>
    <w:rsid w:val="007109EB"/>
    <w:rsid w:val="00710CD7"/>
    <w:rsid w:val="00710E89"/>
    <w:rsid w:val="007112BD"/>
    <w:rsid w:val="007114B4"/>
    <w:rsid w:val="00711748"/>
    <w:rsid w:val="007117CF"/>
    <w:rsid w:val="00711820"/>
    <w:rsid w:val="007118C2"/>
    <w:rsid w:val="00711A36"/>
    <w:rsid w:val="00711AF9"/>
    <w:rsid w:val="00711F79"/>
    <w:rsid w:val="00712008"/>
    <w:rsid w:val="0071218A"/>
    <w:rsid w:val="007124A6"/>
    <w:rsid w:val="00712686"/>
    <w:rsid w:val="00712CED"/>
    <w:rsid w:val="00712E11"/>
    <w:rsid w:val="00712FCE"/>
    <w:rsid w:val="0071326F"/>
    <w:rsid w:val="00713564"/>
    <w:rsid w:val="00713D25"/>
    <w:rsid w:val="00714404"/>
    <w:rsid w:val="00714926"/>
    <w:rsid w:val="00714AC4"/>
    <w:rsid w:val="00714F31"/>
    <w:rsid w:val="007156F8"/>
    <w:rsid w:val="00715878"/>
    <w:rsid w:val="00715A06"/>
    <w:rsid w:val="007161DC"/>
    <w:rsid w:val="0071649C"/>
    <w:rsid w:val="007164A0"/>
    <w:rsid w:val="00716919"/>
    <w:rsid w:val="00716AA0"/>
    <w:rsid w:val="007172AD"/>
    <w:rsid w:val="007174F8"/>
    <w:rsid w:val="00717C05"/>
    <w:rsid w:val="00717EBE"/>
    <w:rsid w:val="007206E2"/>
    <w:rsid w:val="00720986"/>
    <w:rsid w:val="00720BB4"/>
    <w:rsid w:val="00720D6A"/>
    <w:rsid w:val="00720DE7"/>
    <w:rsid w:val="00720E85"/>
    <w:rsid w:val="0072158B"/>
    <w:rsid w:val="007215B1"/>
    <w:rsid w:val="00722068"/>
    <w:rsid w:val="00722232"/>
    <w:rsid w:val="007225D1"/>
    <w:rsid w:val="00722ADA"/>
    <w:rsid w:val="00722CB5"/>
    <w:rsid w:val="00722CCF"/>
    <w:rsid w:val="00722DD1"/>
    <w:rsid w:val="00722E68"/>
    <w:rsid w:val="007231BD"/>
    <w:rsid w:val="007238A5"/>
    <w:rsid w:val="007238C3"/>
    <w:rsid w:val="0072391B"/>
    <w:rsid w:val="00723B28"/>
    <w:rsid w:val="00723C28"/>
    <w:rsid w:val="00723E98"/>
    <w:rsid w:val="00723F2C"/>
    <w:rsid w:val="0072400C"/>
    <w:rsid w:val="0072416F"/>
    <w:rsid w:val="0072467D"/>
    <w:rsid w:val="00724680"/>
    <w:rsid w:val="007246BA"/>
    <w:rsid w:val="007247D8"/>
    <w:rsid w:val="00724A95"/>
    <w:rsid w:val="00724C51"/>
    <w:rsid w:val="00724C71"/>
    <w:rsid w:val="007260E0"/>
    <w:rsid w:val="00726517"/>
    <w:rsid w:val="0072669B"/>
    <w:rsid w:val="00726945"/>
    <w:rsid w:val="00726F7D"/>
    <w:rsid w:val="007272C8"/>
    <w:rsid w:val="007273DE"/>
    <w:rsid w:val="00727818"/>
    <w:rsid w:val="00727D54"/>
    <w:rsid w:val="0073002F"/>
    <w:rsid w:val="00730062"/>
    <w:rsid w:val="0073072D"/>
    <w:rsid w:val="0073074C"/>
    <w:rsid w:val="00730A86"/>
    <w:rsid w:val="00730D44"/>
    <w:rsid w:val="007312DD"/>
    <w:rsid w:val="0073157E"/>
    <w:rsid w:val="007316A7"/>
    <w:rsid w:val="00731A4D"/>
    <w:rsid w:val="00731D5A"/>
    <w:rsid w:val="007326E5"/>
    <w:rsid w:val="00732AD3"/>
    <w:rsid w:val="00732D02"/>
    <w:rsid w:val="00732D07"/>
    <w:rsid w:val="00732DDB"/>
    <w:rsid w:val="0073303D"/>
    <w:rsid w:val="00733061"/>
    <w:rsid w:val="00733154"/>
    <w:rsid w:val="007332A4"/>
    <w:rsid w:val="00733566"/>
    <w:rsid w:val="0073379A"/>
    <w:rsid w:val="007339B3"/>
    <w:rsid w:val="00733E92"/>
    <w:rsid w:val="00733F8F"/>
    <w:rsid w:val="0073446A"/>
    <w:rsid w:val="00734687"/>
    <w:rsid w:val="00734F10"/>
    <w:rsid w:val="0073530D"/>
    <w:rsid w:val="00735328"/>
    <w:rsid w:val="007353FD"/>
    <w:rsid w:val="007356A8"/>
    <w:rsid w:val="0073596A"/>
    <w:rsid w:val="0073596F"/>
    <w:rsid w:val="00735A9C"/>
    <w:rsid w:val="00735CC2"/>
    <w:rsid w:val="0073615E"/>
    <w:rsid w:val="00736432"/>
    <w:rsid w:val="00736442"/>
    <w:rsid w:val="007367E2"/>
    <w:rsid w:val="0073685B"/>
    <w:rsid w:val="00736AB9"/>
    <w:rsid w:val="00737137"/>
    <w:rsid w:val="007373D0"/>
    <w:rsid w:val="00737893"/>
    <w:rsid w:val="00737910"/>
    <w:rsid w:val="00737F30"/>
    <w:rsid w:val="0074018C"/>
    <w:rsid w:val="00740192"/>
    <w:rsid w:val="00740665"/>
    <w:rsid w:val="00740E13"/>
    <w:rsid w:val="0074136E"/>
    <w:rsid w:val="007414F1"/>
    <w:rsid w:val="007416D4"/>
    <w:rsid w:val="00741715"/>
    <w:rsid w:val="007417D6"/>
    <w:rsid w:val="00741C6E"/>
    <w:rsid w:val="0074245E"/>
    <w:rsid w:val="00742738"/>
    <w:rsid w:val="007427AC"/>
    <w:rsid w:val="00742A87"/>
    <w:rsid w:val="00742AC4"/>
    <w:rsid w:val="00743190"/>
    <w:rsid w:val="0074350A"/>
    <w:rsid w:val="007437F3"/>
    <w:rsid w:val="00744152"/>
    <w:rsid w:val="00744289"/>
    <w:rsid w:val="007442FE"/>
    <w:rsid w:val="00744512"/>
    <w:rsid w:val="00744A5F"/>
    <w:rsid w:val="00744FFB"/>
    <w:rsid w:val="00745312"/>
    <w:rsid w:val="00745696"/>
    <w:rsid w:val="00745DA4"/>
    <w:rsid w:val="00745E94"/>
    <w:rsid w:val="00745EDD"/>
    <w:rsid w:val="00746051"/>
    <w:rsid w:val="00746512"/>
    <w:rsid w:val="00746700"/>
    <w:rsid w:val="007468EF"/>
    <w:rsid w:val="00747037"/>
    <w:rsid w:val="007470BC"/>
    <w:rsid w:val="00747245"/>
    <w:rsid w:val="00747266"/>
    <w:rsid w:val="00747464"/>
    <w:rsid w:val="0075043B"/>
    <w:rsid w:val="007505FC"/>
    <w:rsid w:val="00750A3C"/>
    <w:rsid w:val="00750F32"/>
    <w:rsid w:val="007511EA"/>
    <w:rsid w:val="00751238"/>
    <w:rsid w:val="007514F0"/>
    <w:rsid w:val="0075181F"/>
    <w:rsid w:val="00751B10"/>
    <w:rsid w:val="00751EE4"/>
    <w:rsid w:val="00751EF0"/>
    <w:rsid w:val="00751F98"/>
    <w:rsid w:val="0075234E"/>
    <w:rsid w:val="0075240C"/>
    <w:rsid w:val="00752481"/>
    <w:rsid w:val="007524CB"/>
    <w:rsid w:val="007528E4"/>
    <w:rsid w:val="007530C1"/>
    <w:rsid w:val="00753151"/>
    <w:rsid w:val="007531EC"/>
    <w:rsid w:val="00753371"/>
    <w:rsid w:val="0075381A"/>
    <w:rsid w:val="00754794"/>
    <w:rsid w:val="007548D3"/>
    <w:rsid w:val="007548DD"/>
    <w:rsid w:val="00754B56"/>
    <w:rsid w:val="00754CD4"/>
    <w:rsid w:val="00754D44"/>
    <w:rsid w:val="00755231"/>
    <w:rsid w:val="007552FE"/>
    <w:rsid w:val="0075569A"/>
    <w:rsid w:val="007557A1"/>
    <w:rsid w:val="00755918"/>
    <w:rsid w:val="007559E2"/>
    <w:rsid w:val="00755CFB"/>
    <w:rsid w:val="0075671E"/>
    <w:rsid w:val="00756CDF"/>
    <w:rsid w:val="00756D69"/>
    <w:rsid w:val="00756D6A"/>
    <w:rsid w:val="00756D97"/>
    <w:rsid w:val="00756E48"/>
    <w:rsid w:val="0075746A"/>
    <w:rsid w:val="00757782"/>
    <w:rsid w:val="0075788A"/>
    <w:rsid w:val="007578C6"/>
    <w:rsid w:val="00757972"/>
    <w:rsid w:val="00757CB2"/>
    <w:rsid w:val="0076002E"/>
    <w:rsid w:val="00760409"/>
    <w:rsid w:val="00760FEE"/>
    <w:rsid w:val="007614DA"/>
    <w:rsid w:val="00761E20"/>
    <w:rsid w:val="0076247D"/>
    <w:rsid w:val="0076277F"/>
    <w:rsid w:val="00762821"/>
    <w:rsid w:val="007628DC"/>
    <w:rsid w:val="00762E1B"/>
    <w:rsid w:val="00762E20"/>
    <w:rsid w:val="00762EDA"/>
    <w:rsid w:val="00763200"/>
    <w:rsid w:val="007636A6"/>
    <w:rsid w:val="0076389E"/>
    <w:rsid w:val="007638EE"/>
    <w:rsid w:val="00763C0E"/>
    <w:rsid w:val="00763FC2"/>
    <w:rsid w:val="00764037"/>
    <w:rsid w:val="007642B4"/>
    <w:rsid w:val="0076437D"/>
    <w:rsid w:val="00764856"/>
    <w:rsid w:val="00764AF0"/>
    <w:rsid w:val="00764BCF"/>
    <w:rsid w:val="00764C12"/>
    <w:rsid w:val="00764C28"/>
    <w:rsid w:val="00764D0B"/>
    <w:rsid w:val="00764D8A"/>
    <w:rsid w:val="00764E19"/>
    <w:rsid w:val="007651AF"/>
    <w:rsid w:val="007651EA"/>
    <w:rsid w:val="007652F1"/>
    <w:rsid w:val="007653B4"/>
    <w:rsid w:val="0076558C"/>
    <w:rsid w:val="007656EE"/>
    <w:rsid w:val="007657BD"/>
    <w:rsid w:val="007658E9"/>
    <w:rsid w:val="00765A98"/>
    <w:rsid w:val="00765B01"/>
    <w:rsid w:val="00765C35"/>
    <w:rsid w:val="00765DFE"/>
    <w:rsid w:val="00766145"/>
    <w:rsid w:val="00766205"/>
    <w:rsid w:val="00766652"/>
    <w:rsid w:val="007669FB"/>
    <w:rsid w:val="00766C98"/>
    <w:rsid w:val="00766D32"/>
    <w:rsid w:val="00766DA3"/>
    <w:rsid w:val="00767471"/>
    <w:rsid w:val="00767B8D"/>
    <w:rsid w:val="00767C74"/>
    <w:rsid w:val="00767CD1"/>
    <w:rsid w:val="00767CF7"/>
    <w:rsid w:val="00767EED"/>
    <w:rsid w:val="00767F19"/>
    <w:rsid w:val="00767FB4"/>
    <w:rsid w:val="007701FB"/>
    <w:rsid w:val="007706BC"/>
    <w:rsid w:val="007707F1"/>
    <w:rsid w:val="00770992"/>
    <w:rsid w:val="0077176C"/>
    <w:rsid w:val="00771C89"/>
    <w:rsid w:val="00771E38"/>
    <w:rsid w:val="00771E49"/>
    <w:rsid w:val="007727E3"/>
    <w:rsid w:val="00772C73"/>
    <w:rsid w:val="00772CC0"/>
    <w:rsid w:val="00772CE7"/>
    <w:rsid w:val="00772D73"/>
    <w:rsid w:val="00772EA4"/>
    <w:rsid w:val="00772EE6"/>
    <w:rsid w:val="0077300B"/>
    <w:rsid w:val="0077301A"/>
    <w:rsid w:val="007730AA"/>
    <w:rsid w:val="00773173"/>
    <w:rsid w:val="007733EB"/>
    <w:rsid w:val="007733F4"/>
    <w:rsid w:val="00773A4C"/>
    <w:rsid w:val="00773D30"/>
    <w:rsid w:val="00774134"/>
    <w:rsid w:val="007741D5"/>
    <w:rsid w:val="0077490F"/>
    <w:rsid w:val="00774973"/>
    <w:rsid w:val="00774B5D"/>
    <w:rsid w:val="00774C2E"/>
    <w:rsid w:val="007751E7"/>
    <w:rsid w:val="0077542E"/>
    <w:rsid w:val="00775687"/>
    <w:rsid w:val="0077586E"/>
    <w:rsid w:val="00775A39"/>
    <w:rsid w:val="00775B71"/>
    <w:rsid w:val="0077619B"/>
    <w:rsid w:val="0077760E"/>
    <w:rsid w:val="00777A37"/>
    <w:rsid w:val="00777BD0"/>
    <w:rsid w:val="00777D3A"/>
    <w:rsid w:val="007801DB"/>
    <w:rsid w:val="0078031A"/>
    <w:rsid w:val="007804B0"/>
    <w:rsid w:val="007804E2"/>
    <w:rsid w:val="007806A3"/>
    <w:rsid w:val="0078072E"/>
    <w:rsid w:val="007807CA"/>
    <w:rsid w:val="0078084A"/>
    <w:rsid w:val="00780C30"/>
    <w:rsid w:val="00780F4E"/>
    <w:rsid w:val="00781728"/>
    <w:rsid w:val="007817BE"/>
    <w:rsid w:val="00781961"/>
    <w:rsid w:val="007819DB"/>
    <w:rsid w:val="00781AA5"/>
    <w:rsid w:val="00781B47"/>
    <w:rsid w:val="00781D17"/>
    <w:rsid w:val="00781DA9"/>
    <w:rsid w:val="00782023"/>
    <w:rsid w:val="00782120"/>
    <w:rsid w:val="00782533"/>
    <w:rsid w:val="0078299A"/>
    <w:rsid w:val="00782BCC"/>
    <w:rsid w:val="00782D1A"/>
    <w:rsid w:val="00783237"/>
    <w:rsid w:val="007839E9"/>
    <w:rsid w:val="00783B3D"/>
    <w:rsid w:val="007842EC"/>
    <w:rsid w:val="0078445A"/>
    <w:rsid w:val="00784610"/>
    <w:rsid w:val="0078463B"/>
    <w:rsid w:val="0078487D"/>
    <w:rsid w:val="00784A33"/>
    <w:rsid w:val="00784A73"/>
    <w:rsid w:val="00784D31"/>
    <w:rsid w:val="00784F74"/>
    <w:rsid w:val="0078531B"/>
    <w:rsid w:val="00785A29"/>
    <w:rsid w:val="00785B98"/>
    <w:rsid w:val="00785F5A"/>
    <w:rsid w:val="00785F6F"/>
    <w:rsid w:val="0078602F"/>
    <w:rsid w:val="007864CB"/>
    <w:rsid w:val="00786B7D"/>
    <w:rsid w:val="00786C79"/>
    <w:rsid w:val="00786E28"/>
    <w:rsid w:val="007872B4"/>
    <w:rsid w:val="007874F8"/>
    <w:rsid w:val="00787791"/>
    <w:rsid w:val="00790BF4"/>
    <w:rsid w:val="00790E2F"/>
    <w:rsid w:val="007910A2"/>
    <w:rsid w:val="00791184"/>
    <w:rsid w:val="00791619"/>
    <w:rsid w:val="00791635"/>
    <w:rsid w:val="0079163B"/>
    <w:rsid w:val="00791AD0"/>
    <w:rsid w:val="00791D42"/>
    <w:rsid w:val="00792346"/>
    <w:rsid w:val="007923DB"/>
    <w:rsid w:val="007927A2"/>
    <w:rsid w:val="00792816"/>
    <w:rsid w:val="007928E0"/>
    <w:rsid w:val="00792951"/>
    <w:rsid w:val="007929FD"/>
    <w:rsid w:val="00792B62"/>
    <w:rsid w:val="00792D38"/>
    <w:rsid w:val="00792E64"/>
    <w:rsid w:val="00793020"/>
    <w:rsid w:val="0079322D"/>
    <w:rsid w:val="007932B5"/>
    <w:rsid w:val="00793317"/>
    <w:rsid w:val="00793655"/>
    <w:rsid w:val="007936D8"/>
    <w:rsid w:val="007938FC"/>
    <w:rsid w:val="00793DD9"/>
    <w:rsid w:val="00793F2C"/>
    <w:rsid w:val="00794050"/>
    <w:rsid w:val="0079410A"/>
    <w:rsid w:val="007942FE"/>
    <w:rsid w:val="0079432D"/>
    <w:rsid w:val="007946EA"/>
    <w:rsid w:val="00794D84"/>
    <w:rsid w:val="00794EE7"/>
    <w:rsid w:val="00794F2F"/>
    <w:rsid w:val="00795133"/>
    <w:rsid w:val="0079544B"/>
    <w:rsid w:val="00795545"/>
    <w:rsid w:val="00795753"/>
    <w:rsid w:val="007966E2"/>
    <w:rsid w:val="00796AE8"/>
    <w:rsid w:val="00796B9A"/>
    <w:rsid w:val="00796BDB"/>
    <w:rsid w:val="00796F7F"/>
    <w:rsid w:val="007976DA"/>
    <w:rsid w:val="00797928"/>
    <w:rsid w:val="00797C80"/>
    <w:rsid w:val="007A0107"/>
    <w:rsid w:val="007A01A3"/>
    <w:rsid w:val="007A036A"/>
    <w:rsid w:val="007A0617"/>
    <w:rsid w:val="007A06D0"/>
    <w:rsid w:val="007A08D9"/>
    <w:rsid w:val="007A09FE"/>
    <w:rsid w:val="007A0A12"/>
    <w:rsid w:val="007A0C81"/>
    <w:rsid w:val="007A103D"/>
    <w:rsid w:val="007A1A2C"/>
    <w:rsid w:val="007A1D32"/>
    <w:rsid w:val="007A1E00"/>
    <w:rsid w:val="007A207B"/>
    <w:rsid w:val="007A2203"/>
    <w:rsid w:val="007A220F"/>
    <w:rsid w:val="007A22C7"/>
    <w:rsid w:val="007A2BFE"/>
    <w:rsid w:val="007A35FA"/>
    <w:rsid w:val="007A37CB"/>
    <w:rsid w:val="007A3EB1"/>
    <w:rsid w:val="007A3F1A"/>
    <w:rsid w:val="007A3FB7"/>
    <w:rsid w:val="007A3FBD"/>
    <w:rsid w:val="007A4971"/>
    <w:rsid w:val="007A4B27"/>
    <w:rsid w:val="007A5041"/>
    <w:rsid w:val="007A5113"/>
    <w:rsid w:val="007A5383"/>
    <w:rsid w:val="007A53D7"/>
    <w:rsid w:val="007A580F"/>
    <w:rsid w:val="007A59DB"/>
    <w:rsid w:val="007A5CA6"/>
    <w:rsid w:val="007A5E8B"/>
    <w:rsid w:val="007A5FED"/>
    <w:rsid w:val="007A6467"/>
    <w:rsid w:val="007A64C3"/>
    <w:rsid w:val="007A682D"/>
    <w:rsid w:val="007A68BB"/>
    <w:rsid w:val="007A6A26"/>
    <w:rsid w:val="007A6B0F"/>
    <w:rsid w:val="007A6F0D"/>
    <w:rsid w:val="007A725A"/>
    <w:rsid w:val="007A740D"/>
    <w:rsid w:val="007A7580"/>
    <w:rsid w:val="007A7BF5"/>
    <w:rsid w:val="007A7C27"/>
    <w:rsid w:val="007A7CD8"/>
    <w:rsid w:val="007A7FC3"/>
    <w:rsid w:val="007B06B0"/>
    <w:rsid w:val="007B07D2"/>
    <w:rsid w:val="007B0ED1"/>
    <w:rsid w:val="007B120E"/>
    <w:rsid w:val="007B14BF"/>
    <w:rsid w:val="007B16EF"/>
    <w:rsid w:val="007B1AD1"/>
    <w:rsid w:val="007B1D3D"/>
    <w:rsid w:val="007B1E0E"/>
    <w:rsid w:val="007B1E36"/>
    <w:rsid w:val="007B21F8"/>
    <w:rsid w:val="007B235A"/>
    <w:rsid w:val="007B247D"/>
    <w:rsid w:val="007B2499"/>
    <w:rsid w:val="007B251D"/>
    <w:rsid w:val="007B287F"/>
    <w:rsid w:val="007B28A4"/>
    <w:rsid w:val="007B2DB7"/>
    <w:rsid w:val="007B30EF"/>
    <w:rsid w:val="007B3359"/>
    <w:rsid w:val="007B3C43"/>
    <w:rsid w:val="007B3F37"/>
    <w:rsid w:val="007B46E0"/>
    <w:rsid w:val="007B4886"/>
    <w:rsid w:val="007B4C15"/>
    <w:rsid w:val="007B4CA1"/>
    <w:rsid w:val="007B4E2B"/>
    <w:rsid w:val="007B4E40"/>
    <w:rsid w:val="007B5079"/>
    <w:rsid w:val="007B50E7"/>
    <w:rsid w:val="007B521A"/>
    <w:rsid w:val="007B5534"/>
    <w:rsid w:val="007B66D8"/>
    <w:rsid w:val="007B6755"/>
    <w:rsid w:val="007B77D1"/>
    <w:rsid w:val="007B7BC1"/>
    <w:rsid w:val="007C01AC"/>
    <w:rsid w:val="007C0216"/>
    <w:rsid w:val="007C030F"/>
    <w:rsid w:val="007C0519"/>
    <w:rsid w:val="007C0623"/>
    <w:rsid w:val="007C0D23"/>
    <w:rsid w:val="007C0DDB"/>
    <w:rsid w:val="007C0F4D"/>
    <w:rsid w:val="007C0FBD"/>
    <w:rsid w:val="007C1410"/>
    <w:rsid w:val="007C1764"/>
    <w:rsid w:val="007C18AF"/>
    <w:rsid w:val="007C1A22"/>
    <w:rsid w:val="007C1A63"/>
    <w:rsid w:val="007C1D17"/>
    <w:rsid w:val="007C1EEF"/>
    <w:rsid w:val="007C1F0A"/>
    <w:rsid w:val="007C21E0"/>
    <w:rsid w:val="007C227C"/>
    <w:rsid w:val="007C22CA"/>
    <w:rsid w:val="007C2384"/>
    <w:rsid w:val="007C24D5"/>
    <w:rsid w:val="007C27C5"/>
    <w:rsid w:val="007C29BE"/>
    <w:rsid w:val="007C2A7E"/>
    <w:rsid w:val="007C2B4C"/>
    <w:rsid w:val="007C2D5C"/>
    <w:rsid w:val="007C2F33"/>
    <w:rsid w:val="007C2F36"/>
    <w:rsid w:val="007C3046"/>
    <w:rsid w:val="007C3202"/>
    <w:rsid w:val="007C361D"/>
    <w:rsid w:val="007C39E8"/>
    <w:rsid w:val="007C3A51"/>
    <w:rsid w:val="007C3AA9"/>
    <w:rsid w:val="007C3B46"/>
    <w:rsid w:val="007C3B6A"/>
    <w:rsid w:val="007C44AB"/>
    <w:rsid w:val="007C4586"/>
    <w:rsid w:val="007C45BE"/>
    <w:rsid w:val="007C4CCC"/>
    <w:rsid w:val="007C4E67"/>
    <w:rsid w:val="007C4EF4"/>
    <w:rsid w:val="007C5635"/>
    <w:rsid w:val="007C5A3D"/>
    <w:rsid w:val="007C6517"/>
    <w:rsid w:val="007C6984"/>
    <w:rsid w:val="007C6AD8"/>
    <w:rsid w:val="007C6AF6"/>
    <w:rsid w:val="007C6B80"/>
    <w:rsid w:val="007C6D6C"/>
    <w:rsid w:val="007C6D89"/>
    <w:rsid w:val="007C71B0"/>
    <w:rsid w:val="007C76AF"/>
    <w:rsid w:val="007C76DD"/>
    <w:rsid w:val="007C7919"/>
    <w:rsid w:val="007C7AF0"/>
    <w:rsid w:val="007C7EE5"/>
    <w:rsid w:val="007D091A"/>
    <w:rsid w:val="007D09BF"/>
    <w:rsid w:val="007D0A5C"/>
    <w:rsid w:val="007D0B38"/>
    <w:rsid w:val="007D0B88"/>
    <w:rsid w:val="007D0DE9"/>
    <w:rsid w:val="007D0EB9"/>
    <w:rsid w:val="007D0FEA"/>
    <w:rsid w:val="007D1168"/>
    <w:rsid w:val="007D14CA"/>
    <w:rsid w:val="007D1A55"/>
    <w:rsid w:val="007D1F56"/>
    <w:rsid w:val="007D2190"/>
    <w:rsid w:val="007D26B3"/>
    <w:rsid w:val="007D2B6C"/>
    <w:rsid w:val="007D2DF3"/>
    <w:rsid w:val="007D2E8B"/>
    <w:rsid w:val="007D304D"/>
    <w:rsid w:val="007D3548"/>
    <w:rsid w:val="007D3703"/>
    <w:rsid w:val="007D3AF7"/>
    <w:rsid w:val="007D3C85"/>
    <w:rsid w:val="007D3ED9"/>
    <w:rsid w:val="007D426A"/>
    <w:rsid w:val="007D43FE"/>
    <w:rsid w:val="007D44D0"/>
    <w:rsid w:val="007D497D"/>
    <w:rsid w:val="007D49DA"/>
    <w:rsid w:val="007D4C49"/>
    <w:rsid w:val="007D4CDD"/>
    <w:rsid w:val="007D537B"/>
    <w:rsid w:val="007D5397"/>
    <w:rsid w:val="007D561E"/>
    <w:rsid w:val="007D5637"/>
    <w:rsid w:val="007D5854"/>
    <w:rsid w:val="007D61E5"/>
    <w:rsid w:val="007D676C"/>
    <w:rsid w:val="007D6BD3"/>
    <w:rsid w:val="007D6C0B"/>
    <w:rsid w:val="007D6CC4"/>
    <w:rsid w:val="007D70CC"/>
    <w:rsid w:val="007D7876"/>
    <w:rsid w:val="007D7B2F"/>
    <w:rsid w:val="007D7E53"/>
    <w:rsid w:val="007E07D7"/>
    <w:rsid w:val="007E08C8"/>
    <w:rsid w:val="007E0B1A"/>
    <w:rsid w:val="007E0B93"/>
    <w:rsid w:val="007E0C79"/>
    <w:rsid w:val="007E0E9B"/>
    <w:rsid w:val="007E11C2"/>
    <w:rsid w:val="007E14A3"/>
    <w:rsid w:val="007E17C5"/>
    <w:rsid w:val="007E1A3E"/>
    <w:rsid w:val="007E1A54"/>
    <w:rsid w:val="007E1A79"/>
    <w:rsid w:val="007E1BC6"/>
    <w:rsid w:val="007E1E40"/>
    <w:rsid w:val="007E2025"/>
    <w:rsid w:val="007E2033"/>
    <w:rsid w:val="007E22ED"/>
    <w:rsid w:val="007E23A8"/>
    <w:rsid w:val="007E26D4"/>
    <w:rsid w:val="007E2ACF"/>
    <w:rsid w:val="007E2B23"/>
    <w:rsid w:val="007E2CAD"/>
    <w:rsid w:val="007E2E73"/>
    <w:rsid w:val="007E3654"/>
    <w:rsid w:val="007E3AD5"/>
    <w:rsid w:val="007E3C36"/>
    <w:rsid w:val="007E3C57"/>
    <w:rsid w:val="007E3C89"/>
    <w:rsid w:val="007E3D34"/>
    <w:rsid w:val="007E3EF4"/>
    <w:rsid w:val="007E5538"/>
    <w:rsid w:val="007E5DDE"/>
    <w:rsid w:val="007E5E69"/>
    <w:rsid w:val="007E66E9"/>
    <w:rsid w:val="007E677A"/>
    <w:rsid w:val="007E6963"/>
    <w:rsid w:val="007E6C0E"/>
    <w:rsid w:val="007E6C3B"/>
    <w:rsid w:val="007E6D13"/>
    <w:rsid w:val="007E717F"/>
    <w:rsid w:val="007E73ED"/>
    <w:rsid w:val="007E7641"/>
    <w:rsid w:val="007E76C9"/>
    <w:rsid w:val="007E7956"/>
    <w:rsid w:val="007E79DC"/>
    <w:rsid w:val="007E7A1C"/>
    <w:rsid w:val="007E7A98"/>
    <w:rsid w:val="007E7DDC"/>
    <w:rsid w:val="007E7E60"/>
    <w:rsid w:val="007E7E8D"/>
    <w:rsid w:val="007F0082"/>
    <w:rsid w:val="007F03CD"/>
    <w:rsid w:val="007F080A"/>
    <w:rsid w:val="007F0855"/>
    <w:rsid w:val="007F08C1"/>
    <w:rsid w:val="007F0C2C"/>
    <w:rsid w:val="007F0CFC"/>
    <w:rsid w:val="007F1017"/>
    <w:rsid w:val="007F11CC"/>
    <w:rsid w:val="007F120A"/>
    <w:rsid w:val="007F1BF3"/>
    <w:rsid w:val="007F1F9B"/>
    <w:rsid w:val="007F239A"/>
    <w:rsid w:val="007F249C"/>
    <w:rsid w:val="007F24C0"/>
    <w:rsid w:val="007F25FE"/>
    <w:rsid w:val="007F2653"/>
    <w:rsid w:val="007F2681"/>
    <w:rsid w:val="007F26FB"/>
    <w:rsid w:val="007F278D"/>
    <w:rsid w:val="007F280D"/>
    <w:rsid w:val="007F2A70"/>
    <w:rsid w:val="007F2B6C"/>
    <w:rsid w:val="007F2F83"/>
    <w:rsid w:val="007F3186"/>
    <w:rsid w:val="007F3205"/>
    <w:rsid w:val="007F343B"/>
    <w:rsid w:val="007F38E3"/>
    <w:rsid w:val="007F3A45"/>
    <w:rsid w:val="007F3D0D"/>
    <w:rsid w:val="007F405F"/>
    <w:rsid w:val="007F4536"/>
    <w:rsid w:val="007F4835"/>
    <w:rsid w:val="007F48D1"/>
    <w:rsid w:val="007F4A3F"/>
    <w:rsid w:val="007F4AD8"/>
    <w:rsid w:val="007F5469"/>
    <w:rsid w:val="007F56D8"/>
    <w:rsid w:val="007F5DCF"/>
    <w:rsid w:val="007F5E87"/>
    <w:rsid w:val="007F65D7"/>
    <w:rsid w:val="007F66E1"/>
    <w:rsid w:val="007F678D"/>
    <w:rsid w:val="007F6905"/>
    <w:rsid w:val="007F6D4A"/>
    <w:rsid w:val="007F753D"/>
    <w:rsid w:val="007F7659"/>
    <w:rsid w:val="007F7666"/>
    <w:rsid w:val="007F78AF"/>
    <w:rsid w:val="008001F0"/>
    <w:rsid w:val="00800295"/>
    <w:rsid w:val="008006A6"/>
    <w:rsid w:val="00800E3B"/>
    <w:rsid w:val="00800F07"/>
    <w:rsid w:val="00801084"/>
    <w:rsid w:val="008015FB"/>
    <w:rsid w:val="00801792"/>
    <w:rsid w:val="008019BA"/>
    <w:rsid w:val="00801E2A"/>
    <w:rsid w:val="00801F42"/>
    <w:rsid w:val="00802512"/>
    <w:rsid w:val="00802AE0"/>
    <w:rsid w:val="00802C84"/>
    <w:rsid w:val="00802F6E"/>
    <w:rsid w:val="0080336A"/>
    <w:rsid w:val="0080362B"/>
    <w:rsid w:val="00803908"/>
    <w:rsid w:val="00803A10"/>
    <w:rsid w:val="00803CBE"/>
    <w:rsid w:val="00803DA6"/>
    <w:rsid w:val="00804175"/>
    <w:rsid w:val="008046FF"/>
    <w:rsid w:val="00804D73"/>
    <w:rsid w:val="00804F8E"/>
    <w:rsid w:val="00804FA8"/>
    <w:rsid w:val="00805133"/>
    <w:rsid w:val="00805142"/>
    <w:rsid w:val="00805372"/>
    <w:rsid w:val="00805694"/>
    <w:rsid w:val="00805E35"/>
    <w:rsid w:val="008065A7"/>
    <w:rsid w:val="00806629"/>
    <w:rsid w:val="00806679"/>
    <w:rsid w:val="008067BC"/>
    <w:rsid w:val="008068E5"/>
    <w:rsid w:val="0080698B"/>
    <w:rsid w:val="00806A15"/>
    <w:rsid w:val="00806B71"/>
    <w:rsid w:val="00806CC5"/>
    <w:rsid w:val="00806D20"/>
    <w:rsid w:val="00807A8B"/>
    <w:rsid w:val="00807BE7"/>
    <w:rsid w:val="00810033"/>
    <w:rsid w:val="0081046A"/>
    <w:rsid w:val="0081068F"/>
    <w:rsid w:val="00810903"/>
    <w:rsid w:val="00810A36"/>
    <w:rsid w:val="00810AAF"/>
    <w:rsid w:val="00810D32"/>
    <w:rsid w:val="00811190"/>
    <w:rsid w:val="008111B4"/>
    <w:rsid w:val="00811653"/>
    <w:rsid w:val="00811867"/>
    <w:rsid w:val="00811AE8"/>
    <w:rsid w:val="00811B4D"/>
    <w:rsid w:val="00811D81"/>
    <w:rsid w:val="00811E45"/>
    <w:rsid w:val="00811E77"/>
    <w:rsid w:val="00811EA6"/>
    <w:rsid w:val="00811EE8"/>
    <w:rsid w:val="00811F15"/>
    <w:rsid w:val="00811FD3"/>
    <w:rsid w:val="00812149"/>
    <w:rsid w:val="00812275"/>
    <w:rsid w:val="00812367"/>
    <w:rsid w:val="00812443"/>
    <w:rsid w:val="0081270F"/>
    <w:rsid w:val="0081273E"/>
    <w:rsid w:val="008127FE"/>
    <w:rsid w:val="00812CE5"/>
    <w:rsid w:val="00812DCC"/>
    <w:rsid w:val="00812E32"/>
    <w:rsid w:val="00813411"/>
    <w:rsid w:val="00813EB4"/>
    <w:rsid w:val="00813FBD"/>
    <w:rsid w:val="0081403F"/>
    <w:rsid w:val="00814042"/>
    <w:rsid w:val="008142BF"/>
    <w:rsid w:val="00814345"/>
    <w:rsid w:val="0081437C"/>
    <w:rsid w:val="008146A0"/>
    <w:rsid w:val="008148C3"/>
    <w:rsid w:val="008149F8"/>
    <w:rsid w:val="00814D0E"/>
    <w:rsid w:val="00814F6F"/>
    <w:rsid w:val="008151C3"/>
    <w:rsid w:val="008154BF"/>
    <w:rsid w:val="00815742"/>
    <w:rsid w:val="00815C08"/>
    <w:rsid w:val="00815C4E"/>
    <w:rsid w:val="00816448"/>
    <w:rsid w:val="008165E8"/>
    <w:rsid w:val="008166EF"/>
    <w:rsid w:val="00816D81"/>
    <w:rsid w:val="00817537"/>
    <w:rsid w:val="0081784F"/>
    <w:rsid w:val="0082043A"/>
    <w:rsid w:val="00820ADD"/>
    <w:rsid w:val="00820B6D"/>
    <w:rsid w:val="00820BA2"/>
    <w:rsid w:val="00820CB5"/>
    <w:rsid w:val="00820E37"/>
    <w:rsid w:val="00820FB9"/>
    <w:rsid w:val="008214EE"/>
    <w:rsid w:val="00821515"/>
    <w:rsid w:val="00821544"/>
    <w:rsid w:val="008215F9"/>
    <w:rsid w:val="00821830"/>
    <w:rsid w:val="008220E2"/>
    <w:rsid w:val="0082213D"/>
    <w:rsid w:val="008225C1"/>
    <w:rsid w:val="00822747"/>
    <w:rsid w:val="00822BDA"/>
    <w:rsid w:val="00822CE1"/>
    <w:rsid w:val="00822EED"/>
    <w:rsid w:val="0082332A"/>
    <w:rsid w:val="0082365C"/>
    <w:rsid w:val="008236A3"/>
    <w:rsid w:val="008236A7"/>
    <w:rsid w:val="00823F88"/>
    <w:rsid w:val="0082414E"/>
    <w:rsid w:val="0082418B"/>
    <w:rsid w:val="00824AE8"/>
    <w:rsid w:val="00824CA7"/>
    <w:rsid w:val="00824CE6"/>
    <w:rsid w:val="008253C8"/>
    <w:rsid w:val="00825700"/>
    <w:rsid w:val="00825BFE"/>
    <w:rsid w:val="00826015"/>
    <w:rsid w:val="0082617A"/>
    <w:rsid w:val="008262DB"/>
    <w:rsid w:val="008264EB"/>
    <w:rsid w:val="0082687A"/>
    <w:rsid w:val="00826BF6"/>
    <w:rsid w:val="00826DD3"/>
    <w:rsid w:val="00827135"/>
    <w:rsid w:val="008272D8"/>
    <w:rsid w:val="0082783F"/>
    <w:rsid w:val="0082789B"/>
    <w:rsid w:val="00827A1A"/>
    <w:rsid w:val="00827D53"/>
    <w:rsid w:val="00827E85"/>
    <w:rsid w:val="00827EDB"/>
    <w:rsid w:val="00827FF1"/>
    <w:rsid w:val="00830061"/>
    <w:rsid w:val="00830210"/>
    <w:rsid w:val="008302A6"/>
    <w:rsid w:val="00830369"/>
    <w:rsid w:val="008303B3"/>
    <w:rsid w:val="00830B70"/>
    <w:rsid w:val="008311FF"/>
    <w:rsid w:val="008313EC"/>
    <w:rsid w:val="008315ED"/>
    <w:rsid w:val="00831883"/>
    <w:rsid w:val="008326E9"/>
    <w:rsid w:val="00832738"/>
    <w:rsid w:val="0083273E"/>
    <w:rsid w:val="00832BFC"/>
    <w:rsid w:val="00832DFB"/>
    <w:rsid w:val="00832F83"/>
    <w:rsid w:val="00833012"/>
    <w:rsid w:val="008330F3"/>
    <w:rsid w:val="0083325C"/>
    <w:rsid w:val="00833983"/>
    <w:rsid w:val="00833997"/>
    <w:rsid w:val="00833A5D"/>
    <w:rsid w:val="00833B05"/>
    <w:rsid w:val="00834328"/>
    <w:rsid w:val="00834461"/>
    <w:rsid w:val="00834486"/>
    <w:rsid w:val="008345C3"/>
    <w:rsid w:val="00834797"/>
    <w:rsid w:val="00834871"/>
    <w:rsid w:val="00834948"/>
    <w:rsid w:val="00834BB0"/>
    <w:rsid w:val="00834E2E"/>
    <w:rsid w:val="008356FB"/>
    <w:rsid w:val="00835AF8"/>
    <w:rsid w:val="00835B6F"/>
    <w:rsid w:val="00835B7A"/>
    <w:rsid w:val="00835D22"/>
    <w:rsid w:val="00835E2C"/>
    <w:rsid w:val="00836389"/>
    <w:rsid w:val="00836840"/>
    <w:rsid w:val="0083754E"/>
    <w:rsid w:val="0083790C"/>
    <w:rsid w:val="00837E5E"/>
    <w:rsid w:val="00840341"/>
    <w:rsid w:val="0084048B"/>
    <w:rsid w:val="00840CA2"/>
    <w:rsid w:val="00840E01"/>
    <w:rsid w:val="00840E05"/>
    <w:rsid w:val="00840F57"/>
    <w:rsid w:val="0084154F"/>
    <w:rsid w:val="00841CD6"/>
    <w:rsid w:val="00841D10"/>
    <w:rsid w:val="00841F52"/>
    <w:rsid w:val="00841FA5"/>
    <w:rsid w:val="00842086"/>
    <w:rsid w:val="00843201"/>
    <w:rsid w:val="008439A7"/>
    <w:rsid w:val="00843A38"/>
    <w:rsid w:val="00843A75"/>
    <w:rsid w:val="00843AB3"/>
    <w:rsid w:val="00843BC9"/>
    <w:rsid w:val="00843C11"/>
    <w:rsid w:val="00843E13"/>
    <w:rsid w:val="0084441C"/>
    <w:rsid w:val="008444B2"/>
    <w:rsid w:val="008444C1"/>
    <w:rsid w:val="0084455B"/>
    <w:rsid w:val="00844843"/>
    <w:rsid w:val="008448D3"/>
    <w:rsid w:val="00844901"/>
    <w:rsid w:val="0084496D"/>
    <w:rsid w:val="00844AE8"/>
    <w:rsid w:val="00844BFF"/>
    <w:rsid w:val="00844C0F"/>
    <w:rsid w:val="008450CC"/>
    <w:rsid w:val="00845271"/>
    <w:rsid w:val="00845498"/>
    <w:rsid w:val="00845CDD"/>
    <w:rsid w:val="00845E3D"/>
    <w:rsid w:val="0084612F"/>
    <w:rsid w:val="008465BC"/>
    <w:rsid w:val="008466D7"/>
    <w:rsid w:val="008468FC"/>
    <w:rsid w:val="00846923"/>
    <w:rsid w:val="00846C18"/>
    <w:rsid w:val="00846DA1"/>
    <w:rsid w:val="00847203"/>
    <w:rsid w:val="008478E0"/>
    <w:rsid w:val="008478EC"/>
    <w:rsid w:val="00847BC0"/>
    <w:rsid w:val="00847F6B"/>
    <w:rsid w:val="0085009A"/>
    <w:rsid w:val="00850192"/>
    <w:rsid w:val="0085021A"/>
    <w:rsid w:val="008502E0"/>
    <w:rsid w:val="008505AC"/>
    <w:rsid w:val="008505E7"/>
    <w:rsid w:val="008508C7"/>
    <w:rsid w:val="00850E9A"/>
    <w:rsid w:val="00850F08"/>
    <w:rsid w:val="00851098"/>
    <w:rsid w:val="008511C1"/>
    <w:rsid w:val="008515B6"/>
    <w:rsid w:val="0085168F"/>
    <w:rsid w:val="00851855"/>
    <w:rsid w:val="00851CCB"/>
    <w:rsid w:val="00851E32"/>
    <w:rsid w:val="00852017"/>
    <w:rsid w:val="00852063"/>
    <w:rsid w:val="00852384"/>
    <w:rsid w:val="008523FB"/>
    <w:rsid w:val="008524B0"/>
    <w:rsid w:val="00852776"/>
    <w:rsid w:val="0085291C"/>
    <w:rsid w:val="00852B9B"/>
    <w:rsid w:val="00853166"/>
    <w:rsid w:val="008533AC"/>
    <w:rsid w:val="00853558"/>
    <w:rsid w:val="008535B5"/>
    <w:rsid w:val="008537BF"/>
    <w:rsid w:val="008539D8"/>
    <w:rsid w:val="00853B43"/>
    <w:rsid w:val="00854794"/>
    <w:rsid w:val="00854814"/>
    <w:rsid w:val="0085482B"/>
    <w:rsid w:val="00854B35"/>
    <w:rsid w:val="00854B7D"/>
    <w:rsid w:val="00854BA7"/>
    <w:rsid w:val="00855145"/>
    <w:rsid w:val="0085579F"/>
    <w:rsid w:val="00855822"/>
    <w:rsid w:val="00855C3B"/>
    <w:rsid w:val="00855CDC"/>
    <w:rsid w:val="00855D16"/>
    <w:rsid w:val="00856A4A"/>
    <w:rsid w:val="00856E9A"/>
    <w:rsid w:val="00856FF6"/>
    <w:rsid w:val="0085721B"/>
    <w:rsid w:val="0085726D"/>
    <w:rsid w:val="008600F0"/>
    <w:rsid w:val="00860179"/>
    <w:rsid w:val="0086019C"/>
    <w:rsid w:val="00860753"/>
    <w:rsid w:val="008607DC"/>
    <w:rsid w:val="008607E2"/>
    <w:rsid w:val="00860F00"/>
    <w:rsid w:val="008611F8"/>
    <w:rsid w:val="008613CC"/>
    <w:rsid w:val="008614F4"/>
    <w:rsid w:val="00861575"/>
    <w:rsid w:val="00861A5A"/>
    <w:rsid w:val="00861F4F"/>
    <w:rsid w:val="00862502"/>
    <w:rsid w:val="0086263F"/>
    <w:rsid w:val="008628B8"/>
    <w:rsid w:val="00862FA3"/>
    <w:rsid w:val="00863062"/>
    <w:rsid w:val="00863066"/>
    <w:rsid w:val="008637B4"/>
    <w:rsid w:val="00863BDF"/>
    <w:rsid w:val="00863C84"/>
    <w:rsid w:val="00863EC9"/>
    <w:rsid w:val="00863F83"/>
    <w:rsid w:val="00864060"/>
    <w:rsid w:val="00864085"/>
    <w:rsid w:val="00864350"/>
    <w:rsid w:val="00864B59"/>
    <w:rsid w:val="008650B7"/>
    <w:rsid w:val="00865178"/>
    <w:rsid w:val="0086521A"/>
    <w:rsid w:val="00865608"/>
    <w:rsid w:val="008656AA"/>
    <w:rsid w:val="008657D3"/>
    <w:rsid w:val="00865A87"/>
    <w:rsid w:val="00865FF2"/>
    <w:rsid w:val="008662CA"/>
    <w:rsid w:val="0086630F"/>
    <w:rsid w:val="008663E1"/>
    <w:rsid w:val="0086667D"/>
    <w:rsid w:val="008668EF"/>
    <w:rsid w:val="00866CE8"/>
    <w:rsid w:val="008670A3"/>
    <w:rsid w:val="00867197"/>
    <w:rsid w:val="008675D3"/>
    <w:rsid w:val="0086766B"/>
    <w:rsid w:val="00867D5A"/>
    <w:rsid w:val="00867FD5"/>
    <w:rsid w:val="008700C4"/>
    <w:rsid w:val="0087027E"/>
    <w:rsid w:val="00870465"/>
    <w:rsid w:val="00870759"/>
    <w:rsid w:val="00870846"/>
    <w:rsid w:val="00870FE8"/>
    <w:rsid w:val="008714B7"/>
    <w:rsid w:val="00871529"/>
    <w:rsid w:val="008715E5"/>
    <w:rsid w:val="00871DDC"/>
    <w:rsid w:val="00871E1F"/>
    <w:rsid w:val="008723F0"/>
    <w:rsid w:val="0087279D"/>
    <w:rsid w:val="0087284B"/>
    <w:rsid w:val="008729C3"/>
    <w:rsid w:val="00873009"/>
    <w:rsid w:val="008732DA"/>
    <w:rsid w:val="008732EE"/>
    <w:rsid w:val="0087358B"/>
    <w:rsid w:val="00873A83"/>
    <w:rsid w:val="00873D8F"/>
    <w:rsid w:val="00873E8D"/>
    <w:rsid w:val="0087419B"/>
    <w:rsid w:val="00874329"/>
    <w:rsid w:val="00874600"/>
    <w:rsid w:val="0087466B"/>
    <w:rsid w:val="008747FD"/>
    <w:rsid w:val="00874816"/>
    <w:rsid w:val="00874864"/>
    <w:rsid w:val="00874868"/>
    <w:rsid w:val="00874B3F"/>
    <w:rsid w:val="00874CCE"/>
    <w:rsid w:val="00874CF8"/>
    <w:rsid w:val="00874E85"/>
    <w:rsid w:val="0087537C"/>
    <w:rsid w:val="008753A2"/>
    <w:rsid w:val="008754C5"/>
    <w:rsid w:val="008758FD"/>
    <w:rsid w:val="00875C24"/>
    <w:rsid w:val="00875E5F"/>
    <w:rsid w:val="00875EEE"/>
    <w:rsid w:val="00876B03"/>
    <w:rsid w:val="00876C43"/>
    <w:rsid w:val="00876D6E"/>
    <w:rsid w:val="00876E30"/>
    <w:rsid w:val="00876ED0"/>
    <w:rsid w:val="00877588"/>
    <w:rsid w:val="008777AB"/>
    <w:rsid w:val="00880085"/>
    <w:rsid w:val="008806D7"/>
    <w:rsid w:val="00880A7C"/>
    <w:rsid w:val="00880C4B"/>
    <w:rsid w:val="00880E04"/>
    <w:rsid w:val="008810B5"/>
    <w:rsid w:val="008810E9"/>
    <w:rsid w:val="00881103"/>
    <w:rsid w:val="00881577"/>
    <w:rsid w:val="008818DD"/>
    <w:rsid w:val="00881914"/>
    <w:rsid w:val="008820B2"/>
    <w:rsid w:val="008821DD"/>
    <w:rsid w:val="0088250E"/>
    <w:rsid w:val="00882874"/>
    <w:rsid w:val="008828C8"/>
    <w:rsid w:val="008829CD"/>
    <w:rsid w:val="00882ECE"/>
    <w:rsid w:val="00882FE7"/>
    <w:rsid w:val="008833BA"/>
    <w:rsid w:val="00883601"/>
    <w:rsid w:val="008836C7"/>
    <w:rsid w:val="00883787"/>
    <w:rsid w:val="00883E16"/>
    <w:rsid w:val="0088455B"/>
    <w:rsid w:val="00884E37"/>
    <w:rsid w:val="00885212"/>
    <w:rsid w:val="00885279"/>
    <w:rsid w:val="00885451"/>
    <w:rsid w:val="008855AB"/>
    <w:rsid w:val="0088594E"/>
    <w:rsid w:val="008861E8"/>
    <w:rsid w:val="00886322"/>
    <w:rsid w:val="0088642E"/>
    <w:rsid w:val="00886739"/>
    <w:rsid w:val="008868B1"/>
    <w:rsid w:val="00886BA0"/>
    <w:rsid w:val="00887295"/>
    <w:rsid w:val="00887310"/>
    <w:rsid w:val="008875C5"/>
    <w:rsid w:val="00887BE1"/>
    <w:rsid w:val="00887E55"/>
    <w:rsid w:val="00887FF5"/>
    <w:rsid w:val="0089045B"/>
    <w:rsid w:val="00890F33"/>
    <w:rsid w:val="008912C2"/>
    <w:rsid w:val="0089155A"/>
    <w:rsid w:val="008916A3"/>
    <w:rsid w:val="008917CE"/>
    <w:rsid w:val="00891E4C"/>
    <w:rsid w:val="00891EA0"/>
    <w:rsid w:val="00891EFA"/>
    <w:rsid w:val="0089249A"/>
    <w:rsid w:val="00892523"/>
    <w:rsid w:val="00892AC4"/>
    <w:rsid w:val="00892ACE"/>
    <w:rsid w:val="008936D4"/>
    <w:rsid w:val="008937A4"/>
    <w:rsid w:val="00893871"/>
    <w:rsid w:val="00893A44"/>
    <w:rsid w:val="00893C7D"/>
    <w:rsid w:val="0089419D"/>
    <w:rsid w:val="00894489"/>
    <w:rsid w:val="008944E1"/>
    <w:rsid w:val="00894576"/>
    <w:rsid w:val="0089465B"/>
    <w:rsid w:val="00894A9F"/>
    <w:rsid w:val="00894B27"/>
    <w:rsid w:val="008952CC"/>
    <w:rsid w:val="0089536A"/>
    <w:rsid w:val="008954F3"/>
    <w:rsid w:val="00895734"/>
    <w:rsid w:val="00895F25"/>
    <w:rsid w:val="00896198"/>
    <w:rsid w:val="00896269"/>
    <w:rsid w:val="0089626A"/>
    <w:rsid w:val="008963A5"/>
    <w:rsid w:val="0089655E"/>
    <w:rsid w:val="00896894"/>
    <w:rsid w:val="00897166"/>
    <w:rsid w:val="00897845"/>
    <w:rsid w:val="00897AC4"/>
    <w:rsid w:val="00897B79"/>
    <w:rsid w:val="008A0187"/>
    <w:rsid w:val="008A01A8"/>
    <w:rsid w:val="008A0CBC"/>
    <w:rsid w:val="008A0EB9"/>
    <w:rsid w:val="008A10B7"/>
    <w:rsid w:val="008A162C"/>
    <w:rsid w:val="008A183B"/>
    <w:rsid w:val="008A1A72"/>
    <w:rsid w:val="008A1B27"/>
    <w:rsid w:val="008A1B94"/>
    <w:rsid w:val="008A25D1"/>
    <w:rsid w:val="008A264C"/>
    <w:rsid w:val="008A26BF"/>
    <w:rsid w:val="008A29F5"/>
    <w:rsid w:val="008A2B1A"/>
    <w:rsid w:val="008A2EEE"/>
    <w:rsid w:val="008A3210"/>
    <w:rsid w:val="008A329F"/>
    <w:rsid w:val="008A356E"/>
    <w:rsid w:val="008A36CC"/>
    <w:rsid w:val="008A38B6"/>
    <w:rsid w:val="008A3B7B"/>
    <w:rsid w:val="008A3BCD"/>
    <w:rsid w:val="008A3C3E"/>
    <w:rsid w:val="008A3ECE"/>
    <w:rsid w:val="008A4114"/>
    <w:rsid w:val="008A4249"/>
    <w:rsid w:val="008A4667"/>
    <w:rsid w:val="008A47CA"/>
    <w:rsid w:val="008A513C"/>
    <w:rsid w:val="008A5710"/>
    <w:rsid w:val="008A582B"/>
    <w:rsid w:val="008A5A6F"/>
    <w:rsid w:val="008A63D0"/>
    <w:rsid w:val="008A6607"/>
    <w:rsid w:val="008A6897"/>
    <w:rsid w:val="008A6DE2"/>
    <w:rsid w:val="008A72B7"/>
    <w:rsid w:val="008A73DE"/>
    <w:rsid w:val="008A7760"/>
    <w:rsid w:val="008A79DE"/>
    <w:rsid w:val="008A7EBF"/>
    <w:rsid w:val="008A7FEC"/>
    <w:rsid w:val="008B03C7"/>
    <w:rsid w:val="008B03DD"/>
    <w:rsid w:val="008B0413"/>
    <w:rsid w:val="008B04D5"/>
    <w:rsid w:val="008B0635"/>
    <w:rsid w:val="008B0819"/>
    <w:rsid w:val="008B0E77"/>
    <w:rsid w:val="008B12AD"/>
    <w:rsid w:val="008B136D"/>
    <w:rsid w:val="008B17E1"/>
    <w:rsid w:val="008B18BD"/>
    <w:rsid w:val="008B1A48"/>
    <w:rsid w:val="008B1CE6"/>
    <w:rsid w:val="008B1D95"/>
    <w:rsid w:val="008B1DCB"/>
    <w:rsid w:val="008B1E6D"/>
    <w:rsid w:val="008B2176"/>
    <w:rsid w:val="008B2478"/>
    <w:rsid w:val="008B25CE"/>
    <w:rsid w:val="008B26D2"/>
    <w:rsid w:val="008B283C"/>
    <w:rsid w:val="008B29B0"/>
    <w:rsid w:val="008B338C"/>
    <w:rsid w:val="008B39C6"/>
    <w:rsid w:val="008B3DEA"/>
    <w:rsid w:val="008B4003"/>
    <w:rsid w:val="008B43DB"/>
    <w:rsid w:val="008B459D"/>
    <w:rsid w:val="008B4BE3"/>
    <w:rsid w:val="008B50C4"/>
    <w:rsid w:val="008B515F"/>
    <w:rsid w:val="008B52AD"/>
    <w:rsid w:val="008B5351"/>
    <w:rsid w:val="008B5382"/>
    <w:rsid w:val="008B5402"/>
    <w:rsid w:val="008B5436"/>
    <w:rsid w:val="008B55F1"/>
    <w:rsid w:val="008B596C"/>
    <w:rsid w:val="008B5C5C"/>
    <w:rsid w:val="008B6117"/>
    <w:rsid w:val="008B68B8"/>
    <w:rsid w:val="008B6F88"/>
    <w:rsid w:val="008B7252"/>
    <w:rsid w:val="008B770A"/>
    <w:rsid w:val="008B77CA"/>
    <w:rsid w:val="008B7837"/>
    <w:rsid w:val="008B798A"/>
    <w:rsid w:val="008B7B64"/>
    <w:rsid w:val="008B7CAD"/>
    <w:rsid w:val="008B7CD1"/>
    <w:rsid w:val="008B7D7E"/>
    <w:rsid w:val="008B7E3F"/>
    <w:rsid w:val="008C0175"/>
    <w:rsid w:val="008C02B5"/>
    <w:rsid w:val="008C0E25"/>
    <w:rsid w:val="008C0E82"/>
    <w:rsid w:val="008C0F7A"/>
    <w:rsid w:val="008C0FD5"/>
    <w:rsid w:val="008C1357"/>
    <w:rsid w:val="008C151B"/>
    <w:rsid w:val="008C1B67"/>
    <w:rsid w:val="008C1EF0"/>
    <w:rsid w:val="008C238A"/>
    <w:rsid w:val="008C263C"/>
    <w:rsid w:val="008C2920"/>
    <w:rsid w:val="008C2955"/>
    <w:rsid w:val="008C2A1A"/>
    <w:rsid w:val="008C2E0F"/>
    <w:rsid w:val="008C32FB"/>
    <w:rsid w:val="008C34CD"/>
    <w:rsid w:val="008C35B3"/>
    <w:rsid w:val="008C3A91"/>
    <w:rsid w:val="008C3DEE"/>
    <w:rsid w:val="008C4053"/>
    <w:rsid w:val="008C492F"/>
    <w:rsid w:val="008C4CA9"/>
    <w:rsid w:val="008C5146"/>
    <w:rsid w:val="008C525E"/>
    <w:rsid w:val="008C52AD"/>
    <w:rsid w:val="008C5A4B"/>
    <w:rsid w:val="008C5D0B"/>
    <w:rsid w:val="008C5E68"/>
    <w:rsid w:val="008C623D"/>
    <w:rsid w:val="008C6403"/>
    <w:rsid w:val="008C6639"/>
    <w:rsid w:val="008C6935"/>
    <w:rsid w:val="008C6A02"/>
    <w:rsid w:val="008C6E1E"/>
    <w:rsid w:val="008C75DC"/>
    <w:rsid w:val="008C7BDD"/>
    <w:rsid w:val="008C7ECB"/>
    <w:rsid w:val="008D0270"/>
    <w:rsid w:val="008D0A93"/>
    <w:rsid w:val="008D156D"/>
    <w:rsid w:val="008D15BD"/>
    <w:rsid w:val="008D1860"/>
    <w:rsid w:val="008D1BED"/>
    <w:rsid w:val="008D1C56"/>
    <w:rsid w:val="008D1E5E"/>
    <w:rsid w:val="008D25F5"/>
    <w:rsid w:val="008D2637"/>
    <w:rsid w:val="008D28B2"/>
    <w:rsid w:val="008D29AD"/>
    <w:rsid w:val="008D3100"/>
    <w:rsid w:val="008D3314"/>
    <w:rsid w:val="008D355A"/>
    <w:rsid w:val="008D358A"/>
    <w:rsid w:val="008D36AD"/>
    <w:rsid w:val="008D3808"/>
    <w:rsid w:val="008D394B"/>
    <w:rsid w:val="008D3B22"/>
    <w:rsid w:val="008D3F4F"/>
    <w:rsid w:val="008D4352"/>
    <w:rsid w:val="008D439A"/>
    <w:rsid w:val="008D4704"/>
    <w:rsid w:val="008D4A3C"/>
    <w:rsid w:val="008D4E13"/>
    <w:rsid w:val="008D56B2"/>
    <w:rsid w:val="008D5797"/>
    <w:rsid w:val="008D59B3"/>
    <w:rsid w:val="008D5B14"/>
    <w:rsid w:val="008D5B25"/>
    <w:rsid w:val="008D5C8C"/>
    <w:rsid w:val="008D6073"/>
    <w:rsid w:val="008D638F"/>
    <w:rsid w:val="008D6508"/>
    <w:rsid w:val="008D693B"/>
    <w:rsid w:val="008D69AB"/>
    <w:rsid w:val="008D6B40"/>
    <w:rsid w:val="008D6E36"/>
    <w:rsid w:val="008D728E"/>
    <w:rsid w:val="008D79B4"/>
    <w:rsid w:val="008D79D1"/>
    <w:rsid w:val="008D7BCE"/>
    <w:rsid w:val="008D7F18"/>
    <w:rsid w:val="008D7F2C"/>
    <w:rsid w:val="008E0075"/>
    <w:rsid w:val="008E00B7"/>
    <w:rsid w:val="008E03B9"/>
    <w:rsid w:val="008E058C"/>
    <w:rsid w:val="008E074D"/>
    <w:rsid w:val="008E0A1D"/>
    <w:rsid w:val="008E0C8F"/>
    <w:rsid w:val="008E140B"/>
    <w:rsid w:val="008E14D0"/>
    <w:rsid w:val="008E1571"/>
    <w:rsid w:val="008E1754"/>
    <w:rsid w:val="008E1789"/>
    <w:rsid w:val="008E1B90"/>
    <w:rsid w:val="008E1B9E"/>
    <w:rsid w:val="008E2157"/>
    <w:rsid w:val="008E22C1"/>
    <w:rsid w:val="008E2733"/>
    <w:rsid w:val="008E2CF7"/>
    <w:rsid w:val="008E34C7"/>
    <w:rsid w:val="008E3817"/>
    <w:rsid w:val="008E3AE6"/>
    <w:rsid w:val="008E3B5C"/>
    <w:rsid w:val="008E3C58"/>
    <w:rsid w:val="008E3CE3"/>
    <w:rsid w:val="008E3DDF"/>
    <w:rsid w:val="008E3E07"/>
    <w:rsid w:val="008E40DC"/>
    <w:rsid w:val="008E4111"/>
    <w:rsid w:val="008E4143"/>
    <w:rsid w:val="008E4172"/>
    <w:rsid w:val="008E425C"/>
    <w:rsid w:val="008E4442"/>
    <w:rsid w:val="008E492F"/>
    <w:rsid w:val="008E4A4E"/>
    <w:rsid w:val="008E4ED2"/>
    <w:rsid w:val="008E51F4"/>
    <w:rsid w:val="008E52CF"/>
    <w:rsid w:val="008E5C06"/>
    <w:rsid w:val="008E5DDD"/>
    <w:rsid w:val="008E6016"/>
    <w:rsid w:val="008E636B"/>
    <w:rsid w:val="008E6625"/>
    <w:rsid w:val="008E6776"/>
    <w:rsid w:val="008E68A3"/>
    <w:rsid w:val="008E6C98"/>
    <w:rsid w:val="008E6D88"/>
    <w:rsid w:val="008E7092"/>
    <w:rsid w:val="008E7207"/>
    <w:rsid w:val="008E74B8"/>
    <w:rsid w:val="008E7618"/>
    <w:rsid w:val="008E762A"/>
    <w:rsid w:val="008E7AA6"/>
    <w:rsid w:val="008E7F97"/>
    <w:rsid w:val="008F03C3"/>
    <w:rsid w:val="008F03E3"/>
    <w:rsid w:val="008F0B36"/>
    <w:rsid w:val="008F0EB6"/>
    <w:rsid w:val="008F0EBA"/>
    <w:rsid w:val="008F1192"/>
    <w:rsid w:val="008F120A"/>
    <w:rsid w:val="008F1235"/>
    <w:rsid w:val="008F139F"/>
    <w:rsid w:val="008F141B"/>
    <w:rsid w:val="008F19B7"/>
    <w:rsid w:val="008F1B9C"/>
    <w:rsid w:val="008F20AF"/>
    <w:rsid w:val="008F2E93"/>
    <w:rsid w:val="008F2F54"/>
    <w:rsid w:val="008F35F2"/>
    <w:rsid w:val="008F3BD5"/>
    <w:rsid w:val="008F3EE1"/>
    <w:rsid w:val="008F41D5"/>
    <w:rsid w:val="008F426E"/>
    <w:rsid w:val="008F43B9"/>
    <w:rsid w:val="008F43DA"/>
    <w:rsid w:val="008F45F4"/>
    <w:rsid w:val="008F4619"/>
    <w:rsid w:val="008F467F"/>
    <w:rsid w:val="008F48EB"/>
    <w:rsid w:val="008F4B5D"/>
    <w:rsid w:val="008F4BB3"/>
    <w:rsid w:val="008F4CA9"/>
    <w:rsid w:val="008F4D3E"/>
    <w:rsid w:val="008F4E28"/>
    <w:rsid w:val="008F4F0B"/>
    <w:rsid w:val="008F4F77"/>
    <w:rsid w:val="008F5399"/>
    <w:rsid w:val="008F5565"/>
    <w:rsid w:val="008F55B7"/>
    <w:rsid w:val="008F56A8"/>
    <w:rsid w:val="008F5735"/>
    <w:rsid w:val="008F5824"/>
    <w:rsid w:val="008F5B37"/>
    <w:rsid w:val="008F5DB7"/>
    <w:rsid w:val="008F643D"/>
    <w:rsid w:val="008F67C2"/>
    <w:rsid w:val="008F6E27"/>
    <w:rsid w:val="008F7551"/>
    <w:rsid w:val="008F758F"/>
    <w:rsid w:val="008F7A1B"/>
    <w:rsid w:val="008F7F41"/>
    <w:rsid w:val="0090026C"/>
    <w:rsid w:val="0090033F"/>
    <w:rsid w:val="00900687"/>
    <w:rsid w:val="009008E6"/>
    <w:rsid w:val="00900959"/>
    <w:rsid w:val="009009C3"/>
    <w:rsid w:val="00900B99"/>
    <w:rsid w:val="00900D94"/>
    <w:rsid w:val="00901A9D"/>
    <w:rsid w:val="00901DA9"/>
    <w:rsid w:val="009024F4"/>
    <w:rsid w:val="009025FF"/>
    <w:rsid w:val="009028BD"/>
    <w:rsid w:val="0090295F"/>
    <w:rsid w:val="00902A79"/>
    <w:rsid w:val="00902AFD"/>
    <w:rsid w:val="00902BD6"/>
    <w:rsid w:val="00902C31"/>
    <w:rsid w:val="00902DF8"/>
    <w:rsid w:val="009032F2"/>
    <w:rsid w:val="00903410"/>
    <w:rsid w:val="00903572"/>
    <w:rsid w:val="009035E8"/>
    <w:rsid w:val="0090380A"/>
    <w:rsid w:val="00903EB0"/>
    <w:rsid w:val="0090400E"/>
    <w:rsid w:val="009041FC"/>
    <w:rsid w:val="00904222"/>
    <w:rsid w:val="009042EF"/>
    <w:rsid w:val="0090489F"/>
    <w:rsid w:val="00904A8B"/>
    <w:rsid w:val="00904E95"/>
    <w:rsid w:val="00904FE3"/>
    <w:rsid w:val="00905225"/>
    <w:rsid w:val="0090596F"/>
    <w:rsid w:val="00905D3D"/>
    <w:rsid w:val="009062A5"/>
    <w:rsid w:val="00906E79"/>
    <w:rsid w:val="009076DE"/>
    <w:rsid w:val="00907716"/>
    <w:rsid w:val="009078BF"/>
    <w:rsid w:val="00907F59"/>
    <w:rsid w:val="00910259"/>
    <w:rsid w:val="009109D6"/>
    <w:rsid w:val="00910C96"/>
    <w:rsid w:val="00910CD6"/>
    <w:rsid w:val="00911069"/>
    <w:rsid w:val="00911224"/>
    <w:rsid w:val="00911272"/>
    <w:rsid w:val="0091166C"/>
    <w:rsid w:val="00911B0A"/>
    <w:rsid w:val="00911B55"/>
    <w:rsid w:val="00911F8F"/>
    <w:rsid w:val="009121C8"/>
    <w:rsid w:val="0091259E"/>
    <w:rsid w:val="00912695"/>
    <w:rsid w:val="00912CCE"/>
    <w:rsid w:val="00912DAC"/>
    <w:rsid w:val="00913008"/>
    <w:rsid w:val="009130B9"/>
    <w:rsid w:val="00913494"/>
    <w:rsid w:val="009135F4"/>
    <w:rsid w:val="009138C8"/>
    <w:rsid w:val="00913998"/>
    <w:rsid w:val="0091404F"/>
    <w:rsid w:val="00914265"/>
    <w:rsid w:val="00914373"/>
    <w:rsid w:val="00914473"/>
    <w:rsid w:val="00914B7D"/>
    <w:rsid w:val="00914CAE"/>
    <w:rsid w:val="00914CD9"/>
    <w:rsid w:val="0091502C"/>
    <w:rsid w:val="00915370"/>
    <w:rsid w:val="0091548D"/>
    <w:rsid w:val="009156CC"/>
    <w:rsid w:val="00915E8C"/>
    <w:rsid w:val="00915F87"/>
    <w:rsid w:val="0091609E"/>
    <w:rsid w:val="00916293"/>
    <w:rsid w:val="009162F6"/>
    <w:rsid w:val="009166F8"/>
    <w:rsid w:val="00917398"/>
    <w:rsid w:val="009178A3"/>
    <w:rsid w:val="009178E8"/>
    <w:rsid w:val="00917A7D"/>
    <w:rsid w:val="00917FED"/>
    <w:rsid w:val="00920025"/>
    <w:rsid w:val="00920113"/>
    <w:rsid w:val="0092018A"/>
    <w:rsid w:val="00920BA3"/>
    <w:rsid w:val="00920C87"/>
    <w:rsid w:val="009211E3"/>
    <w:rsid w:val="00921236"/>
    <w:rsid w:val="0092151F"/>
    <w:rsid w:val="009215D1"/>
    <w:rsid w:val="00921772"/>
    <w:rsid w:val="00921E03"/>
    <w:rsid w:val="00921F8F"/>
    <w:rsid w:val="0092200E"/>
    <w:rsid w:val="0092230E"/>
    <w:rsid w:val="00922E41"/>
    <w:rsid w:val="00922EFC"/>
    <w:rsid w:val="009231DC"/>
    <w:rsid w:val="009249BA"/>
    <w:rsid w:val="00924DF8"/>
    <w:rsid w:val="009251B8"/>
    <w:rsid w:val="009252C0"/>
    <w:rsid w:val="00925A58"/>
    <w:rsid w:val="00925A91"/>
    <w:rsid w:val="00925B04"/>
    <w:rsid w:val="00925F73"/>
    <w:rsid w:val="00925F77"/>
    <w:rsid w:val="00926098"/>
    <w:rsid w:val="00926231"/>
    <w:rsid w:val="0092643E"/>
    <w:rsid w:val="009269DC"/>
    <w:rsid w:val="00926B65"/>
    <w:rsid w:val="00926DE8"/>
    <w:rsid w:val="00926E15"/>
    <w:rsid w:val="00926E43"/>
    <w:rsid w:val="00927AAE"/>
    <w:rsid w:val="00927DA5"/>
    <w:rsid w:val="00930299"/>
    <w:rsid w:val="009302C3"/>
    <w:rsid w:val="009302D9"/>
    <w:rsid w:val="00930399"/>
    <w:rsid w:val="009304DA"/>
    <w:rsid w:val="00930699"/>
    <w:rsid w:val="0093087F"/>
    <w:rsid w:val="00930B60"/>
    <w:rsid w:val="00930CD1"/>
    <w:rsid w:val="0093105C"/>
    <w:rsid w:val="00931460"/>
    <w:rsid w:val="00931555"/>
    <w:rsid w:val="0093160A"/>
    <w:rsid w:val="00931926"/>
    <w:rsid w:val="00931A0A"/>
    <w:rsid w:val="00931DA4"/>
    <w:rsid w:val="00931F28"/>
    <w:rsid w:val="00932374"/>
    <w:rsid w:val="009325D6"/>
    <w:rsid w:val="00932963"/>
    <w:rsid w:val="00932AD2"/>
    <w:rsid w:val="00932D32"/>
    <w:rsid w:val="00932EA5"/>
    <w:rsid w:val="00933231"/>
    <w:rsid w:val="0093350A"/>
    <w:rsid w:val="00933D10"/>
    <w:rsid w:val="00933D89"/>
    <w:rsid w:val="00933E22"/>
    <w:rsid w:val="00933F4B"/>
    <w:rsid w:val="0093403F"/>
    <w:rsid w:val="00934084"/>
    <w:rsid w:val="00934312"/>
    <w:rsid w:val="00934CB2"/>
    <w:rsid w:val="00934EC3"/>
    <w:rsid w:val="00934F30"/>
    <w:rsid w:val="009350C6"/>
    <w:rsid w:val="00935440"/>
    <w:rsid w:val="00935B34"/>
    <w:rsid w:val="00935B5F"/>
    <w:rsid w:val="00935D27"/>
    <w:rsid w:val="00935F32"/>
    <w:rsid w:val="00936117"/>
    <w:rsid w:val="00936638"/>
    <w:rsid w:val="009366C5"/>
    <w:rsid w:val="00936AD2"/>
    <w:rsid w:val="00936CE6"/>
    <w:rsid w:val="0093701D"/>
    <w:rsid w:val="009375DA"/>
    <w:rsid w:val="00937A8B"/>
    <w:rsid w:val="00937ACD"/>
    <w:rsid w:val="00940023"/>
    <w:rsid w:val="009401A1"/>
    <w:rsid w:val="00940577"/>
    <w:rsid w:val="009406BE"/>
    <w:rsid w:val="009406CD"/>
    <w:rsid w:val="009411B1"/>
    <w:rsid w:val="00941475"/>
    <w:rsid w:val="00941612"/>
    <w:rsid w:val="00941832"/>
    <w:rsid w:val="00941BAC"/>
    <w:rsid w:val="00941C9F"/>
    <w:rsid w:val="009420FB"/>
    <w:rsid w:val="00942613"/>
    <w:rsid w:val="0094290C"/>
    <w:rsid w:val="00942B6C"/>
    <w:rsid w:val="00942F3D"/>
    <w:rsid w:val="009430A7"/>
    <w:rsid w:val="009431D2"/>
    <w:rsid w:val="009432D0"/>
    <w:rsid w:val="00943350"/>
    <w:rsid w:val="00943632"/>
    <w:rsid w:val="009439BE"/>
    <w:rsid w:val="0094420C"/>
    <w:rsid w:val="009443C2"/>
    <w:rsid w:val="0094450A"/>
    <w:rsid w:val="00944D35"/>
    <w:rsid w:val="0094514B"/>
    <w:rsid w:val="009455F2"/>
    <w:rsid w:val="00945822"/>
    <w:rsid w:val="009458B2"/>
    <w:rsid w:val="00945CCB"/>
    <w:rsid w:val="009466DF"/>
    <w:rsid w:val="0094686C"/>
    <w:rsid w:val="009469D6"/>
    <w:rsid w:val="00946AA1"/>
    <w:rsid w:val="00946AF8"/>
    <w:rsid w:val="00946CD3"/>
    <w:rsid w:val="00946F49"/>
    <w:rsid w:val="00947166"/>
    <w:rsid w:val="009473DE"/>
    <w:rsid w:val="009473E5"/>
    <w:rsid w:val="00947505"/>
    <w:rsid w:val="0094758D"/>
    <w:rsid w:val="009476D5"/>
    <w:rsid w:val="00947B61"/>
    <w:rsid w:val="00947DFC"/>
    <w:rsid w:val="0095014A"/>
    <w:rsid w:val="00950707"/>
    <w:rsid w:val="00950938"/>
    <w:rsid w:val="00950AA7"/>
    <w:rsid w:val="00950DA9"/>
    <w:rsid w:val="00951033"/>
    <w:rsid w:val="00951B1A"/>
    <w:rsid w:val="00951D0D"/>
    <w:rsid w:val="00951EE5"/>
    <w:rsid w:val="00952038"/>
    <w:rsid w:val="009522B6"/>
    <w:rsid w:val="00952396"/>
    <w:rsid w:val="00952507"/>
    <w:rsid w:val="00952529"/>
    <w:rsid w:val="009527BD"/>
    <w:rsid w:val="00952D80"/>
    <w:rsid w:val="009534C5"/>
    <w:rsid w:val="009535A4"/>
    <w:rsid w:val="009535E5"/>
    <w:rsid w:val="00953657"/>
    <w:rsid w:val="009536A1"/>
    <w:rsid w:val="0095410C"/>
    <w:rsid w:val="00954162"/>
    <w:rsid w:val="00954698"/>
    <w:rsid w:val="00954961"/>
    <w:rsid w:val="009551C6"/>
    <w:rsid w:val="0095596F"/>
    <w:rsid w:val="00955A72"/>
    <w:rsid w:val="00955C0C"/>
    <w:rsid w:val="0095617B"/>
    <w:rsid w:val="00956409"/>
    <w:rsid w:val="00956484"/>
    <w:rsid w:val="009566C1"/>
    <w:rsid w:val="00956902"/>
    <w:rsid w:val="00956B7F"/>
    <w:rsid w:val="00956BF0"/>
    <w:rsid w:val="00956E3D"/>
    <w:rsid w:val="00957012"/>
    <w:rsid w:val="0095777E"/>
    <w:rsid w:val="009577AF"/>
    <w:rsid w:val="00957941"/>
    <w:rsid w:val="00957969"/>
    <w:rsid w:val="00957971"/>
    <w:rsid w:val="00957DC5"/>
    <w:rsid w:val="00957E0E"/>
    <w:rsid w:val="00957F86"/>
    <w:rsid w:val="009602F3"/>
    <w:rsid w:val="00960AC6"/>
    <w:rsid w:val="00960C0F"/>
    <w:rsid w:val="009610F2"/>
    <w:rsid w:val="0096117D"/>
    <w:rsid w:val="0096138E"/>
    <w:rsid w:val="00961408"/>
    <w:rsid w:val="0096164B"/>
    <w:rsid w:val="00961825"/>
    <w:rsid w:val="0096199E"/>
    <w:rsid w:val="00961E01"/>
    <w:rsid w:val="00962132"/>
    <w:rsid w:val="0096241B"/>
    <w:rsid w:val="00962B79"/>
    <w:rsid w:val="00962BD4"/>
    <w:rsid w:val="00962CB9"/>
    <w:rsid w:val="00962F71"/>
    <w:rsid w:val="00963601"/>
    <w:rsid w:val="0096362A"/>
    <w:rsid w:val="00964312"/>
    <w:rsid w:val="0096454E"/>
    <w:rsid w:val="00964744"/>
    <w:rsid w:val="00964C8B"/>
    <w:rsid w:val="009654CD"/>
    <w:rsid w:val="00965504"/>
    <w:rsid w:val="00965645"/>
    <w:rsid w:val="00965A39"/>
    <w:rsid w:val="00965E3B"/>
    <w:rsid w:val="00966804"/>
    <w:rsid w:val="0096687A"/>
    <w:rsid w:val="00966907"/>
    <w:rsid w:val="00966A29"/>
    <w:rsid w:val="00966B96"/>
    <w:rsid w:val="00966ECB"/>
    <w:rsid w:val="00966EE9"/>
    <w:rsid w:val="0096718D"/>
    <w:rsid w:val="00967193"/>
    <w:rsid w:val="0096723A"/>
    <w:rsid w:val="009673D6"/>
    <w:rsid w:val="0096741C"/>
    <w:rsid w:val="0096799D"/>
    <w:rsid w:val="009700CC"/>
    <w:rsid w:val="0097098D"/>
    <w:rsid w:val="00970B45"/>
    <w:rsid w:val="00970E5E"/>
    <w:rsid w:val="0097105D"/>
    <w:rsid w:val="0097114E"/>
    <w:rsid w:val="00971168"/>
    <w:rsid w:val="0097120C"/>
    <w:rsid w:val="009713A7"/>
    <w:rsid w:val="0097162C"/>
    <w:rsid w:val="0097184C"/>
    <w:rsid w:val="00971911"/>
    <w:rsid w:val="00971A06"/>
    <w:rsid w:val="00971A29"/>
    <w:rsid w:val="00971B49"/>
    <w:rsid w:val="00971C67"/>
    <w:rsid w:val="00971F7D"/>
    <w:rsid w:val="0097225D"/>
    <w:rsid w:val="00972522"/>
    <w:rsid w:val="00972614"/>
    <w:rsid w:val="00972729"/>
    <w:rsid w:val="0097273D"/>
    <w:rsid w:val="00972779"/>
    <w:rsid w:val="00972A77"/>
    <w:rsid w:val="00972AE5"/>
    <w:rsid w:val="00972B18"/>
    <w:rsid w:val="009732BA"/>
    <w:rsid w:val="00973BB2"/>
    <w:rsid w:val="00973BD7"/>
    <w:rsid w:val="00973DA0"/>
    <w:rsid w:val="00974077"/>
    <w:rsid w:val="00974126"/>
    <w:rsid w:val="00974199"/>
    <w:rsid w:val="0097428E"/>
    <w:rsid w:val="00974A4A"/>
    <w:rsid w:val="00974CFA"/>
    <w:rsid w:val="00974EB7"/>
    <w:rsid w:val="00974EE4"/>
    <w:rsid w:val="00975042"/>
    <w:rsid w:val="0097508F"/>
    <w:rsid w:val="00975143"/>
    <w:rsid w:val="00975313"/>
    <w:rsid w:val="00975A47"/>
    <w:rsid w:val="00975D4F"/>
    <w:rsid w:val="00975E1B"/>
    <w:rsid w:val="00975E4B"/>
    <w:rsid w:val="00976E84"/>
    <w:rsid w:val="00976FC3"/>
    <w:rsid w:val="00977739"/>
    <w:rsid w:val="0097774F"/>
    <w:rsid w:val="00977884"/>
    <w:rsid w:val="00977983"/>
    <w:rsid w:val="00977B53"/>
    <w:rsid w:val="00977C52"/>
    <w:rsid w:val="00977DE5"/>
    <w:rsid w:val="00980050"/>
    <w:rsid w:val="009807F0"/>
    <w:rsid w:val="00980BFB"/>
    <w:rsid w:val="00980C60"/>
    <w:rsid w:val="009814CC"/>
    <w:rsid w:val="0098151F"/>
    <w:rsid w:val="009817C5"/>
    <w:rsid w:val="00981913"/>
    <w:rsid w:val="00981978"/>
    <w:rsid w:val="00981BE7"/>
    <w:rsid w:val="00981D65"/>
    <w:rsid w:val="00982087"/>
    <w:rsid w:val="009820C5"/>
    <w:rsid w:val="00982197"/>
    <w:rsid w:val="0098267A"/>
    <w:rsid w:val="00982972"/>
    <w:rsid w:val="00982B20"/>
    <w:rsid w:val="00982D9C"/>
    <w:rsid w:val="009833B4"/>
    <w:rsid w:val="00983858"/>
    <w:rsid w:val="00983A24"/>
    <w:rsid w:val="00983E57"/>
    <w:rsid w:val="0098454E"/>
    <w:rsid w:val="0098460D"/>
    <w:rsid w:val="00984852"/>
    <w:rsid w:val="00984A87"/>
    <w:rsid w:val="00984FCD"/>
    <w:rsid w:val="00985038"/>
    <w:rsid w:val="009851C7"/>
    <w:rsid w:val="0098535D"/>
    <w:rsid w:val="0098547C"/>
    <w:rsid w:val="00985A7B"/>
    <w:rsid w:val="00985D28"/>
    <w:rsid w:val="00985EDB"/>
    <w:rsid w:val="009867D0"/>
    <w:rsid w:val="00986F0E"/>
    <w:rsid w:val="009872CD"/>
    <w:rsid w:val="0098731D"/>
    <w:rsid w:val="009875A3"/>
    <w:rsid w:val="00987640"/>
    <w:rsid w:val="0098776B"/>
    <w:rsid w:val="00987B7A"/>
    <w:rsid w:val="009903AD"/>
    <w:rsid w:val="009903E6"/>
    <w:rsid w:val="0099041D"/>
    <w:rsid w:val="0099096E"/>
    <w:rsid w:val="00990A5F"/>
    <w:rsid w:val="00990AAA"/>
    <w:rsid w:val="00990CDF"/>
    <w:rsid w:val="009913DD"/>
    <w:rsid w:val="0099190F"/>
    <w:rsid w:val="00991B52"/>
    <w:rsid w:val="00991B6A"/>
    <w:rsid w:val="00991C33"/>
    <w:rsid w:val="00991E79"/>
    <w:rsid w:val="009929C1"/>
    <w:rsid w:val="00992C3D"/>
    <w:rsid w:val="0099313B"/>
    <w:rsid w:val="00993331"/>
    <w:rsid w:val="009934B0"/>
    <w:rsid w:val="0099372A"/>
    <w:rsid w:val="009943D3"/>
    <w:rsid w:val="0099455D"/>
    <w:rsid w:val="0099466D"/>
    <w:rsid w:val="009949B8"/>
    <w:rsid w:val="00994B8E"/>
    <w:rsid w:val="00994DBB"/>
    <w:rsid w:val="00995607"/>
    <w:rsid w:val="009961DA"/>
    <w:rsid w:val="00996379"/>
    <w:rsid w:val="009966B8"/>
    <w:rsid w:val="00996B1A"/>
    <w:rsid w:val="00996BEF"/>
    <w:rsid w:val="0099711D"/>
    <w:rsid w:val="009973F6"/>
    <w:rsid w:val="0099748B"/>
    <w:rsid w:val="009978D8"/>
    <w:rsid w:val="00997925"/>
    <w:rsid w:val="00997C00"/>
    <w:rsid w:val="00997C67"/>
    <w:rsid w:val="009A007B"/>
    <w:rsid w:val="009A0359"/>
    <w:rsid w:val="009A06D5"/>
    <w:rsid w:val="009A073E"/>
    <w:rsid w:val="009A08AA"/>
    <w:rsid w:val="009A0A9F"/>
    <w:rsid w:val="009A0FCA"/>
    <w:rsid w:val="009A0FE6"/>
    <w:rsid w:val="009A11BC"/>
    <w:rsid w:val="009A11EC"/>
    <w:rsid w:val="009A1292"/>
    <w:rsid w:val="009A15EA"/>
    <w:rsid w:val="009A1766"/>
    <w:rsid w:val="009A18D5"/>
    <w:rsid w:val="009A1956"/>
    <w:rsid w:val="009A1C47"/>
    <w:rsid w:val="009A1CA7"/>
    <w:rsid w:val="009A1F56"/>
    <w:rsid w:val="009A2385"/>
    <w:rsid w:val="009A25A2"/>
    <w:rsid w:val="009A2959"/>
    <w:rsid w:val="009A3547"/>
    <w:rsid w:val="009A35D4"/>
    <w:rsid w:val="009A39AD"/>
    <w:rsid w:val="009A3D07"/>
    <w:rsid w:val="009A3EC6"/>
    <w:rsid w:val="009A3F31"/>
    <w:rsid w:val="009A4019"/>
    <w:rsid w:val="009A439C"/>
    <w:rsid w:val="009A43B8"/>
    <w:rsid w:val="009A46BB"/>
    <w:rsid w:val="009A4B15"/>
    <w:rsid w:val="009A4CC9"/>
    <w:rsid w:val="009A4F4C"/>
    <w:rsid w:val="009A51A3"/>
    <w:rsid w:val="009A536F"/>
    <w:rsid w:val="009A5A28"/>
    <w:rsid w:val="009A6417"/>
    <w:rsid w:val="009A671C"/>
    <w:rsid w:val="009A69F9"/>
    <w:rsid w:val="009A6B1E"/>
    <w:rsid w:val="009A6B8E"/>
    <w:rsid w:val="009A6CD7"/>
    <w:rsid w:val="009A6E6F"/>
    <w:rsid w:val="009A6F32"/>
    <w:rsid w:val="009A6FA1"/>
    <w:rsid w:val="009A71B4"/>
    <w:rsid w:val="009A730A"/>
    <w:rsid w:val="009A754B"/>
    <w:rsid w:val="009A781A"/>
    <w:rsid w:val="009A78F7"/>
    <w:rsid w:val="009B048C"/>
    <w:rsid w:val="009B049C"/>
    <w:rsid w:val="009B05B2"/>
    <w:rsid w:val="009B0731"/>
    <w:rsid w:val="009B08AD"/>
    <w:rsid w:val="009B095D"/>
    <w:rsid w:val="009B0CD5"/>
    <w:rsid w:val="009B1102"/>
    <w:rsid w:val="009B1519"/>
    <w:rsid w:val="009B1BB7"/>
    <w:rsid w:val="009B1D06"/>
    <w:rsid w:val="009B1D89"/>
    <w:rsid w:val="009B1EF3"/>
    <w:rsid w:val="009B1F0C"/>
    <w:rsid w:val="009B2024"/>
    <w:rsid w:val="009B207A"/>
    <w:rsid w:val="009B2265"/>
    <w:rsid w:val="009B228F"/>
    <w:rsid w:val="009B22B1"/>
    <w:rsid w:val="009B23C6"/>
    <w:rsid w:val="009B2524"/>
    <w:rsid w:val="009B28D5"/>
    <w:rsid w:val="009B296D"/>
    <w:rsid w:val="009B2A3B"/>
    <w:rsid w:val="009B30F9"/>
    <w:rsid w:val="009B3118"/>
    <w:rsid w:val="009B316E"/>
    <w:rsid w:val="009B329A"/>
    <w:rsid w:val="009B3730"/>
    <w:rsid w:val="009B3816"/>
    <w:rsid w:val="009B3A37"/>
    <w:rsid w:val="009B3D46"/>
    <w:rsid w:val="009B3E26"/>
    <w:rsid w:val="009B4524"/>
    <w:rsid w:val="009B4937"/>
    <w:rsid w:val="009B4EF7"/>
    <w:rsid w:val="009B50FC"/>
    <w:rsid w:val="009B5136"/>
    <w:rsid w:val="009B5227"/>
    <w:rsid w:val="009B5562"/>
    <w:rsid w:val="009B55FD"/>
    <w:rsid w:val="009B57B2"/>
    <w:rsid w:val="009B599E"/>
    <w:rsid w:val="009B5AE7"/>
    <w:rsid w:val="009B5CB0"/>
    <w:rsid w:val="009B5DFE"/>
    <w:rsid w:val="009B5EDD"/>
    <w:rsid w:val="009B6002"/>
    <w:rsid w:val="009B618D"/>
    <w:rsid w:val="009B6215"/>
    <w:rsid w:val="009B6D5C"/>
    <w:rsid w:val="009B707F"/>
    <w:rsid w:val="009B72A4"/>
    <w:rsid w:val="009B7805"/>
    <w:rsid w:val="009B7947"/>
    <w:rsid w:val="009B7952"/>
    <w:rsid w:val="009B79E5"/>
    <w:rsid w:val="009B7A0A"/>
    <w:rsid w:val="009B7A76"/>
    <w:rsid w:val="009B7C4E"/>
    <w:rsid w:val="009B7F48"/>
    <w:rsid w:val="009C009B"/>
    <w:rsid w:val="009C023C"/>
    <w:rsid w:val="009C0311"/>
    <w:rsid w:val="009C0344"/>
    <w:rsid w:val="009C064A"/>
    <w:rsid w:val="009C08EE"/>
    <w:rsid w:val="009C0B99"/>
    <w:rsid w:val="009C0F95"/>
    <w:rsid w:val="009C224D"/>
    <w:rsid w:val="009C24E5"/>
    <w:rsid w:val="009C25E6"/>
    <w:rsid w:val="009C2BD7"/>
    <w:rsid w:val="009C34EE"/>
    <w:rsid w:val="009C3585"/>
    <w:rsid w:val="009C3765"/>
    <w:rsid w:val="009C38C7"/>
    <w:rsid w:val="009C3ACE"/>
    <w:rsid w:val="009C3BE8"/>
    <w:rsid w:val="009C3E9B"/>
    <w:rsid w:val="009C4168"/>
    <w:rsid w:val="009C432F"/>
    <w:rsid w:val="009C449A"/>
    <w:rsid w:val="009C4707"/>
    <w:rsid w:val="009C497D"/>
    <w:rsid w:val="009C4B30"/>
    <w:rsid w:val="009C4C70"/>
    <w:rsid w:val="009C4D23"/>
    <w:rsid w:val="009C4EE5"/>
    <w:rsid w:val="009C5122"/>
    <w:rsid w:val="009C543A"/>
    <w:rsid w:val="009C574D"/>
    <w:rsid w:val="009C5A28"/>
    <w:rsid w:val="009C5AD0"/>
    <w:rsid w:val="009C5C3C"/>
    <w:rsid w:val="009C63EB"/>
    <w:rsid w:val="009C6435"/>
    <w:rsid w:val="009C6654"/>
    <w:rsid w:val="009C6C77"/>
    <w:rsid w:val="009C764E"/>
    <w:rsid w:val="009C777A"/>
    <w:rsid w:val="009C7BE3"/>
    <w:rsid w:val="009C7D3A"/>
    <w:rsid w:val="009C7D41"/>
    <w:rsid w:val="009C7D59"/>
    <w:rsid w:val="009D025C"/>
    <w:rsid w:val="009D02A7"/>
    <w:rsid w:val="009D0B2C"/>
    <w:rsid w:val="009D0EA4"/>
    <w:rsid w:val="009D0F75"/>
    <w:rsid w:val="009D1239"/>
    <w:rsid w:val="009D149B"/>
    <w:rsid w:val="009D18E6"/>
    <w:rsid w:val="009D1CA2"/>
    <w:rsid w:val="009D1EDF"/>
    <w:rsid w:val="009D230B"/>
    <w:rsid w:val="009D2ADA"/>
    <w:rsid w:val="009D3082"/>
    <w:rsid w:val="009D3531"/>
    <w:rsid w:val="009D3859"/>
    <w:rsid w:val="009D389C"/>
    <w:rsid w:val="009D38FD"/>
    <w:rsid w:val="009D3C70"/>
    <w:rsid w:val="009D3E99"/>
    <w:rsid w:val="009D3F12"/>
    <w:rsid w:val="009D4108"/>
    <w:rsid w:val="009D4420"/>
    <w:rsid w:val="009D4E2C"/>
    <w:rsid w:val="009D5016"/>
    <w:rsid w:val="009D5407"/>
    <w:rsid w:val="009D55D4"/>
    <w:rsid w:val="009D56E2"/>
    <w:rsid w:val="009D5780"/>
    <w:rsid w:val="009D5B32"/>
    <w:rsid w:val="009D5B91"/>
    <w:rsid w:val="009D5C1C"/>
    <w:rsid w:val="009D5C8F"/>
    <w:rsid w:val="009D609E"/>
    <w:rsid w:val="009D610E"/>
    <w:rsid w:val="009D6609"/>
    <w:rsid w:val="009D68EE"/>
    <w:rsid w:val="009D6BDC"/>
    <w:rsid w:val="009D6FB2"/>
    <w:rsid w:val="009D7082"/>
    <w:rsid w:val="009D747B"/>
    <w:rsid w:val="009D7DF1"/>
    <w:rsid w:val="009E0029"/>
    <w:rsid w:val="009E01C6"/>
    <w:rsid w:val="009E0235"/>
    <w:rsid w:val="009E034A"/>
    <w:rsid w:val="009E05C5"/>
    <w:rsid w:val="009E07B1"/>
    <w:rsid w:val="009E0E3E"/>
    <w:rsid w:val="009E17DB"/>
    <w:rsid w:val="009E1CD3"/>
    <w:rsid w:val="009E2063"/>
    <w:rsid w:val="009E2124"/>
    <w:rsid w:val="009E22C9"/>
    <w:rsid w:val="009E24E2"/>
    <w:rsid w:val="009E26F6"/>
    <w:rsid w:val="009E27F4"/>
    <w:rsid w:val="009E2A2C"/>
    <w:rsid w:val="009E2B38"/>
    <w:rsid w:val="009E308D"/>
    <w:rsid w:val="009E34F4"/>
    <w:rsid w:val="009E35D2"/>
    <w:rsid w:val="009E36A9"/>
    <w:rsid w:val="009E375F"/>
    <w:rsid w:val="009E383B"/>
    <w:rsid w:val="009E3DAA"/>
    <w:rsid w:val="009E44F8"/>
    <w:rsid w:val="009E4718"/>
    <w:rsid w:val="009E4812"/>
    <w:rsid w:val="009E48EB"/>
    <w:rsid w:val="009E4BBD"/>
    <w:rsid w:val="009E4C07"/>
    <w:rsid w:val="009E5027"/>
    <w:rsid w:val="009E51EE"/>
    <w:rsid w:val="009E5225"/>
    <w:rsid w:val="009E56D5"/>
    <w:rsid w:val="009E5749"/>
    <w:rsid w:val="009E5A88"/>
    <w:rsid w:val="009E6537"/>
    <w:rsid w:val="009E6639"/>
    <w:rsid w:val="009E6747"/>
    <w:rsid w:val="009E6957"/>
    <w:rsid w:val="009E6B1A"/>
    <w:rsid w:val="009E6E20"/>
    <w:rsid w:val="009E6E70"/>
    <w:rsid w:val="009F006A"/>
    <w:rsid w:val="009F03CD"/>
    <w:rsid w:val="009F0506"/>
    <w:rsid w:val="009F0E0B"/>
    <w:rsid w:val="009F0EE8"/>
    <w:rsid w:val="009F1037"/>
    <w:rsid w:val="009F10A5"/>
    <w:rsid w:val="009F10D4"/>
    <w:rsid w:val="009F156D"/>
    <w:rsid w:val="009F18A7"/>
    <w:rsid w:val="009F2016"/>
    <w:rsid w:val="009F2266"/>
    <w:rsid w:val="009F2A0C"/>
    <w:rsid w:val="009F2E96"/>
    <w:rsid w:val="009F353E"/>
    <w:rsid w:val="009F35A2"/>
    <w:rsid w:val="009F363B"/>
    <w:rsid w:val="009F3692"/>
    <w:rsid w:val="009F3949"/>
    <w:rsid w:val="009F3BBA"/>
    <w:rsid w:val="009F3EB9"/>
    <w:rsid w:val="009F40A2"/>
    <w:rsid w:val="009F41CA"/>
    <w:rsid w:val="009F4345"/>
    <w:rsid w:val="009F46B0"/>
    <w:rsid w:val="009F4BDB"/>
    <w:rsid w:val="009F5341"/>
    <w:rsid w:val="009F539B"/>
    <w:rsid w:val="009F5607"/>
    <w:rsid w:val="009F57E8"/>
    <w:rsid w:val="009F5966"/>
    <w:rsid w:val="009F5C3D"/>
    <w:rsid w:val="009F5CF5"/>
    <w:rsid w:val="009F6232"/>
    <w:rsid w:val="009F634D"/>
    <w:rsid w:val="009F6C53"/>
    <w:rsid w:val="009F6D79"/>
    <w:rsid w:val="009F6E7B"/>
    <w:rsid w:val="009F6F04"/>
    <w:rsid w:val="009F7101"/>
    <w:rsid w:val="009F73F9"/>
    <w:rsid w:val="009F7F39"/>
    <w:rsid w:val="00A00072"/>
    <w:rsid w:val="00A00134"/>
    <w:rsid w:val="00A0029E"/>
    <w:rsid w:val="00A002D6"/>
    <w:rsid w:val="00A00659"/>
    <w:rsid w:val="00A0071A"/>
    <w:rsid w:val="00A007FB"/>
    <w:rsid w:val="00A00924"/>
    <w:rsid w:val="00A00A39"/>
    <w:rsid w:val="00A00C90"/>
    <w:rsid w:val="00A00D34"/>
    <w:rsid w:val="00A00D37"/>
    <w:rsid w:val="00A00F91"/>
    <w:rsid w:val="00A010B2"/>
    <w:rsid w:val="00A01657"/>
    <w:rsid w:val="00A0166B"/>
    <w:rsid w:val="00A0174F"/>
    <w:rsid w:val="00A0181E"/>
    <w:rsid w:val="00A01966"/>
    <w:rsid w:val="00A01A52"/>
    <w:rsid w:val="00A01BF7"/>
    <w:rsid w:val="00A01C83"/>
    <w:rsid w:val="00A01DFF"/>
    <w:rsid w:val="00A01E39"/>
    <w:rsid w:val="00A01E4E"/>
    <w:rsid w:val="00A01EE5"/>
    <w:rsid w:val="00A021FA"/>
    <w:rsid w:val="00A02634"/>
    <w:rsid w:val="00A02EED"/>
    <w:rsid w:val="00A0303F"/>
    <w:rsid w:val="00A03203"/>
    <w:rsid w:val="00A032D3"/>
    <w:rsid w:val="00A03AEC"/>
    <w:rsid w:val="00A03CA8"/>
    <w:rsid w:val="00A03D43"/>
    <w:rsid w:val="00A03EA6"/>
    <w:rsid w:val="00A03EAE"/>
    <w:rsid w:val="00A0414C"/>
    <w:rsid w:val="00A04380"/>
    <w:rsid w:val="00A046E5"/>
    <w:rsid w:val="00A04A29"/>
    <w:rsid w:val="00A04EC3"/>
    <w:rsid w:val="00A05022"/>
    <w:rsid w:val="00A050CA"/>
    <w:rsid w:val="00A051D3"/>
    <w:rsid w:val="00A0548F"/>
    <w:rsid w:val="00A06138"/>
    <w:rsid w:val="00A06158"/>
    <w:rsid w:val="00A065DA"/>
    <w:rsid w:val="00A06B30"/>
    <w:rsid w:val="00A06C95"/>
    <w:rsid w:val="00A0708E"/>
    <w:rsid w:val="00A070EA"/>
    <w:rsid w:val="00A075AC"/>
    <w:rsid w:val="00A101AE"/>
    <w:rsid w:val="00A103AC"/>
    <w:rsid w:val="00A1079C"/>
    <w:rsid w:val="00A1089D"/>
    <w:rsid w:val="00A10C5C"/>
    <w:rsid w:val="00A10C9F"/>
    <w:rsid w:val="00A10D64"/>
    <w:rsid w:val="00A10D7E"/>
    <w:rsid w:val="00A110D8"/>
    <w:rsid w:val="00A11438"/>
    <w:rsid w:val="00A1183A"/>
    <w:rsid w:val="00A11923"/>
    <w:rsid w:val="00A11D85"/>
    <w:rsid w:val="00A12170"/>
    <w:rsid w:val="00A12403"/>
    <w:rsid w:val="00A124B1"/>
    <w:rsid w:val="00A124F9"/>
    <w:rsid w:val="00A12687"/>
    <w:rsid w:val="00A12CF7"/>
    <w:rsid w:val="00A12EEF"/>
    <w:rsid w:val="00A12F11"/>
    <w:rsid w:val="00A131D5"/>
    <w:rsid w:val="00A13948"/>
    <w:rsid w:val="00A13C80"/>
    <w:rsid w:val="00A13D27"/>
    <w:rsid w:val="00A13F46"/>
    <w:rsid w:val="00A14008"/>
    <w:rsid w:val="00A1411B"/>
    <w:rsid w:val="00A141E5"/>
    <w:rsid w:val="00A14B0E"/>
    <w:rsid w:val="00A14B37"/>
    <w:rsid w:val="00A1503B"/>
    <w:rsid w:val="00A151E6"/>
    <w:rsid w:val="00A15314"/>
    <w:rsid w:val="00A15B80"/>
    <w:rsid w:val="00A15D82"/>
    <w:rsid w:val="00A15E5C"/>
    <w:rsid w:val="00A15F4C"/>
    <w:rsid w:val="00A15F59"/>
    <w:rsid w:val="00A15F93"/>
    <w:rsid w:val="00A15FC4"/>
    <w:rsid w:val="00A1601A"/>
    <w:rsid w:val="00A1657F"/>
    <w:rsid w:val="00A167B8"/>
    <w:rsid w:val="00A167D8"/>
    <w:rsid w:val="00A168D5"/>
    <w:rsid w:val="00A169DE"/>
    <w:rsid w:val="00A16D84"/>
    <w:rsid w:val="00A16E91"/>
    <w:rsid w:val="00A17555"/>
    <w:rsid w:val="00A176DC"/>
    <w:rsid w:val="00A176EB"/>
    <w:rsid w:val="00A17F46"/>
    <w:rsid w:val="00A2013E"/>
    <w:rsid w:val="00A204FF"/>
    <w:rsid w:val="00A205D2"/>
    <w:rsid w:val="00A20836"/>
    <w:rsid w:val="00A2084C"/>
    <w:rsid w:val="00A20AB4"/>
    <w:rsid w:val="00A20C51"/>
    <w:rsid w:val="00A20CCD"/>
    <w:rsid w:val="00A212D2"/>
    <w:rsid w:val="00A219D1"/>
    <w:rsid w:val="00A21AA8"/>
    <w:rsid w:val="00A21D32"/>
    <w:rsid w:val="00A21FB8"/>
    <w:rsid w:val="00A21FF0"/>
    <w:rsid w:val="00A220C9"/>
    <w:rsid w:val="00A223F4"/>
    <w:rsid w:val="00A2246A"/>
    <w:rsid w:val="00A2259E"/>
    <w:rsid w:val="00A2267E"/>
    <w:rsid w:val="00A22B92"/>
    <w:rsid w:val="00A22FC7"/>
    <w:rsid w:val="00A233F1"/>
    <w:rsid w:val="00A235A4"/>
    <w:rsid w:val="00A2370B"/>
    <w:rsid w:val="00A23C90"/>
    <w:rsid w:val="00A2441E"/>
    <w:rsid w:val="00A245D4"/>
    <w:rsid w:val="00A245F6"/>
    <w:rsid w:val="00A2476A"/>
    <w:rsid w:val="00A24778"/>
    <w:rsid w:val="00A2479C"/>
    <w:rsid w:val="00A24BFD"/>
    <w:rsid w:val="00A24CFE"/>
    <w:rsid w:val="00A24D49"/>
    <w:rsid w:val="00A24DC1"/>
    <w:rsid w:val="00A24F89"/>
    <w:rsid w:val="00A252C7"/>
    <w:rsid w:val="00A25386"/>
    <w:rsid w:val="00A257A3"/>
    <w:rsid w:val="00A25967"/>
    <w:rsid w:val="00A25EEC"/>
    <w:rsid w:val="00A25F8F"/>
    <w:rsid w:val="00A26148"/>
    <w:rsid w:val="00A2618C"/>
    <w:rsid w:val="00A265CD"/>
    <w:rsid w:val="00A26602"/>
    <w:rsid w:val="00A2677A"/>
    <w:rsid w:val="00A26785"/>
    <w:rsid w:val="00A26ACF"/>
    <w:rsid w:val="00A26E1F"/>
    <w:rsid w:val="00A26F6F"/>
    <w:rsid w:val="00A26FF3"/>
    <w:rsid w:val="00A27186"/>
    <w:rsid w:val="00A2768B"/>
    <w:rsid w:val="00A277E1"/>
    <w:rsid w:val="00A27A72"/>
    <w:rsid w:val="00A27AEC"/>
    <w:rsid w:val="00A27CE5"/>
    <w:rsid w:val="00A27E72"/>
    <w:rsid w:val="00A27E7C"/>
    <w:rsid w:val="00A27F82"/>
    <w:rsid w:val="00A30030"/>
    <w:rsid w:val="00A301F6"/>
    <w:rsid w:val="00A302C3"/>
    <w:rsid w:val="00A30501"/>
    <w:rsid w:val="00A30E4C"/>
    <w:rsid w:val="00A3140E"/>
    <w:rsid w:val="00A316FF"/>
    <w:rsid w:val="00A31C17"/>
    <w:rsid w:val="00A31E49"/>
    <w:rsid w:val="00A31F32"/>
    <w:rsid w:val="00A32139"/>
    <w:rsid w:val="00A322B3"/>
    <w:rsid w:val="00A3259D"/>
    <w:rsid w:val="00A32C5B"/>
    <w:rsid w:val="00A32E26"/>
    <w:rsid w:val="00A32E43"/>
    <w:rsid w:val="00A3329A"/>
    <w:rsid w:val="00A33548"/>
    <w:rsid w:val="00A33CB2"/>
    <w:rsid w:val="00A33D90"/>
    <w:rsid w:val="00A33DD5"/>
    <w:rsid w:val="00A33E4A"/>
    <w:rsid w:val="00A34516"/>
    <w:rsid w:val="00A34A0E"/>
    <w:rsid w:val="00A34AC9"/>
    <w:rsid w:val="00A34D00"/>
    <w:rsid w:val="00A34E70"/>
    <w:rsid w:val="00A3503A"/>
    <w:rsid w:val="00A350F9"/>
    <w:rsid w:val="00A35A7E"/>
    <w:rsid w:val="00A35AF2"/>
    <w:rsid w:val="00A35BFD"/>
    <w:rsid w:val="00A35D11"/>
    <w:rsid w:val="00A35D16"/>
    <w:rsid w:val="00A35D64"/>
    <w:rsid w:val="00A35DAF"/>
    <w:rsid w:val="00A35EAA"/>
    <w:rsid w:val="00A3612A"/>
    <w:rsid w:val="00A36C45"/>
    <w:rsid w:val="00A370D2"/>
    <w:rsid w:val="00A37472"/>
    <w:rsid w:val="00A374B9"/>
    <w:rsid w:val="00A37775"/>
    <w:rsid w:val="00A37DD9"/>
    <w:rsid w:val="00A40174"/>
    <w:rsid w:val="00A402FC"/>
    <w:rsid w:val="00A40364"/>
    <w:rsid w:val="00A4044B"/>
    <w:rsid w:val="00A40D43"/>
    <w:rsid w:val="00A41021"/>
    <w:rsid w:val="00A4121B"/>
    <w:rsid w:val="00A415CA"/>
    <w:rsid w:val="00A4163F"/>
    <w:rsid w:val="00A4177E"/>
    <w:rsid w:val="00A41855"/>
    <w:rsid w:val="00A41CC5"/>
    <w:rsid w:val="00A42125"/>
    <w:rsid w:val="00A421EB"/>
    <w:rsid w:val="00A421F6"/>
    <w:rsid w:val="00A42404"/>
    <w:rsid w:val="00A429EB"/>
    <w:rsid w:val="00A42B34"/>
    <w:rsid w:val="00A431D7"/>
    <w:rsid w:val="00A434AD"/>
    <w:rsid w:val="00A4357D"/>
    <w:rsid w:val="00A43954"/>
    <w:rsid w:val="00A43C59"/>
    <w:rsid w:val="00A43C6D"/>
    <w:rsid w:val="00A43D73"/>
    <w:rsid w:val="00A43E72"/>
    <w:rsid w:val="00A43EC2"/>
    <w:rsid w:val="00A4437A"/>
    <w:rsid w:val="00A44455"/>
    <w:rsid w:val="00A44868"/>
    <w:rsid w:val="00A4486C"/>
    <w:rsid w:val="00A448CF"/>
    <w:rsid w:val="00A44D5A"/>
    <w:rsid w:val="00A4539C"/>
    <w:rsid w:val="00A45BD6"/>
    <w:rsid w:val="00A45F7E"/>
    <w:rsid w:val="00A45FE8"/>
    <w:rsid w:val="00A461CC"/>
    <w:rsid w:val="00A462AB"/>
    <w:rsid w:val="00A46561"/>
    <w:rsid w:val="00A466A3"/>
    <w:rsid w:val="00A468C5"/>
    <w:rsid w:val="00A46BC5"/>
    <w:rsid w:val="00A46DF1"/>
    <w:rsid w:val="00A47A46"/>
    <w:rsid w:val="00A47CC0"/>
    <w:rsid w:val="00A502B9"/>
    <w:rsid w:val="00A502D0"/>
    <w:rsid w:val="00A509AB"/>
    <w:rsid w:val="00A50ECD"/>
    <w:rsid w:val="00A51138"/>
    <w:rsid w:val="00A511CE"/>
    <w:rsid w:val="00A5160B"/>
    <w:rsid w:val="00A51692"/>
    <w:rsid w:val="00A51E0D"/>
    <w:rsid w:val="00A51EE0"/>
    <w:rsid w:val="00A51F59"/>
    <w:rsid w:val="00A51F61"/>
    <w:rsid w:val="00A52270"/>
    <w:rsid w:val="00A52306"/>
    <w:rsid w:val="00A5253B"/>
    <w:rsid w:val="00A52729"/>
    <w:rsid w:val="00A528E8"/>
    <w:rsid w:val="00A5293D"/>
    <w:rsid w:val="00A52A2C"/>
    <w:rsid w:val="00A52C45"/>
    <w:rsid w:val="00A52D5B"/>
    <w:rsid w:val="00A53523"/>
    <w:rsid w:val="00A53675"/>
    <w:rsid w:val="00A54B78"/>
    <w:rsid w:val="00A54FFD"/>
    <w:rsid w:val="00A55283"/>
    <w:rsid w:val="00A55485"/>
    <w:rsid w:val="00A55784"/>
    <w:rsid w:val="00A55878"/>
    <w:rsid w:val="00A561EC"/>
    <w:rsid w:val="00A56455"/>
    <w:rsid w:val="00A56575"/>
    <w:rsid w:val="00A565E2"/>
    <w:rsid w:val="00A56788"/>
    <w:rsid w:val="00A567E3"/>
    <w:rsid w:val="00A56B6A"/>
    <w:rsid w:val="00A56F4F"/>
    <w:rsid w:val="00A56F6F"/>
    <w:rsid w:val="00A57115"/>
    <w:rsid w:val="00A5723D"/>
    <w:rsid w:val="00A5727D"/>
    <w:rsid w:val="00A57489"/>
    <w:rsid w:val="00A576A1"/>
    <w:rsid w:val="00A577E1"/>
    <w:rsid w:val="00A578DC"/>
    <w:rsid w:val="00A57DCA"/>
    <w:rsid w:val="00A57DDC"/>
    <w:rsid w:val="00A600D1"/>
    <w:rsid w:val="00A600FB"/>
    <w:rsid w:val="00A60237"/>
    <w:rsid w:val="00A6025B"/>
    <w:rsid w:val="00A6029C"/>
    <w:rsid w:val="00A603F0"/>
    <w:rsid w:val="00A6043E"/>
    <w:rsid w:val="00A60A9F"/>
    <w:rsid w:val="00A60D5D"/>
    <w:rsid w:val="00A60DDE"/>
    <w:rsid w:val="00A60EFD"/>
    <w:rsid w:val="00A613DB"/>
    <w:rsid w:val="00A615FD"/>
    <w:rsid w:val="00A61660"/>
    <w:rsid w:val="00A61738"/>
    <w:rsid w:val="00A61C75"/>
    <w:rsid w:val="00A61FA1"/>
    <w:rsid w:val="00A62178"/>
    <w:rsid w:val="00A62438"/>
    <w:rsid w:val="00A626F4"/>
    <w:rsid w:val="00A62A46"/>
    <w:rsid w:val="00A62FDB"/>
    <w:rsid w:val="00A63304"/>
    <w:rsid w:val="00A634C8"/>
    <w:rsid w:val="00A63529"/>
    <w:rsid w:val="00A63641"/>
    <w:rsid w:val="00A637FD"/>
    <w:rsid w:val="00A639F1"/>
    <w:rsid w:val="00A63A1B"/>
    <w:rsid w:val="00A63AA8"/>
    <w:rsid w:val="00A63BBB"/>
    <w:rsid w:val="00A63C24"/>
    <w:rsid w:val="00A63EDE"/>
    <w:rsid w:val="00A6408D"/>
    <w:rsid w:val="00A64330"/>
    <w:rsid w:val="00A643A1"/>
    <w:rsid w:val="00A644E9"/>
    <w:rsid w:val="00A64781"/>
    <w:rsid w:val="00A6479F"/>
    <w:rsid w:val="00A647E8"/>
    <w:rsid w:val="00A64A29"/>
    <w:rsid w:val="00A64DB1"/>
    <w:rsid w:val="00A65302"/>
    <w:rsid w:val="00A65322"/>
    <w:rsid w:val="00A656E7"/>
    <w:rsid w:val="00A65C5E"/>
    <w:rsid w:val="00A664F7"/>
    <w:rsid w:val="00A668C7"/>
    <w:rsid w:val="00A6696B"/>
    <w:rsid w:val="00A669A4"/>
    <w:rsid w:val="00A66F8A"/>
    <w:rsid w:val="00A67120"/>
    <w:rsid w:val="00A67232"/>
    <w:rsid w:val="00A6725B"/>
    <w:rsid w:val="00A677DE"/>
    <w:rsid w:val="00A6786B"/>
    <w:rsid w:val="00A67981"/>
    <w:rsid w:val="00A67A4E"/>
    <w:rsid w:val="00A67BA5"/>
    <w:rsid w:val="00A67DFC"/>
    <w:rsid w:val="00A700C5"/>
    <w:rsid w:val="00A708B9"/>
    <w:rsid w:val="00A70EBE"/>
    <w:rsid w:val="00A71501"/>
    <w:rsid w:val="00A716C8"/>
    <w:rsid w:val="00A7189C"/>
    <w:rsid w:val="00A71A78"/>
    <w:rsid w:val="00A71A95"/>
    <w:rsid w:val="00A71B74"/>
    <w:rsid w:val="00A71F91"/>
    <w:rsid w:val="00A7205F"/>
    <w:rsid w:val="00A7267B"/>
    <w:rsid w:val="00A7293A"/>
    <w:rsid w:val="00A72A67"/>
    <w:rsid w:val="00A72B38"/>
    <w:rsid w:val="00A72DEC"/>
    <w:rsid w:val="00A72E0D"/>
    <w:rsid w:val="00A72E39"/>
    <w:rsid w:val="00A72F3E"/>
    <w:rsid w:val="00A72FC8"/>
    <w:rsid w:val="00A72FCA"/>
    <w:rsid w:val="00A734B6"/>
    <w:rsid w:val="00A735F7"/>
    <w:rsid w:val="00A73C29"/>
    <w:rsid w:val="00A73E55"/>
    <w:rsid w:val="00A73F5B"/>
    <w:rsid w:val="00A74164"/>
    <w:rsid w:val="00A743E2"/>
    <w:rsid w:val="00A74537"/>
    <w:rsid w:val="00A747FE"/>
    <w:rsid w:val="00A74CB0"/>
    <w:rsid w:val="00A74CCD"/>
    <w:rsid w:val="00A74FC9"/>
    <w:rsid w:val="00A752C6"/>
    <w:rsid w:val="00A752CE"/>
    <w:rsid w:val="00A7536C"/>
    <w:rsid w:val="00A7545F"/>
    <w:rsid w:val="00A75728"/>
    <w:rsid w:val="00A7574C"/>
    <w:rsid w:val="00A75AAE"/>
    <w:rsid w:val="00A76086"/>
    <w:rsid w:val="00A76161"/>
    <w:rsid w:val="00A7665E"/>
    <w:rsid w:val="00A76748"/>
    <w:rsid w:val="00A76866"/>
    <w:rsid w:val="00A76874"/>
    <w:rsid w:val="00A769A6"/>
    <w:rsid w:val="00A76EB2"/>
    <w:rsid w:val="00A76EE2"/>
    <w:rsid w:val="00A7729A"/>
    <w:rsid w:val="00A77919"/>
    <w:rsid w:val="00A77CDB"/>
    <w:rsid w:val="00A77ED3"/>
    <w:rsid w:val="00A800C3"/>
    <w:rsid w:val="00A8050A"/>
    <w:rsid w:val="00A806E9"/>
    <w:rsid w:val="00A80798"/>
    <w:rsid w:val="00A807DE"/>
    <w:rsid w:val="00A80874"/>
    <w:rsid w:val="00A809C5"/>
    <w:rsid w:val="00A80A50"/>
    <w:rsid w:val="00A80ADB"/>
    <w:rsid w:val="00A80AE2"/>
    <w:rsid w:val="00A80B2D"/>
    <w:rsid w:val="00A80B84"/>
    <w:rsid w:val="00A80E1C"/>
    <w:rsid w:val="00A81054"/>
    <w:rsid w:val="00A8110E"/>
    <w:rsid w:val="00A815C9"/>
    <w:rsid w:val="00A81967"/>
    <w:rsid w:val="00A81A33"/>
    <w:rsid w:val="00A81ACF"/>
    <w:rsid w:val="00A822C0"/>
    <w:rsid w:val="00A82C7B"/>
    <w:rsid w:val="00A82CA2"/>
    <w:rsid w:val="00A82D37"/>
    <w:rsid w:val="00A82F48"/>
    <w:rsid w:val="00A836AC"/>
    <w:rsid w:val="00A83981"/>
    <w:rsid w:val="00A83B88"/>
    <w:rsid w:val="00A83E0F"/>
    <w:rsid w:val="00A83E74"/>
    <w:rsid w:val="00A83E7C"/>
    <w:rsid w:val="00A83EB3"/>
    <w:rsid w:val="00A843D3"/>
    <w:rsid w:val="00A845AA"/>
    <w:rsid w:val="00A848E8"/>
    <w:rsid w:val="00A849CC"/>
    <w:rsid w:val="00A84AF7"/>
    <w:rsid w:val="00A84B6B"/>
    <w:rsid w:val="00A84C9A"/>
    <w:rsid w:val="00A84D1A"/>
    <w:rsid w:val="00A84ED4"/>
    <w:rsid w:val="00A859BC"/>
    <w:rsid w:val="00A85BBF"/>
    <w:rsid w:val="00A85C91"/>
    <w:rsid w:val="00A85E82"/>
    <w:rsid w:val="00A86132"/>
    <w:rsid w:val="00A86290"/>
    <w:rsid w:val="00A86551"/>
    <w:rsid w:val="00A86965"/>
    <w:rsid w:val="00A86C73"/>
    <w:rsid w:val="00A86D97"/>
    <w:rsid w:val="00A86E8B"/>
    <w:rsid w:val="00A87017"/>
    <w:rsid w:val="00A8706C"/>
    <w:rsid w:val="00A87299"/>
    <w:rsid w:val="00A872BD"/>
    <w:rsid w:val="00A874B3"/>
    <w:rsid w:val="00A874BB"/>
    <w:rsid w:val="00A87C01"/>
    <w:rsid w:val="00A87C34"/>
    <w:rsid w:val="00A87D8D"/>
    <w:rsid w:val="00A90101"/>
    <w:rsid w:val="00A90898"/>
    <w:rsid w:val="00A90E19"/>
    <w:rsid w:val="00A90F3E"/>
    <w:rsid w:val="00A9110D"/>
    <w:rsid w:val="00A9128C"/>
    <w:rsid w:val="00A91B8E"/>
    <w:rsid w:val="00A91B96"/>
    <w:rsid w:val="00A91D51"/>
    <w:rsid w:val="00A91E19"/>
    <w:rsid w:val="00A91E4F"/>
    <w:rsid w:val="00A92109"/>
    <w:rsid w:val="00A9215B"/>
    <w:rsid w:val="00A9227E"/>
    <w:rsid w:val="00A92497"/>
    <w:rsid w:val="00A9267D"/>
    <w:rsid w:val="00A928F4"/>
    <w:rsid w:val="00A9294C"/>
    <w:rsid w:val="00A92AE7"/>
    <w:rsid w:val="00A92D32"/>
    <w:rsid w:val="00A93072"/>
    <w:rsid w:val="00A930D3"/>
    <w:rsid w:val="00A93781"/>
    <w:rsid w:val="00A9391F"/>
    <w:rsid w:val="00A93A02"/>
    <w:rsid w:val="00A93A56"/>
    <w:rsid w:val="00A94074"/>
    <w:rsid w:val="00A942B0"/>
    <w:rsid w:val="00A9435E"/>
    <w:rsid w:val="00A9436D"/>
    <w:rsid w:val="00A9440D"/>
    <w:rsid w:val="00A944B7"/>
    <w:rsid w:val="00A945A5"/>
    <w:rsid w:val="00A947BA"/>
    <w:rsid w:val="00A948A2"/>
    <w:rsid w:val="00A94A44"/>
    <w:rsid w:val="00A95291"/>
    <w:rsid w:val="00A955EB"/>
    <w:rsid w:val="00A95791"/>
    <w:rsid w:val="00A959D8"/>
    <w:rsid w:val="00A95A67"/>
    <w:rsid w:val="00A95CE8"/>
    <w:rsid w:val="00A95E4E"/>
    <w:rsid w:val="00A95F7D"/>
    <w:rsid w:val="00A96173"/>
    <w:rsid w:val="00A966D9"/>
    <w:rsid w:val="00A96A08"/>
    <w:rsid w:val="00A97073"/>
    <w:rsid w:val="00A9723B"/>
    <w:rsid w:val="00A97659"/>
    <w:rsid w:val="00A9775A"/>
    <w:rsid w:val="00A97B7A"/>
    <w:rsid w:val="00A97F90"/>
    <w:rsid w:val="00AA029B"/>
    <w:rsid w:val="00AA03BC"/>
    <w:rsid w:val="00AA069E"/>
    <w:rsid w:val="00AA0701"/>
    <w:rsid w:val="00AA0AFF"/>
    <w:rsid w:val="00AA0E20"/>
    <w:rsid w:val="00AA0E57"/>
    <w:rsid w:val="00AA0F13"/>
    <w:rsid w:val="00AA1084"/>
    <w:rsid w:val="00AA11D2"/>
    <w:rsid w:val="00AA1420"/>
    <w:rsid w:val="00AA175B"/>
    <w:rsid w:val="00AA182F"/>
    <w:rsid w:val="00AA18B5"/>
    <w:rsid w:val="00AA18C2"/>
    <w:rsid w:val="00AA1FD0"/>
    <w:rsid w:val="00AA2B4E"/>
    <w:rsid w:val="00AA2CAA"/>
    <w:rsid w:val="00AA2CF1"/>
    <w:rsid w:val="00AA2EBD"/>
    <w:rsid w:val="00AA2F7A"/>
    <w:rsid w:val="00AA2FFB"/>
    <w:rsid w:val="00AA3456"/>
    <w:rsid w:val="00AA34E9"/>
    <w:rsid w:val="00AA3515"/>
    <w:rsid w:val="00AA3674"/>
    <w:rsid w:val="00AA3684"/>
    <w:rsid w:val="00AA36E9"/>
    <w:rsid w:val="00AA3A5B"/>
    <w:rsid w:val="00AA46B6"/>
    <w:rsid w:val="00AA4730"/>
    <w:rsid w:val="00AA510A"/>
    <w:rsid w:val="00AA5181"/>
    <w:rsid w:val="00AA554E"/>
    <w:rsid w:val="00AA581A"/>
    <w:rsid w:val="00AA5D8D"/>
    <w:rsid w:val="00AA63A0"/>
    <w:rsid w:val="00AA669C"/>
    <w:rsid w:val="00AA7006"/>
    <w:rsid w:val="00AA701C"/>
    <w:rsid w:val="00AA793A"/>
    <w:rsid w:val="00AA7BF9"/>
    <w:rsid w:val="00AA7CE2"/>
    <w:rsid w:val="00AA7E2D"/>
    <w:rsid w:val="00AA7EE9"/>
    <w:rsid w:val="00AB0294"/>
    <w:rsid w:val="00AB042A"/>
    <w:rsid w:val="00AB0524"/>
    <w:rsid w:val="00AB07D9"/>
    <w:rsid w:val="00AB0BDE"/>
    <w:rsid w:val="00AB0BE1"/>
    <w:rsid w:val="00AB0C06"/>
    <w:rsid w:val="00AB0C0B"/>
    <w:rsid w:val="00AB0C71"/>
    <w:rsid w:val="00AB0E8E"/>
    <w:rsid w:val="00AB10FE"/>
    <w:rsid w:val="00AB121F"/>
    <w:rsid w:val="00AB127B"/>
    <w:rsid w:val="00AB13D5"/>
    <w:rsid w:val="00AB1599"/>
    <w:rsid w:val="00AB1758"/>
    <w:rsid w:val="00AB17A2"/>
    <w:rsid w:val="00AB1B03"/>
    <w:rsid w:val="00AB21B9"/>
    <w:rsid w:val="00AB2275"/>
    <w:rsid w:val="00AB2BEA"/>
    <w:rsid w:val="00AB2D34"/>
    <w:rsid w:val="00AB305F"/>
    <w:rsid w:val="00AB3430"/>
    <w:rsid w:val="00AB43E7"/>
    <w:rsid w:val="00AB45FD"/>
    <w:rsid w:val="00AB4718"/>
    <w:rsid w:val="00AB4969"/>
    <w:rsid w:val="00AB4E5D"/>
    <w:rsid w:val="00AB5281"/>
    <w:rsid w:val="00AB6392"/>
    <w:rsid w:val="00AB67CF"/>
    <w:rsid w:val="00AB6972"/>
    <w:rsid w:val="00AB6A44"/>
    <w:rsid w:val="00AB6D5A"/>
    <w:rsid w:val="00AB6DA3"/>
    <w:rsid w:val="00AB7CFA"/>
    <w:rsid w:val="00AB7E30"/>
    <w:rsid w:val="00AC0154"/>
    <w:rsid w:val="00AC0796"/>
    <w:rsid w:val="00AC09B3"/>
    <w:rsid w:val="00AC0D3E"/>
    <w:rsid w:val="00AC1213"/>
    <w:rsid w:val="00AC129A"/>
    <w:rsid w:val="00AC14FD"/>
    <w:rsid w:val="00AC1681"/>
    <w:rsid w:val="00AC1865"/>
    <w:rsid w:val="00AC1866"/>
    <w:rsid w:val="00AC199E"/>
    <w:rsid w:val="00AC1A23"/>
    <w:rsid w:val="00AC1A37"/>
    <w:rsid w:val="00AC1D14"/>
    <w:rsid w:val="00AC2A6B"/>
    <w:rsid w:val="00AC344E"/>
    <w:rsid w:val="00AC36F4"/>
    <w:rsid w:val="00AC38FA"/>
    <w:rsid w:val="00AC48E2"/>
    <w:rsid w:val="00AC4EBD"/>
    <w:rsid w:val="00AC53E0"/>
    <w:rsid w:val="00AC53EA"/>
    <w:rsid w:val="00AC587C"/>
    <w:rsid w:val="00AC58AA"/>
    <w:rsid w:val="00AC5C02"/>
    <w:rsid w:val="00AC5FA3"/>
    <w:rsid w:val="00AC5FF5"/>
    <w:rsid w:val="00AC6158"/>
    <w:rsid w:val="00AC6182"/>
    <w:rsid w:val="00AC6244"/>
    <w:rsid w:val="00AC6530"/>
    <w:rsid w:val="00AC6909"/>
    <w:rsid w:val="00AC6A2D"/>
    <w:rsid w:val="00AC6B53"/>
    <w:rsid w:val="00AC6BA1"/>
    <w:rsid w:val="00AC6D46"/>
    <w:rsid w:val="00AC6FCF"/>
    <w:rsid w:val="00AC7121"/>
    <w:rsid w:val="00AC7308"/>
    <w:rsid w:val="00AC76F8"/>
    <w:rsid w:val="00AC790A"/>
    <w:rsid w:val="00AC7A32"/>
    <w:rsid w:val="00AD0786"/>
    <w:rsid w:val="00AD0BE6"/>
    <w:rsid w:val="00AD0F47"/>
    <w:rsid w:val="00AD1392"/>
    <w:rsid w:val="00AD144F"/>
    <w:rsid w:val="00AD1795"/>
    <w:rsid w:val="00AD1810"/>
    <w:rsid w:val="00AD19D5"/>
    <w:rsid w:val="00AD1E48"/>
    <w:rsid w:val="00AD21AC"/>
    <w:rsid w:val="00AD273D"/>
    <w:rsid w:val="00AD2C6A"/>
    <w:rsid w:val="00AD2C8C"/>
    <w:rsid w:val="00AD2CB3"/>
    <w:rsid w:val="00AD312A"/>
    <w:rsid w:val="00AD3697"/>
    <w:rsid w:val="00AD39DA"/>
    <w:rsid w:val="00AD39E0"/>
    <w:rsid w:val="00AD3ABD"/>
    <w:rsid w:val="00AD4720"/>
    <w:rsid w:val="00AD4CC2"/>
    <w:rsid w:val="00AD4D31"/>
    <w:rsid w:val="00AD4D78"/>
    <w:rsid w:val="00AD4F2F"/>
    <w:rsid w:val="00AD5382"/>
    <w:rsid w:val="00AD5592"/>
    <w:rsid w:val="00AD5CF8"/>
    <w:rsid w:val="00AD5E63"/>
    <w:rsid w:val="00AD5EF5"/>
    <w:rsid w:val="00AD6AA8"/>
    <w:rsid w:val="00AD6B59"/>
    <w:rsid w:val="00AD6C25"/>
    <w:rsid w:val="00AE0655"/>
    <w:rsid w:val="00AE0C05"/>
    <w:rsid w:val="00AE0C73"/>
    <w:rsid w:val="00AE0CE5"/>
    <w:rsid w:val="00AE0E1C"/>
    <w:rsid w:val="00AE1913"/>
    <w:rsid w:val="00AE1C07"/>
    <w:rsid w:val="00AE1E15"/>
    <w:rsid w:val="00AE20DA"/>
    <w:rsid w:val="00AE2346"/>
    <w:rsid w:val="00AE24C7"/>
    <w:rsid w:val="00AE2902"/>
    <w:rsid w:val="00AE2A7E"/>
    <w:rsid w:val="00AE2B77"/>
    <w:rsid w:val="00AE2C6E"/>
    <w:rsid w:val="00AE3402"/>
    <w:rsid w:val="00AE3625"/>
    <w:rsid w:val="00AE37C6"/>
    <w:rsid w:val="00AE3A97"/>
    <w:rsid w:val="00AE3E45"/>
    <w:rsid w:val="00AE3F19"/>
    <w:rsid w:val="00AE41AB"/>
    <w:rsid w:val="00AE476D"/>
    <w:rsid w:val="00AE49C1"/>
    <w:rsid w:val="00AE4A0D"/>
    <w:rsid w:val="00AE4A52"/>
    <w:rsid w:val="00AE4C6B"/>
    <w:rsid w:val="00AE5202"/>
    <w:rsid w:val="00AE53E9"/>
    <w:rsid w:val="00AE5612"/>
    <w:rsid w:val="00AE5824"/>
    <w:rsid w:val="00AE59AE"/>
    <w:rsid w:val="00AE5B77"/>
    <w:rsid w:val="00AE5F54"/>
    <w:rsid w:val="00AE600D"/>
    <w:rsid w:val="00AE60B3"/>
    <w:rsid w:val="00AE6412"/>
    <w:rsid w:val="00AE6444"/>
    <w:rsid w:val="00AE6712"/>
    <w:rsid w:val="00AE6B87"/>
    <w:rsid w:val="00AE6F02"/>
    <w:rsid w:val="00AE748B"/>
    <w:rsid w:val="00AE7772"/>
    <w:rsid w:val="00AE7AD1"/>
    <w:rsid w:val="00AE7B9E"/>
    <w:rsid w:val="00AE7FD7"/>
    <w:rsid w:val="00AF046C"/>
    <w:rsid w:val="00AF084F"/>
    <w:rsid w:val="00AF1047"/>
    <w:rsid w:val="00AF126F"/>
    <w:rsid w:val="00AF17D7"/>
    <w:rsid w:val="00AF18BE"/>
    <w:rsid w:val="00AF194C"/>
    <w:rsid w:val="00AF1C57"/>
    <w:rsid w:val="00AF1D60"/>
    <w:rsid w:val="00AF2226"/>
    <w:rsid w:val="00AF2621"/>
    <w:rsid w:val="00AF3116"/>
    <w:rsid w:val="00AF3727"/>
    <w:rsid w:val="00AF3969"/>
    <w:rsid w:val="00AF3B73"/>
    <w:rsid w:val="00AF3CAD"/>
    <w:rsid w:val="00AF3CCD"/>
    <w:rsid w:val="00AF3F36"/>
    <w:rsid w:val="00AF4176"/>
    <w:rsid w:val="00AF4336"/>
    <w:rsid w:val="00AF439A"/>
    <w:rsid w:val="00AF4A45"/>
    <w:rsid w:val="00AF4AE8"/>
    <w:rsid w:val="00AF4D2F"/>
    <w:rsid w:val="00AF53C9"/>
    <w:rsid w:val="00AF54DE"/>
    <w:rsid w:val="00AF5549"/>
    <w:rsid w:val="00AF57E7"/>
    <w:rsid w:val="00AF5BC0"/>
    <w:rsid w:val="00AF5C23"/>
    <w:rsid w:val="00AF5FB6"/>
    <w:rsid w:val="00AF604C"/>
    <w:rsid w:val="00AF61A2"/>
    <w:rsid w:val="00AF6403"/>
    <w:rsid w:val="00AF68D8"/>
    <w:rsid w:val="00AF6C73"/>
    <w:rsid w:val="00AF767D"/>
    <w:rsid w:val="00AF7727"/>
    <w:rsid w:val="00AF7E1C"/>
    <w:rsid w:val="00B0012F"/>
    <w:rsid w:val="00B0013C"/>
    <w:rsid w:val="00B00508"/>
    <w:rsid w:val="00B006D4"/>
    <w:rsid w:val="00B0095A"/>
    <w:rsid w:val="00B009FB"/>
    <w:rsid w:val="00B00DE7"/>
    <w:rsid w:val="00B00FF4"/>
    <w:rsid w:val="00B0125F"/>
    <w:rsid w:val="00B012B4"/>
    <w:rsid w:val="00B01728"/>
    <w:rsid w:val="00B01AF2"/>
    <w:rsid w:val="00B01C1A"/>
    <w:rsid w:val="00B01C94"/>
    <w:rsid w:val="00B020F4"/>
    <w:rsid w:val="00B02123"/>
    <w:rsid w:val="00B02B75"/>
    <w:rsid w:val="00B02BA0"/>
    <w:rsid w:val="00B02F5B"/>
    <w:rsid w:val="00B03156"/>
    <w:rsid w:val="00B03385"/>
    <w:rsid w:val="00B037D4"/>
    <w:rsid w:val="00B037F4"/>
    <w:rsid w:val="00B03C2D"/>
    <w:rsid w:val="00B03D7F"/>
    <w:rsid w:val="00B03E1C"/>
    <w:rsid w:val="00B03E50"/>
    <w:rsid w:val="00B03F7A"/>
    <w:rsid w:val="00B0430F"/>
    <w:rsid w:val="00B043CE"/>
    <w:rsid w:val="00B048F1"/>
    <w:rsid w:val="00B04CE9"/>
    <w:rsid w:val="00B04D10"/>
    <w:rsid w:val="00B04E94"/>
    <w:rsid w:val="00B04EE6"/>
    <w:rsid w:val="00B052BB"/>
    <w:rsid w:val="00B055C3"/>
    <w:rsid w:val="00B057AE"/>
    <w:rsid w:val="00B05867"/>
    <w:rsid w:val="00B059E4"/>
    <w:rsid w:val="00B05AD0"/>
    <w:rsid w:val="00B05ECA"/>
    <w:rsid w:val="00B061B3"/>
    <w:rsid w:val="00B0688E"/>
    <w:rsid w:val="00B06A0D"/>
    <w:rsid w:val="00B06B57"/>
    <w:rsid w:val="00B06D9A"/>
    <w:rsid w:val="00B06E1F"/>
    <w:rsid w:val="00B06E25"/>
    <w:rsid w:val="00B0734D"/>
    <w:rsid w:val="00B074F8"/>
    <w:rsid w:val="00B07C36"/>
    <w:rsid w:val="00B10287"/>
    <w:rsid w:val="00B106CD"/>
    <w:rsid w:val="00B1076C"/>
    <w:rsid w:val="00B108FF"/>
    <w:rsid w:val="00B10AAB"/>
    <w:rsid w:val="00B11021"/>
    <w:rsid w:val="00B114C3"/>
    <w:rsid w:val="00B116AC"/>
    <w:rsid w:val="00B116F4"/>
    <w:rsid w:val="00B117B0"/>
    <w:rsid w:val="00B118EB"/>
    <w:rsid w:val="00B11D3D"/>
    <w:rsid w:val="00B1205B"/>
    <w:rsid w:val="00B12197"/>
    <w:rsid w:val="00B1221A"/>
    <w:rsid w:val="00B1237A"/>
    <w:rsid w:val="00B1245B"/>
    <w:rsid w:val="00B12686"/>
    <w:rsid w:val="00B12883"/>
    <w:rsid w:val="00B128A8"/>
    <w:rsid w:val="00B12D0F"/>
    <w:rsid w:val="00B12D7D"/>
    <w:rsid w:val="00B12EFB"/>
    <w:rsid w:val="00B130CB"/>
    <w:rsid w:val="00B13762"/>
    <w:rsid w:val="00B139B0"/>
    <w:rsid w:val="00B13A33"/>
    <w:rsid w:val="00B13B71"/>
    <w:rsid w:val="00B13BB5"/>
    <w:rsid w:val="00B13C35"/>
    <w:rsid w:val="00B13D12"/>
    <w:rsid w:val="00B1413A"/>
    <w:rsid w:val="00B14190"/>
    <w:rsid w:val="00B1439C"/>
    <w:rsid w:val="00B14403"/>
    <w:rsid w:val="00B14487"/>
    <w:rsid w:val="00B1473F"/>
    <w:rsid w:val="00B14751"/>
    <w:rsid w:val="00B14BFB"/>
    <w:rsid w:val="00B14C9E"/>
    <w:rsid w:val="00B14CA0"/>
    <w:rsid w:val="00B15192"/>
    <w:rsid w:val="00B16401"/>
    <w:rsid w:val="00B164D5"/>
    <w:rsid w:val="00B1652F"/>
    <w:rsid w:val="00B16809"/>
    <w:rsid w:val="00B16860"/>
    <w:rsid w:val="00B168E1"/>
    <w:rsid w:val="00B16E0E"/>
    <w:rsid w:val="00B173BE"/>
    <w:rsid w:val="00B173C1"/>
    <w:rsid w:val="00B17487"/>
    <w:rsid w:val="00B1756F"/>
    <w:rsid w:val="00B1778A"/>
    <w:rsid w:val="00B17853"/>
    <w:rsid w:val="00B17AD7"/>
    <w:rsid w:val="00B17CCB"/>
    <w:rsid w:val="00B17E25"/>
    <w:rsid w:val="00B17F6A"/>
    <w:rsid w:val="00B17F8C"/>
    <w:rsid w:val="00B204B9"/>
    <w:rsid w:val="00B20801"/>
    <w:rsid w:val="00B20809"/>
    <w:rsid w:val="00B20B08"/>
    <w:rsid w:val="00B210F2"/>
    <w:rsid w:val="00B211EC"/>
    <w:rsid w:val="00B21AD9"/>
    <w:rsid w:val="00B21B99"/>
    <w:rsid w:val="00B21CAD"/>
    <w:rsid w:val="00B21D1C"/>
    <w:rsid w:val="00B21DC5"/>
    <w:rsid w:val="00B21EF6"/>
    <w:rsid w:val="00B22348"/>
    <w:rsid w:val="00B2254B"/>
    <w:rsid w:val="00B2260E"/>
    <w:rsid w:val="00B22734"/>
    <w:rsid w:val="00B22826"/>
    <w:rsid w:val="00B22A8D"/>
    <w:rsid w:val="00B235D0"/>
    <w:rsid w:val="00B23B63"/>
    <w:rsid w:val="00B23D3F"/>
    <w:rsid w:val="00B24057"/>
    <w:rsid w:val="00B241F9"/>
    <w:rsid w:val="00B24839"/>
    <w:rsid w:val="00B24952"/>
    <w:rsid w:val="00B24A8A"/>
    <w:rsid w:val="00B25350"/>
    <w:rsid w:val="00B25496"/>
    <w:rsid w:val="00B25584"/>
    <w:rsid w:val="00B25A52"/>
    <w:rsid w:val="00B25BE5"/>
    <w:rsid w:val="00B25E3E"/>
    <w:rsid w:val="00B25EBE"/>
    <w:rsid w:val="00B25F2B"/>
    <w:rsid w:val="00B26177"/>
    <w:rsid w:val="00B265FC"/>
    <w:rsid w:val="00B26712"/>
    <w:rsid w:val="00B26C79"/>
    <w:rsid w:val="00B274CC"/>
    <w:rsid w:val="00B277BC"/>
    <w:rsid w:val="00B27877"/>
    <w:rsid w:val="00B27A8D"/>
    <w:rsid w:val="00B27ABC"/>
    <w:rsid w:val="00B27AFE"/>
    <w:rsid w:val="00B27BAA"/>
    <w:rsid w:val="00B27C70"/>
    <w:rsid w:val="00B30535"/>
    <w:rsid w:val="00B309D7"/>
    <w:rsid w:val="00B30B09"/>
    <w:rsid w:val="00B316F5"/>
    <w:rsid w:val="00B319B6"/>
    <w:rsid w:val="00B319F1"/>
    <w:rsid w:val="00B31FE9"/>
    <w:rsid w:val="00B3204A"/>
    <w:rsid w:val="00B3267A"/>
    <w:rsid w:val="00B32E71"/>
    <w:rsid w:val="00B33300"/>
    <w:rsid w:val="00B337E6"/>
    <w:rsid w:val="00B339D8"/>
    <w:rsid w:val="00B33D60"/>
    <w:rsid w:val="00B33E54"/>
    <w:rsid w:val="00B33EB6"/>
    <w:rsid w:val="00B340F5"/>
    <w:rsid w:val="00B34196"/>
    <w:rsid w:val="00B342F0"/>
    <w:rsid w:val="00B34370"/>
    <w:rsid w:val="00B344C5"/>
    <w:rsid w:val="00B34859"/>
    <w:rsid w:val="00B34915"/>
    <w:rsid w:val="00B34DA7"/>
    <w:rsid w:val="00B351FD"/>
    <w:rsid w:val="00B3537D"/>
    <w:rsid w:val="00B35528"/>
    <w:rsid w:val="00B35590"/>
    <w:rsid w:val="00B35852"/>
    <w:rsid w:val="00B35ED1"/>
    <w:rsid w:val="00B36043"/>
    <w:rsid w:val="00B3616A"/>
    <w:rsid w:val="00B361D2"/>
    <w:rsid w:val="00B36584"/>
    <w:rsid w:val="00B36AE0"/>
    <w:rsid w:val="00B371D3"/>
    <w:rsid w:val="00B3761A"/>
    <w:rsid w:val="00B4002B"/>
    <w:rsid w:val="00B40112"/>
    <w:rsid w:val="00B40164"/>
    <w:rsid w:val="00B4039B"/>
    <w:rsid w:val="00B403F4"/>
    <w:rsid w:val="00B404B2"/>
    <w:rsid w:val="00B40D01"/>
    <w:rsid w:val="00B40F78"/>
    <w:rsid w:val="00B4108C"/>
    <w:rsid w:val="00B41205"/>
    <w:rsid w:val="00B416E3"/>
    <w:rsid w:val="00B418B2"/>
    <w:rsid w:val="00B418E2"/>
    <w:rsid w:val="00B4192A"/>
    <w:rsid w:val="00B419A8"/>
    <w:rsid w:val="00B41D87"/>
    <w:rsid w:val="00B41FED"/>
    <w:rsid w:val="00B42026"/>
    <w:rsid w:val="00B423DC"/>
    <w:rsid w:val="00B42664"/>
    <w:rsid w:val="00B42851"/>
    <w:rsid w:val="00B4298C"/>
    <w:rsid w:val="00B43127"/>
    <w:rsid w:val="00B431FF"/>
    <w:rsid w:val="00B434C6"/>
    <w:rsid w:val="00B43764"/>
    <w:rsid w:val="00B43A82"/>
    <w:rsid w:val="00B43D14"/>
    <w:rsid w:val="00B43DD7"/>
    <w:rsid w:val="00B43E5B"/>
    <w:rsid w:val="00B43E7E"/>
    <w:rsid w:val="00B442E0"/>
    <w:rsid w:val="00B44434"/>
    <w:rsid w:val="00B448B0"/>
    <w:rsid w:val="00B44D04"/>
    <w:rsid w:val="00B451BB"/>
    <w:rsid w:val="00B45293"/>
    <w:rsid w:val="00B45954"/>
    <w:rsid w:val="00B45B71"/>
    <w:rsid w:val="00B46069"/>
    <w:rsid w:val="00B465F2"/>
    <w:rsid w:val="00B4681D"/>
    <w:rsid w:val="00B4686D"/>
    <w:rsid w:val="00B46A37"/>
    <w:rsid w:val="00B47614"/>
    <w:rsid w:val="00B47643"/>
    <w:rsid w:val="00B476AA"/>
    <w:rsid w:val="00B47830"/>
    <w:rsid w:val="00B47A34"/>
    <w:rsid w:val="00B47A85"/>
    <w:rsid w:val="00B47F51"/>
    <w:rsid w:val="00B47FCE"/>
    <w:rsid w:val="00B50308"/>
    <w:rsid w:val="00B5032E"/>
    <w:rsid w:val="00B503F9"/>
    <w:rsid w:val="00B5076F"/>
    <w:rsid w:val="00B50888"/>
    <w:rsid w:val="00B50D0C"/>
    <w:rsid w:val="00B50DB8"/>
    <w:rsid w:val="00B51206"/>
    <w:rsid w:val="00B5154D"/>
    <w:rsid w:val="00B51714"/>
    <w:rsid w:val="00B51A76"/>
    <w:rsid w:val="00B51A93"/>
    <w:rsid w:val="00B51F34"/>
    <w:rsid w:val="00B527A6"/>
    <w:rsid w:val="00B52F7E"/>
    <w:rsid w:val="00B53224"/>
    <w:rsid w:val="00B53397"/>
    <w:rsid w:val="00B53500"/>
    <w:rsid w:val="00B53630"/>
    <w:rsid w:val="00B536E3"/>
    <w:rsid w:val="00B53905"/>
    <w:rsid w:val="00B5453D"/>
    <w:rsid w:val="00B54B57"/>
    <w:rsid w:val="00B54B5B"/>
    <w:rsid w:val="00B54EB5"/>
    <w:rsid w:val="00B55327"/>
    <w:rsid w:val="00B553B6"/>
    <w:rsid w:val="00B5542C"/>
    <w:rsid w:val="00B5562E"/>
    <w:rsid w:val="00B55631"/>
    <w:rsid w:val="00B556D9"/>
    <w:rsid w:val="00B55868"/>
    <w:rsid w:val="00B558B9"/>
    <w:rsid w:val="00B559FC"/>
    <w:rsid w:val="00B55ABE"/>
    <w:rsid w:val="00B55D4A"/>
    <w:rsid w:val="00B560D8"/>
    <w:rsid w:val="00B561D4"/>
    <w:rsid w:val="00B56AE5"/>
    <w:rsid w:val="00B57000"/>
    <w:rsid w:val="00B570A6"/>
    <w:rsid w:val="00B572E7"/>
    <w:rsid w:val="00B5755B"/>
    <w:rsid w:val="00B57963"/>
    <w:rsid w:val="00B57CFC"/>
    <w:rsid w:val="00B57D8F"/>
    <w:rsid w:val="00B602DA"/>
    <w:rsid w:val="00B604C4"/>
    <w:rsid w:val="00B60939"/>
    <w:rsid w:val="00B609E8"/>
    <w:rsid w:val="00B60A35"/>
    <w:rsid w:val="00B60AFD"/>
    <w:rsid w:val="00B61379"/>
    <w:rsid w:val="00B61433"/>
    <w:rsid w:val="00B619F3"/>
    <w:rsid w:val="00B61EED"/>
    <w:rsid w:val="00B62376"/>
    <w:rsid w:val="00B62604"/>
    <w:rsid w:val="00B62652"/>
    <w:rsid w:val="00B62715"/>
    <w:rsid w:val="00B62920"/>
    <w:rsid w:val="00B62A06"/>
    <w:rsid w:val="00B62AE1"/>
    <w:rsid w:val="00B62AE8"/>
    <w:rsid w:val="00B62B50"/>
    <w:rsid w:val="00B62F75"/>
    <w:rsid w:val="00B62FDA"/>
    <w:rsid w:val="00B6325F"/>
    <w:rsid w:val="00B634A2"/>
    <w:rsid w:val="00B6350C"/>
    <w:rsid w:val="00B639A9"/>
    <w:rsid w:val="00B63D39"/>
    <w:rsid w:val="00B64225"/>
    <w:rsid w:val="00B646C1"/>
    <w:rsid w:val="00B6498F"/>
    <w:rsid w:val="00B649D8"/>
    <w:rsid w:val="00B655C3"/>
    <w:rsid w:val="00B655DB"/>
    <w:rsid w:val="00B659D5"/>
    <w:rsid w:val="00B65BA4"/>
    <w:rsid w:val="00B662CD"/>
    <w:rsid w:val="00B66396"/>
    <w:rsid w:val="00B663A4"/>
    <w:rsid w:val="00B669F1"/>
    <w:rsid w:val="00B66ADA"/>
    <w:rsid w:val="00B66DE7"/>
    <w:rsid w:val="00B67008"/>
    <w:rsid w:val="00B67822"/>
    <w:rsid w:val="00B67BCF"/>
    <w:rsid w:val="00B67D62"/>
    <w:rsid w:val="00B67DFC"/>
    <w:rsid w:val="00B67F43"/>
    <w:rsid w:val="00B70492"/>
    <w:rsid w:val="00B7067B"/>
    <w:rsid w:val="00B71314"/>
    <w:rsid w:val="00B71372"/>
    <w:rsid w:val="00B713E6"/>
    <w:rsid w:val="00B7149D"/>
    <w:rsid w:val="00B71A07"/>
    <w:rsid w:val="00B71A2F"/>
    <w:rsid w:val="00B71E37"/>
    <w:rsid w:val="00B71FE8"/>
    <w:rsid w:val="00B72500"/>
    <w:rsid w:val="00B72A65"/>
    <w:rsid w:val="00B72D7C"/>
    <w:rsid w:val="00B738DB"/>
    <w:rsid w:val="00B73C7A"/>
    <w:rsid w:val="00B73E9A"/>
    <w:rsid w:val="00B74240"/>
    <w:rsid w:val="00B74828"/>
    <w:rsid w:val="00B748DB"/>
    <w:rsid w:val="00B749AA"/>
    <w:rsid w:val="00B74DE6"/>
    <w:rsid w:val="00B7511E"/>
    <w:rsid w:val="00B7518E"/>
    <w:rsid w:val="00B754B2"/>
    <w:rsid w:val="00B7561C"/>
    <w:rsid w:val="00B75974"/>
    <w:rsid w:val="00B75DB3"/>
    <w:rsid w:val="00B75F9A"/>
    <w:rsid w:val="00B7615C"/>
    <w:rsid w:val="00B76525"/>
    <w:rsid w:val="00B766EE"/>
    <w:rsid w:val="00B76955"/>
    <w:rsid w:val="00B76B51"/>
    <w:rsid w:val="00B76E64"/>
    <w:rsid w:val="00B76E76"/>
    <w:rsid w:val="00B76FA7"/>
    <w:rsid w:val="00B771FF"/>
    <w:rsid w:val="00B7752E"/>
    <w:rsid w:val="00B77E3F"/>
    <w:rsid w:val="00B803B9"/>
    <w:rsid w:val="00B80B16"/>
    <w:rsid w:val="00B80D0A"/>
    <w:rsid w:val="00B80E9E"/>
    <w:rsid w:val="00B810C2"/>
    <w:rsid w:val="00B81162"/>
    <w:rsid w:val="00B813F3"/>
    <w:rsid w:val="00B81628"/>
    <w:rsid w:val="00B816F1"/>
    <w:rsid w:val="00B81794"/>
    <w:rsid w:val="00B818A4"/>
    <w:rsid w:val="00B81F3E"/>
    <w:rsid w:val="00B821D5"/>
    <w:rsid w:val="00B821DB"/>
    <w:rsid w:val="00B82306"/>
    <w:rsid w:val="00B82546"/>
    <w:rsid w:val="00B8262C"/>
    <w:rsid w:val="00B826A4"/>
    <w:rsid w:val="00B82982"/>
    <w:rsid w:val="00B834BC"/>
    <w:rsid w:val="00B838D4"/>
    <w:rsid w:val="00B83B2C"/>
    <w:rsid w:val="00B83C10"/>
    <w:rsid w:val="00B84092"/>
    <w:rsid w:val="00B8446A"/>
    <w:rsid w:val="00B844A5"/>
    <w:rsid w:val="00B8465D"/>
    <w:rsid w:val="00B84702"/>
    <w:rsid w:val="00B84990"/>
    <w:rsid w:val="00B84D1E"/>
    <w:rsid w:val="00B84DC9"/>
    <w:rsid w:val="00B85A84"/>
    <w:rsid w:val="00B85D71"/>
    <w:rsid w:val="00B860D6"/>
    <w:rsid w:val="00B86121"/>
    <w:rsid w:val="00B8625C"/>
    <w:rsid w:val="00B86402"/>
    <w:rsid w:val="00B8649C"/>
    <w:rsid w:val="00B86657"/>
    <w:rsid w:val="00B86F04"/>
    <w:rsid w:val="00B871DA"/>
    <w:rsid w:val="00B87653"/>
    <w:rsid w:val="00B8798D"/>
    <w:rsid w:val="00B87C11"/>
    <w:rsid w:val="00B9031A"/>
    <w:rsid w:val="00B90341"/>
    <w:rsid w:val="00B903E7"/>
    <w:rsid w:val="00B904AC"/>
    <w:rsid w:val="00B904B8"/>
    <w:rsid w:val="00B9054B"/>
    <w:rsid w:val="00B909D9"/>
    <w:rsid w:val="00B90DFA"/>
    <w:rsid w:val="00B910B1"/>
    <w:rsid w:val="00B910BE"/>
    <w:rsid w:val="00B9114E"/>
    <w:rsid w:val="00B912F8"/>
    <w:rsid w:val="00B91452"/>
    <w:rsid w:val="00B91464"/>
    <w:rsid w:val="00B91515"/>
    <w:rsid w:val="00B91EDD"/>
    <w:rsid w:val="00B91EFB"/>
    <w:rsid w:val="00B92550"/>
    <w:rsid w:val="00B92879"/>
    <w:rsid w:val="00B928C0"/>
    <w:rsid w:val="00B92A3B"/>
    <w:rsid w:val="00B92CF5"/>
    <w:rsid w:val="00B92D0B"/>
    <w:rsid w:val="00B92D86"/>
    <w:rsid w:val="00B931CE"/>
    <w:rsid w:val="00B935B0"/>
    <w:rsid w:val="00B93C08"/>
    <w:rsid w:val="00B93E24"/>
    <w:rsid w:val="00B93FEC"/>
    <w:rsid w:val="00B941A3"/>
    <w:rsid w:val="00B94669"/>
    <w:rsid w:val="00B94790"/>
    <w:rsid w:val="00B94945"/>
    <w:rsid w:val="00B94D03"/>
    <w:rsid w:val="00B94E93"/>
    <w:rsid w:val="00B9512C"/>
    <w:rsid w:val="00B952EF"/>
    <w:rsid w:val="00B95737"/>
    <w:rsid w:val="00B95944"/>
    <w:rsid w:val="00B95D2A"/>
    <w:rsid w:val="00B9648B"/>
    <w:rsid w:val="00B9696F"/>
    <w:rsid w:val="00B96B10"/>
    <w:rsid w:val="00B96B93"/>
    <w:rsid w:val="00B96CFA"/>
    <w:rsid w:val="00B96DAC"/>
    <w:rsid w:val="00B9700C"/>
    <w:rsid w:val="00B97099"/>
    <w:rsid w:val="00BA003B"/>
    <w:rsid w:val="00BA0050"/>
    <w:rsid w:val="00BA00A6"/>
    <w:rsid w:val="00BA015E"/>
    <w:rsid w:val="00BA0275"/>
    <w:rsid w:val="00BA0312"/>
    <w:rsid w:val="00BA0810"/>
    <w:rsid w:val="00BA0B02"/>
    <w:rsid w:val="00BA0FE1"/>
    <w:rsid w:val="00BA12C5"/>
    <w:rsid w:val="00BA1489"/>
    <w:rsid w:val="00BA1530"/>
    <w:rsid w:val="00BA155B"/>
    <w:rsid w:val="00BA199C"/>
    <w:rsid w:val="00BA1AC0"/>
    <w:rsid w:val="00BA1B8A"/>
    <w:rsid w:val="00BA1D92"/>
    <w:rsid w:val="00BA1E9D"/>
    <w:rsid w:val="00BA1F05"/>
    <w:rsid w:val="00BA2288"/>
    <w:rsid w:val="00BA2441"/>
    <w:rsid w:val="00BA24C7"/>
    <w:rsid w:val="00BA2604"/>
    <w:rsid w:val="00BA26B6"/>
    <w:rsid w:val="00BA27C6"/>
    <w:rsid w:val="00BA2EEB"/>
    <w:rsid w:val="00BA324E"/>
    <w:rsid w:val="00BA34AA"/>
    <w:rsid w:val="00BA38E9"/>
    <w:rsid w:val="00BA39E0"/>
    <w:rsid w:val="00BA3E6F"/>
    <w:rsid w:val="00BA3EED"/>
    <w:rsid w:val="00BA443E"/>
    <w:rsid w:val="00BA480F"/>
    <w:rsid w:val="00BA49B4"/>
    <w:rsid w:val="00BA526B"/>
    <w:rsid w:val="00BA52BC"/>
    <w:rsid w:val="00BA591E"/>
    <w:rsid w:val="00BA5FB0"/>
    <w:rsid w:val="00BA62B9"/>
    <w:rsid w:val="00BA63D3"/>
    <w:rsid w:val="00BA64CE"/>
    <w:rsid w:val="00BA676B"/>
    <w:rsid w:val="00BA693F"/>
    <w:rsid w:val="00BA6E00"/>
    <w:rsid w:val="00BA6F64"/>
    <w:rsid w:val="00BA73A3"/>
    <w:rsid w:val="00BA7999"/>
    <w:rsid w:val="00BA7CB8"/>
    <w:rsid w:val="00BB12F5"/>
    <w:rsid w:val="00BB1370"/>
    <w:rsid w:val="00BB1469"/>
    <w:rsid w:val="00BB1757"/>
    <w:rsid w:val="00BB1E0B"/>
    <w:rsid w:val="00BB2346"/>
    <w:rsid w:val="00BB279E"/>
    <w:rsid w:val="00BB2AB2"/>
    <w:rsid w:val="00BB3137"/>
    <w:rsid w:val="00BB354B"/>
    <w:rsid w:val="00BB365B"/>
    <w:rsid w:val="00BB381F"/>
    <w:rsid w:val="00BB38A1"/>
    <w:rsid w:val="00BB3B3A"/>
    <w:rsid w:val="00BB3BB8"/>
    <w:rsid w:val="00BB3E7F"/>
    <w:rsid w:val="00BB4006"/>
    <w:rsid w:val="00BB40D5"/>
    <w:rsid w:val="00BB42C7"/>
    <w:rsid w:val="00BB44A8"/>
    <w:rsid w:val="00BB49C1"/>
    <w:rsid w:val="00BB49FB"/>
    <w:rsid w:val="00BB4FB9"/>
    <w:rsid w:val="00BB5351"/>
    <w:rsid w:val="00BB5404"/>
    <w:rsid w:val="00BB5753"/>
    <w:rsid w:val="00BB5B2F"/>
    <w:rsid w:val="00BB5CE9"/>
    <w:rsid w:val="00BB5F45"/>
    <w:rsid w:val="00BB6047"/>
    <w:rsid w:val="00BB6257"/>
    <w:rsid w:val="00BB6750"/>
    <w:rsid w:val="00BB69EA"/>
    <w:rsid w:val="00BB6CFC"/>
    <w:rsid w:val="00BB6F35"/>
    <w:rsid w:val="00BB6F4E"/>
    <w:rsid w:val="00BB6FC8"/>
    <w:rsid w:val="00BB7405"/>
    <w:rsid w:val="00BB7500"/>
    <w:rsid w:val="00BB7E26"/>
    <w:rsid w:val="00BB7F3C"/>
    <w:rsid w:val="00BC0184"/>
    <w:rsid w:val="00BC05DA"/>
    <w:rsid w:val="00BC0FCD"/>
    <w:rsid w:val="00BC1113"/>
    <w:rsid w:val="00BC1662"/>
    <w:rsid w:val="00BC1749"/>
    <w:rsid w:val="00BC1B53"/>
    <w:rsid w:val="00BC1CD3"/>
    <w:rsid w:val="00BC21E5"/>
    <w:rsid w:val="00BC23E4"/>
    <w:rsid w:val="00BC25A0"/>
    <w:rsid w:val="00BC2BBF"/>
    <w:rsid w:val="00BC2DA4"/>
    <w:rsid w:val="00BC2E0F"/>
    <w:rsid w:val="00BC34BF"/>
    <w:rsid w:val="00BC3614"/>
    <w:rsid w:val="00BC3C41"/>
    <w:rsid w:val="00BC3F95"/>
    <w:rsid w:val="00BC451C"/>
    <w:rsid w:val="00BC471E"/>
    <w:rsid w:val="00BC47E0"/>
    <w:rsid w:val="00BC48B6"/>
    <w:rsid w:val="00BC4D52"/>
    <w:rsid w:val="00BC522C"/>
    <w:rsid w:val="00BC5425"/>
    <w:rsid w:val="00BC589E"/>
    <w:rsid w:val="00BC59A5"/>
    <w:rsid w:val="00BC5A19"/>
    <w:rsid w:val="00BC5AB9"/>
    <w:rsid w:val="00BC5AF3"/>
    <w:rsid w:val="00BC5BA4"/>
    <w:rsid w:val="00BC5D7E"/>
    <w:rsid w:val="00BC5ED7"/>
    <w:rsid w:val="00BC5F6C"/>
    <w:rsid w:val="00BC668E"/>
    <w:rsid w:val="00BC69E1"/>
    <w:rsid w:val="00BC7309"/>
    <w:rsid w:val="00BC778D"/>
    <w:rsid w:val="00BC7CA5"/>
    <w:rsid w:val="00BC7D33"/>
    <w:rsid w:val="00BC7E75"/>
    <w:rsid w:val="00BD088D"/>
    <w:rsid w:val="00BD0A26"/>
    <w:rsid w:val="00BD0F71"/>
    <w:rsid w:val="00BD12D0"/>
    <w:rsid w:val="00BD1C50"/>
    <w:rsid w:val="00BD1E9F"/>
    <w:rsid w:val="00BD20DB"/>
    <w:rsid w:val="00BD2896"/>
    <w:rsid w:val="00BD333B"/>
    <w:rsid w:val="00BD36F7"/>
    <w:rsid w:val="00BD371A"/>
    <w:rsid w:val="00BD383A"/>
    <w:rsid w:val="00BD384A"/>
    <w:rsid w:val="00BD3A29"/>
    <w:rsid w:val="00BD3D58"/>
    <w:rsid w:val="00BD3D7D"/>
    <w:rsid w:val="00BD3E2C"/>
    <w:rsid w:val="00BD3E7F"/>
    <w:rsid w:val="00BD461A"/>
    <w:rsid w:val="00BD4DBE"/>
    <w:rsid w:val="00BD51CA"/>
    <w:rsid w:val="00BD520B"/>
    <w:rsid w:val="00BD5293"/>
    <w:rsid w:val="00BD52BC"/>
    <w:rsid w:val="00BD56F5"/>
    <w:rsid w:val="00BD5938"/>
    <w:rsid w:val="00BD5DC6"/>
    <w:rsid w:val="00BD5FC4"/>
    <w:rsid w:val="00BD6057"/>
    <w:rsid w:val="00BD613E"/>
    <w:rsid w:val="00BD622C"/>
    <w:rsid w:val="00BD63C3"/>
    <w:rsid w:val="00BD6441"/>
    <w:rsid w:val="00BD6723"/>
    <w:rsid w:val="00BD6CF3"/>
    <w:rsid w:val="00BD717A"/>
    <w:rsid w:val="00BD7981"/>
    <w:rsid w:val="00BD79FB"/>
    <w:rsid w:val="00BD7C77"/>
    <w:rsid w:val="00BD7CFC"/>
    <w:rsid w:val="00BE03C5"/>
    <w:rsid w:val="00BE0A1E"/>
    <w:rsid w:val="00BE104C"/>
    <w:rsid w:val="00BE1215"/>
    <w:rsid w:val="00BE1EC9"/>
    <w:rsid w:val="00BE2180"/>
    <w:rsid w:val="00BE2274"/>
    <w:rsid w:val="00BE278B"/>
    <w:rsid w:val="00BE2852"/>
    <w:rsid w:val="00BE2B1F"/>
    <w:rsid w:val="00BE2BD7"/>
    <w:rsid w:val="00BE319C"/>
    <w:rsid w:val="00BE31A6"/>
    <w:rsid w:val="00BE3242"/>
    <w:rsid w:val="00BE32C7"/>
    <w:rsid w:val="00BE37E0"/>
    <w:rsid w:val="00BE3892"/>
    <w:rsid w:val="00BE3F6B"/>
    <w:rsid w:val="00BE404E"/>
    <w:rsid w:val="00BE4275"/>
    <w:rsid w:val="00BE463D"/>
    <w:rsid w:val="00BE4C5A"/>
    <w:rsid w:val="00BE4D25"/>
    <w:rsid w:val="00BE4F4A"/>
    <w:rsid w:val="00BE4FC8"/>
    <w:rsid w:val="00BE50B0"/>
    <w:rsid w:val="00BE523C"/>
    <w:rsid w:val="00BE5333"/>
    <w:rsid w:val="00BE5508"/>
    <w:rsid w:val="00BE5652"/>
    <w:rsid w:val="00BE5735"/>
    <w:rsid w:val="00BE573A"/>
    <w:rsid w:val="00BE58AB"/>
    <w:rsid w:val="00BE59FF"/>
    <w:rsid w:val="00BE5E92"/>
    <w:rsid w:val="00BE631D"/>
    <w:rsid w:val="00BE65A6"/>
    <w:rsid w:val="00BE672B"/>
    <w:rsid w:val="00BE6AAC"/>
    <w:rsid w:val="00BE6C80"/>
    <w:rsid w:val="00BE730C"/>
    <w:rsid w:val="00BE767C"/>
    <w:rsid w:val="00BE778C"/>
    <w:rsid w:val="00BE7B54"/>
    <w:rsid w:val="00BE7CED"/>
    <w:rsid w:val="00BF01D5"/>
    <w:rsid w:val="00BF064C"/>
    <w:rsid w:val="00BF07EC"/>
    <w:rsid w:val="00BF0849"/>
    <w:rsid w:val="00BF09C1"/>
    <w:rsid w:val="00BF09F3"/>
    <w:rsid w:val="00BF0B65"/>
    <w:rsid w:val="00BF10D0"/>
    <w:rsid w:val="00BF18FB"/>
    <w:rsid w:val="00BF199E"/>
    <w:rsid w:val="00BF1B80"/>
    <w:rsid w:val="00BF1DDD"/>
    <w:rsid w:val="00BF217D"/>
    <w:rsid w:val="00BF2234"/>
    <w:rsid w:val="00BF2433"/>
    <w:rsid w:val="00BF2715"/>
    <w:rsid w:val="00BF2792"/>
    <w:rsid w:val="00BF2C85"/>
    <w:rsid w:val="00BF2C88"/>
    <w:rsid w:val="00BF31D3"/>
    <w:rsid w:val="00BF325A"/>
    <w:rsid w:val="00BF34EF"/>
    <w:rsid w:val="00BF3554"/>
    <w:rsid w:val="00BF3A75"/>
    <w:rsid w:val="00BF3EF8"/>
    <w:rsid w:val="00BF40F4"/>
    <w:rsid w:val="00BF4108"/>
    <w:rsid w:val="00BF43CB"/>
    <w:rsid w:val="00BF496B"/>
    <w:rsid w:val="00BF4A0E"/>
    <w:rsid w:val="00BF4BE6"/>
    <w:rsid w:val="00BF4CAD"/>
    <w:rsid w:val="00BF4D78"/>
    <w:rsid w:val="00BF4E01"/>
    <w:rsid w:val="00BF4EB3"/>
    <w:rsid w:val="00BF5262"/>
    <w:rsid w:val="00BF5451"/>
    <w:rsid w:val="00BF5564"/>
    <w:rsid w:val="00BF563D"/>
    <w:rsid w:val="00BF56F2"/>
    <w:rsid w:val="00BF584A"/>
    <w:rsid w:val="00BF58DE"/>
    <w:rsid w:val="00BF58EC"/>
    <w:rsid w:val="00BF5BAE"/>
    <w:rsid w:val="00BF5E70"/>
    <w:rsid w:val="00BF6005"/>
    <w:rsid w:val="00BF61C9"/>
    <w:rsid w:val="00BF633E"/>
    <w:rsid w:val="00BF679E"/>
    <w:rsid w:val="00BF6F6D"/>
    <w:rsid w:val="00BF7049"/>
    <w:rsid w:val="00BF719F"/>
    <w:rsid w:val="00BF71FD"/>
    <w:rsid w:val="00BF7274"/>
    <w:rsid w:val="00BF73E8"/>
    <w:rsid w:val="00BF7675"/>
    <w:rsid w:val="00BF77E8"/>
    <w:rsid w:val="00BF7ED3"/>
    <w:rsid w:val="00C00168"/>
    <w:rsid w:val="00C00590"/>
    <w:rsid w:val="00C005E4"/>
    <w:rsid w:val="00C00709"/>
    <w:rsid w:val="00C008AC"/>
    <w:rsid w:val="00C0092E"/>
    <w:rsid w:val="00C00AF8"/>
    <w:rsid w:val="00C00D7F"/>
    <w:rsid w:val="00C015FF"/>
    <w:rsid w:val="00C01B3A"/>
    <w:rsid w:val="00C020BD"/>
    <w:rsid w:val="00C021A9"/>
    <w:rsid w:val="00C024E5"/>
    <w:rsid w:val="00C029EA"/>
    <w:rsid w:val="00C02A58"/>
    <w:rsid w:val="00C02ACF"/>
    <w:rsid w:val="00C02DF1"/>
    <w:rsid w:val="00C0322E"/>
    <w:rsid w:val="00C034F7"/>
    <w:rsid w:val="00C03577"/>
    <w:rsid w:val="00C03602"/>
    <w:rsid w:val="00C03622"/>
    <w:rsid w:val="00C037F9"/>
    <w:rsid w:val="00C03808"/>
    <w:rsid w:val="00C03928"/>
    <w:rsid w:val="00C03E3A"/>
    <w:rsid w:val="00C040D7"/>
    <w:rsid w:val="00C0489B"/>
    <w:rsid w:val="00C05214"/>
    <w:rsid w:val="00C05344"/>
    <w:rsid w:val="00C05648"/>
    <w:rsid w:val="00C0574B"/>
    <w:rsid w:val="00C05A3C"/>
    <w:rsid w:val="00C05C78"/>
    <w:rsid w:val="00C05C91"/>
    <w:rsid w:val="00C05D66"/>
    <w:rsid w:val="00C0612E"/>
    <w:rsid w:val="00C06309"/>
    <w:rsid w:val="00C066DD"/>
    <w:rsid w:val="00C06F51"/>
    <w:rsid w:val="00C0722A"/>
    <w:rsid w:val="00C072E5"/>
    <w:rsid w:val="00C077E4"/>
    <w:rsid w:val="00C07950"/>
    <w:rsid w:val="00C07D9F"/>
    <w:rsid w:val="00C10290"/>
    <w:rsid w:val="00C10779"/>
    <w:rsid w:val="00C11344"/>
    <w:rsid w:val="00C11866"/>
    <w:rsid w:val="00C11C69"/>
    <w:rsid w:val="00C1273C"/>
    <w:rsid w:val="00C12752"/>
    <w:rsid w:val="00C12782"/>
    <w:rsid w:val="00C12D16"/>
    <w:rsid w:val="00C12D89"/>
    <w:rsid w:val="00C12DDD"/>
    <w:rsid w:val="00C1302E"/>
    <w:rsid w:val="00C1357A"/>
    <w:rsid w:val="00C137EC"/>
    <w:rsid w:val="00C13AD1"/>
    <w:rsid w:val="00C13F14"/>
    <w:rsid w:val="00C1410D"/>
    <w:rsid w:val="00C142A7"/>
    <w:rsid w:val="00C144AD"/>
    <w:rsid w:val="00C148C9"/>
    <w:rsid w:val="00C15137"/>
    <w:rsid w:val="00C153C3"/>
    <w:rsid w:val="00C15470"/>
    <w:rsid w:val="00C1557D"/>
    <w:rsid w:val="00C15664"/>
    <w:rsid w:val="00C159D4"/>
    <w:rsid w:val="00C15FAD"/>
    <w:rsid w:val="00C16073"/>
    <w:rsid w:val="00C163F3"/>
    <w:rsid w:val="00C16456"/>
    <w:rsid w:val="00C16808"/>
    <w:rsid w:val="00C1681A"/>
    <w:rsid w:val="00C170AB"/>
    <w:rsid w:val="00C175FF"/>
    <w:rsid w:val="00C17B15"/>
    <w:rsid w:val="00C17D5A"/>
    <w:rsid w:val="00C17F1F"/>
    <w:rsid w:val="00C2015A"/>
    <w:rsid w:val="00C202CB"/>
    <w:rsid w:val="00C204A9"/>
    <w:rsid w:val="00C2072D"/>
    <w:rsid w:val="00C210CB"/>
    <w:rsid w:val="00C21240"/>
    <w:rsid w:val="00C212C5"/>
    <w:rsid w:val="00C2136C"/>
    <w:rsid w:val="00C21DD3"/>
    <w:rsid w:val="00C21E62"/>
    <w:rsid w:val="00C226DE"/>
    <w:rsid w:val="00C22707"/>
    <w:rsid w:val="00C22B88"/>
    <w:rsid w:val="00C22D1D"/>
    <w:rsid w:val="00C22E78"/>
    <w:rsid w:val="00C231A0"/>
    <w:rsid w:val="00C23479"/>
    <w:rsid w:val="00C2354E"/>
    <w:rsid w:val="00C23E10"/>
    <w:rsid w:val="00C23E69"/>
    <w:rsid w:val="00C23EB0"/>
    <w:rsid w:val="00C240CB"/>
    <w:rsid w:val="00C2425A"/>
    <w:rsid w:val="00C24546"/>
    <w:rsid w:val="00C24611"/>
    <w:rsid w:val="00C246DD"/>
    <w:rsid w:val="00C24E57"/>
    <w:rsid w:val="00C24F47"/>
    <w:rsid w:val="00C25418"/>
    <w:rsid w:val="00C25564"/>
    <w:rsid w:val="00C2559F"/>
    <w:rsid w:val="00C25D9C"/>
    <w:rsid w:val="00C262E6"/>
    <w:rsid w:val="00C26489"/>
    <w:rsid w:val="00C2666D"/>
    <w:rsid w:val="00C26677"/>
    <w:rsid w:val="00C26958"/>
    <w:rsid w:val="00C271C0"/>
    <w:rsid w:val="00C271C9"/>
    <w:rsid w:val="00C27660"/>
    <w:rsid w:val="00C276E6"/>
    <w:rsid w:val="00C2789A"/>
    <w:rsid w:val="00C300ED"/>
    <w:rsid w:val="00C304C3"/>
    <w:rsid w:val="00C30556"/>
    <w:rsid w:val="00C310B4"/>
    <w:rsid w:val="00C310D1"/>
    <w:rsid w:val="00C3137B"/>
    <w:rsid w:val="00C313C2"/>
    <w:rsid w:val="00C31434"/>
    <w:rsid w:val="00C314FD"/>
    <w:rsid w:val="00C31500"/>
    <w:rsid w:val="00C31649"/>
    <w:rsid w:val="00C319F6"/>
    <w:rsid w:val="00C31C6A"/>
    <w:rsid w:val="00C31C89"/>
    <w:rsid w:val="00C31DCA"/>
    <w:rsid w:val="00C31EC3"/>
    <w:rsid w:val="00C32146"/>
    <w:rsid w:val="00C321CF"/>
    <w:rsid w:val="00C3220A"/>
    <w:rsid w:val="00C32338"/>
    <w:rsid w:val="00C32FA0"/>
    <w:rsid w:val="00C33128"/>
    <w:rsid w:val="00C336E0"/>
    <w:rsid w:val="00C337A2"/>
    <w:rsid w:val="00C337CC"/>
    <w:rsid w:val="00C338A4"/>
    <w:rsid w:val="00C33BD4"/>
    <w:rsid w:val="00C33CE2"/>
    <w:rsid w:val="00C34066"/>
    <w:rsid w:val="00C342F3"/>
    <w:rsid w:val="00C35619"/>
    <w:rsid w:val="00C35B08"/>
    <w:rsid w:val="00C35CF8"/>
    <w:rsid w:val="00C360BC"/>
    <w:rsid w:val="00C3611B"/>
    <w:rsid w:val="00C3618F"/>
    <w:rsid w:val="00C365A4"/>
    <w:rsid w:val="00C368D9"/>
    <w:rsid w:val="00C36A6F"/>
    <w:rsid w:val="00C36ADC"/>
    <w:rsid w:val="00C36CB0"/>
    <w:rsid w:val="00C36D8F"/>
    <w:rsid w:val="00C36E25"/>
    <w:rsid w:val="00C36FB9"/>
    <w:rsid w:val="00C372A3"/>
    <w:rsid w:val="00C37317"/>
    <w:rsid w:val="00C37370"/>
    <w:rsid w:val="00C3756A"/>
    <w:rsid w:val="00C37722"/>
    <w:rsid w:val="00C37914"/>
    <w:rsid w:val="00C40385"/>
    <w:rsid w:val="00C40842"/>
    <w:rsid w:val="00C408B2"/>
    <w:rsid w:val="00C409E4"/>
    <w:rsid w:val="00C40BBA"/>
    <w:rsid w:val="00C40EDA"/>
    <w:rsid w:val="00C4105B"/>
    <w:rsid w:val="00C41560"/>
    <w:rsid w:val="00C4195C"/>
    <w:rsid w:val="00C41A1D"/>
    <w:rsid w:val="00C41B1C"/>
    <w:rsid w:val="00C41B73"/>
    <w:rsid w:val="00C41D7E"/>
    <w:rsid w:val="00C41E9B"/>
    <w:rsid w:val="00C42083"/>
    <w:rsid w:val="00C42222"/>
    <w:rsid w:val="00C42652"/>
    <w:rsid w:val="00C428B6"/>
    <w:rsid w:val="00C42D0B"/>
    <w:rsid w:val="00C42E72"/>
    <w:rsid w:val="00C42EC5"/>
    <w:rsid w:val="00C43064"/>
    <w:rsid w:val="00C434C8"/>
    <w:rsid w:val="00C436D0"/>
    <w:rsid w:val="00C43AB7"/>
    <w:rsid w:val="00C43BD9"/>
    <w:rsid w:val="00C43C95"/>
    <w:rsid w:val="00C43EA5"/>
    <w:rsid w:val="00C440D7"/>
    <w:rsid w:val="00C448D4"/>
    <w:rsid w:val="00C449EF"/>
    <w:rsid w:val="00C44EAF"/>
    <w:rsid w:val="00C45406"/>
    <w:rsid w:val="00C457ED"/>
    <w:rsid w:val="00C458E7"/>
    <w:rsid w:val="00C45CE9"/>
    <w:rsid w:val="00C45D70"/>
    <w:rsid w:val="00C45F64"/>
    <w:rsid w:val="00C46209"/>
    <w:rsid w:val="00C4628A"/>
    <w:rsid w:val="00C4655B"/>
    <w:rsid w:val="00C4695E"/>
    <w:rsid w:val="00C476E0"/>
    <w:rsid w:val="00C4789E"/>
    <w:rsid w:val="00C47B46"/>
    <w:rsid w:val="00C47CEC"/>
    <w:rsid w:val="00C47DD1"/>
    <w:rsid w:val="00C47F08"/>
    <w:rsid w:val="00C50659"/>
    <w:rsid w:val="00C50F70"/>
    <w:rsid w:val="00C51019"/>
    <w:rsid w:val="00C51074"/>
    <w:rsid w:val="00C511D5"/>
    <w:rsid w:val="00C51242"/>
    <w:rsid w:val="00C51508"/>
    <w:rsid w:val="00C51942"/>
    <w:rsid w:val="00C51BE9"/>
    <w:rsid w:val="00C52080"/>
    <w:rsid w:val="00C52554"/>
    <w:rsid w:val="00C52691"/>
    <w:rsid w:val="00C52A02"/>
    <w:rsid w:val="00C52A90"/>
    <w:rsid w:val="00C532B3"/>
    <w:rsid w:val="00C53448"/>
    <w:rsid w:val="00C536C8"/>
    <w:rsid w:val="00C539E7"/>
    <w:rsid w:val="00C53D3A"/>
    <w:rsid w:val="00C54714"/>
    <w:rsid w:val="00C547A7"/>
    <w:rsid w:val="00C54AB2"/>
    <w:rsid w:val="00C54D93"/>
    <w:rsid w:val="00C54FF6"/>
    <w:rsid w:val="00C55150"/>
    <w:rsid w:val="00C55157"/>
    <w:rsid w:val="00C553CD"/>
    <w:rsid w:val="00C559E0"/>
    <w:rsid w:val="00C55D04"/>
    <w:rsid w:val="00C560E5"/>
    <w:rsid w:val="00C563C4"/>
    <w:rsid w:val="00C56557"/>
    <w:rsid w:val="00C5665A"/>
    <w:rsid w:val="00C5674E"/>
    <w:rsid w:val="00C56D83"/>
    <w:rsid w:val="00C56E86"/>
    <w:rsid w:val="00C5719D"/>
    <w:rsid w:val="00C57241"/>
    <w:rsid w:val="00C57381"/>
    <w:rsid w:val="00C574CF"/>
    <w:rsid w:val="00C574D2"/>
    <w:rsid w:val="00C5763E"/>
    <w:rsid w:val="00C57710"/>
    <w:rsid w:val="00C57817"/>
    <w:rsid w:val="00C57D3B"/>
    <w:rsid w:val="00C57DF2"/>
    <w:rsid w:val="00C600A5"/>
    <w:rsid w:val="00C6068F"/>
    <w:rsid w:val="00C609E8"/>
    <w:rsid w:val="00C60AAE"/>
    <w:rsid w:val="00C60CB5"/>
    <w:rsid w:val="00C60D32"/>
    <w:rsid w:val="00C616CD"/>
    <w:rsid w:val="00C6196B"/>
    <w:rsid w:val="00C61A43"/>
    <w:rsid w:val="00C61D8C"/>
    <w:rsid w:val="00C61E15"/>
    <w:rsid w:val="00C6203D"/>
    <w:rsid w:val="00C62470"/>
    <w:rsid w:val="00C62815"/>
    <w:rsid w:val="00C62F7F"/>
    <w:rsid w:val="00C6301B"/>
    <w:rsid w:val="00C63267"/>
    <w:rsid w:val="00C632AD"/>
    <w:rsid w:val="00C63A78"/>
    <w:rsid w:val="00C63DEF"/>
    <w:rsid w:val="00C64322"/>
    <w:rsid w:val="00C6438F"/>
    <w:rsid w:val="00C647A9"/>
    <w:rsid w:val="00C648B7"/>
    <w:rsid w:val="00C6518A"/>
    <w:rsid w:val="00C653E0"/>
    <w:rsid w:val="00C65576"/>
    <w:rsid w:val="00C6561E"/>
    <w:rsid w:val="00C65973"/>
    <w:rsid w:val="00C65F97"/>
    <w:rsid w:val="00C66165"/>
    <w:rsid w:val="00C661FC"/>
    <w:rsid w:val="00C66216"/>
    <w:rsid w:val="00C667C1"/>
    <w:rsid w:val="00C66A92"/>
    <w:rsid w:val="00C66E95"/>
    <w:rsid w:val="00C66F81"/>
    <w:rsid w:val="00C670B4"/>
    <w:rsid w:val="00C6731B"/>
    <w:rsid w:val="00C67B8A"/>
    <w:rsid w:val="00C70356"/>
    <w:rsid w:val="00C70403"/>
    <w:rsid w:val="00C70E97"/>
    <w:rsid w:val="00C716DC"/>
    <w:rsid w:val="00C71A62"/>
    <w:rsid w:val="00C71AC5"/>
    <w:rsid w:val="00C71CBC"/>
    <w:rsid w:val="00C71EAB"/>
    <w:rsid w:val="00C71EDC"/>
    <w:rsid w:val="00C71EF6"/>
    <w:rsid w:val="00C71F86"/>
    <w:rsid w:val="00C71FCE"/>
    <w:rsid w:val="00C72105"/>
    <w:rsid w:val="00C72187"/>
    <w:rsid w:val="00C72427"/>
    <w:rsid w:val="00C72612"/>
    <w:rsid w:val="00C728E2"/>
    <w:rsid w:val="00C72A20"/>
    <w:rsid w:val="00C72BFB"/>
    <w:rsid w:val="00C72DA9"/>
    <w:rsid w:val="00C72E43"/>
    <w:rsid w:val="00C73247"/>
    <w:rsid w:val="00C7333C"/>
    <w:rsid w:val="00C7342F"/>
    <w:rsid w:val="00C7350C"/>
    <w:rsid w:val="00C73C00"/>
    <w:rsid w:val="00C73CB9"/>
    <w:rsid w:val="00C7401F"/>
    <w:rsid w:val="00C7415A"/>
    <w:rsid w:val="00C744AE"/>
    <w:rsid w:val="00C74C9C"/>
    <w:rsid w:val="00C74D4D"/>
    <w:rsid w:val="00C74D56"/>
    <w:rsid w:val="00C74E0E"/>
    <w:rsid w:val="00C750C8"/>
    <w:rsid w:val="00C7525F"/>
    <w:rsid w:val="00C754FB"/>
    <w:rsid w:val="00C75740"/>
    <w:rsid w:val="00C7583C"/>
    <w:rsid w:val="00C75A89"/>
    <w:rsid w:val="00C75B8E"/>
    <w:rsid w:val="00C75EAB"/>
    <w:rsid w:val="00C76231"/>
    <w:rsid w:val="00C76296"/>
    <w:rsid w:val="00C763E1"/>
    <w:rsid w:val="00C765D4"/>
    <w:rsid w:val="00C76694"/>
    <w:rsid w:val="00C766C0"/>
    <w:rsid w:val="00C7674A"/>
    <w:rsid w:val="00C767D4"/>
    <w:rsid w:val="00C7689C"/>
    <w:rsid w:val="00C7734A"/>
    <w:rsid w:val="00C7738E"/>
    <w:rsid w:val="00C778AC"/>
    <w:rsid w:val="00C804F6"/>
    <w:rsid w:val="00C80780"/>
    <w:rsid w:val="00C80797"/>
    <w:rsid w:val="00C809DE"/>
    <w:rsid w:val="00C80A87"/>
    <w:rsid w:val="00C81154"/>
    <w:rsid w:val="00C814EF"/>
    <w:rsid w:val="00C818CF"/>
    <w:rsid w:val="00C81A44"/>
    <w:rsid w:val="00C81B0C"/>
    <w:rsid w:val="00C81C68"/>
    <w:rsid w:val="00C81E35"/>
    <w:rsid w:val="00C81F9F"/>
    <w:rsid w:val="00C8213F"/>
    <w:rsid w:val="00C8268E"/>
    <w:rsid w:val="00C82904"/>
    <w:rsid w:val="00C829D2"/>
    <w:rsid w:val="00C82E45"/>
    <w:rsid w:val="00C835A6"/>
    <w:rsid w:val="00C83932"/>
    <w:rsid w:val="00C83BDD"/>
    <w:rsid w:val="00C83DD4"/>
    <w:rsid w:val="00C83DDB"/>
    <w:rsid w:val="00C8405A"/>
    <w:rsid w:val="00C845DA"/>
    <w:rsid w:val="00C84664"/>
    <w:rsid w:val="00C846A9"/>
    <w:rsid w:val="00C84728"/>
    <w:rsid w:val="00C84741"/>
    <w:rsid w:val="00C84A8A"/>
    <w:rsid w:val="00C84D45"/>
    <w:rsid w:val="00C8542B"/>
    <w:rsid w:val="00C855EE"/>
    <w:rsid w:val="00C85731"/>
    <w:rsid w:val="00C85CD1"/>
    <w:rsid w:val="00C85F68"/>
    <w:rsid w:val="00C86297"/>
    <w:rsid w:val="00C86B47"/>
    <w:rsid w:val="00C86E0C"/>
    <w:rsid w:val="00C878E5"/>
    <w:rsid w:val="00C8797A"/>
    <w:rsid w:val="00C87FCF"/>
    <w:rsid w:val="00C902A2"/>
    <w:rsid w:val="00C90648"/>
    <w:rsid w:val="00C90692"/>
    <w:rsid w:val="00C90841"/>
    <w:rsid w:val="00C9087B"/>
    <w:rsid w:val="00C90E8E"/>
    <w:rsid w:val="00C90EB1"/>
    <w:rsid w:val="00C90F92"/>
    <w:rsid w:val="00C91225"/>
    <w:rsid w:val="00C9132F"/>
    <w:rsid w:val="00C9152A"/>
    <w:rsid w:val="00C9194B"/>
    <w:rsid w:val="00C91DEE"/>
    <w:rsid w:val="00C91E46"/>
    <w:rsid w:val="00C921DF"/>
    <w:rsid w:val="00C923F7"/>
    <w:rsid w:val="00C9263C"/>
    <w:rsid w:val="00C92865"/>
    <w:rsid w:val="00C92BB4"/>
    <w:rsid w:val="00C92BEE"/>
    <w:rsid w:val="00C92C25"/>
    <w:rsid w:val="00C92C8A"/>
    <w:rsid w:val="00C92DDC"/>
    <w:rsid w:val="00C934E8"/>
    <w:rsid w:val="00C93889"/>
    <w:rsid w:val="00C938CF"/>
    <w:rsid w:val="00C93B2D"/>
    <w:rsid w:val="00C93E91"/>
    <w:rsid w:val="00C94043"/>
    <w:rsid w:val="00C94094"/>
    <w:rsid w:val="00C9459A"/>
    <w:rsid w:val="00C945BB"/>
    <w:rsid w:val="00C946E4"/>
    <w:rsid w:val="00C946EB"/>
    <w:rsid w:val="00C94839"/>
    <w:rsid w:val="00C948A5"/>
    <w:rsid w:val="00C94A2D"/>
    <w:rsid w:val="00C94F6B"/>
    <w:rsid w:val="00C951B7"/>
    <w:rsid w:val="00C953C0"/>
    <w:rsid w:val="00C95410"/>
    <w:rsid w:val="00C9591D"/>
    <w:rsid w:val="00C95BCA"/>
    <w:rsid w:val="00C95D1A"/>
    <w:rsid w:val="00C960ED"/>
    <w:rsid w:val="00C965FD"/>
    <w:rsid w:val="00C967E3"/>
    <w:rsid w:val="00C96DA6"/>
    <w:rsid w:val="00C96FF3"/>
    <w:rsid w:val="00C97D14"/>
    <w:rsid w:val="00C97D7E"/>
    <w:rsid w:val="00C97F06"/>
    <w:rsid w:val="00CA00C4"/>
    <w:rsid w:val="00CA01F8"/>
    <w:rsid w:val="00CA0732"/>
    <w:rsid w:val="00CA0EC2"/>
    <w:rsid w:val="00CA1075"/>
    <w:rsid w:val="00CA1321"/>
    <w:rsid w:val="00CA146F"/>
    <w:rsid w:val="00CA1522"/>
    <w:rsid w:val="00CA179B"/>
    <w:rsid w:val="00CA18DB"/>
    <w:rsid w:val="00CA18FF"/>
    <w:rsid w:val="00CA1B32"/>
    <w:rsid w:val="00CA1DDB"/>
    <w:rsid w:val="00CA251D"/>
    <w:rsid w:val="00CA2C9C"/>
    <w:rsid w:val="00CA2DB0"/>
    <w:rsid w:val="00CA2DD3"/>
    <w:rsid w:val="00CA3091"/>
    <w:rsid w:val="00CA316B"/>
    <w:rsid w:val="00CA31A7"/>
    <w:rsid w:val="00CA329F"/>
    <w:rsid w:val="00CA338E"/>
    <w:rsid w:val="00CA34F9"/>
    <w:rsid w:val="00CA36F4"/>
    <w:rsid w:val="00CA386E"/>
    <w:rsid w:val="00CA3B02"/>
    <w:rsid w:val="00CA3C97"/>
    <w:rsid w:val="00CA4011"/>
    <w:rsid w:val="00CA401F"/>
    <w:rsid w:val="00CA404B"/>
    <w:rsid w:val="00CA4244"/>
    <w:rsid w:val="00CA4537"/>
    <w:rsid w:val="00CA45DF"/>
    <w:rsid w:val="00CA4840"/>
    <w:rsid w:val="00CA4A99"/>
    <w:rsid w:val="00CA4AA8"/>
    <w:rsid w:val="00CA4FF8"/>
    <w:rsid w:val="00CA5245"/>
    <w:rsid w:val="00CA5392"/>
    <w:rsid w:val="00CA5589"/>
    <w:rsid w:val="00CA56FD"/>
    <w:rsid w:val="00CA5887"/>
    <w:rsid w:val="00CA5E38"/>
    <w:rsid w:val="00CA626D"/>
    <w:rsid w:val="00CA63FC"/>
    <w:rsid w:val="00CA652B"/>
    <w:rsid w:val="00CA672A"/>
    <w:rsid w:val="00CA677F"/>
    <w:rsid w:val="00CA67DB"/>
    <w:rsid w:val="00CA6B2B"/>
    <w:rsid w:val="00CA7446"/>
    <w:rsid w:val="00CA76F4"/>
    <w:rsid w:val="00CA7B09"/>
    <w:rsid w:val="00CA7B79"/>
    <w:rsid w:val="00CA7D0F"/>
    <w:rsid w:val="00CA7EFB"/>
    <w:rsid w:val="00CB000D"/>
    <w:rsid w:val="00CB100D"/>
    <w:rsid w:val="00CB1240"/>
    <w:rsid w:val="00CB1801"/>
    <w:rsid w:val="00CB1E82"/>
    <w:rsid w:val="00CB1FC9"/>
    <w:rsid w:val="00CB2074"/>
    <w:rsid w:val="00CB2092"/>
    <w:rsid w:val="00CB2410"/>
    <w:rsid w:val="00CB2B2A"/>
    <w:rsid w:val="00CB314A"/>
    <w:rsid w:val="00CB31C9"/>
    <w:rsid w:val="00CB3280"/>
    <w:rsid w:val="00CB37F7"/>
    <w:rsid w:val="00CB3E2B"/>
    <w:rsid w:val="00CB3F57"/>
    <w:rsid w:val="00CB43C8"/>
    <w:rsid w:val="00CB4516"/>
    <w:rsid w:val="00CB4607"/>
    <w:rsid w:val="00CB4F29"/>
    <w:rsid w:val="00CB4F9D"/>
    <w:rsid w:val="00CB544B"/>
    <w:rsid w:val="00CB54FB"/>
    <w:rsid w:val="00CB5524"/>
    <w:rsid w:val="00CB5A74"/>
    <w:rsid w:val="00CB5B1A"/>
    <w:rsid w:val="00CB5D05"/>
    <w:rsid w:val="00CB5E4F"/>
    <w:rsid w:val="00CB6779"/>
    <w:rsid w:val="00CB67C6"/>
    <w:rsid w:val="00CB68CB"/>
    <w:rsid w:val="00CB6D49"/>
    <w:rsid w:val="00CB6EE3"/>
    <w:rsid w:val="00CB6EFF"/>
    <w:rsid w:val="00CB7327"/>
    <w:rsid w:val="00CB74D9"/>
    <w:rsid w:val="00CB772C"/>
    <w:rsid w:val="00CB7795"/>
    <w:rsid w:val="00CB7845"/>
    <w:rsid w:val="00CB7C4E"/>
    <w:rsid w:val="00CB7D11"/>
    <w:rsid w:val="00CC018F"/>
    <w:rsid w:val="00CC06F0"/>
    <w:rsid w:val="00CC082F"/>
    <w:rsid w:val="00CC0855"/>
    <w:rsid w:val="00CC0BDA"/>
    <w:rsid w:val="00CC0ED2"/>
    <w:rsid w:val="00CC0ED3"/>
    <w:rsid w:val="00CC1433"/>
    <w:rsid w:val="00CC14D2"/>
    <w:rsid w:val="00CC1518"/>
    <w:rsid w:val="00CC15D7"/>
    <w:rsid w:val="00CC1A1D"/>
    <w:rsid w:val="00CC1B7E"/>
    <w:rsid w:val="00CC25DF"/>
    <w:rsid w:val="00CC264C"/>
    <w:rsid w:val="00CC268F"/>
    <w:rsid w:val="00CC2757"/>
    <w:rsid w:val="00CC2821"/>
    <w:rsid w:val="00CC2BC5"/>
    <w:rsid w:val="00CC2C60"/>
    <w:rsid w:val="00CC2CD6"/>
    <w:rsid w:val="00CC2E24"/>
    <w:rsid w:val="00CC3483"/>
    <w:rsid w:val="00CC359A"/>
    <w:rsid w:val="00CC37A3"/>
    <w:rsid w:val="00CC38F2"/>
    <w:rsid w:val="00CC3C2A"/>
    <w:rsid w:val="00CC41EC"/>
    <w:rsid w:val="00CC432C"/>
    <w:rsid w:val="00CC4AB6"/>
    <w:rsid w:val="00CC4AFD"/>
    <w:rsid w:val="00CC4B60"/>
    <w:rsid w:val="00CC4D10"/>
    <w:rsid w:val="00CC4F41"/>
    <w:rsid w:val="00CC538B"/>
    <w:rsid w:val="00CC54F3"/>
    <w:rsid w:val="00CC552A"/>
    <w:rsid w:val="00CC566D"/>
    <w:rsid w:val="00CC59DD"/>
    <w:rsid w:val="00CC5C39"/>
    <w:rsid w:val="00CC5D30"/>
    <w:rsid w:val="00CC6442"/>
    <w:rsid w:val="00CC67BB"/>
    <w:rsid w:val="00CC68E1"/>
    <w:rsid w:val="00CC6946"/>
    <w:rsid w:val="00CC6C96"/>
    <w:rsid w:val="00CC74D9"/>
    <w:rsid w:val="00CD0230"/>
    <w:rsid w:val="00CD0232"/>
    <w:rsid w:val="00CD0297"/>
    <w:rsid w:val="00CD07B8"/>
    <w:rsid w:val="00CD2092"/>
    <w:rsid w:val="00CD25D1"/>
    <w:rsid w:val="00CD280F"/>
    <w:rsid w:val="00CD298E"/>
    <w:rsid w:val="00CD29AB"/>
    <w:rsid w:val="00CD2EDB"/>
    <w:rsid w:val="00CD2FE5"/>
    <w:rsid w:val="00CD349C"/>
    <w:rsid w:val="00CD35EB"/>
    <w:rsid w:val="00CD38D5"/>
    <w:rsid w:val="00CD3F54"/>
    <w:rsid w:val="00CD3FEC"/>
    <w:rsid w:val="00CD403F"/>
    <w:rsid w:val="00CD4753"/>
    <w:rsid w:val="00CD48A4"/>
    <w:rsid w:val="00CD4D2F"/>
    <w:rsid w:val="00CD4DFE"/>
    <w:rsid w:val="00CD506E"/>
    <w:rsid w:val="00CD513F"/>
    <w:rsid w:val="00CD5299"/>
    <w:rsid w:val="00CD5495"/>
    <w:rsid w:val="00CD55FE"/>
    <w:rsid w:val="00CD62A0"/>
    <w:rsid w:val="00CD62D4"/>
    <w:rsid w:val="00CD632E"/>
    <w:rsid w:val="00CD661B"/>
    <w:rsid w:val="00CD663D"/>
    <w:rsid w:val="00CD6A58"/>
    <w:rsid w:val="00CD6ADC"/>
    <w:rsid w:val="00CD6B58"/>
    <w:rsid w:val="00CD6F96"/>
    <w:rsid w:val="00CD717D"/>
    <w:rsid w:val="00CD71D2"/>
    <w:rsid w:val="00CD71E6"/>
    <w:rsid w:val="00CD77A3"/>
    <w:rsid w:val="00CD7A68"/>
    <w:rsid w:val="00CD7AC2"/>
    <w:rsid w:val="00CD7BD1"/>
    <w:rsid w:val="00CD7C4C"/>
    <w:rsid w:val="00CD7D8A"/>
    <w:rsid w:val="00CE0247"/>
    <w:rsid w:val="00CE0A14"/>
    <w:rsid w:val="00CE0AA2"/>
    <w:rsid w:val="00CE113C"/>
    <w:rsid w:val="00CE11E4"/>
    <w:rsid w:val="00CE1254"/>
    <w:rsid w:val="00CE12B4"/>
    <w:rsid w:val="00CE1732"/>
    <w:rsid w:val="00CE1927"/>
    <w:rsid w:val="00CE1E0A"/>
    <w:rsid w:val="00CE1E94"/>
    <w:rsid w:val="00CE2048"/>
    <w:rsid w:val="00CE2853"/>
    <w:rsid w:val="00CE293D"/>
    <w:rsid w:val="00CE29DD"/>
    <w:rsid w:val="00CE2E3E"/>
    <w:rsid w:val="00CE30AC"/>
    <w:rsid w:val="00CE30FF"/>
    <w:rsid w:val="00CE37F6"/>
    <w:rsid w:val="00CE3844"/>
    <w:rsid w:val="00CE3C28"/>
    <w:rsid w:val="00CE44FC"/>
    <w:rsid w:val="00CE46E0"/>
    <w:rsid w:val="00CE4C71"/>
    <w:rsid w:val="00CE4FA2"/>
    <w:rsid w:val="00CE529E"/>
    <w:rsid w:val="00CE54CF"/>
    <w:rsid w:val="00CE5B93"/>
    <w:rsid w:val="00CE5C73"/>
    <w:rsid w:val="00CE5D73"/>
    <w:rsid w:val="00CE60FD"/>
    <w:rsid w:val="00CE6178"/>
    <w:rsid w:val="00CE6274"/>
    <w:rsid w:val="00CE63F0"/>
    <w:rsid w:val="00CE64EF"/>
    <w:rsid w:val="00CE65F5"/>
    <w:rsid w:val="00CE6650"/>
    <w:rsid w:val="00CE6A48"/>
    <w:rsid w:val="00CE71E2"/>
    <w:rsid w:val="00CE78D7"/>
    <w:rsid w:val="00CE7B1F"/>
    <w:rsid w:val="00CE7D06"/>
    <w:rsid w:val="00CE7E73"/>
    <w:rsid w:val="00CF0334"/>
    <w:rsid w:val="00CF072F"/>
    <w:rsid w:val="00CF08EA"/>
    <w:rsid w:val="00CF0A9F"/>
    <w:rsid w:val="00CF0B07"/>
    <w:rsid w:val="00CF0B7E"/>
    <w:rsid w:val="00CF0E24"/>
    <w:rsid w:val="00CF0E5A"/>
    <w:rsid w:val="00CF1189"/>
    <w:rsid w:val="00CF137C"/>
    <w:rsid w:val="00CF1A69"/>
    <w:rsid w:val="00CF22C4"/>
    <w:rsid w:val="00CF2C87"/>
    <w:rsid w:val="00CF2D6C"/>
    <w:rsid w:val="00CF3207"/>
    <w:rsid w:val="00CF3271"/>
    <w:rsid w:val="00CF37DC"/>
    <w:rsid w:val="00CF387D"/>
    <w:rsid w:val="00CF393D"/>
    <w:rsid w:val="00CF3E71"/>
    <w:rsid w:val="00CF4356"/>
    <w:rsid w:val="00CF456B"/>
    <w:rsid w:val="00CF4B3B"/>
    <w:rsid w:val="00CF522F"/>
    <w:rsid w:val="00CF54B7"/>
    <w:rsid w:val="00CF54DE"/>
    <w:rsid w:val="00CF55D6"/>
    <w:rsid w:val="00CF5877"/>
    <w:rsid w:val="00CF5A22"/>
    <w:rsid w:val="00CF5AA9"/>
    <w:rsid w:val="00CF5E19"/>
    <w:rsid w:val="00CF6113"/>
    <w:rsid w:val="00CF65D9"/>
    <w:rsid w:val="00CF6814"/>
    <w:rsid w:val="00CF6879"/>
    <w:rsid w:val="00CF689A"/>
    <w:rsid w:val="00CF73D4"/>
    <w:rsid w:val="00CF79B4"/>
    <w:rsid w:val="00CF7BB6"/>
    <w:rsid w:val="00CF7CE9"/>
    <w:rsid w:val="00CF7E6B"/>
    <w:rsid w:val="00CF7EB8"/>
    <w:rsid w:val="00CF7F87"/>
    <w:rsid w:val="00D00005"/>
    <w:rsid w:val="00D0033E"/>
    <w:rsid w:val="00D00491"/>
    <w:rsid w:val="00D00844"/>
    <w:rsid w:val="00D01047"/>
    <w:rsid w:val="00D01489"/>
    <w:rsid w:val="00D0177A"/>
    <w:rsid w:val="00D0199E"/>
    <w:rsid w:val="00D01CBC"/>
    <w:rsid w:val="00D01E27"/>
    <w:rsid w:val="00D023D5"/>
    <w:rsid w:val="00D0262E"/>
    <w:rsid w:val="00D02D0E"/>
    <w:rsid w:val="00D0367B"/>
    <w:rsid w:val="00D03E3E"/>
    <w:rsid w:val="00D03F37"/>
    <w:rsid w:val="00D042EC"/>
    <w:rsid w:val="00D04410"/>
    <w:rsid w:val="00D04565"/>
    <w:rsid w:val="00D047BD"/>
    <w:rsid w:val="00D04BEA"/>
    <w:rsid w:val="00D04EF7"/>
    <w:rsid w:val="00D05106"/>
    <w:rsid w:val="00D0528F"/>
    <w:rsid w:val="00D052AD"/>
    <w:rsid w:val="00D053D3"/>
    <w:rsid w:val="00D05487"/>
    <w:rsid w:val="00D05527"/>
    <w:rsid w:val="00D055D4"/>
    <w:rsid w:val="00D059A1"/>
    <w:rsid w:val="00D05A45"/>
    <w:rsid w:val="00D05D9C"/>
    <w:rsid w:val="00D05DB7"/>
    <w:rsid w:val="00D06004"/>
    <w:rsid w:val="00D0648A"/>
    <w:rsid w:val="00D0663D"/>
    <w:rsid w:val="00D066EA"/>
    <w:rsid w:val="00D069BF"/>
    <w:rsid w:val="00D06C1F"/>
    <w:rsid w:val="00D06D90"/>
    <w:rsid w:val="00D07085"/>
    <w:rsid w:val="00D07349"/>
    <w:rsid w:val="00D0773C"/>
    <w:rsid w:val="00D07FB1"/>
    <w:rsid w:val="00D104B1"/>
    <w:rsid w:val="00D10687"/>
    <w:rsid w:val="00D10B23"/>
    <w:rsid w:val="00D10C02"/>
    <w:rsid w:val="00D10EC1"/>
    <w:rsid w:val="00D10F75"/>
    <w:rsid w:val="00D110BD"/>
    <w:rsid w:val="00D1167C"/>
    <w:rsid w:val="00D117BB"/>
    <w:rsid w:val="00D11E1A"/>
    <w:rsid w:val="00D12BD6"/>
    <w:rsid w:val="00D12C7A"/>
    <w:rsid w:val="00D13747"/>
    <w:rsid w:val="00D13748"/>
    <w:rsid w:val="00D13940"/>
    <w:rsid w:val="00D13975"/>
    <w:rsid w:val="00D13B8B"/>
    <w:rsid w:val="00D148FC"/>
    <w:rsid w:val="00D1495D"/>
    <w:rsid w:val="00D149D8"/>
    <w:rsid w:val="00D14B32"/>
    <w:rsid w:val="00D14C14"/>
    <w:rsid w:val="00D14EF1"/>
    <w:rsid w:val="00D15250"/>
    <w:rsid w:val="00D152BF"/>
    <w:rsid w:val="00D152C9"/>
    <w:rsid w:val="00D156A7"/>
    <w:rsid w:val="00D1571F"/>
    <w:rsid w:val="00D157BB"/>
    <w:rsid w:val="00D15ABE"/>
    <w:rsid w:val="00D15E19"/>
    <w:rsid w:val="00D15F5A"/>
    <w:rsid w:val="00D16128"/>
    <w:rsid w:val="00D1634A"/>
    <w:rsid w:val="00D1641E"/>
    <w:rsid w:val="00D164D1"/>
    <w:rsid w:val="00D167C3"/>
    <w:rsid w:val="00D16930"/>
    <w:rsid w:val="00D16A99"/>
    <w:rsid w:val="00D17398"/>
    <w:rsid w:val="00D173C9"/>
    <w:rsid w:val="00D1767B"/>
    <w:rsid w:val="00D17A3A"/>
    <w:rsid w:val="00D17CD8"/>
    <w:rsid w:val="00D17D6C"/>
    <w:rsid w:val="00D2003D"/>
    <w:rsid w:val="00D20127"/>
    <w:rsid w:val="00D20149"/>
    <w:rsid w:val="00D20161"/>
    <w:rsid w:val="00D20175"/>
    <w:rsid w:val="00D20415"/>
    <w:rsid w:val="00D20599"/>
    <w:rsid w:val="00D20B5F"/>
    <w:rsid w:val="00D20BC7"/>
    <w:rsid w:val="00D20C58"/>
    <w:rsid w:val="00D20DF5"/>
    <w:rsid w:val="00D20EA6"/>
    <w:rsid w:val="00D2131D"/>
    <w:rsid w:val="00D21A6E"/>
    <w:rsid w:val="00D21F71"/>
    <w:rsid w:val="00D21FF7"/>
    <w:rsid w:val="00D220EF"/>
    <w:rsid w:val="00D22806"/>
    <w:rsid w:val="00D22A14"/>
    <w:rsid w:val="00D22C05"/>
    <w:rsid w:val="00D2307C"/>
    <w:rsid w:val="00D2318C"/>
    <w:rsid w:val="00D232F6"/>
    <w:rsid w:val="00D236E6"/>
    <w:rsid w:val="00D239A8"/>
    <w:rsid w:val="00D23D6E"/>
    <w:rsid w:val="00D23F07"/>
    <w:rsid w:val="00D24374"/>
    <w:rsid w:val="00D247EC"/>
    <w:rsid w:val="00D24AEF"/>
    <w:rsid w:val="00D24C0A"/>
    <w:rsid w:val="00D24D5F"/>
    <w:rsid w:val="00D2513F"/>
    <w:rsid w:val="00D252A1"/>
    <w:rsid w:val="00D253E2"/>
    <w:rsid w:val="00D256B0"/>
    <w:rsid w:val="00D25D45"/>
    <w:rsid w:val="00D25F83"/>
    <w:rsid w:val="00D26165"/>
    <w:rsid w:val="00D263DF"/>
    <w:rsid w:val="00D27071"/>
    <w:rsid w:val="00D2747B"/>
    <w:rsid w:val="00D274B3"/>
    <w:rsid w:val="00D27A41"/>
    <w:rsid w:val="00D27C26"/>
    <w:rsid w:val="00D27EAA"/>
    <w:rsid w:val="00D30020"/>
    <w:rsid w:val="00D301F5"/>
    <w:rsid w:val="00D30B2B"/>
    <w:rsid w:val="00D30F32"/>
    <w:rsid w:val="00D31773"/>
    <w:rsid w:val="00D31852"/>
    <w:rsid w:val="00D31DCA"/>
    <w:rsid w:val="00D320A2"/>
    <w:rsid w:val="00D32211"/>
    <w:rsid w:val="00D32328"/>
    <w:rsid w:val="00D3359A"/>
    <w:rsid w:val="00D33770"/>
    <w:rsid w:val="00D33965"/>
    <w:rsid w:val="00D33D83"/>
    <w:rsid w:val="00D33DE0"/>
    <w:rsid w:val="00D33ECD"/>
    <w:rsid w:val="00D341C5"/>
    <w:rsid w:val="00D34546"/>
    <w:rsid w:val="00D34837"/>
    <w:rsid w:val="00D348CA"/>
    <w:rsid w:val="00D34A47"/>
    <w:rsid w:val="00D34C07"/>
    <w:rsid w:val="00D34CBC"/>
    <w:rsid w:val="00D3551D"/>
    <w:rsid w:val="00D356B2"/>
    <w:rsid w:val="00D357FF"/>
    <w:rsid w:val="00D358BD"/>
    <w:rsid w:val="00D35A39"/>
    <w:rsid w:val="00D35C70"/>
    <w:rsid w:val="00D36449"/>
    <w:rsid w:val="00D36596"/>
    <w:rsid w:val="00D3663D"/>
    <w:rsid w:val="00D36CCD"/>
    <w:rsid w:val="00D370C1"/>
    <w:rsid w:val="00D376B7"/>
    <w:rsid w:val="00D37BFF"/>
    <w:rsid w:val="00D402FF"/>
    <w:rsid w:val="00D40BC7"/>
    <w:rsid w:val="00D40EE1"/>
    <w:rsid w:val="00D40EF6"/>
    <w:rsid w:val="00D40F71"/>
    <w:rsid w:val="00D4148B"/>
    <w:rsid w:val="00D415B2"/>
    <w:rsid w:val="00D415D0"/>
    <w:rsid w:val="00D41ECE"/>
    <w:rsid w:val="00D42052"/>
    <w:rsid w:val="00D42544"/>
    <w:rsid w:val="00D42721"/>
    <w:rsid w:val="00D428F1"/>
    <w:rsid w:val="00D42FC0"/>
    <w:rsid w:val="00D430DF"/>
    <w:rsid w:val="00D43297"/>
    <w:rsid w:val="00D43321"/>
    <w:rsid w:val="00D43351"/>
    <w:rsid w:val="00D433AB"/>
    <w:rsid w:val="00D43662"/>
    <w:rsid w:val="00D43C3D"/>
    <w:rsid w:val="00D43D73"/>
    <w:rsid w:val="00D43DD6"/>
    <w:rsid w:val="00D43DF5"/>
    <w:rsid w:val="00D43F7D"/>
    <w:rsid w:val="00D44781"/>
    <w:rsid w:val="00D44AD1"/>
    <w:rsid w:val="00D45120"/>
    <w:rsid w:val="00D451AF"/>
    <w:rsid w:val="00D4525D"/>
    <w:rsid w:val="00D45517"/>
    <w:rsid w:val="00D45A67"/>
    <w:rsid w:val="00D45BFA"/>
    <w:rsid w:val="00D45CE6"/>
    <w:rsid w:val="00D461DC"/>
    <w:rsid w:val="00D46A55"/>
    <w:rsid w:val="00D46E26"/>
    <w:rsid w:val="00D478BC"/>
    <w:rsid w:val="00D478C3"/>
    <w:rsid w:val="00D47924"/>
    <w:rsid w:val="00D501B0"/>
    <w:rsid w:val="00D509CA"/>
    <w:rsid w:val="00D50F31"/>
    <w:rsid w:val="00D513C5"/>
    <w:rsid w:val="00D515AF"/>
    <w:rsid w:val="00D5164A"/>
    <w:rsid w:val="00D519DE"/>
    <w:rsid w:val="00D51E29"/>
    <w:rsid w:val="00D52091"/>
    <w:rsid w:val="00D52183"/>
    <w:rsid w:val="00D523AE"/>
    <w:rsid w:val="00D529E5"/>
    <w:rsid w:val="00D52AF0"/>
    <w:rsid w:val="00D5308F"/>
    <w:rsid w:val="00D530BB"/>
    <w:rsid w:val="00D54042"/>
    <w:rsid w:val="00D54176"/>
    <w:rsid w:val="00D542B8"/>
    <w:rsid w:val="00D54389"/>
    <w:rsid w:val="00D54627"/>
    <w:rsid w:val="00D54714"/>
    <w:rsid w:val="00D54AF3"/>
    <w:rsid w:val="00D54B36"/>
    <w:rsid w:val="00D54EC0"/>
    <w:rsid w:val="00D55367"/>
    <w:rsid w:val="00D55B56"/>
    <w:rsid w:val="00D55B98"/>
    <w:rsid w:val="00D55C59"/>
    <w:rsid w:val="00D55F95"/>
    <w:rsid w:val="00D5612C"/>
    <w:rsid w:val="00D5623E"/>
    <w:rsid w:val="00D56348"/>
    <w:rsid w:val="00D563C0"/>
    <w:rsid w:val="00D564EA"/>
    <w:rsid w:val="00D567C2"/>
    <w:rsid w:val="00D56956"/>
    <w:rsid w:val="00D56AF5"/>
    <w:rsid w:val="00D56CBB"/>
    <w:rsid w:val="00D57746"/>
    <w:rsid w:val="00D57997"/>
    <w:rsid w:val="00D57B1D"/>
    <w:rsid w:val="00D57B37"/>
    <w:rsid w:val="00D57DA5"/>
    <w:rsid w:val="00D57DA6"/>
    <w:rsid w:val="00D60193"/>
    <w:rsid w:val="00D60598"/>
    <w:rsid w:val="00D60649"/>
    <w:rsid w:val="00D60667"/>
    <w:rsid w:val="00D612A5"/>
    <w:rsid w:val="00D6178B"/>
    <w:rsid w:val="00D618F2"/>
    <w:rsid w:val="00D62145"/>
    <w:rsid w:val="00D6228A"/>
    <w:rsid w:val="00D622CB"/>
    <w:rsid w:val="00D623FF"/>
    <w:rsid w:val="00D62445"/>
    <w:rsid w:val="00D6247B"/>
    <w:rsid w:val="00D62661"/>
    <w:rsid w:val="00D62681"/>
    <w:rsid w:val="00D628AA"/>
    <w:rsid w:val="00D62929"/>
    <w:rsid w:val="00D62DDB"/>
    <w:rsid w:val="00D62E5D"/>
    <w:rsid w:val="00D63061"/>
    <w:rsid w:val="00D6326E"/>
    <w:rsid w:val="00D635F8"/>
    <w:rsid w:val="00D63772"/>
    <w:rsid w:val="00D63CA2"/>
    <w:rsid w:val="00D63DC9"/>
    <w:rsid w:val="00D63FE8"/>
    <w:rsid w:val="00D641DC"/>
    <w:rsid w:val="00D641F4"/>
    <w:rsid w:val="00D646CF"/>
    <w:rsid w:val="00D64832"/>
    <w:rsid w:val="00D649AD"/>
    <w:rsid w:val="00D64B39"/>
    <w:rsid w:val="00D64D41"/>
    <w:rsid w:val="00D6528C"/>
    <w:rsid w:val="00D652B6"/>
    <w:rsid w:val="00D653D9"/>
    <w:rsid w:val="00D657D7"/>
    <w:rsid w:val="00D65AF1"/>
    <w:rsid w:val="00D65C78"/>
    <w:rsid w:val="00D660EA"/>
    <w:rsid w:val="00D6633F"/>
    <w:rsid w:val="00D66350"/>
    <w:rsid w:val="00D66447"/>
    <w:rsid w:val="00D664B1"/>
    <w:rsid w:val="00D666BA"/>
    <w:rsid w:val="00D6678D"/>
    <w:rsid w:val="00D6687F"/>
    <w:rsid w:val="00D672BD"/>
    <w:rsid w:val="00D676B3"/>
    <w:rsid w:val="00D678B5"/>
    <w:rsid w:val="00D67F95"/>
    <w:rsid w:val="00D67FBC"/>
    <w:rsid w:val="00D67FE6"/>
    <w:rsid w:val="00D70094"/>
    <w:rsid w:val="00D70197"/>
    <w:rsid w:val="00D702DA"/>
    <w:rsid w:val="00D7052E"/>
    <w:rsid w:val="00D70B0C"/>
    <w:rsid w:val="00D70F5C"/>
    <w:rsid w:val="00D71008"/>
    <w:rsid w:val="00D711FB"/>
    <w:rsid w:val="00D7157E"/>
    <w:rsid w:val="00D718A9"/>
    <w:rsid w:val="00D7195C"/>
    <w:rsid w:val="00D71CA4"/>
    <w:rsid w:val="00D71E4C"/>
    <w:rsid w:val="00D71E83"/>
    <w:rsid w:val="00D71F21"/>
    <w:rsid w:val="00D7206D"/>
    <w:rsid w:val="00D7212B"/>
    <w:rsid w:val="00D72401"/>
    <w:rsid w:val="00D72576"/>
    <w:rsid w:val="00D72AF7"/>
    <w:rsid w:val="00D72BD4"/>
    <w:rsid w:val="00D732E3"/>
    <w:rsid w:val="00D73420"/>
    <w:rsid w:val="00D73D3F"/>
    <w:rsid w:val="00D742B3"/>
    <w:rsid w:val="00D744D2"/>
    <w:rsid w:val="00D7461F"/>
    <w:rsid w:val="00D74646"/>
    <w:rsid w:val="00D746FA"/>
    <w:rsid w:val="00D747DA"/>
    <w:rsid w:val="00D74BB8"/>
    <w:rsid w:val="00D7512E"/>
    <w:rsid w:val="00D751B7"/>
    <w:rsid w:val="00D752A6"/>
    <w:rsid w:val="00D75301"/>
    <w:rsid w:val="00D75609"/>
    <w:rsid w:val="00D75622"/>
    <w:rsid w:val="00D75763"/>
    <w:rsid w:val="00D7595D"/>
    <w:rsid w:val="00D759CB"/>
    <w:rsid w:val="00D75AAA"/>
    <w:rsid w:val="00D75DAC"/>
    <w:rsid w:val="00D76294"/>
    <w:rsid w:val="00D763B1"/>
    <w:rsid w:val="00D76414"/>
    <w:rsid w:val="00D76447"/>
    <w:rsid w:val="00D7670C"/>
    <w:rsid w:val="00D76A44"/>
    <w:rsid w:val="00D76C43"/>
    <w:rsid w:val="00D76E91"/>
    <w:rsid w:val="00D76FDE"/>
    <w:rsid w:val="00D7721F"/>
    <w:rsid w:val="00D7766D"/>
    <w:rsid w:val="00D77C71"/>
    <w:rsid w:val="00D77E47"/>
    <w:rsid w:val="00D77FAF"/>
    <w:rsid w:val="00D810E2"/>
    <w:rsid w:val="00D813E1"/>
    <w:rsid w:val="00D813F0"/>
    <w:rsid w:val="00D81512"/>
    <w:rsid w:val="00D81527"/>
    <w:rsid w:val="00D81815"/>
    <w:rsid w:val="00D81840"/>
    <w:rsid w:val="00D81A7B"/>
    <w:rsid w:val="00D81FA6"/>
    <w:rsid w:val="00D8203E"/>
    <w:rsid w:val="00D821DE"/>
    <w:rsid w:val="00D82667"/>
    <w:rsid w:val="00D82E34"/>
    <w:rsid w:val="00D83085"/>
    <w:rsid w:val="00D831C5"/>
    <w:rsid w:val="00D83497"/>
    <w:rsid w:val="00D835D8"/>
    <w:rsid w:val="00D83A57"/>
    <w:rsid w:val="00D83BF8"/>
    <w:rsid w:val="00D84151"/>
    <w:rsid w:val="00D841EB"/>
    <w:rsid w:val="00D846F9"/>
    <w:rsid w:val="00D84716"/>
    <w:rsid w:val="00D847B3"/>
    <w:rsid w:val="00D849B2"/>
    <w:rsid w:val="00D84E0B"/>
    <w:rsid w:val="00D84E2B"/>
    <w:rsid w:val="00D85542"/>
    <w:rsid w:val="00D8568C"/>
    <w:rsid w:val="00D85731"/>
    <w:rsid w:val="00D8671B"/>
    <w:rsid w:val="00D86FB4"/>
    <w:rsid w:val="00D87107"/>
    <w:rsid w:val="00D873F8"/>
    <w:rsid w:val="00D874DC"/>
    <w:rsid w:val="00D87DBE"/>
    <w:rsid w:val="00D9006F"/>
    <w:rsid w:val="00D90086"/>
    <w:rsid w:val="00D90116"/>
    <w:rsid w:val="00D903D3"/>
    <w:rsid w:val="00D9050E"/>
    <w:rsid w:val="00D905B6"/>
    <w:rsid w:val="00D9064F"/>
    <w:rsid w:val="00D9078E"/>
    <w:rsid w:val="00D90836"/>
    <w:rsid w:val="00D908C2"/>
    <w:rsid w:val="00D90B93"/>
    <w:rsid w:val="00D9132A"/>
    <w:rsid w:val="00D91615"/>
    <w:rsid w:val="00D917FD"/>
    <w:rsid w:val="00D9187A"/>
    <w:rsid w:val="00D91A36"/>
    <w:rsid w:val="00D91C96"/>
    <w:rsid w:val="00D91DE7"/>
    <w:rsid w:val="00D91F3A"/>
    <w:rsid w:val="00D92196"/>
    <w:rsid w:val="00D921B5"/>
    <w:rsid w:val="00D92484"/>
    <w:rsid w:val="00D924AB"/>
    <w:rsid w:val="00D92516"/>
    <w:rsid w:val="00D926A0"/>
    <w:rsid w:val="00D92730"/>
    <w:rsid w:val="00D92805"/>
    <w:rsid w:val="00D92BAA"/>
    <w:rsid w:val="00D92D7A"/>
    <w:rsid w:val="00D9301A"/>
    <w:rsid w:val="00D9368A"/>
    <w:rsid w:val="00D93753"/>
    <w:rsid w:val="00D93F17"/>
    <w:rsid w:val="00D93F6A"/>
    <w:rsid w:val="00D93FB7"/>
    <w:rsid w:val="00D94397"/>
    <w:rsid w:val="00D94406"/>
    <w:rsid w:val="00D94699"/>
    <w:rsid w:val="00D948C3"/>
    <w:rsid w:val="00D94915"/>
    <w:rsid w:val="00D94A03"/>
    <w:rsid w:val="00D94C13"/>
    <w:rsid w:val="00D94D61"/>
    <w:rsid w:val="00D950A6"/>
    <w:rsid w:val="00D95184"/>
    <w:rsid w:val="00D954E9"/>
    <w:rsid w:val="00D95563"/>
    <w:rsid w:val="00D9567A"/>
    <w:rsid w:val="00D95700"/>
    <w:rsid w:val="00D95933"/>
    <w:rsid w:val="00D959EF"/>
    <w:rsid w:val="00D95C60"/>
    <w:rsid w:val="00D95F46"/>
    <w:rsid w:val="00D96209"/>
    <w:rsid w:val="00D968FE"/>
    <w:rsid w:val="00D969E0"/>
    <w:rsid w:val="00D96CE9"/>
    <w:rsid w:val="00D96DCB"/>
    <w:rsid w:val="00D96E9E"/>
    <w:rsid w:val="00D96EB5"/>
    <w:rsid w:val="00D96F2E"/>
    <w:rsid w:val="00D97170"/>
    <w:rsid w:val="00D97821"/>
    <w:rsid w:val="00D978AF"/>
    <w:rsid w:val="00D97CE2"/>
    <w:rsid w:val="00DA047A"/>
    <w:rsid w:val="00DA0F80"/>
    <w:rsid w:val="00DA1232"/>
    <w:rsid w:val="00DA184B"/>
    <w:rsid w:val="00DA1CCA"/>
    <w:rsid w:val="00DA1EF9"/>
    <w:rsid w:val="00DA212E"/>
    <w:rsid w:val="00DA2376"/>
    <w:rsid w:val="00DA250B"/>
    <w:rsid w:val="00DA2927"/>
    <w:rsid w:val="00DA29A3"/>
    <w:rsid w:val="00DA2C39"/>
    <w:rsid w:val="00DA3020"/>
    <w:rsid w:val="00DA3245"/>
    <w:rsid w:val="00DA3364"/>
    <w:rsid w:val="00DA3467"/>
    <w:rsid w:val="00DA3578"/>
    <w:rsid w:val="00DA38CE"/>
    <w:rsid w:val="00DA3C38"/>
    <w:rsid w:val="00DA4214"/>
    <w:rsid w:val="00DA4302"/>
    <w:rsid w:val="00DA4493"/>
    <w:rsid w:val="00DA46AC"/>
    <w:rsid w:val="00DA5263"/>
    <w:rsid w:val="00DA5512"/>
    <w:rsid w:val="00DA556C"/>
    <w:rsid w:val="00DA557B"/>
    <w:rsid w:val="00DA560B"/>
    <w:rsid w:val="00DA58EB"/>
    <w:rsid w:val="00DA59C1"/>
    <w:rsid w:val="00DA5C14"/>
    <w:rsid w:val="00DA5DF1"/>
    <w:rsid w:val="00DA5EFE"/>
    <w:rsid w:val="00DA6585"/>
    <w:rsid w:val="00DA6678"/>
    <w:rsid w:val="00DA6682"/>
    <w:rsid w:val="00DA687E"/>
    <w:rsid w:val="00DA68A7"/>
    <w:rsid w:val="00DA693E"/>
    <w:rsid w:val="00DA6974"/>
    <w:rsid w:val="00DA6AA5"/>
    <w:rsid w:val="00DA6DB0"/>
    <w:rsid w:val="00DA7337"/>
    <w:rsid w:val="00DA7605"/>
    <w:rsid w:val="00DA76DB"/>
    <w:rsid w:val="00DA77A5"/>
    <w:rsid w:val="00DA793B"/>
    <w:rsid w:val="00DA7EC1"/>
    <w:rsid w:val="00DB01B8"/>
    <w:rsid w:val="00DB04AB"/>
    <w:rsid w:val="00DB0526"/>
    <w:rsid w:val="00DB07F6"/>
    <w:rsid w:val="00DB0C26"/>
    <w:rsid w:val="00DB0E54"/>
    <w:rsid w:val="00DB0E74"/>
    <w:rsid w:val="00DB0EA9"/>
    <w:rsid w:val="00DB1213"/>
    <w:rsid w:val="00DB1316"/>
    <w:rsid w:val="00DB1606"/>
    <w:rsid w:val="00DB1945"/>
    <w:rsid w:val="00DB2294"/>
    <w:rsid w:val="00DB23CD"/>
    <w:rsid w:val="00DB258B"/>
    <w:rsid w:val="00DB29CA"/>
    <w:rsid w:val="00DB2B42"/>
    <w:rsid w:val="00DB2B43"/>
    <w:rsid w:val="00DB2BF0"/>
    <w:rsid w:val="00DB2F6E"/>
    <w:rsid w:val="00DB365F"/>
    <w:rsid w:val="00DB369B"/>
    <w:rsid w:val="00DB3CED"/>
    <w:rsid w:val="00DB3D27"/>
    <w:rsid w:val="00DB3E10"/>
    <w:rsid w:val="00DB3E71"/>
    <w:rsid w:val="00DB4021"/>
    <w:rsid w:val="00DB43F1"/>
    <w:rsid w:val="00DB4AC7"/>
    <w:rsid w:val="00DB4FFC"/>
    <w:rsid w:val="00DB5186"/>
    <w:rsid w:val="00DB56BF"/>
    <w:rsid w:val="00DB56D6"/>
    <w:rsid w:val="00DB59D9"/>
    <w:rsid w:val="00DB61A2"/>
    <w:rsid w:val="00DB6211"/>
    <w:rsid w:val="00DB6452"/>
    <w:rsid w:val="00DB6667"/>
    <w:rsid w:val="00DB6986"/>
    <w:rsid w:val="00DB69C1"/>
    <w:rsid w:val="00DB6E13"/>
    <w:rsid w:val="00DB6F3B"/>
    <w:rsid w:val="00DB755F"/>
    <w:rsid w:val="00DB7BB4"/>
    <w:rsid w:val="00DC00C9"/>
    <w:rsid w:val="00DC010A"/>
    <w:rsid w:val="00DC08F4"/>
    <w:rsid w:val="00DC0F67"/>
    <w:rsid w:val="00DC155F"/>
    <w:rsid w:val="00DC16D3"/>
    <w:rsid w:val="00DC17CA"/>
    <w:rsid w:val="00DC17EC"/>
    <w:rsid w:val="00DC1D8F"/>
    <w:rsid w:val="00DC208E"/>
    <w:rsid w:val="00DC21BB"/>
    <w:rsid w:val="00DC21CF"/>
    <w:rsid w:val="00DC2557"/>
    <w:rsid w:val="00DC2602"/>
    <w:rsid w:val="00DC2914"/>
    <w:rsid w:val="00DC2A8B"/>
    <w:rsid w:val="00DC2EA3"/>
    <w:rsid w:val="00DC3012"/>
    <w:rsid w:val="00DC3496"/>
    <w:rsid w:val="00DC3622"/>
    <w:rsid w:val="00DC3709"/>
    <w:rsid w:val="00DC3C43"/>
    <w:rsid w:val="00DC3C88"/>
    <w:rsid w:val="00DC3EBB"/>
    <w:rsid w:val="00DC3FCD"/>
    <w:rsid w:val="00DC4072"/>
    <w:rsid w:val="00DC4172"/>
    <w:rsid w:val="00DC431A"/>
    <w:rsid w:val="00DC4405"/>
    <w:rsid w:val="00DC5127"/>
    <w:rsid w:val="00DC536A"/>
    <w:rsid w:val="00DC536F"/>
    <w:rsid w:val="00DC5501"/>
    <w:rsid w:val="00DC55D4"/>
    <w:rsid w:val="00DC56C7"/>
    <w:rsid w:val="00DC5C42"/>
    <w:rsid w:val="00DC5CCD"/>
    <w:rsid w:val="00DC63ED"/>
    <w:rsid w:val="00DC65D6"/>
    <w:rsid w:val="00DC6650"/>
    <w:rsid w:val="00DC6FFC"/>
    <w:rsid w:val="00DC73CC"/>
    <w:rsid w:val="00DC7725"/>
    <w:rsid w:val="00DC7BB0"/>
    <w:rsid w:val="00DC7EDD"/>
    <w:rsid w:val="00DC7EF3"/>
    <w:rsid w:val="00DD0600"/>
    <w:rsid w:val="00DD0690"/>
    <w:rsid w:val="00DD06B6"/>
    <w:rsid w:val="00DD09AB"/>
    <w:rsid w:val="00DD0B34"/>
    <w:rsid w:val="00DD0B99"/>
    <w:rsid w:val="00DD0B9F"/>
    <w:rsid w:val="00DD0E47"/>
    <w:rsid w:val="00DD1392"/>
    <w:rsid w:val="00DD1565"/>
    <w:rsid w:val="00DD1673"/>
    <w:rsid w:val="00DD1851"/>
    <w:rsid w:val="00DD1CB2"/>
    <w:rsid w:val="00DD1DEB"/>
    <w:rsid w:val="00DD1E6B"/>
    <w:rsid w:val="00DD2061"/>
    <w:rsid w:val="00DD2165"/>
    <w:rsid w:val="00DD2352"/>
    <w:rsid w:val="00DD23FD"/>
    <w:rsid w:val="00DD243E"/>
    <w:rsid w:val="00DD2791"/>
    <w:rsid w:val="00DD2B11"/>
    <w:rsid w:val="00DD3090"/>
    <w:rsid w:val="00DD33B4"/>
    <w:rsid w:val="00DD33B9"/>
    <w:rsid w:val="00DD34A9"/>
    <w:rsid w:val="00DD3656"/>
    <w:rsid w:val="00DD3B9C"/>
    <w:rsid w:val="00DD3C4A"/>
    <w:rsid w:val="00DD3E6E"/>
    <w:rsid w:val="00DD3F28"/>
    <w:rsid w:val="00DD4054"/>
    <w:rsid w:val="00DD4327"/>
    <w:rsid w:val="00DD4537"/>
    <w:rsid w:val="00DD46EB"/>
    <w:rsid w:val="00DD4836"/>
    <w:rsid w:val="00DD4856"/>
    <w:rsid w:val="00DD4A70"/>
    <w:rsid w:val="00DD4DF4"/>
    <w:rsid w:val="00DD4E15"/>
    <w:rsid w:val="00DD4E74"/>
    <w:rsid w:val="00DD4F3A"/>
    <w:rsid w:val="00DD4F54"/>
    <w:rsid w:val="00DD504C"/>
    <w:rsid w:val="00DD51E1"/>
    <w:rsid w:val="00DD53A9"/>
    <w:rsid w:val="00DD54BF"/>
    <w:rsid w:val="00DD55ED"/>
    <w:rsid w:val="00DD59C5"/>
    <w:rsid w:val="00DD5B70"/>
    <w:rsid w:val="00DD5D57"/>
    <w:rsid w:val="00DD5DF9"/>
    <w:rsid w:val="00DD5E2E"/>
    <w:rsid w:val="00DD5E92"/>
    <w:rsid w:val="00DD5F67"/>
    <w:rsid w:val="00DD614E"/>
    <w:rsid w:val="00DD6655"/>
    <w:rsid w:val="00DD6EA7"/>
    <w:rsid w:val="00DD70AD"/>
    <w:rsid w:val="00DD7A0D"/>
    <w:rsid w:val="00DD7C75"/>
    <w:rsid w:val="00DE01D3"/>
    <w:rsid w:val="00DE020B"/>
    <w:rsid w:val="00DE0453"/>
    <w:rsid w:val="00DE04D6"/>
    <w:rsid w:val="00DE06D3"/>
    <w:rsid w:val="00DE116B"/>
    <w:rsid w:val="00DE12D7"/>
    <w:rsid w:val="00DE1599"/>
    <w:rsid w:val="00DE171A"/>
    <w:rsid w:val="00DE1796"/>
    <w:rsid w:val="00DE2241"/>
    <w:rsid w:val="00DE2280"/>
    <w:rsid w:val="00DE24B8"/>
    <w:rsid w:val="00DE27BD"/>
    <w:rsid w:val="00DE287F"/>
    <w:rsid w:val="00DE28F3"/>
    <w:rsid w:val="00DE2EDC"/>
    <w:rsid w:val="00DE2FCB"/>
    <w:rsid w:val="00DE33EC"/>
    <w:rsid w:val="00DE34A2"/>
    <w:rsid w:val="00DE34E5"/>
    <w:rsid w:val="00DE35D5"/>
    <w:rsid w:val="00DE35E6"/>
    <w:rsid w:val="00DE3682"/>
    <w:rsid w:val="00DE38F0"/>
    <w:rsid w:val="00DE3955"/>
    <w:rsid w:val="00DE3D13"/>
    <w:rsid w:val="00DE3DAA"/>
    <w:rsid w:val="00DE4008"/>
    <w:rsid w:val="00DE493E"/>
    <w:rsid w:val="00DE49A8"/>
    <w:rsid w:val="00DE4B78"/>
    <w:rsid w:val="00DE4E14"/>
    <w:rsid w:val="00DE4F9A"/>
    <w:rsid w:val="00DE4FCB"/>
    <w:rsid w:val="00DE5161"/>
    <w:rsid w:val="00DE5238"/>
    <w:rsid w:val="00DE558A"/>
    <w:rsid w:val="00DE5590"/>
    <w:rsid w:val="00DE55A0"/>
    <w:rsid w:val="00DE57E6"/>
    <w:rsid w:val="00DE582F"/>
    <w:rsid w:val="00DE5A29"/>
    <w:rsid w:val="00DE5B09"/>
    <w:rsid w:val="00DE5F14"/>
    <w:rsid w:val="00DE64E7"/>
    <w:rsid w:val="00DE6936"/>
    <w:rsid w:val="00DE6AD3"/>
    <w:rsid w:val="00DE6BF6"/>
    <w:rsid w:val="00DE6CCD"/>
    <w:rsid w:val="00DE6E8E"/>
    <w:rsid w:val="00DE6FBE"/>
    <w:rsid w:val="00DE772E"/>
    <w:rsid w:val="00DE7ED7"/>
    <w:rsid w:val="00DF00BE"/>
    <w:rsid w:val="00DF0286"/>
    <w:rsid w:val="00DF02DF"/>
    <w:rsid w:val="00DF0306"/>
    <w:rsid w:val="00DF03F8"/>
    <w:rsid w:val="00DF05A7"/>
    <w:rsid w:val="00DF08AE"/>
    <w:rsid w:val="00DF0B96"/>
    <w:rsid w:val="00DF0C28"/>
    <w:rsid w:val="00DF0CA5"/>
    <w:rsid w:val="00DF0EB6"/>
    <w:rsid w:val="00DF1360"/>
    <w:rsid w:val="00DF14AB"/>
    <w:rsid w:val="00DF16C1"/>
    <w:rsid w:val="00DF185B"/>
    <w:rsid w:val="00DF189B"/>
    <w:rsid w:val="00DF1B1D"/>
    <w:rsid w:val="00DF1F11"/>
    <w:rsid w:val="00DF2142"/>
    <w:rsid w:val="00DF2187"/>
    <w:rsid w:val="00DF277A"/>
    <w:rsid w:val="00DF298A"/>
    <w:rsid w:val="00DF2C2F"/>
    <w:rsid w:val="00DF2E83"/>
    <w:rsid w:val="00DF2FE2"/>
    <w:rsid w:val="00DF3293"/>
    <w:rsid w:val="00DF33C9"/>
    <w:rsid w:val="00DF33D3"/>
    <w:rsid w:val="00DF38BD"/>
    <w:rsid w:val="00DF3A13"/>
    <w:rsid w:val="00DF4042"/>
    <w:rsid w:val="00DF4759"/>
    <w:rsid w:val="00DF47BE"/>
    <w:rsid w:val="00DF49F1"/>
    <w:rsid w:val="00DF4AE7"/>
    <w:rsid w:val="00DF4CCF"/>
    <w:rsid w:val="00DF4E06"/>
    <w:rsid w:val="00DF5058"/>
    <w:rsid w:val="00DF5170"/>
    <w:rsid w:val="00DF543E"/>
    <w:rsid w:val="00DF5764"/>
    <w:rsid w:val="00DF5799"/>
    <w:rsid w:val="00DF5B05"/>
    <w:rsid w:val="00DF5D00"/>
    <w:rsid w:val="00DF5D2B"/>
    <w:rsid w:val="00DF5DFF"/>
    <w:rsid w:val="00DF5F50"/>
    <w:rsid w:val="00DF5F8B"/>
    <w:rsid w:val="00DF65CB"/>
    <w:rsid w:val="00DF6767"/>
    <w:rsid w:val="00DF6774"/>
    <w:rsid w:val="00DF6A9F"/>
    <w:rsid w:val="00DF7265"/>
    <w:rsid w:val="00DF75EC"/>
    <w:rsid w:val="00DF7762"/>
    <w:rsid w:val="00DF77CC"/>
    <w:rsid w:val="00DF7860"/>
    <w:rsid w:val="00DF7ADE"/>
    <w:rsid w:val="00DF7D26"/>
    <w:rsid w:val="00DF7D3D"/>
    <w:rsid w:val="00E00180"/>
    <w:rsid w:val="00E004E3"/>
    <w:rsid w:val="00E006F4"/>
    <w:rsid w:val="00E00A4F"/>
    <w:rsid w:val="00E00AA4"/>
    <w:rsid w:val="00E00C1F"/>
    <w:rsid w:val="00E00CD9"/>
    <w:rsid w:val="00E00DC1"/>
    <w:rsid w:val="00E00EB5"/>
    <w:rsid w:val="00E00EC8"/>
    <w:rsid w:val="00E00ED8"/>
    <w:rsid w:val="00E00FED"/>
    <w:rsid w:val="00E012A3"/>
    <w:rsid w:val="00E01707"/>
    <w:rsid w:val="00E01C87"/>
    <w:rsid w:val="00E01DB1"/>
    <w:rsid w:val="00E01FFC"/>
    <w:rsid w:val="00E0223B"/>
    <w:rsid w:val="00E0241A"/>
    <w:rsid w:val="00E02540"/>
    <w:rsid w:val="00E02897"/>
    <w:rsid w:val="00E02C45"/>
    <w:rsid w:val="00E02D48"/>
    <w:rsid w:val="00E02F79"/>
    <w:rsid w:val="00E03214"/>
    <w:rsid w:val="00E034D7"/>
    <w:rsid w:val="00E03565"/>
    <w:rsid w:val="00E035CC"/>
    <w:rsid w:val="00E035D3"/>
    <w:rsid w:val="00E035F3"/>
    <w:rsid w:val="00E0389F"/>
    <w:rsid w:val="00E03C12"/>
    <w:rsid w:val="00E0444C"/>
    <w:rsid w:val="00E046B4"/>
    <w:rsid w:val="00E046F6"/>
    <w:rsid w:val="00E04B4F"/>
    <w:rsid w:val="00E04BAD"/>
    <w:rsid w:val="00E04E57"/>
    <w:rsid w:val="00E04E70"/>
    <w:rsid w:val="00E0503F"/>
    <w:rsid w:val="00E05294"/>
    <w:rsid w:val="00E05756"/>
    <w:rsid w:val="00E05C9A"/>
    <w:rsid w:val="00E05D1F"/>
    <w:rsid w:val="00E05EF0"/>
    <w:rsid w:val="00E05FC1"/>
    <w:rsid w:val="00E06007"/>
    <w:rsid w:val="00E0614A"/>
    <w:rsid w:val="00E0615C"/>
    <w:rsid w:val="00E06647"/>
    <w:rsid w:val="00E06751"/>
    <w:rsid w:val="00E067AF"/>
    <w:rsid w:val="00E06A05"/>
    <w:rsid w:val="00E06C42"/>
    <w:rsid w:val="00E06C45"/>
    <w:rsid w:val="00E07430"/>
    <w:rsid w:val="00E0760B"/>
    <w:rsid w:val="00E076BF"/>
    <w:rsid w:val="00E07752"/>
    <w:rsid w:val="00E07AD4"/>
    <w:rsid w:val="00E07B41"/>
    <w:rsid w:val="00E07B94"/>
    <w:rsid w:val="00E07BC2"/>
    <w:rsid w:val="00E07C88"/>
    <w:rsid w:val="00E07FBF"/>
    <w:rsid w:val="00E10149"/>
    <w:rsid w:val="00E102CC"/>
    <w:rsid w:val="00E10358"/>
    <w:rsid w:val="00E1035E"/>
    <w:rsid w:val="00E10602"/>
    <w:rsid w:val="00E10683"/>
    <w:rsid w:val="00E10F7D"/>
    <w:rsid w:val="00E11009"/>
    <w:rsid w:val="00E112CD"/>
    <w:rsid w:val="00E112F4"/>
    <w:rsid w:val="00E1135A"/>
    <w:rsid w:val="00E1164C"/>
    <w:rsid w:val="00E116FC"/>
    <w:rsid w:val="00E11D6F"/>
    <w:rsid w:val="00E11E6B"/>
    <w:rsid w:val="00E125C1"/>
    <w:rsid w:val="00E125FF"/>
    <w:rsid w:val="00E129C0"/>
    <w:rsid w:val="00E12D31"/>
    <w:rsid w:val="00E12DE7"/>
    <w:rsid w:val="00E12EBC"/>
    <w:rsid w:val="00E1326D"/>
    <w:rsid w:val="00E13625"/>
    <w:rsid w:val="00E1372F"/>
    <w:rsid w:val="00E13C07"/>
    <w:rsid w:val="00E145A8"/>
    <w:rsid w:val="00E145E8"/>
    <w:rsid w:val="00E14760"/>
    <w:rsid w:val="00E14A4B"/>
    <w:rsid w:val="00E14BAD"/>
    <w:rsid w:val="00E14C5D"/>
    <w:rsid w:val="00E14D5F"/>
    <w:rsid w:val="00E14D83"/>
    <w:rsid w:val="00E14FDF"/>
    <w:rsid w:val="00E151E3"/>
    <w:rsid w:val="00E1527C"/>
    <w:rsid w:val="00E153A8"/>
    <w:rsid w:val="00E15DDE"/>
    <w:rsid w:val="00E1600F"/>
    <w:rsid w:val="00E16372"/>
    <w:rsid w:val="00E1652E"/>
    <w:rsid w:val="00E165F2"/>
    <w:rsid w:val="00E16F5E"/>
    <w:rsid w:val="00E16FD7"/>
    <w:rsid w:val="00E16FE4"/>
    <w:rsid w:val="00E17323"/>
    <w:rsid w:val="00E17479"/>
    <w:rsid w:val="00E1787B"/>
    <w:rsid w:val="00E17ABA"/>
    <w:rsid w:val="00E17D8C"/>
    <w:rsid w:val="00E17E6F"/>
    <w:rsid w:val="00E200FA"/>
    <w:rsid w:val="00E20176"/>
    <w:rsid w:val="00E20575"/>
    <w:rsid w:val="00E20853"/>
    <w:rsid w:val="00E20ABE"/>
    <w:rsid w:val="00E20ED6"/>
    <w:rsid w:val="00E20FE2"/>
    <w:rsid w:val="00E21358"/>
    <w:rsid w:val="00E21903"/>
    <w:rsid w:val="00E21BB9"/>
    <w:rsid w:val="00E21FF1"/>
    <w:rsid w:val="00E2249B"/>
    <w:rsid w:val="00E224EA"/>
    <w:rsid w:val="00E226F2"/>
    <w:rsid w:val="00E22A0D"/>
    <w:rsid w:val="00E22D85"/>
    <w:rsid w:val="00E22E78"/>
    <w:rsid w:val="00E22F80"/>
    <w:rsid w:val="00E22FBE"/>
    <w:rsid w:val="00E23310"/>
    <w:rsid w:val="00E23AB0"/>
    <w:rsid w:val="00E23D43"/>
    <w:rsid w:val="00E23F2B"/>
    <w:rsid w:val="00E24052"/>
    <w:rsid w:val="00E24647"/>
    <w:rsid w:val="00E246C6"/>
    <w:rsid w:val="00E249CE"/>
    <w:rsid w:val="00E254A1"/>
    <w:rsid w:val="00E25A09"/>
    <w:rsid w:val="00E25CAF"/>
    <w:rsid w:val="00E25E99"/>
    <w:rsid w:val="00E25EAE"/>
    <w:rsid w:val="00E25F26"/>
    <w:rsid w:val="00E25F77"/>
    <w:rsid w:val="00E261D4"/>
    <w:rsid w:val="00E263E3"/>
    <w:rsid w:val="00E26817"/>
    <w:rsid w:val="00E26848"/>
    <w:rsid w:val="00E2771E"/>
    <w:rsid w:val="00E277C4"/>
    <w:rsid w:val="00E279A6"/>
    <w:rsid w:val="00E27B62"/>
    <w:rsid w:val="00E27BBD"/>
    <w:rsid w:val="00E27ED9"/>
    <w:rsid w:val="00E3002F"/>
    <w:rsid w:val="00E30056"/>
    <w:rsid w:val="00E300D0"/>
    <w:rsid w:val="00E30105"/>
    <w:rsid w:val="00E301A3"/>
    <w:rsid w:val="00E309A5"/>
    <w:rsid w:val="00E309E9"/>
    <w:rsid w:val="00E30B6C"/>
    <w:rsid w:val="00E30C14"/>
    <w:rsid w:val="00E30C97"/>
    <w:rsid w:val="00E30DC2"/>
    <w:rsid w:val="00E31DB3"/>
    <w:rsid w:val="00E32256"/>
    <w:rsid w:val="00E324D4"/>
    <w:rsid w:val="00E32C51"/>
    <w:rsid w:val="00E32EBE"/>
    <w:rsid w:val="00E32ED5"/>
    <w:rsid w:val="00E32FB8"/>
    <w:rsid w:val="00E33012"/>
    <w:rsid w:val="00E33744"/>
    <w:rsid w:val="00E3374F"/>
    <w:rsid w:val="00E33838"/>
    <w:rsid w:val="00E338BE"/>
    <w:rsid w:val="00E33A8F"/>
    <w:rsid w:val="00E33E3E"/>
    <w:rsid w:val="00E34005"/>
    <w:rsid w:val="00E3424F"/>
    <w:rsid w:val="00E3430D"/>
    <w:rsid w:val="00E343B5"/>
    <w:rsid w:val="00E344A5"/>
    <w:rsid w:val="00E344E5"/>
    <w:rsid w:val="00E3463D"/>
    <w:rsid w:val="00E34683"/>
    <w:rsid w:val="00E34FB9"/>
    <w:rsid w:val="00E351F5"/>
    <w:rsid w:val="00E354B2"/>
    <w:rsid w:val="00E35666"/>
    <w:rsid w:val="00E35684"/>
    <w:rsid w:val="00E35B7F"/>
    <w:rsid w:val="00E35E84"/>
    <w:rsid w:val="00E35ECC"/>
    <w:rsid w:val="00E36242"/>
    <w:rsid w:val="00E36805"/>
    <w:rsid w:val="00E36D65"/>
    <w:rsid w:val="00E371A5"/>
    <w:rsid w:val="00E37256"/>
    <w:rsid w:val="00E37343"/>
    <w:rsid w:val="00E37569"/>
    <w:rsid w:val="00E3756F"/>
    <w:rsid w:val="00E37A55"/>
    <w:rsid w:val="00E37CFF"/>
    <w:rsid w:val="00E402DB"/>
    <w:rsid w:val="00E40318"/>
    <w:rsid w:val="00E40A2B"/>
    <w:rsid w:val="00E41755"/>
    <w:rsid w:val="00E41A97"/>
    <w:rsid w:val="00E41AC3"/>
    <w:rsid w:val="00E41B8B"/>
    <w:rsid w:val="00E41E30"/>
    <w:rsid w:val="00E41F0D"/>
    <w:rsid w:val="00E4220E"/>
    <w:rsid w:val="00E4226B"/>
    <w:rsid w:val="00E42358"/>
    <w:rsid w:val="00E42819"/>
    <w:rsid w:val="00E42A75"/>
    <w:rsid w:val="00E43091"/>
    <w:rsid w:val="00E4323F"/>
    <w:rsid w:val="00E437EA"/>
    <w:rsid w:val="00E43AD8"/>
    <w:rsid w:val="00E43D70"/>
    <w:rsid w:val="00E43DE1"/>
    <w:rsid w:val="00E43EFC"/>
    <w:rsid w:val="00E443AC"/>
    <w:rsid w:val="00E44AB6"/>
    <w:rsid w:val="00E44E2B"/>
    <w:rsid w:val="00E45003"/>
    <w:rsid w:val="00E45147"/>
    <w:rsid w:val="00E45187"/>
    <w:rsid w:val="00E45403"/>
    <w:rsid w:val="00E4551D"/>
    <w:rsid w:val="00E45566"/>
    <w:rsid w:val="00E455EF"/>
    <w:rsid w:val="00E458BB"/>
    <w:rsid w:val="00E45F10"/>
    <w:rsid w:val="00E4612E"/>
    <w:rsid w:val="00E461DB"/>
    <w:rsid w:val="00E46505"/>
    <w:rsid w:val="00E4690B"/>
    <w:rsid w:val="00E4691E"/>
    <w:rsid w:val="00E46925"/>
    <w:rsid w:val="00E46982"/>
    <w:rsid w:val="00E469D9"/>
    <w:rsid w:val="00E46CCC"/>
    <w:rsid w:val="00E473AD"/>
    <w:rsid w:val="00E47509"/>
    <w:rsid w:val="00E47862"/>
    <w:rsid w:val="00E47B2C"/>
    <w:rsid w:val="00E47D34"/>
    <w:rsid w:val="00E47D59"/>
    <w:rsid w:val="00E5018A"/>
    <w:rsid w:val="00E50581"/>
    <w:rsid w:val="00E5068B"/>
    <w:rsid w:val="00E507AC"/>
    <w:rsid w:val="00E50830"/>
    <w:rsid w:val="00E51049"/>
    <w:rsid w:val="00E510A6"/>
    <w:rsid w:val="00E512B2"/>
    <w:rsid w:val="00E51445"/>
    <w:rsid w:val="00E51560"/>
    <w:rsid w:val="00E51875"/>
    <w:rsid w:val="00E51C0E"/>
    <w:rsid w:val="00E51C22"/>
    <w:rsid w:val="00E52154"/>
    <w:rsid w:val="00E524C8"/>
    <w:rsid w:val="00E52568"/>
    <w:rsid w:val="00E525E7"/>
    <w:rsid w:val="00E52837"/>
    <w:rsid w:val="00E52EC0"/>
    <w:rsid w:val="00E5318C"/>
    <w:rsid w:val="00E53977"/>
    <w:rsid w:val="00E53EFB"/>
    <w:rsid w:val="00E54257"/>
    <w:rsid w:val="00E5492A"/>
    <w:rsid w:val="00E5492F"/>
    <w:rsid w:val="00E549BA"/>
    <w:rsid w:val="00E54A51"/>
    <w:rsid w:val="00E54D80"/>
    <w:rsid w:val="00E54DE8"/>
    <w:rsid w:val="00E55347"/>
    <w:rsid w:val="00E55424"/>
    <w:rsid w:val="00E55590"/>
    <w:rsid w:val="00E55BB5"/>
    <w:rsid w:val="00E55C21"/>
    <w:rsid w:val="00E55C35"/>
    <w:rsid w:val="00E563A5"/>
    <w:rsid w:val="00E5652F"/>
    <w:rsid w:val="00E572FC"/>
    <w:rsid w:val="00E573B7"/>
    <w:rsid w:val="00E5792A"/>
    <w:rsid w:val="00E601C3"/>
    <w:rsid w:val="00E602B2"/>
    <w:rsid w:val="00E603C7"/>
    <w:rsid w:val="00E60BE2"/>
    <w:rsid w:val="00E611CA"/>
    <w:rsid w:val="00E615BA"/>
    <w:rsid w:val="00E61775"/>
    <w:rsid w:val="00E61CCD"/>
    <w:rsid w:val="00E62094"/>
    <w:rsid w:val="00E62296"/>
    <w:rsid w:val="00E623EE"/>
    <w:rsid w:val="00E6249B"/>
    <w:rsid w:val="00E6252D"/>
    <w:rsid w:val="00E625A3"/>
    <w:rsid w:val="00E62780"/>
    <w:rsid w:val="00E62926"/>
    <w:rsid w:val="00E62DED"/>
    <w:rsid w:val="00E631FF"/>
    <w:rsid w:val="00E63409"/>
    <w:rsid w:val="00E6342A"/>
    <w:rsid w:val="00E634EE"/>
    <w:rsid w:val="00E634FC"/>
    <w:rsid w:val="00E6363B"/>
    <w:rsid w:val="00E63B0F"/>
    <w:rsid w:val="00E63B95"/>
    <w:rsid w:val="00E63CAA"/>
    <w:rsid w:val="00E640BD"/>
    <w:rsid w:val="00E64444"/>
    <w:rsid w:val="00E646C9"/>
    <w:rsid w:val="00E6496C"/>
    <w:rsid w:val="00E64A5F"/>
    <w:rsid w:val="00E64C32"/>
    <w:rsid w:val="00E64C6E"/>
    <w:rsid w:val="00E64DB9"/>
    <w:rsid w:val="00E64F8B"/>
    <w:rsid w:val="00E6510C"/>
    <w:rsid w:val="00E652D0"/>
    <w:rsid w:val="00E65651"/>
    <w:rsid w:val="00E65E5F"/>
    <w:rsid w:val="00E65E79"/>
    <w:rsid w:val="00E660B8"/>
    <w:rsid w:val="00E6612D"/>
    <w:rsid w:val="00E664AF"/>
    <w:rsid w:val="00E6671B"/>
    <w:rsid w:val="00E66765"/>
    <w:rsid w:val="00E66C7B"/>
    <w:rsid w:val="00E66D84"/>
    <w:rsid w:val="00E66F42"/>
    <w:rsid w:val="00E673C6"/>
    <w:rsid w:val="00E67416"/>
    <w:rsid w:val="00E67565"/>
    <w:rsid w:val="00E67705"/>
    <w:rsid w:val="00E67732"/>
    <w:rsid w:val="00E67E6B"/>
    <w:rsid w:val="00E67F07"/>
    <w:rsid w:val="00E70222"/>
    <w:rsid w:val="00E704A1"/>
    <w:rsid w:val="00E709F6"/>
    <w:rsid w:val="00E70A81"/>
    <w:rsid w:val="00E70D90"/>
    <w:rsid w:val="00E70FBA"/>
    <w:rsid w:val="00E718B6"/>
    <w:rsid w:val="00E718CA"/>
    <w:rsid w:val="00E71BDE"/>
    <w:rsid w:val="00E72009"/>
    <w:rsid w:val="00E72071"/>
    <w:rsid w:val="00E721C7"/>
    <w:rsid w:val="00E72239"/>
    <w:rsid w:val="00E7249E"/>
    <w:rsid w:val="00E7268E"/>
    <w:rsid w:val="00E72A67"/>
    <w:rsid w:val="00E73291"/>
    <w:rsid w:val="00E73351"/>
    <w:rsid w:val="00E73465"/>
    <w:rsid w:val="00E73581"/>
    <w:rsid w:val="00E73631"/>
    <w:rsid w:val="00E739E4"/>
    <w:rsid w:val="00E73BE9"/>
    <w:rsid w:val="00E73FC9"/>
    <w:rsid w:val="00E74302"/>
    <w:rsid w:val="00E743D9"/>
    <w:rsid w:val="00E7466C"/>
    <w:rsid w:val="00E746AE"/>
    <w:rsid w:val="00E7494E"/>
    <w:rsid w:val="00E74B0D"/>
    <w:rsid w:val="00E74BA9"/>
    <w:rsid w:val="00E74D50"/>
    <w:rsid w:val="00E7530B"/>
    <w:rsid w:val="00E753E3"/>
    <w:rsid w:val="00E75515"/>
    <w:rsid w:val="00E763BF"/>
    <w:rsid w:val="00E76566"/>
    <w:rsid w:val="00E7713E"/>
    <w:rsid w:val="00E77267"/>
    <w:rsid w:val="00E775B9"/>
    <w:rsid w:val="00E77616"/>
    <w:rsid w:val="00E776B0"/>
    <w:rsid w:val="00E77F24"/>
    <w:rsid w:val="00E77FF1"/>
    <w:rsid w:val="00E800A5"/>
    <w:rsid w:val="00E80103"/>
    <w:rsid w:val="00E802A5"/>
    <w:rsid w:val="00E80AAD"/>
    <w:rsid w:val="00E81297"/>
    <w:rsid w:val="00E812BD"/>
    <w:rsid w:val="00E81A2D"/>
    <w:rsid w:val="00E81FC7"/>
    <w:rsid w:val="00E825B3"/>
    <w:rsid w:val="00E82C0F"/>
    <w:rsid w:val="00E83106"/>
    <w:rsid w:val="00E8310F"/>
    <w:rsid w:val="00E8344C"/>
    <w:rsid w:val="00E83A62"/>
    <w:rsid w:val="00E83BDF"/>
    <w:rsid w:val="00E83C3C"/>
    <w:rsid w:val="00E83E88"/>
    <w:rsid w:val="00E83FD3"/>
    <w:rsid w:val="00E842DD"/>
    <w:rsid w:val="00E8440B"/>
    <w:rsid w:val="00E847E9"/>
    <w:rsid w:val="00E84BA4"/>
    <w:rsid w:val="00E84BC0"/>
    <w:rsid w:val="00E84DF7"/>
    <w:rsid w:val="00E852E4"/>
    <w:rsid w:val="00E85335"/>
    <w:rsid w:val="00E853C0"/>
    <w:rsid w:val="00E8543C"/>
    <w:rsid w:val="00E85768"/>
    <w:rsid w:val="00E85772"/>
    <w:rsid w:val="00E85BD1"/>
    <w:rsid w:val="00E85F66"/>
    <w:rsid w:val="00E86454"/>
    <w:rsid w:val="00E8681D"/>
    <w:rsid w:val="00E868A7"/>
    <w:rsid w:val="00E86FD2"/>
    <w:rsid w:val="00E871E8"/>
    <w:rsid w:val="00E8740E"/>
    <w:rsid w:val="00E876F9"/>
    <w:rsid w:val="00E87921"/>
    <w:rsid w:val="00E87D63"/>
    <w:rsid w:val="00E9039B"/>
    <w:rsid w:val="00E90A6E"/>
    <w:rsid w:val="00E90F5B"/>
    <w:rsid w:val="00E9121A"/>
    <w:rsid w:val="00E915F7"/>
    <w:rsid w:val="00E91749"/>
    <w:rsid w:val="00E92A78"/>
    <w:rsid w:val="00E92D46"/>
    <w:rsid w:val="00E93390"/>
    <w:rsid w:val="00E93C67"/>
    <w:rsid w:val="00E94554"/>
    <w:rsid w:val="00E955C2"/>
    <w:rsid w:val="00E9564C"/>
    <w:rsid w:val="00E956B8"/>
    <w:rsid w:val="00E9575D"/>
    <w:rsid w:val="00E95AAD"/>
    <w:rsid w:val="00E95CC8"/>
    <w:rsid w:val="00E9617D"/>
    <w:rsid w:val="00E9684C"/>
    <w:rsid w:val="00E968D7"/>
    <w:rsid w:val="00E96967"/>
    <w:rsid w:val="00E96CD2"/>
    <w:rsid w:val="00E96DA3"/>
    <w:rsid w:val="00E97032"/>
    <w:rsid w:val="00E971D5"/>
    <w:rsid w:val="00E975D7"/>
    <w:rsid w:val="00E97729"/>
    <w:rsid w:val="00E9790F"/>
    <w:rsid w:val="00E9794A"/>
    <w:rsid w:val="00EA02B3"/>
    <w:rsid w:val="00EA030C"/>
    <w:rsid w:val="00EA0412"/>
    <w:rsid w:val="00EA0519"/>
    <w:rsid w:val="00EA0531"/>
    <w:rsid w:val="00EA0D03"/>
    <w:rsid w:val="00EA0DF3"/>
    <w:rsid w:val="00EA1165"/>
    <w:rsid w:val="00EA12C7"/>
    <w:rsid w:val="00EA15C5"/>
    <w:rsid w:val="00EA1674"/>
    <w:rsid w:val="00EA1746"/>
    <w:rsid w:val="00EA1B8C"/>
    <w:rsid w:val="00EA1EF9"/>
    <w:rsid w:val="00EA26E7"/>
    <w:rsid w:val="00EA2726"/>
    <w:rsid w:val="00EA29F7"/>
    <w:rsid w:val="00EA3117"/>
    <w:rsid w:val="00EA3864"/>
    <w:rsid w:val="00EA38B1"/>
    <w:rsid w:val="00EA3999"/>
    <w:rsid w:val="00EA3B3F"/>
    <w:rsid w:val="00EA3D56"/>
    <w:rsid w:val="00EA4128"/>
    <w:rsid w:val="00EA420B"/>
    <w:rsid w:val="00EA47E7"/>
    <w:rsid w:val="00EA484E"/>
    <w:rsid w:val="00EA4E24"/>
    <w:rsid w:val="00EA4F4D"/>
    <w:rsid w:val="00EA4FAF"/>
    <w:rsid w:val="00EA5174"/>
    <w:rsid w:val="00EA6676"/>
    <w:rsid w:val="00EA6FA8"/>
    <w:rsid w:val="00EA74F4"/>
    <w:rsid w:val="00EA7547"/>
    <w:rsid w:val="00EA758C"/>
    <w:rsid w:val="00EA7710"/>
    <w:rsid w:val="00EA78BE"/>
    <w:rsid w:val="00EA78D8"/>
    <w:rsid w:val="00EA793B"/>
    <w:rsid w:val="00EB0104"/>
    <w:rsid w:val="00EB01E3"/>
    <w:rsid w:val="00EB0203"/>
    <w:rsid w:val="00EB0480"/>
    <w:rsid w:val="00EB04A8"/>
    <w:rsid w:val="00EB0505"/>
    <w:rsid w:val="00EB077E"/>
    <w:rsid w:val="00EB0DA3"/>
    <w:rsid w:val="00EB15B6"/>
    <w:rsid w:val="00EB17C4"/>
    <w:rsid w:val="00EB1C35"/>
    <w:rsid w:val="00EB24F9"/>
    <w:rsid w:val="00EB27EA"/>
    <w:rsid w:val="00EB2A00"/>
    <w:rsid w:val="00EB2C0A"/>
    <w:rsid w:val="00EB2F52"/>
    <w:rsid w:val="00EB3039"/>
    <w:rsid w:val="00EB37A0"/>
    <w:rsid w:val="00EB3C22"/>
    <w:rsid w:val="00EB3D22"/>
    <w:rsid w:val="00EB3D8F"/>
    <w:rsid w:val="00EB4125"/>
    <w:rsid w:val="00EB4134"/>
    <w:rsid w:val="00EB41A8"/>
    <w:rsid w:val="00EB43E0"/>
    <w:rsid w:val="00EB4916"/>
    <w:rsid w:val="00EB49EF"/>
    <w:rsid w:val="00EB5214"/>
    <w:rsid w:val="00EB522D"/>
    <w:rsid w:val="00EB5370"/>
    <w:rsid w:val="00EB5481"/>
    <w:rsid w:val="00EB579A"/>
    <w:rsid w:val="00EB5C8D"/>
    <w:rsid w:val="00EB5F57"/>
    <w:rsid w:val="00EB61A8"/>
    <w:rsid w:val="00EB62F0"/>
    <w:rsid w:val="00EB71F0"/>
    <w:rsid w:val="00EC00C9"/>
    <w:rsid w:val="00EC056B"/>
    <w:rsid w:val="00EC07EC"/>
    <w:rsid w:val="00EC09B5"/>
    <w:rsid w:val="00EC0BCC"/>
    <w:rsid w:val="00EC0FC3"/>
    <w:rsid w:val="00EC11FB"/>
    <w:rsid w:val="00EC12AD"/>
    <w:rsid w:val="00EC1BF4"/>
    <w:rsid w:val="00EC1D1B"/>
    <w:rsid w:val="00EC261E"/>
    <w:rsid w:val="00EC2715"/>
    <w:rsid w:val="00EC2DA2"/>
    <w:rsid w:val="00EC2DE6"/>
    <w:rsid w:val="00EC30C8"/>
    <w:rsid w:val="00EC3195"/>
    <w:rsid w:val="00EC34C2"/>
    <w:rsid w:val="00EC3848"/>
    <w:rsid w:val="00EC39F7"/>
    <w:rsid w:val="00EC3CDA"/>
    <w:rsid w:val="00EC3EC9"/>
    <w:rsid w:val="00EC424A"/>
    <w:rsid w:val="00EC4856"/>
    <w:rsid w:val="00EC4A20"/>
    <w:rsid w:val="00EC4E0E"/>
    <w:rsid w:val="00EC54BE"/>
    <w:rsid w:val="00EC56A1"/>
    <w:rsid w:val="00EC5EE9"/>
    <w:rsid w:val="00EC5FFC"/>
    <w:rsid w:val="00EC6054"/>
    <w:rsid w:val="00EC6077"/>
    <w:rsid w:val="00EC6F98"/>
    <w:rsid w:val="00EC73AB"/>
    <w:rsid w:val="00EC73D2"/>
    <w:rsid w:val="00EC75BA"/>
    <w:rsid w:val="00EC7C25"/>
    <w:rsid w:val="00EC7F79"/>
    <w:rsid w:val="00ED057E"/>
    <w:rsid w:val="00ED06A6"/>
    <w:rsid w:val="00ED0FCB"/>
    <w:rsid w:val="00ED151C"/>
    <w:rsid w:val="00ED1B8A"/>
    <w:rsid w:val="00ED1C81"/>
    <w:rsid w:val="00ED1EFB"/>
    <w:rsid w:val="00ED208C"/>
    <w:rsid w:val="00ED20AF"/>
    <w:rsid w:val="00ED21B9"/>
    <w:rsid w:val="00ED225F"/>
    <w:rsid w:val="00ED2301"/>
    <w:rsid w:val="00ED23C1"/>
    <w:rsid w:val="00ED2485"/>
    <w:rsid w:val="00ED291B"/>
    <w:rsid w:val="00ED2AE1"/>
    <w:rsid w:val="00ED31AC"/>
    <w:rsid w:val="00ED38AD"/>
    <w:rsid w:val="00ED39B4"/>
    <w:rsid w:val="00ED3EE2"/>
    <w:rsid w:val="00ED40C0"/>
    <w:rsid w:val="00ED41FC"/>
    <w:rsid w:val="00ED42E8"/>
    <w:rsid w:val="00ED43F4"/>
    <w:rsid w:val="00ED4415"/>
    <w:rsid w:val="00ED4520"/>
    <w:rsid w:val="00ED48A8"/>
    <w:rsid w:val="00ED4B8B"/>
    <w:rsid w:val="00ED4CA0"/>
    <w:rsid w:val="00ED4E12"/>
    <w:rsid w:val="00ED4E48"/>
    <w:rsid w:val="00ED5084"/>
    <w:rsid w:val="00ED51DD"/>
    <w:rsid w:val="00ED525F"/>
    <w:rsid w:val="00ED57FD"/>
    <w:rsid w:val="00ED5A57"/>
    <w:rsid w:val="00ED5ACC"/>
    <w:rsid w:val="00ED5EFE"/>
    <w:rsid w:val="00ED5F5D"/>
    <w:rsid w:val="00ED617D"/>
    <w:rsid w:val="00ED6182"/>
    <w:rsid w:val="00ED627D"/>
    <w:rsid w:val="00ED676A"/>
    <w:rsid w:val="00ED67A8"/>
    <w:rsid w:val="00ED68BE"/>
    <w:rsid w:val="00ED764E"/>
    <w:rsid w:val="00ED7890"/>
    <w:rsid w:val="00ED78C9"/>
    <w:rsid w:val="00ED7C58"/>
    <w:rsid w:val="00ED7F50"/>
    <w:rsid w:val="00EE009F"/>
    <w:rsid w:val="00EE0166"/>
    <w:rsid w:val="00EE01E6"/>
    <w:rsid w:val="00EE02D6"/>
    <w:rsid w:val="00EE03A4"/>
    <w:rsid w:val="00EE052F"/>
    <w:rsid w:val="00EE061A"/>
    <w:rsid w:val="00EE074A"/>
    <w:rsid w:val="00EE07D3"/>
    <w:rsid w:val="00EE0C70"/>
    <w:rsid w:val="00EE0DC4"/>
    <w:rsid w:val="00EE13B9"/>
    <w:rsid w:val="00EE1768"/>
    <w:rsid w:val="00EE179A"/>
    <w:rsid w:val="00EE1BC7"/>
    <w:rsid w:val="00EE1E52"/>
    <w:rsid w:val="00EE2016"/>
    <w:rsid w:val="00EE2855"/>
    <w:rsid w:val="00EE3024"/>
    <w:rsid w:val="00EE33CE"/>
    <w:rsid w:val="00EE3755"/>
    <w:rsid w:val="00EE37CD"/>
    <w:rsid w:val="00EE37F0"/>
    <w:rsid w:val="00EE3A6C"/>
    <w:rsid w:val="00EE3C87"/>
    <w:rsid w:val="00EE4086"/>
    <w:rsid w:val="00EE4C72"/>
    <w:rsid w:val="00EE4CC7"/>
    <w:rsid w:val="00EE4F5F"/>
    <w:rsid w:val="00EE4FFF"/>
    <w:rsid w:val="00EE5051"/>
    <w:rsid w:val="00EE509E"/>
    <w:rsid w:val="00EE51C7"/>
    <w:rsid w:val="00EE5615"/>
    <w:rsid w:val="00EE5651"/>
    <w:rsid w:val="00EE5660"/>
    <w:rsid w:val="00EE5C0D"/>
    <w:rsid w:val="00EE602B"/>
    <w:rsid w:val="00EE64CC"/>
    <w:rsid w:val="00EE69A4"/>
    <w:rsid w:val="00EE6A79"/>
    <w:rsid w:val="00EE6A7D"/>
    <w:rsid w:val="00EE6AE6"/>
    <w:rsid w:val="00EE6D03"/>
    <w:rsid w:val="00EE6E6A"/>
    <w:rsid w:val="00EE7388"/>
    <w:rsid w:val="00EE758F"/>
    <w:rsid w:val="00EE79C2"/>
    <w:rsid w:val="00EE7CFA"/>
    <w:rsid w:val="00EF009B"/>
    <w:rsid w:val="00EF054E"/>
    <w:rsid w:val="00EF0B54"/>
    <w:rsid w:val="00EF0EC6"/>
    <w:rsid w:val="00EF1008"/>
    <w:rsid w:val="00EF1379"/>
    <w:rsid w:val="00EF14F8"/>
    <w:rsid w:val="00EF1A83"/>
    <w:rsid w:val="00EF1B9C"/>
    <w:rsid w:val="00EF1D38"/>
    <w:rsid w:val="00EF253E"/>
    <w:rsid w:val="00EF27DD"/>
    <w:rsid w:val="00EF298B"/>
    <w:rsid w:val="00EF2ACD"/>
    <w:rsid w:val="00EF33AA"/>
    <w:rsid w:val="00EF362F"/>
    <w:rsid w:val="00EF36CA"/>
    <w:rsid w:val="00EF3AEE"/>
    <w:rsid w:val="00EF3B2E"/>
    <w:rsid w:val="00EF3FCA"/>
    <w:rsid w:val="00EF411A"/>
    <w:rsid w:val="00EF4424"/>
    <w:rsid w:val="00EF52C7"/>
    <w:rsid w:val="00EF5636"/>
    <w:rsid w:val="00EF5752"/>
    <w:rsid w:val="00EF57C8"/>
    <w:rsid w:val="00EF631D"/>
    <w:rsid w:val="00EF6374"/>
    <w:rsid w:val="00EF6531"/>
    <w:rsid w:val="00EF66A1"/>
    <w:rsid w:val="00EF6822"/>
    <w:rsid w:val="00EF7874"/>
    <w:rsid w:val="00EF7B4A"/>
    <w:rsid w:val="00EF7D58"/>
    <w:rsid w:val="00F000B1"/>
    <w:rsid w:val="00F001A0"/>
    <w:rsid w:val="00F003B5"/>
    <w:rsid w:val="00F0067C"/>
    <w:rsid w:val="00F00764"/>
    <w:rsid w:val="00F0089F"/>
    <w:rsid w:val="00F00B9B"/>
    <w:rsid w:val="00F00E99"/>
    <w:rsid w:val="00F00F7E"/>
    <w:rsid w:val="00F01358"/>
    <w:rsid w:val="00F01497"/>
    <w:rsid w:val="00F01630"/>
    <w:rsid w:val="00F0168C"/>
    <w:rsid w:val="00F017AD"/>
    <w:rsid w:val="00F01DCB"/>
    <w:rsid w:val="00F01E17"/>
    <w:rsid w:val="00F01F99"/>
    <w:rsid w:val="00F0217A"/>
    <w:rsid w:val="00F027C9"/>
    <w:rsid w:val="00F029E2"/>
    <w:rsid w:val="00F02FC4"/>
    <w:rsid w:val="00F03011"/>
    <w:rsid w:val="00F03462"/>
    <w:rsid w:val="00F03717"/>
    <w:rsid w:val="00F037C0"/>
    <w:rsid w:val="00F038F6"/>
    <w:rsid w:val="00F0399F"/>
    <w:rsid w:val="00F03AF9"/>
    <w:rsid w:val="00F03C24"/>
    <w:rsid w:val="00F03C30"/>
    <w:rsid w:val="00F04C34"/>
    <w:rsid w:val="00F04E87"/>
    <w:rsid w:val="00F054AC"/>
    <w:rsid w:val="00F0597E"/>
    <w:rsid w:val="00F05C32"/>
    <w:rsid w:val="00F062CE"/>
    <w:rsid w:val="00F067A2"/>
    <w:rsid w:val="00F06A35"/>
    <w:rsid w:val="00F06D9B"/>
    <w:rsid w:val="00F06F5B"/>
    <w:rsid w:val="00F0726A"/>
    <w:rsid w:val="00F074B7"/>
    <w:rsid w:val="00F074E9"/>
    <w:rsid w:val="00F07B2D"/>
    <w:rsid w:val="00F10012"/>
    <w:rsid w:val="00F1025F"/>
    <w:rsid w:val="00F106DE"/>
    <w:rsid w:val="00F10A65"/>
    <w:rsid w:val="00F113A4"/>
    <w:rsid w:val="00F11658"/>
    <w:rsid w:val="00F11722"/>
    <w:rsid w:val="00F11E81"/>
    <w:rsid w:val="00F12374"/>
    <w:rsid w:val="00F12660"/>
    <w:rsid w:val="00F127AD"/>
    <w:rsid w:val="00F1293B"/>
    <w:rsid w:val="00F1297D"/>
    <w:rsid w:val="00F12B10"/>
    <w:rsid w:val="00F12CF4"/>
    <w:rsid w:val="00F12D93"/>
    <w:rsid w:val="00F13213"/>
    <w:rsid w:val="00F13356"/>
    <w:rsid w:val="00F1379B"/>
    <w:rsid w:val="00F137D6"/>
    <w:rsid w:val="00F1381A"/>
    <w:rsid w:val="00F13CDF"/>
    <w:rsid w:val="00F13D37"/>
    <w:rsid w:val="00F13DE2"/>
    <w:rsid w:val="00F13F98"/>
    <w:rsid w:val="00F1475D"/>
    <w:rsid w:val="00F147DB"/>
    <w:rsid w:val="00F14B05"/>
    <w:rsid w:val="00F14FF8"/>
    <w:rsid w:val="00F155CC"/>
    <w:rsid w:val="00F15650"/>
    <w:rsid w:val="00F15B04"/>
    <w:rsid w:val="00F16700"/>
    <w:rsid w:val="00F1684F"/>
    <w:rsid w:val="00F16C36"/>
    <w:rsid w:val="00F16EC6"/>
    <w:rsid w:val="00F171A5"/>
    <w:rsid w:val="00F17396"/>
    <w:rsid w:val="00F1743E"/>
    <w:rsid w:val="00F174B2"/>
    <w:rsid w:val="00F17AF8"/>
    <w:rsid w:val="00F17CB8"/>
    <w:rsid w:val="00F17F28"/>
    <w:rsid w:val="00F209D2"/>
    <w:rsid w:val="00F20B13"/>
    <w:rsid w:val="00F21134"/>
    <w:rsid w:val="00F21BB3"/>
    <w:rsid w:val="00F225E5"/>
    <w:rsid w:val="00F226CE"/>
    <w:rsid w:val="00F22793"/>
    <w:rsid w:val="00F22799"/>
    <w:rsid w:val="00F228E0"/>
    <w:rsid w:val="00F22985"/>
    <w:rsid w:val="00F22EA4"/>
    <w:rsid w:val="00F230F3"/>
    <w:rsid w:val="00F2322C"/>
    <w:rsid w:val="00F2380C"/>
    <w:rsid w:val="00F23D3B"/>
    <w:rsid w:val="00F23E7A"/>
    <w:rsid w:val="00F240D5"/>
    <w:rsid w:val="00F24203"/>
    <w:rsid w:val="00F24618"/>
    <w:rsid w:val="00F24837"/>
    <w:rsid w:val="00F24911"/>
    <w:rsid w:val="00F24DDB"/>
    <w:rsid w:val="00F2512E"/>
    <w:rsid w:val="00F25307"/>
    <w:rsid w:val="00F254B7"/>
    <w:rsid w:val="00F2575F"/>
    <w:rsid w:val="00F257B7"/>
    <w:rsid w:val="00F25805"/>
    <w:rsid w:val="00F25AC2"/>
    <w:rsid w:val="00F25D11"/>
    <w:rsid w:val="00F25F2B"/>
    <w:rsid w:val="00F25F52"/>
    <w:rsid w:val="00F26176"/>
    <w:rsid w:val="00F26587"/>
    <w:rsid w:val="00F26D32"/>
    <w:rsid w:val="00F272E5"/>
    <w:rsid w:val="00F276B1"/>
    <w:rsid w:val="00F27A45"/>
    <w:rsid w:val="00F27C3D"/>
    <w:rsid w:val="00F27C6D"/>
    <w:rsid w:val="00F27EB7"/>
    <w:rsid w:val="00F27F3F"/>
    <w:rsid w:val="00F27FA8"/>
    <w:rsid w:val="00F306B3"/>
    <w:rsid w:val="00F30774"/>
    <w:rsid w:val="00F307F1"/>
    <w:rsid w:val="00F309AE"/>
    <w:rsid w:val="00F30DFC"/>
    <w:rsid w:val="00F30F08"/>
    <w:rsid w:val="00F310E8"/>
    <w:rsid w:val="00F311AE"/>
    <w:rsid w:val="00F3168A"/>
    <w:rsid w:val="00F31955"/>
    <w:rsid w:val="00F31AB0"/>
    <w:rsid w:val="00F31EF9"/>
    <w:rsid w:val="00F31F4E"/>
    <w:rsid w:val="00F32009"/>
    <w:rsid w:val="00F320A1"/>
    <w:rsid w:val="00F3229B"/>
    <w:rsid w:val="00F327D7"/>
    <w:rsid w:val="00F32E3B"/>
    <w:rsid w:val="00F3319F"/>
    <w:rsid w:val="00F333F8"/>
    <w:rsid w:val="00F33539"/>
    <w:rsid w:val="00F33B23"/>
    <w:rsid w:val="00F33BBF"/>
    <w:rsid w:val="00F33DE9"/>
    <w:rsid w:val="00F3491E"/>
    <w:rsid w:val="00F34ABE"/>
    <w:rsid w:val="00F34C45"/>
    <w:rsid w:val="00F35199"/>
    <w:rsid w:val="00F351E5"/>
    <w:rsid w:val="00F35343"/>
    <w:rsid w:val="00F35607"/>
    <w:rsid w:val="00F3572D"/>
    <w:rsid w:val="00F3575D"/>
    <w:rsid w:val="00F35A85"/>
    <w:rsid w:val="00F3609C"/>
    <w:rsid w:val="00F3619A"/>
    <w:rsid w:val="00F3626B"/>
    <w:rsid w:val="00F365BF"/>
    <w:rsid w:val="00F3697D"/>
    <w:rsid w:val="00F3697F"/>
    <w:rsid w:val="00F36E39"/>
    <w:rsid w:val="00F37064"/>
    <w:rsid w:val="00F375B6"/>
    <w:rsid w:val="00F37704"/>
    <w:rsid w:val="00F37883"/>
    <w:rsid w:val="00F37B98"/>
    <w:rsid w:val="00F37F9F"/>
    <w:rsid w:val="00F40148"/>
    <w:rsid w:val="00F4033B"/>
    <w:rsid w:val="00F407A8"/>
    <w:rsid w:val="00F40BA0"/>
    <w:rsid w:val="00F40C4D"/>
    <w:rsid w:val="00F40D2B"/>
    <w:rsid w:val="00F4155F"/>
    <w:rsid w:val="00F41699"/>
    <w:rsid w:val="00F4198E"/>
    <w:rsid w:val="00F41C63"/>
    <w:rsid w:val="00F41D04"/>
    <w:rsid w:val="00F41D83"/>
    <w:rsid w:val="00F4217D"/>
    <w:rsid w:val="00F422D1"/>
    <w:rsid w:val="00F42449"/>
    <w:rsid w:val="00F42479"/>
    <w:rsid w:val="00F424CB"/>
    <w:rsid w:val="00F425C1"/>
    <w:rsid w:val="00F42689"/>
    <w:rsid w:val="00F42759"/>
    <w:rsid w:val="00F428A7"/>
    <w:rsid w:val="00F42963"/>
    <w:rsid w:val="00F42A18"/>
    <w:rsid w:val="00F42A61"/>
    <w:rsid w:val="00F42C26"/>
    <w:rsid w:val="00F42CE4"/>
    <w:rsid w:val="00F42DF3"/>
    <w:rsid w:val="00F4309D"/>
    <w:rsid w:val="00F43148"/>
    <w:rsid w:val="00F433B2"/>
    <w:rsid w:val="00F433EF"/>
    <w:rsid w:val="00F43704"/>
    <w:rsid w:val="00F438E0"/>
    <w:rsid w:val="00F43A69"/>
    <w:rsid w:val="00F43B6E"/>
    <w:rsid w:val="00F441D3"/>
    <w:rsid w:val="00F444E1"/>
    <w:rsid w:val="00F444F9"/>
    <w:rsid w:val="00F447C4"/>
    <w:rsid w:val="00F447F4"/>
    <w:rsid w:val="00F449D3"/>
    <w:rsid w:val="00F44DB4"/>
    <w:rsid w:val="00F44F11"/>
    <w:rsid w:val="00F45042"/>
    <w:rsid w:val="00F45A8F"/>
    <w:rsid w:val="00F46CB6"/>
    <w:rsid w:val="00F46D3A"/>
    <w:rsid w:val="00F46D65"/>
    <w:rsid w:val="00F472A2"/>
    <w:rsid w:val="00F473B0"/>
    <w:rsid w:val="00F479C0"/>
    <w:rsid w:val="00F47EEE"/>
    <w:rsid w:val="00F504DA"/>
    <w:rsid w:val="00F505B5"/>
    <w:rsid w:val="00F50894"/>
    <w:rsid w:val="00F50D01"/>
    <w:rsid w:val="00F50D2F"/>
    <w:rsid w:val="00F5133D"/>
    <w:rsid w:val="00F513D3"/>
    <w:rsid w:val="00F5196F"/>
    <w:rsid w:val="00F51A10"/>
    <w:rsid w:val="00F52247"/>
    <w:rsid w:val="00F5226B"/>
    <w:rsid w:val="00F52270"/>
    <w:rsid w:val="00F52355"/>
    <w:rsid w:val="00F52559"/>
    <w:rsid w:val="00F528C7"/>
    <w:rsid w:val="00F52925"/>
    <w:rsid w:val="00F53012"/>
    <w:rsid w:val="00F531A8"/>
    <w:rsid w:val="00F53450"/>
    <w:rsid w:val="00F535B4"/>
    <w:rsid w:val="00F536F4"/>
    <w:rsid w:val="00F539A0"/>
    <w:rsid w:val="00F53A83"/>
    <w:rsid w:val="00F53AFC"/>
    <w:rsid w:val="00F53D79"/>
    <w:rsid w:val="00F53ED8"/>
    <w:rsid w:val="00F5443E"/>
    <w:rsid w:val="00F54904"/>
    <w:rsid w:val="00F54F3C"/>
    <w:rsid w:val="00F54FAF"/>
    <w:rsid w:val="00F551C6"/>
    <w:rsid w:val="00F552FD"/>
    <w:rsid w:val="00F55755"/>
    <w:rsid w:val="00F5589B"/>
    <w:rsid w:val="00F55A3E"/>
    <w:rsid w:val="00F55BC4"/>
    <w:rsid w:val="00F55D1B"/>
    <w:rsid w:val="00F55DAC"/>
    <w:rsid w:val="00F55E73"/>
    <w:rsid w:val="00F55FBC"/>
    <w:rsid w:val="00F5614A"/>
    <w:rsid w:val="00F56283"/>
    <w:rsid w:val="00F5644C"/>
    <w:rsid w:val="00F56596"/>
    <w:rsid w:val="00F56D76"/>
    <w:rsid w:val="00F56EEB"/>
    <w:rsid w:val="00F57056"/>
    <w:rsid w:val="00F5755D"/>
    <w:rsid w:val="00F576D8"/>
    <w:rsid w:val="00F578ED"/>
    <w:rsid w:val="00F57937"/>
    <w:rsid w:val="00F579A1"/>
    <w:rsid w:val="00F57A97"/>
    <w:rsid w:val="00F57B75"/>
    <w:rsid w:val="00F57CD2"/>
    <w:rsid w:val="00F57FC0"/>
    <w:rsid w:val="00F60092"/>
    <w:rsid w:val="00F6025F"/>
    <w:rsid w:val="00F6050C"/>
    <w:rsid w:val="00F60889"/>
    <w:rsid w:val="00F60CE5"/>
    <w:rsid w:val="00F60F12"/>
    <w:rsid w:val="00F610F7"/>
    <w:rsid w:val="00F61364"/>
    <w:rsid w:val="00F616E1"/>
    <w:rsid w:val="00F6177D"/>
    <w:rsid w:val="00F617B2"/>
    <w:rsid w:val="00F61E77"/>
    <w:rsid w:val="00F62198"/>
    <w:rsid w:val="00F628C6"/>
    <w:rsid w:val="00F628E5"/>
    <w:rsid w:val="00F629B8"/>
    <w:rsid w:val="00F63409"/>
    <w:rsid w:val="00F63541"/>
    <w:rsid w:val="00F643A2"/>
    <w:rsid w:val="00F645C6"/>
    <w:rsid w:val="00F645E5"/>
    <w:rsid w:val="00F64813"/>
    <w:rsid w:val="00F65167"/>
    <w:rsid w:val="00F6528F"/>
    <w:rsid w:val="00F656CF"/>
    <w:rsid w:val="00F658B3"/>
    <w:rsid w:val="00F65971"/>
    <w:rsid w:val="00F65B20"/>
    <w:rsid w:val="00F65CDB"/>
    <w:rsid w:val="00F662B6"/>
    <w:rsid w:val="00F662ED"/>
    <w:rsid w:val="00F66877"/>
    <w:rsid w:val="00F66F17"/>
    <w:rsid w:val="00F673BB"/>
    <w:rsid w:val="00F67510"/>
    <w:rsid w:val="00F67988"/>
    <w:rsid w:val="00F67A58"/>
    <w:rsid w:val="00F67AD6"/>
    <w:rsid w:val="00F67B81"/>
    <w:rsid w:val="00F67B91"/>
    <w:rsid w:val="00F704C2"/>
    <w:rsid w:val="00F70735"/>
    <w:rsid w:val="00F707D8"/>
    <w:rsid w:val="00F70883"/>
    <w:rsid w:val="00F709E8"/>
    <w:rsid w:val="00F70A5A"/>
    <w:rsid w:val="00F70FA1"/>
    <w:rsid w:val="00F7107D"/>
    <w:rsid w:val="00F712E7"/>
    <w:rsid w:val="00F71670"/>
    <w:rsid w:val="00F7174C"/>
    <w:rsid w:val="00F71EBD"/>
    <w:rsid w:val="00F722AF"/>
    <w:rsid w:val="00F7269E"/>
    <w:rsid w:val="00F72E8B"/>
    <w:rsid w:val="00F73C00"/>
    <w:rsid w:val="00F73D32"/>
    <w:rsid w:val="00F744A3"/>
    <w:rsid w:val="00F7492A"/>
    <w:rsid w:val="00F75065"/>
    <w:rsid w:val="00F750EE"/>
    <w:rsid w:val="00F75465"/>
    <w:rsid w:val="00F75477"/>
    <w:rsid w:val="00F7557C"/>
    <w:rsid w:val="00F756A3"/>
    <w:rsid w:val="00F758AB"/>
    <w:rsid w:val="00F75B12"/>
    <w:rsid w:val="00F75D66"/>
    <w:rsid w:val="00F76274"/>
    <w:rsid w:val="00F765F9"/>
    <w:rsid w:val="00F76F78"/>
    <w:rsid w:val="00F775B9"/>
    <w:rsid w:val="00F77A5A"/>
    <w:rsid w:val="00F77C89"/>
    <w:rsid w:val="00F77D11"/>
    <w:rsid w:val="00F77EF7"/>
    <w:rsid w:val="00F80591"/>
    <w:rsid w:val="00F8090F"/>
    <w:rsid w:val="00F80982"/>
    <w:rsid w:val="00F80A7D"/>
    <w:rsid w:val="00F80DBD"/>
    <w:rsid w:val="00F80E5D"/>
    <w:rsid w:val="00F8107A"/>
    <w:rsid w:val="00F815C0"/>
    <w:rsid w:val="00F81907"/>
    <w:rsid w:val="00F819C4"/>
    <w:rsid w:val="00F81B34"/>
    <w:rsid w:val="00F81D05"/>
    <w:rsid w:val="00F81F7A"/>
    <w:rsid w:val="00F8200B"/>
    <w:rsid w:val="00F825D6"/>
    <w:rsid w:val="00F827AF"/>
    <w:rsid w:val="00F833EC"/>
    <w:rsid w:val="00F8399E"/>
    <w:rsid w:val="00F83DC9"/>
    <w:rsid w:val="00F83DCD"/>
    <w:rsid w:val="00F84BA5"/>
    <w:rsid w:val="00F84E68"/>
    <w:rsid w:val="00F84E74"/>
    <w:rsid w:val="00F851CE"/>
    <w:rsid w:val="00F85297"/>
    <w:rsid w:val="00F85497"/>
    <w:rsid w:val="00F85593"/>
    <w:rsid w:val="00F85A33"/>
    <w:rsid w:val="00F85C18"/>
    <w:rsid w:val="00F860C5"/>
    <w:rsid w:val="00F8648C"/>
    <w:rsid w:val="00F865CB"/>
    <w:rsid w:val="00F8664E"/>
    <w:rsid w:val="00F866AB"/>
    <w:rsid w:val="00F8691A"/>
    <w:rsid w:val="00F8692E"/>
    <w:rsid w:val="00F86DF5"/>
    <w:rsid w:val="00F86EC5"/>
    <w:rsid w:val="00F86F6E"/>
    <w:rsid w:val="00F8728D"/>
    <w:rsid w:val="00F87A28"/>
    <w:rsid w:val="00F87ABE"/>
    <w:rsid w:val="00F87DE1"/>
    <w:rsid w:val="00F87EAB"/>
    <w:rsid w:val="00F87F28"/>
    <w:rsid w:val="00F903F3"/>
    <w:rsid w:val="00F90A8A"/>
    <w:rsid w:val="00F90B2E"/>
    <w:rsid w:val="00F9105C"/>
    <w:rsid w:val="00F9146A"/>
    <w:rsid w:val="00F91D59"/>
    <w:rsid w:val="00F91E3F"/>
    <w:rsid w:val="00F91FAC"/>
    <w:rsid w:val="00F9233B"/>
    <w:rsid w:val="00F926B5"/>
    <w:rsid w:val="00F927F6"/>
    <w:rsid w:val="00F92B2E"/>
    <w:rsid w:val="00F92CEC"/>
    <w:rsid w:val="00F92E6C"/>
    <w:rsid w:val="00F92F36"/>
    <w:rsid w:val="00F93967"/>
    <w:rsid w:val="00F93A84"/>
    <w:rsid w:val="00F93B43"/>
    <w:rsid w:val="00F9441D"/>
    <w:rsid w:val="00F94605"/>
    <w:rsid w:val="00F946B8"/>
    <w:rsid w:val="00F94A88"/>
    <w:rsid w:val="00F94CB4"/>
    <w:rsid w:val="00F94E1E"/>
    <w:rsid w:val="00F9524E"/>
    <w:rsid w:val="00F95571"/>
    <w:rsid w:val="00F95740"/>
    <w:rsid w:val="00F959F6"/>
    <w:rsid w:val="00F95C47"/>
    <w:rsid w:val="00F95CDD"/>
    <w:rsid w:val="00F95D7E"/>
    <w:rsid w:val="00F963C6"/>
    <w:rsid w:val="00F96688"/>
    <w:rsid w:val="00F96815"/>
    <w:rsid w:val="00F96ABF"/>
    <w:rsid w:val="00F96E98"/>
    <w:rsid w:val="00F970B7"/>
    <w:rsid w:val="00F971C9"/>
    <w:rsid w:val="00F973F6"/>
    <w:rsid w:val="00F97520"/>
    <w:rsid w:val="00F976D8"/>
    <w:rsid w:val="00F979BD"/>
    <w:rsid w:val="00F97A78"/>
    <w:rsid w:val="00F97BA9"/>
    <w:rsid w:val="00F97D11"/>
    <w:rsid w:val="00FA02FD"/>
    <w:rsid w:val="00FA2171"/>
    <w:rsid w:val="00FA21D2"/>
    <w:rsid w:val="00FA2467"/>
    <w:rsid w:val="00FA24E7"/>
    <w:rsid w:val="00FA26E8"/>
    <w:rsid w:val="00FA28F7"/>
    <w:rsid w:val="00FA293F"/>
    <w:rsid w:val="00FA29C7"/>
    <w:rsid w:val="00FA2AFA"/>
    <w:rsid w:val="00FA2BB0"/>
    <w:rsid w:val="00FA2CF1"/>
    <w:rsid w:val="00FA315D"/>
    <w:rsid w:val="00FA34E4"/>
    <w:rsid w:val="00FA3A63"/>
    <w:rsid w:val="00FA3B4F"/>
    <w:rsid w:val="00FA3CDA"/>
    <w:rsid w:val="00FA40FE"/>
    <w:rsid w:val="00FA4758"/>
    <w:rsid w:val="00FA4F27"/>
    <w:rsid w:val="00FA57AD"/>
    <w:rsid w:val="00FA5B29"/>
    <w:rsid w:val="00FA5C8C"/>
    <w:rsid w:val="00FA5EC4"/>
    <w:rsid w:val="00FA5FE3"/>
    <w:rsid w:val="00FA604E"/>
    <w:rsid w:val="00FA687A"/>
    <w:rsid w:val="00FA69CE"/>
    <w:rsid w:val="00FA703B"/>
    <w:rsid w:val="00FA72C7"/>
    <w:rsid w:val="00FA7EC5"/>
    <w:rsid w:val="00FB03ED"/>
    <w:rsid w:val="00FB0918"/>
    <w:rsid w:val="00FB09BF"/>
    <w:rsid w:val="00FB0F98"/>
    <w:rsid w:val="00FB10F6"/>
    <w:rsid w:val="00FB1599"/>
    <w:rsid w:val="00FB16F3"/>
    <w:rsid w:val="00FB19F0"/>
    <w:rsid w:val="00FB1A89"/>
    <w:rsid w:val="00FB21DD"/>
    <w:rsid w:val="00FB2281"/>
    <w:rsid w:val="00FB246F"/>
    <w:rsid w:val="00FB2638"/>
    <w:rsid w:val="00FB26A9"/>
    <w:rsid w:val="00FB2B78"/>
    <w:rsid w:val="00FB2F8C"/>
    <w:rsid w:val="00FB2FCB"/>
    <w:rsid w:val="00FB30E1"/>
    <w:rsid w:val="00FB35F5"/>
    <w:rsid w:val="00FB3AFD"/>
    <w:rsid w:val="00FB3B58"/>
    <w:rsid w:val="00FB3E4D"/>
    <w:rsid w:val="00FB44AF"/>
    <w:rsid w:val="00FB4B7E"/>
    <w:rsid w:val="00FB4C89"/>
    <w:rsid w:val="00FB50BF"/>
    <w:rsid w:val="00FB54B8"/>
    <w:rsid w:val="00FB5647"/>
    <w:rsid w:val="00FB56CC"/>
    <w:rsid w:val="00FB5BD4"/>
    <w:rsid w:val="00FB6130"/>
    <w:rsid w:val="00FB61D8"/>
    <w:rsid w:val="00FB683B"/>
    <w:rsid w:val="00FB6D52"/>
    <w:rsid w:val="00FB6F5A"/>
    <w:rsid w:val="00FB710E"/>
    <w:rsid w:val="00FB7462"/>
    <w:rsid w:val="00FB76E8"/>
    <w:rsid w:val="00FB7961"/>
    <w:rsid w:val="00FB7A70"/>
    <w:rsid w:val="00FB7E89"/>
    <w:rsid w:val="00FC01DE"/>
    <w:rsid w:val="00FC065A"/>
    <w:rsid w:val="00FC08D6"/>
    <w:rsid w:val="00FC0AC4"/>
    <w:rsid w:val="00FC0D62"/>
    <w:rsid w:val="00FC0DCE"/>
    <w:rsid w:val="00FC0E39"/>
    <w:rsid w:val="00FC0E9B"/>
    <w:rsid w:val="00FC0F41"/>
    <w:rsid w:val="00FC0F9F"/>
    <w:rsid w:val="00FC1074"/>
    <w:rsid w:val="00FC12AA"/>
    <w:rsid w:val="00FC13E8"/>
    <w:rsid w:val="00FC1808"/>
    <w:rsid w:val="00FC1884"/>
    <w:rsid w:val="00FC1C70"/>
    <w:rsid w:val="00FC1CDC"/>
    <w:rsid w:val="00FC2147"/>
    <w:rsid w:val="00FC229B"/>
    <w:rsid w:val="00FC25B5"/>
    <w:rsid w:val="00FC2625"/>
    <w:rsid w:val="00FC286C"/>
    <w:rsid w:val="00FC2ACA"/>
    <w:rsid w:val="00FC2B83"/>
    <w:rsid w:val="00FC2F02"/>
    <w:rsid w:val="00FC3214"/>
    <w:rsid w:val="00FC34D3"/>
    <w:rsid w:val="00FC4884"/>
    <w:rsid w:val="00FC4949"/>
    <w:rsid w:val="00FC4CB2"/>
    <w:rsid w:val="00FC50C2"/>
    <w:rsid w:val="00FC5395"/>
    <w:rsid w:val="00FC56B6"/>
    <w:rsid w:val="00FC5A5E"/>
    <w:rsid w:val="00FC603A"/>
    <w:rsid w:val="00FC62BC"/>
    <w:rsid w:val="00FC6387"/>
    <w:rsid w:val="00FC71DF"/>
    <w:rsid w:val="00FC7298"/>
    <w:rsid w:val="00FC7349"/>
    <w:rsid w:val="00FC788C"/>
    <w:rsid w:val="00FC79A2"/>
    <w:rsid w:val="00FC7B4C"/>
    <w:rsid w:val="00FC7B5F"/>
    <w:rsid w:val="00FC7D46"/>
    <w:rsid w:val="00FD0131"/>
    <w:rsid w:val="00FD074B"/>
    <w:rsid w:val="00FD07B5"/>
    <w:rsid w:val="00FD0AEC"/>
    <w:rsid w:val="00FD0CD0"/>
    <w:rsid w:val="00FD0CE2"/>
    <w:rsid w:val="00FD0DD9"/>
    <w:rsid w:val="00FD1564"/>
    <w:rsid w:val="00FD1697"/>
    <w:rsid w:val="00FD16C6"/>
    <w:rsid w:val="00FD1C57"/>
    <w:rsid w:val="00FD1D9E"/>
    <w:rsid w:val="00FD1ED2"/>
    <w:rsid w:val="00FD2100"/>
    <w:rsid w:val="00FD2964"/>
    <w:rsid w:val="00FD29DB"/>
    <w:rsid w:val="00FD2AAA"/>
    <w:rsid w:val="00FD2C62"/>
    <w:rsid w:val="00FD3049"/>
    <w:rsid w:val="00FD37A8"/>
    <w:rsid w:val="00FD4367"/>
    <w:rsid w:val="00FD4386"/>
    <w:rsid w:val="00FD4443"/>
    <w:rsid w:val="00FD446D"/>
    <w:rsid w:val="00FD463B"/>
    <w:rsid w:val="00FD4728"/>
    <w:rsid w:val="00FD4772"/>
    <w:rsid w:val="00FD4C03"/>
    <w:rsid w:val="00FD4F02"/>
    <w:rsid w:val="00FD5485"/>
    <w:rsid w:val="00FD59CA"/>
    <w:rsid w:val="00FD639C"/>
    <w:rsid w:val="00FD6A07"/>
    <w:rsid w:val="00FD6C9C"/>
    <w:rsid w:val="00FD6FDF"/>
    <w:rsid w:val="00FD7300"/>
    <w:rsid w:val="00FD7C1F"/>
    <w:rsid w:val="00FD7DF3"/>
    <w:rsid w:val="00FE082F"/>
    <w:rsid w:val="00FE0A94"/>
    <w:rsid w:val="00FE1378"/>
    <w:rsid w:val="00FE14D9"/>
    <w:rsid w:val="00FE1719"/>
    <w:rsid w:val="00FE1722"/>
    <w:rsid w:val="00FE1C82"/>
    <w:rsid w:val="00FE1C8F"/>
    <w:rsid w:val="00FE2527"/>
    <w:rsid w:val="00FE2970"/>
    <w:rsid w:val="00FE2C0A"/>
    <w:rsid w:val="00FE2C9D"/>
    <w:rsid w:val="00FE3398"/>
    <w:rsid w:val="00FE351D"/>
    <w:rsid w:val="00FE35B3"/>
    <w:rsid w:val="00FE372D"/>
    <w:rsid w:val="00FE379B"/>
    <w:rsid w:val="00FE385B"/>
    <w:rsid w:val="00FE38F0"/>
    <w:rsid w:val="00FE3BFF"/>
    <w:rsid w:val="00FE3E90"/>
    <w:rsid w:val="00FE4246"/>
    <w:rsid w:val="00FE4420"/>
    <w:rsid w:val="00FE46D9"/>
    <w:rsid w:val="00FE47F0"/>
    <w:rsid w:val="00FE4BD4"/>
    <w:rsid w:val="00FE524E"/>
    <w:rsid w:val="00FE553A"/>
    <w:rsid w:val="00FE555A"/>
    <w:rsid w:val="00FE5BA8"/>
    <w:rsid w:val="00FE5C54"/>
    <w:rsid w:val="00FE634A"/>
    <w:rsid w:val="00FE66F1"/>
    <w:rsid w:val="00FE68DC"/>
    <w:rsid w:val="00FE6E67"/>
    <w:rsid w:val="00FE74D4"/>
    <w:rsid w:val="00FE762D"/>
    <w:rsid w:val="00FE77FB"/>
    <w:rsid w:val="00FE7D11"/>
    <w:rsid w:val="00FF0552"/>
    <w:rsid w:val="00FF07E5"/>
    <w:rsid w:val="00FF09D9"/>
    <w:rsid w:val="00FF0DC1"/>
    <w:rsid w:val="00FF0EFC"/>
    <w:rsid w:val="00FF0FD1"/>
    <w:rsid w:val="00FF1052"/>
    <w:rsid w:val="00FF12A0"/>
    <w:rsid w:val="00FF1583"/>
    <w:rsid w:val="00FF1BF2"/>
    <w:rsid w:val="00FF256B"/>
    <w:rsid w:val="00FF26E9"/>
    <w:rsid w:val="00FF2CD2"/>
    <w:rsid w:val="00FF3465"/>
    <w:rsid w:val="00FF36AA"/>
    <w:rsid w:val="00FF3958"/>
    <w:rsid w:val="00FF3ADB"/>
    <w:rsid w:val="00FF3B96"/>
    <w:rsid w:val="00FF3DCF"/>
    <w:rsid w:val="00FF4023"/>
    <w:rsid w:val="00FF412B"/>
    <w:rsid w:val="00FF43A1"/>
    <w:rsid w:val="00FF45A7"/>
    <w:rsid w:val="00FF4613"/>
    <w:rsid w:val="00FF46FC"/>
    <w:rsid w:val="00FF48CD"/>
    <w:rsid w:val="00FF4D34"/>
    <w:rsid w:val="00FF5251"/>
    <w:rsid w:val="00FF52A4"/>
    <w:rsid w:val="00FF56A8"/>
    <w:rsid w:val="00FF56F3"/>
    <w:rsid w:val="00FF5AA3"/>
    <w:rsid w:val="00FF5AB8"/>
    <w:rsid w:val="00FF6043"/>
    <w:rsid w:val="00FF62C9"/>
    <w:rsid w:val="00FF62DB"/>
    <w:rsid w:val="00FF684A"/>
    <w:rsid w:val="00FF698B"/>
    <w:rsid w:val="00FF6ACB"/>
    <w:rsid w:val="00FF6C5E"/>
    <w:rsid w:val="00FF6CD1"/>
    <w:rsid w:val="00FF6DFA"/>
    <w:rsid w:val="00FF7025"/>
    <w:rsid w:val="00FF70B7"/>
    <w:rsid w:val="00FF70C9"/>
    <w:rsid w:val="00FF73FD"/>
    <w:rsid w:val="00FF7612"/>
    <w:rsid w:val="00FF7C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E73BE9"/>
    <w:pPr>
      <w:widowControl/>
      <w:outlineLvl w:val="1"/>
    </w:pPr>
    <w:rPr>
      <w:b/>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E73BE9"/>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7"/>
      </w:numPr>
    </w:pPr>
    <w:rPr>
      <w:rFonts w:ascii="Arial" w:hAnsi="Arial" w:cs="Arial"/>
      <w:b/>
      <w:snapToGrid w:val="0"/>
      <w:sz w:val="22"/>
      <w:szCs w:val="22"/>
      <w:lang w:eastAsia="en-US"/>
    </w:rPr>
  </w:style>
  <w:style w:type="paragraph" w:customStyle="1" w:styleId="TableTextleftalign">
    <w:name w:val="Table Text left align"/>
    <w:basedOn w:val="Normal"/>
    <w:link w:val="TableTextleftalignChar"/>
    <w:autoRedefine/>
    <w:qFormat/>
    <w:rsid w:val="003B64E7"/>
    <w:pPr>
      <w:keepNext/>
      <w:widowControl/>
      <w:jc w:val="left"/>
    </w:pPr>
    <w:rPr>
      <w:rFonts w:ascii="Calibri" w:hAnsi="Calibri" w:cs="Times New Roman"/>
      <w:snapToGrid/>
      <w:sz w:val="18"/>
    </w:rPr>
  </w:style>
  <w:style w:type="character" w:customStyle="1" w:styleId="TableTextleftalignChar">
    <w:name w:val="Table Text left align Char"/>
    <w:basedOn w:val="DefaultParagraphFont"/>
    <w:link w:val="TableTextleftalign"/>
    <w:rsid w:val="003B64E7"/>
    <w:rPr>
      <w:rFonts w:ascii="Calibri" w:hAnsi="Calibri"/>
      <w:sz w:val="18"/>
      <w:lang w:eastAsia="en-US"/>
    </w:rPr>
  </w:style>
  <w:style w:type="paragraph" w:customStyle="1" w:styleId="COMTbl-cap">
    <w:name w:val="COMTbl-cap"/>
    <w:basedOn w:val="Normal"/>
    <w:link w:val="COMTbl-capChar"/>
    <w:qFormat/>
    <w:rsid w:val="00097488"/>
    <w:pPr>
      <w:keepNext/>
    </w:pPr>
    <w:rPr>
      <w:rFonts w:ascii="Arial Narrow" w:hAnsi="Arial Narrow"/>
      <w:b/>
      <w:sz w:val="20"/>
    </w:rPr>
  </w:style>
  <w:style w:type="character" w:customStyle="1" w:styleId="COMTbl-capChar">
    <w:name w:val="COMTbl-cap Char"/>
    <w:basedOn w:val="DefaultParagraphFont"/>
    <w:link w:val="COMTbl-cap"/>
    <w:rsid w:val="00097488"/>
    <w:rPr>
      <w:rFonts w:ascii="Arial Narrow" w:hAnsi="Arial Narrow" w:cs="Arial"/>
      <w:b/>
      <w:snapToGrid w:val="0"/>
      <w:lang w:eastAsia="en-US"/>
    </w:rPr>
  </w:style>
  <w:style w:type="paragraph" w:customStyle="1" w:styleId="references">
    <w:name w:val="references"/>
    <w:basedOn w:val="Normal"/>
    <w:rsid w:val="00F1381A"/>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Textcentred">
    <w:name w:val="Table Text centred"/>
    <w:basedOn w:val="Normal"/>
    <w:link w:val="TableTextcentredChar"/>
    <w:autoRedefine/>
    <w:qFormat/>
    <w:rsid w:val="005B320A"/>
    <w:pPr>
      <w:widowControl/>
      <w:jc w:val="center"/>
    </w:pPr>
    <w:rPr>
      <w:rFonts w:ascii="Calibri" w:hAnsi="Calibri" w:cs="Times New Roman"/>
      <w:snapToGrid/>
      <w:sz w:val="18"/>
    </w:rPr>
  </w:style>
  <w:style w:type="character" w:customStyle="1" w:styleId="TableTextcentredChar">
    <w:name w:val="Table Text centred Char"/>
    <w:basedOn w:val="DefaultParagraphFont"/>
    <w:link w:val="TableTextcentred"/>
    <w:rsid w:val="005B320A"/>
    <w:rPr>
      <w:rFonts w:ascii="Calibri" w:hAnsi="Calibri"/>
      <w:sz w:val="18"/>
      <w:lang w:eastAsia="en-US"/>
    </w:rPr>
  </w:style>
  <w:style w:type="paragraph" w:customStyle="1" w:styleId="TableTitlecentred">
    <w:name w:val="Table Title centred"/>
    <w:basedOn w:val="Normal"/>
    <w:autoRedefine/>
    <w:rsid w:val="0045008E"/>
    <w:pPr>
      <w:widowControl/>
      <w:jc w:val="center"/>
    </w:pPr>
    <w:rPr>
      <w:rFonts w:ascii="Calibri" w:hAnsi="Calibri" w:cs="Times New Roman"/>
      <w:b/>
      <w:snapToGrid/>
      <w:sz w:val="18"/>
    </w:rPr>
  </w:style>
  <w:style w:type="paragraph" w:styleId="FootnoteText">
    <w:name w:val="footnote text"/>
    <w:basedOn w:val="Normal"/>
    <w:link w:val="FootnoteTextChar"/>
    <w:semiHidden/>
    <w:unhideWhenUsed/>
    <w:rsid w:val="00475464"/>
    <w:rPr>
      <w:sz w:val="20"/>
    </w:rPr>
  </w:style>
  <w:style w:type="character" w:customStyle="1" w:styleId="FootnoteTextChar">
    <w:name w:val="Footnote Text Char"/>
    <w:basedOn w:val="DefaultParagraphFont"/>
    <w:link w:val="FootnoteText"/>
    <w:semiHidden/>
    <w:rsid w:val="00475464"/>
    <w:rPr>
      <w:rFonts w:ascii="Arial" w:hAnsi="Arial" w:cs="Arial"/>
      <w:snapToGrid w:val="0"/>
      <w:lang w:eastAsia="en-US"/>
    </w:rPr>
  </w:style>
  <w:style w:type="character" w:styleId="FootnoteReference">
    <w:name w:val="footnote reference"/>
    <w:basedOn w:val="DefaultParagraphFont"/>
    <w:semiHidden/>
    <w:unhideWhenUsed/>
    <w:rsid w:val="00475464"/>
    <w:rPr>
      <w:vertAlign w:val="superscript"/>
    </w:rPr>
  </w:style>
  <w:style w:type="character" w:customStyle="1" w:styleId="ListParagraphChar">
    <w:name w:val="List Paragraph Char"/>
    <w:basedOn w:val="DefaultParagraphFont"/>
    <w:link w:val="ListParagraph"/>
    <w:uiPriority w:val="34"/>
    <w:rsid w:val="0021649B"/>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E73BE9"/>
    <w:pPr>
      <w:widowControl/>
      <w:outlineLvl w:val="1"/>
    </w:pPr>
    <w:rPr>
      <w:b/>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E73BE9"/>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7"/>
      </w:numPr>
    </w:pPr>
    <w:rPr>
      <w:rFonts w:ascii="Arial" w:hAnsi="Arial" w:cs="Arial"/>
      <w:b/>
      <w:snapToGrid w:val="0"/>
      <w:sz w:val="22"/>
      <w:szCs w:val="22"/>
      <w:lang w:eastAsia="en-US"/>
    </w:rPr>
  </w:style>
  <w:style w:type="paragraph" w:customStyle="1" w:styleId="TableTextleftalign">
    <w:name w:val="Table Text left align"/>
    <w:basedOn w:val="Normal"/>
    <w:link w:val="TableTextleftalignChar"/>
    <w:autoRedefine/>
    <w:qFormat/>
    <w:rsid w:val="003B64E7"/>
    <w:pPr>
      <w:keepNext/>
      <w:widowControl/>
      <w:jc w:val="left"/>
    </w:pPr>
    <w:rPr>
      <w:rFonts w:ascii="Calibri" w:hAnsi="Calibri" w:cs="Times New Roman"/>
      <w:snapToGrid/>
      <w:sz w:val="18"/>
    </w:rPr>
  </w:style>
  <w:style w:type="character" w:customStyle="1" w:styleId="TableTextleftalignChar">
    <w:name w:val="Table Text left align Char"/>
    <w:basedOn w:val="DefaultParagraphFont"/>
    <w:link w:val="TableTextleftalign"/>
    <w:rsid w:val="003B64E7"/>
    <w:rPr>
      <w:rFonts w:ascii="Calibri" w:hAnsi="Calibri"/>
      <w:sz w:val="18"/>
      <w:lang w:eastAsia="en-US"/>
    </w:rPr>
  </w:style>
  <w:style w:type="paragraph" w:customStyle="1" w:styleId="COMTbl-cap">
    <w:name w:val="COMTbl-cap"/>
    <w:basedOn w:val="Normal"/>
    <w:link w:val="COMTbl-capChar"/>
    <w:qFormat/>
    <w:rsid w:val="00097488"/>
    <w:pPr>
      <w:keepNext/>
    </w:pPr>
    <w:rPr>
      <w:rFonts w:ascii="Arial Narrow" w:hAnsi="Arial Narrow"/>
      <w:b/>
      <w:sz w:val="20"/>
    </w:rPr>
  </w:style>
  <w:style w:type="character" w:customStyle="1" w:styleId="COMTbl-capChar">
    <w:name w:val="COMTbl-cap Char"/>
    <w:basedOn w:val="DefaultParagraphFont"/>
    <w:link w:val="COMTbl-cap"/>
    <w:rsid w:val="00097488"/>
    <w:rPr>
      <w:rFonts w:ascii="Arial Narrow" w:hAnsi="Arial Narrow" w:cs="Arial"/>
      <w:b/>
      <w:snapToGrid w:val="0"/>
      <w:lang w:eastAsia="en-US"/>
    </w:rPr>
  </w:style>
  <w:style w:type="paragraph" w:customStyle="1" w:styleId="references">
    <w:name w:val="references"/>
    <w:basedOn w:val="Normal"/>
    <w:rsid w:val="00F1381A"/>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Textcentred">
    <w:name w:val="Table Text centred"/>
    <w:basedOn w:val="Normal"/>
    <w:link w:val="TableTextcentredChar"/>
    <w:autoRedefine/>
    <w:qFormat/>
    <w:rsid w:val="005B320A"/>
    <w:pPr>
      <w:widowControl/>
      <w:jc w:val="center"/>
    </w:pPr>
    <w:rPr>
      <w:rFonts w:ascii="Calibri" w:hAnsi="Calibri" w:cs="Times New Roman"/>
      <w:snapToGrid/>
      <w:sz w:val="18"/>
    </w:rPr>
  </w:style>
  <w:style w:type="character" w:customStyle="1" w:styleId="TableTextcentredChar">
    <w:name w:val="Table Text centred Char"/>
    <w:basedOn w:val="DefaultParagraphFont"/>
    <w:link w:val="TableTextcentred"/>
    <w:rsid w:val="005B320A"/>
    <w:rPr>
      <w:rFonts w:ascii="Calibri" w:hAnsi="Calibri"/>
      <w:sz w:val="18"/>
      <w:lang w:eastAsia="en-US"/>
    </w:rPr>
  </w:style>
  <w:style w:type="paragraph" w:customStyle="1" w:styleId="TableTitlecentred">
    <w:name w:val="Table Title centred"/>
    <w:basedOn w:val="Normal"/>
    <w:autoRedefine/>
    <w:rsid w:val="0045008E"/>
    <w:pPr>
      <w:widowControl/>
      <w:jc w:val="center"/>
    </w:pPr>
    <w:rPr>
      <w:rFonts w:ascii="Calibri" w:hAnsi="Calibri" w:cs="Times New Roman"/>
      <w:b/>
      <w:snapToGrid/>
      <w:sz w:val="18"/>
    </w:rPr>
  </w:style>
  <w:style w:type="paragraph" w:styleId="FootnoteText">
    <w:name w:val="footnote text"/>
    <w:basedOn w:val="Normal"/>
    <w:link w:val="FootnoteTextChar"/>
    <w:semiHidden/>
    <w:unhideWhenUsed/>
    <w:rsid w:val="00475464"/>
    <w:rPr>
      <w:sz w:val="20"/>
    </w:rPr>
  </w:style>
  <w:style w:type="character" w:customStyle="1" w:styleId="FootnoteTextChar">
    <w:name w:val="Footnote Text Char"/>
    <w:basedOn w:val="DefaultParagraphFont"/>
    <w:link w:val="FootnoteText"/>
    <w:semiHidden/>
    <w:rsid w:val="00475464"/>
    <w:rPr>
      <w:rFonts w:ascii="Arial" w:hAnsi="Arial" w:cs="Arial"/>
      <w:snapToGrid w:val="0"/>
      <w:lang w:eastAsia="en-US"/>
    </w:rPr>
  </w:style>
  <w:style w:type="character" w:styleId="FootnoteReference">
    <w:name w:val="footnote reference"/>
    <w:basedOn w:val="DefaultParagraphFont"/>
    <w:semiHidden/>
    <w:unhideWhenUsed/>
    <w:rsid w:val="00475464"/>
    <w:rPr>
      <w:vertAlign w:val="superscript"/>
    </w:rPr>
  </w:style>
  <w:style w:type="character" w:customStyle="1" w:styleId="ListParagraphChar">
    <w:name w:val="List Paragraph Char"/>
    <w:basedOn w:val="DefaultParagraphFont"/>
    <w:link w:val="ListParagraph"/>
    <w:uiPriority w:val="34"/>
    <w:rsid w:val="0021649B"/>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0492">
      <w:bodyDiv w:val="1"/>
      <w:marLeft w:val="0"/>
      <w:marRight w:val="0"/>
      <w:marTop w:val="0"/>
      <w:marBottom w:val="0"/>
      <w:divBdr>
        <w:top w:val="none" w:sz="0" w:space="0" w:color="auto"/>
        <w:left w:val="none" w:sz="0" w:space="0" w:color="auto"/>
        <w:bottom w:val="none" w:sz="0" w:space="0" w:color="auto"/>
        <w:right w:val="none" w:sz="0" w:space="0" w:color="auto"/>
      </w:divBdr>
    </w:div>
    <w:div w:id="78792884">
      <w:bodyDiv w:val="1"/>
      <w:marLeft w:val="0"/>
      <w:marRight w:val="0"/>
      <w:marTop w:val="0"/>
      <w:marBottom w:val="0"/>
      <w:divBdr>
        <w:top w:val="none" w:sz="0" w:space="0" w:color="auto"/>
        <w:left w:val="none" w:sz="0" w:space="0" w:color="auto"/>
        <w:bottom w:val="none" w:sz="0" w:space="0" w:color="auto"/>
        <w:right w:val="none" w:sz="0" w:space="0" w:color="auto"/>
      </w:divBdr>
      <w:divsChild>
        <w:div w:id="1270893366">
          <w:marLeft w:val="0"/>
          <w:marRight w:val="0"/>
          <w:marTop w:val="0"/>
          <w:marBottom w:val="0"/>
          <w:divBdr>
            <w:top w:val="none" w:sz="0" w:space="0" w:color="auto"/>
            <w:left w:val="none" w:sz="0" w:space="0" w:color="auto"/>
            <w:bottom w:val="none" w:sz="0" w:space="0" w:color="auto"/>
            <w:right w:val="none" w:sz="0" w:space="0" w:color="auto"/>
          </w:divBdr>
        </w:div>
        <w:div w:id="60948565">
          <w:marLeft w:val="0"/>
          <w:marRight w:val="0"/>
          <w:marTop w:val="0"/>
          <w:marBottom w:val="0"/>
          <w:divBdr>
            <w:top w:val="none" w:sz="0" w:space="0" w:color="auto"/>
            <w:left w:val="none" w:sz="0" w:space="0" w:color="auto"/>
            <w:bottom w:val="none" w:sz="0" w:space="0" w:color="auto"/>
            <w:right w:val="none" w:sz="0" w:space="0" w:color="auto"/>
          </w:divBdr>
        </w:div>
        <w:div w:id="1427651580">
          <w:marLeft w:val="0"/>
          <w:marRight w:val="0"/>
          <w:marTop w:val="0"/>
          <w:marBottom w:val="0"/>
          <w:divBdr>
            <w:top w:val="none" w:sz="0" w:space="0" w:color="auto"/>
            <w:left w:val="none" w:sz="0" w:space="0" w:color="auto"/>
            <w:bottom w:val="none" w:sz="0" w:space="0" w:color="auto"/>
            <w:right w:val="none" w:sz="0" w:space="0" w:color="auto"/>
          </w:divBdr>
        </w:div>
        <w:div w:id="1412000155">
          <w:marLeft w:val="0"/>
          <w:marRight w:val="0"/>
          <w:marTop w:val="0"/>
          <w:marBottom w:val="0"/>
          <w:divBdr>
            <w:top w:val="none" w:sz="0" w:space="0" w:color="auto"/>
            <w:left w:val="none" w:sz="0" w:space="0" w:color="auto"/>
            <w:bottom w:val="none" w:sz="0" w:space="0" w:color="auto"/>
            <w:right w:val="none" w:sz="0" w:space="0" w:color="auto"/>
          </w:divBdr>
        </w:div>
        <w:div w:id="63916574">
          <w:marLeft w:val="0"/>
          <w:marRight w:val="0"/>
          <w:marTop w:val="0"/>
          <w:marBottom w:val="0"/>
          <w:divBdr>
            <w:top w:val="none" w:sz="0" w:space="0" w:color="auto"/>
            <w:left w:val="none" w:sz="0" w:space="0" w:color="auto"/>
            <w:bottom w:val="none" w:sz="0" w:space="0" w:color="auto"/>
            <w:right w:val="none" w:sz="0" w:space="0" w:color="auto"/>
          </w:divBdr>
        </w:div>
        <w:div w:id="145248518">
          <w:marLeft w:val="0"/>
          <w:marRight w:val="0"/>
          <w:marTop w:val="0"/>
          <w:marBottom w:val="0"/>
          <w:divBdr>
            <w:top w:val="none" w:sz="0" w:space="0" w:color="auto"/>
            <w:left w:val="none" w:sz="0" w:space="0" w:color="auto"/>
            <w:bottom w:val="none" w:sz="0" w:space="0" w:color="auto"/>
            <w:right w:val="none" w:sz="0" w:space="0" w:color="auto"/>
          </w:divBdr>
        </w:div>
        <w:div w:id="1828744350">
          <w:marLeft w:val="0"/>
          <w:marRight w:val="0"/>
          <w:marTop w:val="0"/>
          <w:marBottom w:val="0"/>
          <w:divBdr>
            <w:top w:val="none" w:sz="0" w:space="0" w:color="auto"/>
            <w:left w:val="none" w:sz="0" w:space="0" w:color="auto"/>
            <w:bottom w:val="none" w:sz="0" w:space="0" w:color="auto"/>
            <w:right w:val="none" w:sz="0" w:space="0" w:color="auto"/>
          </w:divBdr>
        </w:div>
      </w:divsChild>
    </w:div>
    <w:div w:id="169225917">
      <w:bodyDiv w:val="1"/>
      <w:marLeft w:val="0"/>
      <w:marRight w:val="0"/>
      <w:marTop w:val="0"/>
      <w:marBottom w:val="0"/>
      <w:divBdr>
        <w:top w:val="none" w:sz="0" w:space="0" w:color="auto"/>
        <w:left w:val="none" w:sz="0" w:space="0" w:color="auto"/>
        <w:bottom w:val="none" w:sz="0" w:space="0" w:color="auto"/>
        <w:right w:val="none" w:sz="0" w:space="0" w:color="auto"/>
      </w:divBdr>
    </w:div>
    <w:div w:id="185604673">
      <w:bodyDiv w:val="1"/>
      <w:marLeft w:val="0"/>
      <w:marRight w:val="0"/>
      <w:marTop w:val="0"/>
      <w:marBottom w:val="0"/>
      <w:divBdr>
        <w:top w:val="none" w:sz="0" w:space="0" w:color="auto"/>
        <w:left w:val="none" w:sz="0" w:space="0" w:color="auto"/>
        <w:bottom w:val="none" w:sz="0" w:space="0" w:color="auto"/>
        <w:right w:val="none" w:sz="0" w:space="0" w:color="auto"/>
      </w:divBdr>
    </w:div>
    <w:div w:id="424805600">
      <w:bodyDiv w:val="1"/>
      <w:marLeft w:val="0"/>
      <w:marRight w:val="0"/>
      <w:marTop w:val="0"/>
      <w:marBottom w:val="0"/>
      <w:divBdr>
        <w:top w:val="none" w:sz="0" w:space="0" w:color="auto"/>
        <w:left w:val="none" w:sz="0" w:space="0" w:color="auto"/>
        <w:bottom w:val="none" w:sz="0" w:space="0" w:color="auto"/>
        <w:right w:val="none" w:sz="0" w:space="0" w:color="auto"/>
      </w:divBdr>
    </w:div>
    <w:div w:id="536090680">
      <w:bodyDiv w:val="1"/>
      <w:marLeft w:val="0"/>
      <w:marRight w:val="0"/>
      <w:marTop w:val="0"/>
      <w:marBottom w:val="0"/>
      <w:divBdr>
        <w:top w:val="none" w:sz="0" w:space="0" w:color="auto"/>
        <w:left w:val="none" w:sz="0" w:space="0" w:color="auto"/>
        <w:bottom w:val="none" w:sz="0" w:space="0" w:color="auto"/>
        <w:right w:val="none" w:sz="0" w:space="0" w:color="auto"/>
      </w:divBdr>
    </w:div>
    <w:div w:id="538780289">
      <w:bodyDiv w:val="1"/>
      <w:marLeft w:val="0"/>
      <w:marRight w:val="0"/>
      <w:marTop w:val="0"/>
      <w:marBottom w:val="0"/>
      <w:divBdr>
        <w:top w:val="none" w:sz="0" w:space="0" w:color="auto"/>
        <w:left w:val="none" w:sz="0" w:space="0" w:color="auto"/>
        <w:bottom w:val="none" w:sz="0" w:space="0" w:color="auto"/>
        <w:right w:val="none" w:sz="0" w:space="0" w:color="auto"/>
      </w:divBdr>
    </w:div>
    <w:div w:id="586814066">
      <w:bodyDiv w:val="1"/>
      <w:marLeft w:val="0"/>
      <w:marRight w:val="0"/>
      <w:marTop w:val="0"/>
      <w:marBottom w:val="0"/>
      <w:divBdr>
        <w:top w:val="none" w:sz="0" w:space="0" w:color="auto"/>
        <w:left w:val="none" w:sz="0" w:space="0" w:color="auto"/>
        <w:bottom w:val="none" w:sz="0" w:space="0" w:color="auto"/>
        <w:right w:val="none" w:sz="0" w:space="0" w:color="auto"/>
      </w:divBdr>
    </w:div>
    <w:div w:id="706414696">
      <w:bodyDiv w:val="1"/>
      <w:marLeft w:val="0"/>
      <w:marRight w:val="0"/>
      <w:marTop w:val="0"/>
      <w:marBottom w:val="0"/>
      <w:divBdr>
        <w:top w:val="none" w:sz="0" w:space="0" w:color="auto"/>
        <w:left w:val="none" w:sz="0" w:space="0" w:color="auto"/>
        <w:bottom w:val="none" w:sz="0" w:space="0" w:color="auto"/>
        <w:right w:val="none" w:sz="0" w:space="0" w:color="auto"/>
      </w:divBdr>
      <w:divsChild>
        <w:div w:id="1068576089">
          <w:marLeft w:val="547"/>
          <w:marRight w:val="0"/>
          <w:marTop w:val="130"/>
          <w:marBottom w:val="0"/>
          <w:divBdr>
            <w:top w:val="none" w:sz="0" w:space="0" w:color="auto"/>
            <w:left w:val="none" w:sz="0" w:space="0" w:color="auto"/>
            <w:bottom w:val="none" w:sz="0" w:space="0" w:color="auto"/>
            <w:right w:val="none" w:sz="0" w:space="0" w:color="auto"/>
          </w:divBdr>
        </w:div>
        <w:div w:id="1982685290">
          <w:marLeft w:val="547"/>
          <w:marRight w:val="0"/>
          <w:marTop w:val="130"/>
          <w:marBottom w:val="0"/>
          <w:divBdr>
            <w:top w:val="none" w:sz="0" w:space="0" w:color="auto"/>
            <w:left w:val="none" w:sz="0" w:space="0" w:color="auto"/>
            <w:bottom w:val="none" w:sz="0" w:space="0" w:color="auto"/>
            <w:right w:val="none" w:sz="0" w:space="0" w:color="auto"/>
          </w:divBdr>
        </w:div>
        <w:div w:id="724331180">
          <w:marLeft w:val="547"/>
          <w:marRight w:val="0"/>
          <w:marTop w:val="130"/>
          <w:marBottom w:val="0"/>
          <w:divBdr>
            <w:top w:val="none" w:sz="0" w:space="0" w:color="auto"/>
            <w:left w:val="none" w:sz="0" w:space="0" w:color="auto"/>
            <w:bottom w:val="none" w:sz="0" w:space="0" w:color="auto"/>
            <w:right w:val="none" w:sz="0" w:space="0" w:color="auto"/>
          </w:divBdr>
        </w:div>
        <w:div w:id="279780">
          <w:marLeft w:val="547"/>
          <w:marRight w:val="0"/>
          <w:marTop w:val="130"/>
          <w:marBottom w:val="0"/>
          <w:divBdr>
            <w:top w:val="none" w:sz="0" w:space="0" w:color="auto"/>
            <w:left w:val="none" w:sz="0" w:space="0" w:color="auto"/>
            <w:bottom w:val="none" w:sz="0" w:space="0" w:color="auto"/>
            <w:right w:val="none" w:sz="0" w:space="0" w:color="auto"/>
          </w:divBdr>
        </w:div>
        <w:div w:id="407121971">
          <w:marLeft w:val="547"/>
          <w:marRight w:val="0"/>
          <w:marTop w:val="130"/>
          <w:marBottom w:val="0"/>
          <w:divBdr>
            <w:top w:val="none" w:sz="0" w:space="0" w:color="auto"/>
            <w:left w:val="none" w:sz="0" w:space="0" w:color="auto"/>
            <w:bottom w:val="none" w:sz="0" w:space="0" w:color="auto"/>
            <w:right w:val="none" w:sz="0" w:space="0" w:color="auto"/>
          </w:divBdr>
        </w:div>
        <w:div w:id="1095173532">
          <w:marLeft w:val="547"/>
          <w:marRight w:val="0"/>
          <w:marTop w:val="130"/>
          <w:marBottom w:val="0"/>
          <w:divBdr>
            <w:top w:val="none" w:sz="0" w:space="0" w:color="auto"/>
            <w:left w:val="none" w:sz="0" w:space="0" w:color="auto"/>
            <w:bottom w:val="none" w:sz="0" w:space="0" w:color="auto"/>
            <w:right w:val="none" w:sz="0" w:space="0" w:color="auto"/>
          </w:divBdr>
        </w:div>
        <w:div w:id="937493348">
          <w:marLeft w:val="547"/>
          <w:marRight w:val="0"/>
          <w:marTop w:val="130"/>
          <w:marBottom w:val="0"/>
          <w:divBdr>
            <w:top w:val="none" w:sz="0" w:space="0" w:color="auto"/>
            <w:left w:val="none" w:sz="0" w:space="0" w:color="auto"/>
            <w:bottom w:val="none" w:sz="0" w:space="0" w:color="auto"/>
            <w:right w:val="none" w:sz="0" w:space="0" w:color="auto"/>
          </w:divBdr>
        </w:div>
      </w:divsChild>
    </w:div>
    <w:div w:id="730077824">
      <w:bodyDiv w:val="1"/>
      <w:marLeft w:val="0"/>
      <w:marRight w:val="0"/>
      <w:marTop w:val="0"/>
      <w:marBottom w:val="0"/>
      <w:divBdr>
        <w:top w:val="none" w:sz="0" w:space="0" w:color="auto"/>
        <w:left w:val="none" w:sz="0" w:space="0" w:color="auto"/>
        <w:bottom w:val="none" w:sz="0" w:space="0" w:color="auto"/>
        <w:right w:val="none" w:sz="0" w:space="0" w:color="auto"/>
      </w:divBdr>
    </w:div>
    <w:div w:id="807553713">
      <w:bodyDiv w:val="1"/>
      <w:marLeft w:val="0"/>
      <w:marRight w:val="0"/>
      <w:marTop w:val="0"/>
      <w:marBottom w:val="0"/>
      <w:divBdr>
        <w:top w:val="none" w:sz="0" w:space="0" w:color="auto"/>
        <w:left w:val="none" w:sz="0" w:space="0" w:color="auto"/>
        <w:bottom w:val="none" w:sz="0" w:space="0" w:color="auto"/>
        <w:right w:val="none" w:sz="0" w:space="0" w:color="auto"/>
      </w:divBdr>
    </w:div>
    <w:div w:id="811412031">
      <w:bodyDiv w:val="1"/>
      <w:marLeft w:val="0"/>
      <w:marRight w:val="0"/>
      <w:marTop w:val="0"/>
      <w:marBottom w:val="0"/>
      <w:divBdr>
        <w:top w:val="none" w:sz="0" w:space="0" w:color="auto"/>
        <w:left w:val="none" w:sz="0" w:space="0" w:color="auto"/>
        <w:bottom w:val="none" w:sz="0" w:space="0" w:color="auto"/>
        <w:right w:val="none" w:sz="0" w:space="0" w:color="auto"/>
      </w:divBdr>
    </w:div>
    <w:div w:id="844633667">
      <w:bodyDiv w:val="1"/>
      <w:marLeft w:val="0"/>
      <w:marRight w:val="0"/>
      <w:marTop w:val="0"/>
      <w:marBottom w:val="0"/>
      <w:divBdr>
        <w:top w:val="none" w:sz="0" w:space="0" w:color="auto"/>
        <w:left w:val="none" w:sz="0" w:space="0" w:color="auto"/>
        <w:bottom w:val="none" w:sz="0" w:space="0" w:color="auto"/>
        <w:right w:val="none" w:sz="0" w:space="0" w:color="auto"/>
      </w:divBdr>
    </w:div>
    <w:div w:id="975841783">
      <w:bodyDiv w:val="1"/>
      <w:marLeft w:val="0"/>
      <w:marRight w:val="0"/>
      <w:marTop w:val="0"/>
      <w:marBottom w:val="0"/>
      <w:divBdr>
        <w:top w:val="none" w:sz="0" w:space="0" w:color="auto"/>
        <w:left w:val="none" w:sz="0" w:space="0" w:color="auto"/>
        <w:bottom w:val="none" w:sz="0" w:space="0" w:color="auto"/>
        <w:right w:val="none" w:sz="0" w:space="0" w:color="auto"/>
      </w:divBdr>
    </w:div>
    <w:div w:id="1002465559">
      <w:bodyDiv w:val="1"/>
      <w:marLeft w:val="0"/>
      <w:marRight w:val="0"/>
      <w:marTop w:val="0"/>
      <w:marBottom w:val="0"/>
      <w:divBdr>
        <w:top w:val="none" w:sz="0" w:space="0" w:color="auto"/>
        <w:left w:val="none" w:sz="0" w:space="0" w:color="auto"/>
        <w:bottom w:val="none" w:sz="0" w:space="0" w:color="auto"/>
        <w:right w:val="none" w:sz="0" w:space="0" w:color="auto"/>
      </w:divBdr>
    </w:div>
    <w:div w:id="1163280523">
      <w:bodyDiv w:val="1"/>
      <w:marLeft w:val="0"/>
      <w:marRight w:val="0"/>
      <w:marTop w:val="0"/>
      <w:marBottom w:val="0"/>
      <w:divBdr>
        <w:top w:val="none" w:sz="0" w:space="0" w:color="auto"/>
        <w:left w:val="none" w:sz="0" w:space="0" w:color="auto"/>
        <w:bottom w:val="none" w:sz="0" w:space="0" w:color="auto"/>
        <w:right w:val="none" w:sz="0" w:space="0" w:color="auto"/>
      </w:divBdr>
      <w:divsChild>
        <w:div w:id="1255044942">
          <w:marLeft w:val="547"/>
          <w:marRight w:val="0"/>
          <w:marTop w:val="96"/>
          <w:marBottom w:val="0"/>
          <w:divBdr>
            <w:top w:val="none" w:sz="0" w:space="0" w:color="auto"/>
            <w:left w:val="none" w:sz="0" w:space="0" w:color="auto"/>
            <w:bottom w:val="none" w:sz="0" w:space="0" w:color="auto"/>
            <w:right w:val="none" w:sz="0" w:space="0" w:color="auto"/>
          </w:divBdr>
        </w:div>
        <w:div w:id="1328363600">
          <w:marLeft w:val="547"/>
          <w:marRight w:val="0"/>
          <w:marTop w:val="96"/>
          <w:marBottom w:val="0"/>
          <w:divBdr>
            <w:top w:val="none" w:sz="0" w:space="0" w:color="auto"/>
            <w:left w:val="none" w:sz="0" w:space="0" w:color="auto"/>
            <w:bottom w:val="none" w:sz="0" w:space="0" w:color="auto"/>
            <w:right w:val="none" w:sz="0" w:space="0" w:color="auto"/>
          </w:divBdr>
        </w:div>
        <w:div w:id="1070155161">
          <w:marLeft w:val="547"/>
          <w:marRight w:val="0"/>
          <w:marTop w:val="96"/>
          <w:marBottom w:val="0"/>
          <w:divBdr>
            <w:top w:val="none" w:sz="0" w:space="0" w:color="auto"/>
            <w:left w:val="none" w:sz="0" w:space="0" w:color="auto"/>
            <w:bottom w:val="none" w:sz="0" w:space="0" w:color="auto"/>
            <w:right w:val="none" w:sz="0" w:space="0" w:color="auto"/>
          </w:divBdr>
        </w:div>
        <w:div w:id="1242834160">
          <w:marLeft w:val="547"/>
          <w:marRight w:val="0"/>
          <w:marTop w:val="96"/>
          <w:marBottom w:val="0"/>
          <w:divBdr>
            <w:top w:val="none" w:sz="0" w:space="0" w:color="auto"/>
            <w:left w:val="none" w:sz="0" w:space="0" w:color="auto"/>
            <w:bottom w:val="none" w:sz="0" w:space="0" w:color="auto"/>
            <w:right w:val="none" w:sz="0" w:space="0" w:color="auto"/>
          </w:divBdr>
        </w:div>
        <w:div w:id="1208763008">
          <w:marLeft w:val="547"/>
          <w:marRight w:val="0"/>
          <w:marTop w:val="96"/>
          <w:marBottom w:val="0"/>
          <w:divBdr>
            <w:top w:val="none" w:sz="0" w:space="0" w:color="auto"/>
            <w:left w:val="none" w:sz="0" w:space="0" w:color="auto"/>
            <w:bottom w:val="none" w:sz="0" w:space="0" w:color="auto"/>
            <w:right w:val="none" w:sz="0" w:space="0" w:color="auto"/>
          </w:divBdr>
        </w:div>
        <w:div w:id="1512333928">
          <w:marLeft w:val="547"/>
          <w:marRight w:val="0"/>
          <w:marTop w:val="96"/>
          <w:marBottom w:val="0"/>
          <w:divBdr>
            <w:top w:val="none" w:sz="0" w:space="0" w:color="auto"/>
            <w:left w:val="none" w:sz="0" w:space="0" w:color="auto"/>
            <w:bottom w:val="none" w:sz="0" w:space="0" w:color="auto"/>
            <w:right w:val="none" w:sz="0" w:space="0" w:color="auto"/>
          </w:divBdr>
        </w:div>
      </w:divsChild>
    </w:div>
    <w:div w:id="1255935930">
      <w:bodyDiv w:val="1"/>
      <w:marLeft w:val="0"/>
      <w:marRight w:val="0"/>
      <w:marTop w:val="0"/>
      <w:marBottom w:val="0"/>
      <w:divBdr>
        <w:top w:val="none" w:sz="0" w:space="0" w:color="auto"/>
        <w:left w:val="none" w:sz="0" w:space="0" w:color="auto"/>
        <w:bottom w:val="none" w:sz="0" w:space="0" w:color="auto"/>
        <w:right w:val="none" w:sz="0" w:space="0" w:color="auto"/>
      </w:divBdr>
    </w:div>
    <w:div w:id="1286157505">
      <w:bodyDiv w:val="1"/>
      <w:marLeft w:val="0"/>
      <w:marRight w:val="0"/>
      <w:marTop w:val="0"/>
      <w:marBottom w:val="0"/>
      <w:divBdr>
        <w:top w:val="none" w:sz="0" w:space="0" w:color="auto"/>
        <w:left w:val="none" w:sz="0" w:space="0" w:color="auto"/>
        <w:bottom w:val="none" w:sz="0" w:space="0" w:color="auto"/>
        <w:right w:val="none" w:sz="0" w:space="0" w:color="auto"/>
      </w:divBdr>
      <w:divsChild>
        <w:div w:id="809175708">
          <w:marLeft w:val="547"/>
          <w:marRight w:val="0"/>
          <w:marTop w:val="144"/>
          <w:marBottom w:val="0"/>
          <w:divBdr>
            <w:top w:val="none" w:sz="0" w:space="0" w:color="auto"/>
            <w:left w:val="none" w:sz="0" w:space="0" w:color="auto"/>
            <w:bottom w:val="none" w:sz="0" w:space="0" w:color="auto"/>
            <w:right w:val="none" w:sz="0" w:space="0" w:color="auto"/>
          </w:divBdr>
        </w:div>
        <w:div w:id="672995354">
          <w:marLeft w:val="1166"/>
          <w:marRight w:val="0"/>
          <w:marTop w:val="125"/>
          <w:marBottom w:val="0"/>
          <w:divBdr>
            <w:top w:val="none" w:sz="0" w:space="0" w:color="auto"/>
            <w:left w:val="none" w:sz="0" w:space="0" w:color="auto"/>
            <w:bottom w:val="none" w:sz="0" w:space="0" w:color="auto"/>
            <w:right w:val="none" w:sz="0" w:space="0" w:color="auto"/>
          </w:divBdr>
        </w:div>
        <w:div w:id="1463769837">
          <w:marLeft w:val="1166"/>
          <w:marRight w:val="0"/>
          <w:marTop w:val="125"/>
          <w:marBottom w:val="0"/>
          <w:divBdr>
            <w:top w:val="none" w:sz="0" w:space="0" w:color="auto"/>
            <w:left w:val="none" w:sz="0" w:space="0" w:color="auto"/>
            <w:bottom w:val="none" w:sz="0" w:space="0" w:color="auto"/>
            <w:right w:val="none" w:sz="0" w:space="0" w:color="auto"/>
          </w:divBdr>
        </w:div>
        <w:div w:id="1623611198">
          <w:marLeft w:val="547"/>
          <w:marRight w:val="0"/>
          <w:marTop w:val="144"/>
          <w:marBottom w:val="0"/>
          <w:divBdr>
            <w:top w:val="none" w:sz="0" w:space="0" w:color="auto"/>
            <w:left w:val="none" w:sz="0" w:space="0" w:color="auto"/>
            <w:bottom w:val="none" w:sz="0" w:space="0" w:color="auto"/>
            <w:right w:val="none" w:sz="0" w:space="0" w:color="auto"/>
          </w:divBdr>
        </w:div>
        <w:div w:id="1674337622">
          <w:marLeft w:val="547"/>
          <w:marRight w:val="0"/>
          <w:marTop w:val="144"/>
          <w:marBottom w:val="0"/>
          <w:divBdr>
            <w:top w:val="none" w:sz="0" w:space="0" w:color="auto"/>
            <w:left w:val="none" w:sz="0" w:space="0" w:color="auto"/>
            <w:bottom w:val="none" w:sz="0" w:space="0" w:color="auto"/>
            <w:right w:val="none" w:sz="0" w:space="0" w:color="auto"/>
          </w:divBdr>
        </w:div>
      </w:divsChild>
    </w:div>
    <w:div w:id="1298023547">
      <w:bodyDiv w:val="1"/>
      <w:marLeft w:val="0"/>
      <w:marRight w:val="0"/>
      <w:marTop w:val="0"/>
      <w:marBottom w:val="0"/>
      <w:divBdr>
        <w:top w:val="none" w:sz="0" w:space="0" w:color="auto"/>
        <w:left w:val="none" w:sz="0" w:space="0" w:color="auto"/>
        <w:bottom w:val="none" w:sz="0" w:space="0" w:color="auto"/>
        <w:right w:val="none" w:sz="0" w:space="0" w:color="auto"/>
      </w:divBdr>
    </w:div>
    <w:div w:id="1577939751">
      <w:bodyDiv w:val="1"/>
      <w:marLeft w:val="0"/>
      <w:marRight w:val="0"/>
      <w:marTop w:val="0"/>
      <w:marBottom w:val="0"/>
      <w:divBdr>
        <w:top w:val="none" w:sz="0" w:space="0" w:color="auto"/>
        <w:left w:val="none" w:sz="0" w:space="0" w:color="auto"/>
        <w:bottom w:val="none" w:sz="0" w:space="0" w:color="auto"/>
        <w:right w:val="none" w:sz="0" w:space="0" w:color="auto"/>
      </w:divBdr>
      <w:divsChild>
        <w:div w:id="1807548564">
          <w:marLeft w:val="547"/>
          <w:marRight w:val="0"/>
          <w:marTop w:val="154"/>
          <w:marBottom w:val="0"/>
          <w:divBdr>
            <w:top w:val="none" w:sz="0" w:space="0" w:color="auto"/>
            <w:left w:val="none" w:sz="0" w:space="0" w:color="auto"/>
            <w:bottom w:val="none" w:sz="0" w:space="0" w:color="auto"/>
            <w:right w:val="none" w:sz="0" w:space="0" w:color="auto"/>
          </w:divBdr>
        </w:div>
        <w:div w:id="1635020522">
          <w:marLeft w:val="547"/>
          <w:marRight w:val="0"/>
          <w:marTop w:val="154"/>
          <w:marBottom w:val="0"/>
          <w:divBdr>
            <w:top w:val="none" w:sz="0" w:space="0" w:color="auto"/>
            <w:left w:val="none" w:sz="0" w:space="0" w:color="auto"/>
            <w:bottom w:val="none" w:sz="0" w:space="0" w:color="auto"/>
            <w:right w:val="none" w:sz="0" w:space="0" w:color="auto"/>
          </w:divBdr>
        </w:div>
        <w:div w:id="799346131">
          <w:marLeft w:val="547"/>
          <w:marRight w:val="0"/>
          <w:marTop w:val="154"/>
          <w:marBottom w:val="0"/>
          <w:divBdr>
            <w:top w:val="none" w:sz="0" w:space="0" w:color="auto"/>
            <w:left w:val="none" w:sz="0" w:space="0" w:color="auto"/>
            <w:bottom w:val="none" w:sz="0" w:space="0" w:color="auto"/>
            <w:right w:val="none" w:sz="0" w:space="0" w:color="auto"/>
          </w:divBdr>
        </w:div>
      </w:divsChild>
    </w:div>
    <w:div w:id="1636984669">
      <w:bodyDiv w:val="1"/>
      <w:marLeft w:val="0"/>
      <w:marRight w:val="0"/>
      <w:marTop w:val="0"/>
      <w:marBottom w:val="0"/>
      <w:divBdr>
        <w:top w:val="none" w:sz="0" w:space="0" w:color="auto"/>
        <w:left w:val="none" w:sz="0" w:space="0" w:color="auto"/>
        <w:bottom w:val="none" w:sz="0" w:space="0" w:color="auto"/>
        <w:right w:val="none" w:sz="0" w:space="0" w:color="auto"/>
      </w:divBdr>
    </w:div>
    <w:div w:id="1817647055">
      <w:bodyDiv w:val="1"/>
      <w:marLeft w:val="0"/>
      <w:marRight w:val="0"/>
      <w:marTop w:val="0"/>
      <w:marBottom w:val="0"/>
      <w:divBdr>
        <w:top w:val="none" w:sz="0" w:space="0" w:color="auto"/>
        <w:left w:val="none" w:sz="0" w:space="0" w:color="auto"/>
        <w:bottom w:val="none" w:sz="0" w:space="0" w:color="auto"/>
        <w:right w:val="none" w:sz="0" w:space="0" w:color="auto"/>
      </w:divBdr>
    </w:div>
    <w:div w:id="1864319670">
      <w:bodyDiv w:val="1"/>
      <w:marLeft w:val="0"/>
      <w:marRight w:val="0"/>
      <w:marTop w:val="0"/>
      <w:marBottom w:val="0"/>
      <w:divBdr>
        <w:top w:val="none" w:sz="0" w:space="0" w:color="auto"/>
        <w:left w:val="none" w:sz="0" w:space="0" w:color="auto"/>
        <w:bottom w:val="none" w:sz="0" w:space="0" w:color="auto"/>
        <w:right w:val="none" w:sz="0" w:space="0" w:color="auto"/>
      </w:divBdr>
    </w:div>
    <w:div w:id="1942757843">
      <w:bodyDiv w:val="1"/>
      <w:marLeft w:val="0"/>
      <w:marRight w:val="0"/>
      <w:marTop w:val="0"/>
      <w:marBottom w:val="0"/>
      <w:divBdr>
        <w:top w:val="none" w:sz="0" w:space="0" w:color="auto"/>
        <w:left w:val="none" w:sz="0" w:space="0" w:color="auto"/>
        <w:bottom w:val="none" w:sz="0" w:space="0" w:color="auto"/>
        <w:right w:val="none" w:sz="0" w:space="0" w:color="auto"/>
      </w:divBdr>
    </w:div>
    <w:div w:id="1991127411">
      <w:bodyDiv w:val="1"/>
      <w:marLeft w:val="0"/>
      <w:marRight w:val="0"/>
      <w:marTop w:val="0"/>
      <w:marBottom w:val="0"/>
      <w:divBdr>
        <w:top w:val="none" w:sz="0" w:space="0" w:color="auto"/>
        <w:left w:val="none" w:sz="0" w:space="0" w:color="auto"/>
        <w:bottom w:val="none" w:sz="0" w:space="0" w:color="auto"/>
        <w:right w:val="none" w:sz="0" w:space="0" w:color="auto"/>
      </w:divBdr>
    </w:div>
    <w:div w:id="2083718673">
      <w:bodyDiv w:val="1"/>
      <w:marLeft w:val="0"/>
      <w:marRight w:val="0"/>
      <w:marTop w:val="0"/>
      <w:marBottom w:val="0"/>
      <w:divBdr>
        <w:top w:val="none" w:sz="0" w:space="0" w:color="auto"/>
        <w:left w:val="none" w:sz="0" w:space="0" w:color="auto"/>
        <w:bottom w:val="none" w:sz="0" w:space="0" w:color="auto"/>
        <w:right w:val="none" w:sz="0" w:space="0" w:color="auto"/>
      </w:divBdr>
    </w:div>
    <w:div w:id="2083982494">
      <w:bodyDiv w:val="1"/>
      <w:marLeft w:val="0"/>
      <w:marRight w:val="0"/>
      <w:marTop w:val="0"/>
      <w:marBottom w:val="0"/>
      <w:divBdr>
        <w:top w:val="none" w:sz="0" w:space="0" w:color="auto"/>
        <w:left w:val="none" w:sz="0" w:space="0" w:color="auto"/>
        <w:bottom w:val="none" w:sz="0" w:space="0" w:color="auto"/>
        <w:right w:val="none" w:sz="0" w:space="0" w:color="auto"/>
      </w:divBdr>
    </w:div>
    <w:div w:id="209381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DECE1-F9E8-4062-896C-632CD3BC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8415</Words>
  <Characters>48152</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5.14 lignocaine patch</vt:lpstr>
    </vt:vector>
  </TitlesOfParts>
  <LinksUpToDate>false</LinksUpToDate>
  <CharactersWithSpaces>56455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5.14 lignocaine patch</dc:title>
  <dc:creator/>
  <cp:lastModifiedBy/>
  <cp:revision>1</cp:revision>
  <dcterms:created xsi:type="dcterms:W3CDTF">2015-06-29T03:44:00Z</dcterms:created>
  <dcterms:modified xsi:type="dcterms:W3CDTF">2015-07-13T02:37:00Z</dcterms:modified>
</cp:coreProperties>
</file>